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BAAC" w14:textId="77777777" w:rsidR="006C26E8" w:rsidRPr="006C26E8" w:rsidRDefault="006C26E8" w:rsidP="006C26E8">
      <w:pPr>
        <w:pStyle w:val="Default"/>
        <w:rPr>
          <w:rFonts w:ascii="Times New Roman" w:hAnsi="Times New Roman" w:cs="Times New Roman"/>
        </w:rPr>
      </w:pPr>
    </w:p>
    <w:p w14:paraId="4E1A47E7" w14:textId="393F5F23" w:rsidR="006C26E8" w:rsidRDefault="00FE4293" w:rsidP="006C26E8">
      <w:pPr>
        <w:pStyle w:val="Default"/>
        <w:jc w:val="center"/>
        <w:rPr>
          <w:rFonts w:ascii="Times New Roman" w:hAnsi="Times New Roman" w:cs="Times New Roman"/>
          <w:b/>
        </w:rPr>
      </w:pPr>
      <w:r>
        <w:rPr>
          <w:rFonts w:ascii="Times New Roman" w:hAnsi="Times New Roman" w:cs="Times New Roman"/>
          <w:b/>
        </w:rPr>
        <w:t xml:space="preserve">The </w:t>
      </w:r>
      <w:r w:rsidR="0020026E">
        <w:rPr>
          <w:rFonts w:ascii="Times New Roman" w:hAnsi="Times New Roman" w:cs="Times New Roman"/>
          <w:b/>
        </w:rPr>
        <w:t>H</w:t>
      </w:r>
      <w:r>
        <w:rPr>
          <w:rFonts w:ascii="Times New Roman" w:hAnsi="Times New Roman" w:cs="Times New Roman"/>
          <w:b/>
        </w:rPr>
        <w:t>azard of Oxycontin</w:t>
      </w:r>
    </w:p>
    <w:p w14:paraId="61454694" w14:textId="77777777" w:rsidR="006C26E8" w:rsidRPr="006C26E8" w:rsidRDefault="006C26E8" w:rsidP="006C26E8">
      <w:pPr>
        <w:pStyle w:val="Default"/>
        <w:jc w:val="center"/>
        <w:rPr>
          <w:rFonts w:ascii="Times New Roman" w:hAnsi="Times New Roman" w:cs="Times New Roman"/>
          <w:b/>
        </w:rPr>
      </w:pPr>
    </w:p>
    <w:p w14:paraId="39B1778E" w14:textId="1ED46478" w:rsidR="006C26E8" w:rsidRDefault="00F66BBC" w:rsidP="006C26E8">
      <w:pPr>
        <w:pStyle w:val="Default"/>
        <w:jc w:val="center"/>
        <w:rPr>
          <w:rFonts w:ascii="Times New Roman" w:hAnsi="Times New Roman" w:cs="Times New Roman"/>
        </w:rPr>
      </w:pPr>
      <w:r>
        <w:rPr>
          <w:rFonts w:ascii="Times New Roman" w:hAnsi="Times New Roman" w:cs="Times New Roman"/>
        </w:rPr>
        <w:t>Malcolm Wright, Philip Stern &amp; Charles Graham</w:t>
      </w:r>
    </w:p>
    <w:p w14:paraId="6844499E" w14:textId="77777777" w:rsidR="006C26E8" w:rsidRDefault="006C26E8" w:rsidP="006C26E8">
      <w:pPr>
        <w:pStyle w:val="Default"/>
        <w:jc w:val="center"/>
        <w:rPr>
          <w:rFonts w:ascii="Times New Roman" w:hAnsi="Times New Roman" w:cs="Times New Roman"/>
        </w:rPr>
      </w:pPr>
    </w:p>
    <w:p w14:paraId="1EC913BC" w14:textId="77777777" w:rsidR="006C26E8" w:rsidRPr="006C26E8" w:rsidRDefault="006C26E8" w:rsidP="006C26E8">
      <w:pPr>
        <w:pStyle w:val="Default"/>
        <w:jc w:val="center"/>
        <w:rPr>
          <w:rFonts w:ascii="Times New Roman" w:hAnsi="Times New Roman" w:cs="Times New Roman"/>
        </w:rPr>
      </w:pPr>
    </w:p>
    <w:p w14:paraId="2306C4E7" w14:textId="77777777" w:rsidR="006C26E8" w:rsidRPr="006C26E8" w:rsidRDefault="006C26E8" w:rsidP="006C26E8">
      <w:pPr>
        <w:pStyle w:val="Default"/>
        <w:rPr>
          <w:rFonts w:ascii="Times New Roman" w:hAnsi="Times New Roman" w:cs="Times New Roman"/>
        </w:rPr>
      </w:pPr>
      <w:r w:rsidRPr="006C26E8">
        <w:rPr>
          <w:rFonts w:ascii="Times New Roman" w:hAnsi="Times New Roman" w:cs="Times New Roman"/>
          <w:b/>
          <w:bCs/>
        </w:rPr>
        <w:t xml:space="preserve">Short Abstract: </w:t>
      </w:r>
    </w:p>
    <w:p w14:paraId="372DF528" w14:textId="77777777" w:rsidR="00FE4293" w:rsidRDefault="00FE4293" w:rsidP="006C26E8">
      <w:pPr>
        <w:pStyle w:val="Default"/>
        <w:jc w:val="both"/>
        <w:rPr>
          <w:rFonts w:ascii="Times New Roman" w:hAnsi="Times New Roman" w:cs="Times New Roman"/>
        </w:rPr>
      </w:pPr>
      <w:bookmarkStart w:id="0" w:name="_GoBack"/>
      <w:bookmarkEnd w:id="0"/>
    </w:p>
    <w:p w14:paraId="1D2C74CC" w14:textId="77777777" w:rsidR="000741E8" w:rsidRDefault="000741E8" w:rsidP="000741E8">
      <w:pPr>
        <w:pStyle w:val="Default"/>
        <w:jc w:val="both"/>
        <w:rPr>
          <w:rFonts w:ascii="Times New Roman" w:hAnsi="Times New Roman" w:cs="Times New Roman"/>
        </w:rPr>
      </w:pPr>
      <w:r>
        <w:rPr>
          <w:rFonts w:ascii="Times New Roman" w:hAnsi="Times New Roman" w:cs="Times New Roman"/>
        </w:rPr>
        <w:t>Much is known about the devastating effects of Opioid addiction, but little about its genesis. The most widely cited example (Oxycontin) was developed and designed to be used as an alternative to morphine in order to relieve severe cancer pain.</w:t>
      </w:r>
    </w:p>
    <w:p w14:paraId="4D89823C" w14:textId="77777777" w:rsidR="000741E8" w:rsidRDefault="000741E8" w:rsidP="000741E8">
      <w:pPr>
        <w:pStyle w:val="Default"/>
        <w:jc w:val="both"/>
        <w:rPr>
          <w:rFonts w:ascii="Times New Roman" w:hAnsi="Times New Roman" w:cs="Times New Roman"/>
        </w:rPr>
      </w:pPr>
    </w:p>
    <w:p w14:paraId="2F56269E" w14:textId="77777777" w:rsidR="000741E8" w:rsidRDefault="000741E8" w:rsidP="000741E8">
      <w:pPr>
        <w:pStyle w:val="Default"/>
        <w:jc w:val="both"/>
        <w:rPr>
          <w:rFonts w:ascii="Times New Roman" w:hAnsi="Times New Roman" w:cs="Times New Roman"/>
        </w:rPr>
      </w:pPr>
      <w:r>
        <w:rPr>
          <w:rFonts w:ascii="Times New Roman" w:hAnsi="Times New Roman" w:cs="Times New Roman"/>
        </w:rPr>
        <w:t>Like all new drugs which require a prescription to be issued, Oxycontin’s rate diffusion was initially determined by innovative physicians.</w:t>
      </w:r>
    </w:p>
    <w:p w14:paraId="171447AE" w14:textId="77777777" w:rsidR="000741E8" w:rsidRDefault="000741E8" w:rsidP="000741E8">
      <w:pPr>
        <w:pStyle w:val="Default"/>
        <w:jc w:val="both"/>
        <w:rPr>
          <w:rFonts w:ascii="Times New Roman" w:hAnsi="Times New Roman" w:cs="Times New Roman"/>
        </w:rPr>
      </w:pPr>
    </w:p>
    <w:p w14:paraId="000E8E3F" w14:textId="1DBCA20A" w:rsidR="000741E8" w:rsidRDefault="000741E8" w:rsidP="000741E8">
      <w:pPr>
        <w:pStyle w:val="Default"/>
        <w:jc w:val="both"/>
        <w:rPr>
          <w:rFonts w:ascii="Times New Roman" w:hAnsi="Times New Roman" w:cs="Times New Roman"/>
        </w:rPr>
      </w:pPr>
      <w:r>
        <w:rPr>
          <w:rFonts w:ascii="Times New Roman" w:hAnsi="Times New Roman" w:cs="Times New Roman"/>
        </w:rPr>
        <w:t>This research examines the characteristics of physicians who prescribed Oxycontin within the first year of its commercialisation and finds that those who demonstrated specific interest in the therapy area were likely to be early adopters of the new drug. Other variables had no significant impact on their adoption of Oxy</w:t>
      </w:r>
      <w:r w:rsidR="00F66BBC">
        <w:rPr>
          <w:rFonts w:ascii="Times New Roman" w:hAnsi="Times New Roman" w:cs="Times New Roman"/>
        </w:rPr>
        <w:t>contin</w:t>
      </w:r>
      <w:r>
        <w:rPr>
          <w:rFonts w:ascii="Times New Roman" w:hAnsi="Times New Roman" w:cs="Times New Roman"/>
        </w:rPr>
        <w:t xml:space="preserve">. </w:t>
      </w:r>
    </w:p>
    <w:p w14:paraId="4973A48F" w14:textId="77777777" w:rsidR="000741E8" w:rsidRDefault="000741E8" w:rsidP="000741E8">
      <w:pPr>
        <w:pStyle w:val="Default"/>
        <w:jc w:val="both"/>
        <w:rPr>
          <w:rFonts w:ascii="Times New Roman" w:hAnsi="Times New Roman" w:cs="Times New Roman"/>
        </w:rPr>
      </w:pPr>
    </w:p>
    <w:p w14:paraId="747CD917" w14:textId="77777777" w:rsidR="000741E8" w:rsidRDefault="000741E8" w:rsidP="000741E8">
      <w:pPr>
        <w:pStyle w:val="Default"/>
        <w:jc w:val="both"/>
        <w:rPr>
          <w:rFonts w:ascii="Times New Roman" w:hAnsi="Times New Roman" w:cs="Times New Roman"/>
        </w:rPr>
      </w:pPr>
      <w:r>
        <w:rPr>
          <w:rFonts w:ascii="Times New Roman" w:hAnsi="Times New Roman" w:cs="Times New Roman"/>
        </w:rPr>
        <w:t>This result is different to other drugs and highlights the potential role and responsibility of innovative physicians in educating network members in macro-level diffusion processes.</w:t>
      </w:r>
    </w:p>
    <w:p w14:paraId="74A13858" w14:textId="77777777" w:rsidR="000741E8" w:rsidRDefault="000741E8" w:rsidP="000741E8">
      <w:pPr>
        <w:pStyle w:val="Default"/>
        <w:jc w:val="both"/>
        <w:rPr>
          <w:rFonts w:ascii="Times New Roman" w:hAnsi="Times New Roman" w:cs="Times New Roman"/>
        </w:rPr>
      </w:pPr>
    </w:p>
    <w:p w14:paraId="487B68E0" w14:textId="77777777" w:rsidR="00FE4293" w:rsidRDefault="00FE4293" w:rsidP="006C26E8">
      <w:pPr>
        <w:pStyle w:val="Default"/>
        <w:jc w:val="both"/>
        <w:rPr>
          <w:rFonts w:ascii="Times New Roman" w:hAnsi="Times New Roman" w:cs="Times New Roman"/>
        </w:rPr>
      </w:pPr>
    </w:p>
    <w:p w14:paraId="7B8F4FF6" w14:textId="1AB8BE5C" w:rsidR="0020026E" w:rsidRDefault="0020026E" w:rsidP="006C26E8">
      <w:pPr>
        <w:pStyle w:val="Default"/>
        <w:jc w:val="both"/>
        <w:rPr>
          <w:rFonts w:ascii="Times New Roman" w:hAnsi="Times New Roman" w:cs="Times New Roman"/>
        </w:rPr>
      </w:pPr>
    </w:p>
    <w:p w14:paraId="26A0AEDF" w14:textId="77777777" w:rsidR="0020026E" w:rsidRDefault="0020026E" w:rsidP="006C26E8">
      <w:pPr>
        <w:pStyle w:val="Default"/>
        <w:jc w:val="both"/>
        <w:rPr>
          <w:rFonts w:ascii="Times New Roman" w:hAnsi="Times New Roman" w:cs="Times New Roman"/>
        </w:rPr>
      </w:pPr>
    </w:p>
    <w:p w14:paraId="41320441" w14:textId="3FD81F5B" w:rsidR="0020026E" w:rsidRDefault="0020026E" w:rsidP="006C26E8">
      <w:pPr>
        <w:pStyle w:val="Default"/>
        <w:jc w:val="both"/>
        <w:rPr>
          <w:rFonts w:ascii="Times New Roman" w:hAnsi="Times New Roman" w:cs="Times New Roman"/>
        </w:rPr>
      </w:pPr>
    </w:p>
    <w:p w14:paraId="6137B123" w14:textId="77777777" w:rsidR="0020026E" w:rsidRDefault="0020026E" w:rsidP="006C26E8">
      <w:pPr>
        <w:pStyle w:val="Default"/>
        <w:jc w:val="both"/>
        <w:rPr>
          <w:rFonts w:ascii="Times New Roman" w:hAnsi="Times New Roman" w:cs="Times New Roman"/>
        </w:rPr>
      </w:pPr>
    </w:p>
    <w:p w14:paraId="3DC07512" w14:textId="77777777" w:rsidR="006C26E8" w:rsidRPr="006C26E8" w:rsidRDefault="006C26E8" w:rsidP="006C26E8">
      <w:pPr>
        <w:pStyle w:val="Default"/>
        <w:rPr>
          <w:rFonts w:ascii="Times New Roman" w:hAnsi="Times New Roman" w:cs="Times New Roman"/>
        </w:rPr>
      </w:pPr>
    </w:p>
    <w:p w14:paraId="1B57F867" w14:textId="297941C7" w:rsidR="006C26E8" w:rsidRPr="006C26E8" w:rsidRDefault="006C26E8" w:rsidP="006C26E8">
      <w:pPr>
        <w:pStyle w:val="Default"/>
        <w:rPr>
          <w:rFonts w:ascii="Times New Roman" w:hAnsi="Times New Roman" w:cs="Times New Roman"/>
        </w:rPr>
      </w:pPr>
      <w:r w:rsidRPr="006C26E8">
        <w:rPr>
          <w:rFonts w:ascii="Times New Roman" w:hAnsi="Times New Roman" w:cs="Times New Roman"/>
          <w:i/>
          <w:iCs/>
        </w:rPr>
        <w:t xml:space="preserve">Keywords: </w:t>
      </w:r>
      <w:r w:rsidR="00A06598">
        <w:rPr>
          <w:rFonts w:ascii="Times New Roman" w:hAnsi="Times New Roman" w:cs="Times New Roman"/>
          <w:i/>
          <w:iCs/>
        </w:rPr>
        <w:t>OxyContin, Hazard Modelling, Pharmaceutical Prescribing</w:t>
      </w:r>
    </w:p>
    <w:p w14:paraId="18E13820" w14:textId="13296C15" w:rsidR="006C26E8" w:rsidRPr="006C26E8" w:rsidRDefault="006C26E8" w:rsidP="006C26E8">
      <w:pPr>
        <w:pStyle w:val="Default"/>
        <w:pageBreakBefore/>
        <w:jc w:val="both"/>
        <w:rPr>
          <w:rFonts w:ascii="Times New Roman" w:hAnsi="Times New Roman" w:cs="Times New Roman"/>
        </w:rPr>
      </w:pPr>
      <w:r w:rsidRPr="006C26E8">
        <w:rPr>
          <w:rFonts w:ascii="Times New Roman" w:hAnsi="Times New Roman" w:cs="Times New Roman"/>
          <w:b/>
          <w:bCs/>
        </w:rPr>
        <w:lastRenderedPageBreak/>
        <w:t xml:space="preserve">Introduction and </w:t>
      </w:r>
      <w:r w:rsidR="007E387F">
        <w:rPr>
          <w:rFonts w:ascii="Times New Roman" w:hAnsi="Times New Roman" w:cs="Times New Roman"/>
          <w:b/>
          <w:bCs/>
        </w:rPr>
        <w:t>Background</w:t>
      </w:r>
      <w:r w:rsidRPr="006C26E8">
        <w:rPr>
          <w:rFonts w:ascii="Times New Roman" w:hAnsi="Times New Roman" w:cs="Times New Roman"/>
          <w:b/>
          <w:bCs/>
        </w:rPr>
        <w:t xml:space="preserve"> </w:t>
      </w:r>
    </w:p>
    <w:p w14:paraId="473EB0F2" w14:textId="77777777" w:rsidR="00FE4293" w:rsidRDefault="00FE4293" w:rsidP="006C26E8">
      <w:pPr>
        <w:pStyle w:val="Default"/>
        <w:jc w:val="both"/>
        <w:rPr>
          <w:rFonts w:ascii="Times New Roman" w:hAnsi="Times New Roman" w:cs="Times New Roman"/>
        </w:rPr>
      </w:pPr>
    </w:p>
    <w:p w14:paraId="0793B94E" w14:textId="2D9A1E3E" w:rsidR="00C40695" w:rsidRDefault="00840CD7" w:rsidP="00840CD7">
      <w:pPr>
        <w:pStyle w:val="Default"/>
        <w:jc w:val="both"/>
        <w:rPr>
          <w:rFonts w:ascii="Times New Roman" w:hAnsi="Times New Roman" w:cs="Times New Roman"/>
        </w:rPr>
      </w:pPr>
      <w:r>
        <w:rPr>
          <w:rFonts w:ascii="Times New Roman" w:hAnsi="Times New Roman" w:cs="Times New Roman"/>
        </w:rPr>
        <w:t xml:space="preserve">In March 2019 the Tate </w:t>
      </w:r>
      <w:r w:rsidR="002551DB">
        <w:rPr>
          <w:rFonts w:ascii="Times New Roman" w:hAnsi="Times New Roman" w:cs="Times New Roman"/>
        </w:rPr>
        <w:t>Gall</w:t>
      </w:r>
      <w:r>
        <w:rPr>
          <w:rFonts w:ascii="Times New Roman" w:hAnsi="Times New Roman" w:cs="Times New Roman"/>
        </w:rPr>
        <w:t>er</w:t>
      </w:r>
      <w:r w:rsidR="002551DB">
        <w:rPr>
          <w:rFonts w:ascii="Times New Roman" w:hAnsi="Times New Roman" w:cs="Times New Roman"/>
        </w:rPr>
        <w:t>ies</w:t>
      </w:r>
      <w:r>
        <w:rPr>
          <w:rFonts w:ascii="Times New Roman" w:hAnsi="Times New Roman" w:cs="Times New Roman"/>
        </w:rPr>
        <w:t xml:space="preserve"> </w:t>
      </w:r>
      <w:r w:rsidR="00A91CFB">
        <w:rPr>
          <w:rFonts w:ascii="Times New Roman" w:hAnsi="Times New Roman" w:cs="Times New Roman"/>
        </w:rPr>
        <w:t xml:space="preserve">took the unusual step of refusing </w:t>
      </w:r>
      <w:r w:rsidR="002551DB">
        <w:rPr>
          <w:rFonts w:ascii="Times New Roman" w:hAnsi="Times New Roman" w:cs="Times New Roman"/>
        </w:rPr>
        <w:t xml:space="preserve">further </w:t>
      </w:r>
      <w:r>
        <w:rPr>
          <w:rFonts w:ascii="Times New Roman" w:hAnsi="Times New Roman" w:cs="Times New Roman"/>
        </w:rPr>
        <w:t xml:space="preserve">donations from the </w:t>
      </w:r>
      <w:r w:rsidR="00A91CFB">
        <w:rPr>
          <w:rFonts w:ascii="Times New Roman" w:hAnsi="Times New Roman" w:cs="Times New Roman"/>
        </w:rPr>
        <w:t xml:space="preserve">Sackler family, owners </w:t>
      </w:r>
      <w:r>
        <w:rPr>
          <w:rFonts w:ascii="Times New Roman" w:hAnsi="Times New Roman" w:cs="Times New Roman"/>
        </w:rPr>
        <w:t xml:space="preserve">of Purdue Pharma, </w:t>
      </w:r>
      <w:r w:rsidR="00A91CFB">
        <w:rPr>
          <w:rFonts w:ascii="Times New Roman" w:hAnsi="Times New Roman" w:cs="Times New Roman"/>
        </w:rPr>
        <w:t xml:space="preserve">in the </w:t>
      </w:r>
      <w:r w:rsidR="00583092">
        <w:rPr>
          <w:rFonts w:ascii="Times New Roman" w:hAnsi="Times New Roman" w:cs="Times New Roman"/>
        </w:rPr>
        <w:t>face</w:t>
      </w:r>
      <w:r w:rsidR="00A91CFB">
        <w:rPr>
          <w:rFonts w:ascii="Times New Roman" w:hAnsi="Times New Roman" w:cs="Times New Roman"/>
        </w:rPr>
        <w:t xml:space="preserve"> of </w:t>
      </w:r>
      <w:r w:rsidR="00583092">
        <w:rPr>
          <w:rFonts w:ascii="Times New Roman" w:hAnsi="Times New Roman" w:cs="Times New Roman"/>
        </w:rPr>
        <w:t xml:space="preserve">ongoing legal action </w:t>
      </w:r>
      <w:r w:rsidR="00A91CFB">
        <w:rPr>
          <w:rFonts w:ascii="Times New Roman" w:hAnsi="Times New Roman" w:cs="Times New Roman"/>
        </w:rPr>
        <w:t xml:space="preserve">against the firm </w:t>
      </w:r>
      <w:r w:rsidR="00583092">
        <w:rPr>
          <w:rFonts w:ascii="Times New Roman" w:hAnsi="Times New Roman" w:cs="Times New Roman"/>
        </w:rPr>
        <w:t>over the</w:t>
      </w:r>
      <w:r w:rsidR="00A31B58">
        <w:rPr>
          <w:rFonts w:ascii="Times New Roman" w:hAnsi="Times New Roman" w:cs="Times New Roman"/>
        </w:rPr>
        <w:t>ir</w:t>
      </w:r>
      <w:r w:rsidR="00583092">
        <w:rPr>
          <w:rFonts w:ascii="Times New Roman" w:hAnsi="Times New Roman" w:cs="Times New Roman"/>
        </w:rPr>
        <w:t xml:space="preserve"> production and </w:t>
      </w:r>
      <w:r w:rsidR="00A31B58">
        <w:rPr>
          <w:rFonts w:ascii="Times New Roman" w:hAnsi="Times New Roman" w:cs="Times New Roman"/>
        </w:rPr>
        <w:t xml:space="preserve">the public’s subsequent </w:t>
      </w:r>
      <w:r w:rsidR="00583092">
        <w:rPr>
          <w:rFonts w:ascii="Times New Roman" w:hAnsi="Times New Roman" w:cs="Times New Roman"/>
        </w:rPr>
        <w:t xml:space="preserve">misuse of OxyContin </w:t>
      </w:r>
      <w:r>
        <w:rPr>
          <w:rFonts w:ascii="Times New Roman" w:hAnsi="Times New Roman" w:cs="Times New Roman"/>
        </w:rPr>
        <w:t xml:space="preserve">(BBC, 2019). Oxycontin was launched in the mid-1990s as a </w:t>
      </w:r>
      <w:r w:rsidR="00C40695">
        <w:rPr>
          <w:rFonts w:ascii="Times New Roman" w:hAnsi="Times New Roman" w:cs="Times New Roman"/>
        </w:rPr>
        <w:t xml:space="preserve">new opioid </w:t>
      </w:r>
      <w:r>
        <w:rPr>
          <w:rFonts w:ascii="Times New Roman" w:hAnsi="Times New Roman" w:cs="Times New Roman"/>
        </w:rPr>
        <w:t xml:space="preserve">painkiller, produced </w:t>
      </w:r>
      <w:r w:rsidR="00583092">
        <w:rPr>
          <w:rFonts w:ascii="Times New Roman" w:hAnsi="Times New Roman" w:cs="Times New Roman"/>
        </w:rPr>
        <w:t xml:space="preserve">in </w:t>
      </w:r>
      <w:r>
        <w:rPr>
          <w:rFonts w:ascii="Times New Roman" w:hAnsi="Times New Roman" w:cs="Times New Roman"/>
        </w:rPr>
        <w:t xml:space="preserve">greater strength </w:t>
      </w:r>
      <w:r w:rsidR="00583092">
        <w:rPr>
          <w:rFonts w:ascii="Times New Roman" w:hAnsi="Times New Roman" w:cs="Times New Roman"/>
        </w:rPr>
        <w:t xml:space="preserve">to be </w:t>
      </w:r>
      <w:r w:rsidR="00DC08BA">
        <w:rPr>
          <w:rFonts w:ascii="Times New Roman" w:hAnsi="Times New Roman" w:cs="Times New Roman"/>
        </w:rPr>
        <w:t xml:space="preserve">a </w:t>
      </w:r>
      <w:r w:rsidR="00583092">
        <w:rPr>
          <w:rFonts w:ascii="Times New Roman" w:hAnsi="Times New Roman" w:cs="Times New Roman"/>
        </w:rPr>
        <w:t xml:space="preserve">longer lasting </w:t>
      </w:r>
      <w:r w:rsidR="00DC08BA">
        <w:rPr>
          <w:rFonts w:ascii="Times New Roman" w:hAnsi="Times New Roman" w:cs="Times New Roman"/>
        </w:rPr>
        <w:t xml:space="preserve">version of </w:t>
      </w:r>
      <w:r>
        <w:rPr>
          <w:rFonts w:ascii="Times New Roman" w:hAnsi="Times New Roman" w:cs="Times New Roman"/>
        </w:rPr>
        <w:t xml:space="preserve">the underlying molecule </w:t>
      </w:r>
      <w:proofErr w:type="spellStart"/>
      <w:r>
        <w:rPr>
          <w:rFonts w:ascii="Times New Roman" w:hAnsi="Times New Roman" w:cs="Times New Roman"/>
        </w:rPr>
        <w:t>oxoycodone</w:t>
      </w:r>
      <w:proofErr w:type="spellEnd"/>
      <w:r w:rsidR="002551DB">
        <w:rPr>
          <w:rFonts w:ascii="Times New Roman" w:hAnsi="Times New Roman" w:cs="Times New Roman"/>
        </w:rPr>
        <w:t>, its primary indication was the relief of pain in cancer patients.</w:t>
      </w:r>
      <w:r>
        <w:rPr>
          <w:rFonts w:ascii="Times New Roman" w:hAnsi="Times New Roman" w:cs="Times New Roman"/>
        </w:rPr>
        <w:t xml:space="preserve"> </w:t>
      </w:r>
      <w:r w:rsidR="00583092">
        <w:rPr>
          <w:rFonts w:ascii="Times New Roman" w:hAnsi="Times New Roman" w:cs="Times New Roman"/>
        </w:rPr>
        <w:t xml:space="preserve">By the year 2000 </w:t>
      </w:r>
      <w:r>
        <w:rPr>
          <w:rFonts w:ascii="Times New Roman" w:hAnsi="Times New Roman" w:cs="Times New Roman"/>
        </w:rPr>
        <w:t>Oxy</w:t>
      </w:r>
      <w:r w:rsidR="00583092">
        <w:rPr>
          <w:rFonts w:ascii="Times New Roman" w:hAnsi="Times New Roman" w:cs="Times New Roman"/>
        </w:rPr>
        <w:t>C</w:t>
      </w:r>
      <w:r>
        <w:rPr>
          <w:rFonts w:ascii="Times New Roman" w:hAnsi="Times New Roman" w:cs="Times New Roman"/>
        </w:rPr>
        <w:t xml:space="preserve">ontin </w:t>
      </w:r>
      <w:r w:rsidR="00583092">
        <w:rPr>
          <w:rFonts w:ascii="Times New Roman" w:hAnsi="Times New Roman" w:cs="Times New Roman"/>
        </w:rPr>
        <w:t>was linked to addi</w:t>
      </w:r>
      <w:r w:rsidR="002C3CF8">
        <w:rPr>
          <w:rFonts w:ascii="Times New Roman" w:hAnsi="Times New Roman" w:cs="Times New Roman"/>
        </w:rPr>
        <w:t>c</w:t>
      </w:r>
      <w:r w:rsidR="00583092">
        <w:rPr>
          <w:rFonts w:ascii="Times New Roman" w:hAnsi="Times New Roman" w:cs="Times New Roman"/>
        </w:rPr>
        <w:t xml:space="preserve">tion and crime (Pacheco 2002), and the drug </w:t>
      </w:r>
      <w:r w:rsidR="00A91CFB">
        <w:rPr>
          <w:rFonts w:ascii="Times New Roman" w:hAnsi="Times New Roman" w:cs="Times New Roman"/>
        </w:rPr>
        <w:t xml:space="preserve">together with other new painkillers such as </w:t>
      </w:r>
      <w:r w:rsidR="002C3CF8">
        <w:rPr>
          <w:rFonts w:ascii="Times New Roman" w:hAnsi="Times New Roman" w:cs="Times New Roman"/>
        </w:rPr>
        <w:t>F</w:t>
      </w:r>
      <w:r w:rsidR="00A91CFB">
        <w:rPr>
          <w:rFonts w:ascii="Times New Roman" w:hAnsi="Times New Roman" w:cs="Times New Roman"/>
        </w:rPr>
        <w:t xml:space="preserve">entanyl have </w:t>
      </w:r>
      <w:r w:rsidR="00583092">
        <w:rPr>
          <w:rFonts w:ascii="Times New Roman" w:hAnsi="Times New Roman" w:cs="Times New Roman"/>
        </w:rPr>
        <w:t xml:space="preserve">been </w:t>
      </w:r>
      <w:r>
        <w:rPr>
          <w:rFonts w:ascii="Times New Roman" w:hAnsi="Times New Roman" w:cs="Times New Roman"/>
        </w:rPr>
        <w:t xml:space="preserve">criticised for contributing to </w:t>
      </w:r>
      <w:r w:rsidR="00C40695">
        <w:rPr>
          <w:rFonts w:ascii="Times New Roman" w:hAnsi="Times New Roman" w:cs="Times New Roman"/>
        </w:rPr>
        <w:t xml:space="preserve">widespread </w:t>
      </w:r>
      <w:r>
        <w:rPr>
          <w:rFonts w:ascii="Times New Roman" w:hAnsi="Times New Roman" w:cs="Times New Roman"/>
        </w:rPr>
        <w:t>recreational</w:t>
      </w:r>
      <w:r w:rsidR="00C40695">
        <w:rPr>
          <w:rFonts w:ascii="Times New Roman" w:hAnsi="Times New Roman" w:cs="Times New Roman"/>
        </w:rPr>
        <w:t xml:space="preserve"> </w:t>
      </w:r>
      <w:r w:rsidR="005842A9">
        <w:rPr>
          <w:rFonts w:ascii="Times New Roman" w:hAnsi="Times New Roman" w:cs="Times New Roman"/>
        </w:rPr>
        <w:t xml:space="preserve">abuse of </w:t>
      </w:r>
      <w:r w:rsidR="00A91CFB">
        <w:rPr>
          <w:rFonts w:ascii="Times New Roman" w:hAnsi="Times New Roman" w:cs="Times New Roman"/>
        </w:rPr>
        <w:t>opioids</w:t>
      </w:r>
      <w:r w:rsidR="00C40695">
        <w:rPr>
          <w:rFonts w:ascii="Times New Roman" w:hAnsi="Times New Roman" w:cs="Times New Roman"/>
        </w:rPr>
        <w:t>, as well as an upsurge</w:t>
      </w:r>
      <w:r>
        <w:rPr>
          <w:rFonts w:ascii="Times New Roman" w:hAnsi="Times New Roman" w:cs="Times New Roman"/>
        </w:rPr>
        <w:t xml:space="preserve"> </w:t>
      </w:r>
      <w:r w:rsidR="00C40695">
        <w:rPr>
          <w:rFonts w:ascii="Times New Roman" w:hAnsi="Times New Roman" w:cs="Times New Roman"/>
        </w:rPr>
        <w:t xml:space="preserve">in </w:t>
      </w:r>
      <w:r>
        <w:rPr>
          <w:rFonts w:ascii="Times New Roman" w:hAnsi="Times New Roman" w:cs="Times New Roman"/>
        </w:rPr>
        <w:t>accidental overdoses</w:t>
      </w:r>
      <w:r w:rsidR="00C40695">
        <w:rPr>
          <w:rFonts w:ascii="Times New Roman" w:hAnsi="Times New Roman" w:cs="Times New Roman"/>
        </w:rPr>
        <w:t xml:space="preserve"> and deaths</w:t>
      </w:r>
      <w:r w:rsidR="00A91CFB">
        <w:rPr>
          <w:rFonts w:ascii="Times New Roman" w:hAnsi="Times New Roman" w:cs="Times New Roman"/>
        </w:rPr>
        <w:t>.</w:t>
      </w:r>
      <w:r w:rsidR="00C40695">
        <w:rPr>
          <w:rFonts w:ascii="Times New Roman" w:hAnsi="Times New Roman" w:cs="Times New Roman"/>
        </w:rPr>
        <w:t xml:space="preserve"> </w:t>
      </w:r>
    </w:p>
    <w:p w14:paraId="1C36EAA2" w14:textId="77777777" w:rsidR="00C40695" w:rsidRDefault="00C40695" w:rsidP="00840CD7">
      <w:pPr>
        <w:pStyle w:val="Default"/>
        <w:jc w:val="both"/>
        <w:rPr>
          <w:rFonts w:ascii="Times New Roman" w:hAnsi="Times New Roman" w:cs="Times New Roman"/>
        </w:rPr>
      </w:pPr>
    </w:p>
    <w:p w14:paraId="68892C60" w14:textId="4902ED42" w:rsidR="00DC08BA" w:rsidRDefault="00A91CFB" w:rsidP="00DC08BA">
      <w:pPr>
        <w:pStyle w:val="Default"/>
        <w:jc w:val="both"/>
        <w:rPr>
          <w:rFonts w:ascii="Times New Roman" w:hAnsi="Times New Roman" w:cs="Times New Roman"/>
        </w:rPr>
      </w:pPr>
      <w:r>
        <w:rPr>
          <w:rFonts w:ascii="Times New Roman" w:hAnsi="Times New Roman" w:cs="Times New Roman"/>
        </w:rPr>
        <w:t>How did all this start? OxyContin is a prescription</w:t>
      </w:r>
      <w:r w:rsidR="00A31B58">
        <w:rPr>
          <w:rFonts w:ascii="Times New Roman" w:hAnsi="Times New Roman" w:cs="Times New Roman"/>
        </w:rPr>
        <w:t xml:space="preserve"> pharmaceutical</w:t>
      </w:r>
      <w:r>
        <w:rPr>
          <w:rFonts w:ascii="Times New Roman" w:hAnsi="Times New Roman" w:cs="Times New Roman"/>
        </w:rPr>
        <w:t xml:space="preserve">, so </w:t>
      </w:r>
      <w:r w:rsidR="00C40695">
        <w:rPr>
          <w:rFonts w:ascii="Times New Roman" w:hAnsi="Times New Roman" w:cs="Times New Roman"/>
        </w:rPr>
        <w:t xml:space="preserve">it </w:t>
      </w:r>
      <w:r>
        <w:rPr>
          <w:rFonts w:ascii="Times New Roman" w:hAnsi="Times New Roman" w:cs="Times New Roman"/>
        </w:rPr>
        <w:t xml:space="preserve">requires that a physician </w:t>
      </w:r>
      <w:r w:rsidR="00C40695">
        <w:rPr>
          <w:rFonts w:ascii="Times New Roman" w:hAnsi="Times New Roman" w:cs="Times New Roman"/>
        </w:rPr>
        <w:t xml:space="preserve">adopt the drug in their </w:t>
      </w:r>
      <w:r w:rsidR="00A31B58">
        <w:rPr>
          <w:rFonts w:ascii="Times New Roman" w:hAnsi="Times New Roman" w:cs="Times New Roman"/>
        </w:rPr>
        <w:t>prescribing</w:t>
      </w:r>
      <w:r w:rsidR="00DC08BA">
        <w:rPr>
          <w:rFonts w:ascii="Times New Roman" w:hAnsi="Times New Roman" w:cs="Times New Roman"/>
        </w:rPr>
        <w:t xml:space="preserve"> </w:t>
      </w:r>
      <w:r w:rsidR="00C40695">
        <w:rPr>
          <w:rFonts w:ascii="Times New Roman" w:hAnsi="Times New Roman" w:cs="Times New Roman"/>
        </w:rPr>
        <w:t xml:space="preserve">repertoire before it can become accessible to patients. </w:t>
      </w:r>
      <w:r w:rsidR="002551DB">
        <w:rPr>
          <w:rFonts w:ascii="Times New Roman" w:hAnsi="Times New Roman" w:cs="Times New Roman"/>
        </w:rPr>
        <w:t>P</w:t>
      </w:r>
      <w:r w:rsidR="00C40695">
        <w:rPr>
          <w:rFonts w:ascii="Times New Roman" w:hAnsi="Times New Roman" w:cs="Times New Roman"/>
        </w:rPr>
        <w:t>hysicians experience a variety of influences before first prescribing a new drug</w:t>
      </w:r>
      <w:r w:rsidR="002C3CF8">
        <w:rPr>
          <w:rFonts w:ascii="Times New Roman" w:hAnsi="Times New Roman" w:cs="Times New Roman"/>
        </w:rPr>
        <w:t>, and t</w:t>
      </w:r>
      <w:r w:rsidR="00A31B58">
        <w:rPr>
          <w:rFonts w:ascii="Times New Roman" w:hAnsi="Times New Roman" w:cs="Times New Roman"/>
        </w:rPr>
        <w:t xml:space="preserve">hese </w:t>
      </w:r>
      <w:r w:rsidR="00C40695">
        <w:rPr>
          <w:rFonts w:ascii="Times New Roman" w:hAnsi="Times New Roman" w:cs="Times New Roman"/>
        </w:rPr>
        <w:t xml:space="preserve">influences on innovative prescribing behaviour have been much studied from the early seminal work of Coleman, Katz and Menzel (1957) onwards (e.g. see Iyengar, Van den </w:t>
      </w:r>
      <w:proofErr w:type="spellStart"/>
      <w:r w:rsidR="00C40695">
        <w:rPr>
          <w:rFonts w:ascii="Times New Roman" w:hAnsi="Times New Roman" w:cs="Times New Roman"/>
        </w:rPr>
        <w:t>Bulte</w:t>
      </w:r>
      <w:proofErr w:type="spellEnd"/>
      <w:r w:rsidR="00C40695">
        <w:rPr>
          <w:rFonts w:ascii="Times New Roman" w:hAnsi="Times New Roman" w:cs="Times New Roman"/>
        </w:rPr>
        <w:t xml:space="preserve"> &amp; Lee, 2015, Stern and Wright 2016)</w:t>
      </w:r>
      <w:r w:rsidR="00DC08BA">
        <w:rPr>
          <w:rFonts w:ascii="Times New Roman" w:hAnsi="Times New Roman" w:cs="Times New Roman"/>
        </w:rPr>
        <w:t>.</w:t>
      </w:r>
    </w:p>
    <w:p w14:paraId="2E609C6B" w14:textId="77777777" w:rsidR="00DC08BA" w:rsidRDefault="00DC08BA" w:rsidP="00DC08BA">
      <w:pPr>
        <w:pStyle w:val="Default"/>
        <w:jc w:val="both"/>
        <w:rPr>
          <w:rFonts w:ascii="Times New Roman" w:hAnsi="Times New Roman" w:cs="Times New Roman"/>
        </w:rPr>
      </w:pPr>
    </w:p>
    <w:p w14:paraId="5687683D" w14:textId="74506704" w:rsidR="00C40695" w:rsidRPr="00DC08BA" w:rsidRDefault="00DC08BA" w:rsidP="00DC08BA">
      <w:pPr>
        <w:pStyle w:val="Default"/>
        <w:jc w:val="both"/>
        <w:rPr>
          <w:rFonts w:ascii="Times New Roman" w:hAnsi="Times New Roman" w:cs="Times New Roman"/>
        </w:rPr>
      </w:pPr>
      <w:r>
        <w:rPr>
          <w:rFonts w:ascii="Times New Roman" w:hAnsi="Times New Roman" w:cs="Times New Roman"/>
        </w:rPr>
        <w:t xml:space="preserve">The influences on prescriptions can be usefully framed in terms of two-step flow (Katz &amp; </w:t>
      </w:r>
      <w:proofErr w:type="spellStart"/>
      <w:r>
        <w:rPr>
          <w:rFonts w:ascii="Times New Roman" w:hAnsi="Times New Roman" w:cs="Times New Roman"/>
        </w:rPr>
        <w:t>Lazarsfeld</w:t>
      </w:r>
      <w:proofErr w:type="spellEnd"/>
      <w:r>
        <w:rPr>
          <w:rFonts w:ascii="Times New Roman" w:hAnsi="Times New Roman" w:cs="Times New Roman"/>
        </w:rPr>
        <w:t xml:space="preserve">, 1955) in which an initial adopter is influenced by ideas outside the social system, and then spreads influence using their connections within the social system.  Similar ideas can be found in Roger’s work on Diffusion of Innovations (Rogers 1962) and the Bass Diffusion model (Bass 1967). </w:t>
      </w:r>
      <w:r w:rsidR="008066DE">
        <w:rPr>
          <w:rFonts w:ascii="Times New Roman" w:hAnsi="Times New Roman" w:cs="Times New Roman"/>
        </w:rPr>
        <w:t xml:space="preserve">In a similar vein, </w:t>
      </w:r>
      <w:proofErr w:type="spellStart"/>
      <w:r w:rsidRPr="00DC08BA">
        <w:rPr>
          <w:rFonts w:ascii="Times New Roman" w:hAnsi="Times New Roman" w:cs="Times New Roman"/>
          <w:lang w:val="en-US"/>
        </w:rPr>
        <w:t>Lublóy</w:t>
      </w:r>
      <w:proofErr w:type="spellEnd"/>
      <w:r>
        <w:rPr>
          <w:rFonts w:ascii="Times New Roman" w:hAnsi="Times New Roman" w:cs="Times New Roman"/>
          <w:lang w:val="en-US"/>
        </w:rPr>
        <w:t xml:space="preserve"> (2014) in a systematic review of pharmaceutical innovation diffusion note</w:t>
      </w:r>
      <w:r w:rsidR="002551DB">
        <w:rPr>
          <w:rFonts w:ascii="Times New Roman" w:hAnsi="Times New Roman" w:cs="Times New Roman"/>
          <w:lang w:val="en-US"/>
        </w:rPr>
        <w:t>s</w:t>
      </w:r>
      <w:r>
        <w:rPr>
          <w:rFonts w:ascii="Times New Roman" w:hAnsi="Times New Roman" w:cs="Times New Roman"/>
          <w:lang w:val="en-US"/>
        </w:rPr>
        <w:t xml:space="preserve"> the initial influence as being micro-level, to do with physician characteristics, followed by </w:t>
      </w:r>
      <w:r w:rsidR="005842A9">
        <w:rPr>
          <w:rFonts w:ascii="Times New Roman" w:hAnsi="Times New Roman" w:cs="Times New Roman"/>
          <w:lang w:val="en-US"/>
        </w:rPr>
        <w:t xml:space="preserve">the spread of influence </w:t>
      </w:r>
      <w:r>
        <w:rPr>
          <w:rFonts w:ascii="Times New Roman" w:hAnsi="Times New Roman" w:cs="Times New Roman"/>
          <w:lang w:val="en-US"/>
        </w:rPr>
        <w:t xml:space="preserve">at </w:t>
      </w:r>
      <w:r w:rsidR="005842A9">
        <w:rPr>
          <w:rFonts w:ascii="Times New Roman" w:hAnsi="Times New Roman" w:cs="Times New Roman"/>
          <w:lang w:val="en-US"/>
        </w:rPr>
        <w:t xml:space="preserve">the </w:t>
      </w:r>
      <w:r>
        <w:rPr>
          <w:rFonts w:ascii="Times New Roman" w:hAnsi="Times New Roman" w:cs="Times New Roman"/>
          <w:lang w:val="en-US"/>
        </w:rPr>
        <w:t>macro-level, to do with the flow of ideas within physician network</w:t>
      </w:r>
      <w:r w:rsidR="005842A9">
        <w:rPr>
          <w:rFonts w:ascii="Times New Roman" w:hAnsi="Times New Roman" w:cs="Times New Roman"/>
          <w:lang w:val="en-US"/>
        </w:rPr>
        <w:t>s</w:t>
      </w:r>
      <w:r>
        <w:rPr>
          <w:rFonts w:ascii="Times New Roman" w:hAnsi="Times New Roman" w:cs="Times New Roman"/>
          <w:lang w:val="en-US"/>
        </w:rPr>
        <w:t xml:space="preserve">, and </w:t>
      </w:r>
      <w:r w:rsidR="005842A9">
        <w:rPr>
          <w:rFonts w:ascii="Times New Roman" w:hAnsi="Times New Roman" w:cs="Times New Roman"/>
          <w:lang w:val="en-US"/>
        </w:rPr>
        <w:t>final</w:t>
      </w:r>
      <w:r w:rsidR="002551DB">
        <w:rPr>
          <w:rFonts w:ascii="Times New Roman" w:hAnsi="Times New Roman" w:cs="Times New Roman"/>
          <w:lang w:val="en-US"/>
        </w:rPr>
        <w:t>ly</w:t>
      </w:r>
      <w:r w:rsidR="005842A9">
        <w:rPr>
          <w:rFonts w:ascii="Times New Roman" w:hAnsi="Times New Roman" w:cs="Times New Roman"/>
          <w:lang w:val="en-US"/>
        </w:rPr>
        <w:t xml:space="preserve"> </w:t>
      </w:r>
      <w:r w:rsidR="002551DB">
        <w:rPr>
          <w:rFonts w:ascii="Times New Roman" w:hAnsi="Times New Roman" w:cs="Times New Roman"/>
          <w:lang w:val="en-US"/>
        </w:rPr>
        <w:t>at</w:t>
      </w:r>
      <w:r w:rsidR="005842A9">
        <w:rPr>
          <w:rFonts w:ascii="Times New Roman" w:hAnsi="Times New Roman" w:cs="Times New Roman"/>
          <w:lang w:val="en-US"/>
        </w:rPr>
        <w:t xml:space="preserve"> the broader </w:t>
      </w:r>
      <w:r w:rsidR="002551DB">
        <w:rPr>
          <w:rFonts w:ascii="Times New Roman" w:hAnsi="Times New Roman" w:cs="Times New Roman"/>
          <w:lang w:val="en-US"/>
        </w:rPr>
        <w:t xml:space="preserve">‘meso-level’ </w:t>
      </w:r>
      <w:r>
        <w:rPr>
          <w:rFonts w:ascii="Times New Roman" w:hAnsi="Times New Roman" w:cs="Times New Roman"/>
          <w:lang w:val="en-US"/>
        </w:rPr>
        <w:t xml:space="preserve">economic and policy environment. </w:t>
      </w:r>
    </w:p>
    <w:p w14:paraId="635B2657" w14:textId="3ADACAD9" w:rsidR="00DC08BA" w:rsidRDefault="00DC08BA" w:rsidP="00DC08BA">
      <w:pPr>
        <w:pStyle w:val="Default"/>
        <w:jc w:val="both"/>
        <w:rPr>
          <w:rFonts w:ascii="Times New Roman" w:hAnsi="Times New Roman" w:cs="Times New Roman"/>
        </w:rPr>
      </w:pPr>
    </w:p>
    <w:p w14:paraId="198ADFE5" w14:textId="1402F746" w:rsidR="00DC08BA" w:rsidRDefault="00DC08BA" w:rsidP="005842A9">
      <w:pPr>
        <w:pStyle w:val="Default"/>
        <w:jc w:val="both"/>
        <w:rPr>
          <w:rFonts w:ascii="Times New Roman" w:hAnsi="Times New Roman" w:cs="Times New Roman"/>
          <w:lang w:val="en-US"/>
        </w:rPr>
      </w:pPr>
      <w:r>
        <w:rPr>
          <w:rFonts w:ascii="Times New Roman" w:hAnsi="Times New Roman" w:cs="Times New Roman"/>
        </w:rPr>
        <w:t>We do not study the meso-level in the present research</w:t>
      </w:r>
      <w:r w:rsidR="005842A9">
        <w:rPr>
          <w:rFonts w:ascii="Times New Roman" w:hAnsi="Times New Roman" w:cs="Times New Roman"/>
        </w:rPr>
        <w:t>. Further, q</w:t>
      </w:r>
      <w:r>
        <w:rPr>
          <w:rFonts w:ascii="Times New Roman" w:hAnsi="Times New Roman" w:cs="Times New Roman"/>
        </w:rPr>
        <w:t>uite a lot is already known about macro-level diffusion among physician networks (</w:t>
      </w:r>
      <w:r w:rsidR="008066DE">
        <w:rPr>
          <w:rFonts w:ascii="Times New Roman" w:hAnsi="Times New Roman" w:cs="Times New Roman"/>
        </w:rPr>
        <w:t xml:space="preserve">see </w:t>
      </w:r>
      <w:r w:rsidRPr="00DC08BA">
        <w:rPr>
          <w:rFonts w:ascii="Times New Roman" w:hAnsi="Times New Roman" w:cs="Times New Roman"/>
          <w:lang w:val="en-US"/>
        </w:rPr>
        <w:t>Manchanda et al. 2008; Iyengar et al. 2011; Liu and Gupta, 2012; Iyengar et al. 2015</w:t>
      </w:r>
      <w:r>
        <w:rPr>
          <w:rFonts w:ascii="Times New Roman" w:hAnsi="Times New Roman" w:cs="Times New Roman"/>
          <w:lang w:val="en-US"/>
        </w:rPr>
        <w:t>). However, much less is known about micro-level effects</w:t>
      </w:r>
      <w:r w:rsidR="008066DE">
        <w:rPr>
          <w:rFonts w:ascii="Times New Roman" w:hAnsi="Times New Roman" w:cs="Times New Roman"/>
          <w:lang w:val="en-US"/>
        </w:rPr>
        <w:t xml:space="preserve"> such as innovator characteristics </w:t>
      </w:r>
      <w:r w:rsidR="00E607DA">
        <w:rPr>
          <w:rFonts w:ascii="Times New Roman" w:hAnsi="Times New Roman" w:cs="Times New Roman"/>
          <w:lang w:val="en-US"/>
        </w:rPr>
        <w:t xml:space="preserve">which </w:t>
      </w:r>
      <w:r w:rsidR="008066DE">
        <w:rPr>
          <w:rFonts w:ascii="Times New Roman" w:hAnsi="Times New Roman" w:cs="Times New Roman"/>
          <w:lang w:val="en-US"/>
        </w:rPr>
        <w:t xml:space="preserve">show mixed or </w:t>
      </w:r>
      <w:r>
        <w:rPr>
          <w:rFonts w:ascii="Times New Roman" w:hAnsi="Times New Roman" w:cs="Times New Roman"/>
          <w:lang w:val="en-US"/>
        </w:rPr>
        <w:t xml:space="preserve">contradictory </w:t>
      </w:r>
      <w:r w:rsidR="008066DE">
        <w:rPr>
          <w:rFonts w:ascii="Times New Roman" w:hAnsi="Times New Roman" w:cs="Times New Roman"/>
          <w:lang w:val="en-US"/>
        </w:rPr>
        <w:t xml:space="preserve">findings </w:t>
      </w:r>
      <w:r>
        <w:rPr>
          <w:rFonts w:ascii="Times New Roman" w:hAnsi="Times New Roman" w:cs="Times New Roman"/>
          <w:lang w:val="en-US"/>
        </w:rPr>
        <w:t>for both pharmace</w:t>
      </w:r>
      <w:r w:rsidR="008066DE">
        <w:rPr>
          <w:rFonts w:ascii="Times New Roman" w:hAnsi="Times New Roman" w:cs="Times New Roman"/>
          <w:lang w:val="en-US"/>
        </w:rPr>
        <w:t>u</w:t>
      </w:r>
      <w:r>
        <w:rPr>
          <w:rFonts w:ascii="Times New Roman" w:hAnsi="Times New Roman" w:cs="Times New Roman"/>
          <w:lang w:val="en-US"/>
        </w:rPr>
        <w:t>ticals (</w:t>
      </w:r>
      <w:proofErr w:type="spellStart"/>
      <w:r w:rsidRPr="00DC08BA">
        <w:rPr>
          <w:rFonts w:ascii="Times New Roman" w:hAnsi="Times New Roman" w:cs="Times New Roman"/>
          <w:lang w:val="en-US"/>
        </w:rPr>
        <w:t>Lublóy</w:t>
      </w:r>
      <w:proofErr w:type="spellEnd"/>
      <w:r>
        <w:rPr>
          <w:rFonts w:ascii="Times New Roman" w:hAnsi="Times New Roman" w:cs="Times New Roman"/>
          <w:lang w:val="en-US"/>
        </w:rPr>
        <w:t xml:space="preserve">, 2014) and consumer products (Bartels and Reinders, 2011). </w:t>
      </w:r>
      <w:r w:rsidR="005842A9">
        <w:rPr>
          <w:rFonts w:ascii="Times New Roman" w:hAnsi="Times New Roman" w:cs="Times New Roman"/>
          <w:lang w:val="en-US"/>
        </w:rPr>
        <w:t xml:space="preserve">These contradictory findings may reflect differences between </w:t>
      </w:r>
      <w:r w:rsidR="00E607DA">
        <w:rPr>
          <w:rFonts w:ascii="Times New Roman" w:hAnsi="Times New Roman" w:cs="Times New Roman"/>
          <w:lang w:val="en-US"/>
        </w:rPr>
        <w:t>products</w:t>
      </w:r>
      <w:r w:rsidR="005842A9">
        <w:rPr>
          <w:rFonts w:ascii="Times New Roman" w:hAnsi="Times New Roman" w:cs="Times New Roman"/>
          <w:lang w:val="en-US"/>
        </w:rPr>
        <w:t xml:space="preserve">, </w:t>
      </w:r>
      <w:r w:rsidR="002C3CF8">
        <w:rPr>
          <w:rFonts w:ascii="Times New Roman" w:hAnsi="Times New Roman" w:cs="Times New Roman"/>
          <w:lang w:val="en-US"/>
        </w:rPr>
        <w:t>but</w:t>
      </w:r>
      <w:r w:rsidR="005842A9">
        <w:rPr>
          <w:rFonts w:ascii="Times New Roman" w:hAnsi="Times New Roman" w:cs="Times New Roman"/>
          <w:lang w:val="en-US"/>
        </w:rPr>
        <w:t xml:space="preserve"> also misspecification of the mi</w:t>
      </w:r>
      <w:r w:rsidR="008066DE">
        <w:rPr>
          <w:rFonts w:ascii="Times New Roman" w:hAnsi="Times New Roman" w:cs="Times New Roman"/>
          <w:lang w:val="en-US"/>
        </w:rPr>
        <w:t>cr</w:t>
      </w:r>
      <w:r w:rsidR="005842A9">
        <w:rPr>
          <w:rFonts w:ascii="Times New Roman" w:hAnsi="Times New Roman" w:cs="Times New Roman"/>
          <w:lang w:val="en-US"/>
        </w:rPr>
        <w:t>o-level chara</w:t>
      </w:r>
      <w:r w:rsidR="008066DE">
        <w:rPr>
          <w:rFonts w:ascii="Times New Roman" w:hAnsi="Times New Roman" w:cs="Times New Roman"/>
          <w:lang w:val="en-US"/>
        </w:rPr>
        <w:t>c</w:t>
      </w:r>
      <w:r w:rsidR="005842A9">
        <w:rPr>
          <w:rFonts w:ascii="Times New Roman" w:hAnsi="Times New Roman" w:cs="Times New Roman"/>
          <w:lang w:val="en-US"/>
        </w:rPr>
        <w:t xml:space="preserve">teristics linked to initial adoption. </w:t>
      </w:r>
      <w:r>
        <w:rPr>
          <w:rFonts w:ascii="Times New Roman" w:hAnsi="Times New Roman" w:cs="Times New Roman"/>
          <w:lang w:val="en-US"/>
        </w:rPr>
        <w:t xml:space="preserve">Bartels and Reinders </w:t>
      </w:r>
      <w:r w:rsidR="005842A9">
        <w:rPr>
          <w:rFonts w:ascii="Times New Roman" w:hAnsi="Times New Roman" w:cs="Times New Roman"/>
          <w:lang w:val="en-US"/>
        </w:rPr>
        <w:t xml:space="preserve">(2011) address </w:t>
      </w:r>
      <w:r w:rsidR="008066DE">
        <w:rPr>
          <w:rFonts w:ascii="Times New Roman" w:hAnsi="Times New Roman" w:cs="Times New Roman"/>
          <w:lang w:val="en-US"/>
        </w:rPr>
        <w:t xml:space="preserve">the problem of </w:t>
      </w:r>
      <w:r w:rsidR="005842A9">
        <w:rPr>
          <w:rFonts w:ascii="Times New Roman" w:hAnsi="Times New Roman" w:cs="Times New Roman"/>
          <w:lang w:val="en-US"/>
        </w:rPr>
        <w:t xml:space="preserve">mixed findings </w:t>
      </w:r>
      <w:r w:rsidR="008066DE">
        <w:rPr>
          <w:rFonts w:ascii="Times New Roman" w:hAnsi="Times New Roman" w:cs="Times New Roman"/>
          <w:lang w:val="en-US"/>
        </w:rPr>
        <w:t xml:space="preserve">in </w:t>
      </w:r>
      <w:r w:rsidR="005842A9">
        <w:rPr>
          <w:rFonts w:ascii="Times New Roman" w:hAnsi="Times New Roman" w:cs="Times New Roman"/>
          <w:lang w:val="en-US"/>
        </w:rPr>
        <w:t xml:space="preserve">the innovation literature by </w:t>
      </w:r>
      <w:r w:rsidR="008066DE">
        <w:rPr>
          <w:rFonts w:ascii="Times New Roman" w:hAnsi="Times New Roman" w:cs="Times New Roman"/>
          <w:lang w:val="en-US"/>
        </w:rPr>
        <w:t xml:space="preserve">suggesting </w:t>
      </w:r>
      <w:r>
        <w:rPr>
          <w:rFonts w:ascii="Times New Roman" w:hAnsi="Times New Roman" w:cs="Times New Roman"/>
          <w:lang w:val="en-US"/>
        </w:rPr>
        <w:t xml:space="preserve">the construct of innovation </w:t>
      </w:r>
      <w:r w:rsidR="00E607DA">
        <w:rPr>
          <w:rFonts w:ascii="Times New Roman" w:hAnsi="Times New Roman" w:cs="Times New Roman"/>
          <w:lang w:val="en-US"/>
        </w:rPr>
        <w:t xml:space="preserve">be decomposed </w:t>
      </w:r>
      <w:r w:rsidRPr="00DC08BA">
        <w:rPr>
          <w:rFonts w:ascii="Times New Roman" w:hAnsi="Times New Roman" w:cs="Times New Roman"/>
          <w:lang w:val="en-US"/>
        </w:rPr>
        <w:t>into three dimensions</w:t>
      </w:r>
      <w:r w:rsidR="008066DE">
        <w:rPr>
          <w:rFonts w:ascii="Times New Roman" w:hAnsi="Times New Roman" w:cs="Times New Roman"/>
          <w:lang w:val="en-US"/>
        </w:rPr>
        <w:t xml:space="preserve">. These dimensions are </w:t>
      </w:r>
      <w:r w:rsidRPr="00DC08BA">
        <w:rPr>
          <w:rFonts w:ascii="Times New Roman" w:hAnsi="Times New Roman" w:cs="Times New Roman"/>
          <w:lang w:val="en-US"/>
        </w:rPr>
        <w:t>innate innovativeness, domain-specific interest in the product category, and the actual innovative behavior</w:t>
      </w:r>
      <w:r>
        <w:rPr>
          <w:rFonts w:ascii="Times New Roman" w:hAnsi="Times New Roman" w:cs="Times New Roman"/>
          <w:lang w:val="en-US"/>
        </w:rPr>
        <w:t xml:space="preserve">. </w:t>
      </w:r>
      <w:r w:rsidR="005842A9">
        <w:rPr>
          <w:rFonts w:ascii="Times New Roman" w:hAnsi="Times New Roman" w:cs="Times New Roman"/>
          <w:lang w:val="en-US"/>
        </w:rPr>
        <w:t xml:space="preserve">To date, this </w:t>
      </w:r>
      <w:r>
        <w:rPr>
          <w:rFonts w:ascii="Times New Roman" w:hAnsi="Times New Roman" w:cs="Times New Roman"/>
          <w:lang w:val="en-US"/>
        </w:rPr>
        <w:t>conceptualization has not been applied in the literature on pharmaceutical innovation</w:t>
      </w:r>
      <w:r w:rsidR="008066DE">
        <w:rPr>
          <w:rFonts w:ascii="Times New Roman" w:hAnsi="Times New Roman" w:cs="Times New Roman"/>
          <w:lang w:val="en-US"/>
        </w:rPr>
        <w:t>.</w:t>
      </w:r>
    </w:p>
    <w:p w14:paraId="7F97EF7A" w14:textId="02CB0965" w:rsidR="007E387F" w:rsidRDefault="007E387F" w:rsidP="005842A9">
      <w:pPr>
        <w:pStyle w:val="Default"/>
        <w:jc w:val="both"/>
        <w:rPr>
          <w:rFonts w:ascii="Times New Roman" w:hAnsi="Times New Roman" w:cs="Times New Roman"/>
          <w:lang w:val="en-US"/>
        </w:rPr>
      </w:pPr>
    </w:p>
    <w:p w14:paraId="423414B9" w14:textId="34ECB653" w:rsidR="007E387F" w:rsidRPr="007E387F" w:rsidRDefault="007E387F" w:rsidP="005842A9">
      <w:pPr>
        <w:pStyle w:val="Default"/>
        <w:jc w:val="both"/>
        <w:rPr>
          <w:rFonts w:ascii="Times New Roman" w:hAnsi="Times New Roman" w:cs="Times New Roman"/>
          <w:b/>
          <w:lang w:val="en-US"/>
        </w:rPr>
      </w:pPr>
      <w:r w:rsidRPr="007E387F">
        <w:rPr>
          <w:rFonts w:ascii="Times New Roman" w:hAnsi="Times New Roman" w:cs="Times New Roman"/>
          <w:b/>
          <w:lang w:val="en-US"/>
        </w:rPr>
        <w:t>Research Aim</w:t>
      </w:r>
    </w:p>
    <w:p w14:paraId="4BABA845" w14:textId="77777777" w:rsidR="00DC08BA" w:rsidRPr="006C26E8" w:rsidRDefault="00DC08BA" w:rsidP="006C26E8">
      <w:pPr>
        <w:pStyle w:val="Default"/>
        <w:jc w:val="both"/>
        <w:rPr>
          <w:rFonts w:ascii="Times New Roman" w:hAnsi="Times New Roman" w:cs="Times New Roman"/>
        </w:rPr>
      </w:pPr>
    </w:p>
    <w:p w14:paraId="1864FCEF" w14:textId="264E2B61" w:rsidR="005842A9" w:rsidRDefault="006C26E8" w:rsidP="006C26E8">
      <w:pPr>
        <w:pStyle w:val="Default"/>
        <w:jc w:val="both"/>
        <w:rPr>
          <w:rFonts w:ascii="Times New Roman" w:hAnsi="Times New Roman" w:cs="Times New Roman"/>
        </w:rPr>
      </w:pPr>
      <w:r w:rsidRPr="007B2E2B">
        <w:rPr>
          <w:rFonts w:ascii="Times New Roman" w:hAnsi="Times New Roman" w:cs="Times New Roman"/>
        </w:rPr>
        <w:t>The aim of this study is</w:t>
      </w:r>
      <w:r w:rsidR="005842A9">
        <w:rPr>
          <w:rFonts w:ascii="Times New Roman" w:hAnsi="Times New Roman" w:cs="Times New Roman"/>
        </w:rPr>
        <w:t xml:space="preserve"> to investigate the first part of the two-step flow for OxyContin, the initial innovative prescribing behaviour.</w:t>
      </w:r>
      <w:r w:rsidR="008066DE">
        <w:rPr>
          <w:rFonts w:ascii="Times New Roman" w:hAnsi="Times New Roman" w:cs="Times New Roman"/>
        </w:rPr>
        <w:t xml:space="preserve"> </w:t>
      </w:r>
      <w:r w:rsidR="002C3CF8">
        <w:rPr>
          <w:rFonts w:ascii="Times New Roman" w:hAnsi="Times New Roman" w:cs="Times New Roman"/>
        </w:rPr>
        <w:t xml:space="preserve">That is, how did all start? </w:t>
      </w:r>
      <w:r w:rsidR="005842A9">
        <w:rPr>
          <w:rFonts w:ascii="Times New Roman" w:hAnsi="Times New Roman" w:cs="Times New Roman"/>
        </w:rPr>
        <w:t xml:space="preserve">Unlike prior work, the present study </w:t>
      </w:r>
      <w:r w:rsidR="00E607DA">
        <w:rPr>
          <w:rFonts w:ascii="Times New Roman" w:hAnsi="Times New Roman" w:cs="Times New Roman"/>
        </w:rPr>
        <w:t>incorporates</w:t>
      </w:r>
      <w:r w:rsidR="008066DE">
        <w:rPr>
          <w:rFonts w:ascii="Times New Roman" w:hAnsi="Times New Roman" w:cs="Times New Roman"/>
        </w:rPr>
        <w:t xml:space="preserve"> </w:t>
      </w:r>
      <w:proofErr w:type="spellStart"/>
      <w:r w:rsidR="008066DE">
        <w:rPr>
          <w:rFonts w:ascii="Times New Roman" w:hAnsi="Times New Roman" w:cs="Times New Roman"/>
        </w:rPr>
        <w:t>Bartel</w:t>
      </w:r>
      <w:proofErr w:type="spellEnd"/>
      <w:r w:rsidR="008066DE">
        <w:rPr>
          <w:rFonts w:ascii="Times New Roman" w:hAnsi="Times New Roman" w:cs="Times New Roman"/>
        </w:rPr>
        <w:t xml:space="preserve"> and Reinders</w:t>
      </w:r>
      <w:r w:rsidR="002C3CF8">
        <w:rPr>
          <w:rFonts w:ascii="Times New Roman" w:hAnsi="Times New Roman" w:cs="Times New Roman"/>
        </w:rPr>
        <w:t>’</w:t>
      </w:r>
      <w:r w:rsidR="008066DE">
        <w:rPr>
          <w:rFonts w:ascii="Times New Roman" w:hAnsi="Times New Roman" w:cs="Times New Roman"/>
        </w:rPr>
        <w:t xml:space="preserve"> (2011) reconceptualization, including</w:t>
      </w:r>
      <w:r w:rsidR="005842A9">
        <w:rPr>
          <w:rFonts w:ascii="Times New Roman" w:hAnsi="Times New Roman" w:cs="Times New Roman"/>
        </w:rPr>
        <w:t xml:space="preserve"> measures of innate innovativeness and domain-specific innovativeness, </w:t>
      </w:r>
      <w:r w:rsidR="008066DE">
        <w:rPr>
          <w:rFonts w:ascii="Times New Roman" w:hAnsi="Times New Roman" w:cs="Times New Roman"/>
        </w:rPr>
        <w:t xml:space="preserve">as </w:t>
      </w:r>
      <w:r w:rsidR="002C3CF8">
        <w:rPr>
          <w:rFonts w:ascii="Times New Roman" w:hAnsi="Times New Roman" w:cs="Times New Roman"/>
        </w:rPr>
        <w:t xml:space="preserve">well </w:t>
      </w:r>
      <w:r w:rsidR="005842A9">
        <w:rPr>
          <w:rFonts w:ascii="Times New Roman" w:hAnsi="Times New Roman" w:cs="Times New Roman"/>
        </w:rPr>
        <w:t xml:space="preserve">physician characteristics </w:t>
      </w:r>
      <w:r w:rsidR="00501FBD">
        <w:rPr>
          <w:rFonts w:ascii="Times New Roman" w:hAnsi="Times New Roman" w:cs="Times New Roman"/>
        </w:rPr>
        <w:t xml:space="preserve">and prescribing volume </w:t>
      </w:r>
      <w:r w:rsidR="005842A9">
        <w:rPr>
          <w:rFonts w:ascii="Times New Roman" w:hAnsi="Times New Roman" w:cs="Times New Roman"/>
        </w:rPr>
        <w:t>as covariates</w:t>
      </w:r>
      <w:r w:rsidR="008066DE">
        <w:rPr>
          <w:rFonts w:ascii="Times New Roman" w:hAnsi="Times New Roman" w:cs="Times New Roman"/>
        </w:rPr>
        <w:t xml:space="preserve">, </w:t>
      </w:r>
      <w:r w:rsidR="002C3CF8">
        <w:rPr>
          <w:rFonts w:ascii="Times New Roman" w:hAnsi="Times New Roman" w:cs="Times New Roman"/>
        </w:rPr>
        <w:t xml:space="preserve">and with </w:t>
      </w:r>
      <w:r w:rsidR="005842A9">
        <w:rPr>
          <w:rFonts w:ascii="Times New Roman" w:hAnsi="Times New Roman" w:cs="Times New Roman"/>
        </w:rPr>
        <w:t xml:space="preserve">innovative behaviour </w:t>
      </w:r>
      <w:r w:rsidR="008066DE">
        <w:rPr>
          <w:rFonts w:ascii="Times New Roman" w:hAnsi="Times New Roman" w:cs="Times New Roman"/>
        </w:rPr>
        <w:t xml:space="preserve">treated as </w:t>
      </w:r>
      <w:r w:rsidR="005842A9">
        <w:rPr>
          <w:rFonts w:ascii="Times New Roman" w:hAnsi="Times New Roman" w:cs="Times New Roman"/>
        </w:rPr>
        <w:t>the dependent variable. This approach to modelling innovative prescrib</w:t>
      </w:r>
      <w:r w:rsidR="002C3CF8">
        <w:rPr>
          <w:rFonts w:ascii="Times New Roman" w:hAnsi="Times New Roman" w:cs="Times New Roman"/>
        </w:rPr>
        <w:t>ing</w:t>
      </w:r>
      <w:r w:rsidR="005842A9">
        <w:rPr>
          <w:rFonts w:ascii="Times New Roman" w:hAnsi="Times New Roman" w:cs="Times New Roman"/>
        </w:rPr>
        <w:t xml:space="preserve"> behaviour offers </w:t>
      </w:r>
      <w:r w:rsidR="002C3CF8">
        <w:rPr>
          <w:rFonts w:ascii="Times New Roman" w:hAnsi="Times New Roman" w:cs="Times New Roman"/>
        </w:rPr>
        <w:lastRenderedPageBreak/>
        <w:t xml:space="preserve">new methods to investigate </w:t>
      </w:r>
      <w:r w:rsidR="005842A9">
        <w:rPr>
          <w:rFonts w:ascii="Times New Roman" w:hAnsi="Times New Roman" w:cs="Times New Roman"/>
        </w:rPr>
        <w:t xml:space="preserve">the question: </w:t>
      </w:r>
      <w:r w:rsidR="002C3CF8">
        <w:rPr>
          <w:rFonts w:ascii="Times New Roman" w:hAnsi="Times New Roman" w:cs="Times New Roman"/>
        </w:rPr>
        <w:t>W</w:t>
      </w:r>
      <w:r w:rsidR="005842A9">
        <w:rPr>
          <w:rFonts w:ascii="Times New Roman" w:hAnsi="Times New Roman" w:cs="Times New Roman"/>
        </w:rPr>
        <w:t xml:space="preserve">hat type of physicians were the </w:t>
      </w:r>
      <w:r w:rsidR="008066DE">
        <w:rPr>
          <w:rFonts w:ascii="Times New Roman" w:hAnsi="Times New Roman" w:cs="Times New Roman"/>
        </w:rPr>
        <w:t xml:space="preserve">first </w:t>
      </w:r>
      <w:r w:rsidR="005842A9">
        <w:rPr>
          <w:rFonts w:ascii="Times New Roman" w:hAnsi="Times New Roman" w:cs="Times New Roman"/>
        </w:rPr>
        <w:t>ones to prescribe OxyContin, leading to the current widespread abuse of this drug</w:t>
      </w:r>
      <w:r w:rsidR="007E387F">
        <w:rPr>
          <w:rFonts w:ascii="Times New Roman" w:hAnsi="Times New Roman" w:cs="Times New Roman"/>
        </w:rPr>
        <w:t>?</w:t>
      </w:r>
    </w:p>
    <w:p w14:paraId="757132F5" w14:textId="77777777" w:rsidR="006C26E8" w:rsidRDefault="006C26E8" w:rsidP="006C26E8">
      <w:pPr>
        <w:pStyle w:val="Default"/>
        <w:jc w:val="both"/>
        <w:rPr>
          <w:rFonts w:ascii="Times New Roman" w:hAnsi="Times New Roman" w:cs="Times New Roman"/>
          <w:b/>
          <w:bCs/>
        </w:rPr>
      </w:pPr>
    </w:p>
    <w:p w14:paraId="7C74D0E1" w14:textId="77777777" w:rsidR="007E387F" w:rsidRDefault="007E387F" w:rsidP="007E387F">
      <w:pPr>
        <w:pStyle w:val="Default"/>
        <w:jc w:val="both"/>
        <w:rPr>
          <w:rFonts w:ascii="Times New Roman" w:hAnsi="Times New Roman" w:cs="Times New Roman"/>
          <w:b/>
          <w:bCs/>
        </w:rPr>
      </w:pPr>
      <w:r>
        <w:rPr>
          <w:rFonts w:ascii="Times New Roman" w:hAnsi="Times New Roman" w:cs="Times New Roman"/>
          <w:b/>
          <w:bCs/>
        </w:rPr>
        <w:t>Model and Data</w:t>
      </w:r>
    </w:p>
    <w:p w14:paraId="7A848F25" w14:textId="7BD266C6" w:rsidR="005842A9" w:rsidRDefault="007E387F" w:rsidP="006C26E8">
      <w:pPr>
        <w:pStyle w:val="Default"/>
        <w:jc w:val="both"/>
        <w:rPr>
          <w:rFonts w:ascii="Times New Roman" w:hAnsi="Times New Roman" w:cs="Times New Roman"/>
        </w:rPr>
      </w:pPr>
      <w:r>
        <w:rPr>
          <w:rFonts w:ascii="Times New Roman" w:hAnsi="Times New Roman" w:cs="Times New Roman"/>
        </w:rPr>
        <w:br/>
      </w:r>
      <w:r w:rsidR="005842A9">
        <w:rPr>
          <w:rFonts w:ascii="Times New Roman" w:hAnsi="Times New Roman" w:cs="Times New Roman"/>
        </w:rPr>
        <w:t xml:space="preserve">We hold </w:t>
      </w:r>
      <w:r w:rsidR="00E607DA">
        <w:rPr>
          <w:rFonts w:ascii="Times New Roman" w:hAnsi="Times New Roman" w:cs="Times New Roman"/>
        </w:rPr>
        <w:t xml:space="preserve">panel </w:t>
      </w:r>
      <w:r w:rsidR="005842A9">
        <w:rPr>
          <w:rFonts w:ascii="Times New Roman" w:hAnsi="Times New Roman" w:cs="Times New Roman"/>
        </w:rPr>
        <w:t>data for n</w:t>
      </w:r>
      <w:r w:rsidR="00D16728">
        <w:rPr>
          <w:rFonts w:ascii="Times New Roman" w:hAnsi="Times New Roman" w:cs="Times New Roman"/>
        </w:rPr>
        <w:t xml:space="preserve"> </w:t>
      </w:r>
      <w:r w:rsidR="005842A9">
        <w:rPr>
          <w:rFonts w:ascii="Times New Roman" w:hAnsi="Times New Roman" w:cs="Times New Roman"/>
        </w:rPr>
        <w:t>=</w:t>
      </w:r>
      <w:r w:rsidR="00D16728">
        <w:rPr>
          <w:rFonts w:ascii="Times New Roman" w:hAnsi="Times New Roman" w:cs="Times New Roman"/>
        </w:rPr>
        <w:t xml:space="preserve"> </w:t>
      </w:r>
      <w:r w:rsidR="005842A9">
        <w:rPr>
          <w:rFonts w:ascii="Times New Roman" w:hAnsi="Times New Roman" w:cs="Times New Roman"/>
        </w:rPr>
        <w:t xml:space="preserve">235 </w:t>
      </w:r>
      <w:r>
        <w:rPr>
          <w:rFonts w:ascii="Times New Roman" w:hAnsi="Times New Roman" w:cs="Times New Roman"/>
        </w:rPr>
        <w:t xml:space="preserve">UK </w:t>
      </w:r>
      <w:r w:rsidR="005842A9">
        <w:rPr>
          <w:rFonts w:ascii="Times New Roman" w:hAnsi="Times New Roman" w:cs="Times New Roman"/>
        </w:rPr>
        <w:t>physicians for two years – one year prior to the launch of OxyContin, and</w:t>
      </w:r>
      <w:r w:rsidR="008066DE">
        <w:rPr>
          <w:rFonts w:ascii="Times New Roman" w:hAnsi="Times New Roman" w:cs="Times New Roman"/>
        </w:rPr>
        <w:t xml:space="preserve"> the one year following </w:t>
      </w:r>
      <w:r w:rsidR="00D16728">
        <w:rPr>
          <w:rFonts w:ascii="Times New Roman" w:hAnsi="Times New Roman" w:cs="Times New Roman"/>
        </w:rPr>
        <w:t>including notation on</w:t>
      </w:r>
      <w:r w:rsidR="008066DE">
        <w:rPr>
          <w:rFonts w:ascii="Times New Roman" w:hAnsi="Times New Roman" w:cs="Times New Roman"/>
        </w:rPr>
        <w:t xml:space="preserve"> </w:t>
      </w:r>
      <w:r w:rsidR="005842A9">
        <w:rPr>
          <w:rFonts w:ascii="Times New Roman" w:hAnsi="Times New Roman" w:cs="Times New Roman"/>
        </w:rPr>
        <w:t xml:space="preserve">the </w:t>
      </w:r>
      <w:r w:rsidR="008066DE">
        <w:rPr>
          <w:rFonts w:ascii="Times New Roman" w:hAnsi="Times New Roman" w:cs="Times New Roman"/>
        </w:rPr>
        <w:t xml:space="preserve">specific </w:t>
      </w:r>
      <w:r w:rsidR="005842A9">
        <w:rPr>
          <w:rFonts w:ascii="Times New Roman" w:hAnsi="Times New Roman" w:cs="Times New Roman"/>
        </w:rPr>
        <w:t xml:space="preserve">week </w:t>
      </w:r>
      <w:r>
        <w:rPr>
          <w:rFonts w:ascii="Times New Roman" w:hAnsi="Times New Roman" w:cs="Times New Roman"/>
        </w:rPr>
        <w:t xml:space="preserve">in which the physician </w:t>
      </w:r>
      <w:r w:rsidR="008066DE">
        <w:rPr>
          <w:rFonts w:ascii="Times New Roman" w:hAnsi="Times New Roman" w:cs="Times New Roman"/>
        </w:rPr>
        <w:t xml:space="preserve">first </w:t>
      </w:r>
      <w:r>
        <w:rPr>
          <w:rFonts w:ascii="Times New Roman" w:hAnsi="Times New Roman" w:cs="Times New Roman"/>
        </w:rPr>
        <w:t xml:space="preserve">prescribed </w:t>
      </w:r>
      <w:r w:rsidR="005842A9">
        <w:rPr>
          <w:rFonts w:ascii="Times New Roman" w:hAnsi="Times New Roman" w:cs="Times New Roman"/>
        </w:rPr>
        <w:t>OxyContin</w:t>
      </w:r>
      <w:r w:rsidR="008066DE">
        <w:rPr>
          <w:rFonts w:ascii="Times New Roman" w:hAnsi="Times New Roman" w:cs="Times New Roman"/>
        </w:rPr>
        <w:t xml:space="preserve">, if they did so in the first 52 weeks following </w:t>
      </w:r>
      <w:r w:rsidR="00D16728">
        <w:rPr>
          <w:rFonts w:ascii="Times New Roman" w:hAnsi="Times New Roman" w:cs="Times New Roman"/>
        </w:rPr>
        <w:t xml:space="preserve">the </w:t>
      </w:r>
      <w:r w:rsidR="008066DE">
        <w:rPr>
          <w:rFonts w:ascii="Times New Roman" w:hAnsi="Times New Roman" w:cs="Times New Roman"/>
        </w:rPr>
        <w:t xml:space="preserve">drug </w:t>
      </w:r>
      <w:r w:rsidR="005842A9">
        <w:rPr>
          <w:rFonts w:ascii="Times New Roman" w:hAnsi="Times New Roman" w:cs="Times New Roman"/>
        </w:rPr>
        <w:t xml:space="preserve">launch. The time-dependent nature of our data makes is suitable for hazard modelling </w:t>
      </w:r>
      <w:r>
        <w:rPr>
          <w:rFonts w:ascii="Times New Roman" w:hAnsi="Times New Roman" w:cs="Times New Roman"/>
        </w:rPr>
        <w:t xml:space="preserve">rather than less statistically powerful models </w:t>
      </w:r>
      <w:r w:rsidR="005842A9">
        <w:rPr>
          <w:rFonts w:ascii="Times New Roman" w:hAnsi="Times New Roman" w:cs="Times New Roman"/>
        </w:rPr>
        <w:t>such as logistic regression.</w:t>
      </w:r>
      <w:r>
        <w:rPr>
          <w:rFonts w:ascii="Times New Roman" w:hAnsi="Times New Roman" w:cs="Times New Roman"/>
        </w:rPr>
        <w:t xml:space="preserve"> We therefore apply </w:t>
      </w:r>
      <w:r w:rsidR="00E607DA">
        <w:rPr>
          <w:rFonts w:ascii="Times New Roman" w:hAnsi="Times New Roman" w:cs="Times New Roman"/>
        </w:rPr>
        <w:t>C</w:t>
      </w:r>
      <w:r>
        <w:rPr>
          <w:rFonts w:ascii="Times New Roman" w:hAnsi="Times New Roman" w:cs="Times New Roman"/>
        </w:rPr>
        <w:t xml:space="preserve">ox proportional hazard </w:t>
      </w:r>
      <w:r w:rsidR="008066DE">
        <w:rPr>
          <w:rFonts w:ascii="Times New Roman" w:hAnsi="Times New Roman" w:cs="Times New Roman"/>
        </w:rPr>
        <w:t xml:space="preserve">regression </w:t>
      </w:r>
      <w:r>
        <w:rPr>
          <w:rFonts w:ascii="Times New Roman" w:hAnsi="Times New Roman" w:cs="Times New Roman"/>
        </w:rPr>
        <w:t>to our panel data on physician prescribing behaviour.</w:t>
      </w:r>
      <w:r w:rsidR="008066DE">
        <w:rPr>
          <w:rFonts w:ascii="Times New Roman" w:hAnsi="Times New Roman" w:cs="Times New Roman"/>
        </w:rPr>
        <w:t xml:space="preserve"> </w:t>
      </w:r>
      <w:r w:rsidR="005842A9">
        <w:rPr>
          <w:rFonts w:ascii="Times New Roman" w:hAnsi="Times New Roman" w:cs="Times New Roman"/>
        </w:rPr>
        <w:t>The key variables used</w:t>
      </w:r>
      <w:r>
        <w:rPr>
          <w:rFonts w:ascii="Times New Roman" w:hAnsi="Times New Roman" w:cs="Times New Roman"/>
        </w:rPr>
        <w:t>,</w:t>
      </w:r>
      <w:r w:rsidR="005842A9">
        <w:rPr>
          <w:rFonts w:ascii="Times New Roman" w:hAnsi="Times New Roman" w:cs="Times New Roman"/>
        </w:rPr>
        <w:t xml:space="preserve"> and their operationalisation are: </w:t>
      </w:r>
    </w:p>
    <w:p w14:paraId="2C3CFD49" w14:textId="3ACDA353" w:rsidR="005842A9" w:rsidRDefault="005842A9" w:rsidP="006C26E8">
      <w:pPr>
        <w:pStyle w:val="Default"/>
        <w:jc w:val="both"/>
        <w:rPr>
          <w:rFonts w:ascii="Times New Roman" w:hAnsi="Times New Roman" w:cs="Times New Roman"/>
        </w:rPr>
      </w:pPr>
    </w:p>
    <w:p w14:paraId="647C5A16" w14:textId="08496B06" w:rsidR="005842A9" w:rsidRDefault="005842A9" w:rsidP="006C26E8">
      <w:pPr>
        <w:pStyle w:val="Default"/>
        <w:jc w:val="both"/>
        <w:rPr>
          <w:rFonts w:ascii="Times New Roman" w:hAnsi="Times New Roman" w:cs="Times New Roman"/>
        </w:rPr>
      </w:pPr>
      <w:r w:rsidRPr="00B656E1">
        <w:rPr>
          <w:rFonts w:ascii="Times New Roman" w:hAnsi="Times New Roman" w:cs="Times New Roman"/>
          <w:i/>
        </w:rPr>
        <w:t>Innovative behaviour</w:t>
      </w:r>
      <w:r>
        <w:rPr>
          <w:rFonts w:ascii="Times New Roman" w:hAnsi="Times New Roman" w:cs="Times New Roman"/>
        </w:rPr>
        <w:t xml:space="preserve"> – prescribing OxyContin in the first 52 weeks following launch.</w:t>
      </w:r>
    </w:p>
    <w:p w14:paraId="039B706B" w14:textId="29A45F08" w:rsidR="005842A9" w:rsidRDefault="005842A9" w:rsidP="006C26E8">
      <w:pPr>
        <w:pStyle w:val="Default"/>
        <w:jc w:val="both"/>
        <w:rPr>
          <w:rFonts w:ascii="Times New Roman" w:hAnsi="Times New Roman" w:cs="Times New Roman"/>
        </w:rPr>
      </w:pPr>
      <w:r w:rsidRPr="00B656E1">
        <w:rPr>
          <w:rFonts w:ascii="Times New Roman" w:hAnsi="Times New Roman" w:cs="Times New Roman"/>
          <w:i/>
        </w:rPr>
        <w:t>Innate innovativeness</w:t>
      </w:r>
      <w:r>
        <w:rPr>
          <w:rFonts w:ascii="Times New Roman" w:hAnsi="Times New Roman" w:cs="Times New Roman"/>
        </w:rPr>
        <w:t xml:space="preserve"> – </w:t>
      </w:r>
      <w:r w:rsidR="00B656E1">
        <w:rPr>
          <w:rFonts w:ascii="Times New Roman" w:hAnsi="Times New Roman" w:cs="Times New Roman"/>
        </w:rPr>
        <w:t xml:space="preserve">number of innovative prescribing behaviours across six </w:t>
      </w:r>
      <w:r w:rsidR="00E607DA">
        <w:rPr>
          <w:rFonts w:ascii="Times New Roman" w:hAnsi="Times New Roman" w:cs="Times New Roman"/>
        </w:rPr>
        <w:t xml:space="preserve">different </w:t>
      </w:r>
      <w:r w:rsidR="00B656E1">
        <w:rPr>
          <w:rFonts w:ascii="Times New Roman" w:hAnsi="Times New Roman" w:cs="Times New Roman"/>
        </w:rPr>
        <w:t>therapeutic categories in the year prior to O</w:t>
      </w:r>
      <w:r w:rsidR="00501FBD">
        <w:rPr>
          <w:rFonts w:ascii="Times New Roman" w:hAnsi="Times New Roman" w:cs="Times New Roman"/>
        </w:rPr>
        <w:t>x</w:t>
      </w:r>
      <w:r w:rsidR="00B656E1">
        <w:rPr>
          <w:rFonts w:ascii="Times New Roman" w:hAnsi="Times New Roman" w:cs="Times New Roman"/>
        </w:rPr>
        <w:t>yContin</w:t>
      </w:r>
      <w:r w:rsidR="00E607DA">
        <w:rPr>
          <w:rFonts w:ascii="Times New Roman" w:hAnsi="Times New Roman" w:cs="Times New Roman"/>
        </w:rPr>
        <w:t>’s</w:t>
      </w:r>
      <w:r w:rsidR="00B656E1">
        <w:rPr>
          <w:rFonts w:ascii="Times New Roman" w:hAnsi="Times New Roman" w:cs="Times New Roman"/>
        </w:rPr>
        <w:t xml:space="preserve"> launch.</w:t>
      </w:r>
    </w:p>
    <w:p w14:paraId="4D338BFD" w14:textId="7579F3BE" w:rsidR="00B656E1" w:rsidRDefault="00B656E1" w:rsidP="006C26E8">
      <w:pPr>
        <w:pStyle w:val="Default"/>
        <w:jc w:val="both"/>
        <w:rPr>
          <w:rFonts w:ascii="Times New Roman" w:hAnsi="Times New Roman" w:cs="Times New Roman"/>
        </w:rPr>
      </w:pPr>
      <w:r w:rsidRPr="00B656E1">
        <w:rPr>
          <w:rFonts w:ascii="Times New Roman" w:hAnsi="Times New Roman" w:cs="Times New Roman"/>
          <w:i/>
        </w:rPr>
        <w:t>Domain specific interest</w:t>
      </w:r>
      <w:r>
        <w:rPr>
          <w:rFonts w:ascii="Times New Roman" w:hAnsi="Times New Roman" w:cs="Times New Roman"/>
        </w:rPr>
        <w:t xml:space="preserve"> </w:t>
      </w:r>
      <w:r w:rsidR="00501FBD">
        <w:rPr>
          <w:rFonts w:ascii="Times New Roman" w:hAnsi="Times New Roman" w:cs="Times New Roman"/>
        </w:rPr>
        <w:t>–</w:t>
      </w:r>
      <w:r>
        <w:rPr>
          <w:rFonts w:ascii="Times New Roman" w:hAnsi="Times New Roman" w:cs="Times New Roman"/>
        </w:rPr>
        <w:t xml:space="preserve"> </w:t>
      </w:r>
      <w:r w:rsidR="00501FBD">
        <w:rPr>
          <w:rFonts w:ascii="Times New Roman" w:hAnsi="Times New Roman" w:cs="Times New Roman"/>
        </w:rPr>
        <w:t>concentration of prior prescribing on nervous system drugs</w:t>
      </w:r>
    </w:p>
    <w:p w14:paraId="343F01DE" w14:textId="18D37568" w:rsidR="00501FBD" w:rsidRDefault="00501FBD" w:rsidP="006C26E8">
      <w:pPr>
        <w:pStyle w:val="Default"/>
        <w:jc w:val="both"/>
        <w:rPr>
          <w:rFonts w:ascii="Times New Roman" w:hAnsi="Times New Roman" w:cs="Times New Roman"/>
        </w:rPr>
      </w:pPr>
      <w:r>
        <w:rPr>
          <w:rFonts w:ascii="Times New Roman" w:hAnsi="Times New Roman" w:cs="Times New Roman"/>
          <w:i/>
        </w:rPr>
        <w:t xml:space="preserve">Prescribing volume </w:t>
      </w:r>
      <w:r>
        <w:rPr>
          <w:rFonts w:ascii="Times New Roman" w:hAnsi="Times New Roman" w:cs="Times New Roman"/>
        </w:rPr>
        <w:t>– total volume of prior prescribing</w:t>
      </w:r>
    </w:p>
    <w:p w14:paraId="034BD1E7" w14:textId="75D5B271" w:rsidR="007E387F" w:rsidRPr="007E387F" w:rsidRDefault="007E387F" w:rsidP="006C26E8">
      <w:pPr>
        <w:pStyle w:val="Default"/>
        <w:jc w:val="both"/>
        <w:rPr>
          <w:rFonts w:ascii="Times New Roman" w:hAnsi="Times New Roman" w:cs="Times New Roman"/>
        </w:rPr>
      </w:pPr>
      <w:r>
        <w:rPr>
          <w:rFonts w:ascii="Times New Roman" w:hAnsi="Times New Roman" w:cs="Times New Roman"/>
          <w:i/>
        </w:rPr>
        <w:t xml:space="preserve">Physician characteristics </w:t>
      </w:r>
      <w:r>
        <w:rPr>
          <w:rFonts w:ascii="Times New Roman" w:hAnsi="Times New Roman" w:cs="Times New Roman"/>
        </w:rPr>
        <w:t xml:space="preserve">– practice size, practice location, physician age, physician gender. </w:t>
      </w:r>
    </w:p>
    <w:p w14:paraId="53D15FF3" w14:textId="77777777" w:rsidR="006C26E8" w:rsidRDefault="006C26E8" w:rsidP="006C26E8">
      <w:pPr>
        <w:pStyle w:val="Default"/>
        <w:jc w:val="both"/>
        <w:rPr>
          <w:rFonts w:ascii="Times New Roman" w:hAnsi="Times New Roman" w:cs="Times New Roman"/>
          <w:b/>
          <w:bCs/>
        </w:rPr>
      </w:pPr>
    </w:p>
    <w:p w14:paraId="225AC2EA" w14:textId="6318AD5C" w:rsidR="006C26E8" w:rsidRDefault="006C26E8" w:rsidP="006C26E8">
      <w:pPr>
        <w:pStyle w:val="Default"/>
        <w:jc w:val="both"/>
        <w:rPr>
          <w:rFonts w:ascii="Times New Roman" w:hAnsi="Times New Roman" w:cs="Times New Roman"/>
          <w:b/>
          <w:bCs/>
        </w:rPr>
      </w:pPr>
      <w:r w:rsidRPr="006C26E8">
        <w:rPr>
          <w:rFonts w:ascii="Times New Roman" w:hAnsi="Times New Roman" w:cs="Times New Roman"/>
          <w:b/>
          <w:bCs/>
        </w:rPr>
        <w:t xml:space="preserve">Results </w:t>
      </w:r>
    </w:p>
    <w:p w14:paraId="44BF9895" w14:textId="2CE8FE77" w:rsidR="007E387F" w:rsidRDefault="007E387F" w:rsidP="006C26E8">
      <w:pPr>
        <w:pStyle w:val="Default"/>
        <w:jc w:val="both"/>
        <w:rPr>
          <w:rFonts w:ascii="Times New Roman" w:hAnsi="Times New Roman" w:cs="Times New Roman"/>
        </w:rPr>
      </w:pPr>
    </w:p>
    <w:p w14:paraId="5F0802C8" w14:textId="308C64B4" w:rsidR="00D16728" w:rsidRDefault="008066DE" w:rsidP="00D16728">
      <w:pPr>
        <w:pStyle w:val="Default"/>
        <w:jc w:val="both"/>
        <w:rPr>
          <w:rFonts w:ascii="Times New Roman" w:hAnsi="Times New Roman" w:cs="Times New Roman"/>
        </w:rPr>
      </w:pPr>
      <w:r>
        <w:rPr>
          <w:rFonts w:ascii="Times New Roman" w:hAnsi="Times New Roman" w:cs="Times New Roman"/>
        </w:rPr>
        <w:t>Table 1 shows, the results.</w:t>
      </w:r>
      <w:r w:rsidR="00D16728">
        <w:rPr>
          <w:rFonts w:ascii="Times New Roman" w:hAnsi="Times New Roman" w:cs="Times New Roman"/>
        </w:rPr>
        <w:t xml:space="preserve"> Exp (B) shows how the odds of innovation change with changes to the independent variable. This is managerially meaningful, but does not assist comparisons between variables as it is not scale free.  The Wald statistic, conversely, controls for the range of the independent variable and thus can be used for inter-variable comparisons.  </w:t>
      </w:r>
    </w:p>
    <w:p w14:paraId="0176E87C" w14:textId="4933B087" w:rsidR="008066DE" w:rsidRDefault="008066DE" w:rsidP="006C26E8">
      <w:pPr>
        <w:pStyle w:val="Default"/>
        <w:jc w:val="both"/>
        <w:rPr>
          <w:rFonts w:ascii="Times New Roman" w:hAnsi="Times New Roman" w:cs="Times New Roman"/>
        </w:rPr>
      </w:pPr>
    </w:p>
    <w:p w14:paraId="4DC2DA79" w14:textId="77777777" w:rsidR="008066DE" w:rsidRDefault="008066DE" w:rsidP="006C26E8">
      <w:pPr>
        <w:pStyle w:val="Default"/>
        <w:jc w:val="both"/>
        <w:rPr>
          <w:rFonts w:ascii="Times New Roman" w:hAnsi="Times New Roman" w:cs="Times New Roman"/>
        </w:rPr>
      </w:pPr>
    </w:p>
    <w:p w14:paraId="07DFEF27" w14:textId="33317A31" w:rsidR="007E387F" w:rsidRDefault="007E387F" w:rsidP="006C26E8">
      <w:pPr>
        <w:pStyle w:val="Default"/>
        <w:jc w:val="both"/>
        <w:rPr>
          <w:rFonts w:ascii="Times New Roman" w:hAnsi="Times New Roman" w:cs="Times New Roman"/>
        </w:rPr>
      </w:pPr>
      <w:r>
        <w:rPr>
          <w:rFonts w:ascii="Times New Roman" w:hAnsi="Times New Roman" w:cs="Times New Roman"/>
        </w:rPr>
        <w:t>Table 1 Hazard of Innovative Behaviour</w:t>
      </w:r>
    </w:p>
    <w:p w14:paraId="0C297ED9" w14:textId="08BACDAD" w:rsidR="007E387F" w:rsidRDefault="007E387F" w:rsidP="006C26E8">
      <w:pPr>
        <w:pStyle w:val="Default"/>
        <w:jc w:val="both"/>
        <w:rPr>
          <w:rFonts w:ascii="Times New Roman" w:hAnsi="Times New Roman" w:cs="Times New Roman"/>
        </w:rPr>
      </w:pPr>
    </w:p>
    <w:tbl>
      <w:tblPr>
        <w:tblStyle w:val="TableGrid"/>
        <w:tblW w:w="9327" w:type="dxa"/>
        <w:tblLook w:val="04A0" w:firstRow="1" w:lastRow="0" w:firstColumn="1" w:lastColumn="0" w:noHBand="0" w:noVBand="1"/>
      </w:tblPr>
      <w:tblGrid>
        <w:gridCol w:w="882"/>
        <w:gridCol w:w="1417"/>
        <w:gridCol w:w="1157"/>
        <w:gridCol w:w="1236"/>
        <w:gridCol w:w="1171"/>
        <w:gridCol w:w="1170"/>
        <w:gridCol w:w="1147"/>
        <w:gridCol w:w="1147"/>
      </w:tblGrid>
      <w:tr w:rsidR="00E51B2D" w14:paraId="6A9967F4" w14:textId="77777777" w:rsidTr="00D57F18">
        <w:tc>
          <w:tcPr>
            <w:tcW w:w="882" w:type="dxa"/>
            <w:vAlign w:val="center"/>
          </w:tcPr>
          <w:p w14:paraId="543E3A54" w14:textId="77777777" w:rsidR="00E51B2D" w:rsidRDefault="00E51B2D" w:rsidP="00D57F18">
            <w:pPr>
              <w:pStyle w:val="Default"/>
              <w:jc w:val="center"/>
              <w:rPr>
                <w:rFonts w:ascii="Times New Roman" w:hAnsi="Times New Roman" w:cs="Times New Roman"/>
              </w:rPr>
            </w:pPr>
          </w:p>
        </w:tc>
        <w:tc>
          <w:tcPr>
            <w:tcW w:w="1417" w:type="dxa"/>
            <w:vAlign w:val="center"/>
          </w:tcPr>
          <w:p w14:paraId="07A1592F" w14:textId="480953EC"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Innate Inno</w:t>
            </w:r>
            <w:r>
              <w:rPr>
                <w:rFonts w:ascii="Helvetica" w:eastAsia="Times New Roman" w:hAnsi="Helvetica" w:cs="Times New Roman"/>
                <w:sz w:val="18"/>
                <w:szCs w:val="18"/>
                <w:lang w:val="en-GB" w:eastAsia="en-GB"/>
              </w:rPr>
              <w:t>vativeness</w:t>
            </w:r>
          </w:p>
        </w:tc>
        <w:tc>
          <w:tcPr>
            <w:tcW w:w="1157" w:type="dxa"/>
            <w:vAlign w:val="center"/>
          </w:tcPr>
          <w:p w14:paraId="600A2CEF" w14:textId="3E722157"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Domain Specific Interest</w:t>
            </w:r>
          </w:p>
        </w:tc>
        <w:tc>
          <w:tcPr>
            <w:tcW w:w="1236" w:type="dxa"/>
            <w:vAlign w:val="center"/>
          </w:tcPr>
          <w:p w14:paraId="5F8D696F" w14:textId="2280F4AF"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Prescribing Volume</w:t>
            </w:r>
          </w:p>
        </w:tc>
        <w:tc>
          <w:tcPr>
            <w:tcW w:w="1171" w:type="dxa"/>
            <w:vAlign w:val="center"/>
          </w:tcPr>
          <w:p w14:paraId="73974BF9" w14:textId="55B7FE0E"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Practice Location</w:t>
            </w:r>
          </w:p>
        </w:tc>
        <w:tc>
          <w:tcPr>
            <w:tcW w:w="1170" w:type="dxa"/>
            <w:vAlign w:val="center"/>
          </w:tcPr>
          <w:p w14:paraId="2869C95D" w14:textId="787F285D"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 xml:space="preserve">Practice </w:t>
            </w:r>
            <w:r>
              <w:rPr>
                <w:rFonts w:ascii="Helvetica" w:eastAsia="Times New Roman" w:hAnsi="Helvetica" w:cs="Times New Roman"/>
                <w:sz w:val="18"/>
                <w:szCs w:val="18"/>
                <w:lang w:val="en-GB" w:eastAsia="en-GB"/>
              </w:rPr>
              <w:t>Size</w:t>
            </w:r>
          </w:p>
        </w:tc>
        <w:tc>
          <w:tcPr>
            <w:tcW w:w="1147" w:type="dxa"/>
            <w:vAlign w:val="center"/>
          </w:tcPr>
          <w:p w14:paraId="30E54EDB" w14:textId="7C096650" w:rsidR="00E51B2D" w:rsidRPr="00E51B2D" w:rsidRDefault="00E51B2D" w:rsidP="00D57F18">
            <w:pPr>
              <w:pStyle w:val="Default"/>
              <w:jc w:val="center"/>
              <w:rPr>
                <w:rFonts w:ascii="Helvetica" w:eastAsia="Times New Roman" w:hAnsi="Helvetica" w:cs="Times New Roman"/>
                <w:sz w:val="18"/>
                <w:szCs w:val="18"/>
                <w:lang w:val="en-GB" w:eastAsia="en-GB"/>
              </w:rPr>
            </w:pPr>
            <w:r w:rsidRPr="00E51B2D">
              <w:rPr>
                <w:rFonts w:ascii="Helvetica" w:eastAsia="Times New Roman" w:hAnsi="Helvetica" w:cs="Times New Roman"/>
                <w:sz w:val="18"/>
                <w:szCs w:val="18"/>
                <w:lang w:val="en-GB" w:eastAsia="en-GB"/>
              </w:rPr>
              <w:t>Age</w:t>
            </w:r>
          </w:p>
        </w:tc>
        <w:tc>
          <w:tcPr>
            <w:tcW w:w="1147" w:type="dxa"/>
            <w:vAlign w:val="center"/>
          </w:tcPr>
          <w:p w14:paraId="72509BFA" w14:textId="686CCC45" w:rsidR="00E51B2D" w:rsidRDefault="00E51B2D" w:rsidP="00D57F18">
            <w:pPr>
              <w:pStyle w:val="Default"/>
              <w:jc w:val="center"/>
              <w:rPr>
                <w:rFonts w:ascii="Times New Roman" w:hAnsi="Times New Roman" w:cs="Times New Roman"/>
              </w:rPr>
            </w:pPr>
            <w:r w:rsidRPr="00E51B2D">
              <w:rPr>
                <w:rFonts w:ascii="Helvetica" w:eastAsia="Times New Roman" w:hAnsi="Helvetica" w:cs="Times New Roman"/>
                <w:sz w:val="18"/>
                <w:szCs w:val="18"/>
                <w:lang w:val="en-GB" w:eastAsia="en-GB"/>
              </w:rPr>
              <w:t>Gender</w:t>
            </w:r>
          </w:p>
        </w:tc>
      </w:tr>
      <w:tr w:rsidR="00E51B2D" w14:paraId="5327B129" w14:textId="77777777" w:rsidTr="00D57F18">
        <w:tc>
          <w:tcPr>
            <w:tcW w:w="882" w:type="dxa"/>
            <w:vAlign w:val="bottom"/>
          </w:tcPr>
          <w:p w14:paraId="1A35F793" w14:textId="4C3EF6F1" w:rsidR="00E51B2D" w:rsidRDefault="00E51B2D" w:rsidP="00D57F18">
            <w:pPr>
              <w:pStyle w:val="Default"/>
              <w:spacing w:before="120" w:line="480" w:lineRule="auto"/>
              <w:rPr>
                <w:rFonts w:ascii="Times New Roman" w:hAnsi="Times New Roman" w:cs="Times New Roman"/>
              </w:rPr>
            </w:pPr>
            <w:r w:rsidRPr="00E51B2D">
              <w:rPr>
                <w:rFonts w:ascii="Helvetica" w:eastAsia="Calibri" w:hAnsi="Helvetica"/>
                <w:color w:val="000000" w:themeColor="text1"/>
                <w:sz w:val="18"/>
                <w:szCs w:val="18"/>
              </w:rPr>
              <w:t>Exp (B</w:t>
            </w:r>
            <w:r>
              <w:rPr>
                <w:rFonts w:ascii="Helvetica" w:eastAsia="Calibri" w:hAnsi="Helvetica"/>
                <w:color w:val="000000" w:themeColor="text1"/>
                <w:sz w:val="18"/>
                <w:szCs w:val="18"/>
              </w:rPr>
              <w:t>)</w:t>
            </w:r>
          </w:p>
        </w:tc>
        <w:tc>
          <w:tcPr>
            <w:tcW w:w="1417" w:type="dxa"/>
            <w:vAlign w:val="center"/>
          </w:tcPr>
          <w:p w14:paraId="619B48C4" w14:textId="23A0BDDA" w:rsidR="00E51B2D" w:rsidRPr="00E51B2D" w:rsidRDefault="00E51B2D" w:rsidP="00D57F18">
            <w:pPr>
              <w:pStyle w:val="Default"/>
              <w:spacing w:before="120" w:line="480" w:lineRule="auto"/>
              <w:jc w:val="center"/>
              <w:rPr>
                <w:rFonts w:ascii="Helvetica" w:eastAsia="Times New Roman" w:hAnsi="Helvetica"/>
                <w:sz w:val="18"/>
                <w:szCs w:val="18"/>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c>
          <w:tcPr>
            <w:tcW w:w="1157" w:type="dxa"/>
            <w:vAlign w:val="center"/>
          </w:tcPr>
          <w:p w14:paraId="785E11B7" w14:textId="3993A4DD" w:rsidR="00E51B2D" w:rsidRPr="00E51B2D" w:rsidRDefault="00E51B2D" w:rsidP="00D57F18">
            <w:pPr>
              <w:pStyle w:val="Default"/>
              <w:spacing w:before="120" w:line="480" w:lineRule="auto"/>
              <w:jc w:val="center"/>
              <w:rPr>
                <w:rFonts w:ascii="Helvetica" w:eastAsia="Times New Roman" w:hAnsi="Helvetica"/>
                <w:sz w:val="18"/>
                <w:szCs w:val="18"/>
              </w:rPr>
            </w:pPr>
            <w:r w:rsidRPr="00E51B2D">
              <w:rPr>
                <w:rFonts w:ascii="Helvetica" w:eastAsia="Times New Roman" w:hAnsi="Helvetica"/>
                <w:sz w:val="18"/>
                <w:szCs w:val="18"/>
              </w:rPr>
              <w:t>2.2</w:t>
            </w:r>
            <w:r w:rsidR="002A1672">
              <w:rPr>
                <w:rFonts w:ascii="Helvetica" w:eastAsia="Times New Roman" w:hAnsi="Helvetica"/>
                <w:sz w:val="18"/>
                <w:szCs w:val="18"/>
              </w:rPr>
              <w:t>51</w:t>
            </w:r>
            <w:r w:rsidRPr="00E51B2D">
              <w:rPr>
                <w:rFonts w:ascii="Helvetica" w:eastAsia="Calibri" w:hAnsi="Helvetica"/>
                <w:color w:val="000000" w:themeColor="text1"/>
                <w:sz w:val="18"/>
                <w:szCs w:val="18"/>
              </w:rPr>
              <w:t xml:space="preserve"> </w:t>
            </w:r>
            <w:r w:rsidRPr="00E51B2D">
              <w:rPr>
                <w:rFonts w:ascii="Helvetica" w:hAnsi="Helvetica" w:cs="Geeza Pro"/>
                <w:color w:val="000000" w:themeColor="text1"/>
                <w:sz w:val="18"/>
                <w:szCs w:val="18"/>
              </w:rPr>
              <w:t>*</w:t>
            </w:r>
          </w:p>
        </w:tc>
        <w:tc>
          <w:tcPr>
            <w:tcW w:w="1236" w:type="dxa"/>
            <w:vAlign w:val="center"/>
          </w:tcPr>
          <w:p w14:paraId="1D21875E" w14:textId="48379446" w:rsidR="00E51B2D" w:rsidRPr="00E51B2D" w:rsidRDefault="00E51B2D" w:rsidP="00D57F18">
            <w:pPr>
              <w:pStyle w:val="Default"/>
              <w:spacing w:before="120" w:line="480" w:lineRule="auto"/>
              <w:jc w:val="center"/>
              <w:rPr>
                <w:rFonts w:ascii="Helvetica" w:eastAsia="Times New Roman" w:hAnsi="Helvetica"/>
                <w:sz w:val="18"/>
                <w:szCs w:val="18"/>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c>
          <w:tcPr>
            <w:tcW w:w="1171" w:type="dxa"/>
            <w:vAlign w:val="center"/>
          </w:tcPr>
          <w:p w14:paraId="5E61CD89" w14:textId="0E9A3721" w:rsidR="00E51B2D" w:rsidRPr="00E51B2D" w:rsidRDefault="00E51B2D" w:rsidP="00D57F18">
            <w:pPr>
              <w:pStyle w:val="Default"/>
              <w:spacing w:before="120" w:line="480" w:lineRule="auto"/>
              <w:jc w:val="center"/>
              <w:rPr>
                <w:rFonts w:ascii="Helvetica" w:eastAsia="Times New Roman" w:hAnsi="Helvetica"/>
                <w:sz w:val="18"/>
                <w:szCs w:val="18"/>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c>
          <w:tcPr>
            <w:tcW w:w="1170" w:type="dxa"/>
            <w:vAlign w:val="center"/>
          </w:tcPr>
          <w:p w14:paraId="3601E623" w14:textId="0E4A95CF" w:rsidR="00E51B2D" w:rsidRPr="00E51B2D" w:rsidRDefault="00E51B2D" w:rsidP="00D57F18">
            <w:pPr>
              <w:pStyle w:val="Default"/>
              <w:spacing w:before="120" w:line="480" w:lineRule="auto"/>
              <w:jc w:val="center"/>
              <w:rPr>
                <w:rFonts w:ascii="Helvetica" w:eastAsia="Times New Roman" w:hAnsi="Helvetica"/>
                <w:sz w:val="18"/>
                <w:szCs w:val="18"/>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c>
          <w:tcPr>
            <w:tcW w:w="1147" w:type="dxa"/>
            <w:vAlign w:val="center"/>
          </w:tcPr>
          <w:p w14:paraId="1FE3F831" w14:textId="0FA71828" w:rsidR="00E51B2D" w:rsidRPr="00E51B2D" w:rsidRDefault="00E51B2D" w:rsidP="00D57F18">
            <w:pPr>
              <w:pStyle w:val="Default"/>
              <w:spacing w:before="120" w:line="480" w:lineRule="auto"/>
              <w:jc w:val="center"/>
              <w:rPr>
                <w:rFonts w:ascii="Helvetica" w:eastAsia="Times New Roman" w:hAnsi="Helvetica"/>
                <w:sz w:val="18"/>
                <w:szCs w:val="18"/>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c>
          <w:tcPr>
            <w:tcW w:w="1147" w:type="dxa"/>
            <w:vAlign w:val="center"/>
          </w:tcPr>
          <w:p w14:paraId="23678684" w14:textId="680EEE97" w:rsidR="00E51B2D" w:rsidRPr="00E51B2D" w:rsidRDefault="00E51B2D" w:rsidP="00D57F18">
            <w:pPr>
              <w:pStyle w:val="Default"/>
              <w:spacing w:before="120" w:line="480" w:lineRule="auto"/>
              <w:jc w:val="center"/>
              <w:rPr>
                <w:rFonts w:ascii="Times New Roman" w:hAnsi="Times New Roman" w:cs="Times New Roman"/>
              </w:rPr>
            </w:pPr>
            <w:proofErr w:type="spellStart"/>
            <w:r w:rsidRPr="00E51B2D">
              <w:rPr>
                <w:rFonts w:ascii="Helvetica" w:eastAsia="Times New Roman" w:hAnsi="Helvetica"/>
                <w:sz w:val="18"/>
                <w:szCs w:val="18"/>
              </w:rPr>
              <w:t>n.s</w:t>
            </w:r>
            <w:proofErr w:type="spellEnd"/>
            <w:r w:rsidRPr="00E51B2D">
              <w:rPr>
                <w:rFonts w:ascii="Helvetica" w:eastAsia="Times New Roman" w:hAnsi="Helvetica"/>
                <w:sz w:val="18"/>
                <w:szCs w:val="18"/>
              </w:rPr>
              <w:t>.</w:t>
            </w:r>
          </w:p>
        </w:tc>
      </w:tr>
      <w:tr w:rsidR="00E51B2D" w14:paraId="0D9D8699" w14:textId="77777777" w:rsidTr="00D57F18">
        <w:tc>
          <w:tcPr>
            <w:tcW w:w="882" w:type="dxa"/>
            <w:vAlign w:val="bottom"/>
          </w:tcPr>
          <w:p w14:paraId="34C44717" w14:textId="582D49F8" w:rsidR="00E51B2D" w:rsidRDefault="00E51B2D" w:rsidP="00D57F18">
            <w:pPr>
              <w:pStyle w:val="Default"/>
              <w:spacing w:before="120" w:line="480" w:lineRule="auto"/>
              <w:rPr>
                <w:rFonts w:ascii="Times New Roman" w:hAnsi="Times New Roman" w:cs="Times New Roman"/>
              </w:rPr>
            </w:pPr>
            <w:r w:rsidRPr="00E51B2D">
              <w:rPr>
                <w:rFonts w:ascii="Helvetica" w:hAnsi="Helvetica"/>
                <w:color w:val="000000" w:themeColor="text1"/>
                <w:sz w:val="18"/>
                <w:szCs w:val="18"/>
              </w:rPr>
              <w:t>Wald</w:t>
            </w:r>
          </w:p>
        </w:tc>
        <w:tc>
          <w:tcPr>
            <w:tcW w:w="1417" w:type="dxa"/>
            <w:vAlign w:val="center"/>
          </w:tcPr>
          <w:p w14:paraId="3EE5BE09" w14:textId="382D678D" w:rsidR="00E51B2D" w:rsidRPr="00E51B2D" w:rsidRDefault="00E51B2D" w:rsidP="00D57F18">
            <w:pPr>
              <w:pStyle w:val="Default"/>
              <w:spacing w:before="120" w:line="480" w:lineRule="auto"/>
              <w:jc w:val="center"/>
              <w:rPr>
                <w:rFonts w:ascii="Helvetica" w:eastAsia="Times New Roman" w:hAnsi="Helvetica"/>
                <w:sz w:val="18"/>
                <w:szCs w:val="18"/>
              </w:rPr>
            </w:pPr>
            <w:r w:rsidRPr="00E51B2D">
              <w:rPr>
                <w:rFonts w:ascii="Helvetica" w:eastAsia="Times New Roman" w:hAnsi="Helvetica"/>
                <w:sz w:val="18"/>
                <w:szCs w:val="18"/>
              </w:rPr>
              <w:t>0.</w:t>
            </w:r>
            <w:r w:rsidR="002A1672">
              <w:rPr>
                <w:rFonts w:ascii="Helvetica" w:eastAsia="Times New Roman" w:hAnsi="Helvetica"/>
                <w:sz w:val="18"/>
                <w:szCs w:val="18"/>
              </w:rPr>
              <w:t>122</w:t>
            </w:r>
          </w:p>
        </w:tc>
        <w:tc>
          <w:tcPr>
            <w:tcW w:w="1157" w:type="dxa"/>
            <w:vAlign w:val="center"/>
          </w:tcPr>
          <w:p w14:paraId="1A4702E2" w14:textId="3FD5586D" w:rsidR="00E51B2D" w:rsidRPr="00E51B2D" w:rsidRDefault="00E51B2D" w:rsidP="00D57F18">
            <w:pPr>
              <w:pStyle w:val="Default"/>
              <w:spacing w:before="120" w:line="480" w:lineRule="auto"/>
              <w:jc w:val="center"/>
              <w:rPr>
                <w:rFonts w:ascii="Helvetica" w:eastAsia="Times New Roman" w:hAnsi="Helvetica"/>
                <w:sz w:val="18"/>
                <w:szCs w:val="18"/>
              </w:rPr>
            </w:pPr>
            <w:r w:rsidRPr="00E51B2D">
              <w:rPr>
                <w:rFonts w:ascii="Helvetica" w:eastAsia="Times New Roman" w:hAnsi="Helvetica"/>
                <w:bCs/>
                <w:sz w:val="18"/>
                <w:szCs w:val="18"/>
              </w:rPr>
              <w:t>4.</w:t>
            </w:r>
            <w:r w:rsidR="002A1672">
              <w:rPr>
                <w:rFonts w:ascii="Helvetica" w:eastAsia="Times New Roman" w:hAnsi="Helvetica"/>
                <w:bCs/>
                <w:sz w:val="18"/>
                <w:szCs w:val="18"/>
              </w:rPr>
              <w:t>521</w:t>
            </w:r>
          </w:p>
        </w:tc>
        <w:tc>
          <w:tcPr>
            <w:tcW w:w="1236" w:type="dxa"/>
            <w:vAlign w:val="center"/>
          </w:tcPr>
          <w:p w14:paraId="469FB0B4" w14:textId="75392F3C" w:rsidR="00E51B2D" w:rsidRPr="00E51B2D" w:rsidRDefault="00E51B2D" w:rsidP="00D57F18">
            <w:pPr>
              <w:pStyle w:val="Default"/>
              <w:spacing w:before="120" w:line="480" w:lineRule="auto"/>
              <w:jc w:val="center"/>
              <w:rPr>
                <w:rFonts w:ascii="Helvetica" w:eastAsia="Times New Roman" w:hAnsi="Helvetica"/>
                <w:sz w:val="18"/>
                <w:szCs w:val="18"/>
              </w:rPr>
            </w:pPr>
            <w:r w:rsidRPr="00E51B2D">
              <w:rPr>
                <w:rFonts w:ascii="Helvetica" w:eastAsia="Times New Roman" w:hAnsi="Helvetica"/>
                <w:sz w:val="18"/>
                <w:szCs w:val="18"/>
              </w:rPr>
              <w:t>1.</w:t>
            </w:r>
            <w:r w:rsidR="0056646F">
              <w:rPr>
                <w:rFonts w:ascii="Helvetica" w:eastAsia="Times New Roman" w:hAnsi="Helvetica"/>
                <w:sz w:val="18"/>
                <w:szCs w:val="18"/>
              </w:rPr>
              <w:t>1</w:t>
            </w:r>
            <w:r w:rsidR="002A1672">
              <w:rPr>
                <w:rFonts w:ascii="Helvetica" w:eastAsia="Times New Roman" w:hAnsi="Helvetica"/>
                <w:sz w:val="18"/>
                <w:szCs w:val="18"/>
              </w:rPr>
              <w:t>13</w:t>
            </w:r>
          </w:p>
        </w:tc>
        <w:tc>
          <w:tcPr>
            <w:tcW w:w="1171" w:type="dxa"/>
            <w:vAlign w:val="center"/>
          </w:tcPr>
          <w:p w14:paraId="2EE12C6B" w14:textId="4C266D23" w:rsidR="00E51B2D" w:rsidRPr="00E51B2D" w:rsidRDefault="00E51B2D" w:rsidP="00D57F18">
            <w:pPr>
              <w:pStyle w:val="Default"/>
              <w:spacing w:before="120" w:line="480" w:lineRule="auto"/>
              <w:jc w:val="center"/>
              <w:rPr>
                <w:rFonts w:ascii="Helvetica" w:eastAsia="Times New Roman" w:hAnsi="Helvetica"/>
                <w:sz w:val="18"/>
                <w:szCs w:val="18"/>
              </w:rPr>
            </w:pPr>
            <w:r w:rsidRPr="00E51B2D">
              <w:rPr>
                <w:rFonts w:ascii="Helvetica" w:eastAsia="Times New Roman" w:hAnsi="Helvetica"/>
                <w:sz w:val="18"/>
                <w:szCs w:val="18"/>
              </w:rPr>
              <w:t>0.</w:t>
            </w:r>
            <w:r w:rsidR="002A1672">
              <w:rPr>
                <w:rFonts w:ascii="Helvetica" w:eastAsia="Times New Roman" w:hAnsi="Helvetica"/>
                <w:sz w:val="18"/>
                <w:szCs w:val="18"/>
              </w:rPr>
              <w:t>125</w:t>
            </w:r>
          </w:p>
        </w:tc>
        <w:tc>
          <w:tcPr>
            <w:tcW w:w="1170" w:type="dxa"/>
            <w:vAlign w:val="center"/>
          </w:tcPr>
          <w:p w14:paraId="09931B9F" w14:textId="0B01409D" w:rsidR="00E51B2D" w:rsidRPr="00E51B2D" w:rsidRDefault="0056646F" w:rsidP="00D57F18">
            <w:pPr>
              <w:pStyle w:val="Default"/>
              <w:spacing w:before="120" w:line="480" w:lineRule="auto"/>
              <w:jc w:val="center"/>
              <w:rPr>
                <w:rFonts w:ascii="Helvetica" w:eastAsia="Times New Roman" w:hAnsi="Helvetica"/>
                <w:sz w:val="18"/>
                <w:szCs w:val="18"/>
              </w:rPr>
            </w:pPr>
            <w:r>
              <w:rPr>
                <w:rFonts w:ascii="Helvetica" w:eastAsia="Times New Roman" w:hAnsi="Helvetica"/>
                <w:sz w:val="18"/>
                <w:szCs w:val="18"/>
              </w:rPr>
              <w:t>1.</w:t>
            </w:r>
            <w:r w:rsidR="002A1672">
              <w:rPr>
                <w:rFonts w:ascii="Helvetica" w:eastAsia="Times New Roman" w:hAnsi="Helvetica"/>
                <w:sz w:val="18"/>
                <w:szCs w:val="18"/>
              </w:rPr>
              <w:t>966</w:t>
            </w:r>
          </w:p>
        </w:tc>
        <w:tc>
          <w:tcPr>
            <w:tcW w:w="1147" w:type="dxa"/>
            <w:vAlign w:val="center"/>
          </w:tcPr>
          <w:p w14:paraId="4ACF4FB3" w14:textId="035616F8" w:rsidR="00E51B2D" w:rsidRPr="00E51B2D" w:rsidRDefault="002A1672" w:rsidP="00D57F18">
            <w:pPr>
              <w:pStyle w:val="Default"/>
              <w:spacing w:before="120" w:line="480" w:lineRule="auto"/>
              <w:jc w:val="center"/>
              <w:rPr>
                <w:rFonts w:ascii="Helvetica" w:eastAsia="Times New Roman" w:hAnsi="Helvetica"/>
                <w:sz w:val="18"/>
                <w:szCs w:val="18"/>
              </w:rPr>
            </w:pPr>
            <w:r>
              <w:rPr>
                <w:rFonts w:ascii="Helvetica" w:eastAsia="Times New Roman" w:hAnsi="Helvetica"/>
                <w:sz w:val="18"/>
                <w:szCs w:val="18"/>
              </w:rPr>
              <w:t>.611</w:t>
            </w:r>
          </w:p>
        </w:tc>
        <w:tc>
          <w:tcPr>
            <w:tcW w:w="1147" w:type="dxa"/>
            <w:vAlign w:val="center"/>
          </w:tcPr>
          <w:p w14:paraId="68E804FC" w14:textId="3A559578" w:rsidR="00E51B2D" w:rsidRPr="00E51B2D" w:rsidRDefault="00E51B2D" w:rsidP="00D57F18">
            <w:pPr>
              <w:pStyle w:val="Default"/>
              <w:spacing w:before="120" w:line="480" w:lineRule="auto"/>
              <w:jc w:val="center"/>
              <w:rPr>
                <w:rFonts w:ascii="Times New Roman" w:hAnsi="Times New Roman" w:cs="Times New Roman"/>
              </w:rPr>
            </w:pPr>
            <w:r w:rsidRPr="00E51B2D">
              <w:rPr>
                <w:rFonts w:ascii="Helvetica" w:eastAsia="Times New Roman" w:hAnsi="Helvetica"/>
                <w:sz w:val="18"/>
                <w:szCs w:val="18"/>
              </w:rPr>
              <w:t>0.</w:t>
            </w:r>
            <w:r w:rsidR="002A1672">
              <w:rPr>
                <w:rFonts w:ascii="Helvetica" w:eastAsia="Times New Roman" w:hAnsi="Helvetica"/>
                <w:sz w:val="18"/>
                <w:szCs w:val="18"/>
              </w:rPr>
              <w:t>076</w:t>
            </w:r>
          </w:p>
        </w:tc>
      </w:tr>
    </w:tbl>
    <w:p w14:paraId="01711FEC" w14:textId="77777777" w:rsidR="00E51B2D" w:rsidRDefault="00E51B2D" w:rsidP="006C26E8">
      <w:pPr>
        <w:pStyle w:val="Default"/>
        <w:jc w:val="both"/>
        <w:rPr>
          <w:rFonts w:ascii="Times New Roman" w:hAnsi="Times New Roman" w:cs="Times New Roman"/>
        </w:rPr>
      </w:pPr>
    </w:p>
    <w:p w14:paraId="26E07EA1" w14:textId="77777777" w:rsidR="00AC6A58" w:rsidRDefault="00AC6A58" w:rsidP="006C26E8">
      <w:pPr>
        <w:pStyle w:val="Default"/>
        <w:jc w:val="both"/>
        <w:rPr>
          <w:rFonts w:ascii="Times New Roman" w:hAnsi="Times New Roman" w:cs="Times New Roman"/>
        </w:rPr>
      </w:pPr>
    </w:p>
    <w:p w14:paraId="58AD10E8" w14:textId="421AD397" w:rsidR="007E387F" w:rsidRDefault="008066DE" w:rsidP="006C26E8">
      <w:pPr>
        <w:pStyle w:val="Default"/>
        <w:jc w:val="both"/>
        <w:rPr>
          <w:rFonts w:ascii="Times New Roman" w:hAnsi="Times New Roman" w:cs="Times New Roman"/>
        </w:rPr>
      </w:pPr>
      <w:r>
        <w:rPr>
          <w:rFonts w:ascii="Times New Roman" w:hAnsi="Times New Roman" w:cs="Times New Roman"/>
        </w:rPr>
        <w:t>However, b</w:t>
      </w:r>
      <w:r w:rsidR="00AC6A58">
        <w:rPr>
          <w:rFonts w:ascii="Times New Roman" w:hAnsi="Times New Roman" w:cs="Times New Roman"/>
        </w:rPr>
        <w:t xml:space="preserve">oth statistics show that the major, and </w:t>
      </w:r>
      <w:r w:rsidR="00D16728">
        <w:rPr>
          <w:rFonts w:ascii="Times New Roman" w:hAnsi="Times New Roman" w:cs="Times New Roman"/>
        </w:rPr>
        <w:t xml:space="preserve">indeed </w:t>
      </w:r>
      <w:r w:rsidR="00AC6A58">
        <w:rPr>
          <w:rFonts w:ascii="Times New Roman" w:hAnsi="Times New Roman" w:cs="Times New Roman"/>
        </w:rPr>
        <w:t xml:space="preserve">only significant effect, is </w:t>
      </w:r>
      <w:r w:rsidR="00D16728">
        <w:rPr>
          <w:rFonts w:ascii="Times New Roman" w:hAnsi="Times New Roman" w:cs="Times New Roman"/>
        </w:rPr>
        <w:t>D</w:t>
      </w:r>
      <w:r w:rsidR="00AC6A58">
        <w:rPr>
          <w:rFonts w:ascii="Times New Roman" w:hAnsi="Times New Roman" w:cs="Times New Roman"/>
        </w:rPr>
        <w:t xml:space="preserve">omain </w:t>
      </w:r>
      <w:r w:rsidR="00D16728">
        <w:rPr>
          <w:rFonts w:ascii="Times New Roman" w:hAnsi="Times New Roman" w:cs="Times New Roman"/>
        </w:rPr>
        <w:t>S</w:t>
      </w:r>
      <w:r w:rsidR="00AC6A58">
        <w:rPr>
          <w:rFonts w:ascii="Times New Roman" w:hAnsi="Times New Roman" w:cs="Times New Roman"/>
        </w:rPr>
        <w:t xml:space="preserve">pecific </w:t>
      </w:r>
      <w:r w:rsidR="00D16728">
        <w:rPr>
          <w:rFonts w:ascii="Times New Roman" w:hAnsi="Times New Roman" w:cs="Times New Roman"/>
        </w:rPr>
        <w:t>I</w:t>
      </w:r>
      <w:r w:rsidR="00AC6A58">
        <w:rPr>
          <w:rFonts w:ascii="Times New Roman" w:hAnsi="Times New Roman" w:cs="Times New Roman"/>
        </w:rPr>
        <w:t xml:space="preserve">nterest. That is, it is the </w:t>
      </w:r>
      <w:r w:rsidR="00E607DA">
        <w:rPr>
          <w:rFonts w:ascii="Times New Roman" w:hAnsi="Times New Roman" w:cs="Times New Roman"/>
        </w:rPr>
        <w:t>‘</w:t>
      </w:r>
      <w:r w:rsidR="00AC6A58">
        <w:rPr>
          <w:rFonts w:ascii="Times New Roman" w:hAnsi="Times New Roman" w:cs="Times New Roman"/>
        </w:rPr>
        <w:t>experts</w:t>
      </w:r>
      <w:r w:rsidR="00E607DA">
        <w:rPr>
          <w:rFonts w:ascii="Times New Roman" w:hAnsi="Times New Roman" w:cs="Times New Roman"/>
        </w:rPr>
        <w:t>’</w:t>
      </w:r>
      <w:r w:rsidR="00AC6A58">
        <w:rPr>
          <w:rFonts w:ascii="Times New Roman" w:hAnsi="Times New Roman" w:cs="Times New Roman"/>
        </w:rPr>
        <w:t xml:space="preserve"> who first adopted this </w:t>
      </w:r>
      <w:r>
        <w:rPr>
          <w:rFonts w:ascii="Times New Roman" w:hAnsi="Times New Roman" w:cs="Times New Roman"/>
        </w:rPr>
        <w:t xml:space="preserve">particular </w:t>
      </w:r>
      <w:r w:rsidR="00AC6A58">
        <w:rPr>
          <w:rFonts w:ascii="Times New Roman" w:hAnsi="Times New Roman" w:cs="Times New Roman"/>
        </w:rPr>
        <w:t>drug</w:t>
      </w:r>
      <w:r>
        <w:rPr>
          <w:rFonts w:ascii="Times New Roman" w:hAnsi="Times New Roman" w:cs="Times New Roman"/>
        </w:rPr>
        <w:t>. Or more precisely</w:t>
      </w:r>
      <w:r w:rsidR="00AC6A58">
        <w:rPr>
          <w:rFonts w:ascii="Times New Roman" w:hAnsi="Times New Roman" w:cs="Times New Roman"/>
        </w:rPr>
        <w:t xml:space="preserve">; the more a physician concentrated their prescribing in nervous system drugs, the greater the odds that they would engage in innovative prescribing behaviour for OxyContin. This might seem an intuitive result but in fact </w:t>
      </w:r>
      <w:r>
        <w:rPr>
          <w:rFonts w:ascii="Times New Roman" w:hAnsi="Times New Roman" w:cs="Times New Roman"/>
        </w:rPr>
        <w:t xml:space="preserve">from </w:t>
      </w:r>
      <w:r w:rsidR="00AC6A58">
        <w:rPr>
          <w:rFonts w:ascii="Times New Roman" w:hAnsi="Times New Roman" w:cs="Times New Roman"/>
        </w:rPr>
        <w:t>the study of 24 other new drug launches we seldom see this pattern.</w:t>
      </w:r>
    </w:p>
    <w:p w14:paraId="0EA7C8AF" w14:textId="55CA9918" w:rsidR="00AC6A58" w:rsidRDefault="00AC6A58" w:rsidP="006C26E8">
      <w:pPr>
        <w:pStyle w:val="Default"/>
        <w:jc w:val="both"/>
        <w:rPr>
          <w:rFonts w:ascii="Times New Roman" w:hAnsi="Times New Roman" w:cs="Times New Roman"/>
        </w:rPr>
      </w:pPr>
    </w:p>
    <w:p w14:paraId="57D9F9F8" w14:textId="0124A6BF" w:rsidR="00AC6A58" w:rsidRDefault="00AC6A58" w:rsidP="008066DE">
      <w:pPr>
        <w:pStyle w:val="Default"/>
        <w:jc w:val="both"/>
        <w:rPr>
          <w:rFonts w:ascii="Times New Roman" w:hAnsi="Times New Roman" w:cs="Times New Roman"/>
        </w:rPr>
      </w:pPr>
      <w:r>
        <w:rPr>
          <w:rFonts w:ascii="Times New Roman" w:hAnsi="Times New Roman" w:cs="Times New Roman"/>
        </w:rPr>
        <w:t>Thus, Ox</w:t>
      </w:r>
      <w:r w:rsidR="008066DE">
        <w:rPr>
          <w:rFonts w:ascii="Times New Roman" w:hAnsi="Times New Roman" w:cs="Times New Roman"/>
        </w:rPr>
        <w:t>y</w:t>
      </w:r>
      <w:r>
        <w:rPr>
          <w:rFonts w:ascii="Times New Roman" w:hAnsi="Times New Roman" w:cs="Times New Roman"/>
        </w:rPr>
        <w:t xml:space="preserve">Contin made its first inroads amongst those who already prescribed </w:t>
      </w:r>
      <w:r w:rsidR="008066DE">
        <w:rPr>
          <w:rFonts w:ascii="Times New Roman" w:hAnsi="Times New Roman" w:cs="Times New Roman"/>
        </w:rPr>
        <w:t xml:space="preserve">a lot of painkillers, and these physicians in turn influenced others. If lax prescribing has been the cause of OxyContin abuse, this might be </w:t>
      </w:r>
      <w:r w:rsidR="00E607DA">
        <w:rPr>
          <w:rFonts w:ascii="Times New Roman" w:hAnsi="Times New Roman" w:cs="Times New Roman"/>
        </w:rPr>
        <w:t xml:space="preserve">partially </w:t>
      </w:r>
      <w:r w:rsidR="008066DE">
        <w:rPr>
          <w:rFonts w:ascii="Times New Roman" w:hAnsi="Times New Roman" w:cs="Times New Roman"/>
        </w:rPr>
        <w:t>address</w:t>
      </w:r>
      <w:r w:rsidR="00E607DA">
        <w:rPr>
          <w:rFonts w:ascii="Times New Roman" w:hAnsi="Times New Roman" w:cs="Times New Roman"/>
        </w:rPr>
        <w:t>ed</w:t>
      </w:r>
      <w:r w:rsidR="008066DE">
        <w:rPr>
          <w:rFonts w:ascii="Times New Roman" w:hAnsi="Times New Roman" w:cs="Times New Roman"/>
        </w:rPr>
        <w:t xml:space="preserve"> by better education of </w:t>
      </w:r>
      <w:r w:rsidR="00D16728">
        <w:rPr>
          <w:rFonts w:ascii="Times New Roman" w:hAnsi="Times New Roman" w:cs="Times New Roman"/>
        </w:rPr>
        <w:t xml:space="preserve">the expert </w:t>
      </w:r>
      <w:r w:rsidR="008066DE">
        <w:rPr>
          <w:rFonts w:ascii="Times New Roman" w:hAnsi="Times New Roman" w:cs="Times New Roman"/>
        </w:rPr>
        <w:t xml:space="preserve">physicians, including their responsibility to be careful in </w:t>
      </w:r>
      <w:r w:rsidR="00D16728">
        <w:rPr>
          <w:rFonts w:ascii="Times New Roman" w:hAnsi="Times New Roman" w:cs="Times New Roman"/>
        </w:rPr>
        <w:t xml:space="preserve">passing on their knowledge to </w:t>
      </w:r>
      <w:r w:rsidR="008066DE">
        <w:rPr>
          <w:rFonts w:ascii="Times New Roman" w:hAnsi="Times New Roman" w:cs="Times New Roman"/>
        </w:rPr>
        <w:t xml:space="preserve">later adopters </w:t>
      </w:r>
      <w:r w:rsidR="00D16728">
        <w:rPr>
          <w:rFonts w:ascii="Times New Roman" w:hAnsi="Times New Roman" w:cs="Times New Roman"/>
        </w:rPr>
        <w:t xml:space="preserve">of such dangerous new </w:t>
      </w:r>
      <w:r w:rsidR="008066DE">
        <w:rPr>
          <w:rFonts w:ascii="Times New Roman" w:hAnsi="Times New Roman" w:cs="Times New Roman"/>
        </w:rPr>
        <w:t xml:space="preserve">drugs. </w:t>
      </w:r>
    </w:p>
    <w:p w14:paraId="38DD3380" w14:textId="0179D79B" w:rsidR="006C26E8" w:rsidRPr="006C26E8" w:rsidRDefault="006C26E8" w:rsidP="006C26E8">
      <w:pPr>
        <w:pStyle w:val="Default"/>
        <w:pageBreakBefore/>
        <w:rPr>
          <w:rFonts w:ascii="Times New Roman" w:hAnsi="Times New Roman" w:cs="Times New Roman"/>
        </w:rPr>
      </w:pPr>
      <w:r w:rsidRPr="006C26E8">
        <w:rPr>
          <w:rFonts w:ascii="Times New Roman" w:hAnsi="Times New Roman" w:cs="Times New Roman"/>
          <w:b/>
          <w:bCs/>
        </w:rPr>
        <w:lastRenderedPageBreak/>
        <w:t>References</w:t>
      </w:r>
    </w:p>
    <w:p w14:paraId="3DE43307" w14:textId="77777777" w:rsidR="00AC6A58" w:rsidRDefault="00AC6A58" w:rsidP="00AC6A58">
      <w:pPr>
        <w:spacing w:after="0" w:line="240" w:lineRule="auto"/>
        <w:ind w:left="720" w:hanging="720"/>
        <w:rPr>
          <w:rFonts w:ascii="Times New Roman" w:hAnsi="Times New Roman" w:cs="Times New Roman"/>
          <w:sz w:val="24"/>
          <w:szCs w:val="24"/>
        </w:rPr>
      </w:pPr>
    </w:p>
    <w:p w14:paraId="58764C7E" w14:textId="13F06E4F" w:rsidR="00AC6A58" w:rsidRDefault="00AC6A58" w:rsidP="00AC6A58">
      <w:pPr>
        <w:spacing w:after="0" w:line="240" w:lineRule="auto"/>
        <w:ind w:left="720" w:hanging="720"/>
        <w:rPr>
          <w:rFonts w:ascii="Times New Roman" w:hAnsi="Times New Roman" w:cs="Times New Roman"/>
          <w:sz w:val="24"/>
          <w:szCs w:val="24"/>
        </w:rPr>
      </w:pPr>
      <w:r w:rsidRPr="00AC6A58">
        <w:rPr>
          <w:rFonts w:ascii="Times New Roman" w:hAnsi="Times New Roman" w:cs="Times New Roman"/>
          <w:sz w:val="24"/>
          <w:szCs w:val="24"/>
        </w:rPr>
        <w:t>Bass, F. M. (1969). A new product growth for model consumer durables. </w:t>
      </w:r>
      <w:r w:rsidRPr="00AC6A58">
        <w:rPr>
          <w:rFonts w:ascii="Times New Roman" w:hAnsi="Times New Roman" w:cs="Times New Roman"/>
          <w:i/>
          <w:iCs/>
          <w:sz w:val="24"/>
          <w:szCs w:val="24"/>
        </w:rPr>
        <w:t xml:space="preserve">Management </w:t>
      </w:r>
      <w:r>
        <w:rPr>
          <w:rFonts w:ascii="Times New Roman" w:hAnsi="Times New Roman" w:cs="Times New Roman"/>
          <w:i/>
          <w:iCs/>
          <w:sz w:val="24"/>
          <w:szCs w:val="24"/>
        </w:rPr>
        <w:t>S</w:t>
      </w:r>
      <w:r w:rsidRPr="00AC6A58">
        <w:rPr>
          <w:rFonts w:ascii="Times New Roman" w:hAnsi="Times New Roman" w:cs="Times New Roman"/>
          <w:i/>
          <w:iCs/>
          <w:sz w:val="24"/>
          <w:szCs w:val="24"/>
        </w:rPr>
        <w:t>cience</w:t>
      </w:r>
      <w:r w:rsidRPr="00AC6A58">
        <w:rPr>
          <w:rFonts w:ascii="Times New Roman" w:hAnsi="Times New Roman" w:cs="Times New Roman"/>
          <w:sz w:val="24"/>
          <w:szCs w:val="24"/>
        </w:rPr>
        <w:t>, </w:t>
      </w:r>
      <w:r w:rsidRPr="00AC6A58">
        <w:rPr>
          <w:rFonts w:ascii="Times New Roman" w:hAnsi="Times New Roman" w:cs="Times New Roman"/>
          <w:i/>
          <w:iCs/>
          <w:sz w:val="24"/>
          <w:szCs w:val="24"/>
        </w:rPr>
        <w:t>15</w:t>
      </w:r>
      <w:r w:rsidRPr="00AC6A58">
        <w:rPr>
          <w:rFonts w:ascii="Times New Roman" w:hAnsi="Times New Roman" w:cs="Times New Roman"/>
          <w:sz w:val="24"/>
          <w:szCs w:val="24"/>
        </w:rPr>
        <w:t>(5), 215-227.</w:t>
      </w:r>
    </w:p>
    <w:p w14:paraId="60467804" w14:textId="77777777" w:rsidR="00AC6A58" w:rsidRPr="00AC6A58" w:rsidRDefault="00AC6A58" w:rsidP="00AC6A58">
      <w:pPr>
        <w:spacing w:after="0" w:line="240" w:lineRule="auto"/>
        <w:ind w:left="720" w:hanging="720"/>
        <w:rPr>
          <w:rFonts w:ascii="Times New Roman" w:hAnsi="Times New Roman" w:cs="Times New Roman"/>
          <w:sz w:val="24"/>
          <w:szCs w:val="24"/>
        </w:rPr>
      </w:pPr>
    </w:p>
    <w:p w14:paraId="3990DA53" w14:textId="4A305C29" w:rsidR="00840CD7" w:rsidRDefault="00840CD7" w:rsidP="00AC6A58">
      <w:pPr>
        <w:spacing w:after="0" w:line="240" w:lineRule="auto"/>
        <w:ind w:left="720" w:hanging="720"/>
        <w:rPr>
          <w:rFonts w:ascii="Times New Roman" w:hAnsi="Times New Roman" w:cs="Times New Roman"/>
          <w:sz w:val="24"/>
          <w:szCs w:val="24"/>
        </w:rPr>
      </w:pPr>
      <w:r w:rsidRPr="00AC6A58">
        <w:rPr>
          <w:rFonts w:ascii="Times New Roman" w:hAnsi="Times New Roman" w:cs="Times New Roman"/>
          <w:sz w:val="24"/>
          <w:szCs w:val="24"/>
        </w:rPr>
        <w:t>BBC (2019) Tate art gall</w:t>
      </w:r>
      <w:r w:rsidR="00AC6A58" w:rsidRPr="00AC6A58">
        <w:rPr>
          <w:rFonts w:ascii="Times New Roman" w:hAnsi="Times New Roman" w:cs="Times New Roman"/>
          <w:sz w:val="24"/>
          <w:szCs w:val="24"/>
        </w:rPr>
        <w:t>eries</w:t>
      </w:r>
      <w:r w:rsidRPr="00AC6A58">
        <w:rPr>
          <w:rFonts w:ascii="Times New Roman" w:hAnsi="Times New Roman" w:cs="Times New Roman"/>
          <w:sz w:val="24"/>
          <w:szCs w:val="24"/>
        </w:rPr>
        <w:t xml:space="preserve"> shun Sackler money over </w:t>
      </w:r>
      <w:proofErr w:type="spellStart"/>
      <w:r w:rsidRPr="00AC6A58">
        <w:rPr>
          <w:rFonts w:ascii="Times New Roman" w:hAnsi="Times New Roman" w:cs="Times New Roman"/>
          <w:sz w:val="24"/>
          <w:szCs w:val="24"/>
        </w:rPr>
        <w:t>opoid</w:t>
      </w:r>
      <w:proofErr w:type="spellEnd"/>
      <w:r w:rsidRPr="00AC6A58">
        <w:rPr>
          <w:rFonts w:ascii="Times New Roman" w:hAnsi="Times New Roman" w:cs="Times New Roman"/>
          <w:sz w:val="24"/>
          <w:szCs w:val="24"/>
        </w:rPr>
        <w:t xml:space="preserve"> crises, </w:t>
      </w:r>
      <w:r w:rsidRPr="00AC6A58">
        <w:rPr>
          <w:rFonts w:ascii="Times New Roman" w:hAnsi="Times New Roman" w:cs="Times New Roman"/>
          <w:i/>
          <w:sz w:val="24"/>
          <w:szCs w:val="24"/>
        </w:rPr>
        <w:t>BBC News</w:t>
      </w:r>
      <w:r w:rsidR="00583092" w:rsidRPr="00AC6A58">
        <w:rPr>
          <w:rFonts w:ascii="Times New Roman" w:hAnsi="Times New Roman" w:cs="Times New Roman"/>
          <w:sz w:val="24"/>
          <w:szCs w:val="24"/>
        </w:rPr>
        <w:t>, downloaded from</w:t>
      </w:r>
      <w:r w:rsidRPr="00AC6A58">
        <w:rPr>
          <w:rFonts w:ascii="Times New Roman" w:hAnsi="Times New Roman" w:cs="Times New Roman"/>
          <w:sz w:val="24"/>
          <w:szCs w:val="24"/>
        </w:rPr>
        <w:t xml:space="preserve">  </w:t>
      </w:r>
      <w:hyperlink r:id="rId4" w:history="1">
        <w:r w:rsidR="00AC6A58" w:rsidRPr="001A4F7F">
          <w:rPr>
            <w:rStyle w:val="Hyperlink"/>
            <w:rFonts w:ascii="Times New Roman" w:hAnsi="Times New Roman" w:cs="Times New Roman"/>
            <w:sz w:val="24"/>
            <w:szCs w:val="24"/>
          </w:rPr>
          <w:t>https://www.bbc.com/news/business-47661685 I July 2019</w:t>
        </w:r>
      </w:hyperlink>
      <w:r w:rsidR="00AC6A58">
        <w:rPr>
          <w:rFonts w:ascii="Times New Roman" w:hAnsi="Times New Roman" w:cs="Times New Roman"/>
          <w:sz w:val="24"/>
          <w:szCs w:val="24"/>
        </w:rPr>
        <w:t>.</w:t>
      </w:r>
    </w:p>
    <w:p w14:paraId="1F838A3D" w14:textId="77777777" w:rsidR="00AC6A58" w:rsidRPr="00AC6A58" w:rsidRDefault="00AC6A58" w:rsidP="00AC6A58">
      <w:pPr>
        <w:spacing w:after="0" w:line="240" w:lineRule="auto"/>
        <w:ind w:left="720" w:hanging="720"/>
        <w:rPr>
          <w:rFonts w:ascii="Times New Roman" w:hAnsi="Times New Roman" w:cs="Times New Roman"/>
          <w:sz w:val="24"/>
          <w:szCs w:val="24"/>
        </w:rPr>
      </w:pPr>
    </w:p>
    <w:p w14:paraId="192D3DD1" w14:textId="3C4C60FF" w:rsidR="00C40695" w:rsidRDefault="00C40695"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Coleman, J., E. Katz, H. Menzel. 1957. The diffusion of an innovation among physicians. </w:t>
      </w:r>
      <w:r w:rsidRPr="00AC6A58">
        <w:rPr>
          <w:rFonts w:ascii="Times New Roman" w:hAnsi="Times New Roman" w:cs="Times New Roman"/>
          <w:i/>
          <w:sz w:val="24"/>
          <w:szCs w:val="24"/>
          <w:lang w:val="en-US"/>
        </w:rPr>
        <w:t>Sociometry</w:t>
      </w:r>
      <w:r w:rsidRPr="00AC6A58">
        <w:rPr>
          <w:rFonts w:ascii="Times New Roman" w:hAnsi="Times New Roman" w:cs="Times New Roman"/>
          <w:sz w:val="24"/>
          <w:szCs w:val="24"/>
          <w:lang w:val="en-US"/>
        </w:rPr>
        <w:t>, 253–270.</w:t>
      </w:r>
    </w:p>
    <w:p w14:paraId="5931E7C8"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112E0B14" w14:textId="77777777" w:rsidR="00DC08BA" w:rsidRPr="00AC6A58" w:rsidRDefault="00DC08BA"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Iyengar, R., C. Van den </w:t>
      </w:r>
      <w:proofErr w:type="spellStart"/>
      <w:r w:rsidRPr="00AC6A58">
        <w:rPr>
          <w:rFonts w:ascii="Times New Roman" w:hAnsi="Times New Roman" w:cs="Times New Roman"/>
          <w:sz w:val="24"/>
          <w:szCs w:val="24"/>
          <w:lang w:val="en-US"/>
        </w:rPr>
        <w:t>Bulte</w:t>
      </w:r>
      <w:proofErr w:type="spellEnd"/>
      <w:r w:rsidRPr="00AC6A58">
        <w:rPr>
          <w:rFonts w:ascii="Times New Roman" w:hAnsi="Times New Roman" w:cs="Times New Roman"/>
          <w:sz w:val="24"/>
          <w:szCs w:val="24"/>
          <w:lang w:val="en-US"/>
        </w:rPr>
        <w:t xml:space="preserve">, T. Valente. 2011. Opinion leadership and social contagion in new product diffusion. </w:t>
      </w:r>
      <w:r w:rsidRPr="00AC6A58">
        <w:rPr>
          <w:rFonts w:ascii="Times New Roman" w:hAnsi="Times New Roman" w:cs="Times New Roman"/>
          <w:i/>
          <w:sz w:val="24"/>
          <w:szCs w:val="24"/>
          <w:lang w:val="en-US"/>
        </w:rPr>
        <w:t>Marketing Science</w:t>
      </w:r>
      <w:r w:rsidRPr="00AC6A58">
        <w:rPr>
          <w:rFonts w:ascii="Times New Roman" w:hAnsi="Times New Roman" w:cs="Times New Roman"/>
          <w:sz w:val="24"/>
          <w:szCs w:val="24"/>
          <w:lang w:val="en-US"/>
        </w:rPr>
        <w:t>, 30(2), 195–212.</w:t>
      </w:r>
    </w:p>
    <w:p w14:paraId="751E513A" w14:textId="77777777" w:rsidR="00DC08BA" w:rsidRPr="00AC6A58" w:rsidRDefault="00DC08BA" w:rsidP="00AC6A58">
      <w:pPr>
        <w:spacing w:after="0" w:line="240" w:lineRule="auto"/>
        <w:rPr>
          <w:rFonts w:ascii="Times New Roman" w:hAnsi="Times New Roman" w:cs="Times New Roman"/>
          <w:sz w:val="24"/>
          <w:szCs w:val="24"/>
          <w:lang w:val="en-US"/>
        </w:rPr>
      </w:pPr>
    </w:p>
    <w:p w14:paraId="55B39C85" w14:textId="6A95D8FE" w:rsidR="00C40695" w:rsidRDefault="00C40695"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Iyengar, R., C. Van den </w:t>
      </w:r>
      <w:proofErr w:type="spellStart"/>
      <w:r w:rsidRPr="00AC6A58">
        <w:rPr>
          <w:rFonts w:ascii="Times New Roman" w:hAnsi="Times New Roman" w:cs="Times New Roman"/>
          <w:sz w:val="24"/>
          <w:szCs w:val="24"/>
          <w:lang w:val="en-US"/>
        </w:rPr>
        <w:t>Bulte</w:t>
      </w:r>
      <w:proofErr w:type="spellEnd"/>
      <w:r w:rsidRPr="00AC6A58">
        <w:rPr>
          <w:rFonts w:ascii="Times New Roman" w:hAnsi="Times New Roman" w:cs="Times New Roman"/>
          <w:sz w:val="24"/>
          <w:szCs w:val="24"/>
          <w:lang w:val="en-US"/>
        </w:rPr>
        <w:t xml:space="preserve">, J.Y. Lee. 2015. Social contagion in new product trial and repeat. </w:t>
      </w:r>
      <w:r w:rsidRPr="00AC6A58">
        <w:rPr>
          <w:rFonts w:ascii="Times New Roman" w:hAnsi="Times New Roman" w:cs="Times New Roman"/>
          <w:i/>
          <w:sz w:val="24"/>
          <w:szCs w:val="24"/>
          <w:lang w:val="en-US"/>
        </w:rPr>
        <w:t>Marketing Science</w:t>
      </w:r>
      <w:r w:rsidRPr="00AC6A58">
        <w:rPr>
          <w:rFonts w:ascii="Times New Roman" w:hAnsi="Times New Roman" w:cs="Times New Roman"/>
          <w:sz w:val="24"/>
          <w:szCs w:val="24"/>
          <w:lang w:val="en-US"/>
        </w:rPr>
        <w:t>, 34(3), 408–429.</w:t>
      </w:r>
    </w:p>
    <w:p w14:paraId="11B27359"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0A2BA630" w14:textId="77777777" w:rsidR="00F027FB" w:rsidRPr="00F027FB" w:rsidRDefault="00F027FB" w:rsidP="00F027FB">
      <w:pPr>
        <w:spacing w:after="0" w:line="240" w:lineRule="auto"/>
        <w:ind w:left="720" w:hanging="720"/>
        <w:rPr>
          <w:rFonts w:ascii="Times New Roman" w:hAnsi="Times New Roman" w:cs="Times New Roman"/>
          <w:sz w:val="24"/>
          <w:szCs w:val="24"/>
        </w:rPr>
      </w:pPr>
      <w:proofErr w:type="spellStart"/>
      <w:r w:rsidRPr="00F027FB">
        <w:rPr>
          <w:rFonts w:ascii="Times New Roman" w:hAnsi="Times New Roman" w:cs="Times New Roman"/>
          <w:sz w:val="24"/>
          <w:szCs w:val="24"/>
        </w:rPr>
        <w:t>Lublóy</w:t>
      </w:r>
      <w:proofErr w:type="spellEnd"/>
      <w:r w:rsidRPr="00F027FB">
        <w:rPr>
          <w:rFonts w:ascii="Times New Roman" w:hAnsi="Times New Roman" w:cs="Times New Roman"/>
          <w:sz w:val="24"/>
          <w:szCs w:val="24"/>
        </w:rPr>
        <w:t>, Á. (2014). Factors affecting the uptake of new medicines: a systematic literature review. </w:t>
      </w:r>
      <w:r w:rsidRPr="00F027FB">
        <w:rPr>
          <w:rFonts w:ascii="Times New Roman" w:hAnsi="Times New Roman" w:cs="Times New Roman"/>
          <w:i/>
          <w:iCs/>
          <w:sz w:val="24"/>
          <w:szCs w:val="24"/>
        </w:rPr>
        <w:t>BMC health services research</w:t>
      </w:r>
      <w:r w:rsidRPr="00F027FB">
        <w:rPr>
          <w:rFonts w:ascii="Times New Roman" w:hAnsi="Times New Roman" w:cs="Times New Roman"/>
          <w:sz w:val="24"/>
          <w:szCs w:val="24"/>
        </w:rPr>
        <w:t>, </w:t>
      </w:r>
      <w:r w:rsidRPr="00F027FB">
        <w:rPr>
          <w:rFonts w:ascii="Times New Roman" w:hAnsi="Times New Roman" w:cs="Times New Roman"/>
          <w:i/>
          <w:iCs/>
          <w:sz w:val="24"/>
          <w:szCs w:val="24"/>
        </w:rPr>
        <w:t>14</w:t>
      </w:r>
      <w:r w:rsidRPr="00F027FB">
        <w:rPr>
          <w:rFonts w:ascii="Times New Roman" w:hAnsi="Times New Roman" w:cs="Times New Roman"/>
          <w:sz w:val="24"/>
          <w:szCs w:val="24"/>
        </w:rPr>
        <w:t>(1), 469.</w:t>
      </w:r>
    </w:p>
    <w:p w14:paraId="4539217F"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52992DCC" w14:textId="4AB1E995" w:rsidR="00C40695" w:rsidRDefault="00C40695" w:rsidP="00AC6A58">
      <w:pPr>
        <w:spacing w:after="0" w:line="240" w:lineRule="auto"/>
        <w:ind w:left="720" w:hanging="720"/>
        <w:rPr>
          <w:rFonts w:ascii="Times New Roman" w:eastAsia="Times New Roman" w:hAnsi="Times New Roman" w:cs="Times New Roman"/>
          <w:color w:val="222222"/>
          <w:sz w:val="24"/>
          <w:szCs w:val="24"/>
          <w:shd w:val="clear" w:color="auto" w:fill="FFFFFF"/>
        </w:rPr>
      </w:pPr>
      <w:r w:rsidRPr="00C40695">
        <w:rPr>
          <w:rFonts w:ascii="Times New Roman" w:eastAsia="Times New Roman" w:hAnsi="Times New Roman" w:cs="Times New Roman"/>
          <w:color w:val="222222"/>
          <w:sz w:val="24"/>
          <w:szCs w:val="24"/>
          <w:shd w:val="clear" w:color="auto" w:fill="FFFFFF"/>
        </w:rPr>
        <w:t xml:space="preserve">Katz, E., &amp; </w:t>
      </w:r>
      <w:proofErr w:type="spellStart"/>
      <w:r w:rsidRPr="00C40695">
        <w:rPr>
          <w:rFonts w:ascii="Times New Roman" w:eastAsia="Times New Roman" w:hAnsi="Times New Roman" w:cs="Times New Roman"/>
          <w:color w:val="222222"/>
          <w:sz w:val="24"/>
          <w:szCs w:val="24"/>
          <w:shd w:val="clear" w:color="auto" w:fill="FFFFFF"/>
        </w:rPr>
        <w:t>Lazarsfeld</w:t>
      </w:r>
      <w:proofErr w:type="spellEnd"/>
      <w:r w:rsidRPr="00C40695">
        <w:rPr>
          <w:rFonts w:ascii="Times New Roman" w:eastAsia="Times New Roman" w:hAnsi="Times New Roman" w:cs="Times New Roman"/>
          <w:color w:val="222222"/>
          <w:sz w:val="24"/>
          <w:szCs w:val="24"/>
          <w:shd w:val="clear" w:color="auto" w:fill="FFFFFF"/>
        </w:rPr>
        <w:t xml:space="preserve">, P. F. (1955). </w:t>
      </w:r>
      <w:r w:rsidRPr="00C40695">
        <w:rPr>
          <w:rFonts w:ascii="Times New Roman" w:eastAsia="Times New Roman" w:hAnsi="Times New Roman" w:cs="Times New Roman"/>
          <w:i/>
          <w:color w:val="222222"/>
          <w:sz w:val="24"/>
          <w:szCs w:val="24"/>
          <w:shd w:val="clear" w:color="auto" w:fill="FFFFFF"/>
        </w:rPr>
        <w:t>Personal influence: the part played by people in the flow of mass communications.</w:t>
      </w:r>
      <w:r w:rsidR="00C269D1">
        <w:rPr>
          <w:rFonts w:ascii="Times New Roman" w:eastAsia="Times New Roman" w:hAnsi="Times New Roman" w:cs="Times New Roman"/>
          <w:i/>
          <w:color w:val="222222"/>
          <w:sz w:val="24"/>
          <w:szCs w:val="24"/>
          <w:shd w:val="clear" w:color="auto" w:fill="FFFFFF"/>
        </w:rPr>
        <w:t xml:space="preserve"> </w:t>
      </w:r>
      <w:r w:rsidR="00C269D1" w:rsidRPr="00AC6A58">
        <w:rPr>
          <w:rFonts w:ascii="Times New Roman" w:hAnsi="Times New Roman" w:cs="Times New Roman"/>
          <w:sz w:val="24"/>
          <w:szCs w:val="24"/>
          <w:lang w:val="en-US"/>
        </w:rPr>
        <w:t>Free Press of Glencoe.</w:t>
      </w:r>
    </w:p>
    <w:p w14:paraId="5711923E" w14:textId="77777777" w:rsidR="00AC6A58" w:rsidRPr="00AC6A58" w:rsidRDefault="00AC6A58" w:rsidP="00AC6A58">
      <w:pPr>
        <w:spacing w:after="0" w:line="240" w:lineRule="auto"/>
        <w:rPr>
          <w:rFonts w:ascii="Times New Roman" w:eastAsia="Times New Roman" w:hAnsi="Times New Roman" w:cs="Times New Roman"/>
          <w:sz w:val="24"/>
          <w:szCs w:val="24"/>
        </w:rPr>
      </w:pPr>
    </w:p>
    <w:p w14:paraId="6DB88292" w14:textId="58243255" w:rsidR="00C40695" w:rsidRDefault="00C40695"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Bartels, J., M. J. Reinders. 2011. Consumer Innovativeness and its correlates. A propositional inventory for future research. </w:t>
      </w:r>
      <w:r w:rsidRPr="00AC6A58">
        <w:rPr>
          <w:rFonts w:ascii="Times New Roman" w:hAnsi="Times New Roman" w:cs="Times New Roman"/>
          <w:i/>
          <w:sz w:val="24"/>
          <w:szCs w:val="24"/>
          <w:lang w:val="en-US"/>
        </w:rPr>
        <w:t>Journal of Business Research</w:t>
      </w:r>
      <w:r w:rsidRPr="00AC6A58">
        <w:rPr>
          <w:rFonts w:ascii="Times New Roman" w:hAnsi="Times New Roman" w:cs="Times New Roman"/>
          <w:sz w:val="24"/>
          <w:szCs w:val="24"/>
          <w:lang w:val="en-US"/>
        </w:rPr>
        <w:t>, 64(6), 601-609.</w:t>
      </w:r>
    </w:p>
    <w:p w14:paraId="7FABD099"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2D5E7424" w14:textId="7D6E8918" w:rsidR="00DC08BA" w:rsidRDefault="00DC08BA"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Liu, Q., S. Gupta. 2012. A micro-level diffusion model for new drug adoption. </w:t>
      </w:r>
      <w:r w:rsidRPr="00AC6A58">
        <w:rPr>
          <w:rFonts w:ascii="Times New Roman" w:hAnsi="Times New Roman" w:cs="Times New Roman"/>
          <w:i/>
          <w:sz w:val="24"/>
          <w:szCs w:val="24"/>
          <w:lang w:val="en-US"/>
        </w:rPr>
        <w:t>Journal of Product Innovation Management</w:t>
      </w:r>
      <w:r w:rsidRPr="00AC6A58">
        <w:rPr>
          <w:rFonts w:ascii="Times New Roman" w:hAnsi="Times New Roman" w:cs="Times New Roman"/>
          <w:sz w:val="24"/>
          <w:szCs w:val="24"/>
          <w:lang w:val="en-US"/>
        </w:rPr>
        <w:t>, 29(3), 372–384.</w:t>
      </w:r>
    </w:p>
    <w:p w14:paraId="148E6651"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4E183C0F" w14:textId="35F7E9FF" w:rsidR="00DC08BA" w:rsidRDefault="00DC08BA"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Manchanda, P., Y. </w:t>
      </w:r>
      <w:proofErr w:type="spellStart"/>
      <w:r w:rsidRPr="00AC6A58">
        <w:rPr>
          <w:rFonts w:ascii="Times New Roman" w:hAnsi="Times New Roman" w:cs="Times New Roman"/>
          <w:sz w:val="24"/>
          <w:szCs w:val="24"/>
          <w:lang w:val="en-US"/>
        </w:rPr>
        <w:t>Xie</w:t>
      </w:r>
      <w:proofErr w:type="spellEnd"/>
      <w:r w:rsidRPr="00AC6A58">
        <w:rPr>
          <w:rFonts w:ascii="Times New Roman" w:hAnsi="Times New Roman" w:cs="Times New Roman"/>
          <w:sz w:val="24"/>
          <w:szCs w:val="24"/>
          <w:lang w:val="en-US"/>
        </w:rPr>
        <w:t xml:space="preserve">, N. </w:t>
      </w:r>
      <w:proofErr w:type="spellStart"/>
      <w:r w:rsidRPr="00AC6A58">
        <w:rPr>
          <w:rFonts w:ascii="Times New Roman" w:hAnsi="Times New Roman" w:cs="Times New Roman"/>
          <w:sz w:val="24"/>
          <w:szCs w:val="24"/>
          <w:lang w:val="en-US"/>
        </w:rPr>
        <w:t>Youn</w:t>
      </w:r>
      <w:proofErr w:type="spellEnd"/>
      <w:r w:rsidRPr="00AC6A58">
        <w:rPr>
          <w:rFonts w:ascii="Times New Roman" w:hAnsi="Times New Roman" w:cs="Times New Roman"/>
          <w:sz w:val="24"/>
          <w:szCs w:val="24"/>
          <w:lang w:val="en-US"/>
        </w:rPr>
        <w:t xml:space="preserve">. 2008. The role of targeted communication and contagion in product adoption. </w:t>
      </w:r>
      <w:r w:rsidRPr="00AC6A58">
        <w:rPr>
          <w:rFonts w:ascii="Times New Roman" w:hAnsi="Times New Roman" w:cs="Times New Roman"/>
          <w:i/>
          <w:sz w:val="24"/>
          <w:szCs w:val="24"/>
          <w:lang w:val="en-US"/>
        </w:rPr>
        <w:t>Marketing Science</w:t>
      </w:r>
      <w:r w:rsidRPr="00AC6A58">
        <w:rPr>
          <w:rFonts w:ascii="Times New Roman" w:hAnsi="Times New Roman" w:cs="Times New Roman"/>
          <w:sz w:val="24"/>
          <w:szCs w:val="24"/>
          <w:lang w:val="en-US"/>
        </w:rPr>
        <w:t>, 27(6), 961–976.</w:t>
      </w:r>
    </w:p>
    <w:p w14:paraId="02D8BACD" w14:textId="77777777" w:rsidR="00AC6A58" w:rsidRPr="00AC6A58" w:rsidRDefault="00AC6A58" w:rsidP="00AC6A58">
      <w:pPr>
        <w:spacing w:after="0" w:line="240" w:lineRule="auto"/>
        <w:ind w:left="720" w:hanging="720"/>
        <w:rPr>
          <w:rFonts w:ascii="Times New Roman" w:hAnsi="Times New Roman" w:cs="Times New Roman"/>
          <w:sz w:val="24"/>
          <w:szCs w:val="24"/>
          <w:lang w:val="en-US"/>
        </w:rPr>
      </w:pPr>
    </w:p>
    <w:p w14:paraId="1FCC72A1" w14:textId="77777777" w:rsidR="00E607DA" w:rsidRPr="00AC6A58" w:rsidRDefault="00E607DA" w:rsidP="00E607DA">
      <w:pPr>
        <w:spacing w:after="0" w:line="240" w:lineRule="auto"/>
        <w:ind w:left="720" w:hanging="720"/>
        <w:rPr>
          <w:rFonts w:ascii="Times New Roman" w:eastAsia="Times New Roman" w:hAnsi="Times New Roman" w:cs="Times New Roman"/>
          <w:sz w:val="24"/>
          <w:szCs w:val="24"/>
        </w:rPr>
      </w:pPr>
      <w:proofErr w:type="spellStart"/>
      <w:r w:rsidRPr="00AC6A58">
        <w:rPr>
          <w:rFonts w:ascii="Times New Roman" w:hAnsi="Times New Roman" w:cs="Times New Roman"/>
          <w:sz w:val="24"/>
          <w:szCs w:val="24"/>
        </w:rPr>
        <w:t>Pachecho</w:t>
      </w:r>
      <w:proofErr w:type="spellEnd"/>
      <w:r w:rsidRPr="00AC6A58">
        <w:rPr>
          <w:rFonts w:ascii="Times New Roman" w:hAnsi="Times New Roman" w:cs="Times New Roman"/>
          <w:sz w:val="24"/>
          <w:szCs w:val="24"/>
        </w:rPr>
        <w:t xml:space="preserve">, </w:t>
      </w:r>
      <w:proofErr w:type="spellStart"/>
      <w:r w:rsidRPr="00AC6A58">
        <w:rPr>
          <w:rFonts w:ascii="Times New Roman" w:hAnsi="Times New Roman" w:cs="Times New Roman"/>
          <w:sz w:val="24"/>
          <w:szCs w:val="24"/>
        </w:rPr>
        <w:t>R.m</w:t>
      </w:r>
      <w:proofErr w:type="spellEnd"/>
      <w:r w:rsidRPr="00AC6A58">
        <w:rPr>
          <w:rFonts w:ascii="Times New Roman" w:hAnsi="Times New Roman" w:cs="Times New Roman"/>
          <w:sz w:val="24"/>
          <w:szCs w:val="24"/>
        </w:rPr>
        <w:t xml:space="preserve"> (2002), The use and </w:t>
      </w:r>
      <w:proofErr w:type="spellStart"/>
      <w:r w:rsidRPr="00AC6A58">
        <w:rPr>
          <w:rFonts w:ascii="Times New Roman" w:hAnsi="Times New Roman" w:cs="Times New Roman"/>
          <w:sz w:val="24"/>
          <w:szCs w:val="24"/>
        </w:rPr>
        <w:t>Misue</w:t>
      </w:r>
      <w:proofErr w:type="spellEnd"/>
      <w:r w:rsidRPr="00AC6A58">
        <w:rPr>
          <w:rFonts w:ascii="Times New Roman" w:hAnsi="Times New Roman" w:cs="Times New Roman"/>
          <w:sz w:val="24"/>
          <w:szCs w:val="24"/>
        </w:rPr>
        <w:t xml:space="preserve"> of OxyContin, </w:t>
      </w:r>
      <w:r>
        <w:rPr>
          <w:rFonts w:ascii="Times New Roman" w:hAnsi="Times New Roman" w:cs="Times New Roman"/>
          <w:i/>
          <w:sz w:val="24"/>
          <w:szCs w:val="24"/>
        </w:rPr>
        <w:t xml:space="preserve">Harvard </w:t>
      </w:r>
      <w:r w:rsidRPr="000028AB">
        <w:rPr>
          <w:rFonts w:ascii="Times New Roman" w:hAnsi="Times New Roman" w:cs="Times New Roman"/>
          <w:i/>
          <w:sz w:val="24"/>
          <w:szCs w:val="24"/>
        </w:rPr>
        <w:t>Library</w:t>
      </w:r>
      <w:r w:rsidRPr="000028AB">
        <w:rPr>
          <w:rFonts w:ascii="Times New Roman" w:hAnsi="Times New Roman" w:cs="Times New Roman"/>
          <w:sz w:val="24"/>
          <w:szCs w:val="24"/>
        </w:rPr>
        <w:t>,</w:t>
      </w:r>
      <w:r>
        <w:rPr>
          <w:rFonts w:ascii="Times New Roman" w:hAnsi="Times New Roman" w:cs="Times New Roman"/>
          <w:sz w:val="24"/>
          <w:szCs w:val="24"/>
          <w:u w:val="single"/>
        </w:rPr>
        <w:t xml:space="preserve"> </w:t>
      </w:r>
      <w:r w:rsidRPr="000028AB">
        <w:rPr>
          <w:rFonts w:ascii="Times New Roman" w:hAnsi="Times New Roman" w:cs="Times New Roman"/>
          <w:sz w:val="24"/>
          <w:szCs w:val="24"/>
        </w:rPr>
        <w:t>downloaded</w:t>
      </w:r>
      <w:r w:rsidRPr="00AC6A58">
        <w:rPr>
          <w:rFonts w:ascii="Times New Roman" w:hAnsi="Times New Roman" w:cs="Times New Roman"/>
          <w:sz w:val="24"/>
          <w:szCs w:val="24"/>
        </w:rPr>
        <w:t xml:space="preserve"> from </w:t>
      </w:r>
      <w:hyperlink r:id="rId5" w:history="1">
        <w:r w:rsidRPr="00AC6A58">
          <w:rPr>
            <w:rStyle w:val="Hyperlink"/>
            <w:rFonts w:ascii="Times New Roman" w:eastAsia="Times New Roman" w:hAnsi="Times New Roman" w:cs="Times New Roman"/>
            <w:sz w:val="24"/>
            <w:szCs w:val="24"/>
          </w:rPr>
          <w:t>http://nrs.harvard.edu/urn-3:HUL.InstRepos:8846740</w:t>
        </w:r>
      </w:hyperlink>
      <w:r w:rsidRPr="00AC6A58">
        <w:rPr>
          <w:rFonts w:ascii="Times New Roman" w:eastAsia="Times New Roman" w:hAnsi="Times New Roman" w:cs="Times New Roman"/>
          <w:sz w:val="24"/>
          <w:szCs w:val="24"/>
        </w:rPr>
        <w:t xml:space="preserve"> 1 July 2019.</w:t>
      </w:r>
    </w:p>
    <w:p w14:paraId="01565D4A" w14:textId="77777777" w:rsidR="00E607DA" w:rsidRPr="00AC6A58" w:rsidRDefault="00E607DA" w:rsidP="00E607DA">
      <w:pPr>
        <w:spacing w:after="0" w:line="240" w:lineRule="auto"/>
        <w:rPr>
          <w:rFonts w:ascii="Times New Roman" w:hAnsi="Times New Roman" w:cs="Times New Roman"/>
          <w:sz w:val="24"/>
          <w:szCs w:val="24"/>
        </w:rPr>
      </w:pPr>
    </w:p>
    <w:p w14:paraId="29F5B304" w14:textId="54D5457C" w:rsidR="00DC08BA" w:rsidRDefault="00DC08BA" w:rsidP="00AC6A58">
      <w:pPr>
        <w:spacing w:after="0" w:line="240" w:lineRule="auto"/>
        <w:outlineLvl w:val="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Rogers, E. 1962. </w:t>
      </w:r>
      <w:r w:rsidRPr="00AC6A58">
        <w:rPr>
          <w:rFonts w:ascii="Times New Roman" w:hAnsi="Times New Roman" w:cs="Times New Roman"/>
          <w:i/>
          <w:sz w:val="24"/>
          <w:szCs w:val="24"/>
          <w:lang w:val="en-US"/>
        </w:rPr>
        <w:t>Diffusion of Innovations</w:t>
      </w:r>
      <w:r w:rsidRPr="00AC6A58">
        <w:rPr>
          <w:rFonts w:ascii="Times New Roman" w:hAnsi="Times New Roman" w:cs="Times New Roman"/>
          <w:sz w:val="24"/>
          <w:szCs w:val="24"/>
          <w:lang w:val="en-US"/>
        </w:rPr>
        <w:t>. Free Press of Glencoe.</w:t>
      </w:r>
    </w:p>
    <w:p w14:paraId="6D8379E6" w14:textId="77777777" w:rsidR="00AC6A58" w:rsidRPr="00AC6A58" w:rsidRDefault="00AC6A58" w:rsidP="00AC6A58">
      <w:pPr>
        <w:spacing w:after="0" w:line="240" w:lineRule="auto"/>
        <w:outlineLvl w:val="0"/>
        <w:rPr>
          <w:rFonts w:ascii="Times New Roman" w:hAnsi="Times New Roman" w:cs="Times New Roman"/>
          <w:sz w:val="24"/>
          <w:szCs w:val="24"/>
          <w:lang w:val="en-US"/>
        </w:rPr>
      </w:pPr>
    </w:p>
    <w:p w14:paraId="29E3CF5E" w14:textId="67E86C61" w:rsidR="00AC6A58" w:rsidRDefault="00AC6A58" w:rsidP="00AC6A58">
      <w:pPr>
        <w:spacing w:after="0" w:line="240" w:lineRule="auto"/>
        <w:ind w:left="720" w:hanging="720"/>
        <w:rPr>
          <w:rFonts w:ascii="Times New Roman" w:hAnsi="Times New Roman" w:cs="Times New Roman"/>
          <w:sz w:val="24"/>
          <w:szCs w:val="24"/>
          <w:lang w:val="en-US"/>
        </w:rPr>
      </w:pPr>
      <w:r w:rsidRPr="00AC6A58">
        <w:rPr>
          <w:rFonts w:ascii="Times New Roman" w:hAnsi="Times New Roman" w:cs="Times New Roman"/>
          <w:sz w:val="24"/>
          <w:szCs w:val="24"/>
          <w:lang w:val="en-US"/>
        </w:rPr>
        <w:t xml:space="preserve">Stern, P., M. Wright, M. 2016. The adoption of new prescription drugs is strongly associated with prior category prescribing rate. </w:t>
      </w:r>
      <w:r w:rsidRPr="00AC6A58">
        <w:rPr>
          <w:rFonts w:ascii="Times New Roman" w:hAnsi="Times New Roman" w:cs="Times New Roman"/>
          <w:i/>
          <w:sz w:val="24"/>
          <w:szCs w:val="24"/>
          <w:lang w:val="en-US"/>
        </w:rPr>
        <w:t>International Journal of Research in Marketing</w:t>
      </w:r>
      <w:r w:rsidRPr="00AC6A58">
        <w:rPr>
          <w:rFonts w:ascii="Times New Roman" w:hAnsi="Times New Roman" w:cs="Times New Roman"/>
          <w:sz w:val="24"/>
          <w:szCs w:val="24"/>
          <w:lang w:val="en-US"/>
        </w:rPr>
        <w:t xml:space="preserve"> 33 (1), 220-224.</w:t>
      </w:r>
    </w:p>
    <w:p w14:paraId="5A92C0F2" w14:textId="09C48C18" w:rsidR="00AC6A58" w:rsidRPr="00AC6A58" w:rsidRDefault="00AC6A58" w:rsidP="00AC6A58">
      <w:pPr>
        <w:spacing w:after="0" w:line="240" w:lineRule="auto"/>
        <w:ind w:left="1440" w:hanging="1440"/>
        <w:rPr>
          <w:rFonts w:ascii="Times New Roman" w:hAnsi="Times New Roman" w:cs="Times New Roman"/>
          <w:sz w:val="24"/>
          <w:szCs w:val="24"/>
          <w:lang w:val="en-US"/>
        </w:rPr>
      </w:pPr>
    </w:p>
    <w:sectPr w:rsidR="00AC6A58" w:rsidRPr="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Geeza Pro">
    <w:panose1 w:val="02000400000000000000"/>
    <w:charset w:val="B2"/>
    <w:family w:val="auto"/>
    <w:pitch w:val="variable"/>
    <w:sig w:usb0="80002001" w:usb1="80000000" w:usb2="00000008" w:usb3="00000000" w:csb0="0000004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E8"/>
    <w:rsid w:val="000028AB"/>
    <w:rsid w:val="000741E8"/>
    <w:rsid w:val="0020026E"/>
    <w:rsid w:val="002551DB"/>
    <w:rsid w:val="002A1672"/>
    <w:rsid w:val="002C3CF8"/>
    <w:rsid w:val="003F420B"/>
    <w:rsid w:val="00501FBD"/>
    <w:rsid w:val="0056646F"/>
    <w:rsid w:val="00583092"/>
    <w:rsid w:val="005842A9"/>
    <w:rsid w:val="0065209C"/>
    <w:rsid w:val="006C26E8"/>
    <w:rsid w:val="007B2E2B"/>
    <w:rsid w:val="007E387F"/>
    <w:rsid w:val="007E75DC"/>
    <w:rsid w:val="008066DE"/>
    <w:rsid w:val="00840CD7"/>
    <w:rsid w:val="00A06598"/>
    <w:rsid w:val="00A31B58"/>
    <w:rsid w:val="00A91CFB"/>
    <w:rsid w:val="00AC6A58"/>
    <w:rsid w:val="00B432FD"/>
    <w:rsid w:val="00B656E1"/>
    <w:rsid w:val="00C269D1"/>
    <w:rsid w:val="00C40695"/>
    <w:rsid w:val="00C73569"/>
    <w:rsid w:val="00CD1784"/>
    <w:rsid w:val="00D16728"/>
    <w:rsid w:val="00D57F18"/>
    <w:rsid w:val="00D80496"/>
    <w:rsid w:val="00DC08BA"/>
    <w:rsid w:val="00E51B2D"/>
    <w:rsid w:val="00E607DA"/>
    <w:rsid w:val="00EC36F5"/>
    <w:rsid w:val="00F027FB"/>
    <w:rsid w:val="00F66BBC"/>
    <w:rsid w:val="00FE429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1FFF"/>
  <w15:chartTrackingRefBased/>
  <w15:docId w15:val="{004DC451-217F-4866-93AC-78396C4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6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26E8"/>
    <w:rPr>
      <w:color w:val="0563C1" w:themeColor="hyperlink"/>
      <w:u w:val="single"/>
    </w:rPr>
  </w:style>
  <w:style w:type="character" w:customStyle="1" w:styleId="UnresolvedMention1">
    <w:name w:val="Unresolved Mention1"/>
    <w:basedOn w:val="DefaultParagraphFont"/>
    <w:uiPriority w:val="99"/>
    <w:semiHidden/>
    <w:unhideWhenUsed/>
    <w:rsid w:val="00840CD7"/>
    <w:rPr>
      <w:color w:val="605E5C"/>
      <w:shd w:val="clear" w:color="auto" w:fill="E1DFDD"/>
    </w:rPr>
  </w:style>
  <w:style w:type="table" w:styleId="TableGrid">
    <w:name w:val="Table Grid"/>
    <w:basedOn w:val="TableNormal"/>
    <w:uiPriority w:val="39"/>
    <w:rsid w:val="00E5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A58"/>
    <w:rPr>
      <w:color w:val="954F72" w:themeColor="followedHyperlink"/>
      <w:u w:val="single"/>
    </w:rPr>
  </w:style>
  <w:style w:type="paragraph" w:styleId="BalloonText">
    <w:name w:val="Balloon Text"/>
    <w:basedOn w:val="Normal"/>
    <w:link w:val="BalloonTextChar"/>
    <w:uiPriority w:val="99"/>
    <w:semiHidden/>
    <w:unhideWhenUsed/>
    <w:rsid w:val="003F4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9410">
      <w:bodyDiv w:val="1"/>
      <w:marLeft w:val="0"/>
      <w:marRight w:val="0"/>
      <w:marTop w:val="0"/>
      <w:marBottom w:val="0"/>
      <w:divBdr>
        <w:top w:val="none" w:sz="0" w:space="0" w:color="auto"/>
        <w:left w:val="none" w:sz="0" w:space="0" w:color="auto"/>
        <w:bottom w:val="none" w:sz="0" w:space="0" w:color="auto"/>
        <w:right w:val="none" w:sz="0" w:space="0" w:color="auto"/>
      </w:divBdr>
    </w:div>
    <w:div w:id="356853529">
      <w:bodyDiv w:val="1"/>
      <w:marLeft w:val="0"/>
      <w:marRight w:val="0"/>
      <w:marTop w:val="0"/>
      <w:marBottom w:val="0"/>
      <w:divBdr>
        <w:top w:val="none" w:sz="0" w:space="0" w:color="auto"/>
        <w:left w:val="none" w:sz="0" w:space="0" w:color="auto"/>
        <w:bottom w:val="none" w:sz="0" w:space="0" w:color="auto"/>
        <w:right w:val="none" w:sz="0" w:space="0" w:color="auto"/>
      </w:divBdr>
    </w:div>
    <w:div w:id="508174947">
      <w:bodyDiv w:val="1"/>
      <w:marLeft w:val="0"/>
      <w:marRight w:val="0"/>
      <w:marTop w:val="0"/>
      <w:marBottom w:val="0"/>
      <w:divBdr>
        <w:top w:val="none" w:sz="0" w:space="0" w:color="auto"/>
        <w:left w:val="none" w:sz="0" w:space="0" w:color="auto"/>
        <w:bottom w:val="none" w:sz="0" w:space="0" w:color="auto"/>
        <w:right w:val="none" w:sz="0" w:space="0" w:color="auto"/>
      </w:divBdr>
    </w:div>
    <w:div w:id="1518470025">
      <w:bodyDiv w:val="1"/>
      <w:marLeft w:val="0"/>
      <w:marRight w:val="0"/>
      <w:marTop w:val="0"/>
      <w:marBottom w:val="0"/>
      <w:divBdr>
        <w:top w:val="none" w:sz="0" w:space="0" w:color="auto"/>
        <w:left w:val="none" w:sz="0" w:space="0" w:color="auto"/>
        <w:bottom w:val="none" w:sz="0" w:space="0" w:color="auto"/>
        <w:right w:val="none" w:sz="0" w:space="0" w:color="auto"/>
      </w:divBdr>
    </w:div>
    <w:div w:id="1539007680">
      <w:bodyDiv w:val="1"/>
      <w:marLeft w:val="0"/>
      <w:marRight w:val="0"/>
      <w:marTop w:val="0"/>
      <w:marBottom w:val="0"/>
      <w:divBdr>
        <w:top w:val="none" w:sz="0" w:space="0" w:color="auto"/>
        <w:left w:val="none" w:sz="0" w:space="0" w:color="auto"/>
        <w:bottom w:val="none" w:sz="0" w:space="0" w:color="auto"/>
        <w:right w:val="none" w:sz="0" w:space="0" w:color="auto"/>
      </w:divBdr>
    </w:div>
    <w:div w:id="15755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rs.harvard.edu/urn-3:HUL.InstRepos:8846740" TargetMode="External"/><Relationship Id="rId4" Type="http://schemas.openxmlformats.org/officeDocument/2006/relationships/hyperlink" Target="https://www.bbc.com/news/business-47661685%20I%20July%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Daellenbach</dc:creator>
  <cp:keywords/>
  <dc:description/>
  <cp:lastModifiedBy>Charles Graham</cp:lastModifiedBy>
  <cp:revision>4</cp:revision>
  <cp:lastPrinted>2019-07-01T11:58:00Z</cp:lastPrinted>
  <dcterms:created xsi:type="dcterms:W3CDTF">2019-07-01T13:19:00Z</dcterms:created>
  <dcterms:modified xsi:type="dcterms:W3CDTF">2020-01-06T19:44:00Z</dcterms:modified>
</cp:coreProperties>
</file>