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FF80D" w14:textId="20085CC2" w:rsidR="00764989" w:rsidRPr="005D6CDC" w:rsidRDefault="00350E05" w:rsidP="0013127E">
      <w:pPr>
        <w:jc w:val="center"/>
        <w:rPr>
          <w:b/>
          <w:sz w:val="32"/>
          <w:szCs w:val="32"/>
        </w:rPr>
      </w:pPr>
      <w:r w:rsidRPr="005D6CDC">
        <w:rPr>
          <w:b/>
          <w:sz w:val="32"/>
          <w:szCs w:val="32"/>
        </w:rPr>
        <w:t xml:space="preserve">Waste heat from the London Underground: an investigation of the potential benefits of integrating heating and </w:t>
      </w:r>
      <w:proofErr w:type="gramStart"/>
      <w:r w:rsidRPr="005D6CDC">
        <w:rPr>
          <w:b/>
          <w:sz w:val="32"/>
          <w:szCs w:val="32"/>
        </w:rPr>
        <w:t>cooling</w:t>
      </w:r>
      <w:proofErr w:type="gramEnd"/>
    </w:p>
    <w:p w14:paraId="23F87C3B" w14:textId="77777777" w:rsidR="00350E05" w:rsidRPr="005D6CDC" w:rsidRDefault="00350E05" w:rsidP="00764989">
      <w:pPr>
        <w:rPr>
          <w:sz w:val="22"/>
          <w:szCs w:val="22"/>
        </w:rPr>
      </w:pPr>
    </w:p>
    <w:p w14:paraId="030EC870" w14:textId="565FE42A" w:rsidR="00764989" w:rsidRPr="005C2D0C" w:rsidRDefault="00764989" w:rsidP="00764989">
      <w:pPr>
        <w:spacing w:after="200"/>
        <w:rPr>
          <w:b/>
          <w:sz w:val="22"/>
          <w:szCs w:val="22"/>
          <w:vertAlign w:val="superscript"/>
        </w:rPr>
      </w:pPr>
      <w:r w:rsidRPr="005C2D0C">
        <w:rPr>
          <w:b/>
          <w:sz w:val="22"/>
          <w:szCs w:val="22"/>
        </w:rPr>
        <w:t xml:space="preserve">Henrique </w:t>
      </w:r>
      <w:r w:rsidR="00B97AD3" w:rsidRPr="005C2D0C">
        <w:rPr>
          <w:b/>
          <w:sz w:val="22"/>
          <w:szCs w:val="22"/>
        </w:rPr>
        <w:t>Lagoeiro</w:t>
      </w:r>
      <w:r w:rsidRPr="005C2D0C">
        <w:rPr>
          <w:b/>
          <w:sz w:val="22"/>
          <w:szCs w:val="22"/>
          <w:vertAlign w:val="superscript"/>
        </w:rPr>
        <w:t>(a*)</w:t>
      </w:r>
      <w:r w:rsidRPr="005C2D0C">
        <w:rPr>
          <w:b/>
          <w:sz w:val="22"/>
          <w:szCs w:val="22"/>
        </w:rPr>
        <w:t>,</w:t>
      </w:r>
      <w:r w:rsidR="00354FC9" w:rsidRPr="005C2D0C">
        <w:rPr>
          <w:b/>
          <w:sz w:val="22"/>
          <w:szCs w:val="22"/>
        </w:rPr>
        <w:t xml:space="preserve"> </w:t>
      </w:r>
      <w:r w:rsidR="00280146" w:rsidRPr="005C2D0C">
        <w:rPr>
          <w:b/>
          <w:sz w:val="22"/>
          <w:szCs w:val="22"/>
        </w:rPr>
        <w:t xml:space="preserve">Gareth </w:t>
      </w:r>
      <w:r w:rsidR="00B97AD3" w:rsidRPr="005C2D0C">
        <w:rPr>
          <w:b/>
          <w:sz w:val="22"/>
          <w:szCs w:val="22"/>
        </w:rPr>
        <w:t>Davies</w:t>
      </w:r>
      <w:r w:rsidR="00280146" w:rsidRPr="005C2D0C">
        <w:rPr>
          <w:b/>
          <w:sz w:val="22"/>
          <w:szCs w:val="22"/>
          <w:vertAlign w:val="superscript"/>
        </w:rPr>
        <w:t>(a)</w:t>
      </w:r>
      <w:r w:rsidR="00280146" w:rsidRPr="005C2D0C">
        <w:rPr>
          <w:b/>
          <w:sz w:val="22"/>
          <w:szCs w:val="22"/>
        </w:rPr>
        <w:t>,</w:t>
      </w:r>
      <w:r w:rsidR="00940B80" w:rsidRPr="00940B80">
        <w:rPr>
          <w:b/>
          <w:sz w:val="22"/>
          <w:szCs w:val="22"/>
        </w:rPr>
        <w:t xml:space="preserve"> </w:t>
      </w:r>
      <w:proofErr w:type="spellStart"/>
      <w:r w:rsidR="00940B80">
        <w:rPr>
          <w:b/>
          <w:sz w:val="22"/>
          <w:szCs w:val="22"/>
        </w:rPr>
        <w:t>Akos</w:t>
      </w:r>
      <w:proofErr w:type="spellEnd"/>
      <w:r w:rsidR="00940B80">
        <w:rPr>
          <w:b/>
          <w:sz w:val="22"/>
          <w:szCs w:val="22"/>
        </w:rPr>
        <w:t xml:space="preserve"> Revesz</w:t>
      </w:r>
      <w:r w:rsidR="00940B80" w:rsidRPr="005C2D0C">
        <w:rPr>
          <w:b/>
          <w:sz w:val="22"/>
          <w:szCs w:val="22"/>
          <w:vertAlign w:val="superscript"/>
        </w:rPr>
        <w:t>(a)</w:t>
      </w:r>
      <w:r w:rsidR="00940B80" w:rsidRPr="005C2D0C">
        <w:rPr>
          <w:b/>
          <w:sz w:val="22"/>
          <w:szCs w:val="22"/>
        </w:rPr>
        <w:t>,</w:t>
      </w:r>
      <w:r w:rsidR="00280146" w:rsidRPr="005C2D0C">
        <w:rPr>
          <w:b/>
          <w:sz w:val="22"/>
          <w:szCs w:val="22"/>
        </w:rPr>
        <w:t xml:space="preserve"> </w:t>
      </w:r>
      <w:r w:rsidRPr="005C2D0C">
        <w:rPr>
          <w:b/>
          <w:sz w:val="22"/>
          <w:szCs w:val="22"/>
        </w:rPr>
        <w:t xml:space="preserve">Daniel </w:t>
      </w:r>
      <w:r w:rsidR="00B97AD3" w:rsidRPr="005C2D0C">
        <w:rPr>
          <w:b/>
          <w:sz w:val="22"/>
          <w:szCs w:val="22"/>
        </w:rPr>
        <w:t>Curry</w:t>
      </w:r>
      <w:r w:rsidRPr="005C2D0C">
        <w:rPr>
          <w:b/>
          <w:sz w:val="22"/>
          <w:szCs w:val="22"/>
          <w:vertAlign w:val="superscript"/>
        </w:rPr>
        <w:t>(b)</w:t>
      </w:r>
      <w:r w:rsidRPr="005C2D0C">
        <w:rPr>
          <w:b/>
          <w:sz w:val="22"/>
          <w:szCs w:val="22"/>
        </w:rPr>
        <w:t>,</w:t>
      </w:r>
      <w:r w:rsidR="00280146" w:rsidRPr="005C2D0C">
        <w:rPr>
          <w:b/>
          <w:sz w:val="22"/>
          <w:szCs w:val="22"/>
        </w:rPr>
        <w:t xml:space="preserve"> Josh </w:t>
      </w:r>
      <w:r w:rsidR="00B97AD3" w:rsidRPr="005C2D0C">
        <w:rPr>
          <w:b/>
          <w:sz w:val="22"/>
          <w:szCs w:val="22"/>
        </w:rPr>
        <w:t>Vivian</w:t>
      </w:r>
      <w:r w:rsidR="00280146" w:rsidRPr="005C2D0C">
        <w:rPr>
          <w:b/>
          <w:sz w:val="22"/>
          <w:szCs w:val="22"/>
          <w:vertAlign w:val="superscript"/>
        </w:rPr>
        <w:t>(b)</w:t>
      </w:r>
      <w:r w:rsidR="00940B80">
        <w:rPr>
          <w:b/>
          <w:sz w:val="22"/>
          <w:szCs w:val="22"/>
        </w:rPr>
        <w:t xml:space="preserve">, </w:t>
      </w:r>
      <w:r w:rsidRPr="005C2D0C">
        <w:rPr>
          <w:b/>
          <w:sz w:val="22"/>
          <w:szCs w:val="22"/>
        </w:rPr>
        <w:t xml:space="preserve">Gareth </w:t>
      </w:r>
      <w:r w:rsidR="00B97AD3" w:rsidRPr="005C2D0C">
        <w:rPr>
          <w:b/>
          <w:sz w:val="22"/>
          <w:szCs w:val="22"/>
        </w:rPr>
        <w:t>Faulks</w:t>
      </w:r>
      <w:r w:rsidRPr="005C2D0C">
        <w:rPr>
          <w:b/>
          <w:sz w:val="22"/>
          <w:szCs w:val="22"/>
          <w:vertAlign w:val="superscript"/>
        </w:rPr>
        <w:t>(b)</w:t>
      </w:r>
      <w:r w:rsidR="00940B80">
        <w:rPr>
          <w:b/>
          <w:sz w:val="22"/>
          <w:szCs w:val="22"/>
        </w:rPr>
        <w:t>, Ken Gysin</w:t>
      </w:r>
      <w:r w:rsidR="00940B80" w:rsidRPr="005C2D0C">
        <w:rPr>
          <w:b/>
          <w:sz w:val="22"/>
          <w:szCs w:val="22"/>
          <w:vertAlign w:val="superscript"/>
        </w:rPr>
        <w:t>(b)</w:t>
      </w:r>
      <w:r w:rsidR="00940B80">
        <w:rPr>
          <w:b/>
          <w:sz w:val="22"/>
          <w:szCs w:val="22"/>
        </w:rPr>
        <w:t>, Declan Murphy</w:t>
      </w:r>
      <w:r w:rsidR="00940B80" w:rsidRPr="005C2D0C">
        <w:rPr>
          <w:b/>
          <w:sz w:val="22"/>
          <w:szCs w:val="22"/>
          <w:vertAlign w:val="superscript"/>
        </w:rPr>
        <w:t>(b)</w:t>
      </w:r>
      <w:r w:rsidR="00940B80">
        <w:rPr>
          <w:b/>
          <w:sz w:val="22"/>
          <w:szCs w:val="22"/>
        </w:rPr>
        <w:t xml:space="preserve"> </w:t>
      </w:r>
      <w:r w:rsidRPr="005C2D0C">
        <w:rPr>
          <w:b/>
          <w:sz w:val="22"/>
          <w:szCs w:val="22"/>
        </w:rPr>
        <w:t>and Graeme</w:t>
      </w:r>
      <w:r w:rsidR="005C2D0C" w:rsidRPr="005C2D0C">
        <w:rPr>
          <w:b/>
          <w:sz w:val="22"/>
          <w:szCs w:val="22"/>
        </w:rPr>
        <w:t xml:space="preserve"> </w:t>
      </w:r>
      <w:r w:rsidR="00B97AD3" w:rsidRPr="005C2D0C">
        <w:rPr>
          <w:b/>
          <w:sz w:val="22"/>
          <w:szCs w:val="22"/>
        </w:rPr>
        <w:t>Maidment</w:t>
      </w:r>
      <w:r w:rsidRPr="005C2D0C">
        <w:rPr>
          <w:b/>
          <w:sz w:val="22"/>
          <w:szCs w:val="22"/>
          <w:vertAlign w:val="superscript"/>
        </w:rPr>
        <w:t>(a)</w:t>
      </w:r>
    </w:p>
    <w:p w14:paraId="692C182C" w14:textId="1A111287" w:rsidR="00764989" w:rsidRPr="005D6CDC" w:rsidRDefault="00764989" w:rsidP="00764989">
      <w:pPr>
        <w:ind w:left="360"/>
        <w:jc w:val="center"/>
        <w:rPr>
          <w:sz w:val="20"/>
          <w:szCs w:val="20"/>
        </w:rPr>
      </w:pPr>
      <w:r w:rsidRPr="005D6CDC">
        <w:rPr>
          <w:sz w:val="20"/>
          <w:szCs w:val="20"/>
          <w:vertAlign w:val="superscript"/>
        </w:rPr>
        <w:t>(a)</w:t>
      </w:r>
      <w:r w:rsidRPr="005D6CDC">
        <w:rPr>
          <w:sz w:val="20"/>
          <w:szCs w:val="20"/>
        </w:rPr>
        <w:t>London South Bank University, London, United Kingdom, *roscoeh</w:t>
      </w:r>
      <w:r w:rsidR="00350E05" w:rsidRPr="005D6CDC">
        <w:rPr>
          <w:sz w:val="20"/>
          <w:szCs w:val="20"/>
        </w:rPr>
        <w:t>2</w:t>
      </w:r>
      <w:r w:rsidRPr="005D6CDC">
        <w:rPr>
          <w:sz w:val="20"/>
          <w:szCs w:val="20"/>
        </w:rPr>
        <w:t>@lsbu.ac.uk</w:t>
      </w:r>
    </w:p>
    <w:p w14:paraId="5BA8459F" w14:textId="77777777" w:rsidR="00764989" w:rsidRPr="005D6CDC" w:rsidRDefault="00764989" w:rsidP="00764989">
      <w:pPr>
        <w:ind w:left="360"/>
        <w:jc w:val="center"/>
        <w:rPr>
          <w:sz w:val="20"/>
          <w:szCs w:val="20"/>
        </w:rPr>
      </w:pPr>
      <w:r w:rsidRPr="005D6CDC">
        <w:rPr>
          <w:sz w:val="20"/>
          <w:szCs w:val="20"/>
          <w:vertAlign w:val="superscript"/>
        </w:rPr>
        <w:t>(b)</w:t>
      </w:r>
      <w:r w:rsidRPr="005D6CDC">
        <w:rPr>
          <w:sz w:val="20"/>
          <w:szCs w:val="20"/>
        </w:rPr>
        <w:t>London Underground Limited, London, United Kingdom</w:t>
      </w:r>
    </w:p>
    <w:p w14:paraId="6738E61C" w14:textId="7E609369" w:rsidR="00F50E6C" w:rsidRPr="005D6CDC" w:rsidRDefault="00F50E6C" w:rsidP="00F50E6C">
      <w:pPr>
        <w:rPr>
          <w:sz w:val="22"/>
          <w:szCs w:val="22"/>
        </w:rPr>
      </w:pPr>
    </w:p>
    <w:p w14:paraId="4F50D1FE" w14:textId="77777777" w:rsidR="00225D11" w:rsidRPr="005D6CDC" w:rsidRDefault="00225D11" w:rsidP="00C5220C">
      <w:pPr>
        <w:rPr>
          <w:b/>
        </w:rPr>
      </w:pPr>
      <w:r w:rsidRPr="005D6CDC">
        <w:rPr>
          <w:b/>
        </w:rPr>
        <w:t>Abstract</w:t>
      </w:r>
    </w:p>
    <w:p w14:paraId="6A9A4A61" w14:textId="1F31901F" w:rsidR="009662CE" w:rsidRPr="005D6CDC" w:rsidRDefault="00350E05" w:rsidP="004E0983">
      <w:pPr>
        <w:jc w:val="both"/>
        <w:rPr>
          <w:sz w:val="22"/>
          <w:szCs w:val="22"/>
        </w:rPr>
      </w:pPr>
      <w:r w:rsidRPr="005D6CDC">
        <w:rPr>
          <w:sz w:val="22"/>
          <w:szCs w:val="22"/>
        </w:rPr>
        <w:t>Waste or recoverable heat is a resource that could be cost-effectively exploited by district heating (DH) systems to increase the efficiency of heat supply in buildings. This paper introduces the Bunhill waste heat recovery (WHR) system, a novel scheme that recovers waste energy from a ventilation shaft of the London Underground (LU) transport network.</w:t>
      </w:r>
      <w:r w:rsidR="005A435D" w:rsidRPr="005D6CDC">
        <w:rPr>
          <w:sz w:val="22"/>
          <w:szCs w:val="22"/>
        </w:rPr>
        <w:t xml:space="preserve"> The system is based upon the installation of a heat recovery heat exchanger </w:t>
      </w:r>
      <w:r w:rsidR="000A5B4C" w:rsidRPr="005D6CDC">
        <w:rPr>
          <w:sz w:val="22"/>
          <w:szCs w:val="22"/>
        </w:rPr>
        <w:t>consisting</w:t>
      </w:r>
      <w:r w:rsidR="005A435D" w:rsidRPr="005D6CDC">
        <w:rPr>
          <w:sz w:val="22"/>
          <w:szCs w:val="22"/>
        </w:rPr>
        <w:t xml:space="preserve"> of cooling coils and a reversible fan</w:t>
      </w:r>
      <w:r w:rsidR="002725D1" w:rsidRPr="005D6CDC">
        <w:rPr>
          <w:sz w:val="22"/>
          <w:szCs w:val="22"/>
        </w:rPr>
        <w:t>; t</w:t>
      </w:r>
      <w:r w:rsidR="005A435D" w:rsidRPr="005D6CDC">
        <w:rPr>
          <w:sz w:val="22"/>
          <w:szCs w:val="22"/>
        </w:rPr>
        <w:t>he coils are connected to a heat pump that supplies low</w:t>
      </w:r>
      <w:r w:rsidR="00694109" w:rsidRPr="005D6CDC">
        <w:rPr>
          <w:sz w:val="22"/>
          <w:szCs w:val="22"/>
        </w:rPr>
        <w:t>-</w:t>
      </w:r>
      <w:r w:rsidR="005A435D" w:rsidRPr="005D6CDC">
        <w:rPr>
          <w:sz w:val="22"/>
          <w:szCs w:val="22"/>
        </w:rPr>
        <w:t xml:space="preserve">carbon thermal energy to the Bunhill </w:t>
      </w:r>
      <w:r w:rsidRPr="005D6CDC">
        <w:rPr>
          <w:sz w:val="22"/>
          <w:szCs w:val="22"/>
        </w:rPr>
        <w:t xml:space="preserve">DH </w:t>
      </w:r>
      <w:r w:rsidR="00884962" w:rsidRPr="005D6CDC">
        <w:rPr>
          <w:sz w:val="22"/>
          <w:szCs w:val="22"/>
        </w:rPr>
        <w:t>n</w:t>
      </w:r>
      <w:r w:rsidR="005A435D" w:rsidRPr="005D6CDC">
        <w:rPr>
          <w:sz w:val="22"/>
          <w:szCs w:val="22"/>
        </w:rPr>
        <w:t xml:space="preserve">etwork in </w:t>
      </w:r>
      <w:r w:rsidRPr="005D6CDC">
        <w:rPr>
          <w:sz w:val="22"/>
          <w:szCs w:val="22"/>
        </w:rPr>
        <w:t>central London</w:t>
      </w:r>
      <w:r w:rsidR="005A435D" w:rsidRPr="005D6CDC">
        <w:rPr>
          <w:sz w:val="22"/>
          <w:szCs w:val="22"/>
        </w:rPr>
        <w:t xml:space="preserve">. </w:t>
      </w:r>
      <w:r w:rsidRPr="005D6CDC">
        <w:rPr>
          <w:sz w:val="22"/>
          <w:szCs w:val="22"/>
        </w:rPr>
        <w:t xml:space="preserve">One particularly important aspect of the Bunhill WHR system is its ability to operate in a way that not only provides heating to the local heat </w:t>
      </w:r>
      <w:proofErr w:type="gramStart"/>
      <w:r w:rsidRPr="005D6CDC">
        <w:rPr>
          <w:sz w:val="22"/>
          <w:szCs w:val="22"/>
        </w:rPr>
        <w:t>network, but</w:t>
      </w:r>
      <w:proofErr w:type="gramEnd"/>
      <w:r w:rsidRPr="005D6CDC">
        <w:rPr>
          <w:sz w:val="22"/>
          <w:szCs w:val="22"/>
        </w:rPr>
        <w:t xml:space="preserve"> can also simultaneously supply cooled air to the LU tunnels depending on the operation of the reversible fan. The current paper </w:t>
      </w:r>
      <w:r w:rsidR="00D26DD1" w:rsidRPr="005D6CDC">
        <w:rPr>
          <w:sz w:val="22"/>
          <w:szCs w:val="22"/>
        </w:rPr>
        <w:t>presents</w:t>
      </w:r>
      <w:r w:rsidRPr="005D6CDC">
        <w:rPr>
          <w:sz w:val="22"/>
          <w:szCs w:val="22"/>
        </w:rPr>
        <w:t xml:space="preserve"> the results from an investigation into the benefits of integrating heating and cooling from the perspective of reducing</w:t>
      </w:r>
      <w:r w:rsidR="00D26DD1" w:rsidRPr="005D6CDC">
        <w:rPr>
          <w:sz w:val="22"/>
          <w:szCs w:val="22"/>
        </w:rPr>
        <w:t xml:space="preserve"> carbon emissions and</w:t>
      </w:r>
      <w:r w:rsidRPr="005D6CDC">
        <w:rPr>
          <w:sz w:val="22"/>
          <w:szCs w:val="22"/>
        </w:rPr>
        <w:t xml:space="preserve"> the </w:t>
      </w:r>
      <w:proofErr w:type="spellStart"/>
      <w:r w:rsidRPr="005D6CDC">
        <w:rPr>
          <w:sz w:val="22"/>
          <w:szCs w:val="22"/>
        </w:rPr>
        <w:t>levelised</w:t>
      </w:r>
      <w:proofErr w:type="spellEnd"/>
      <w:r w:rsidRPr="005D6CDC">
        <w:rPr>
          <w:sz w:val="22"/>
          <w:szCs w:val="22"/>
        </w:rPr>
        <w:t xml:space="preserve"> costs of energy from the WHR system, whilst also alleviating </w:t>
      </w:r>
      <w:r w:rsidR="00D26DD1" w:rsidRPr="005D6CDC">
        <w:rPr>
          <w:sz w:val="22"/>
          <w:szCs w:val="22"/>
        </w:rPr>
        <w:t>peak temperatures at nearby LU stations</w:t>
      </w:r>
      <w:r w:rsidR="00407E5D" w:rsidRPr="005D6CDC">
        <w:rPr>
          <w:sz w:val="22"/>
          <w:szCs w:val="22"/>
        </w:rPr>
        <w:t xml:space="preserve"> through the cooling provided</w:t>
      </w:r>
      <w:r w:rsidR="00D26DD1" w:rsidRPr="005D6CDC">
        <w:rPr>
          <w:sz w:val="22"/>
          <w:szCs w:val="22"/>
        </w:rPr>
        <w:t>.</w:t>
      </w:r>
      <w:r w:rsidR="005A435D" w:rsidRPr="005D6CDC">
        <w:rPr>
          <w:sz w:val="22"/>
          <w:szCs w:val="22"/>
        </w:rPr>
        <w:t xml:space="preserve"> The </w:t>
      </w:r>
      <w:r w:rsidR="00024DA0" w:rsidRPr="005D6CDC">
        <w:rPr>
          <w:sz w:val="22"/>
          <w:szCs w:val="22"/>
        </w:rPr>
        <w:t>findings of</w:t>
      </w:r>
      <w:r w:rsidR="005A435D" w:rsidRPr="005D6CDC">
        <w:rPr>
          <w:sz w:val="22"/>
          <w:szCs w:val="22"/>
        </w:rPr>
        <w:t xml:space="preserve"> </w:t>
      </w:r>
      <w:r w:rsidR="00594E9A" w:rsidRPr="005D6CDC">
        <w:rPr>
          <w:sz w:val="22"/>
          <w:szCs w:val="22"/>
        </w:rPr>
        <w:t>the</w:t>
      </w:r>
      <w:r w:rsidR="005A435D" w:rsidRPr="005D6CDC">
        <w:rPr>
          <w:sz w:val="22"/>
          <w:szCs w:val="22"/>
        </w:rPr>
        <w:t xml:space="preserve"> investigation are presented together with recommendations for further development and future deployment of </w:t>
      </w:r>
      <w:r w:rsidR="00407E5D" w:rsidRPr="005D6CDC">
        <w:rPr>
          <w:sz w:val="22"/>
          <w:szCs w:val="22"/>
        </w:rPr>
        <w:t>WHR</w:t>
      </w:r>
      <w:r w:rsidR="00D26DD1" w:rsidRPr="005D6CDC">
        <w:rPr>
          <w:sz w:val="22"/>
          <w:szCs w:val="22"/>
        </w:rPr>
        <w:t xml:space="preserve"> systems, which not only apply to underground railways but also to other sources of recoverable heat</w:t>
      </w:r>
      <w:r w:rsidR="005A435D" w:rsidRPr="005D6CDC">
        <w:rPr>
          <w:sz w:val="22"/>
          <w:szCs w:val="22"/>
        </w:rPr>
        <w:t>.</w:t>
      </w:r>
    </w:p>
    <w:p w14:paraId="058BF965" w14:textId="77777777" w:rsidR="005A435D" w:rsidRPr="005D6CDC" w:rsidRDefault="005A435D" w:rsidP="004E0983">
      <w:pPr>
        <w:jc w:val="both"/>
        <w:rPr>
          <w:sz w:val="22"/>
          <w:szCs w:val="22"/>
        </w:rPr>
      </w:pPr>
    </w:p>
    <w:p w14:paraId="3C245004" w14:textId="5DCD935A" w:rsidR="009662CE" w:rsidRPr="005D6CDC" w:rsidRDefault="009662CE" w:rsidP="004E0983">
      <w:pPr>
        <w:jc w:val="both"/>
        <w:rPr>
          <w:b/>
        </w:rPr>
      </w:pPr>
      <w:r w:rsidRPr="005D6CDC">
        <w:rPr>
          <w:rStyle w:val="Heading1Char"/>
          <w:rFonts w:ascii="Calibri" w:eastAsia="Calibri" w:hAnsi="Calibri" w:cs="Calibri"/>
          <w:sz w:val="24"/>
          <w:szCs w:val="24"/>
        </w:rPr>
        <w:t xml:space="preserve">Keywords </w:t>
      </w:r>
      <w:r w:rsidR="00D26DD1" w:rsidRPr="005D6CDC">
        <w:rPr>
          <w:sz w:val="22"/>
          <w:szCs w:val="22"/>
        </w:rPr>
        <w:t xml:space="preserve">Heating and cooling, heat pumps, waste heat, heat networks, district </w:t>
      </w:r>
      <w:r w:rsidR="00ED44DC">
        <w:rPr>
          <w:sz w:val="22"/>
          <w:szCs w:val="22"/>
        </w:rPr>
        <w:t>energy</w:t>
      </w:r>
      <w:r w:rsidR="00D26DD1" w:rsidRPr="005D6CDC">
        <w:rPr>
          <w:sz w:val="22"/>
          <w:szCs w:val="22"/>
        </w:rPr>
        <w:t xml:space="preserve">, London Underground, railway tunnels, </w:t>
      </w:r>
      <w:proofErr w:type="gramStart"/>
      <w:r w:rsidR="00D26DD1" w:rsidRPr="005D6CDC">
        <w:rPr>
          <w:sz w:val="22"/>
          <w:szCs w:val="22"/>
        </w:rPr>
        <w:t>modelling</w:t>
      </w:r>
      <w:proofErr w:type="gramEnd"/>
    </w:p>
    <w:p w14:paraId="581E8F0E" w14:textId="77777777" w:rsidR="00225D11" w:rsidRPr="005D6CDC" w:rsidRDefault="00225D11" w:rsidP="00225D11">
      <w:pPr>
        <w:rPr>
          <w:b/>
        </w:rPr>
      </w:pPr>
    </w:p>
    <w:p w14:paraId="215E3A6F" w14:textId="7B7F2595" w:rsidR="0041703A" w:rsidRPr="005D6CDC" w:rsidRDefault="00C3507E" w:rsidP="00E35AD2">
      <w:pPr>
        <w:pStyle w:val="ListParagraph"/>
        <w:numPr>
          <w:ilvl w:val="0"/>
          <w:numId w:val="4"/>
        </w:numPr>
        <w:pBdr>
          <w:top w:val="nil"/>
          <w:left w:val="nil"/>
          <w:bottom w:val="nil"/>
          <w:right w:val="nil"/>
          <w:between w:val="nil"/>
        </w:pBdr>
        <w:spacing w:line="276" w:lineRule="auto"/>
        <w:jc w:val="both"/>
        <w:rPr>
          <w:b/>
          <w:color w:val="000000"/>
        </w:rPr>
      </w:pPr>
      <w:r w:rsidRPr="005D6CDC">
        <w:rPr>
          <w:b/>
          <w:color w:val="000000"/>
        </w:rPr>
        <w:t>Introduction</w:t>
      </w:r>
    </w:p>
    <w:p w14:paraId="155F7382" w14:textId="12D33F46" w:rsidR="005350B2" w:rsidRPr="005D6CDC" w:rsidRDefault="005350B2" w:rsidP="005350B2">
      <w:pPr>
        <w:pStyle w:val="ListParagraph"/>
        <w:numPr>
          <w:ilvl w:val="1"/>
          <w:numId w:val="4"/>
        </w:numPr>
        <w:pBdr>
          <w:top w:val="nil"/>
          <w:left w:val="nil"/>
          <w:bottom w:val="nil"/>
          <w:right w:val="nil"/>
          <w:between w:val="nil"/>
        </w:pBdr>
        <w:spacing w:line="276" w:lineRule="auto"/>
        <w:jc w:val="both"/>
        <w:rPr>
          <w:rFonts w:eastAsiaTheme="majorEastAsia"/>
          <w:b/>
          <w:bCs/>
          <w:lang w:val="en-GB"/>
        </w:rPr>
      </w:pPr>
      <w:r w:rsidRPr="005D6CDC">
        <w:rPr>
          <w:rFonts w:eastAsiaTheme="majorEastAsia"/>
          <w:b/>
          <w:bCs/>
          <w:lang w:val="en-GB"/>
        </w:rPr>
        <w:t>Background</w:t>
      </w:r>
    </w:p>
    <w:p w14:paraId="5F347751" w14:textId="13BEB77A" w:rsidR="00567EA3" w:rsidRPr="005D6CDC" w:rsidRDefault="00567EA3" w:rsidP="00D52119">
      <w:pPr>
        <w:pBdr>
          <w:top w:val="nil"/>
          <w:left w:val="nil"/>
          <w:bottom w:val="nil"/>
          <w:right w:val="nil"/>
          <w:between w:val="nil"/>
        </w:pBdr>
        <w:spacing w:after="200" w:line="276" w:lineRule="auto"/>
        <w:jc w:val="both"/>
        <w:rPr>
          <w:sz w:val="22"/>
          <w:szCs w:val="22"/>
        </w:rPr>
      </w:pPr>
      <w:r w:rsidRPr="005D6CDC">
        <w:rPr>
          <w:sz w:val="22"/>
          <w:szCs w:val="22"/>
        </w:rPr>
        <w:t xml:space="preserve">Climate change represents an existential threat to mankind that has prompted many countries worldwide to commit to achieving carbon neutrality by the middle of this century. In many cases, net-zero targets have been influenced by the remarkable progress made by the electricity sector; </w:t>
      </w:r>
      <w:r w:rsidR="00ED44DC">
        <w:rPr>
          <w:sz w:val="22"/>
          <w:szCs w:val="22"/>
        </w:rPr>
        <w:t xml:space="preserve">for instance, </w:t>
      </w:r>
      <w:r w:rsidR="00D52119" w:rsidRPr="005D6CDC">
        <w:rPr>
          <w:sz w:val="22"/>
          <w:szCs w:val="22"/>
        </w:rPr>
        <w:t>over</w:t>
      </w:r>
      <w:r w:rsidRPr="005D6CDC">
        <w:rPr>
          <w:sz w:val="22"/>
          <w:szCs w:val="22"/>
        </w:rPr>
        <w:t xml:space="preserve"> the last decade, </w:t>
      </w:r>
      <w:r w:rsidR="00D52119" w:rsidRPr="005D6CDC">
        <w:rPr>
          <w:sz w:val="22"/>
          <w:szCs w:val="22"/>
        </w:rPr>
        <w:t xml:space="preserve">the UK has experienced a rapid </w:t>
      </w:r>
      <w:proofErr w:type="spellStart"/>
      <w:r w:rsidR="00D52119" w:rsidRPr="005D6CDC">
        <w:rPr>
          <w:sz w:val="22"/>
          <w:szCs w:val="22"/>
        </w:rPr>
        <w:t>decarbonisation</w:t>
      </w:r>
      <w:proofErr w:type="spellEnd"/>
      <w:r w:rsidR="00D52119" w:rsidRPr="005D6CDC">
        <w:rPr>
          <w:sz w:val="22"/>
          <w:szCs w:val="22"/>
        </w:rPr>
        <w:t xml:space="preserve"> of the electricity grid, with renewables accounting for a record high of 43.1% of the electricity generated in 2020 [1]. This led to a fall in national GHG emissions to 48.7% of their 1990 level [2].</w:t>
      </w:r>
      <w:r w:rsidRPr="005D6CDC">
        <w:rPr>
          <w:sz w:val="22"/>
          <w:szCs w:val="22"/>
        </w:rPr>
        <w:t xml:space="preserve"> Despite this great progress, recent crises have </w:t>
      </w:r>
      <w:proofErr w:type="spellStart"/>
      <w:r w:rsidRPr="005D6CDC">
        <w:rPr>
          <w:sz w:val="22"/>
          <w:szCs w:val="22"/>
        </w:rPr>
        <w:t>emphasised</w:t>
      </w:r>
      <w:proofErr w:type="spellEnd"/>
      <w:r w:rsidRPr="005D6CDC">
        <w:rPr>
          <w:sz w:val="22"/>
          <w:szCs w:val="22"/>
        </w:rPr>
        <w:t xml:space="preserve"> some of the vulnerabilities with our energy system, which must be addressed as we start to tackle hard-to-abate areas, such as the built environment.</w:t>
      </w:r>
    </w:p>
    <w:p w14:paraId="7AD2581B" w14:textId="77777777" w:rsidR="00567EA3" w:rsidRPr="005D6CDC" w:rsidRDefault="00567EA3" w:rsidP="00567EA3">
      <w:pPr>
        <w:pBdr>
          <w:top w:val="nil"/>
          <w:left w:val="nil"/>
          <w:bottom w:val="nil"/>
          <w:right w:val="nil"/>
          <w:between w:val="nil"/>
        </w:pBdr>
        <w:spacing w:after="200" w:line="276" w:lineRule="auto"/>
        <w:jc w:val="both"/>
        <w:rPr>
          <w:sz w:val="22"/>
          <w:szCs w:val="22"/>
        </w:rPr>
      </w:pPr>
      <w:r w:rsidRPr="005D6CDC">
        <w:rPr>
          <w:sz w:val="22"/>
          <w:szCs w:val="22"/>
        </w:rPr>
        <w:t xml:space="preserve">For example, the post-pandemic economic recovery and the war in Ukraine have triggered a cost-of-living crisis in the UK due to a surge in natural gas prices, with inflation reaching its highest rate in 40 years [3]. This also affected the electricity market, as the principle of marginal cost pricing makes fossil fuels predominant in setting the wholesale price of electricity [4]. It has been estimated that the 2021/22 energy crisis has increased the number of fuel-poor households in the UK by around 68% [5]. This scenario has highlighted the key role of energy efficiency, which can help to drive down demand and reduce our reliance on fossil fuels. Even as we move towards electrification, energy efficiency will remain instrumental, particularly in terms of reducing grid upgrading and reinforcement costs. </w:t>
      </w:r>
      <w:r w:rsidRPr="005D6CDC">
        <w:rPr>
          <w:sz w:val="22"/>
          <w:szCs w:val="22"/>
        </w:rPr>
        <w:lastRenderedPageBreak/>
        <w:t>Modelling from DESNZ projects that peak electricity demand will increase from 58 GW in 2020 to 190 GW in 2050. In a net-zero scenario, the necessary grid investment to meet that demand in 2050 varies from £270-350bn, meaning that each GW of additional demand increases network investment costs by £2-2.65bn [6].</w:t>
      </w:r>
    </w:p>
    <w:p w14:paraId="5C909516" w14:textId="35DC38F9" w:rsidR="00D52119" w:rsidRPr="005D6CDC" w:rsidRDefault="00567EA3" w:rsidP="00567EA3">
      <w:pPr>
        <w:pBdr>
          <w:top w:val="nil"/>
          <w:left w:val="nil"/>
          <w:bottom w:val="nil"/>
          <w:right w:val="nil"/>
          <w:between w:val="nil"/>
        </w:pBdr>
        <w:spacing w:after="200" w:line="276" w:lineRule="auto"/>
        <w:jc w:val="both"/>
        <w:rPr>
          <w:sz w:val="22"/>
          <w:szCs w:val="22"/>
        </w:rPr>
      </w:pPr>
      <w:r w:rsidRPr="005D6CDC">
        <w:rPr>
          <w:sz w:val="22"/>
          <w:szCs w:val="22"/>
        </w:rPr>
        <w:t xml:space="preserve">A recent review has gathered evidence on the unsuitability of hydrogen as an alternative for natural gas for heating homes, with electrification being highlighted as an already available solution for </w:t>
      </w:r>
      <w:proofErr w:type="spellStart"/>
      <w:r w:rsidRPr="005D6CDC">
        <w:rPr>
          <w:sz w:val="22"/>
          <w:szCs w:val="22"/>
        </w:rPr>
        <w:t>decarbonising</w:t>
      </w:r>
      <w:proofErr w:type="spellEnd"/>
      <w:r w:rsidRPr="005D6CDC">
        <w:rPr>
          <w:sz w:val="22"/>
          <w:szCs w:val="22"/>
        </w:rPr>
        <w:t xml:space="preserve"> heat in buildings [7]. The electrification of heat remains, however, a significant challenge; a 2018 report showed how the peak gas demand in that year was 214 GW, nearly 4 times higher than the electricity demand of 53 GW at the same time [8]. This also reinforces the relevance of energy efficiency in the transition to low-carbon heating. When it comes to buildings, energy efficiency is often discussed from the perspective of improving the building stock, but efficient heat supply is equally important. One opportunity for enhancing system-wide efficiency is to capture and reuse waste (recoverable) heat, which is normally dissipated to the environment. This wasted thermal energy can be recovered and delivered to end users through district heating (DH), effectively reducing primary energy demand</w:t>
      </w:r>
      <w:r w:rsidR="00D52119" w:rsidRPr="005D6CDC">
        <w:rPr>
          <w:sz w:val="22"/>
          <w:szCs w:val="22"/>
        </w:rPr>
        <w:t>, thus tackling issues around both carbon emissions and energy security.</w:t>
      </w:r>
    </w:p>
    <w:p w14:paraId="02E69705" w14:textId="4A195250" w:rsidR="00B2588A" w:rsidRPr="005D6CDC" w:rsidRDefault="00B2588A" w:rsidP="00E35AD2">
      <w:pPr>
        <w:pStyle w:val="ListParagraph"/>
        <w:numPr>
          <w:ilvl w:val="1"/>
          <w:numId w:val="4"/>
        </w:numPr>
        <w:pBdr>
          <w:top w:val="nil"/>
          <w:left w:val="nil"/>
          <w:bottom w:val="nil"/>
          <w:right w:val="nil"/>
          <w:between w:val="nil"/>
        </w:pBdr>
        <w:spacing w:line="276" w:lineRule="auto"/>
        <w:jc w:val="both"/>
        <w:rPr>
          <w:rFonts w:eastAsiaTheme="majorEastAsia"/>
          <w:b/>
          <w:bCs/>
          <w:lang w:val="en-GB"/>
        </w:rPr>
      </w:pPr>
      <w:r w:rsidRPr="005D6CDC">
        <w:rPr>
          <w:rFonts w:eastAsiaTheme="majorEastAsia"/>
          <w:b/>
          <w:bCs/>
          <w:lang w:val="en-GB"/>
        </w:rPr>
        <w:t xml:space="preserve">Waste </w:t>
      </w:r>
      <w:r w:rsidR="009149A6">
        <w:rPr>
          <w:rFonts w:eastAsiaTheme="majorEastAsia"/>
          <w:b/>
          <w:bCs/>
          <w:lang w:val="en-GB"/>
        </w:rPr>
        <w:t>h</w:t>
      </w:r>
      <w:r w:rsidR="00D26DD1" w:rsidRPr="005D6CDC">
        <w:rPr>
          <w:rFonts w:eastAsiaTheme="majorEastAsia"/>
          <w:b/>
          <w:bCs/>
          <w:lang w:val="en-GB"/>
        </w:rPr>
        <w:t>eat from the London Underground</w:t>
      </w:r>
    </w:p>
    <w:p w14:paraId="70F7F804" w14:textId="50392D27" w:rsidR="00F20E78" w:rsidRPr="005D6CDC" w:rsidRDefault="00F20E78" w:rsidP="00F20E78">
      <w:pPr>
        <w:pBdr>
          <w:top w:val="nil"/>
          <w:left w:val="nil"/>
          <w:bottom w:val="nil"/>
          <w:right w:val="nil"/>
          <w:between w:val="nil"/>
        </w:pBdr>
        <w:spacing w:after="200" w:line="276" w:lineRule="auto"/>
        <w:jc w:val="both"/>
        <w:rPr>
          <w:sz w:val="22"/>
          <w:szCs w:val="22"/>
        </w:rPr>
      </w:pPr>
      <w:r w:rsidRPr="005D6CDC">
        <w:rPr>
          <w:sz w:val="22"/>
          <w:szCs w:val="22"/>
        </w:rPr>
        <w:t xml:space="preserve">DH networks have been increasingly identified as a key technology for the </w:t>
      </w:r>
      <w:proofErr w:type="spellStart"/>
      <w:r w:rsidRPr="005D6CDC">
        <w:rPr>
          <w:sz w:val="22"/>
          <w:szCs w:val="22"/>
        </w:rPr>
        <w:t>decarbonisation</w:t>
      </w:r>
      <w:proofErr w:type="spellEnd"/>
      <w:r w:rsidRPr="005D6CDC">
        <w:rPr>
          <w:sz w:val="22"/>
          <w:szCs w:val="22"/>
        </w:rPr>
        <w:t xml:space="preserve"> of buildings at scale. DH is best suited for densely populated urban areas, being particularly competitive when waste</w:t>
      </w:r>
      <w:r w:rsidR="00ED44DC">
        <w:rPr>
          <w:sz w:val="22"/>
          <w:szCs w:val="22"/>
        </w:rPr>
        <w:t xml:space="preserve"> or renewable</w:t>
      </w:r>
      <w:r w:rsidRPr="005D6CDC">
        <w:rPr>
          <w:sz w:val="22"/>
          <w:szCs w:val="22"/>
        </w:rPr>
        <w:t xml:space="preserve"> heat is available nearby. The opportunity for integrating waste heat and large-scale heat pumps has been predominant in recent generations of DH. The earliest </w:t>
      </w:r>
      <w:r w:rsidR="00ED44DC">
        <w:rPr>
          <w:sz w:val="22"/>
          <w:szCs w:val="22"/>
        </w:rPr>
        <w:t xml:space="preserve">DH </w:t>
      </w:r>
      <w:r w:rsidRPr="005D6CDC">
        <w:rPr>
          <w:sz w:val="22"/>
          <w:szCs w:val="22"/>
        </w:rPr>
        <w:t>generations used high-temperature (i.e. 100°C and above) steam and water, e.g. 1</w:t>
      </w:r>
      <w:r w:rsidRPr="005D6CDC">
        <w:rPr>
          <w:sz w:val="22"/>
          <w:szCs w:val="22"/>
          <w:vertAlign w:val="superscript"/>
        </w:rPr>
        <w:t>st</w:t>
      </w:r>
      <w:r w:rsidRPr="005D6CDC">
        <w:rPr>
          <w:sz w:val="22"/>
          <w:szCs w:val="22"/>
        </w:rPr>
        <w:t xml:space="preserve"> and 2</w:t>
      </w:r>
      <w:r w:rsidRPr="005D6CDC">
        <w:rPr>
          <w:sz w:val="22"/>
          <w:szCs w:val="22"/>
          <w:vertAlign w:val="superscript"/>
        </w:rPr>
        <w:t>nd</w:t>
      </w:r>
      <w:r w:rsidRPr="005D6CDC">
        <w:rPr>
          <w:sz w:val="22"/>
          <w:szCs w:val="22"/>
        </w:rPr>
        <w:t xml:space="preserve"> generation (1G and 2G) DH networks [9]. However, operating temperatures have steadily decreased for successive generations of DH i.e. 3G, 4G and 5G networks, with the latest (5G) networks operating at close to ambient temperature [10]. Typically, 4G networks operate with supply temperatures of 50-60°C, whilst 5G systems operate at a lower supply temperature range (15-25°C). The lower distribution temperatures associated with the 4</w:t>
      </w:r>
      <w:r w:rsidRPr="005D6CDC">
        <w:rPr>
          <w:sz w:val="22"/>
          <w:szCs w:val="22"/>
          <w:vertAlign w:val="superscript"/>
        </w:rPr>
        <w:t>th</w:t>
      </w:r>
      <w:r w:rsidRPr="005D6CDC">
        <w:rPr>
          <w:sz w:val="22"/>
          <w:szCs w:val="22"/>
        </w:rPr>
        <w:t xml:space="preserve"> and 5</w:t>
      </w:r>
      <w:r w:rsidRPr="005D6CDC">
        <w:rPr>
          <w:sz w:val="22"/>
          <w:szCs w:val="22"/>
          <w:vertAlign w:val="superscript"/>
        </w:rPr>
        <w:t>th</w:t>
      </w:r>
      <w:r w:rsidRPr="005D6CDC">
        <w:rPr>
          <w:sz w:val="22"/>
          <w:szCs w:val="22"/>
        </w:rPr>
        <w:t xml:space="preserve"> generations increase the economic potential for using waste heat, which can be either used directly or after </w:t>
      </w:r>
      <w:proofErr w:type="gramStart"/>
      <w:r w:rsidRPr="005D6CDC">
        <w:rPr>
          <w:sz w:val="22"/>
          <w:szCs w:val="22"/>
        </w:rPr>
        <w:t>upgrade</w:t>
      </w:r>
      <w:proofErr w:type="gramEnd"/>
      <w:r w:rsidRPr="005D6CDC">
        <w:rPr>
          <w:sz w:val="22"/>
          <w:szCs w:val="22"/>
        </w:rPr>
        <w:t xml:space="preserve"> by a </w:t>
      </w:r>
      <w:r w:rsidR="00ED44DC">
        <w:rPr>
          <w:sz w:val="22"/>
          <w:szCs w:val="22"/>
        </w:rPr>
        <w:t>heat pump</w:t>
      </w:r>
      <w:r w:rsidRPr="005D6CDC">
        <w:rPr>
          <w:sz w:val="22"/>
          <w:szCs w:val="22"/>
        </w:rPr>
        <w:t>.</w:t>
      </w:r>
    </w:p>
    <w:p w14:paraId="38AFE9F0" w14:textId="7311660C" w:rsidR="00310A17" w:rsidRPr="005D6CDC" w:rsidRDefault="00F20E78" w:rsidP="00DD3C58">
      <w:pPr>
        <w:pBdr>
          <w:top w:val="nil"/>
          <w:left w:val="nil"/>
          <w:bottom w:val="nil"/>
          <w:right w:val="nil"/>
          <w:between w:val="nil"/>
        </w:pBdr>
        <w:spacing w:after="200" w:line="276" w:lineRule="auto"/>
        <w:jc w:val="both"/>
        <w:rPr>
          <w:sz w:val="22"/>
          <w:szCs w:val="22"/>
        </w:rPr>
      </w:pPr>
      <w:r w:rsidRPr="005D6CDC">
        <w:rPr>
          <w:sz w:val="22"/>
          <w:szCs w:val="22"/>
        </w:rPr>
        <w:t xml:space="preserve">For this reason, opportunities for WHR at low temperatures (&lt;100°C) have been increasingly reported in the literature in recent years, particularly with the advent of 4G and 5G networks. </w:t>
      </w:r>
      <w:r w:rsidR="005350B2" w:rsidRPr="005D6CDC">
        <w:rPr>
          <w:sz w:val="22"/>
          <w:szCs w:val="22"/>
        </w:rPr>
        <w:t xml:space="preserve">There are many sites in urban settings from which it is possible to capture waste heat, such as industrial plants, data </w:t>
      </w:r>
      <w:proofErr w:type="spellStart"/>
      <w:r w:rsidR="005350B2" w:rsidRPr="005D6CDC">
        <w:rPr>
          <w:sz w:val="22"/>
          <w:szCs w:val="22"/>
        </w:rPr>
        <w:t>centres</w:t>
      </w:r>
      <w:proofErr w:type="spellEnd"/>
      <w:r w:rsidR="005350B2" w:rsidRPr="005D6CDC">
        <w:rPr>
          <w:sz w:val="22"/>
          <w:szCs w:val="22"/>
        </w:rPr>
        <w:t xml:space="preserve">, electricity distribution systems, </w:t>
      </w:r>
      <w:proofErr w:type="gramStart"/>
      <w:r w:rsidR="005350B2" w:rsidRPr="005D6CDC">
        <w:rPr>
          <w:sz w:val="22"/>
          <w:szCs w:val="22"/>
        </w:rPr>
        <w:t>sewers</w:t>
      </w:r>
      <w:proofErr w:type="gramEnd"/>
      <w:r w:rsidR="005350B2" w:rsidRPr="005D6CDC">
        <w:rPr>
          <w:sz w:val="22"/>
          <w:szCs w:val="22"/>
        </w:rPr>
        <w:t xml:space="preserve"> and supermarkets. </w:t>
      </w:r>
      <w:r w:rsidR="004C4139">
        <w:rPr>
          <w:sz w:val="22"/>
          <w:szCs w:val="22"/>
        </w:rPr>
        <w:t>As discussed in [11], a</w:t>
      </w:r>
      <w:r w:rsidRPr="005D6CDC">
        <w:rPr>
          <w:sz w:val="22"/>
          <w:szCs w:val="22"/>
        </w:rPr>
        <w:t xml:space="preserve">nother source of great potential is underground railways, particularly for large cities like London, where public transportation relies heavily on </w:t>
      </w:r>
      <w:r w:rsidR="00ED44DC">
        <w:rPr>
          <w:sz w:val="22"/>
          <w:szCs w:val="22"/>
        </w:rPr>
        <w:t xml:space="preserve">a </w:t>
      </w:r>
      <w:r w:rsidRPr="005D6CDC">
        <w:rPr>
          <w:sz w:val="22"/>
          <w:szCs w:val="22"/>
        </w:rPr>
        <w:t>metro system.</w:t>
      </w:r>
      <w:r w:rsidR="00CF0212" w:rsidRPr="005D6CDC">
        <w:rPr>
          <w:sz w:val="22"/>
          <w:szCs w:val="22"/>
        </w:rPr>
        <w:t xml:space="preserve"> The LU network has a total length of 402 km, of which 45% is in tunnels, and carries around 1.35 billion passengers annually [1</w:t>
      </w:r>
      <w:r w:rsidR="004C4139">
        <w:rPr>
          <w:sz w:val="22"/>
          <w:szCs w:val="22"/>
        </w:rPr>
        <w:t>2</w:t>
      </w:r>
      <w:r w:rsidR="00CF0212" w:rsidRPr="005D6CDC">
        <w:rPr>
          <w:sz w:val="22"/>
          <w:szCs w:val="22"/>
        </w:rPr>
        <w:t>]. In 2016/2017, the Underground consumed over 1,700 GWh of electricity, with around 500 GWh of energy ending up degraded and released as waste heat [1</w:t>
      </w:r>
      <w:r w:rsidR="004C4139">
        <w:rPr>
          <w:sz w:val="22"/>
          <w:szCs w:val="22"/>
        </w:rPr>
        <w:t>3</w:t>
      </w:r>
      <w:r w:rsidR="00CF0212" w:rsidRPr="005D6CDC">
        <w:rPr>
          <w:sz w:val="22"/>
          <w:szCs w:val="22"/>
        </w:rPr>
        <w:t>]</w:t>
      </w:r>
      <w:r w:rsidR="00ED44DC">
        <w:rPr>
          <w:sz w:val="22"/>
          <w:szCs w:val="22"/>
        </w:rPr>
        <w:t>. These conditions</w:t>
      </w:r>
      <w:r w:rsidR="00CF0212" w:rsidRPr="005D6CDC">
        <w:rPr>
          <w:sz w:val="22"/>
          <w:szCs w:val="22"/>
        </w:rPr>
        <w:t xml:space="preserve"> lead to tunnel temperatures typically varying between 18 and 28°C throughout the year. The current thermal environment of the LU means that there is significant potential for recovering waste heat from the tunnels, while cooling solutions are expected to gain importance as air temperatures rise in the future due to climate change.</w:t>
      </w:r>
    </w:p>
    <w:p w14:paraId="465FF8D4" w14:textId="7DC94BDE" w:rsidR="00D26DD1" w:rsidRPr="005D6CDC" w:rsidRDefault="00D26DD1" w:rsidP="00D26DD1">
      <w:pPr>
        <w:pStyle w:val="ListParagraph"/>
        <w:numPr>
          <w:ilvl w:val="1"/>
          <w:numId w:val="4"/>
        </w:numPr>
        <w:pBdr>
          <w:top w:val="nil"/>
          <w:left w:val="nil"/>
          <w:bottom w:val="nil"/>
          <w:right w:val="nil"/>
          <w:between w:val="nil"/>
        </w:pBdr>
        <w:spacing w:line="276" w:lineRule="auto"/>
        <w:jc w:val="both"/>
        <w:rPr>
          <w:rFonts w:eastAsiaTheme="majorEastAsia"/>
          <w:b/>
          <w:bCs/>
          <w:lang w:val="en-GB"/>
        </w:rPr>
      </w:pPr>
      <w:r w:rsidRPr="005D6CDC">
        <w:rPr>
          <w:rFonts w:eastAsiaTheme="majorEastAsia"/>
          <w:b/>
          <w:bCs/>
          <w:lang w:val="en-GB"/>
        </w:rPr>
        <w:t xml:space="preserve">Critical </w:t>
      </w:r>
      <w:r w:rsidR="009149A6">
        <w:rPr>
          <w:rFonts w:eastAsiaTheme="majorEastAsia"/>
          <w:b/>
          <w:bCs/>
          <w:lang w:val="en-GB"/>
        </w:rPr>
        <w:t>infrastructure and cooling in a warming world</w:t>
      </w:r>
    </w:p>
    <w:p w14:paraId="6AD9C7B6" w14:textId="70206855" w:rsidR="00D26DD1" w:rsidRPr="005D6CDC" w:rsidRDefault="00CF0212" w:rsidP="00160B80">
      <w:pPr>
        <w:pBdr>
          <w:top w:val="nil"/>
          <w:left w:val="nil"/>
          <w:bottom w:val="nil"/>
          <w:right w:val="nil"/>
          <w:between w:val="nil"/>
        </w:pBdr>
        <w:spacing w:after="200" w:line="276" w:lineRule="auto"/>
        <w:jc w:val="both"/>
        <w:rPr>
          <w:sz w:val="22"/>
          <w:szCs w:val="22"/>
        </w:rPr>
      </w:pPr>
      <w:r w:rsidRPr="005D6CDC">
        <w:rPr>
          <w:sz w:val="22"/>
          <w:szCs w:val="22"/>
        </w:rPr>
        <w:t>The cooling requirements of critical urban infrastructure is expected to grow massively in the coming decades</w:t>
      </w:r>
      <w:r w:rsidR="005D6CDC" w:rsidRPr="005D6CDC">
        <w:rPr>
          <w:sz w:val="22"/>
          <w:szCs w:val="22"/>
        </w:rPr>
        <w:t xml:space="preserve">. UNEP estimates that a business-as-usual scenario with current policies is likely to lead to an </w:t>
      </w:r>
      <w:r w:rsidR="005D6CDC" w:rsidRPr="005D6CDC">
        <w:rPr>
          <w:sz w:val="22"/>
          <w:szCs w:val="22"/>
        </w:rPr>
        <w:lastRenderedPageBreak/>
        <w:t>increase of 2.8°C in average surface temperatures by the end of the century [1</w:t>
      </w:r>
      <w:r w:rsidR="004C4139">
        <w:rPr>
          <w:sz w:val="22"/>
          <w:szCs w:val="22"/>
        </w:rPr>
        <w:t>4</w:t>
      </w:r>
      <w:r w:rsidR="005D6CDC" w:rsidRPr="005D6CDC">
        <w:rPr>
          <w:sz w:val="22"/>
          <w:szCs w:val="22"/>
        </w:rPr>
        <w:t xml:space="preserve">]. </w:t>
      </w:r>
      <w:r w:rsidR="009557F6" w:rsidRPr="005D6CDC">
        <w:rPr>
          <w:sz w:val="22"/>
          <w:szCs w:val="22"/>
        </w:rPr>
        <w:t>T</w:t>
      </w:r>
      <w:r w:rsidRPr="005D6CDC">
        <w:rPr>
          <w:sz w:val="22"/>
          <w:szCs w:val="22"/>
        </w:rPr>
        <w:t>he UK is already experiencing extreme heat waves, with temperatures exceeding 40°C [</w:t>
      </w:r>
      <w:r w:rsidR="005D6CDC" w:rsidRPr="005D6CDC">
        <w:rPr>
          <w:sz w:val="22"/>
          <w:szCs w:val="22"/>
        </w:rPr>
        <w:t>1</w:t>
      </w:r>
      <w:r w:rsidR="004C4139">
        <w:rPr>
          <w:sz w:val="22"/>
          <w:szCs w:val="22"/>
        </w:rPr>
        <w:t>5</w:t>
      </w:r>
      <w:r w:rsidRPr="005D6CDC">
        <w:rPr>
          <w:sz w:val="22"/>
          <w:szCs w:val="22"/>
        </w:rPr>
        <w:t>]</w:t>
      </w:r>
      <w:r w:rsidR="009557F6" w:rsidRPr="005D6CDC">
        <w:rPr>
          <w:sz w:val="22"/>
          <w:szCs w:val="22"/>
        </w:rPr>
        <w:t xml:space="preserve">, </w:t>
      </w:r>
      <w:r w:rsidRPr="005D6CDC">
        <w:rPr>
          <w:sz w:val="22"/>
          <w:szCs w:val="22"/>
        </w:rPr>
        <w:t>which pose significant challenges to the operation of services such as mass transport systems.</w:t>
      </w:r>
      <w:r w:rsidR="005D6CDC" w:rsidRPr="005D6CDC">
        <w:rPr>
          <w:sz w:val="22"/>
          <w:szCs w:val="22"/>
        </w:rPr>
        <w:t xml:space="preserve"> The Birmingham Energy Institute ​argues that there is a compelling case for a formal designation of cooling systems as critical infrastructure [1</w:t>
      </w:r>
      <w:r w:rsidR="004C4139">
        <w:rPr>
          <w:sz w:val="22"/>
          <w:szCs w:val="22"/>
        </w:rPr>
        <w:t>6</w:t>
      </w:r>
      <w:r w:rsidR="005D6CDC" w:rsidRPr="005D6CDC">
        <w:rPr>
          <w:sz w:val="22"/>
          <w:szCs w:val="22"/>
        </w:rPr>
        <w:t xml:space="preserve">]. </w:t>
      </w:r>
      <w:r w:rsidR="00416342">
        <w:rPr>
          <w:sz w:val="22"/>
          <w:szCs w:val="22"/>
        </w:rPr>
        <w:t xml:space="preserve">A recent investigation has highlighted climate-related risks to the operation of LU’s services, which include issues like asset failure and exposure of passengers and staff </w:t>
      </w:r>
      <w:r w:rsidR="00ED44DC">
        <w:rPr>
          <w:sz w:val="22"/>
          <w:szCs w:val="22"/>
        </w:rPr>
        <w:t>to heat-related illnesses</w:t>
      </w:r>
      <w:r w:rsidR="00160B80">
        <w:rPr>
          <w:sz w:val="22"/>
          <w:szCs w:val="22"/>
        </w:rPr>
        <w:t>. This</w:t>
      </w:r>
      <w:r w:rsidR="00416342">
        <w:rPr>
          <w:sz w:val="22"/>
          <w:szCs w:val="22"/>
        </w:rPr>
        <w:t xml:space="preserve"> is likely to increase maintenance requirements and train service delays in the future [1</w:t>
      </w:r>
      <w:r w:rsidR="004C4139">
        <w:rPr>
          <w:sz w:val="22"/>
          <w:szCs w:val="22"/>
        </w:rPr>
        <w:t>7</w:t>
      </w:r>
      <w:r w:rsidR="00416342">
        <w:rPr>
          <w:sz w:val="22"/>
          <w:szCs w:val="22"/>
        </w:rPr>
        <w:t>].</w:t>
      </w:r>
      <w:r w:rsidR="00160B80">
        <w:rPr>
          <w:sz w:val="22"/>
          <w:szCs w:val="22"/>
        </w:rPr>
        <w:t xml:space="preserve"> With a growing need for sustainable heating and cooling in cities</w:t>
      </w:r>
      <w:r w:rsidR="004C4139">
        <w:rPr>
          <w:sz w:val="22"/>
          <w:szCs w:val="22"/>
        </w:rPr>
        <w:t>, s</w:t>
      </w:r>
      <w:r w:rsidR="00416342">
        <w:rPr>
          <w:sz w:val="22"/>
          <w:szCs w:val="22"/>
        </w:rPr>
        <w:t xml:space="preserve">olutions like the Bunhill WHR system represent an efficient way of tackling </w:t>
      </w:r>
      <w:r w:rsidR="00160B80">
        <w:rPr>
          <w:sz w:val="22"/>
          <w:szCs w:val="22"/>
        </w:rPr>
        <w:t>both challenges with the same infrastructure.</w:t>
      </w:r>
    </w:p>
    <w:p w14:paraId="1D0A418F" w14:textId="04E03429" w:rsidR="005A435D" w:rsidRPr="005D6CDC" w:rsidRDefault="005A435D" w:rsidP="005A435D">
      <w:pPr>
        <w:pStyle w:val="ListParagraph"/>
        <w:numPr>
          <w:ilvl w:val="0"/>
          <w:numId w:val="4"/>
        </w:numPr>
        <w:pBdr>
          <w:top w:val="nil"/>
          <w:left w:val="nil"/>
          <w:bottom w:val="nil"/>
          <w:right w:val="nil"/>
          <w:between w:val="nil"/>
        </w:pBdr>
        <w:spacing w:line="276" w:lineRule="auto"/>
        <w:ind w:left="482" w:hanging="482"/>
        <w:jc w:val="both"/>
        <w:rPr>
          <w:b/>
          <w:color w:val="000000"/>
        </w:rPr>
      </w:pPr>
      <w:r w:rsidRPr="005D6CDC">
        <w:rPr>
          <w:b/>
          <w:color w:val="000000"/>
        </w:rPr>
        <w:t xml:space="preserve">The Bunhill </w:t>
      </w:r>
      <w:r w:rsidR="009149A6">
        <w:rPr>
          <w:b/>
          <w:color w:val="000000"/>
        </w:rPr>
        <w:t xml:space="preserve">waste heat recovery </w:t>
      </w:r>
      <w:r w:rsidR="00D26DD1" w:rsidRPr="005D6CDC">
        <w:rPr>
          <w:b/>
          <w:color w:val="000000"/>
        </w:rPr>
        <w:t xml:space="preserve">(WHR) </w:t>
      </w:r>
      <w:r w:rsidR="009149A6">
        <w:rPr>
          <w:b/>
          <w:color w:val="000000"/>
        </w:rPr>
        <w:t>s</w:t>
      </w:r>
      <w:r w:rsidR="00D26DD1" w:rsidRPr="005D6CDC">
        <w:rPr>
          <w:b/>
          <w:color w:val="000000"/>
        </w:rPr>
        <w:t>ystem</w:t>
      </w:r>
    </w:p>
    <w:p w14:paraId="35667106" w14:textId="7BBC80EE" w:rsidR="004C4139" w:rsidRDefault="005A435D" w:rsidP="004C4139">
      <w:pPr>
        <w:pBdr>
          <w:top w:val="nil"/>
          <w:left w:val="nil"/>
          <w:bottom w:val="nil"/>
          <w:right w:val="nil"/>
          <w:between w:val="nil"/>
        </w:pBdr>
        <w:spacing w:after="200" w:line="276" w:lineRule="auto"/>
        <w:jc w:val="both"/>
        <w:rPr>
          <w:sz w:val="22"/>
          <w:szCs w:val="22"/>
        </w:rPr>
      </w:pPr>
      <w:r w:rsidRPr="005D6CDC">
        <w:rPr>
          <w:sz w:val="22"/>
          <w:szCs w:val="22"/>
        </w:rPr>
        <w:t>The WHR system was introduced into the</w:t>
      </w:r>
      <w:r w:rsidR="00F57D17" w:rsidRPr="005D6CDC">
        <w:rPr>
          <w:sz w:val="22"/>
          <w:szCs w:val="22"/>
        </w:rPr>
        <w:t xml:space="preserve"> existing</w:t>
      </w:r>
      <w:r w:rsidRPr="005D6CDC">
        <w:rPr>
          <w:sz w:val="22"/>
          <w:szCs w:val="22"/>
        </w:rPr>
        <w:t xml:space="preserve"> Bunhill </w:t>
      </w:r>
      <w:r w:rsidR="003D184F">
        <w:rPr>
          <w:sz w:val="22"/>
          <w:szCs w:val="22"/>
        </w:rPr>
        <w:t>DH network</w:t>
      </w:r>
      <w:r w:rsidRPr="005D6CDC">
        <w:rPr>
          <w:sz w:val="22"/>
          <w:szCs w:val="22"/>
        </w:rPr>
        <w:t xml:space="preserve"> as part of an extension project known as Bunhill 2. The system recovers waste heat from the City Road ventilation shaft, located on the Northern Line between</w:t>
      </w:r>
      <w:r w:rsidR="000706E2" w:rsidRPr="005D6CDC">
        <w:rPr>
          <w:sz w:val="22"/>
          <w:szCs w:val="22"/>
        </w:rPr>
        <w:t xml:space="preserve"> </w:t>
      </w:r>
      <w:r w:rsidRPr="005D6CDC">
        <w:rPr>
          <w:sz w:val="22"/>
          <w:szCs w:val="22"/>
        </w:rPr>
        <w:t xml:space="preserve">Angel and Old Street stations in </w:t>
      </w:r>
      <w:r w:rsidR="003D184F">
        <w:rPr>
          <w:sz w:val="22"/>
          <w:szCs w:val="22"/>
        </w:rPr>
        <w:t>c</w:t>
      </w:r>
      <w:r w:rsidRPr="005D6CDC">
        <w:rPr>
          <w:sz w:val="22"/>
          <w:szCs w:val="22"/>
        </w:rPr>
        <w:t>entral London. The main components of the WHR system are a reversible fan, heat recovery coils with a nominal capacity of 780</w:t>
      </w:r>
      <w:r w:rsidR="0062032A" w:rsidRPr="005D6CDC">
        <w:rPr>
          <w:sz w:val="22"/>
          <w:szCs w:val="22"/>
        </w:rPr>
        <w:t xml:space="preserve"> </w:t>
      </w:r>
      <w:r w:rsidRPr="005D6CDC">
        <w:rPr>
          <w:sz w:val="22"/>
          <w:szCs w:val="22"/>
        </w:rPr>
        <w:t>kW, a 1</w:t>
      </w:r>
      <w:r w:rsidR="0062032A" w:rsidRPr="005D6CDC">
        <w:rPr>
          <w:sz w:val="22"/>
          <w:szCs w:val="22"/>
        </w:rPr>
        <w:t xml:space="preserve"> </w:t>
      </w:r>
      <w:r w:rsidRPr="005D6CDC">
        <w:rPr>
          <w:sz w:val="22"/>
          <w:szCs w:val="22"/>
        </w:rPr>
        <w:t>MW two-stage ammonia heat pump, and a coolant loop that connects the coils to the heat pump. The WHR system was constructed within a new energy centre, which also houses a 50 m</w:t>
      </w:r>
      <w:r w:rsidRPr="005D6CDC">
        <w:rPr>
          <w:sz w:val="22"/>
          <w:szCs w:val="22"/>
          <w:vertAlign w:val="superscript"/>
        </w:rPr>
        <w:t>3</w:t>
      </w:r>
      <w:r w:rsidRPr="005D6CDC">
        <w:rPr>
          <w:sz w:val="22"/>
          <w:szCs w:val="22"/>
        </w:rPr>
        <w:t xml:space="preserve"> </w:t>
      </w:r>
      <w:r w:rsidR="00C03B8C">
        <w:rPr>
          <w:sz w:val="22"/>
          <w:szCs w:val="22"/>
        </w:rPr>
        <w:t>thermal energy store</w:t>
      </w:r>
      <w:r w:rsidRPr="005D6CDC">
        <w:rPr>
          <w:sz w:val="22"/>
          <w:szCs w:val="22"/>
        </w:rPr>
        <w:t xml:space="preserve"> and two </w:t>
      </w:r>
      <w:r w:rsidRPr="005D6CDC">
        <w:rPr>
          <w:color w:val="000000"/>
          <w:sz w:val="20"/>
          <w:szCs w:val="20"/>
        </w:rPr>
        <w:t>237kW</w:t>
      </w:r>
      <w:r w:rsidRPr="005D6CDC">
        <w:rPr>
          <w:color w:val="000000"/>
          <w:sz w:val="20"/>
          <w:szCs w:val="20"/>
          <w:vertAlign w:val="subscript"/>
        </w:rPr>
        <w:t>e</w:t>
      </w:r>
      <w:r w:rsidRPr="005D6CDC">
        <w:rPr>
          <w:color w:val="000000"/>
          <w:sz w:val="20"/>
          <w:szCs w:val="20"/>
        </w:rPr>
        <w:t>/372kW</w:t>
      </w:r>
      <w:r w:rsidRPr="005D6CDC">
        <w:rPr>
          <w:color w:val="000000"/>
          <w:sz w:val="20"/>
          <w:szCs w:val="20"/>
          <w:vertAlign w:val="subscript"/>
        </w:rPr>
        <w:t>th</w:t>
      </w:r>
      <w:r w:rsidR="007E3880" w:rsidRPr="005D6CDC">
        <w:rPr>
          <w:sz w:val="22"/>
          <w:szCs w:val="22"/>
        </w:rPr>
        <w:t xml:space="preserve"> </w:t>
      </w:r>
      <w:r w:rsidRPr="005D6CDC">
        <w:rPr>
          <w:sz w:val="22"/>
          <w:szCs w:val="22"/>
        </w:rPr>
        <w:t xml:space="preserve">combined heat and power (CHP) units. These additional heat sources, together with the energy centre from the initial network, enable the system to operate flexibly </w:t>
      </w:r>
      <w:r w:rsidR="00F57D17" w:rsidRPr="005D6CDC">
        <w:rPr>
          <w:sz w:val="22"/>
          <w:szCs w:val="22"/>
        </w:rPr>
        <w:t>while</w:t>
      </w:r>
      <w:r w:rsidRPr="005D6CDC">
        <w:rPr>
          <w:sz w:val="22"/>
          <w:szCs w:val="22"/>
        </w:rPr>
        <w:t xml:space="preserve"> meeting a heat demand associated with 1,350 dwellings, two leisure </w:t>
      </w:r>
      <w:proofErr w:type="spellStart"/>
      <w:r w:rsidRPr="005D6CDC">
        <w:rPr>
          <w:sz w:val="22"/>
          <w:szCs w:val="22"/>
        </w:rPr>
        <w:t>centres</w:t>
      </w:r>
      <w:proofErr w:type="spellEnd"/>
      <w:r w:rsidRPr="005D6CDC">
        <w:rPr>
          <w:sz w:val="22"/>
          <w:szCs w:val="22"/>
        </w:rPr>
        <w:t xml:space="preserve"> and a local primary school. The </w:t>
      </w:r>
      <w:r w:rsidR="0013127E">
        <w:rPr>
          <w:sz w:val="22"/>
          <w:szCs w:val="22"/>
        </w:rPr>
        <w:t>heat network</w:t>
      </w:r>
      <w:r w:rsidRPr="005D6CDC">
        <w:rPr>
          <w:sz w:val="22"/>
          <w:szCs w:val="22"/>
        </w:rPr>
        <w:t xml:space="preserve"> operates with flow and return temperatures of 75 and 55°C, respectively</w:t>
      </w:r>
      <w:r w:rsidR="00F57D17" w:rsidRPr="005D6CDC">
        <w:rPr>
          <w:sz w:val="22"/>
          <w:szCs w:val="22"/>
        </w:rPr>
        <w:t>.</w:t>
      </w:r>
      <w:r w:rsidR="004C4139">
        <w:rPr>
          <w:sz w:val="22"/>
          <w:szCs w:val="22"/>
        </w:rPr>
        <w:t xml:space="preserve"> </w:t>
      </w:r>
    </w:p>
    <w:p w14:paraId="01FA7A20" w14:textId="3282916F" w:rsidR="004C4139" w:rsidRPr="005D6CDC" w:rsidRDefault="004C4139" w:rsidP="004C4139">
      <w:pPr>
        <w:pBdr>
          <w:top w:val="nil"/>
          <w:left w:val="nil"/>
          <w:bottom w:val="nil"/>
          <w:right w:val="nil"/>
          <w:between w:val="nil"/>
        </w:pBdr>
        <w:spacing w:after="200" w:line="276" w:lineRule="auto"/>
        <w:jc w:val="both"/>
        <w:rPr>
          <w:sz w:val="22"/>
          <w:szCs w:val="22"/>
        </w:rPr>
      </w:pPr>
      <w:r w:rsidRPr="005D6CDC">
        <w:rPr>
          <w:sz w:val="22"/>
          <w:szCs w:val="22"/>
        </w:rPr>
        <w:t xml:space="preserve">An essential feature of the Bunhill WHR system is its ability to supply cooled air to the LU tunnels whilst simultaneously delivering heat to the local heat network, depending on the direction in which the reversible fan operates. If operating in </w:t>
      </w:r>
      <w:r w:rsidR="00F77488">
        <w:rPr>
          <w:sz w:val="22"/>
          <w:szCs w:val="22"/>
        </w:rPr>
        <w:t>e</w:t>
      </w:r>
      <w:r w:rsidRPr="005D6CDC">
        <w:rPr>
          <w:sz w:val="22"/>
          <w:szCs w:val="22"/>
        </w:rPr>
        <w:t xml:space="preserve">xtract </w:t>
      </w:r>
      <w:r w:rsidR="00F77488">
        <w:rPr>
          <w:sz w:val="22"/>
          <w:szCs w:val="22"/>
        </w:rPr>
        <w:t>m</w:t>
      </w:r>
      <w:r w:rsidRPr="005D6CDC">
        <w:rPr>
          <w:sz w:val="22"/>
          <w:szCs w:val="22"/>
        </w:rPr>
        <w:t xml:space="preserve">ode, the system </w:t>
      </w:r>
      <w:proofErr w:type="spellStart"/>
      <w:r w:rsidRPr="005D6CDC">
        <w:rPr>
          <w:sz w:val="22"/>
          <w:szCs w:val="22"/>
        </w:rPr>
        <w:t>utilises</w:t>
      </w:r>
      <w:proofErr w:type="spellEnd"/>
      <w:r w:rsidRPr="005D6CDC">
        <w:rPr>
          <w:sz w:val="22"/>
          <w:szCs w:val="22"/>
        </w:rPr>
        <w:t xml:space="preserve"> tunnel air as the heat source and no cooling is provided to the LU network. However, when operating in </w:t>
      </w:r>
      <w:r w:rsidR="00F77488">
        <w:rPr>
          <w:sz w:val="22"/>
          <w:szCs w:val="22"/>
        </w:rPr>
        <w:t>s</w:t>
      </w:r>
      <w:r w:rsidRPr="005D6CDC">
        <w:rPr>
          <w:sz w:val="22"/>
          <w:szCs w:val="22"/>
        </w:rPr>
        <w:t xml:space="preserve">upply </w:t>
      </w:r>
      <w:r w:rsidR="00F77488">
        <w:rPr>
          <w:sz w:val="22"/>
          <w:szCs w:val="22"/>
        </w:rPr>
        <w:t>m</w:t>
      </w:r>
      <w:r w:rsidRPr="005D6CDC">
        <w:rPr>
          <w:sz w:val="22"/>
          <w:szCs w:val="22"/>
        </w:rPr>
        <w:t xml:space="preserve">ode, the system recovers heat from ambient air, which is cooled down in the process before being supplied to the tunnels. Both </w:t>
      </w:r>
      <w:r w:rsidR="00F77488">
        <w:rPr>
          <w:sz w:val="22"/>
          <w:szCs w:val="22"/>
        </w:rPr>
        <w:t>e</w:t>
      </w:r>
      <w:r w:rsidRPr="005D6CDC">
        <w:rPr>
          <w:sz w:val="22"/>
          <w:szCs w:val="22"/>
        </w:rPr>
        <w:t xml:space="preserve">xtract and </w:t>
      </w:r>
      <w:r w:rsidR="00F77488">
        <w:rPr>
          <w:sz w:val="22"/>
          <w:szCs w:val="22"/>
        </w:rPr>
        <w:t>s</w:t>
      </w:r>
      <w:r w:rsidRPr="005D6CDC">
        <w:rPr>
          <w:sz w:val="22"/>
          <w:szCs w:val="22"/>
        </w:rPr>
        <w:t xml:space="preserve">upply modes are illustrated in </w:t>
      </w:r>
      <w:r w:rsidRPr="005D6CDC">
        <w:rPr>
          <w:sz w:val="22"/>
          <w:szCs w:val="22"/>
        </w:rPr>
        <w:fldChar w:fldCharType="begin"/>
      </w:r>
      <w:r w:rsidRPr="005D6CDC">
        <w:rPr>
          <w:sz w:val="22"/>
          <w:szCs w:val="22"/>
        </w:rPr>
        <w:instrText xml:space="preserve"> REF _Ref67401038 \h  \* MERGEFORMAT </w:instrText>
      </w:r>
      <w:r w:rsidRPr="005D6CDC">
        <w:rPr>
          <w:sz w:val="22"/>
          <w:szCs w:val="22"/>
        </w:rPr>
      </w:r>
      <w:r w:rsidRPr="005D6CDC">
        <w:rPr>
          <w:sz w:val="22"/>
          <w:szCs w:val="22"/>
        </w:rPr>
        <w:fldChar w:fldCharType="separate"/>
      </w:r>
      <w:r w:rsidRPr="005D6CDC">
        <w:rPr>
          <w:sz w:val="22"/>
          <w:szCs w:val="22"/>
        </w:rPr>
        <w:t>Figure 1</w:t>
      </w:r>
      <w:r w:rsidRPr="005D6CDC">
        <w:rPr>
          <w:sz w:val="22"/>
          <w:szCs w:val="22"/>
        </w:rPr>
        <w:fldChar w:fldCharType="end"/>
      </w:r>
      <w:r w:rsidRPr="005D6CDC">
        <w:rPr>
          <w:sz w:val="22"/>
          <w:szCs w:val="22"/>
        </w:rPr>
        <w:t>.</w:t>
      </w:r>
      <w:r>
        <w:rPr>
          <w:sz w:val="22"/>
          <w:szCs w:val="22"/>
        </w:rPr>
        <w:t xml:space="preserve"> </w:t>
      </w:r>
    </w:p>
    <w:p w14:paraId="2BCBFF71" w14:textId="2D9816DB" w:rsidR="00797CF0" w:rsidRPr="005D6CDC" w:rsidRDefault="00D1655E" w:rsidP="002950A4">
      <w:pPr>
        <w:pBdr>
          <w:top w:val="nil"/>
          <w:left w:val="nil"/>
          <w:bottom w:val="nil"/>
          <w:right w:val="nil"/>
          <w:between w:val="nil"/>
        </w:pBdr>
        <w:spacing w:line="276" w:lineRule="auto"/>
        <w:jc w:val="both"/>
        <w:rPr>
          <w:sz w:val="22"/>
          <w:szCs w:val="22"/>
        </w:rPr>
      </w:pPr>
      <w:r w:rsidRPr="005D6CDC">
        <w:rPr>
          <w:noProof/>
          <w:sz w:val="22"/>
          <w:szCs w:val="22"/>
          <w:lang w:val="en-GB" w:eastAsia="en-GB"/>
        </w:rPr>
        <w:drawing>
          <wp:inline distT="0" distB="0" distL="0" distR="0" wp14:anchorId="4C3AD8A3" wp14:editId="0CBAAF2A">
            <wp:extent cx="5706745" cy="270643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06745" cy="2706436"/>
                    </a:xfrm>
                    <a:prstGeom prst="rect">
                      <a:avLst/>
                    </a:prstGeom>
                    <a:noFill/>
                  </pic:spPr>
                </pic:pic>
              </a:graphicData>
            </a:graphic>
          </wp:inline>
        </w:drawing>
      </w:r>
    </w:p>
    <w:p w14:paraId="723F969D" w14:textId="266FC2C1" w:rsidR="00CF7B21" w:rsidRDefault="002950A4" w:rsidP="00CF7B21">
      <w:pPr>
        <w:pStyle w:val="Caption"/>
        <w:jc w:val="center"/>
        <w:rPr>
          <w:rFonts w:eastAsia="Times"/>
          <w:i w:val="0"/>
          <w:iCs w:val="0"/>
          <w:color w:val="auto"/>
          <w:lang w:val="en-GB"/>
        </w:rPr>
      </w:pPr>
      <w:bookmarkStart w:id="0" w:name="_Ref67401038"/>
      <w:r w:rsidRPr="005D6CDC">
        <w:rPr>
          <w:rFonts w:eastAsia="Times"/>
          <w:b/>
          <w:i w:val="0"/>
          <w:iCs w:val="0"/>
          <w:color w:val="auto"/>
          <w:lang w:val="en-GB"/>
        </w:rPr>
        <w:t xml:space="preserve">Figure </w:t>
      </w:r>
      <w:r w:rsidR="00503F91" w:rsidRPr="005D6CDC">
        <w:rPr>
          <w:rFonts w:eastAsia="Times"/>
          <w:b/>
          <w:i w:val="0"/>
          <w:iCs w:val="0"/>
          <w:color w:val="auto"/>
          <w:lang w:val="en-GB"/>
        </w:rPr>
        <w:fldChar w:fldCharType="begin"/>
      </w:r>
      <w:r w:rsidR="00503F91" w:rsidRPr="005D6CDC">
        <w:rPr>
          <w:rFonts w:eastAsia="Times"/>
          <w:b/>
          <w:i w:val="0"/>
          <w:iCs w:val="0"/>
          <w:color w:val="auto"/>
          <w:lang w:val="en-GB"/>
        </w:rPr>
        <w:instrText xml:space="preserve"> SEQ Figure \* ARABIC </w:instrText>
      </w:r>
      <w:r w:rsidR="00503F91" w:rsidRPr="005D6CDC">
        <w:rPr>
          <w:rFonts w:eastAsia="Times"/>
          <w:b/>
          <w:i w:val="0"/>
          <w:iCs w:val="0"/>
          <w:color w:val="auto"/>
          <w:lang w:val="en-GB"/>
        </w:rPr>
        <w:fldChar w:fldCharType="separate"/>
      </w:r>
      <w:r w:rsidR="00D22E5D" w:rsidRPr="005D6CDC">
        <w:rPr>
          <w:rFonts w:eastAsia="Times"/>
          <w:b/>
          <w:i w:val="0"/>
          <w:iCs w:val="0"/>
          <w:noProof/>
          <w:color w:val="auto"/>
          <w:lang w:val="en-GB"/>
        </w:rPr>
        <w:t>1</w:t>
      </w:r>
      <w:r w:rsidR="00503F91" w:rsidRPr="005D6CDC">
        <w:rPr>
          <w:rFonts w:eastAsia="Times"/>
          <w:b/>
          <w:i w:val="0"/>
          <w:iCs w:val="0"/>
          <w:color w:val="auto"/>
          <w:lang w:val="en-GB"/>
        </w:rPr>
        <w:fldChar w:fldCharType="end"/>
      </w:r>
      <w:bookmarkEnd w:id="0"/>
      <w:r w:rsidRPr="005D6CDC">
        <w:rPr>
          <w:rFonts w:eastAsia="Times"/>
          <w:b/>
          <w:i w:val="0"/>
          <w:iCs w:val="0"/>
          <w:color w:val="auto"/>
          <w:lang w:val="en-GB"/>
        </w:rPr>
        <w:t xml:space="preserve"> </w:t>
      </w:r>
      <w:r w:rsidRPr="00A34314">
        <w:rPr>
          <w:rFonts w:eastAsia="Times"/>
          <w:bCs/>
          <w:i w:val="0"/>
          <w:iCs w:val="0"/>
          <w:color w:val="auto"/>
          <w:lang w:val="en-GB"/>
        </w:rPr>
        <w:t>–</w:t>
      </w:r>
      <w:r w:rsidRPr="005D6CDC">
        <w:rPr>
          <w:rFonts w:eastAsia="Times"/>
          <w:b/>
          <w:i w:val="0"/>
          <w:iCs w:val="0"/>
          <w:color w:val="auto"/>
          <w:lang w:val="en-GB"/>
        </w:rPr>
        <w:t xml:space="preserve"> </w:t>
      </w:r>
      <w:r w:rsidRPr="005D6CDC">
        <w:rPr>
          <w:rFonts w:eastAsia="Times"/>
          <w:i w:val="0"/>
          <w:iCs w:val="0"/>
          <w:color w:val="auto"/>
          <w:lang w:val="en-GB"/>
        </w:rPr>
        <w:t>Conceptual schematics of the WHR system operating in extract and supply modes.</w:t>
      </w:r>
    </w:p>
    <w:p w14:paraId="3B7168AE" w14:textId="4D660DD3" w:rsidR="004C4139" w:rsidRPr="004C4139" w:rsidRDefault="004C4139" w:rsidP="00160B80">
      <w:pPr>
        <w:pBdr>
          <w:top w:val="nil"/>
          <w:left w:val="nil"/>
          <w:bottom w:val="nil"/>
          <w:right w:val="nil"/>
          <w:between w:val="nil"/>
        </w:pBdr>
        <w:spacing w:after="200" w:line="276" w:lineRule="auto"/>
        <w:jc w:val="both"/>
        <w:rPr>
          <w:sz w:val="22"/>
          <w:szCs w:val="22"/>
        </w:rPr>
      </w:pPr>
      <w:r w:rsidRPr="004C4139">
        <w:rPr>
          <w:sz w:val="22"/>
          <w:szCs w:val="22"/>
        </w:rPr>
        <w:t xml:space="preserve">As the main novelty of Bunhill 2 is associated with WHR from the </w:t>
      </w:r>
      <w:r w:rsidR="0013127E">
        <w:rPr>
          <w:sz w:val="22"/>
          <w:szCs w:val="22"/>
        </w:rPr>
        <w:t>LU</w:t>
      </w:r>
      <w:r w:rsidRPr="004C4139">
        <w:rPr>
          <w:sz w:val="22"/>
          <w:szCs w:val="22"/>
        </w:rPr>
        <w:t>, this paper focuses on investigating how a</w:t>
      </w:r>
      <w:r>
        <w:rPr>
          <w:sz w:val="22"/>
          <w:szCs w:val="22"/>
        </w:rPr>
        <w:t xml:space="preserve"> large-scale heat pump </w:t>
      </w:r>
      <w:proofErr w:type="spellStart"/>
      <w:r>
        <w:rPr>
          <w:sz w:val="22"/>
          <w:szCs w:val="22"/>
        </w:rPr>
        <w:t>utilising</w:t>
      </w:r>
      <w:proofErr w:type="spellEnd"/>
      <w:r>
        <w:rPr>
          <w:sz w:val="22"/>
          <w:szCs w:val="22"/>
        </w:rPr>
        <w:t xml:space="preserve"> waste heat</w:t>
      </w:r>
      <w:r w:rsidRPr="004C4139">
        <w:rPr>
          <w:sz w:val="22"/>
          <w:szCs w:val="22"/>
        </w:rPr>
        <w:t xml:space="preserve"> would perform against </w:t>
      </w:r>
      <w:r w:rsidR="00B01975">
        <w:rPr>
          <w:sz w:val="22"/>
          <w:szCs w:val="22"/>
        </w:rPr>
        <w:t xml:space="preserve">conventional </w:t>
      </w:r>
      <w:r w:rsidR="00B01975">
        <w:rPr>
          <w:sz w:val="22"/>
          <w:szCs w:val="22"/>
        </w:rPr>
        <w:lastRenderedPageBreak/>
        <w:t xml:space="preserve">technologies, namely </w:t>
      </w:r>
      <w:r w:rsidR="00F4463C">
        <w:rPr>
          <w:sz w:val="22"/>
          <w:szCs w:val="22"/>
        </w:rPr>
        <w:t xml:space="preserve">communal </w:t>
      </w:r>
      <w:r w:rsidRPr="004C4139">
        <w:rPr>
          <w:sz w:val="22"/>
          <w:szCs w:val="22"/>
        </w:rPr>
        <w:t>gas boilers</w:t>
      </w:r>
      <w:r w:rsidR="00C36214">
        <w:rPr>
          <w:sz w:val="22"/>
          <w:szCs w:val="22"/>
        </w:rPr>
        <w:t xml:space="preserve"> </w:t>
      </w:r>
      <w:r w:rsidRPr="004C4139">
        <w:rPr>
          <w:sz w:val="22"/>
          <w:szCs w:val="22"/>
        </w:rPr>
        <w:t xml:space="preserve">and a low-carbon alternative of </w:t>
      </w:r>
      <w:r w:rsidR="00F4463C">
        <w:rPr>
          <w:sz w:val="22"/>
          <w:szCs w:val="22"/>
        </w:rPr>
        <w:t xml:space="preserve">individual </w:t>
      </w:r>
      <w:r w:rsidRPr="004C4139">
        <w:rPr>
          <w:sz w:val="22"/>
          <w:szCs w:val="22"/>
        </w:rPr>
        <w:t xml:space="preserve">air-source heat pumps (ASHPs). </w:t>
      </w:r>
      <w:proofErr w:type="gramStart"/>
      <w:r w:rsidRPr="004C4139">
        <w:rPr>
          <w:sz w:val="22"/>
          <w:szCs w:val="22"/>
        </w:rPr>
        <w:t>In order to</w:t>
      </w:r>
      <w:proofErr w:type="gramEnd"/>
      <w:r w:rsidRPr="004C4139">
        <w:rPr>
          <w:sz w:val="22"/>
          <w:szCs w:val="22"/>
        </w:rPr>
        <w:t xml:space="preserve"> </w:t>
      </w:r>
      <w:proofErr w:type="spellStart"/>
      <w:r w:rsidRPr="004C4139">
        <w:rPr>
          <w:sz w:val="22"/>
          <w:szCs w:val="22"/>
        </w:rPr>
        <w:t>realise</w:t>
      </w:r>
      <w:proofErr w:type="spellEnd"/>
      <w:r w:rsidRPr="004C4139">
        <w:rPr>
          <w:sz w:val="22"/>
          <w:szCs w:val="22"/>
        </w:rPr>
        <w:t xml:space="preserve"> the full benefits behind </w:t>
      </w:r>
      <w:r w:rsidR="00160B80">
        <w:rPr>
          <w:sz w:val="22"/>
          <w:szCs w:val="22"/>
        </w:rPr>
        <w:t>the WHR system</w:t>
      </w:r>
      <w:r w:rsidRPr="004C4139">
        <w:rPr>
          <w:sz w:val="22"/>
          <w:szCs w:val="22"/>
        </w:rPr>
        <w:t xml:space="preserve">, the impacts of cooling will also be </w:t>
      </w:r>
      <w:r>
        <w:rPr>
          <w:sz w:val="22"/>
          <w:szCs w:val="22"/>
        </w:rPr>
        <w:t>evaluated</w:t>
      </w:r>
      <w:r w:rsidR="00160B80">
        <w:rPr>
          <w:sz w:val="22"/>
          <w:szCs w:val="22"/>
        </w:rPr>
        <w:t>. This includes calculating overall cost and carbon benefits when operating in supply mode, as well as investigating platform temperature reductions that could be achieved at nearby stations in 2030.</w:t>
      </w:r>
    </w:p>
    <w:p w14:paraId="42507DB1" w14:textId="351ADA38" w:rsidR="00D26DD1" w:rsidRPr="005D6CDC" w:rsidRDefault="00D26DD1" w:rsidP="00D26DD1">
      <w:pPr>
        <w:pStyle w:val="ListParagraph"/>
        <w:numPr>
          <w:ilvl w:val="0"/>
          <w:numId w:val="4"/>
        </w:numPr>
        <w:pBdr>
          <w:top w:val="nil"/>
          <w:left w:val="nil"/>
          <w:bottom w:val="nil"/>
          <w:right w:val="nil"/>
          <w:between w:val="nil"/>
        </w:pBdr>
        <w:spacing w:line="276" w:lineRule="auto"/>
        <w:ind w:left="482" w:hanging="482"/>
        <w:contextualSpacing w:val="0"/>
        <w:jc w:val="both"/>
        <w:rPr>
          <w:b/>
          <w:color w:val="000000"/>
        </w:rPr>
      </w:pPr>
      <w:r w:rsidRPr="005D6CDC">
        <w:rPr>
          <w:b/>
          <w:color w:val="000000"/>
        </w:rPr>
        <w:t xml:space="preserve">Modelling of the WHR </w:t>
      </w:r>
      <w:r w:rsidR="0013127E">
        <w:rPr>
          <w:b/>
          <w:color w:val="000000"/>
        </w:rPr>
        <w:t>s</w:t>
      </w:r>
      <w:r w:rsidRPr="005D6CDC">
        <w:rPr>
          <w:b/>
          <w:color w:val="000000"/>
        </w:rPr>
        <w:t>ystem</w:t>
      </w:r>
    </w:p>
    <w:p w14:paraId="59878423" w14:textId="166B0B06" w:rsidR="00A976C4" w:rsidRPr="005D6CDC" w:rsidRDefault="00A976C4" w:rsidP="00A976C4">
      <w:pPr>
        <w:pBdr>
          <w:top w:val="nil"/>
          <w:left w:val="nil"/>
          <w:bottom w:val="nil"/>
          <w:right w:val="nil"/>
          <w:between w:val="nil"/>
        </w:pBdr>
        <w:spacing w:after="200" w:line="276" w:lineRule="auto"/>
        <w:jc w:val="both"/>
        <w:rPr>
          <w:sz w:val="22"/>
          <w:szCs w:val="22"/>
        </w:rPr>
      </w:pPr>
      <w:r w:rsidRPr="005D6CDC">
        <w:rPr>
          <w:sz w:val="22"/>
          <w:szCs w:val="22"/>
        </w:rPr>
        <w:t xml:space="preserve">The </w:t>
      </w:r>
      <w:r>
        <w:rPr>
          <w:sz w:val="22"/>
          <w:szCs w:val="22"/>
        </w:rPr>
        <w:t xml:space="preserve">performance of the </w:t>
      </w:r>
      <w:r w:rsidRPr="005D6CDC">
        <w:rPr>
          <w:sz w:val="22"/>
          <w:szCs w:val="22"/>
        </w:rPr>
        <w:t xml:space="preserve">WHR system was simulated using a mathematical model developed with the commercial software tool Engineering Equation Solver (EES). The WHR model was introduced in </w:t>
      </w:r>
      <w:r w:rsidR="00915D9B">
        <w:rPr>
          <w:sz w:val="22"/>
          <w:szCs w:val="22"/>
        </w:rPr>
        <w:t xml:space="preserve">[18] </w:t>
      </w:r>
      <w:r w:rsidRPr="005D6CDC">
        <w:rPr>
          <w:sz w:val="22"/>
          <w:szCs w:val="22"/>
        </w:rPr>
        <w:t>and is capable of iteratively solving thermodynamic balance equations across the system, being used to determine its energy consumption, as well as heating and cooling outputs. The energy consumption calculations are associated with the electricity used to run the reversible fan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oMath>
      <w:r w:rsidRPr="005D6CDC">
        <w:rPr>
          <w:sz w:val="22"/>
          <w:szCs w:val="22"/>
        </w:rPr>
        <w:t>), the coolant circulation pump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P</m:t>
            </m:r>
          </m:sub>
        </m:sSub>
      </m:oMath>
      <w:r w:rsidRPr="005D6CDC">
        <w:rPr>
          <w:sz w:val="22"/>
          <w:szCs w:val="22"/>
        </w:rPr>
        <w:t>) and the heat pump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HP</m:t>
            </m:r>
          </m:sub>
        </m:sSub>
      </m:oMath>
      <w:r w:rsidRPr="005D6CDC">
        <w:rPr>
          <w:sz w:val="22"/>
          <w:szCs w:val="22"/>
        </w:rPr>
        <w:t xml:space="preserve">) when delivering a heat output of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out</m:t>
            </m:r>
          </m:sub>
        </m:sSub>
      </m:oMath>
      <w:r w:rsidRPr="005D6CDC">
        <w:rPr>
          <w:sz w:val="22"/>
          <w:szCs w:val="22"/>
        </w:rPr>
        <w:t xml:space="preserve">. Based upon design specifications, as well as inputs for air temperature and humidity, the model </w:t>
      </w:r>
      <w:proofErr w:type="gramStart"/>
      <w:r w:rsidRPr="005D6CDC">
        <w:rPr>
          <w:sz w:val="22"/>
          <w:szCs w:val="22"/>
        </w:rPr>
        <w:t>is able to</w:t>
      </w:r>
      <w:proofErr w:type="gramEnd"/>
      <w:r w:rsidRPr="005D6CDC">
        <w:rPr>
          <w:sz w:val="22"/>
          <w:szCs w:val="22"/>
        </w:rPr>
        <w:t xml:space="preserve"> calculate the heat recovered by the heat exchanger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rec</m:t>
            </m:r>
          </m:sub>
        </m:sSub>
      </m:oMath>
      <w:r w:rsidRPr="005D6CDC">
        <w:rPr>
          <w:sz w:val="22"/>
          <w:szCs w:val="22"/>
        </w:rPr>
        <w:t>), which is assumed to be equal to that absorbed by the heat pump’s evaporator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in</m:t>
            </m:r>
          </m:sub>
        </m:sSub>
      </m:oMath>
      <w:r w:rsidRPr="005D6CDC">
        <w:rPr>
          <w:sz w:val="22"/>
          <w:szCs w:val="22"/>
        </w:rPr>
        <w:t xml:space="preserve"> =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rec</m:t>
            </m:r>
          </m:sub>
        </m:sSub>
      </m:oMath>
      <w:r w:rsidRPr="005D6CDC">
        <w:rPr>
          <w:sz w:val="22"/>
          <w:szCs w:val="22"/>
        </w:rPr>
        <w:t xml:space="preserve">). When operating in </w:t>
      </w:r>
      <w:r w:rsidR="00F77488">
        <w:rPr>
          <w:sz w:val="22"/>
          <w:szCs w:val="22"/>
        </w:rPr>
        <w:t>s</w:t>
      </w:r>
      <w:r w:rsidRPr="005D6CDC">
        <w:rPr>
          <w:sz w:val="22"/>
          <w:szCs w:val="22"/>
        </w:rPr>
        <w:t xml:space="preserve">upply </w:t>
      </w:r>
      <w:r w:rsidR="00F77488">
        <w:rPr>
          <w:sz w:val="22"/>
          <w:szCs w:val="22"/>
        </w:rPr>
        <w:t>m</w:t>
      </w:r>
      <w:r w:rsidRPr="005D6CDC">
        <w:rPr>
          <w:sz w:val="22"/>
          <w:szCs w:val="22"/>
        </w:rPr>
        <w:t xml:space="preserve">ode, the heat recovered is also equal to the cooling that is delivered by the WHR system. A schematic of the main energy inputs and outputs of the model is shown in </w:t>
      </w:r>
      <w:r w:rsidRPr="005D6CDC">
        <w:rPr>
          <w:sz w:val="22"/>
          <w:szCs w:val="22"/>
        </w:rPr>
        <w:fldChar w:fldCharType="begin"/>
      </w:r>
      <w:r w:rsidRPr="005D6CDC">
        <w:rPr>
          <w:sz w:val="22"/>
          <w:szCs w:val="22"/>
        </w:rPr>
        <w:instrText xml:space="preserve"> REF _Ref67407630 \h  \* MERGEFORMAT </w:instrText>
      </w:r>
      <w:r w:rsidRPr="005D6CDC">
        <w:rPr>
          <w:sz w:val="22"/>
          <w:szCs w:val="22"/>
        </w:rPr>
      </w:r>
      <w:r w:rsidRPr="005D6CDC">
        <w:rPr>
          <w:sz w:val="22"/>
          <w:szCs w:val="22"/>
        </w:rPr>
        <w:fldChar w:fldCharType="separate"/>
      </w:r>
      <w:r w:rsidRPr="005D6CDC">
        <w:rPr>
          <w:sz w:val="22"/>
          <w:szCs w:val="22"/>
        </w:rPr>
        <w:t xml:space="preserve">Figure </w:t>
      </w:r>
      <w:r w:rsidR="00915D9B">
        <w:rPr>
          <w:sz w:val="22"/>
          <w:szCs w:val="22"/>
        </w:rPr>
        <w:t>2</w:t>
      </w:r>
      <w:r w:rsidRPr="005D6CDC">
        <w:rPr>
          <w:sz w:val="22"/>
          <w:szCs w:val="22"/>
        </w:rPr>
        <w:fldChar w:fldCharType="end"/>
      </w:r>
      <w:r w:rsidRPr="005D6CDC">
        <w:rPr>
          <w:sz w:val="22"/>
          <w:szCs w:val="22"/>
        </w:rPr>
        <w:t>.</w:t>
      </w:r>
    </w:p>
    <w:p w14:paraId="3EE51000" w14:textId="77777777" w:rsidR="00A976C4" w:rsidRPr="005D6CDC" w:rsidRDefault="00A976C4" w:rsidP="000520D3">
      <w:pPr>
        <w:pBdr>
          <w:top w:val="nil"/>
          <w:left w:val="nil"/>
          <w:bottom w:val="nil"/>
          <w:right w:val="nil"/>
          <w:between w:val="nil"/>
        </w:pBdr>
        <w:spacing w:line="276" w:lineRule="auto"/>
        <w:jc w:val="center"/>
        <w:rPr>
          <w:sz w:val="22"/>
          <w:szCs w:val="22"/>
        </w:rPr>
      </w:pPr>
      <w:r w:rsidRPr="005D6CDC">
        <w:rPr>
          <w:noProof/>
          <w:sz w:val="22"/>
          <w:szCs w:val="22"/>
          <w:lang w:val="en-GB" w:eastAsia="en-GB"/>
        </w:rPr>
        <w:drawing>
          <wp:inline distT="0" distB="0" distL="0" distR="0" wp14:anchorId="65E3943C" wp14:editId="3DA4A018">
            <wp:extent cx="5346590" cy="1584000"/>
            <wp:effectExtent l="0" t="0" r="6985" b="0"/>
            <wp:docPr id="548117155" name="Picture 548117155" descr="A diagram of a heat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7155" name="Picture 548117155" descr="A diagram of a heat pum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590" cy="1584000"/>
                    </a:xfrm>
                    <a:prstGeom prst="rect">
                      <a:avLst/>
                    </a:prstGeom>
                    <a:noFill/>
                  </pic:spPr>
                </pic:pic>
              </a:graphicData>
            </a:graphic>
          </wp:inline>
        </w:drawing>
      </w:r>
    </w:p>
    <w:p w14:paraId="74A3AF4E" w14:textId="0A0AE5EE" w:rsidR="00A976C4" w:rsidRPr="005D6CDC" w:rsidRDefault="00A976C4" w:rsidP="00A976C4">
      <w:pPr>
        <w:pBdr>
          <w:top w:val="nil"/>
          <w:left w:val="nil"/>
          <w:bottom w:val="nil"/>
          <w:right w:val="nil"/>
          <w:between w:val="nil"/>
        </w:pBdr>
        <w:spacing w:after="200" w:line="276" w:lineRule="auto"/>
        <w:jc w:val="center"/>
        <w:rPr>
          <w:rFonts w:eastAsia="Times"/>
          <w:sz w:val="18"/>
          <w:szCs w:val="18"/>
          <w:lang w:val="en-GB"/>
        </w:rPr>
      </w:pPr>
      <w:r w:rsidRPr="005D6CDC">
        <w:rPr>
          <w:rFonts w:eastAsia="Times"/>
          <w:b/>
          <w:sz w:val="18"/>
          <w:szCs w:val="18"/>
          <w:lang w:val="en-GB"/>
        </w:rPr>
        <w:t xml:space="preserve">Figure </w:t>
      </w:r>
      <w:r w:rsidR="00915D9B">
        <w:rPr>
          <w:rFonts w:eastAsia="Times"/>
          <w:b/>
          <w:sz w:val="18"/>
          <w:szCs w:val="18"/>
          <w:lang w:val="en-GB"/>
        </w:rPr>
        <w:t>2</w:t>
      </w:r>
      <w:r w:rsidRPr="005D6CDC">
        <w:rPr>
          <w:rFonts w:eastAsia="Times"/>
          <w:b/>
          <w:sz w:val="18"/>
          <w:szCs w:val="18"/>
          <w:lang w:val="en-GB"/>
        </w:rPr>
        <w:t xml:space="preserve"> </w:t>
      </w:r>
      <w:r w:rsidRPr="00A34314">
        <w:rPr>
          <w:rFonts w:eastAsia="Times"/>
          <w:bCs/>
          <w:sz w:val="18"/>
          <w:szCs w:val="18"/>
          <w:lang w:val="en-GB"/>
        </w:rPr>
        <w:t>–</w:t>
      </w:r>
      <w:r w:rsidRPr="005D6CDC">
        <w:rPr>
          <w:rFonts w:eastAsia="Times"/>
          <w:b/>
          <w:sz w:val="18"/>
          <w:szCs w:val="18"/>
          <w:lang w:val="en-GB"/>
        </w:rPr>
        <w:t xml:space="preserve"> </w:t>
      </w:r>
      <w:r w:rsidRPr="005D6CDC">
        <w:rPr>
          <w:rFonts w:eastAsia="Times"/>
          <w:sz w:val="18"/>
          <w:szCs w:val="18"/>
          <w:lang w:val="en-GB"/>
        </w:rPr>
        <w:t>Schematic highlighting energy inputs and outputs associated with the WHR model.</w:t>
      </w:r>
    </w:p>
    <w:p w14:paraId="46894556" w14:textId="6A7DCA77" w:rsidR="00A976C4" w:rsidRPr="005D6CDC" w:rsidRDefault="00A976C4" w:rsidP="00A976C4">
      <w:pPr>
        <w:pBdr>
          <w:top w:val="nil"/>
          <w:left w:val="nil"/>
          <w:bottom w:val="nil"/>
          <w:right w:val="nil"/>
          <w:between w:val="nil"/>
        </w:pBdr>
        <w:spacing w:after="200" w:line="276" w:lineRule="auto"/>
        <w:jc w:val="both"/>
        <w:rPr>
          <w:sz w:val="22"/>
          <w:szCs w:val="22"/>
        </w:rPr>
      </w:pPr>
      <w:r w:rsidRPr="005D6CDC">
        <w:rPr>
          <w:sz w:val="22"/>
          <w:szCs w:val="22"/>
        </w:rPr>
        <w:t xml:space="preserve">Each of the components illustrated in </w:t>
      </w:r>
      <w:r w:rsidRPr="005D6CDC">
        <w:rPr>
          <w:sz w:val="22"/>
          <w:szCs w:val="22"/>
        </w:rPr>
        <w:fldChar w:fldCharType="begin"/>
      </w:r>
      <w:r w:rsidRPr="005D6CDC">
        <w:rPr>
          <w:sz w:val="22"/>
          <w:szCs w:val="22"/>
        </w:rPr>
        <w:instrText xml:space="preserve"> REF _Ref67407630 \h  \* MERGEFORMAT </w:instrText>
      </w:r>
      <w:r w:rsidRPr="005D6CDC">
        <w:rPr>
          <w:sz w:val="22"/>
          <w:szCs w:val="22"/>
        </w:rPr>
      </w:r>
      <w:r w:rsidRPr="005D6CDC">
        <w:rPr>
          <w:sz w:val="22"/>
          <w:szCs w:val="22"/>
        </w:rPr>
        <w:fldChar w:fldCharType="separate"/>
      </w:r>
      <w:r w:rsidR="00915D9B" w:rsidRPr="00915D9B">
        <w:rPr>
          <w:sz w:val="22"/>
          <w:szCs w:val="22"/>
        </w:rPr>
        <w:t xml:space="preserve">Figure </w:t>
      </w:r>
      <w:r w:rsidR="00915D9B">
        <w:rPr>
          <w:sz w:val="22"/>
          <w:szCs w:val="22"/>
        </w:rPr>
        <w:t>2</w:t>
      </w:r>
      <w:r w:rsidRPr="005D6CDC">
        <w:rPr>
          <w:sz w:val="22"/>
          <w:szCs w:val="22"/>
        </w:rPr>
        <w:fldChar w:fldCharType="end"/>
      </w:r>
      <w:r w:rsidRPr="005D6CDC">
        <w:rPr>
          <w:sz w:val="22"/>
          <w:szCs w:val="22"/>
        </w:rPr>
        <w:t xml:space="preserve"> together with its outputs were modelled by solving the mass and energy balance between the coils and the heat pump. These outputs are illustrated in </w:t>
      </w:r>
      <w:r w:rsidRPr="005D6CDC">
        <w:rPr>
          <w:sz w:val="22"/>
          <w:szCs w:val="22"/>
        </w:rPr>
        <w:fldChar w:fldCharType="begin"/>
      </w:r>
      <w:r w:rsidRPr="005D6CDC">
        <w:rPr>
          <w:sz w:val="22"/>
          <w:szCs w:val="22"/>
        </w:rPr>
        <w:instrText xml:space="preserve"> REF _Ref67558488 \h  \* MERGEFORMAT </w:instrText>
      </w:r>
      <w:r w:rsidRPr="005D6CDC">
        <w:rPr>
          <w:sz w:val="22"/>
          <w:szCs w:val="22"/>
        </w:rPr>
      </w:r>
      <w:r w:rsidRPr="005D6CDC">
        <w:rPr>
          <w:sz w:val="22"/>
          <w:szCs w:val="22"/>
        </w:rPr>
        <w:fldChar w:fldCharType="separate"/>
      </w:r>
      <w:r w:rsidR="005C2D0C" w:rsidRPr="005C2D0C">
        <w:rPr>
          <w:sz w:val="22"/>
          <w:szCs w:val="22"/>
        </w:rPr>
        <w:t xml:space="preserve">Figure </w:t>
      </w:r>
      <w:r w:rsidR="005C2D0C">
        <w:rPr>
          <w:sz w:val="22"/>
          <w:szCs w:val="22"/>
        </w:rPr>
        <w:t>3</w:t>
      </w:r>
      <w:r w:rsidRPr="005D6CDC">
        <w:rPr>
          <w:sz w:val="22"/>
          <w:szCs w:val="22"/>
        </w:rPr>
        <w:fldChar w:fldCharType="end"/>
      </w:r>
      <w:r w:rsidRPr="005D6CDC">
        <w:rPr>
          <w:sz w:val="22"/>
          <w:szCs w:val="22"/>
        </w:rPr>
        <w:t xml:space="preserve">, along with the main inputs and connections between the different </w:t>
      </w:r>
      <w:r w:rsidR="005C2D0C">
        <w:rPr>
          <w:sz w:val="22"/>
          <w:szCs w:val="22"/>
        </w:rPr>
        <w:t xml:space="preserve">model </w:t>
      </w:r>
      <w:r w:rsidRPr="005D6CDC">
        <w:rPr>
          <w:sz w:val="22"/>
          <w:szCs w:val="22"/>
        </w:rPr>
        <w:t xml:space="preserve">components. The calculations were carried out on an hourly basis, </w:t>
      </w:r>
      <w:r w:rsidR="005C2D0C">
        <w:rPr>
          <w:sz w:val="22"/>
          <w:szCs w:val="22"/>
        </w:rPr>
        <w:t>using</w:t>
      </w:r>
      <w:r w:rsidRPr="005D6CDC">
        <w:rPr>
          <w:sz w:val="22"/>
          <w:szCs w:val="22"/>
        </w:rPr>
        <w:t xml:space="preserve"> temperature and relative humidity recordings from the ventilation shaft and the nearest available weather station, which were provided by Transport for London (TfL) and the UK’s Meteorological Office, respectively, for the period from January 2013 to January 2014. The two-stage heat pump was modelled according to the design specifications for its compressors and heat exchangers, and the coils were simulated considering the latent and sensible heat transfers that take place when heat is recovered from humid air. The WHR model also calculates the energy consumption for the pump and fan based on the expected pressure drops that they must overcome. The model was validated against manufacturer’s data and a detailed description of each modelled component can be found in </w:t>
      </w:r>
      <w:r w:rsidR="00915D9B">
        <w:rPr>
          <w:sz w:val="22"/>
          <w:szCs w:val="22"/>
        </w:rPr>
        <w:t>[18].</w:t>
      </w:r>
      <w:r w:rsidRPr="005D6CDC">
        <w:rPr>
          <w:sz w:val="22"/>
          <w:szCs w:val="22"/>
        </w:rPr>
        <w:t xml:space="preserve"> </w:t>
      </w:r>
      <w:r w:rsidR="005C2D0C">
        <w:rPr>
          <w:sz w:val="22"/>
          <w:szCs w:val="22"/>
        </w:rPr>
        <w:t>By modelling each component</w:t>
      </w:r>
      <w:r w:rsidRPr="005D6CDC">
        <w:rPr>
          <w:sz w:val="22"/>
          <w:szCs w:val="22"/>
        </w:rPr>
        <w:t>, the coefficient of system performance (</w:t>
      </w:r>
      <m:oMath>
        <m:r>
          <w:rPr>
            <w:rFonts w:ascii="Cambria Math" w:hAnsi="Cambria Math"/>
            <w:sz w:val="22"/>
            <w:szCs w:val="22"/>
          </w:rPr>
          <m:t>COSP</m:t>
        </m:r>
      </m:oMath>
      <w:r w:rsidRPr="005D6CDC">
        <w:rPr>
          <w:sz w:val="22"/>
          <w:szCs w:val="22"/>
        </w:rPr>
        <w:t>) can be calculated, as shown in Equation 1.</w:t>
      </w:r>
    </w:p>
    <w:p w14:paraId="1B35D3C7" w14:textId="77777777" w:rsidR="00A976C4" w:rsidRPr="005D6CDC" w:rsidRDefault="00A976C4" w:rsidP="00A976C4">
      <w:pPr>
        <w:pBdr>
          <w:top w:val="nil"/>
          <w:left w:val="nil"/>
          <w:bottom w:val="nil"/>
          <w:right w:val="nil"/>
          <w:between w:val="nil"/>
        </w:pBdr>
        <w:spacing w:after="200" w:line="276" w:lineRule="auto"/>
        <w:jc w:val="both"/>
        <w:rPr>
          <w:sz w:val="22"/>
          <w:szCs w:val="22"/>
        </w:rPr>
      </w:pPr>
      <w:r w:rsidRPr="005D6CDC">
        <w:rPr>
          <w:sz w:val="22"/>
          <w:szCs w:val="22"/>
        </w:rPr>
        <w:tab/>
      </w:r>
      <w:r w:rsidRPr="005D6CDC">
        <w:rPr>
          <w:sz w:val="22"/>
          <w:szCs w:val="22"/>
        </w:rPr>
        <w:tab/>
      </w:r>
      <w:r w:rsidRPr="005D6CDC">
        <w:rPr>
          <w:sz w:val="22"/>
          <w:szCs w:val="22"/>
        </w:rPr>
        <w:tab/>
      </w:r>
      <w:r w:rsidRPr="005D6CDC">
        <w:rPr>
          <w:sz w:val="22"/>
          <w:szCs w:val="22"/>
        </w:rPr>
        <w:tab/>
        <w:t xml:space="preserve">        </w:t>
      </w:r>
      <m:oMath>
        <m:r>
          <w:rPr>
            <w:rFonts w:ascii="Cambria Math" w:hAnsi="Cambria Math"/>
            <w:sz w:val="22"/>
            <w:szCs w:val="22"/>
          </w:rPr>
          <m:t xml:space="preserve">COSP=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out</m:t>
                </m:r>
              </m:sub>
            </m:sSub>
          </m:num>
          <m:den>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P</m:t>
                </m:r>
              </m:sub>
            </m:sSub>
          </m:den>
        </m:f>
      </m:oMath>
      <w:r w:rsidRPr="005D6CDC">
        <w:rPr>
          <w:sz w:val="22"/>
          <w:szCs w:val="22"/>
        </w:rPr>
        <w:tab/>
      </w:r>
      <w:r w:rsidRPr="005D6CDC">
        <w:rPr>
          <w:sz w:val="22"/>
          <w:szCs w:val="22"/>
        </w:rPr>
        <w:tab/>
        <w:t xml:space="preserve">    </w:t>
      </w:r>
      <w:r w:rsidRPr="005D6CDC">
        <w:rPr>
          <w:sz w:val="22"/>
          <w:szCs w:val="22"/>
        </w:rPr>
        <w:tab/>
      </w:r>
      <w:r w:rsidRPr="005D6CDC">
        <w:rPr>
          <w:sz w:val="22"/>
          <w:szCs w:val="22"/>
        </w:rPr>
        <w:tab/>
        <w:t xml:space="preserve">               [</w:t>
      </w:r>
      <w:r w:rsidRPr="005D6CDC">
        <w:rPr>
          <w:sz w:val="22"/>
          <w:szCs w:val="22"/>
        </w:rPr>
        <w:fldChar w:fldCharType="begin"/>
      </w:r>
      <w:r w:rsidRPr="005D6CDC">
        <w:rPr>
          <w:sz w:val="22"/>
          <w:szCs w:val="22"/>
        </w:rPr>
        <w:instrText xml:space="preserve"> SEQ Equation \* ARABIC \s 1 </w:instrText>
      </w:r>
      <w:r w:rsidRPr="005D6CDC">
        <w:rPr>
          <w:sz w:val="22"/>
          <w:szCs w:val="22"/>
        </w:rPr>
        <w:fldChar w:fldCharType="separate"/>
      </w:r>
      <w:r w:rsidRPr="005D6CDC">
        <w:rPr>
          <w:noProof/>
          <w:sz w:val="22"/>
          <w:szCs w:val="22"/>
        </w:rPr>
        <w:t>1</w:t>
      </w:r>
      <w:r w:rsidRPr="005D6CDC">
        <w:rPr>
          <w:noProof/>
          <w:sz w:val="22"/>
          <w:szCs w:val="22"/>
        </w:rPr>
        <w:fldChar w:fldCharType="end"/>
      </w:r>
      <w:r w:rsidRPr="005D6CDC">
        <w:rPr>
          <w:noProof/>
          <w:sz w:val="22"/>
          <w:szCs w:val="22"/>
        </w:rPr>
        <w:t>]</w:t>
      </w:r>
    </w:p>
    <w:p w14:paraId="53CB4C0D" w14:textId="489C9FE9" w:rsidR="00A976C4" w:rsidRPr="005D6CDC" w:rsidRDefault="00F77488" w:rsidP="00A976C4">
      <w:pPr>
        <w:pBdr>
          <w:top w:val="nil"/>
          <w:left w:val="nil"/>
          <w:bottom w:val="nil"/>
          <w:right w:val="nil"/>
          <w:between w:val="nil"/>
        </w:pBdr>
        <w:spacing w:line="276" w:lineRule="auto"/>
        <w:jc w:val="center"/>
        <w:rPr>
          <w:sz w:val="22"/>
          <w:szCs w:val="22"/>
        </w:rPr>
      </w:pPr>
      <w:r>
        <w:rPr>
          <w:noProof/>
          <w:sz w:val="22"/>
          <w:szCs w:val="22"/>
        </w:rPr>
        <w:lastRenderedPageBreak/>
        <w:drawing>
          <wp:inline distT="0" distB="0" distL="0" distR="0" wp14:anchorId="633C8DE7" wp14:editId="0648436C">
            <wp:extent cx="5766937" cy="3240000"/>
            <wp:effectExtent l="0" t="0" r="5715" b="0"/>
            <wp:docPr id="176902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6937" cy="3240000"/>
                    </a:xfrm>
                    <a:prstGeom prst="rect">
                      <a:avLst/>
                    </a:prstGeom>
                    <a:noFill/>
                  </pic:spPr>
                </pic:pic>
              </a:graphicData>
            </a:graphic>
          </wp:inline>
        </w:drawing>
      </w:r>
    </w:p>
    <w:p w14:paraId="3931797F" w14:textId="3649517E" w:rsidR="00A976C4" w:rsidRDefault="00A976C4" w:rsidP="00A976C4">
      <w:pPr>
        <w:pBdr>
          <w:top w:val="nil"/>
          <w:left w:val="nil"/>
          <w:bottom w:val="nil"/>
          <w:right w:val="nil"/>
          <w:between w:val="nil"/>
        </w:pBdr>
        <w:spacing w:after="200" w:line="276" w:lineRule="auto"/>
        <w:jc w:val="center"/>
        <w:rPr>
          <w:rFonts w:eastAsia="Times"/>
          <w:sz w:val="18"/>
          <w:szCs w:val="18"/>
          <w:lang w:val="en-GB"/>
        </w:rPr>
      </w:pPr>
      <w:r w:rsidRPr="005D6CDC">
        <w:rPr>
          <w:rFonts w:eastAsia="Times"/>
          <w:b/>
          <w:sz w:val="18"/>
          <w:szCs w:val="18"/>
          <w:lang w:val="en-GB"/>
        </w:rPr>
        <w:t xml:space="preserve">Figure </w:t>
      </w:r>
      <w:r w:rsidR="005C2D0C">
        <w:rPr>
          <w:rFonts w:eastAsia="Times"/>
          <w:b/>
          <w:sz w:val="18"/>
          <w:szCs w:val="18"/>
          <w:lang w:val="en-GB"/>
        </w:rPr>
        <w:t>3</w:t>
      </w:r>
      <w:r w:rsidRPr="005D6CDC">
        <w:rPr>
          <w:rFonts w:eastAsia="Times"/>
          <w:b/>
          <w:sz w:val="18"/>
          <w:szCs w:val="18"/>
          <w:lang w:val="en-GB"/>
        </w:rPr>
        <w:t xml:space="preserve"> </w:t>
      </w:r>
      <w:r w:rsidRPr="00A34314">
        <w:rPr>
          <w:rFonts w:eastAsia="Times"/>
          <w:bCs/>
          <w:sz w:val="18"/>
          <w:szCs w:val="18"/>
          <w:lang w:val="en-GB"/>
        </w:rPr>
        <w:t>–</w:t>
      </w:r>
      <w:r w:rsidRPr="005D6CDC">
        <w:rPr>
          <w:rFonts w:eastAsia="Times"/>
          <w:b/>
          <w:sz w:val="18"/>
          <w:szCs w:val="18"/>
          <w:lang w:val="en-GB"/>
        </w:rPr>
        <w:t xml:space="preserve"> </w:t>
      </w:r>
      <w:r w:rsidRPr="005D6CDC">
        <w:rPr>
          <w:rFonts w:eastAsia="Times"/>
          <w:sz w:val="18"/>
          <w:szCs w:val="18"/>
          <w:lang w:val="en-GB"/>
        </w:rPr>
        <w:t xml:space="preserve">Framework for the WHR model, highlighting components, </w:t>
      </w:r>
      <w:proofErr w:type="gramStart"/>
      <w:r w:rsidRPr="005D6CDC">
        <w:rPr>
          <w:rFonts w:eastAsia="Times"/>
          <w:sz w:val="18"/>
          <w:szCs w:val="18"/>
          <w:lang w:val="en-GB"/>
        </w:rPr>
        <w:t>inputs</w:t>
      </w:r>
      <w:proofErr w:type="gramEnd"/>
      <w:r w:rsidRPr="005D6CDC">
        <w:rPr>
          <w:rFonts w:eastAsia="Times"/>
          <w:sz w:val="18"/>
          <w:szCs w:val="18"/>
          <w:lang w:val="en-GB"/>
        </w:rPr>
        <w:t xml:space="preserve"> and outputs.</w:t>
      </w:r>
    </w:p>
    <w:p w14:paraId="15A3C873" w14:textId="2A3ECA63" w:rsidR="001D5278" w:rsidRPr="005B7565" w:rsidRDefault="00555185" w:rsidP="00E35AD2">
      <w:pPr>
        <w:pStyle w:val="ListParagraph"/>
        <w:numPr>
          <w:ilvl w:val="0"/>
          <w:numId w:val="4"/>
        </w:numPr>
        <w:pBdr>
          <w:top w:val="nil"/>
          <w:left w:val="nil"/>
          <w:bottom w:val="nil"/>
          <w:right w:val="nil"/>
          <w:between w:val="nil"/>
        </w:pBdr>
        <w:spacing w:line="276" w:lineRule="auto"/>
        <w:ind w:left="482" w:hanging="482"/>
        <w:contextualSpacing w:val="0"/>
        <w:jc w:val="both"/>
        <w:rPr>
          <w:b/>
          <w:color w:val="000000"/>
        </w:rPr>
      </w:pPr>
      <w:r w:rsidRPr="005B7565">
        <w:rPr>
          <w:b/>
          <w:color w:val="000000"/>
        </w:rPr>
        <w:t xml:space="preserve">The </w:t>
      </w:r>
      <w:r w:rsidR="009149A6">
        <w:rPr>
          <w:b/>
          <w:color w:val="000000"/>
        </w:rPr>
        <w:t xml:space="preserve">case </w:t>
      </w:r>
      <w:proofErr w:type="gramStart"/>
      <w:r w:rsidR="009149A6">
        <w:rPr>
          <w:b/>
          <w:color w:val="000000"/>
        </w:rPr>
        <w:t>s</w:t>
      </w:r>
      <w:r w:rsidRPr="005B7565">
        <w:rPr>
          <w:b/>
          <w:color w:val="000000"/>
        </w:rPr>
        <w:t>tudy</w:t>
      </w:r>
      <w:proofErr w:type="gramEnd"/>
    </w:p>
    <w:p w14:paraId="41DECC41" w14:textId="3D1DF02A" w:rsidR="00B01975" w:rsidRDefault="00B01975" w:rsidP="00B01975">
      <w:pPr>
        <w:pBdr>
          <w:top w:val="nil"/>
          <w:left w:val="nil"/>
          <w:bottom w:val="nil"/>
          <w:right w:val="nil"/>
          <w:between w:val="nil"/>
        </w:pBdr>
        <w:spacing w:after="120" w:line="276" w:lineRule="auto"/>
        <w:jc w:val="both"/>
        <w:rPr>
          <w:sz w:val="22"/>
          <w:szCs w:val="22"/>
        </w:rPr>
      </w:pPr>
      <w:r>
        <w:rPr>
          <w:sz w:val="22"/>
          <w:szCs w:val="22"/>
        </w:rPr>
        <w:t>The</w:t>
      </w:r>
      <w:r w:rsidR="005A435D" w:rsidRPr="005D6CDC">
        <w:rPr>
          <w:sz w:val="22"/>
          <w:szCs w:val="22"/>
        </w:rPr>
        <w:t xml:space="preserve"> </w:t>
      </w:r>
      <w:r w:rsidR="001C740C">
        <w:rPr>
          <w:sz w:val="22"/>
          <w:szCs w:val="22"/>
        </w:rPr>
        <w:t xml:space="preserve">Bunhill DH network has been used as </w:t>
      </w:r>
      <w:r w:rsidRPr="005D6CDC">
        <w:rPr>
          <w:sz w:val="22"/>
          <w:szCs w:val="22"/>
        </w:rPr>
        <w:t>a case</w:t>
      </w:r>
      <w:r w:rsidR="005A435D" w:rsidRPr="005D6CDC">
        <w:rPr>
          <w:sz w:val="22"/>
          <w:szCs w:val="22"/>
        </w:rPr>
        <w:t xml:space="preserve"> study for </w:t>
      </w:r>
      <w:r>
        <w:rPr>
          <w:sz w:val="22"/>
          <w:szCs w:val="22"/>
        </w:rPr>
        <w:t>evaluating the benefits of recovering and reusing waste heat from the London Underground</w:t>
      </w:r>
      <w:r w:rsidR="005A435D" w:rsidRPr="005D6CDC">
        <w:rPr>
          <w:sz w:val="22"/>
          <w:szCs w:val="22"/>
        </w:rPr>
        <w:t xml:space="preserve">. </w:t>
      </w:r>
      <w:r>
        <w:rPr>
          <w:sz w:val="22"/>
          <w:szCs w:val="22"/>
        </w:rPr>
        <w:t>This involved an analysis of how the WHR system could meet the heat demands of the</w:t>
      </w:r>
      <w:r w:rsidR="00940AD6">
        <w:rPr>
          <w:sz w:val="22"/>
          <w:szCs w:val="22"/>
        </w:rPr>
        <w:t xml:space="preserve"> </w:t>
      </w:r>
      <w:r>
        <w:rPr>
          <w:sz w:val="22"/>
          <w:szCs w:val="22"/>
        </w:rPr>
        <w:t xml:space="preserve">buildings connected to the DH network, which are illustrated in Figure 4. For this purpose, </w:t>
      </w:r>
      <w:r w:rsidRPr="005D6CDC">
        <w:rPr>
          <w:sz w:val="22"/>
          <w:szCs w:val="22"/>
        </w:rPr>
        <w:t xml:space="preserve">hourly heat demand profiles for </w:t>
      </w:r>
      <w:r>
        <w:rPr>
          <w:sz w:val="22"/>
          <w:szCs w:val="22"/>
        </w:rPr>
        <w:t>the residential buildings</w:t>
      </w:r>
      <w:r w:rsidR="00940AD6">
        <w:rPr>
          <w:sz w:val="22"/>
          <w:szCs w:val="22"/>
        </w:rPr>
        <w:t xml:space="preserve"> connected to the network were provided by Islington Council and</w:t>
      </w:r>
      <w:r w:rsidRPr="005D6CDC">
        <w:rPr>
          <w:sz w:val="22"/>
          <w:szCs w:val="22"/>
        </w:rPr>
        <w:t xml:space="preserve"> used to assess the </w:t>
      </w:r>
      <w:proofErr w:type="spellStart"/>
      <w:r w:rsidR="00940AD6">
        <w:rPr>
          <w:sz w:val="22"/>
          <w:szCs w:val="22"/>
        </w:rPr>
        <w:t>levelised</w:t>
      </w:r>
      <w:proofErr w:type="spellEnd"/>
      <w:r w:rsidR="00940AD6">
        <w:rPr>
          <w:sz w:val="22"/>
          <w:szCs w:val="22"/>
        </w:rPr>
        <w:t xml:space="preserve"> </w:t>
      </w:r>
      <w:r w:rsidRPr="005D6CDC">
        <w:rPr>
          <w:sz w:val="22"/>
          <w:szCs w:val="22"/>
        </w:rPr>
        <w:t xml:space="preserve">costs of meeting </w:t>
      </w:r>
      <w:r w:rsidR="00940AD6">
        <w:rPr>
          <w:sz w:val="22"/>
          <w:szCs w:val="22"/>
        </w:rPr>
        <w:t xml:space="preserve">part of </w:t>
      </w:r>
      <w:r w:rsidRPr="005D6CDC">
        <w:rPr>
          <w:sz w:val="22"/>
          <w:szCs w:val="22"/>
        </w:rPr>
        <w:t xml:space="preserve">the network heat demand with a 1 MW heat pump </w:t>
      </w:r>
      <w:proofErr w:type="spellStart"/>
      <w:r w:rsidRPr="005D6CDC">
        <w:rPr>
          <w:sz w:val="22"/>
          <w:szCs w:val="22"/>
        </w:rPr>
        <w:t>utilising</w:t>
      </w:r>
      <w:proofErr w:type="spellEnd"/>
      <w:r w:rsidRPr="005D6CDC">
        <w:rPr>
          <w:sz w:val="22"/>
          <w:szCs w:val="22"/>
        </w:rPr>
        <w:t xml:space="preserve"> waste heat from the London Underground</w:t>
      </w:r>
      <w:r>
        <w:rPr>
          <w:sz w:val="22"/>
          <w:szCs w:val="22"/>
        </w:rPr>
        <w:t>.</w:t>
      </w:r>
    </w:p>
    <w:p w14:paraId="762E1934" w14:textId="4AB75DD8" w:rsidR="00503F91" w:rsidRPr="005D6CDC" w:rsidRDefault="00011A2A" w:rsidP="00DF00D5">
      <w:pPr>
        <w:pBdr>
          <w:top w:val="nil"/>
          <w:left w:val="nil"/>
          <w:bottom w:val="nil"/>
          <w:right w:val="nil"/>
          <w:between w:val="nil"/>
        </w:pBdr>
        <w:spacing w:line="276" w:lineRule="auto"/>
        <w:jc w:val="center"/>
        <w:rPr>
          <w:sz w:val="22"/>
          <w:szCs w:val="22"/>
        </w:rPr>
      </w:pPr>
      <w:r>
        <w:rPr>
          <w:noProof/>
          <w:sz w:val="22"/>
          <w:szCs w:val="22"/>
        </w:rPr>
        <w:drawing>
          <wp:inline distT="0" distB="0" distL="0" distR="0" wp14:anchorId="21846E3B" wp14:editId="75D307AD">
            <wp:extent cx="5143093" cy="3672000"/>
            <wp:effectExtent l="0" t="0" r="635" b="5080"/>
            <wp:docPr id="133206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093" cy="3672000"/>
                    </a:xfrm>
                    <a:prstGeom prst="rect">
                      <a:avLst/>
                    </a:prstGeom>
                    <a:noFill/>
                  </pic:spPr>
                </pic:pic>
              </a:graphicData>
            </a:graphic>
          </wp:inline>
        </w:drawing>
      </w:r>
    </w:p>
    <w:p w14:paraId="2813353C" w14:textId="708DCFF0" w:rsidR="00503F91" w:rsidRPr="005D6CDC" w:rsidRDefault="00503F91" w:rsidP="00503F91">
      <w:pPr>
        <w:pStyle w:val="Caption"/>
        <w:jc w:val="center"/>
        <w:rPr>
          <w:rFonts w:eastAsia="Times"/>
          <w:i w:val="0"/>
          <w:iCs w:val="0"/>
          <w:color w:val="auto"/>
          <w:lang w:val="en-GB"/>
        </w:rPr>
      </w:pPr>
      <w:bookmarkStart w:id="1" w:name="_Ref84755842"/>
      <w:r w:rsidRPr="005D6CDC">
        <w:rPr>
          <w:rFonts w:eastAsia="Times"/>
          <w:b/>
          <w:i w:val="0"/>
          <w:iCs w:val="0"/>
          <w:color w:val="auto"/>
          <w:lang w:val="en-GB"/>
        </w:rPr>
        <w:t xml:space="preserve">Figure </w:t>
      </w:r>
      <w:bookmarkEnd w:id="1"/>
      <w:r w:rsidR="00940AD6">
        <w:rPr>
          <w:rFonts w:eastAsia="Times"/>
          <w:b/>
          <w:i w:val="0"/>
          <w:iCs w:val="0"/>
          <w:color w:val="auto"/>
          <w:lang w:val="en-GB"/>
        </w:rPr>
        <w:t>4</w:t>
      </w:r>
      <w:r w:rsidRPr="005D6CDC">
        <w:rPr>
          <w:rFonts w:eastAsia="Times"/>
          <w:b/>
          <w:i w:val="0"/>
          <w:iCs w:val="0"/>
          <w:color w:val="auto"/>
          <w:lang w:val="en-GB"/>
        </w:rPr>
        <w:t xml:space="preserve"> </w:t>
      </w:r>
      <w:r w:rsidRPr="00A34314">
        <w:rPr>
          <w:rFonts w:eastAsia="Times"/>
          <w:bCs/>
          <w:i w:val="0"/>
          <w:iCs w:val="0"/>
          <w:color w:val="auto"/>
          <w:lang w:val="en-GB"/>
        </w:rPr>
        <w:t>–</w:t>
      </w:r>
      <w:r w:rsidRPr="005D6CDC">
        <w:rPr>
          <w:rFonts w:eastAsia="Times"/>
          <w:b/>
          <w:i w:val="0"/>
          <w:iCs w:val="0"/>
          <w:color w:val="auto"/>
          <w:lang w:val="en-GB"/>
        </w:rPr>
        <w:t xml:space="preserve"> </w:t>
      </w:r>
      <w:r w:rsidRPr="005D6CDC">
        <w:rPr>
          <w:rFonts w:eastAsia="Times"/>
          <w:i w:val="0"/>
          <w:iCs w:val="0"/>
          <w:color w:val="auto"/>
          <w:lang w:val="en-GB"/>
        </w:rPr>
        <w:t xml:space="preserve">The </w:t>
      </w:r>
      <w:r w:rsidR="00DF00D5">
        <w:rPr>
          <w:rFonts w:eastAsia="Times"/>
          <w:i w:val="0"/>
          <w:iCs w:val="0"/>
          <w:color w:val="auto"/>
          <w:lang w:val="en-GB"/>
        </w:rPr>
        <w:t xml:space="preserve">DH network used as a case study </w:t>
      </w:r>
      <w:r w:rsidRPr="005D6CDC">
        <w:rPr>
          <w:rFonts w:eastAsia="Times"/>
          <w:i w:val="0"/>
          <w:iCs w:val="0"/>
          <w:color w:val="auto"/>
          <w:lang w:val="en-GB"/>
        </w:rPr>
        <w:t>in this investigation and its connected buildings.</w:t>
      </w:r>
    </w:p>
    <w:p w14:paraId="2171988E" w14:textId="71A486CC" w:rsidR="00A66EC8" w:rsidRDefault="00940AD6" w:rsidP="005A435D">
      <w:pPr>
        <w:pBdr>
          <w:top w:val="nil"/>
          <w:left w:val="nil"/>
          <w:bottom w:val="nil"/>
          <w:right w:val="nil"/>
          <w:between w:val="nil"/>
        </w:pBdr>
        <w:spacing w:after="120" w:line="276" w:lineRule="auto"/>
        <w:jc w:val="both"/>
        <w:rPr>
          <w:sz w:val="22"/>
          <w:szCs w:val="22"/>
        </w:rPr>
      </w:pPr>
      <w:r w:rsidRPr="00A66EC8">
        <w:rPr>
          <w:sz w:val="22"/>
          <w:szCs w:val="22"/>
        </w:rPr>
        <w:lastRenderedPageBreak/>
        <w:t xml:space="preserve">The council estates connected to the network have a combined heat load of 13,781 MWh per annum. </w:t>
      </w:r>
      <w:r w:rsidR="006C12DA" w:rsidRPr="00A66EC8">
        <w:rPr>
          <w:sz w:val="22"/>
          <w:szCs w:val="22"/>
        </w:rPr>
        <w:t xml:space="preserve">The hourly heat demand profiles were matched against the potential heat output from the WHR system, which enables </w:t>
      </w:r>
      <w:proofErr w:type="spellStart"/>
      <w:proofErr w:type="gramStart"/>
      <w:r w:rsidR="006C12DA" w:rsidRPr="00A66EC8">
        <w:rPr>
          <w:sz w:val="22"/>
          <w:szCs w:val="22"/>
        </w:rPr>
        <w:t>analysing</w:t>
      </w:r>
      <w:proofErr w:type="spellEnd"/>
      <w:proofErr w:type="gramEnd"/>
      <w:r w:rsidR="006C12DA" w:rsidRPr="00A66EC8">
        <w:rPr>
          <w:sz w:val="22"/>
          <w:szCs w:val="22"/>
        </w:rPr>
        <w:t xml:space="preserve"> how much of the network demand could be met with the 1 MW heat pump. </w:t>
      </w:r>
      <w:r w:rsidR="00A66EC8">
        <w:rPr>
          <w:sz w:val="22"/>
          <w:szCs w:val="22"/>
        </w:rPr>
        <w:t xml:space="preserve">As the two-stage heat pump has variable speed compressors, it was assumed that it was able to vary its thermal output from 30% to 100% of its capacity (300 kW to 1 MW) without affecting the </w:t>
      </w:r>
      <m:oMath>
        <m:r>
          <w:rPr>
            <w:rFonts w:ascii="Cambria Math" w:hAnsi="Cambria Math"/>
            <w:sz w:val="22"/>
            <w:szCs w:val="22"/>
          </w:rPr>
          <m:t>COSP</m:t>
        </m:r>
      </m:oMath>
      <w:r w:rsidR="00A66EC8">
        <w:rPr>
          <w:sz w:val="22"/>
          <w:szCs w:val="22"/>
        </w:rPr>
        <w:t xml:space="preserve">. The </w:t>
      </w:r>
      <w:r w:rsidR="006C12DA" w:rsidRPr="00A66EC8">
        <w:rPr>
          <w:sz w:val="22"/>
          <w:szCs w:val="22"/>
        </w:rPr>
        <w:t>50 m</w:t>
      </w:r>
      <w:r w:rsidR="006C12DA" w:rsidRPr="00A66EC8">
        <w:rPr>
          <w:sz w:val="22"/>
          <w:szCs w:val="22"/>
          <w:vertAlign w:val="superscript"/>
        </w:rPr>
        <w:t>3</w:t>
      </w:r>
      <w:r w:rsidR="006C12DA" w:rsidRPr="00A66EC8">
        <w:rPr>
          <w:sz w:val="22"/>
          <w:szCs w:val="22"/>
        </w:rPr>
        <w:t xml:space="preserve"> </w:t>
      </w:r>
      <w:r w:rsidR="00626520">
        <w:rPr>
          <w:sz w:val="22"/>
          <w:szCs w:val="22"/>
        </w:rPr>
        <w:t>thermal store</w:t>
      </w:r>
      <w:r w:rsidR="006C12DA" w:rsidRPr="00A66EC8">
        <w:rPr>
          <w:sz w:val="22"/>
          <w:szCs w:val="22"/>
        </w:rPr>
        <w:t xml:space="preserve"> was also </w:t>
      </w:r>
      <w:r w:rsidR="00C76B01">
        <w:rPr>
          <w:sz w:val="22"/>
          <w:szCs w:val="22"/>
        </w:rPr>
        <w:t xml:space="preserve">modelled </w:t>
      </w:r>
      <w:r w:rsidR="006C12DA" w:rsidRPr="00A66EC8">
        <w:rPr>
          <w:sz w:val="22"/>
          <w:szCs w:val="22"/>
        </w:rPr>
        <w:t xml:space="preserve">to provide additional flexibility to the WHR system’s operation. </w:t>
      </w:r>
      <w:r w:rsidR="00C76B01" w:rsidRPr="00C76B01">
        <w:rPr>
          <w:sz w:val="22"/>
          <w:szCs w:val="22"/>
        </w:rPr>
        <w:t xml:space="preserve">A heat loss rate of 0.6% per hour was assumed for the </w:t>
      </w:r>
      <w:r w:rsidR="00C76B01">
        <w:rPr>
          <w:sz w:val="22"/>
          <w:szCs w:val="22"/>
        </w:rPr>
        <w:t xml:space="preserve">thermal </w:t>
      </w:r>
      <w:r w:rsidR="00C03B8C">
        <w:rPr>
          <w:sz w:val="22"/>
          <w:szCs w:val="22"/>
        </w:rPr>
        <w:t>storage tank</w:t>
      </w:r>
      <w:r w:rsidR="00C76B01" w:rsidRPr="00C76B01">
        <w:rPr>
          <w:sz w:val="22"/>
          <w:szCs w:val="22"/>
        </w:rPr>
        <w:t xml:space="preserve"> [</w:t>
      </w:r>
      <w:r w:rsidR="00C76B01">
        <w:rPr>
          <w:sz w:val="22"/>
          <w:szCs w:val="22"/>
        </w:rPr>
        <w:t>19</w:t>
      </w:r>
      <w:r w:rsidR="00C76B01" w:rsidRPr="00C76B01">
        <w:rPr>
          <w:sz w:val="22"/>
          <w:szCs w:val="22"/>
        </w:rPr>
        <w:t>]</w:t>
      </w:r>
      <w:r w:rsidR="00C76B01">
        <w:rPr>
          <w:sz w:val="22"/>
          <w:szCs w:val="22"/>
        </w:rPr>
        <w:t>. The DH network was assumed to have heat distribution losses of</w:t>
      </w:r>
      <w:r w:rsidR="00C76B01" w:rsidRPr="00C76B01">
        <w:rPr>
          <w:sz w:val="22"/>
          <w:szCs w:val="22"/>
        </w:rPr>
        <w:t xml:space="preserve"> 10%, which is </w:t>
      </w:r>
      <w:r w:rsidR="00581D9D">
        <w:rPr>
          <w:sz w:val="22"/>
          <w:szCs w:val="22"/>
        </w:rPr>
        <w:t>in</w:t>
      </w:r>
      <w:r w:rsidR="00C76B01" w:rsidRPr="00C76B01">
        <w:rPr>
          <w:sz w:val="22"/>
          <w:szCs w:val="22"/>
        </w:rPr>
        <w:t xml:space="preserve"> </w:t>
      </w:r>
      <w:r w:rsidR="00C76B01">
        <w:rPr>
          <w:sz w:val="22"/>
          <w:szCs w:val="22"/>
        </w:rPr>
        <w:t>accordance with the maximum expected loss rate for new systems</w:t>
      </w:r>
      <w:r w:rsidR="00C76B01" w:rsidRPr="00C76B01">
        <w:rPr>
          <w:sz w:val="22"/>
          <w:szCs w:val="22"/>
        </w:rPr>
        <w:t xml:space="preserve"> [</w:t>
      </w:r>
      <w:r w:rsidR="00F77488">
        <w:rPr>
          <w:sz w:val="22"/>
          <w:szCs w:val="22"/>
        </w:rPr>
        <w:t>20</w:t>
      </w:r>
      <w:r w:rsidR="00C76B01" w:rsidRPr="00C76B01">
        <w:rPr>
          <w:sz w:val="22"/>
          <w:szCs w:val="22"/>
        </w:rPr>
        <w:t>].</w:t>
      </w:r>
    </w:p>
    <w:p w14:paraId="57B3588A" w14:textId="37684D0E" w:rsidR="00C76B01" w:rsidRDefault="005A435D" w:rsidP="005A435D">
      <w:pPr>
        <w:pBdr>
          <w:top w:val="nil"/>
          <w:left w:val="nil"/>
          <w:bottom w:val="nil"/>
          <w:right w:val="nil"/>
          <w:between w:val="nil"/>
        </w:pBdr>
        <w:spacing w:after="120" w:line="276" w:lineRule="auto"/>
        <w:jc w:val="both"/>
        <w:rPr>
          <w:sz w:val="22"/>
          <w:szCs w:val="22"/>
        </w:rPr>
      </w:pPr>
      <w:r w:rsidRPr="00A66EC8">
        <w:rPr>
          <w:sz w:val="22"/>
          <w:szCs w:val="22"/>
        </w:rPr>
        <w:t>As for the cooling benefit</w:t>
      </w:r>
      <w:r w:rsidR="00C76B01">
        <w:rPr>
          <w:sz w:val="22"/>
          <w:szCs w:val="22"/>
        </w:rPr>
        <w:t xml:space="preserve">, it was modelled by considering that </w:t>
      </w:r>
      <w:r w:rsidR="00F77488">
        <w:rPr>
          <w:sz w:val="22"/>
          <w:szCs w:val="22"/>
        </w:rPr>
        <w:t xml:space="preserve">cooling would be delivered when the system operates in supply mode, and five scenarios involving different combinations of </w:t>
      </w:r>
      <w:r w:rsidR="00707E57">
        <w:rPr>
          <w:sz w:val="22"/>
          <w:szCs w:val="22"/>
        </w:rPr>
        <w:t>e</w:t>
      </w:r>
      <w:r w:rsidR="00F77488">
        <w:rPr>
          <w:sz w:val="22"/>
          <w:szCs w:val="22"/>
        </w:rPr>
        <w:t xml:space="preserve">xtract and </w:t>
      </w:r>
      <w:r w:rsidR="00707E57">
        <w:rPr>
          <w:sz w:val="22"/>
          <w:szCs w:val="22"/>
        </w:rPr>
        <w:t>s</w:t>
      </w:r>
      <w:r w:rsidR="00F77488">
        <w:rPr>
          <w:sz w:val="22"/>
          <w:szCs w:val="22"/>
        </w:rPr>
        <w:t xml:space="preserve">upply modes were modelled, as shown in Table 1. </w:t>
      </w:r>
      <w:r w:rsidR="00F77488" w:rsidRPr="00F77488">
        <w:rPr>
          <w:sz w:val="22"/>
          <w:szCs w:val="22"/>
        </w:rPr>
        <w:t xml:space="preserve">For scenarios when the fan was running exclusively in </w:t>
      </w:r>
      <w:r w:rsidR="00F77488">
        <w:rPr>
          <w:sz w:val="22"/>
          <w:szCs w:val="22"/>
        </w:rPr>
        <w:t>e</w:t>
      </w:r>
      <w:r w:rsidR="00F77488" w:rsidRPr="00F77488">
        <w:rPr>
          <w:sz w:val="22"/>
          <w:szCs w:val="22"/>
        </w:rPr>
        <w:t xml:space="preserve">xtract </w:t>
      </w:r>
      <w:r w:rsidR="00F77488">
        <w:rPr>
          <w:sz w:val="22"/>
          <w:szCs w:val="22"/>
        </w:rPr>
        <w:t>m</w:t>
      </w:r>
      <w:r w:rsidR="00F77488" w:rsidRPr="00F77488">
        <w:rPr>
          <w:sz w:val="22"/>
          <w:szCs w:val="22"/>
        </w:rPr>
        <w:t xml:space="preserve">ode, the WHR system was modelled with water as the coolant. However, when </w:t>
      </w:r>
      <w:r w:rsidR="00F77488">
        <w:rPr>
          <w:sz w:val="22"/>
          <w:szCs w:val="22"/>
        </w:rPr>
        <w:t>s</w:t>
      </w:r>
      <w:r w:rsidR="00F77488" w:rsidRPr="00F77488">
        <w:rPr>
          <w:sz w:val="22"/>
          <w:szCs w:val="22"/>
        </w:rPr>
        <w:t xml:space="preserve">upply </w:t>
      </w:r>
      <w:r w:rsidR="00F77488">
        <w:rPr>
          <w:sz w:val="22"/>
          <w:szCs w:val="22"/>
        </w:rPr>
        <w:t>m</w:t>
      </w:r>
      <w:r w:rsidR="00F77488" w:rsidRPr="00F77488">
        <w:rPr>
          <w:sz w:val="22"/>
          <w:szCs w:val="22"/>
        </w:rPr>
        <w:t xml:space="preserve">ode operation was also required, an anti-freeze mixture needed to be </w:t>
      </w:r>
      <w:proofErr w:type="spellStart"/>
      <w:r w:rsidR="00F77488">
        <w:rPr>
          <w:sz w:val="22"/>
          <w:szCs w:val="22"/>
        </w:rPr>
        <w:t>utilised</w:t>
      </w:r>
      <w:proofErr w:type="spellEnd"/>
      <w:r w:rsidR="00F77488" w:rsidRPr="00F77488">
        <w:rPr>
          <w:sz w:val="22"/>
          <w:szCs w:val="22"/>
        </w:rPr>
        <w:t xml:space="preserve"> </w:t>
      </w:r>
      <w:r w:rsidR="00F77488">
        <w:rPr>
          <w:sz w:val="22"/>
          <w:szCs w:val="22"/>
        </w:rPr>
        <w:t>and a 30% mixture of propylene glycol (PG) and water was considered.</w:t>
      </w:r>
      <w:r w:rsidR="00F77488" w:rsidRPr="00F77488">
        <w:rPr>
          <w:sz w:val="22"/>
          <w:szCs w:val="22"/>
        </w:rPr>
        <w:t xml:space="preserve"> Propylene glycol was chosen </w:t>
      </w:r>
      <w:r w:rsidR="00F77488">
        <w:rPr>
          <w:sz w:val="22"/>
          <w:szCs w:val="22"/>
        </w:rPr>
        <w:t>due to its</w:t>
      </w:r>
      <w:r w:rsidR="00F77488" w:rsidRPr="00F77488">
        <w:rPr>
          <w:sz w:val="22"/>
          <w:szCs w:val="22"/>
        </w:rPr>
        <w:t xml:space="preserve"> extremely low environmental, health, </w:t>
      </w:r>
      <w:proofErr w:type="gramStart"/>
      <w:r w:rsidR="00F77488" w:rsidRPr="00F77488">
        <w:rPr>
          <w:sz w:val="22"/>
          <w:szCs w:val="22"/>
        </w:rPr>
        <w:t>fire</w:t>
      </w:r>
      <w:proofErr w:type="gramEnd"/>
      <w:r w:rsidR="00F77488" w:rsidRPr="00F77488">
        <w:rPr>
          <w:sz w:val="22"/>
          <w:szCs w:val="22"/>
        </w:rPr>
        <w:t xml:space="preserve"> and corrosion risks </w:t>
      </w:r>
      <w:r w:rsidR="00F77488">
        <w:rPr>
          <w:sz w:val="22"/>
          <w:szCs w:val="22"/>
        </w:rPr>
        <w:t>[21].</w:t>
      </w:r>
    </w:p>
    <w:p w14:paraId="4A7EA84F" w14:textId="79F429A6" w:rsidR="008156E7" w:rsidRPr="00BD45C7" w:rsidRDefault="008156E7" w:rsidP="008156E7">
      <w:pPr>
        <w:spacing w:line="264" w:lineRule="auto"/>
        <w:jc w:val="center"/>
        <w:rPr>
          <w:rFonts w:asciiTheme="majorHAnsi" w:hAnsiTheme="majorHAnsi" w:cstheme="majorHAnsi"/>
          <w:sz w:val="18"/>
          <w:szCs w:val="18"/>
        </w:rPr>
      </w:pPr>
      <w:r w:rsidRPr="00BD45C7">
        <w:rPr>
          <w:rFonts w:asciiTheme="majorHAnsi" w:hAnsiTheme="majorHAnsi" w:cstheme="majorHAnsi"/>
          <w:b/>
          <w:sz w:val="18"/>
          <w:szCs w:val="18"/>
        </w:rPr>
        <w:t xml:space="preserve">Table </w:t>
      </w:r>
      <w:r w:rsidR="005B7565" w:rsidRPr="00BD45C7">
        <w:rPr>
          <w:rFonts w:asciiTheme="majorHAnsi" w:hAnsiTheme="majorHAnsi" w:cstheme="majorHAnsi"/>
          <w:b/>
          <w:sz w:val="18"/>
          <w:szCs w:val="18"/>
        </w:rPr>
        <w:t>1</w:t>
      </w:r>
      <w:r w:rsidRPr="00BD45C7">
        <w:rPr>
          <w:rFonts w:asciiTheme="majorHAnsi" w:hAnsiTheme="majorHAnsi" w:cstheme="majorHAnsi"/>
          <w:b/>
          <w:sz w:val="18"/>
          <w:szCs w:val="18"/>
        </w:rPr>
        <w:t xml:space="preserve"> </w:t>
      </w:r>
      <w:r w:rsidRPr="00A34314">
        <w:rPr>
          <w:rFonts w:asciiTheme="majorHAnsi" w:hAnsiTheme="majorHAnsi" w:cstheme="majorHAnsi"/>
          <w:bCs/>
          <w:sz w:val="18"/>
          <w:szCs w:val="18"/>
        </w:rPr>
        <w:t xml:space="preserve">– </w:t>
      </w:r>
      <w:r w:rsidR="005B7565" w:rsidRPr="00BD45C7">
        <w:rPr>
          <w:rFonts w:asciiTheme="majorHAnsi" w:hAnsiTheme="majorHAnsi" w:cstheme="majorHAnsi"/>
          <w:sz w:val="18"/>
          <w:szCs w:val="18"/>
        </w:rPr>
        <w:t>Different modelling scenarios for the WHR model, based upon fan operation mode.</w:t>
      </w:r>
    </w:p>
    <w:tbl>
      <w:tblPr>
        <w:tblStyle w:val="PlainTable2"/>
        <w:tblW w:w="8957" w:type="dxa"/>
        <w:tblLook w:val="04A0" w:firstRow="1" w:lastRow="0" w:firstColumn="1" w:lastColumn="0" w:noHBand="0" w:noVBand="1"/>
      </w:tblPr>
      <w:tblGrid>
        <w:gridCol w:w="1077"/>
        <w:gridCol w:w="2494"/>
        <w:gridCol w:w="5386"/>
      </w:tblGrid>
      <w:tr w:rsidR="00D0797B" w:rsidRPr="00BD45C7" w14:paraId="2786DEBA" w14:textId="77777777" w:rsidTr="00D0797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7" w:type="dxa"/>
            <w:vAlign w:val="center"/>
            <w:hideMark/>
          </w:tcPr>
          <w:p w14:paraId="780BA966" w14:textId="77777777" w:rsidR="00D0797B" w:rsidRPr="00BD45C7" w:rsidRDefault="00D0797B" w:rsidP="0039183E">
            <w:pPr>
              <w:spacing w:line="264" w:lineRule="auto"/>
              <w:jc w:val="center"/>
              <w:rPr>
                <w:rFonts w:eastAsia="Times New Roman"/>
                <w:bCs w:val="0"/>
                <w:color w:val="000000"/>
                <w:sz w:val="20"/>
                <w:szCs w:val="20"/>
                <w:lang w:eastAsia="en-GB"/>
              </w:rPr>
            </w:pPr>
            <w:r w:rsidRPr="00BD45C7">
              <w:rPr>
                <w:rFonts w:eastAsia="Times New Roman"/>
                <w:bCs w:val="0"/>
                <w:color w:val="000000"/>
                <w:sz w:val="20"/>
                <w:szCs w:val="20"/>
                <w:lang w:eastAsia="en-GB"/>
              </w:rPr>
              <w:t>Scenario</w:t>
            </w:r>
          </w:p>
        </w:tc>
        <w:tc>
          <w:tcPr>
            <w:tcW w:w="2494" w:type="dxa"/>
            <w:vAlign w:val="center"/>
            <w:hideMark/>
          </w:tcPr>
          <w:p w14:paraId="726EB1ED" w14:textId="41F797B2" w:rsidR="00D0797B" w:rsidRPr="00BD45C7" w:rsidRDefault="00707E57" w:rsidP="0039183E">
            <w:pPr>
              <w:spacing w:line="264"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lang w:eastAsia="en-GB"/>
              </w:rPr>
            </w:pPr>
            <w:r>
              <w:rPr>
                <w:rFonts w:eastAsia="Times New Roman"/>
                <w:bCs w:val="0"/>
                <w:color w:val="000000"/>
                <w:sz w:val="20"/>
                <w:szCs w:val="20"/>
                <w:lang w:eastAsia="en-GB"/>
              </w:rPr>
              <w:t>Operation mode</w:t>
            </w:r>
          </w:p>
        </w:tc>
        <w:tc>
          <w:tcPr>
            <w:tcW w:w="5386" w:type="dxa"/>
            <w:vAlign w:val="center"/>
            <w:hideMark/>
          </w:tcPr>
          <w:p w14:paraId="611CC38D" w14:textId="6D7B0BF2" w:rsidR="00D0797B" w:rsidRPr="00BD45C7" w:rsidRDefault="00D0797B" w:rsidP="0039183E">
            <w:pPr>
              <w:spacing w:line="264"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sz w:val="20"/>
                <w:szCs w:val="20"/>
                <w:lang w:eastAsia="en-GB"/>
              </w:rPr>
            </w:pPr>
            <w:r w:rsidRPr="00BD45C7">
              <w:rPr>
                <w:rFonts w:eastAsia="Times New Roman"/>
                <w:bCs w:val="0"/>
                <w:color w:val="000000"/>
                <w:sz w:val="20"/>
                <w:szCs w:val="20"/>
                <w:lang w:eastAsia="en-GB"/>
              </w:rPr>
              <w:t>Description</w:t>
            </w:r>
          </w:p>
        </w:tc>
      </w:tr>
      <w:tr w:rsidR="00D0797B" w:rsidRPr="00BD45C7" w14:paraId="3C4611C8" w14:textId="77777777" w:rsidTr="00D079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7" w:type="dxa"/>
            <w:noWrap/>
            <w:vAlign w:val="center"/>
          </w:tcPr>
          <w:p w14:paraId="7C1B4BA0" w14:textId="2290C0EA" w:rsidR="00D0797B" w:rsidRPr="00BD45C7" w:rsidRDefault="00D0797B" w:rsidP="008156E7">
            <w:pPr>
              <w:spacing w:line="264" w:lineRule="auto"/>
              <w:jc w:val="center"/>
              <w:rPr>
                <w:rFonts w:eastAsia="Times New Roman"/>
                <w:color w:val="000000"/>
                <w:sz w:val="20"/>
                <w:szCs w:val="20"/>
                <w:lang w:eastAsia="en-GB"/>
              </w:rPr>
            </w:pPr>
            <w:r w:rsidRPr="00BD45C7">
              <w:rPr>
                <w:rFonts w:eastAsia="Times New Roman"/>
                <w:color w:val="000000"/>
                <w:sz w:val="20"/>
                <w:szCs w:val="20"/>
                <w:lang w:eastAsia="en-GB"/>
              </w:rPr>
              <w:t>1</w:t>
            </w:r>
          </w:p>
        </w:tc>
        <w:tc>
          <w:tcPr>
            <w:tcW w:w="2494" w:type="dxa"/>
            <w:noWrap/>
            <w:vAlign w:val="center"/>
          </w:tcPr>
          <w:p w14:paraId="3E3132F5" w14:textId="19F066F2" w:rsidR="00D0797B" w:rsidRPr="00BD45C7" w:rsidRDefault="00D0797B" w:rsidP="008156E7">
            <w:pPr>
              <w:spacing w:line="264"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BD45C7">
              <w:rPr>
                <w:rFonts w:eastAsia="Times New Roman"/>
                <w:color w:val="000000"/>
                <w:sz w:val="20"/>
                <w:szCs w:val="20"/>
                <w:lang w:eastAsia="en-GB"/>
              </w:rPr>
              <w:t>12E/0S</w:t>
            </w:r>
          </w:p>
        </w:tc>
        <w:tc>
          <w:tcPr>
            <w:tcW w:w="5386" w:type="dxa"/>
            <w:noWrap/>
            <w:vAlign w:val="center"/>
          </w:tcPr>
          <w:p w14:paraId="765F2CC9" w14:textId="4E9DAE7E" w:rsidR="00D0797B" w:rsidRPr="00BD45C7" w:rsidRDefault="00D0797B" w:rsidP="005B7565">
            <w:pPr>
              <w:spacing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BD45C7">
              <w:rPr>
                <w:rFonts w:eastAsia="Times New Roman"/>
                <w:color w:val="000000"/>
                <w:sz w:val="18"/>
                <w:szCs w:val="18"/>
                <w:lang w:eastAsia="en-GB"/>
              </w:rPr>
              <w:t>Fan operating in extract mode for the entire year (12 months).</w:t>
            </w:r>
          </w:p>
        </w:tc>
      </w:tr>
      <w:tr w:rsidR="00D0797B" w:rsidRPr="00BD45C7" w14:paraId="4996B042" w14:textId="77777777" w:rsidTr="00D0797B">
        <w:trPr>
          <w:trHeight w:val="283"/>
        </w:trPr>
        <w:tc>
          <w:tcPr>
            <w:cnfStyle w:val="001000000000" w:firstRow="0" w:lastRow="0" w:firstColumn="1" w:lastColumn="0" w:oddVBand="0" w:evenVBand="0" w:oddHBand="0" w:evenHBand="0" w:firstRowFirstColumn="0" w:firstRowLastColumn="0" w:lastRowFirstColumn="0" w:lastRowLastColumn="0"/>
            <w:tcW w:w="1077" w:type="dxa"/>
            <w:noWrap/>
            <w:vAlign w:val="center"/>
          </w:tcPr>
          <w:p w14:paraId="6724FBBF" w14:textId="566AFE86" w:rsidR="00D0797B" w:rsidRPr="00BD45C7" w:rsidRDefault="00D0797B" w:rsidP="008156E7">
            <w:pPr>
              <w:spacing w:line="264" w:lineRule="auto"/>
              <w:jc w:val="center"/>
              <w:rPr>
                <w:rFonts w:eastAsia="Times New Roman"/>
                <w:color w:val="000000"/>
                <w:sz w:val="20"/>
                <w:szCs w:val="20"/>
                <w:lang w:eastAsia="en-GB"/>
              </w:rPr>
            </w:pPr>
            <w:r w:rsidRPr="00BD45C7">
              <w:rPr>
                <w:rFonts w:eastAsia="Times New Roman"/>
                <w:color w:val="000000"/>
                <w:sz w:val="20"/>
                <w:szCs w:val="20"/>
                <w:lang w:eastAsia="en-GB"/>
              </w:rPr>
              <w:t>2</w:t>
            </w:r>
          </w:p>
        </w:tc>
        <w:tc>
          <w:tcPr>
            <w:tcW w:w="2494" w:type="dxa"/>
            <w:noWrap/>
            <w:vAlign w:val="center"/>
          </w:tcPr>
          <w:p w14:paraId="10DAC347" w14:textId="0B369216" w:rsidR="00D0797B" w:rsidRPr="00BD45C7" w:rsidRDefault="00D0797B" w:rsidP="008156E7">
            <w:pPr>
              <w:spacing w:line="264"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BD45C7">
              <w:rPr>
                <w:rFonts w:eastAsia="Times New Roman"/>
                <w:color w:val="000000"/>
                <w:sz w:val="20"/>
                <w:szCs w:val="20"/>
                <w:lang w:eastAsia="en-GB"/>
              </w:rPr>
              <w:t>9E/3S</w:t>
            </w:r>
          </w:p>
        </w:tc>
        <w:tc>
          <w:tcPr>
            <w:tcW w:w="5386" w:type="dxa"/>
            <w:noWrap/>
            <w:vAlign w:val="center"/>
          </w:tcPr>
          <w:p w14:paraId="044AEDF0" w14:textId="38894263" w:rsidR="00D0797B" w:rsidRPr="00BD45C7" w:rsidRDefault="00D0797B" w:rsidP="005B7565">
            <w:pPr>
              <w:spacing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BD45C7">
              <w:rPr>
                <w:rFonts w:eastAsia="Times New Roman"/>
                <w:color w:val="000000"/>
                <w:sz w:val="18"/>
                <w:szCs w:val="18"/>
                <w:lang w:eastAsia="en-GB"/>
              </w:rPr>
              <w:t>Fan operating in supply mode during meteorological summer (Jun/Jul/Aug), and in extract for the rest of the year.</w:t>
            </w:r>
          </w:p>
        </w:tc>
      </w:tr>
      <w:tr w:rsidR="00D0797B" w:rsidRPr="00BD45C7" w14:paraId="73D9DBD7" w14:textId="77777777" w:rsidTr="00D079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7" w:type="dxa"/>
            <w:noWrap/>
            <w:vAlign w:val="center"/>
          </w:tcPr>
          <w:p w14:paraId="34F4A3ED" w14:textId="3639FE3A" w:rsidR="00D0797B" w:rsidRPr="00BD45C7" w:rsidRDefault="00D0797B" w:rsidP="008156E7">
            <w:pPr>
              <w:spacing w:line="264" w:lineRule="auto"/>
              <w:jc w:val="center"/>
              <w:rPr>
                <w:rFonts w:eastAsia="Times New Roman"/>
                <w:color w:val="000000"/>
                <w:sz w:val="20"/>
                <w:szCs w:val="20"/>
                <w:lang w:eastAsia="en-GB"/>
              </w:rPr>
            </w:pPr>
            <w:r w:rsidRPr="00BD45C7">
              <w:rPr>
                <w:rFonts w:eastAsia="Times New Roman"/>
                <w:color w:val="000000"/>
                <w:sz w:val="20"/>
                <w:szCs w:val="20"/>
                <w:lang w:eastAsia="en-GB"/>
              </w:rPr>
              <w:t>3</w:t>
            </w:r>
          </w:p>
        </w:tc>
        <w:tc>
          <w:tcPr>
            <w:tcW w:w="2494" w:type="dxa"/>
            <w:noWrap/>
            <w:vAlign w:val="center"/>
          </w:tcPr>
          <w:p w14:paraId="28418DAC" w14:textId="792E05A3" w:rsidR="00D0797B" w:rsidRPr="00BD45C7" w:rsidRDefault="00D0797B" w:rsidP="008156E7">
            <w:pPr>
              <w:spacing w:line="264"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BD45C7">
              <w:rPr>
                <w:rFonts w:eastAsia="Times New Roman"/>
                <w:color w:val="000000"/>
                <w:sz w:val="20"/>
                <w:szCs w:val="20"/>
                <w:lang w:eastAsia="en-GB"/>
              </w:rPr>
              <w:t>6E/6S</w:t>
            </w:r>
          </w:p>
        </w:tc>
        <w:tc>
          <w:tcPr>
            <w:tcW w:w="5386" w:type="dxa"/>
            <w:noWrap/>
            <w:vAlign w:val="center"/>
          </w:tcPr>
          <w:p w14:paraId="1DB6409F" w14:textId="0654654A" w:rsidR="00D0797B" w:rsidRPr="00BD45C7" w:rsidRDefault="00D0797B" w:rsidP="005B7565">
            <w:pPr>
              <w:spacing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BD45C7">
              <w:rPr>
                <w:rFonts w:eastAsia="Times New Roman"/>
                <w:color w:val="000000"/>
                <w:sz w:val="18"/>
                <w:szCs w:val="18"/>
                <w:lang w:eastAsia="en-GB"/>
              </w:rPr>
              <w:t>Fan operating in supply mode for half the year, from May to October, and in extract for the remaining 6 months.</w:t>
            </w:r>
          </w:p>
        </w:tc>
      </w:tr>
      <w:tr w:rsidR="00D0797B" w:rsidRPr="00BD45C7" w14:paraId="52796351" w14:textId="77777777" w:rsidTr="00D0797B">
        <w:trPr>
          <w:trHeight w:val="283"/>
        </w:trPr>
        <w:tc>
          <w:tcPr>
            <w:cnfStyle w:val="001000000000" w:firstRow="0" w:lastRow="0" w:firstColumn="1" w:lastColumn="0" w:oddVBand="0" w:evenVBand="0" w:oddHBand="0" w:evenHBand="0" w:firstRowFirstColumn="0" w:firstRowLastColumn="0" w:lastRowFirstColumn="0" w:lastRowLastColumn="0"/>
            <w:tcW w:w="1077" w:type="dxa"/>
            <w:noWrap/>
            <w:vAlign w:val="center"/>
          </w:tcPr>
          <w:p w14:paraId="204227C4" w14:textId="085FA569" w:rsidR="00D0797B" w:rsidRPr="00BD45C7" w:rsidRDefault="00D0797B" w:rsidP="008156E7">
            <w:pPr>
              <w:spacing w:line="264" w:lineRule="auto"/>
              <w:jc w:val="center"/>
              <w:rPr>
                <w:rFonts w:eastAsia="Times New Roman"/>
                <w:color w:val="000000"/>
                <w:sz w:val="20"/>
                <w:szCs w:val="20"/>
                <w:lang w:eastAsia="en-GB"/>
              </w:rPr>
            </w:pPr>
            <w:r w:rsidRPr="00BD45C7">
              <w:rPr>
                <w:rFonts w:eastAsia="Times New Roman"/>
                <w:color w:val="000000"/>
                <w:sz w:val="20"/>
                <w:szCs w:val="20"/>
                <w:lang w:eastAsia="en-GB"/>
              </w:rPr>
              <w:t>4</w:t>
            </w:r>
          </w:p>
        </w:tc>
        <w:tc>
          <w:tcPr>
            <w:tcW w:w="2494" w:type="dxa"/>
            <w:noWrap/>
            <w:vAlign w:val="center"/>
          </w:tcPr>
          <w:p w14:paraId="24FC3EE1" w14:textId="352F5A9C" w:rsidR="00D0797B" w:rsidRPr="00BD45C7" w:rsidRDefault="00D0797B" w:rsidP="008156E7">
            <w:pPr>
              <w:spacing w:line="264"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BD45C7">
              <w:rPr>
                <w:rFonts w:eastAsia="Times New Roman"/>
                <w:color w:val="000000"/>
                <w:sz w:val="20"/>
                <w:szCs w:val="20"/>
                <w:lang w:eastAsia="en-GB"/>
              </w:rPr>
              <w:t>3E/9S</w:t>
            </w:r>
          </w:p>
        </w:tc>
        <w:tc>
          <w:tcPr>
            <w:tcW w:w="5386" w:type="dxa"/>
            <w:noWrap/>
            <w:vAlign w:val="center"/>
          </w:tcPr>
          <w:p w14:paraId="68A30EBD" w14:textId="6EBE7EF4" w:rsidR="00D0797B" w:rsidRPr="00BD45C7" w:rsidRDefault="00D0797B" w:rsidP="005B7565">
            <w:pPr>
              <w:spacing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BD45C7">
              <w:rPr>
                <w:rFonts w:eastAsia="Times New Roman"/>
                <w:color w:val="000000"/>
                <w:sz w:val="18"/>
                <w:szCs w:val="18"/>
                <w:lang w:eastAsia="en-GB"/>
              </w:rPr>
              <w:t>Fan operating in extract mode only during meteorological winter (Dec/Jan/Feb), and in supply for the rest of the year.</w:t>
            </w:r>
          </w:p>
        </w:tc>
      </w:tr>
      <w:tr w:rsidR="00D0797B" w:rsidRPr="00BD45C7" w14:paraId="603C7466" w14:textId="77777777" w:rsidTr="00D079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7" w:type="dxa"/>
            <w:noWrap/>
            <w:vAlign w:val="center"/>
          </w:tcPr>
          <w:p w14:paraId="096B5B5C" w14:textId="5839C4F0" w:rsidR="00D0797B" w:rsidRPr="00BD45C7" w:rsidRDefault="00D0797B" w:rsidP="008156E7">
            <w:pPr>
              <w:spacing w:line="264" w:lineRule="auto"/>
              <w:jc w:val="center"/>
              <w:rPr>
                <w:rFonts w:eastAsia="Times New Roman"/>
                <w:color w:val="000000"/>
                <w:sz w:val="20"/>
                <w:szCs w:val="20"/>
                <w:lang w:eastAsia="en-GB"/>
              </w:rPr>
            </w:pPr>
            <w:r w:rsidRPr="00BD45C7">
              <w:rPr>
                <w:rFonts w:eastAsia="Times New Roman"/>
                <w:color w:val="000000"/>
                <w:sz w:val="20"/>
                <w:szCs w:val="20"/>
                <w:lang w:eastAsia="en-GB"/>
              </w:rPr>
              <w:t>5</w:t>
            </w:r>
          </w:p>
        </w:tc>
        <w:tc>
          <w:tcPr>
            <w:tcW w:w="2494" w:type="dxa"/>
            <w:noWrap/>
            <w:vAlign w:val="center"/>
          </w:tcPr>
          <w:p w14:paraId="769C8AEC" w14:textId="748F8E83" w:rsidR="00D0797B" w:rsidRPr="00BD45C7" w:rsidRDefault="00D0797B" w:rsidP="008156E7">
            <w:pPr>
              <w:spacing w:line="264"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BD45C7">
              <w:rPr>
                <w:rFonts w:eastAsia="Times New Roman"/>
                <w:color w:val="000000"/>
                <w:sz w:val="20"/>
                <w:szCs w:val="20"/>
                <w:lang w:eastAsia="en-GB"/>
              </w:rPr>
              <w:t>0E/12S</w:t>
            </w:r>
          </w:p>
        </w:tc>
        <w:tc>
          <w:tcPr>
            <w:tcW w:w="5386" w:type="dxa"/>
            <w:noWrap/>
            <w:vAlign w:val="center"/>
          </w:tcPr>
          <w:p w14:paraId="4F0DD1F5" w14:textId="048BBCB8" w:rsidR="00D0797B" w:rsidRPr="00BD45C7" w:rsidRDefault="00D0797B" w:rsidP="005B7565">
            <w:pPr>
              <w:spacing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BD45C7">
              <w:rPr>
                <w:rFonts w:eastAsia="Times New Roman"/>
                <w:color w:val="000000"/>
                <w:sz w:val="18"/>
                <w:szCs w:val="18"/>
                <w:lang w:eastAsia="en-GB"/>
              </w:rPr>
              <w:t>Fan operating in supply mode for the entire year</w:t>
            </w:r>
          </w:p>
        </w:tc>
      </w:tr>
    </w:tbl>
    <w:p w14:paraId="77B97964" w14:textId="77777777" w:rsidR="0068336F" w:rsidRPr="00BD45C7" w:rsidRDefault="0068336F" w:rsidP="00CB20EA">
      <w:pPr>
        <w:pBdr>
          <w:top w:val="nil"/>
          <w:left w:val="nil"/>
          <w:bottom w:val="nil"/>
          <w:right w:val="nil"/>
          <w:between w:val="nil"/>
        </w:pBdr>
        <w:spacing w:line="276" w:lineRule="auto"/>
        <w:jc w:val="both"/>
        <w:rPr>
          <w:sz w:val="22"/>
          <w:szCs w:val="22"/>
        </w:rPr>
      </w:pPr>
    </w:p>
    <w:p w14:paraId="3E04C8E1" w14:textId="315A0575" w:rsidR="00743985" w:rsidRDefault="00743985" w:rsidP="00743985">
      <w:pPr>
        <w:pStyle w:val="ListParagraph"/>
        <w:numPr>
          <w:ilvl w:val="0"/>
          <w:numId w:val="4"/>
        </w:numPr>
        <w:pBdr>
          <w:top w:val="nil"/>
          <w:left w:val="nil"/>
          <w:bottom w:val="nil"/>
          <w:right w:val="nil"/>
          <w:between w:val="nil"/>
        </w:pBdr>
        <w:spacing w:line="276" w:lineRule="auto"/>
        <w:ind w:left="482" w:hanging="482"/>
        <w:jc w:val="both"/>
        <w:rPr>
          <w:b/>
          <w:color w:val="000000"/>
        </w:rPr>
      </w:pPr>
      <w:r>
        <w:rPr>
          <w:b/>
          <w:color w:val="000000"/>
        </w:rPr>
        <w:t xml:space="preserve">Modelled </w:t>
      </w:r>
      <w:r w:rsidR="009149A6">
        <w:rPr>
          <w:b/>
          <w:color w:val="000000"/>
        </w:rPr>
        <w:t>operation of the DH network</w:t>
      </w:r>
    </w:p>
    <w:p w14:paraId="21348338" w14:textId="4ED151E7" w:rsidR="00626520" w:rsidRDefault="00743985" w:rsidP="00626520">
      <w:pPr>
        <w:pBdr>
          <w:top w:val="nil"/>
          <w:left w:val="nil"/>
          <w:bottom w:val="nil"/>
          <w:right w:val="nil"/>
          <w:between w:val="nil"/>
        </w:pBdr>
        <w:spacing w:after="120" w:line="276" w:lineRule="auto"/>
        <w:jc w:val="both"/>
        <w:rPr>
          <w:sz w:val="22"/>
          <w:szCs w:val="22"/>
        </w:rPr>
      </w:pPr>
      <w:r w:rsidRPr="00743985">
        <w:rPr>
          <w:sz w:val="22"/>
          <w:szCs w:val="22"/>
        </w:rPr>
        <w:t xml:space="preserve">The model was first applied to evaluate how much of the </w:t>
      </w:r>
      <w:r>
        <w:rPr>
          <w:sz w:val="22"/>
          <w:szCs w:val="22"/>
        </w:rPr>
        <w:t xml:space="preserve">heat generated by the WHR system </w:t>
      </w:r>
      <w:r w:rsidRPr="00743985">
        <w:rPr>
          <w:sz w:val="22"/>
          <w:szCs w:val="22"/>
        </w:rPr>
        <w:t xml:space="preserve">could be effectively used by the local DH network, and the results of this analysis are shown in Table </w:t>
      </w:r>
      <w:r>
        <w:rPr>
          <w:sz w:val="22"/>
          <w:szCs w:val="22"/>
        </w:rPr>
        <w:t>2</w:t>
      </w:r>
      <w:r w:rsidRPr="00743985">
        <w:rPr>
          <w:sz w:val="22"/>
          <w:szCs w:val="22"/>
        </w:rPr>
        <w:t xml:space="preserve">. The modelled scenarios reflect the operation modes described in Table </w:t>
      </w:r>
      <w:r>
        <w:rPr>
          <w:sz w:val="22"/>
          <w:szCs w:val="22"/>
        </w:rPr>
        <w:t xml:space="preserve">1. Due to data availability, only the residential heat demand of the Bunhill DH network was considered </w:t>
      </w:r>
      <w:r w:rsidR="00C26340">
        <w:rPr>
          <w:sz w:val="22"/>
          <w:szCs w:val="22"/>
        </w:rPr>
        <w:t>in the modelled</w:t>
      </w:r>
      <w:r>
        <w:rPr>
          <w:sz w:val="22"/>
          <w:szCs w:val="22"/>
        </w:rPr>
        <w:t xml:space="preserve"> scenarios</w:t>
      </w:r>
      <w:r w:rsidR="00581D9D">
        <w:rPr>
          <w:sz w:val="22"/>
          <w:szCs w:val="22"/>
        </w:rPr>
        <w:t>.</w:t>
      </w:r>
      <w:r w:rsidR="00C26340">
        <w:rPr>
          <w:sz w:val="22"/>
          <w:szCs w:val="22"/>
        </w:rPr>
        <w:t xml:space="preserve"> Based on the hourly heat demand profiles, the WHR system would produce 7,773 MWh of heat annually, meeting a demand of 6,996 MWh per annum after losses, which is </w:t>
      </w:r>
      <w:r w:rsidR="00626520">
        <w:rPr>
          <w:sz w:val="22"/>
          <w:szCs w:val="22"/>
        </w:rPr>
        <w:t>equivalent to 50.8% of the total heat demand considered. In this case, the thermal store would play a minor role, storing only 1% of the total heat produced by the WHR system. Throughout the year, the WHR system would be meeting the base load of the DH network, and the thermal store would mainly be used by the heat pump in summer months, when demand on the network is low. However, storage capacity can still be useful to manage heat production from CHP or if the heat pump is operated with time-of-use tariffs, as investigated in [22].</w:t>
      </w:r>
      <w:r w:rsidR="00626520" w:rsidRPr="00626520">
        <w:rPr>
          <w:sz w:val="22"/>
          <w:szCs w:val="22"/>
        </w:rPr>
        <w:t xml:space="preserve"> </w:t>
      </w:r>
    </w:p>
    <w:p w14:paraId="325208CE" w14:textId="64959ECD" w:rsidR="00743985" w:rsidRDefault="00626520" w:rsidP="00946477">
      <w:pPr>
        <w:pBdr>
          <w:top w:val="nil"/>
          <w:left w:val="nil"/>
          <w:bottom w:val="nil"/>
          <w:right w:val="nil"/>
          <w:between w:val="nil"/>
        </w:pBdr>
        <w:spacing w:after="120" w:line="276" w:lineRule="auto"/>
        <w:jc w:val="both"/>
        <w:rPr>
          <w:b/>
          <w:color w:val="000000"/>
        </w:rPr>
      </w:pPr>
      <w:proofErr w:type="gramStart"/>
      <w:r w:rsidRPr="00A66EC8">
        <w:rPr>
          <w:sz w:val="22"/>
          <w:szCs w:val="22"/>
        </w:rPr>
        <w:t xml:space="preserve">As </w:t>
      </w:r>
      <w:r w:rsidR="00D0797B">
        <w:rPr>
          <w:sz w:val="22"/>
          <w:szCs w:val="22"/>
        </w:rPr>
        <w:t>it</w:t>
      </w:r>
      <w:proofErr w:type="gramEnd"/>
      <w:r w:rsidR="00D0797B">
        <w:rPr>
          <w:sz w:val="22"/>
          <w:szCs w:val="22"/>
        </w:rPr>
        <w:t xml:space="preserve"> can be observed from Table 2, t</w:t>
      </w:r>
      <w:r w:rsidR="000676C9">
        <w:rPr>
          <w:sz w:val="22"/>
          <w:szCs w:val="22"/>
        </w:rPr>
        <w:t>he outputs and efficiency of the WHR system var</w:t>
      </w:r>
      <w:r w:rsidR="00707E57">
        <w:rPr>
          <w:sz w:val="22"/>
          <w:szCs w:val="22"/>
        </w:rPr>
        <w:t>y</w:t>
      </w:r>
      <w:r w:rsidR="000676C9">
        <w:rPr>
          <w:sz w:val="22"/>
          <w:szCs w:val="22"/>
        </w:rPr>
        <w:t xml:space="preserve"> significantly depending on the mode of operation </w:t>
      </w:r>
      <w:r w:rsidR="00707E57">
        <w:rPr>
          <w:sz w:val="22"/>
          <w:szCs w:val="22"/>
        </w:rPr>
        <w:t>considered</w:t>
      </w:r>
      <w:r w:rsidR="000676C9">
        <w:rPr>
          <w:sz w:val="22"/>
          <w:szCs w:val="22"/>
        </w:rPr>
        <w:t xml:space="preserve">. In scenarios predominantly running on extract mode, more waste heat is </w:t>
      </w:r>
      <w:proofErr w:type="gramStart"/>
      <w:r w:rsidR="000676C9">
        <w:rPr>
          <w:sz w:val="22"/>
          <w:szCs w:val="22"/>
        </w:rPr>
        <w:t>used</w:t>
      </w:r>
      <w:proofErr w:type="gramEnd"/>
      <w:r w:rsidR="000676C9">
        <w:rPr>
          <w:sz w:val="22"/>
          <w:szCs w:val="22"/>
        </w:rPr>
        <w:t xml:space="preserve"> and higher heating efficiencies are obtained. While </w:t>
      </w:r>
      <w:r w:rsidR="00946477">
        <w:rPr>
          <w:sz w:val="22"/>
          <w:szCs w:val="22"/>
        </w:rPr>
        <w:t>s</w:t>
      </w:r>
      <w:r w:rsidR="000676C9">
        <w:rPr>
          <w:sz w:val="22"/>
          <w:szCs w:val="22"/>
        </w:rPr>
        <w:t xml:space="preserve">cenario 1 obtained the highest heating </w:t>
      </w:r>
      <m:oMath>
        <m:r>
          <w:rPr>
            <w:rFonts w:ascii="Cambria Math" w:hAnsi="Cambria Math"/>
            <w:sz w:val="22"/>
            <w:szCs w:val="22"/>
          </w:rPr>
          <m:t>COSP</m:t>
        </m:r>
      </m:oMath>
      <w:r w:rsidR="000676C9">
        <w:rPr>
          <w:sz w:val="22"/>
          <w:szCs w:val="22"/>
        </w:rPr>
        <w:t xml:space="preserve"> of 3.36 and a waste heat </w:t>
      </w:r>
      <w:proofErr w:type="spellStart"/>
      <w:r w:rsidR="000676C9">
        <w:rPr>
          <w:sz w:val="22"/>
          <w:szCs w:val="22"/>
        </w:rPr>
        <w:t>utilisation</w:t>
      </w:r>
      <w:proofErr w:type="spellEnd"/>
      <w:r w:rsidR="000676C9">
        <w:rPr>
          <w:sz w:val="22"/>
          <w:szCs w:val="22"/>
        </w:rPr>
        <w:t xml:space="preserve"> rate of 89%, </w:t>
      </w:r>
      <w:r w:rsidR="00946477">
        <w:rPr>
          <w:sz w:val="22"/>
          <w:szCs w:val="22"/>
        </w:rPr>
        <w:t>s</w:t>
      </w:r>
      <w:r w:rsidR="000676C9">
        <w:rPr>
          <w:sz w:val="22"/>
          <w:szCs w:val="22"/>
        </w:rPr>
        <w:t xml:space="preserve">cenario 5 would only use ambient air as its heat source (waste heat </w:t>
      </w:r>
      <w:proofErr w:type="spellStart"/>
      <w:r w:rsidR="000676C9">
        <w:rPr>
          <w:sz w:val="22"/>
          <w:szCs w:val="22"/>
        </w:rPr>
        <w:t>utilisation</w:t>
      </w:r>
      <w:proofErr w:type="spellEnd"/>
      <w:r w:rsidR="000676C9">
        <w:rPr>
          <w:sz w:val="22"/>
          <w:szCs w:val="22"/>
        </w:rPr>
        <w:t xml:space="preserve"> rate of 0%), therefore achieving a heating </w:t>
      </w:r>
      <m:oMath>
        <m:r>
          <w:rPr>
            <w:rFonts w:ascii="Cambria Math" w:hAnsi="Cambria Math"/>
            <w:sz w:val="22"/>
            <w:szCs w:val="22"/>
          </w:rPr>
          <w:lastRenderedPageBreak/>
          <m:t>COSP</m:t>
        </m:r>
      </m:oMath>
      <w:r w:rsidR="000676C9">
        <w:rPr>
          <w:sz w:val="22"/>
          <w:szCs w:val="22"/>
        </w:rPr>
        <w:t xml:space="preserve"> of 2.65. However, when cooling outputs are also considered, the efficiency of the WHR system is higher for scenarios where supply mode is used for </w:t>
      </w:r>
      <w:r w:rsidR="00946477">
        <w:rPr>
          <w:sz w:val="22"/>
          <w:szCs w:val="22"/>
        </w:rPr>
        <w:t>most of</w:t>
      </w:r>
      <w:r w:rsidR="000676C9">
        <w:rPr>
          <w:sz w:val="22"/>
          <w:szCs w:val="22"/>
        </w:rPr>
        <w:t xml:space="preserve"> the year. A combined heating and cooling </w:t>
      </w:r>
      <m:oMath>
        <m:r>
          <w:rPr>
            <w:rFonts w:ascii="Cambria Math" w:hAnsi="Cambria Math"/>
            <w:sz w:val="22"/>
            <w:szCs w:val="22"/>
          </w:rPr>
          <m:t>COSP</m:t>
        </m:r>
      </m:oMath>
      <w:r w:rsidR="000676C9">
        <w:rPr>
          <w:sz w:val="22"/>
          <w:szCs w:val="22"/>
        </w:rPr>
        <w:t xml:space="preserve"> of 4.30 was obtained for </w:t>
      </w:r>
      <w:r w:rsidR="00946477">
        <w:rPr>
          <w:sz w:val="22"/>
          <w:szCs w:val="22"/>
        </w:rPr>
        <w:t>s</w:t>
      </w:r>
      <w:r w:rsidR="000676C9">
        <w:rPr>
          <w:sz w:val="22"/>
          <w:szCs w:val="22"/>
        </w:rPr>
        <w:t>cenario 5, when the cooling output would be 62% of the total heating output from the WHR system. On the other hand, the</w:t>
      </w:r>
      <w:r w:rsidR="00707E57">
        <w:rPr>
          <w:sz w:val="22"/>
          <w:szCs w:val="22"/>
        </w:rPr>
        <w:t xml:space="preserve"> combined</w:t>
      </w:r>
      <w:r w:rsidR="000676C9">
        <w:rPr>
          <w:sz w:val="22"/>
          <w:szCs w:val="22"/>
        </w:rPr>
        <w:t xml:space="preserve"> </w:t>
      </w:r>
      <w:r w:rsidR="00946477">
        <w:rPr>
          <w:sz w:val="22"/>
          <w:szCs w:val="22"/>
        </w:rPr>
        <w:t xml:space="preserve">heating </w:t>
      </w:r>
      <w:r w:rsidR="00707E57">
        <w:rPr>
          <w:sz w:val="22"/>
          <w:szCs w:val="22"/>
        </w:rPr>
        <w:t>and</w:t>
      </w:r>
      <w:r w:rsidR="00946477">
        <w:rPr>
          <w:sz w:val="22"/>
          <w:szCs w:val="22"/>
        </w:rPr>
        <w:t xml:space="preserve"> cooling efficiency of scenario 1 would be the same as its heating only efficiency, as no cooling is provided when the WHR system operates</w:t>
      </w:r>
      <w:r w:rsidR="00707E57">
        <w:rPr>
          <w:sz w:val="22"/>
          <w:szCs w:val="22"/>
        </w:rPr>
        <w:t xml:space="preserve"> only</w:t>
      </w:r>
      <w:r w:rsidR="00946477">
        <w:rPr>
          <w:sz w:val="22"/>
          <w:szCs w:val="22"/>
        </w:rPr>
        <w:t xml:space="preserve"> in extract mode.</w:t>
      </w:r>
    </w:p>
    <w:p w14:paraId="1CAAC25D" w14:textId="6D8E1955" w:rsidR="00581D9D" w:rsidRPr="00BD45C7" w:rsidRDefault="00581D9D" w:rsidP="00581D9D">
      <w:pPr>
        <w:spacing w:line="264" w:lineRule="auto"/>
        <w:jc w:val="center"/>
        <w:rPr>
          <w:sz w:val="18"/>
          <w:szCs w:val="18"/>
        </w:rPr>
      </w:pPr>
      <w:r w:rsidRPr="00BD45C7">
        <w:rPr>
          <w:b/>
          <w:sz w:val="18"/>
          <w:szCs w:val="18"/>
        </w:rPr>
        <w:t>Table 2</w:t>
      </w:r>
      <w:r w:rsidRPr="00BD45C7">
        <w:rPr>
          <w:sz w:val="18"/>
          <w:szCs w:val="18"/>
        </w:rPr>
        <w:t xml:space="preserve"> – Modelled operational parameters for the WHR system in the different scenarios described in Table 1.</w:t>
      </w:r>
    </w:p>
    <w:tbl>
      <w:tblPr>
        <w:tblStyle w:val="PlainTable2"/>
        <w:tblW w:w="9012" w:type="dxa"/>
        <w:tblLook w:val="04A0" w:firstRow="1" w:lastRow="0" w:firstColumn="1" w:lastColumn="0" w:noHBand="0" w:noVBand="1"/>
      </w:tblPr>
      <w:tblGrid>
        <w:gridCol w:w="4762"/>
        <w:gridCol w:w="850"/>
        <w:gridCol w:w="850"/>
        <w:gridCol w:w="850"/>
        <w:gridCol w:w="850"/>
        <w:gridCol w:w="850"/>
      </w:tblGrid>
      <w:tr w:rsidR="00581D9D" w:rsidRPr="00BD45C7" w14:paraId="71296667" w14:textId="77777777" w:rsidTr="00581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2" w:type="dxa"/>
            <w:vMerge w:val="restart"/>
            <w:vAlign w:val="center"/>
          </w:tcPr>
          <w:p w14:paraId="19BBEAD5" w14:textId="29E7A9EE" w:rsidR="00581D9D" w:rsidRPr="00BD45C7" w:rsidRDefault="00581D9D" w:rsidP="00581D9D">
            <w:pPr>
              <w:spacing w:line="264" w:lineRule="auto"/>
              <w:jc w:val="center"/>
              <w:rPr>
                <w:sz w:val="20"/>
                <w:szCs w:val="20"/>
              </w:rPr>
            </w:pPr>
            <w:r w:rsidRPr="00BD45C7">
              <w:rPr>
                <w:sz w:val="20"/>
                <w:szCs w:val="20"/>
              </w:rPr>
              <w:t>WHR system and DH network parameters</w:t>
            </w:r>
          </w:p>
        </w:tc>
        <w:tc>
          <w:tcPr>
            <w:tcW w:w="4250" w:type="dxa"/>
            <w:gridSpan w:val="5"/>
            <w:tcBorders>
              <w:top w:val="single" w:sz="4" w:space="0" w:color="808080" w:themeColor="background1" w:themeShade="80"/>
              <w:bottom w:val="nil"/>
            </w:tcBorders>
            <w:vAlign w:val="center"/>
          </w:tcPr>
          <w:p w14:paraId="621DFCCB" w14:textId="06325939" w:rsidR="00581D9D" w:rsidRPr="00BD45C7" w:rsidRDefault="00581D9D" w:rsidP="00286CC0">
            <w:pPr>
              <w:spacing w:line="264"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D45C7">
              <w:rPr>
                <w:sz w:val="20"/>
                <w:szCs w:val="20"/>
              </w:rPr>
              <w:t>Scenarios</w:t>
            </w:r>
          </w:p>
        </w:tc>
      </w:tr>
      <w:tr w:rsidR="00581D9D" w:rsidRPr="00BD45C7" w14:paraId="0625E8D8" w14:textId="77777777" w:rsidTr="0058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2" w:type="dxa"/>
            <w:vMerge/>
            <w:tcBorders>
              <w:bottom w:val="single" w:sz="4" w:space="0" w:color="808080" w:themeColor="background1" w:themeShade="80"/>
            </w:tcBorders>
            <w:vAlign w:val="center"/>
          </w:tcPr>
          <w:p w14:paraId="7477D6F8" w14:textId="77777777" w:rsidR="00581D9D" w:rsidRPr="00BD45C7" w:rsidRDefault="00581D9D" w:rsidP="00581D9D">
            <w:pPr>
              <w:spacing w:line="264" w:lineRule="auto"/>
              <w:rPr>
                <w:sz w:val="20"/>
                <w:szCs w:val="20"/>
              </w:rPr>
            </w:pPr>
          </w:p>
        </w:tc>
        <w:tc>
          <w:tcPr>
            <w:tcW w:w="850" w:type="dxa"/>
            <w:tcBorders>
              <w:top w:val="nil"/>
              <w:bottom w:val="single" w:sz="4" w:space="0" w:color="808080" w:themeColor="background1" w:themeShade="80"/>
            </w:tcBorders>
            <w:vAlign w:val="center"/>
          </w:tcPr>
          <w:p w14:paraId="347ED8F0" w14:textId="37C44CC0" w:rsidR="00581D9D" w:rsidRPr="00BD45C7" w:rsidRDefault="00581D9D" w:rsidP="00581D9D">
            <w:pPr>
              <w:spacing w:line="264"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D45C7">
              <w:rPr>
                <w:b/>
                <w:bCs/>
                <w:sz w:val="20"/>
                <w:szCs w:val="20"/>
              </w:rPr>
              <w:t>1</w:t>
            </w:r>
          </w:p>
        </w:tc>
        <w:tc>
          <w:tcPr>
            <w:tcW w:w="850" w:type="dxa"/>
            <w:tcBorders>
              <w:top w:val="nil"/>
              <w:bottom w:val="single" w:sz="4" w:space="0" w:color="808080" w:themeColor="background1" w:themeShade="80"/>
            </w:tcBorders>
            <w:vAlign w:val="center"/>
          </w:tcPr>
          <w:p w14:paraId="015537F2" w14:textId="1076BD43" w:rsidR="00581D9D" w:rsidRPr="00BD45C7" w:rsidRDefault="00581D9D" w:rsidP="00581D9D">
            <w:pPr>
              <w:spacing w:line="264"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D45C7">
              <w:rPr>
                <w:b/>
                <w:bCs/>
                <w:sz w:val="20"/>
                <w:szCs w:val="20"/>
              </w:rPr>
              <w:t>2</w:t>
            </w:r>
          </w:p>
        </w:tc>
        <w:tc>
          <w:tcPr>
            <w:tcW w:w="850" w:type="dxa"/>
            <w:tcBorders>
              <w:top w:val="nil"/>
              <w:bottom w:val="single" w:sz="4" w:space="0" w:color="808080" w:themeColor="background1" w:themeShade="80"/>
            </w:tcBorders>
            <w:vAlign w:val="center"/>
          </w:tcPr>
          <w:p w14:paraId="3D5000B4" w14:textId="6ECCBFBD" w:rsidR="00581D9D" w:rsidRPr="00BD45C7" w:rsidRDefault="00581D9D" w:rsidP="00581D9D">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D45C7">
              <w:rPr>
                <w:b/>
                <w:bCs/>
                <w:sz w:val="20"/>
                <w:szCs w:val="20"/>
              </w:rPr>
              <w:t>3</w:t>
            </w:r>
          </w:p>
        </w:tc>
        <w:tc>
          <w:tcPr>
            <w:tcW w:w="850" w:type="dxa"/>
            <w:tcBorders>
              <w:top w:val="nil"/>
              <w:bottom w:val="single" w:sz="4" w:space="0" w:color="808080" w:themeColor="background1" w:themeShade="80"/>
            </w:tcBorders>
            <w:vAlign w:val="center"/>
          </w:tcPr>
          <w:p w14:paraId="4137BF4D" w14:textId="440D91DD" w:rsidR="00581D9D" w:rsidRPr="00BD45C7" w:rsidRDefault="00581D9D" w:rsidP="00581D9D">
            <w:pPr>
              <w:spacing w:line="264"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D45C7">
              <w:rPr>
                <w:b/>
                <w:bCs/>
                <w:sz w:val="20"/>
                <w:szCs w:val="20"/>
              </w:rPr>
              <w:t>4</w:t>
            </w:r>
          </w:p>
        </w:tc>
        <w:tc>
          <w:tcPr>
            <w:tcW w:w="850" w:type="dxa"/>
            <w:tcBorders>
              <w:top w:val="nil"/>
              <w:bottom w:val="single" w:sz="4" w:space="0" w:color="808080" w:themeColor="background1" w:themeShade="80"/>
            </w:tcBorders>
            <w:vAlign w:val="center"/>
          </w:tcPr>
          <w:p w14:paraId="12B2BDF9" w14:textId="6DCA3F7F" w:rsidR="00581D9D" w:rsidRPr="00BD45C7" w:rsidRDefault="00581D9D" w:rsidP="00581D9D">
            <w:pPr>
              <w:spacing w:line="264"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D45C7">
              <w:rPr>
                <w:b/>
                <w:bCs/>
                <w:sz w:val="20"/>
                <w:szCs w:val="20"/>
              </w:rPr>
              <w:t>5</w:t>
            </w:r>
          </w:p>
        </w:tc>
      </w:tr>
      <w:tr w:rsidR="00581D9D" w:rsidRPr="00BD45C7" w14:paraId="60D8F2F2" w14:textId="77777777" w:rsidTr="00581D9D">
        <w:trPr>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5C4A77A0" w14:textId="72DAED30" w:rsidR="00581D9D" w:rsidRPr="00BD45C7" w:rsidRDefault="00581D9D" w:rsidP="00581D9D">
            <w:pPr>
              <w:spacing w:line="264" w:lineRule="auto"/>
              <w:rPr>
                <w:b w:val="0"/>
                <w:sz w:val="18"/>
                <w:szCs w:val="18"/>
              </w:rPr>
            </w:pPr>
            <w:r w:rsidRPr="00BD45C7">
              <w:rPr>
                <w:b w:val="0"/>
                <w:sz w:val="18"/>
                <w:szCs w:val="18"/>
              </w:rPr>
              <w:t>Heat generated by WHR system annually (MWh)</w:t>
            </w:r>
          </w:p>
        </w:tc>
        <w:tc>
          <w:tcPr>
            <w:tcW w:w="850" w:type="dxa"/>
            <w:vAlign w:val="center"/>
          </w:tcPr>
          <w:p w14:paraId="2FDC18DB" w14:textId="2AA2FB96" w:rsidR="00581D9D" w:rsidRPr="00BD45C7" w:rsidRDefault="00C03B8C"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7,77</w:t>
            </w:r>
            <w:r w:rsidR="00C26340" w:rsidRPr="00BD45C7">
              <w:rPr>
                <w:sz w:val="20"/>
                <w:szCs w:val="20"/>
              </w:rPr>
              <w:t>3</w:t>
            </w:r>
          </w:p>
        </w:tc>
        <w:tc>
          <w:tcPr>
            <w:tcW w:w="850" w:type="dxa"/>
            <w:vAlign w:val="center"/>
          </w:tcPr>
          <w:p w14:paraId="29B25A55" w14:textId="479346B7" w:rsidR="00581D9D" w:rsidRPr="00BD45C7" w:rsidRDefault="00C03B8C"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7,77</w:t>
            </w:r>
            <w:r w:rsidR="00C26340" w:rsidRPr="00BD45C7">
              <w:rPr>
                <w:sz w:val="20"/>
                <w:szCs w:val="20"/>
              </w:rPr>
              <w:t>3</w:t>
            </w:r>
          </w:p>
        </w:tc>
        <w:tc>
          <w:tcPr>
            <w:tcW w:w="850" w:type="dxa"/>
            <w:vAlign w:val="center"/>
          </w:tcPr>
          <w:p w14:paraId="3A404160" w14:textId="1A2C6270" w:rsidR="00581D9D" w:rsidRPr="00BD45C7" w:rsidRDefault="00C03B8C"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7,77</w:t>
            </w:r>
            <w:r w:rsidR="00C26340" w:rsidRPr="00BD45C7">
              <w:rPr>
                <w:sz w:val="20"/>
                <w:szCs w:val="20"/>
              </w:rPr>
              <w:t>3</w:t>
            </w:r>
          </w:p>
        </w:tc>
        <w:tc>
          <w:tcPr>
            <w:tcW w:w="850" w:type="dxa"/>
            <w:vAlign w:val="center"/>
          </w:tcPr>
          <w:p w14:paraId="4E18D930" w14:textId="470A7C69" w:rsidR="00581D9D" w:rsidRPr="00BD45C7" w:rsidRDefault="00C03B8C"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7,77</w:t>
            </w:r>
            <w:r w:rsidR="00C26340" w:rsidRPr="00BD45C7">
              <w:rPr>
                <w:sz w:val="20"/>
                <w:szCs w:val="20"/>
              </w:rPr>
              <w:t>3</w:t>
            </w:r>
          </w:p>
        </w:tc>
        <w:tc>
          <w:tcPr>
            <w:tcW w:w="850" w:type="dxa"/>
            <w:vAlign w:val="center"/>
          </w:tcPr>
          <w:p w14:paraId="2A50F40F" w14:textId="39636A46" w:rsidR="00581D9D" w:rsidRPr="00BD45C7" w:rsidRDefault="00C03B8C"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7,77</w:t>
            </w:r>
            <w:r w:rsidR="00C26340" w:rsidRPr="00BD45C7">
              <w:rPr>
                <w:sz w:val="20"/>
                <w:szCs w:val="20"/>
              </w:rPr>
              <w:t>3</w:t>
            </w:r>
          </w:p>
        </w:tc>
      </w:tr>
      <w:tr w:rsidR="00581D9D" w:rsidRPr="00BD45C7" w14:paraId="47746297" w14:textId="77777777" w:rsidTr="00581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7DED23EC" w14:textId="7D32B81F" w:rsidR="00581D9D" w:rsidRPr="00BD45C7" w:rsidRDefault="00581D9D" w:rsidP="00581D9D">
            <w:pPr>
              <w:spacing w:line="264" w:lineRule="auto"/>
              <w:rPr>
                <w:b w:val="0"/>
                <w:bCs w:val="0"/>
                <w:sz w:val="18"/>
                <w:szCs w:val="18"/>
              </w:rPr>
            </w:pPr>
            <w:r w:rsidRPr="00BD45C7">
              <w:rPr>
                <w:b w:val="0"/>
                <w:bCs w:val="0"/>
                <w:sz w:val="18"/>
                <w:szCs w:val="18"/>
              </w:rPr>
              <w:t>Heat delivered annually, excl. distribution losses (MWh)</w:t>
            </w:r>
          </w:p>
        </w:tc>
        <w:tc>
          <w:tcPr>
            <w:tcW w:w="850" w:type="dxa"/>
            <w:vAlign w:val="center"/>
          </w:tcPr>
          <w:p w14:paraId="0D881829" w14:textId="5E053E94" w:rsidR="00581D9D" w:rsidRPr="00BD45C7" w:rsidRDefault="00C03B8C"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6,996</w:t>
            </w:r>
          </w:p>
        </w:tc>
        <w:tc>
          <w:tcPr>
            <w:tcW w:w="850" w:type="dxa"/>
            <w:vAlign w:val="center"/>
          </w:tcPr>
          <w:p w14:paraId="3913A773" w14:textId="4FE8DC70" w:rsidR="00581D9D"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6,996</w:t>
            </w:r>
          </w:p>
        </w:tc>
        <w:tc>
          <w:tcPr>
            <w:tcW w:w="850" w:type="dxa"/>
            <w:vAlign w:val="center"/>
          </w:tcPr>
          <w:p w14:paraId="420BB65A" w14:textId="335D81A4" w:rsidR="00581D9D"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6,996</w:t>
            </w:r>
          </w:p>
        </w:tc>
        <w:tc>
          <w:tcPr>
            <w:tcW w:w="850" w:type="dxa"/>
            <w:vAlign w:val="center"/>
          </w:tcPr>
          <w:p w14:paraId="565F70C9" w14:textId="254338F6" w:rsidR="00581D9D"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6,996</w:t>
            </w:r>
          </w:p>
        </w:tc>
        <w:tc>
          <w:tcPr>
            <w:tcW w:w="850" w:type="dxa"/>
            <w:vAlign w:val="center"/>
          </w:tcPr>
          <w:p w14:paraId="2676C3E9" w14:textId="1EECFAAE" w:rsidR="00581D9D"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6,996</w:t>
            </w:r>
          </w:p>
        </w:tc>
      </w:tr>
      <w:tr w:rsidR="00C03B8C" w:rsidRPr="00BD45C7" w14:paraId="64D22FB7" w14:textId="77777777" w:rsidTr="00581D9D">
        <w:trPr>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4C9C7A7A" w14:textId="23787B74" w:rsidR="00C03B8C" w:rsidRPr="00BD45C7" w:rsidRDefault="00C03B8C" w:rsidP="00581D9D">
            <w:pPr>
              <w:spacing w:line="264" w:lineRule="auto"/>
              <w:rPr>
                <w:b w:val="0"/>
                <w:bCs w:val="0"/>
                <w:sz w:val="18"/>
                <w:szCs w:val="18"/>
              </w:rPr>
            </w:pPr>
            <w:r w:rsidRPr="00BD45C7">
              <w:rPr>
                <w:b w:val="0"/>
                <w:bCs w:val="0"/>
                <w:sz w:val="18"/>
                <w:szCs w:val="18"/>
              </w:rPr>
              <w:t>LU waste heat recovered and reused annually (MWh)</w:t>
            </w:r>
          </w:p>
        </w:tc>
        <w:tc>
          <w:tcPr>
            <w:tcW w:w="850" w:type="dxa"/>
            <w:vAlign w:val="center"/>
          </w:tcPr>
          <w:p w14:paraId="2A136926" w14:textId="1034BDE2" w:rsidR="00C03B8C" w:rsidRPr="00BD45C7" w:rsidRDefault="00C2634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5,457</w:t>
            </w:r>
          </w:p>
        </w:tc>
        <w:tc>
          <w:tcPr>
            <w:tcW w:w="850" w:type="dxa"/>
            <w:vAlign w:val="center"/>
          </w:tcPr>
          <w:p w14:paraId="45B58D94" w14:textId="4FB99DB7" w:rsidR="00C03B8C" w:rsidRPr="00BD45C7" w:rsidRDefault="00C2634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4,468</w:t>
            </w:r>
          </w:p>
        </w:tc>
        <w:tc>
          <w:tcPr>
            <w:tcW w:w="850" w:type="dxa"/>
            <w:vAlign w:val="center"/>
          </w:tcPr>
          <w:p w14:paraId="61053823" w14:textId="7853DA0B" w:rsidR="00C03B8C" w:rsidRPr="00BD45C7" w:rsidRDefault="00C2634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2,966</w:t>
            </w:r>
          </w:p>
        </w:tc>
        <w:tc>
          <w:tcPr>
            <w:tcW w:w="850" w:type="dxa"/>
            <w:vAlign w:val="center"/>
          </w:tcPr>
          <w:p w14:paraId="20477A99" w14:textId="1A84134B" w:rsidR="00C03B8C" w:rsidRPr="00BD45C7" w:rsidRDefault="00C2634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1,483</w:t>
            </w:r>
          </w:p>
        </w:tc>
        <w:tc>
          <w:tcPr>
            <w:tcW w:w="850" w:type="dxa"/>
            <w:vAlign w:val="center"/>
          </w:tcPr>
          <w:p w14:paraId="7136F7ED" w14:textId="0459995D" w:rsidR="00C03B8C" w:rsidRPr="00BD45C7" w:rsidRDefault="00C2634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0</w:t>
            </w:r>
          </w:p>
        </w:tc>
      </w:tr>
      <w:tr w:rsidR="00C03B8C" w:rsidRPr="00BD45C7" w14:paraId="52586021" w14:textId="77777777" w:rsidTr="00581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5507E53D" w14:textId="68F873F8" w:rsidR="00C03B8C" w:rsidRPr="00BD45C7" w:rsidRDefault="00C03B8C" w:rsidP="00581D9D">
            <w:pPr>
              <w:spacing w:line="264" w:lineRule="auto"/>
              <w:rPr>
                <w:b w:val="0"/>
                <w:bCs w:val="0"/>
                <w:sz w:val="18"/>
                <w:szCs w:val="18"/>
              </w:rPr>
            </w:pPr>
            <w:r w:rsidRPr="00BD45C7">
              <w:rPr>
                <w:b w:val="0"/>
                <w:bCs w:val="0"/>
                <w:sz w:val="18"/>
                <w:szCs w:val="18"/>
              </w:rPr>
              <w:t>Cooling delivered annually by WHR system (MWh)</w:t>
            </w:r>
          </w:p>
        </w:tc>
        <w:tc>
          <w:tcPr>
            <w:tcW w:w="850" w:type="dxa"/>
            <w:vAlign w:val="center"/>
          </w:tcPr>
          <w:p w14:paraId="2AF2422F" w14:textId="57E4D3D3" w:rsidR="00C03B8C"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0</w:t>
            </w:r>
          </w:p>
        </w:tc>
        <w:tc>
          <w:tcPr>
            <w:tcW w:w="850" w:type="dxa"/>
            <w:vAlign w:val="center"/>
          </w:tcPr>
          <w:p w14:paraId="2AE1C391" w14:textId="2428AFAC" w:rsidR="00C03B8C"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896</w:t>
            </w:r>
          </w:p>
        </w:tc>
        <w:tc>
          <w:tcPr>
            <w:tcW w:w="850" w:type="dxa"/>
            <w:vAlign w:val="center"/>
          </w:tcPr>
          <w:p w14:paraId="321857E3" w14:textId="3B2E691C" w:rsidR="00C03B8C"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2,314</w:t>
            </w:r>
          </w:p>
        </w:tc>
        <w:tc>
          <w:tcPr>
            <w:tcW w:w="850" w:type="dxa"/>
            <w:vAlign w:val="center"/>
          </w:tcPr>
          <w:p w14:paraId="6AF05A82" w14:textId="424646C8" w:rsidR="00C03B8C"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3,583</w:t>
            </w:r>
          </w:p>
        </w:tc>
        <w:tc>
          <w:tcPr>
            <w:tcW w:w="850" w:type="dxa"/>
            <w:vAlign w:val="center"/>
          </w:tcPr>
          <w:p w14:paraId="21CD0C2A" w14:textId="61E455B9" w:rsidR="00C03B8C" w:rsidRPr="00BD45C7" w:rsidRDefault="00C26340" w:rsidP="00581D9D">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4,842</w:t>
            </w:r>
          </w:p>
        </w:tc>
      </w:tr>
      <w:tr w:rsidR="00581D9D" w:rsidRPr="00BD45C7" w14:paraId="77E59953" w14:textId="77777777" w:rsidTr="00581D9D">
        <w:trPr>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0F16CA85" w14:textId="3ECD5981" w:rsidR="00581D9D" w:rsidRPr="00BD45C7" w:rsidRDefault="00581D9D" w:rsidP="00581D9D">
            <w:pPr>
              <w:spacing w:line="264" w:lineRule="auto"/>
              <w:rPr>
                <w:b w:val="0"/>
                <w:bCs w:val="0"/>
                <w:sz w:val="18"/>
                <w:szCs w:val="18"/>
              </w:rPr>
            </w:pPr>
            <w:r w:rsidRPr="00BD45C7">
              <w:rPr>
                <w:b w:val="0"/>
                <w:bCs w:val="0"/>
                <w:sz w:val="18"/>
                <w:szCs w:val="18"/>
              </w:rPr>
              <w:t>Annual WHR system energy consumption (MWh)</w:t>
            </w:r>
          </w:p>
        </w:tc>
        <w:tc>
          <w:tcPr>
            <w:tcW w:w="850" w:type="dxa"/>
            <w:vAlign w:val="center"/>
          </w:tcPr>
          <w:p w14:paraId="7864152C" w14:textId="71B13683" w:rsidR="00581D9D" w:rsidRPr="00BD45C7" w:rsidRDefault="0062652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2,316</w:t>
            </w:r>
          </w:p>
        </w:tc>
        <w:tc>
          <w:tcPr>
            <w:tcW w:w="850" w:type="dxa"/>
            <w:vAlign w:val="center"/>
          </w:tcPr>
          <w:p w14:paraId="328D366A" w14:textId="4881B018" w:rsidR="00581D9D" w:rsidRPr="00BD45C7" w:rsidRDefault="0062652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2,410</w:t>
            </w:r>
          </w:p>
        </w:tc>
        <w:tc>
          <w:tcPr>
            <w:tcW w:w="850" w:type="dxa"/>
            <w:vAlign w:val="center"/>
          </w:tcPr>
          <w:p w14:paraId="6E6D5D0B" w14:textId="6B7BD88A" w:rsidR="00581D9D" w:rsidRPr="00BD45C7" w:rsidRDefault="0062652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2,494</w:t>
            </w:r>
          </w:p>
        </w:tc>
        <w:tc>
          <w:tcPr>
            <w:tcW w:w="850" w:type="dxa"/>
            <w:vAlign w:val="center"/>
          </w:tcPr>
          <w:p w14:paraId="74975558" w14:textId="7B6F291F" w:rsidR="00581D9D" w:rsidRPr="00BD45C7" w:rsidRDefault="0062652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2,708</w:t>
            </w:r>
          </w:p>
        </w:tc>
        <w:tc>
          <w:tcPr>
            <w:tcW w:w="850" w:type="dxa"/>
            <w:vAlign w:val="center"/>
          </w:tcPr>
          <w:p w14:paraId="6CB215F7" w14:textId="6FB49E50" w:rsidR="00581D9D" w:rsidRPr="00BD45C7" w:rsidRDefault="00626520" w:rsidP="00581D9D">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2,931</w:t>
            </w:r>
          </w:p>
        </w:tc>
      </w:tr>
      <w:tr w:rsidR="00C03B8C" w:rsidRPr="00BD45C7" w14:paraId="56FC7FCE" w14:textId="77777777" w:rsidTr="00581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0FB03657" w14:textId="116803B3" w:rsidR="00C03B8C" w:rsidRPr="00BD45C7" w:rsidRDefault="00C03B8C" w:rsidP="00C03B8C">
            <w:pPr>
              <w:spacing w:line="264" w:lineRule="auto"/>
              <w:rPr>
                <w:b w:val="0"/>
                <w:bCs w:val="0"/>
                <w:sz w:val="18"/>
                <w:szCs w:val="18"/>
              </w:rPr>
            </w:pPr>
            <w:r w:rsidRPr="00BD45C7">
              <w:rPr>
                <w:b w:val="0"/>
                <w:bCs w:val="0"/>
                <w:sz w:val="18"/>
                <w:szCs w:val="18"/>
              </w:rPr>
              <w:t>Seasonal COSP for WHR system (heating only)</w:t>
            </w:r>
          </w:p>
        </w:tc>
        <w:tc>
          <w:tcPr>
            <w:tcW w:w="850" w:type="dxa"/>
            <w:vAlign w:val="center"/>
          </w:tcPr>
          <w:p w14:paraId="76216784" w14:textId="3A8A9BA6"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3.36</w:t>
            </w:r>
          </w:p>
        </w:tc>
        <w:tc>
          <w:tcPr>
            <w:tcW w:w="850" w:type="dxa"/>
            <w:vAlign w:val="center"/>
          </w:tcPr>
          <w:p w14:paraId="7A8D30D4" w14:textId="76C2423E"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3.23</w:t>
            </w:r>
          </w:p>
        </w:tc>
        <w:tc>
          <w:tcPr>
            <w:tcW w:w="850" w:type="dxa"/>
            <w:vAlign w:val="center"/>
          </w:tcPr>
          <w:p w14:paraId="15973B37" w14:textId="5196197B"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3.12</w:t>
            </w:r>
          </w:p>
        </w:tc>
        <w:tc>
          <w:tcPr>
            <w:tcW w:w="850" w:type="dxa"/>
            <w:vAlign w:val="center"/>
          </w:tcPr>
          <w:p w14:paraId="65C76CBE" w14:textId="5025E31E"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2.87</w:t>
            </w:r>
          </w:p>
        </w:tc>
        <w:tc>
          <w:tcPr>
            <w:tcW w:w="850" w:type="dxa"/>
            <w:vAlign w:val="center"/>
          </w:tcPr>
          <w:p w14:paraId="2EA3A4F8" w14:textId="03F617E8"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2.</w:t>
            </w:r>
            <w:r w:rsidR="000676C9" w:rsidRPr="00BD45C7">
              <w:rPr>
                <w:sz w:val="20"/>
                <w:szCs w:val="20"/>
              </w:rPr>
              <w:t>6</w:t>
            </w:r>
            <w:r w:rsidRPr="00BD45C7">
              <w:rPr>
                <w:sz w:val="20"/>
                <w:szCs w:val="20"/>
              </w:rPr>
              <w:t>5</w:t>
            </w:r>
          </w:p>
        </w:tc>
      </w:tr>
      <w:tr w:rsidR="00C03B8C" w:rsidRPr="00BD45C7" w14:paraId="55EC080C" w14:textId="77777777" w:rsidTr="00581D9D">
        <w:trPr>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76E55265" w14:textId="4908C8CF" w:rsidR="00C03B8C" w:rsidRPr="00BD45C7" w:rsidRDefault="00C03B8C" w:rsidP="00C03B8C">
            <w:pPr>
              <w:spacing w:line="264" w:lineRule="auto"/>
              <w:rPr>
                <w:b w:val="0"/>
                <w:bCs w:val="0"/>
                <w:sz w:val="18"/>
                <w:szCs w:val="18"/>
              </w:rPr>
            </w:pPr>
            <w:r w:rsidRPr="00BD45C7">
              <w:rPr>
                <w:b w:val="0"/>
                <w:bCs w:val="0"/>
                <w:sz w:val="18"/>
                <w:szCs w:val="18"/>
              </w:rPr>
              <w:t>Seasonal COSP for WHR system (heating and cooling)</w:t>
            </w:r>
          </w:p>
        </w:tc>
        <w:tc>
          <w:tcPr>
            <w:tcW w:w="850" w:type="dxa"/>
            <w:vAlign w:val="center"/>
          </w:tcPr>
          <w:p w14:paraId="5696E314" w14:textId="41CA73D1"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3.36</w:t>
            </w:r>
          </w:p>
        </w:tc>
        <w:tc>
          <w:tcPr>
            <w:tcW w:w="850" w:type="dxa"/>
            <w:vAlign w:val="center"/>
          </w:tcPr>
          <w:p w14:paraId="75924FCD" w14:textId="101AEE39"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3.60</w:t>
            </w:r>
          </w:p>
        </w:tc>
        <w:tc>
          <w:tcPr>
            <w:tcW w:w="850" w:type="dxa"/>
            <w:vAlign w:val="center"/>
          </w:tcPr>
          <w:p w14:paraId="090C6E00" w14:textId="37CB012F"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4.04</w:t>
            </w:r>
          </w:p>
        </w:tc>
        <w:tc>
          <w:tcPr>
            <w:tcW w:w="850" w:type="dxa"/>
            <w:vAlign w:val="center"/>
          </w:tcPr>
          <w:p w14:paraId="3CE4B9A9" w14:textId="4E9CCBB1"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4.19</w:t>
            </w:r>
          </w:p>
        </w:tc>
        <w:tc>
          <w:tcPr>
            <w:tcW w:w="850" w:type="dxa"/>
            <w:vAlign w:val="center"/>
          </w:tcPr>
          <w:p w14:paraId="2DB3630F" w14:textId="21790147"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4.30</w:t>
            </w:r>
          </w:p>
        </w:tc>
      </w:tr>
      <w:tr w:rsidR="00D0797B" w:rsidRPr="00BD45C7" w14:paraId="1B85DF7C" w14:textId="77777777" w:rsidTr="00581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778F5EED" w14:textId="794BE6D7" w:rsidR="00D0797B" w:rsidRPr="00BD45C7" w:rsidRDefault="00D0797B" w:rsidP="00C03B8C">
            <w:pPr>
              <w:spacing w:line="264" w:lineRule="auto"/>
              <w:rPr>
                <w:b w:val="0"/>
                <w:bCs w:val="0"/>
                <w:sz w:val="18"/>
                <w:szCs w:val="18"/>
              </w:rPr>
            </w:pPr>
            <w:r w:rsidRPr="00BD45C7">
              <w:rPr>
                <w:b w:val="0"/>
                <w:bCs w:val="0"/>
                <w:sz w:val="18"/>
                <w:szCs w:val="18"/>
              </w:rPr>
              <w:t>Ratio of cooling to heating production</w:t>
            </w:r>
          </w:p>
        </w:tc>
        <w:tc>
          <w:tcPr>
            <w:tcW w:w="850" w:type="dxa"/>
            <w:vAlign w:val="center"/>
          </w:tcPr>
          <w:p w14:paraId="5239959E" w14:textId="7E41FC75" w:rsidR="00D0797B"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0.00</w:t>
            </w:r>
          </w:p>
        </w:tc>
        <w:tc>
          <w:tcPr>
            <w:tcW w:w="850" w:type="dxa"/>
            <w:vAlign w:val="center"/>
          </w:tcPr>
          <w:p w14:paraId="062DC16B" w14:textId="6EDFCC8B" w:rsidR="00D0797B"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0.12</w:t>
            </w:r>
          </w:p>
        </w:tc>
        <w:tc>
          <w:tcPr>
            <w:tcW w:w="850" w:type="dxa"/>
            <w:vAlign w:val="center"/>
          </w:tcPr>
          <w:p w14:paraId="2461D261" w14:textId="056FD6A4" w:rsidR="00D0797B"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0.30</w:t>
            </w:r>
          </w:p>
        </w:tc>
        <w:tc>
          <w:tcPr>
            <w:tcW w:w="850" w:type="dxa"/>
            <w:vAlign w:val="center"/>
          </w:tcPr>
          <w:p w14:paraId="57D0A908" w14:textId="039854EE" w:rsidR="00D0797B"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0.46</w:t>
            </w:r>
          </w:p>
        </w:tc>
        <w:tc>
          <w:tcPr>
            <w:tcW w:w="850" w:type="dxa"/>
            <w:vAlign w:val="center"/>
          </w:tcPr>
          <w:p w14:paraId="7AF170EB" w14:textId="419FF0A0" w:rsidR="00D0797B"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0.62</w:t>
            </w:r>
          </w:p>
        </w:tc>
      </w:tr>
      <w:tr w:rsidR="00C03B8C" w:rsidRPr="00BD45C7" w14:paraId="5BA94252" w14:textId="77777777" w:rsidTr="00581D9D">
        <w:trPr>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3E380C53" w14:textId="77777777" w:rsidR="00C03B8C" w:rsidRPr="00BD45C7" w:rsidRDefault="00C03B8C" w:rsidP="00C03B8C">
            <w:pPr>
              <w:spacing w:line="264" w:lineRule="auto"/>
              <w:rPr>
                <w:b w:val="0"/>
                <w:sz w:val="18"/>
                <w:szCs w:val="18"/>
              </w:rPr>
            </w:pPr>
            <w:r w:rsidRPr="00BD45C7">
              <w:rPr>
                <w:b w:val="0"/>
                <w:sz w:val="18"/>
                <w:szCs w:val="18"/>
              </w:rPr>
              <w:t>Share of available waste heat reused annually (%)</w:t>
            </w:r>
          </w:p>
        </w:tc>
        <w:tc>
          <w:tcPr>
            <w:tcW w:w="850" w:type="dxa"/>
            <w:vAlign w:val="center"/>
          </w:tcPr>
          <w:p w14:paraId="073D99B5" w14:textId="4E891E57"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89%</w:t>
            </w:r>
          </w:p>
        </w:tc>
        <w:tc>
          <w:tcPr>
            <w:tcW w:w="850" w:type="dxa"/>
            <w:vAlign w:val="center"/>
          </w:tcPr>
          <w:p w14:paraId="613E6827" w14:textId="235BCEDB"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74%</w:t>
            </w:r>
          </w:p>
        </w:tc>
        <w:tc>
          <w:tcPr>
            <w:tcW w:w="850" w:type="dxa"/>
            <w:vAlign w:val="center"/>
          </w:tcPr>
          <w:p w14:paraId="322E913C" w14:textId="2E10B717"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50%</w:t>
            </w:r>
          </w:p>
        </w:tc>
        <w:tc>
          <w:tcPr>
            <w:tcW w:w="850" w:type="dxa"/>
            <w:vAlign w:val="center"/>
          </w:tcPr>
          <w:p w14:paraId="3F86884F" w14:textId="3E3B8CF2"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26%</w:t>
            </w:r>
          </w:p>
        </w:tc>
        <w:tc>
          <w:tcPr>
            <w:tcW w:w="850" w:type="dxa"/>
            <w:vAlign w:val="center"/>
          </w:tcPr>
          <w:p w14:paraId="27280C8D" w14:textId="0B278CEA" w:rsidR="00C03B8C" w:rsidRPr="00BD45C7" w:rsidRDefault="00D0797B" w:rsidP="00C03B8C">
            <w:pPr>
              <w:spacing w:line="264"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D45C7">
              <w:rPr>
                <w:sz w:val="20"/>
                <w:szCs w:val="20"/>
              </w:rPr>
              <w:t>0%</w:t>
            </w:r>
          </w:p>
        </w:tc>
      </w:tr>
      <w:tr w:rsidR="00C03B8C" w:rsidRPr="00BD45C7" w14:paraId="34920489" w14:textId="77777777" w:rsidTr="00581D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62" w:type="dxa"/>
            <w:vAlign w:val="center"/>
          </w:tcPr>
          <w:p w14:paraId="076233BC" w14:textId="211B5834" w:rsidR="00C03B8C" w:rsidRPr="00BD45C7" w:rsidRDefault="00C03B8C" w:rsidP="00C03B8C">
            <w:pPr>
              <w:spacing w:line="264" w:lineRule="auto"/>
              <w:rPr>
                <w:sz w:val="18"/>
                <w:szCs w:val="18"/>
              </w:rPr>
            </w:pPr>
            <w:r w:rsidRPr="00BD45C7">
              <w:rPr>
                <w:b w:val="0"/>
                <w:sz w:val="18"/>
                <w:szCs w:val="18"/>
              </w:rPr>
              <w:t>Share of annual heat demand met with waste heat (%)</w:t>
            </w:r>
          </w:p>
        </w:tc>
        <w:tc>
          <w:tcPr>
            <w:tcW w:w="850" w:type="dxa"/>
            <w:vAlign w:val="center"/>
          </w:tcPr>
          <w:p w14:paraId="5D677502" w14:textId="0C0CEBBB"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40%</w:t>
            </w:r>
          </w:p>
        </w:tc>
        <w:tc>
          <w:tcPr>
            <w:tcW w:w="850" w:type="dxa"/>
            <w:vAlign w:val="center"/>
          </w:tcPr>
          <w:p w14:paraId="6500B307" w14:textId="482130A9"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32%</w:t>
            </w:r>
          </w:p>
        </w:tc>
        <w:tc>
          <w:tcPr>
            <w:tcW w:w="850" w:type="dxa"/>
            <w:vAlign w:val="center"/>
          </w:tcPr>
          <w:p w14:paraId="66E1038F" w14:textId="27BFF5AA"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22%</w:t>
            </w:r>
          </w:p>
        </w:tc>
        <w:tc>
          <w:tcPr>
            <w:tcW w:w="850" w:type="dxa"/>
            <w:vAlign w:val="center"/>
          </w:tcPr>
          <w:p w14:paraId="615273FE" w14:textId="1BD68C4F"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11%</w:t>
            </w:r>
          </w:p>
        </w:tc>
        <w:tc>
          <w:tcPr>
            <w:tcW w:w="850" w:type="dxa"/>
            <w:vAlign w:val="center"/>
          </w:tcPr>
          <w:p w14:paraId="3338B875" w14:textId="50574F55" w:rsidR="00C03B8C" w:rsidRPr="00BD45C7" w:rsidRDefault="00D0797B" w:rsidP="00C03B8C">
            <w:pPr>
              <w:spacing w:line="264"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D45C7">
              <w:rPr>
                <w:sz w:val="20"/>
                <w:szCs w:val="20"/>
              </w:rPr>
              <w:t>0%</w:t>
            </w:r>
          </w:p>
        </w:tc>
      </w:tr>
    </w:tbl>
    <w:p w14:paraId="7F3F647B" w14:textId="77777777" w:rsidR="00581D9D" w:rsidRPr="00BD45C7" w:rsidRDefault="00581D9D" w:rsidP="00743985">
      <w:pPr>
        <w:pStyle w:val="ListParagraph"/>
        <w:pBdr>
          <w:top w:val="nil"/>
          <w:left w:val="nil"/>
          <w:bottom w:val="nil"/>
          <w:right w:val="nil"/>
          <w:between w:val="nil"/>
        </w:pBdr>
        <w:spacing w:line="276" w:lineRule="auto"/>
        <w:ind w:left="482"/>
        <w:jc w:val="both"/>
        <w:rPr>
          <w:b/>
          <w:color w:val="000000"/>
        </w:rPr>
      </w:pPr>
    </w:p>
    <w:p w14:paraId="15FA726D" w14:textId="1CE0C46B" w:rsidR="008031F4" w:rsidRPr="005D6CDC" w:rsidRDefault="00884962" w:rsidP="008031F4">
      <w:pPr>
        <w:pStyle w:val="ListParagraph"/>
        <w:numPr>
          <w:ilvl w:val="0"/>
          <w:numId w:val="4"/>
        </w:numPr>
        <w:pBdr>
          <w:top w:val="nil"/>
          <w:left w:val="nil"/>
          <w:bottom w:val="nil"/>
          <w:right w:val="nil"/>
          <w:between w:val="nil"/>
        </w:pBdr>
        <w:spacing w:line="276" w:lineRule="auto"/>
        <w:ind w:left="482" w:hanging="482"/>
        <w:jc w:val="both"/>
        <w:rPr>
          <w:b/>
          <w:color w:val="000000"/>
        </w:rPr>
      </w:pPr>
      <w:r w:rsidRPr="005D6CDC">
        <w:rPr>
          <w:b/>
          <w:color w:val="000000"/>
        </w:rPr>
        <w:t xml:space="preserve">Integrated </w:t>
      </w:r>
      <w:r w:rsidR="009149A6">
        <w:rPr>
          <w:b/>
          <w:color w:val="000000"/>
        </w:rPr>
        <w:t>benefit analysis</w:t>
      </w:r>
    </w:p>
    <w:p w14:paraId="2F58F624" w14:textId="4E1DC68B" w:rsidR="0039510C" w:rsidRDefault="00FD6022" w:rsidP="005A435D">
      <w:pPr>
        <w:pBdr>
          <w:top w:val="nil"/>
          <w:left w:val="nil"/>
          <w:bottom w:val="nil"/>
          <w:right w:val="nil"/>
          <w:between w:val="nil"/>
        </w:pBdr>
        <w:spacing w:after="120" w:line="276" w:lineRule="auto"/>
        <w:jc w:val="both"/>
        <w:rPr>
          <w:sz w:val="22"/>
          <w:szCs w:val="22"/>
        </w:rPr>
      </w:pPr>
      <w:r>
        <w:rPr>
          <w:sz w:val="22"/>
          <w:szCs w:val="22"/>
        </w:rPr>
        <w:t>The integrated heating and cooling benefits of the WHR system were investigated by applying two key metrics</w:t>
      </w:r>
      <w:r w:rsidR="00743985">
        <w:rPr>
          <w:sz w:val="22"/>
          <w:szCs w:val="22"/>
        </w:rPr>
        <w:t>.</w:t>
      </w:r>
      <w:r>
        <w:rPr>
          <w:sz w:val="22"/>
          <w:szCs w:val="22"/>
        </w:rPr>
        <w:t xml:space="preserve"> </w:t>
      </w:r>
      <w:r w:rsidR="00743985">
        <w:rPr>
          <w:sz w:val="22"/>
          <w:szCs w:val="22"/>
        </w:rPr>
        <w:t>T</w:t>
      </w:r>
      <w:r>
        <w:rPr>
          <w:sz w:val="22"/>
          <w:szCs w:val="22"/>
        </w:rPr>
        <w:t>he</w:t>
      </w:r>
      <w:r w:rsidR="00743985">
        <w:rPr>
          <w:sz w:val="22"/>
          <w:szCs w:val="22"/>
        </w:rPr>
        <w:t xml:space="preserve"> first </w:t>
      </w:r>
      <w:r w:rsidR="00946477">
        <w:rPr>
          <w:sz w:val="22"/>
          <w:szCs w:val="22"/>
        </w:rPr>
        <w:t>one</w:t>
      </w:r>
      <w:r w:rsidR="00743985">
        <w:rPr>
          <w:sz w:val="22"/>
          <w:szCs w:val="22"/>
        </w:rPr>
        <w:t xml:space="preserve"> is the</w:t>
      </w:r>
      <w:r>
        <w:rPr>
          <w:sz w:val="22"/>
          <w:szCs w:val="22"/>
        </w:rPr>
        <w:t xml:space="preserve"> </w:t>
      </w:r>
      <w:proofErr w:type="spellStart"/>
      <w:r>
        <w:rPr>
          <w:sz w:val="22"/>
          <w:szCs w:val="22"/>
        </w:rPr>
        <w:t>levelised</w:t>
      </w:r>
      <w:proofErr w:type="spellEnd"/>
      <w:r>
        <w:rPr>
          <w:sz w:val="22"/>
          <w:szCs w:val="22"/>
        </w:rPr>
        <w:t xml:space="preserve"> cost of energy (LCOE)</w:t>
      </w:r>
      <w:r w:rsidR="00707E57">
        <w:rPr>
          <w:sz w:val="22"/>
          <w:szCs w:val="22"/>
        </w:rPr>
        <w:t>, which is</w:t>
      </w:r>
      <w:r w:rsidR="00743985">
        <w:rPr>
          <w:sz w:val="22"/>
          <w:szCs w:val="22"/>
        </w:rPr>
        <w:t xml:space="preserve"> commonly used to express the full costs of energy supply in unitary </w:t>
      </w:r>
      <w:proofErr w:type="gramStart"/>
      <w:r w:rsidR="00743985">
        <w:rPr>
          <w:sz w:val="22"/>
          <w:szCs w:val="22"/>
        </w:rPr>
        <w:t>terms, and</w:t>
      </w:r>
      <w:proofErr w:type="gramEnd"/>
      <w:r w:rsidR="00743985">
        <w:rPr>
          <w:sz w:val="22"/>
          <w:szCs w:val="22"/>
        </w:rPr>
        <w:t xml:space="preserve"> is applied in this investigation by considering both heating and cooling </w:t>
      </w:r>
      <w:r w:rsidR="00707E57">
        <w:rPr>
          <w:sz w:val="22"/>
          <w:szCs w:val="22"/>
        </w:rPr>
        <w:t>supplies</w:t>
      </w:r>
      <w:r w:rsidR="00743985">
        <w:rPr>
          <w:sz w:val="22"/>
          <w:szCs w:val="22"/>
        </w:rPr>
        <w:t>. The second metric is the carbon abatement cost (CAC)</w:t>
      </w:r>
      <w:r w:rsidR="00946477">
        <w:rPr>
          <w:sz w:val="22"/>
          <w:szCs w:val="22"/>
        </w:rPr>
        <w:t xml:space="preserve">, which </w:t>
      </w:r>
      <w:r w:rsidR="00946477" w:rsidRPr="00946477">
        <w:rPr>
          <w:sz w:val="22"/>
          <w:szCs w:val="22"/>
        </w:rPr>
        <w:t xml:space="preserve">represents the cost-effectiveness of a mitigation measure and can be applied to compare different technologies in terms of the cost per metric </w:t>
      </w:r>
      <w:proofErr w:type="spellStart"/>
      <w:r w:rsidR="00946477" w:rsidRPr="00946477">
        <w:rPr>
          <w:sz w:val="22"/>
          <w:szCs w:val="22"/>
        </w:rPr>
        <w:t>tonne</w:t>
      </w:r>
      <w:proofErr w:type="spellEnd"/>
      <w:r w:rsidR="00946477" w:rsidRPr="00946477">
        <w:rPr>
          <w:sz w:val="22"/>
          <w:szCs w:val="22"/>
        </w:rPr>
        <w:t xml:space="preserve"> of CO</w:t>
      </w:r>
      <w:r w:rsidR="00946477" w:rsidRPr="00707E57">
        <w:rPr>
          <w:sz w:val="22"/>
          <w:szCs w:val="22"/>
          <w:vertAlign w:val="subscript"/>
        </w:rPr>
        <w:t>2</w:t>
      </w:r>
      <w:r w:rsidR="00946477" w:rsidRPr="00946477">
        <w:rPr>
          <w:sz w:val="22"/>
          <w:szCs w:val="22"/>
        </w:rPr>
        <w:t xml:space="preserve"> equivalent (tCO</w:t>
      </w:r>
      <w:r w:rsidR="00946477" w:rsidRPr="00946477">
        <w:rPr>
          <w:sz w:val="22"/>
          <w:szCs w:val="22"/>
          <w:vertAlign w:val="subscript"/>
        </w:rPr>
        <w:t>2</w:t>
      </w:r>
      <w:r w:rsidR="00946477" w:rsidRPr="00946477">
        <w:rPr>
          <w:sz w:val="22"/>
          <w:szCs w:val="22"/>
        </w:rPr>
        <w:t>e) avoided over a given period [</w:t>
      </w:r>
      <w:r w:rsidR="00946477">
        <w:rPr>
          <w:sz w:val="22"/>
          <w:szCs w:val="22"/>
        </w:rPr>
        <w:t>23</w:t>
      </w:r>
      <w:r w:rsidR="00946477" w:rsidRPr="00946477">
        <w:rPr>
          <w:sz w:val="22"/>
          <w:szCs w:val="22"/>
        </w:rPr>
        <w:t>].</w:t>
      </w:r>
      <w:r w:rsidR="00946477">
        <w:rPr>
          <w:sz w:val="22"/>
          <w:szCs w:val="22"/>
        </w:rPr>
        <w:t xml:space="preserve"> </w:t>
      </w:r>
    </w:p>
    <w:p w14:paraId="0E0B2A37" w14:textId="374BB8C3" w:rsidR="0039510C" w:rsidRPr="005D6CDC" w:rsidRDefault="0039510C" w:rsidP="0039510C">
      <w:pPr>
        <w:pStyle w:val="ListParagraph"/>
        <w:numPr>
          <w:ilvl w:val="1"/>
          <w:numId w:val="4"/>
        </w:numPr>
        <w:pBdr>
          <w:top w:val="nil"/>
          <w:left w:val="nil"/>
          <w:bottom w:val="nil"/>
          <w:right w:val="nil"/>
          <w:between w:val="nil"/>
        </w:pBdr>
        <w:spacing w:line="276" w:lineRule="auto"/>
        <w:jc w:val="both"/>
        <w:rPr>
          <w:b/>
          <w:color w:val="000000"/>
        </w:rPr>
      </w:pPr>
      <w:proofErr w:type="spellStart"/>
      <w:r>
        <w:rPr>
          <w:b/>
          <w:color w:val="000000"/>
        </w:rPr>
        <w:t>Levelised</w:t>
      </w:r>
      <w:proofErr w:type="spellEnd"/>
      <w:r>
        <w:rPr>
          <w:b/>
          <w:color w:val="000000"/>
        </w:rPr>
        <w:t xml:space="preserve"> </w:t>
      </w:r>
      <w:r w:rsidR="009149A6">
        <w:rPr>
          <w:b/>
          <w:color w:val="000000"/>
        </w:rPr>
        <w:t>cost of energy</w:t>
      </w:r>
      <w:r>
        <w:rPr>
          <w:b/>
          <w:color w:val="000000"/>
        </w:rPr>
        <w:t xml:space="preserve"> (LCOE)</w:t>
      </w:r>
    </w:p>
    <w:p w14:paraId="5F8CB18F" w14:textId="5D195183" w:rsidR="005B7565" w:rsidRPr="0039510C" w:rsidRDefault="00946477" w:rsidP="005A435D">
      <w:pPr>
        <w:pBdr>
          <w:top w:val="nil"/>
          <w:left w:val="nil"/>
          <w:bottom w:val="nil"/>
          <w:right w:val="nil"/>
          <w:between w:val="nil"/>
        </w:pBdr>
        <w:spacing w:after="120" w:line="276" w:lineRule="auto"/>
        <w:jc w:val="both"/>
        <w:rPr>
          <w:rFonts w:asciiTheme="majorHAnsi" w:hAnsiTheme="majorHAnsi" w:cstheme="majorHAnsi"/>
          <w:sz w:val="22"/>
          <w:szCs w:val="22"/>
        </w:rPr>
      </w:pPr>
      <w:r w:rsidRPr="00946477">
        <w:rPr>
          <w:sz w:val="22"/>
          <w:szCs w:val="22"/>
        </w:rPr>
        <w:t>The L</w:t>
      </w:r>
      <w:r>
        <w:rPr>
          <w:sz w:val="22"/>
          <w:szCs w:val="22"/>
        </w:rPr>
        <w:t>COE</w:t>
      </w:r>
      <w:r w:rsidRPr="00946477">
        <w:rPr>
          <w:sz w:val="22"/>
          <w:szCs w:val="22"/>
        </w:rPr>
        <w:t xml:space="preserve"> can be calculated as shown in Equation </w:t>
      </w:r>
      <w:r>
        <w:rPr>
          <w:sz w:val="22"/>
          <w:szCs w:val="22"/>
        </w:rPr>
        <w:t>2</w:t>
      </w:r>
      <w:r w:rsidRPr="00946477">
        <w:rPr>
          <w:sz w:val="22"/>
          <w:szCs w:val="22"/>
        </w:rPr>
        <w:t>, where</w:t>
      </w:r>
      <w:r w:rsidR="0039510C">
        <w:rPr>
          <w:sz w:val="22"/>
          <w:szCs w:val="22"/>
        </w:rPr>
        <w:t xml:space="preserve">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a</m:t>
            </m:r>
          </m:sub>
        </m:sSub>
      </m:oMath>
      <w:r w:rsidR="0039510C">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a</m:t>
            </m:r>
          </m:sub>
        </m:sSub>
      </m:oMath>
      <w:r w:rsidR="0039510C">
        <w:rPr>
          <w:sz w:val="22"/>
          <w:szCs w:val="22"/>
        </w:rPr>
        <w:t xml:space="preserve"> represent, respectively, the annual heating and cooling delivered by the WHR system, excluding losses.</w:t>
      </w:r>
      <w:r w:rsidRPr="00946477">
        <w:rPr>
          <w:sz w:val="22"/>
          <w:szCs w:val="22"/>
        </w:rPr>
        <w:t xml:space="preserve"> </w:t>
      </w:r>
      <m:oMath>
        <m:sSub>
          <m:sSubPr>
            <m:ctrlPr>
              <w:rPr>
                <w:rFonts w:ascii="Cambria Math" w:hAnsi="Cambria Math"/>
                <w:i/>
                <w:sz w:val="22"/>
                <w:szCs w:val="22"/>
              </w:rPr>
            </m:ctrlPr>
          </m:sSubPr>
          <m:e>
            <m:r>
              <w:rPr>
                <w:rFonts w:ascii="Cambria Math" w:hAnsi="Cambria Math"/>
                <w:sz w:val="22"/>
                <w:szCs w:val="22"/>
              </w:rPr>
              <m:t>CAPEX</m:t>
            </m:r>
          </m:e>
          <m:sub>
            <m:r>
              <w:rPr>
                <w:rFonts w:ascii="Cambria Math" w:hAnsi="Cambria Math"/>
                <w:sz w:val="22"/>
                <w:szCs w:val="22"/>
              </w:rPr>
              <m:t>a</m:t>
            </m:r>
          </m:sub>
        </m:sSub>
      </m:oMath>
      <w:r w:rsidRPr="00D270A0">
        <w:rPr>
          <w:rFonts w:ascii="Arial" w:hAnsi="Arial"/>
          <w:sz w:val="22"/>
          <w:szCs w:val="22"/>
        </w:rPr>
        <w:t xml:space="preserve"> and </w:t>
      </w:r>
      <m:oMath>
        <m:sSub>
          <m:sSubPr>
            <m:ctrlPr>
              <w:rPr>
                <w:rFonts w:ascii="Cambria Math" w:hAnsi="Cambria Math"/>
                <w:i/>
                <w:sz w:val="22"/>
                <w:szCs w:val="22"/>
              </w:rPr>
            </m:ctrlPr>
          </m:sSubPr>
          <m:e>
            <m:r>
              <w:rPr>
                <w:rFonts w:ascii="Cambria Math" w:hAnsi="Cambria Math"/>
                <w:sz w:val="22"/>
                <w:szCs w:val="22"/>
              </w:rPr>
              <m:t>OPEX</m:t>
            </m:r>
          </m:e>
          <m:sub>
            <m:r>
              <w:rPr>
                <w:rFonts w:ascii="Cambria Math" w:hAnsi="Cambria Math"/>
                <w:sz w:val="22"/>
                <w:szCs w:val="22"/>
              </w:rPr>
              <m:t>a</m:t>
            </m:r>
          </m:sub>
        </m:sSub>
      </m:oMath>
      <w:r w:rsidRPr="00D270A0">
        <w:rPr>
          <w:rFonts w:ascii="Arial" w:hAnsi="Arial"/>
          <w:sz w:val="22"/>
          <w:szCs w:val="22"/>
        </w:rPr>
        <w:t xml:space="preserve"> </w:t>
      </w:r>
      <w:r w:rsidR="0039510C">
        <w:rPr>
          <w:sz w:val="22"/>
          <w:szCs w:val="22"/>
        </w:rPr>
        <w:t>are the</w:t>
      </w:r>
      <w:r w:rsidRPr="00946477">
        <w:rPr>
          <w:sz w:val="22"/>
          <w:szCs w:val="22"/>
        </w:rPr>
        <w:t xml:space="preserve"> </w:t>
      </w:r>
      <w:proofErr w:type="spellStart"/>
      <w:r w:rsidRPr="0039510C">
        <w:rPr>
          <w:rFonts w:asciiTheme="majorHAnsi" w:hAnsiTheme="majorHAnsi" w:cstheme="majorHAnsi"/>
          <w:sz w:val="22"/>
          <w:szCs w:val="22"/>
        </w:rPr>
        <w:t>annualised</w:t>
      </w:r>
      <w:proofErr w:type="spellEnd"/>
      <w:r w:rsidRPr="0039510C">
        <w:rPr>
          <w:rFonts w:asciiTheme="majorHAnsi" w:hAnsiTheme="majorHAnsi" w:cstheme="majorHAnsi"/>
          <w:sz w:val="22"/>
          <w:szCs w:val="22"/>
        </w:rPr>
        <w:t xml:space="preserve"> capital and operational expenditure associated with the system. The </w:t>
      </w:r>
      <m:oMath>
        <m:sSub>
          <m:sSubPr>
            <m:ctrlPr>
              <w:rPr>
                <w:rFonts w:ascii="Cambria Math" w:hAnsi="Cambria Math" w:cstheme="majorHAnsi"/>
                <w:sz w:val="22"/>
                <w:szCs w:val="22"/>
              </w:rPr>
            </m:ctrlPr>
          </m:sSubPr>
          <m:e>
            <m:r>
              <w:rPr>
                <w:rFonts w:ascii="Cambria Math" w:hAnsi="Cambria Math" w:cstheme="majorHAnsi"/>
                <w:sz w:val="22"/>
                <w:szCs w:val="22"/>
              </w:rPr>
              <m:t>CAPEX</m:t>
            </m:r>
          </m:e>
          <m:sub>
            <m:r>
              <w:rPr>
                <w:rFonts w:ascii="Cambria Math" w:hAnsi="Cambria Math" w:cstheme="majorHAnsi"/>
                <w:sz w:val="22"/>
                <w:szCs w:val="22"/>
              </w:rPr>
              <m:t>a</m:t>
            </m:r>
          </m:sub>
        </m:sSub>
      </m:oMath>
      <w:r w:rsidRPr="0039510C">
        <w:rPr>
          <w:rFonts w:asciiTheme="majorHAnsi" w:hAnsiTheme="majorHAnsi" w:cstheme="majorHAnsi"/>
          <w:sz w:val="22"/>
          <w:szCs w:val="22"/>
        </w:rPr>
        <w:t xml:space="preserve"> was calculated separately for each system component (i.e. WHR system, </w:t>
      </w:r>
      <w:proofErr w:type="gramStart"/>
      <w:r w:rsidRPr="0039510C">
        <w:rPr>
          <w:rFonts w:asciiTheme="majorHAnsi" w:hAnsiTheme="majorHAnsi" w:cstheme="majorHAnsi"/>
          <w:sz w:val="22"/>
          <w:szCs w:val="22"/>
        </w:rPr>
        <w:t>TES</w:t>
      </w:r>
      <w:proofErr w:type="gramEnd"/>
      <w:r w:rsidRPr="0039510C">
        <w:rPr>
          <w:rFonts w:asciiTheme="majorHAnsi" w:hAnsiTheme="majorHAnsi" w:cstheme="majorHAnsi"/>
          <w:sz w:val="22"/>
          <w:szCs w:val="22"/>
        </w:rPr>
        <w:t xml:space="preserve"> and DH connection), considering infrastructure design life (</w:t>
      </w:r>
      <m:oMath>
        <m:r>
          <w:rPr>
            <w:rFonts w:ascii="Cambria Math" w:hAnsi="Cambria Math" w:cstheme="majorHAnsi"/>
            <w:sz w:val="22"/>
            <w:szCs w:val="22"/>
          </w:rPr>
          <m:t>L</m:t>
        </m:r>
      </m:oMath>
      <w:r w:rsidRPr="0039510C">
        <w:rPr>
          <w:rFonts w:asciiTheme="majorHAnsi" w:hAnsiTheme="majorHAnsi" w:cstheme="majorHAnsi"/>
          <w:sz w:val="22"/>
          <w:szCs w:val="22"/>
        </w:rPr>
        <w:t>), as well as an assumed loan repayment period (</w:t>
      </w:r>
      <m:oMath>
        <m:r>
          <w:rPr>
            <w:rFonts w:ascii="Cambria Math" w:hAnsi="Cambria Math" w:cstheme="majorHAnsi"/>
            <w:sz w:val="22"/>
            <w:szCs w:val="22"/>
          </w:rPr>
          <m:t>t</m:t>
        </m:r>
      </m:oMath>
      <w:r w:rsidRPr="0039510C">
        <w:rPr>
          <w:rFonts w:asciiTheme="majorHAnsi" w:hAnsiTheme="majorHAnsi" w:cstheme="majorHAnsi"/>
          <w:sz w:val="22"/>
          <w:szCs w:val="22"/>
        </w:rPr>
        <w:t>) and annual interest rate (</w:t>
      </w:r>
      <m:oMath>
        <m:sSub>
          <m:sSubPr>
            <m:ctrlPr>
              <w:rPr>
                <w:rFonts w:ascii="Cambria Math" w:hAnsi="Cambria Math" w:cstheme="majorHAnsi"/>
                <w:sz w:val="22"/>
                <w:szCs w:val="22"/>
              </w:rPr>
            </m:ctrlPr>
          </m:sSubPr>
          <m:e>
            <m:r>
              <w:rPr>
                <w:rFonts w:ascii="Cambria Math" w:hAnsi="Cambria Math" w:cstheme="majorHAnsi"/>
                <w:sz w:val="22"/>
                <w:szCs w:val="22"/>
              </w:rPr>
              <m:t>i</m:t>
            </m:r>
          </m:e>
          <m:sub>
            <m:r>
              <w:rPr>
                <w:rFonts w:ascii="Cambria Math" w:hAnsi="Cambria Math" w:cstheme="majorHAnsi"/>
                <w:sz w:val="22"/>
                <w:szCs w:val="22"/>
              </w:rPr>
              <m:t>a</m:t>
            </m:r>
          </m:sub>
        </m:sSub>
      </m:oMath>
      <w:r w:rsidRPr="0039510C">
        <w:rPr>
          <w:rFonts w:asciiTheme="majorHAnsi" w:hAnsiTheme="majorHAnsi" w:cstheme="majorHAnsi"/>
          <w:sz w:val="22"/>
          <w:szCs w:val="22"/>
        </w:rPr>
        <w:t xml:space="preserve">), as shown in Equation 3. As for </w:t>
      </w:r>
      <m:oMath>
        <m:sSub>
          <m:sSubPr>
            <m:ctrlPr>
              <w:rPr>
                <w:rFonts w:ascii="Cambria Math" w:hAnsi="Cambria Math" w:cstheme="majorHAnsi"/>
                <w:sz w:val="22"/>
                <w:szCs w:val="22"/>
              </w:rPr>
            </m:ctrlPr>
          </m:sSubPr>
          <m:e>
            <m:r>
              <w:rPr>
                <w:rFonts w:ascii="Cambria Math" w:hAnsi="Cambria Math" w:cstheme="majorHAnsi"/>
                <w:sz w:val="22"/>
                <w:szCs w:val="22"/>
              </w:rPr>
              <m:t>OPEX</m:t>
            </m:r>
          </m:e>
          <m:sub>
            <m:r>
              <w:rPr>
                <w:rFonts w:ascii="Cambria Math" w:hAnsi="Cambria Math" w:cstheme="majorHAnsi"/>
                <w:sz w:val="22"/>
                <w:szCs w:val="22"/>
              </w:rPr>
              <m:t>a</m:t>
            </m:r>
          </m:sub>
        </m:sSub>
      </m:oMath>
      <w:r w:rsidRPr="0039510C">
        <w:rPr>
          <w:rFonts w:asciiTheme="majorHAnsi" w:hAnsiTheme="majorHAnsi" w:cstheme="majorHAnsi"/>
          <w:sz w:val="22"/>
          <w:szCs w:val="22"/>
        </w:rPr>
        <w:t>, it combines annual variable (</w:t>
      </w:r>
      <m:oMath>
        <m:sSub>
          <m:sSubPr>
            <m:ctrlPr>
              <w:rPr>
                <w:rFonts w:ascii="Cambria Math" w:hAnsi="Cambria Math" w:cstheme="majorHAnsi"/>
                <w:sz w:val="22"/>
                <w:szCs w:val="22"/>
              </w:rPr>
            </m:ctrlPr>
          </m:sSubPr>
          <m:e>
            <m:r>
              <w:rPr>
                <w:rFonts w:ascii="Cambria Math" w:hAnsi="Cambria Math" w:cstheme="majorHAnsi"/>
                <w:sz w:val="22"/>
                <w:szCs w:val="22"/>
              </w:rPr>
              <m:t>O</m:t>
            </m:r>
            <m:r>
              <m:rPr>
                <m:sty m:val="p"/>
              </m:rPr>
              <w:rPr>
                <w:rFonts w:ascii="Cambria Math" w:hAnsi="Cambria Math" w:cstheme="majorHAnsi"/>
                <w:sz w:val="22"/>
                <w:szCs w:val="22"/>
              </w:rPr>
              <m:t>&amp;</m:t>
            </m:r>
            <m:r>
              <w:rPr>
                <w:rFonts w:ascii="Cambria Math" w:hAnsi="Cambria Math" w:cstheme="majorHAnsi"/>
                <w:sz w:val="22"/>
                <w:szCs w:val="22"/>
              </w:rPr>
              <m:t>M</m:t>
            </m:r>
          </m:e>
          <m:sub>
            <m:r>
              <w:rPr>
                <w:rFonts w:ascii="Cambria Math" w:hAnsi="Cambria Math" w:cstheme="majorHAnsi"/>
                <w:sz w:val="22"/>
                <w:szCs w:val="22"/>
              </w:rPr>
              <m:t>v</m:t>
            </m:r>
          </m:sub>
        </m:sSub>
      </m:oMath>
      <w:r w:rsidRPr="0039510C">
        <w:rPr>
          <w:rFonts w:asciiTheme="majorHAnsi" w:hAnsiTheme="majorHAnsi" w:cstheme="majorHAnsi"/>
          <w:sz w:val="22"/>
          <w:szCs w:val="22"/>
        </w:rPr>
        <w:t>) and fixed (</w:t>
      </w:r>
      <m:oMath>
        <m:sSub>
          <m:sSubPr>
            <m:ctrlPr>
              <w:rPr>
                <w:rFonts w:ascii="Cambria Math" w:hAnsi="Cambria Math" w:cstheme="majorHAnsi"/>
                <w:sz w:val="22"/>
                <w:szCs w:val="22"/>
              </w:rPr>
            </m:ctrlPr>
          </m:sSubPr>
          <m:e>
            <m:r>
              <w:rPr>
                <w:rFonts w:ascii="Cambria Math" w:hAnsi="Cambria Math" w:cstheme="majorHAnsi"/>
                <w:sz w:val="22"/>
                <w:szCs w:val="22"/>
              </w:rPr>
              <m:t>O</m:t>
            </m:r>
            <m:r>
              <m:rPr>
                <m:sty m:val="p"/>
              </m:rPr>
              <w:rPr>
                <w:rFonts w:ascii="Cambria Math" w:hAnsi="Cambria Math" w:cstheme="majorHAnsi"/>
                <w:sz w:val="22"/>
                <w:szCs w:val="22"/>
              </w:rPr>
              <m:t>&amp;</m:t>
            </m:r>
            <m:r>
              <w:rPr>
                <w:rFonts w:ascii="Cambria Math" w:hAnsi="Cambria Math" w:cstheme="majorHAnsi"/>
                <w:sz w:val="22"/>
                <w:szCs w:val="22"/>
              </w:rPr>
              <m:t>M</m:t>
            </m:r>
          </m:e>
          <m:sub>
            <m:r>
              <w:rPr>
                <w:rFonts w:ascii="Cambria Math" w:hAnsi="Cambria Math" w:cstheme="majorHAnsi"/>
                <w:sz w:val="22"/>
                <w:szCs w:val="22"/>
              </w:rPr>
              <m:t>f</m:t>
            </m:r>
          </m:sub>
        </m:sSub>
      </m:oMath>
      <w:r w:rsidRPr="0039510C">
        <w:rPr>
          <w:rFonts w:asciiTheme="majorHAnsi" w:hAnsiTheme="majorHAnsi" w:cstheme="majorHAnsi"/>
          <w:sz w:val="22"/>
          <w:szCs w:val="22"/>
        </w:rPr>
        <w:t>) operational and maintenance costs, as shown in Equation 4.</w:t>
      </w:r>
    </w:p>
    <w:p w14:paraId="45AC2F99" w14:textId="00C3E067" w:rsidR="00946477" w:rsidRPr="0039510C" w:rsidRDefault="00946477" w:rsidP="00946477">
      <w:pPr>
        <w:pStyle w:val="Standard"/>
        <w:spacing w:before="160" w:after="160" w:line="264" w:lineRule="auto"/>
        <w:ind w:firstLine="425"/>
        <w:jc w:val="center"/>
        <w:rPr>
          <w:rFonts w:asciiTheme="majorHAnsi" w:hAnsiTheme="majorHAnsi" w:cstheme="majorHAnsi"/>
          <w:sz w:val="22"/>
          <w:szCs w:val="22"/>
        </w:rPr>
      </w:pPr>
      <w:r w:rsidRPr="0039510C">
        <w:rPr>
          <w:rFonts w:asciiTheme="majorHAnsi" w:hAnsiTheme="majorHAnsi" w:cstheme="majorHAnsi"/>
          <w:sz w:val="22"/>
          <w:szCs w:val="22"/>
        </w:rPr>
        <w:tab/>
      </w:r>
      <w:r w:rsidRPr="0039510C">
        <w:rPr>
          <w:rFonts w:asciiTheme="majorHAnsi" w:hAnsiTheme="majorHAnsi" w:cstheme="majorHAnsi"/>
          <w:sz w:val="22"/>
          <w:szCs w:val="22"/>
        </w:rPr>
        <w:tab/>
      </w:r>
      <w:r w:rsidRPr="0039510C">
        <w:rPr>
          <w:rFonts w:asciiTheme="majorHAnsi" w:hAnsiTheme="majorHAnsi" w:cstheme="majorHAnsi"/>
          <w:sz w:val="22"/>
          <w:szCs w:val="22"/>
        </w:rPr>
        <w:tab/>
        <w:t xml:space="preserve"> </w:t>
      </w:r>
      <w:r w:rsidRPr="0039510C">
        <w:rPr>
          <w:rFonts w:asciiTheme="majorHAnsi" w:hAnsiTheme="majorHAnsi" w:cstheme="majorHAnsi"/>
          <w:sz w:val="22"/>
          <w:szCs w:val="22"/>
        </w:rPr>
        <w:tab/>
        <w:t xml:space="preserve">            </w:t>
      </w:r>
      <m:oMath>
        <m:r>
          <w:rPr>
            <w:rFonts w:ascii="Cambria Math" w:hAnsi="Cambria Math" w:cstheme="majorHAnsi"/>
            <w:sz w:val="22"/>
            <w:szCs w:val="22"/>
          </w:rPr>
          <m:t>LCOE=</m:t>
        </m:r>
        <m:f>
          <m:fPr>
            <m:ctrlPr>
              <w:rPr>
                <w:rFonts w:ascii="Cambria Math" w:hAnsi="Cambria Math" w:cstheme="majorHAnsi"/>
                <w:i/>
                <w:sz w:val="22"/>
                <w:szCs w:val="22"/>
              </w:rPr>
            </m:ctrlPr>
          </m:fPr>
          <m:num>
            <m:sSub>
              <m:sSubPr>
                <m:ctrlPr>
                  <w:rPr>
                    <w:rFonts w:ascii="Cambria Math" w:hAnsi="Cambria Math" w:cstheme="majorHAnsi"/>
                    <w:i/>
                    <w:sz w:val="22"/>
                    <w:szCs w:val="22"/>
                  </w:rPr>
                </m:ctrlPr>
              </m:sSubPr>
              <m:e>
                <m:r>
                  <w:rPr>
                    <w:rFonts w:ascii="Cambria Math" w:hAnsi="Cambria Math" w:cstheme="majorHAnsi"/>
                    <w:sz w:val="22"/>
                    <w:szCs w:val="22"/>
                  </w:rPr>
                  <m:t>CAPEX</m:t>
                </m:r>
              </m:e>
              <m:sub>
                <m:r>
                  <w:rPr>
                    <w:rFonts w:ascii="Cambria Math" w:hAnsi="Cambria Math" w:cstheme="majorHAnsi"/>
                    <w:sz w:val="22"/>
                    <w:szCs w:val="22"/>
                  </w:rPr>
                  <m:t>a</m:t>
                </m:r>
              </m:sub>
            </m:sSub>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OPEX</m:t>
                </m:r>
              </m:e>
              <m:sub>
                <m:r>
                  <w:rPr>
                    <w:rFonts w:ascii="Cambria Math" w:hAnsi="Cambria Math" w:cstheme="majorHAnsi"/>
                    <w:sz w:val="22"/>
                    <w:szCs w:val="22"/>
                  </w:rPr>
                  <m:t>a</m:t>
                </m:r>
              </m:sub>
            </m:sSub>
          </m:num>
          <m:den>
            <m:sSub>
              <m:sSubPr>
                <m:ctrlPr>
                  <w:rPr>
                    <w:rFonts w:ascii="Cambria Math" w:hAnsi="Cambria Math" w:cstheme="majorHAnsi"/>
                    <w:i/>
                    <w:sz w:val="22"/>
                    <w:szCs w:val="22"/>
                  </w:rPr>
                </m:ctrlPr>
              </m:sSubPr>
              <m:e>
                <m:r>
                  <w:rPr>
                    <w:rFonts w:ascii="Cambria Math" w:hAnsi="Cambria Math" w:cstheme="majorHAnsi"/>
                    <w:sz w:val="22"/>
                    <w:szCs w:val="22"/>
                  </w:rPr>
                  <m:t>Q</m:t>
                </m:r>
              </m:e>
              <m:sub>
                <m:r>
                  <w:rPr>
                    <w:rFonts w:ascii="Cambria Math" w:hAnsi="Cambria Math" w:cstheme="majorHAnsi"/>
                    <w:sz w:val="22"/>
                    <w:szCs w:val="22"/>
                  </w:rPr>
                  <m:t>a</m:t>
                </m:r>
              </m:sub>
            </m:sSub>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C</m:t>
                </m:r>
              </m:e>
              <m:sub>
                <m:r>
                  <w:rPr>
                    <w:rFonts w:ascii="Cambria Math" w:hAnsi="Cambria Math" w:cstheme="majorHAnsi"/>
                    <w:sz w:val="22"/>
                    <w:szCs w:val="22"/>
                  </w:rPr>
                  <m:t>a</m:t>
                </m:r>
              </m:sub>
            </m:sSub>
          </m:den>
        </m:f>
      </m:oMath>
      <w:r w:rsidRPr="0039510C">
        <w:rPr>
          <w:rFonts w:asciiTheme="majorHAnsi" w:hAnsiTheme="majorHAnsi" w:cstheme="majorHAnsi"/>
          <w:sz w:val="22"/>
          <w:szCs w:val="22"/>
        </w:rPr>
        <w:tab/>
      </w:r>
      <w:r w:rsidRPr="0039510C">
        <w:rPr>
          <w:rFonts w:asciiTheme="majorHAnsi" w:hAnsiTheme="majorHAnsi" w:cstheme="majorHAnsi"/>
          <w:sz w:val="22"/>
          <w:szCs w:val="22"/>
        </w:rPr>
        <w:tab/>
      </w:r>
      <w:r w:rsidRPr="0039510C">
        <w:rPr>
          <w:rFonts w:asciiTheme="majorHAnsi" w:hAnsiTheme="majorHAnsi" w:cstheme="majorHAnsi"/>
          <w:sz w:val="22"/>
          <w:szCs w:val="22"/>
        </w:rPr>
        <w:tab/>
        <w:t xml:space="preserve">  </w:t>
      </w:r>
      <w:r w:rsidRPr="0039510C">
        <w:rPr>
          <w:rFonts w:asciiTheme="majorHAnsi" w:hAnsiTheme="majorHAnsi" w:cstheme="majorHAnsi"/>
          <w:sz w:val="22"/>
          <w:szCs w:val="22"/>
        </w:rPr>
        <w:tab/>
        <w:t xml:space="preserve">     </w:t>
      </w:r>
      <w:r w:rsidRPr="0039510C">
        <w:rPr>
          <w:rFonts w:asciiTheme="majorHAnsi" w:hAnsiTheme="majorHAnsi" w:cstheme="majorHAnsi"/>
          <w:sz w:val="22"/>
          <w:szCs w:val="22"/>
        </w:rPr>
        <w:tab/>
        <w:t xml:space="preserve"> </w:t>
      </w:r>
      <w:r w:rsidR="0039510C">
        <w:rPr>
          <w:rFonts w:asciiTheme="majorHAnsi" w:hAnsiTheme="majorHAnsi" w:cstheme="majorHAnsi"/>
          <w:sz w:val="22"/>
          <w:szCs w:val="22"/>
        </w:rPr>
        <w:t xml:space="preserve"> </w:t>
      </w:r>
      <w:r w:rsidRPr="0039510C">
        <w:rPr>
          <w:rFonts w:asciiTheme="majorHAnsi" w:hAnsiTheme="majorHAnsi" w:cstheme="majorHAnsi"/>
          <w:sz w:val="22"/>
          <w:szCs w:val="22"/>
        </w:rPr>
        <w:t>[</w:t>
      </w:r>
      <w:r w:rsidR="00707E57">
        <w:rPr>
          <w:rFonts w:asciiTheme="majorHAnsi" w:hAnsiTheme="majorHAnsi" w:cstheme="majorHAnsi"/>
          <w:sz w:val="22"/>
          <w:szCs w:val="22"/>
        </w:rPr>
        <w:t>2</w:t>
      </w:r>
      <w:r w:rsidRPr="0039510C">
        <w:rPr>
          <w:rFonts w:asciiTheme="majorHAnsi" w:hAnsiTheme="majorHAnsi" w:cstheme="majorHAnsi"/>
          <w:sz w:val="22"/>
          <w:szCs w:val="22"/>
        </w:rPr>
        <w:t>]</w:t>
      </w:r>
    </w:p>
    <w:p w14:paraId="79AAC836" w14:textId="7514BA17" w:rsidR="00946477" w:rsidRPr="0039510C" w:rsidRDefault="00946477" w:rsidP="00946477">
      <w:pPr>
        <w:pStyle w:val="Standard"/>
        <w:spacing w:before="160" w:after="160" w:line="264" w:lineRule="auto"/>
        <w:ind w:firstLine="425"/>
        <w:jc w:val="center"/>
        <w:rPr>
          <w:rFonts w:asciiTheme="majorHAnsi" w:hAnsiTheme="majorHAnsi" w:cstheme="majorHAnsi"/>
          <w:sz w:val="22"/>
          <w:szCs w:val="22"/>
        </w:rPr>
      </w:pPr>
      <w:r w:rsidRPr="0039510C">
        <w:rPr>
          <w:rFonts w:asciiTheme="majorHAnsi" w:hAnsiTheme="majorHAnsi" w:cstheme="majorHAnsi"/>
          <w:sz w:val="22"/>
          <w:szCs w:val="22"/>
        </w:rPr>
        <w:tab/>
      </w:r>
      <w:r w:rsidRPr="0039510C">
        <w:rPr>
          <w:rFonts w:asciiTheme="majorHAnsi" w:hAnsiTheme="majorHAnsi" w:cstheme="majorHAnsi"/>
          <w:sz w:val="22"/>
          <w:szCs w:val="22"/>
        </w:rPr>
        <w:tab/>
      </w:r>
      <w:r w:rsidRPr="0039510C">
        <w:rPr>
          <w:rFonts w:asciiTheme="majorHAnsi" w:hAnsiTheme="majorHAnsi" w:cstheme="majorHAnsi"/>
          <w:sz w:val="22"/>
          <w:szCs w:val="22"/>
        </w:rPr>
        <w:tab/>
        <w:t xml:space="preserve"> </w:t>
      </w:r>
      <w:r w:rsidRPr="0039510C">
        <w:rPr>
          <w:rFonts w:asciiTheme="majorHAnsi" w:hAnsiTheme="majorHAnsi" w:cstheme="majorHAnsi"/>
          <w:sz w:val="22"/>
          <w:szCs w:val="22"/>
        </w:rPr>
        <w:tab/>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CAPEX</m:t>
            </m:r>
          </m:e>
          <m:sub>
            <m:r>
              <w:rPr>
                <w:rFonts w:ascii="Cambria Math" w:hAnsi="Cambria Math" w:cstheme="majorHAnsi"/>
                <w:sz w:val="22"/>
                <w:szCs w:val="22"/>
              </w:rPr>
              <m:t>a</m:t>
            </m:r>
          </m:sub>
        </m:sSub>
        <m:r>
          <w:rPr>
            <w:rFonts w:ascii="Cambria Math" w:hAnsi="Cambria Math" w:cstheme="majorHAnsi"/>
            <w:sz w:val="22"/>
            <w:szCs w:val="22"/>
          </w:rPr>
          <m:t>=</m:t>
        </m:r>
        <m:f>
          <m:fPr>
            <m:ctrlPr>
              <w:rPr>
                <w:rFonts w:ascii="Cambria Math" w:hAnsi="Cambria Math" w:cstheme="majorHAnsi"/>
                <w:i/>
                <w:sz w:val="22"/>
                <w:szCs w:val="22"/>
              </w:rPr>
            </m:ctrlPr>
          </m:fPr>
          <m:num>
            <m:r>
              <w:rPr>
                <w:rFonts w:ascii="Cambria Math" w:hAnsi="Cambria Math" w:cstheme="majorHAnsi"/>
                <w:sz w:val="22"/>
                <w:szCs w:val="22"/>
              </w:rPr>
              <m:t xml:space="preserve">CAPEX </m:t>
            </m:r>
            <m:sSup>
              <m:sSupPr>
                <m:ctrlPr>
                  <w:rPr>
                    <w:rFonts w:ascii="Cambria Math" w:hAnsi="Cambria Math" w:cstheme="majorHAnsi"/>
                    <w:i/>
                    <w:sz w:val="22"/>
                    <w:szCs w:val="22"/>
                  </w:rPr>
                </m:ctrlPr>
              </m:sSupPr>
              <m:e>
                <m:r>
                  <w:rPr>
                    <w:rFonts w:ascii="Cambria Math" w:hAnsi="Cambria Math" w:cstheme="majorHAnsi"/>
                    <w:sz w:val="22"/>
                    <w:szCs w:val="22"/>
                  </w:rPr>
                  <m:t>(1+</m:t>
                </m:r>
                <m:sSub>
                  <m:sSubPr>
                    <m:ctrlPr>
                      <w:rPr>
                        <w:rFonts w:ascii="Cambria Math" w:hAnsi="Cambria Math" w:cstheme="majorHAnsi"/>
                        <w:i/>
                        <w:sz w:val="22"/>
                        <w:szCs w:val="22"/>
                      </w:rPr>
                    </m:ctrlPr>
                  </m:sSubPr>
                  <m:e>
                    <m:r>
                      <w:rPr>
                        <w:rFonts w:ascii="Cambria Math" w:hAnsi="Cambria Math" w:cstheme="majorHAnsi"/>
                        <w:sz w:val="22"/>
                        <w:szCs w:val="22"/>
                      </w:rPr>
                      <m:t>i</m:t>
                    </m:r>
                  </m:e>
                  <m:sub>
                    <m:r>
                      <w:rPr>
                        <w:rFonts w:ascii="Cambria Math" w:hAnsi="Cambria Math" w:cstheme="majorHAnsi"/>
                        <w:sz w:val="22"/>
                        <w:szCs w:val="22"/>
                      </w:rPr>
                      <m:t>a</m:t>
                    </m:r>
                  </m:sub>
                </m:sSub>
                <m:r>
                  <w:rPr>
                    <w:rFonts w:ascii="Cambria Math" w:hAnsi="Cambria Math" w:cstheme="majorHAnsi"/>
                    <w:sz w:val="22"/>
                    <w:szCs w:val="22"/>
                  </w:rPr>
                  <m:t>)</m:t>
                </m:r>
              </m:e>
              <m:sup>
                <m:r>
                  <w:rPr>
                    <w:rFonts w:ascii="Cambria Math" w:hAnsi="Cambria Math" w:cstheme="majorHAnsi"/>
                    <w:sz w:val="22"/>
                    <w:szCs w:val="22"/>
                  </w:rPr>
                  <m:t>t</m:t>
                </m:r>
              </m:sup>
            </m:sSup>
          </m:num>
          <m:den>
            <m:r>
              <w:rPr>
                <w:rFonts w:ascii="Cambria Math" w:hAnsi="Cambria Math" w:cstheme="majorHAnsi"/>
                <w:sz w:val="22"/>
                <w:szCs w:val="22"/>
              </w:rPr>
              <m:t>L</m:t>
            </m:r>
          </m:den>
        </m:f>
      </m:oMath>
      <w:r w:rsidRPr="0039510C">
        <w:rPr>
          <w:rFonts w:asciiTheme="majorHAnsi" w:hAnsiTheme="majorHAnsi" w:cstheme="majorHAnsi"/>
          <w:sz w:val="22"/>
          <w:szCs w:val="22"/>
        </w:rPr>
        <w:tab/>
      </w:r>
      <w:r w:rsidRPr="0039510C">
        <w:rPr>
          <w:rFonts w:asciiTheme="majorHAnsi" w:hAnsiTheme="majorHAnsi" w:cstheme="majorHAnsi"/>
          <w:sz w:val="22"/>
          <w:szCs w:val="22"/>
        </w:rPr>
        <w:tab/>
      </w:r>
      <w:r w:rsidRPr="0039510C">
        <w:rPr>
          <w:rFonts w:asciiTheme="majorHAnsi" w:hAnsiTheme="majorHAnsi" w:cstheme="majorHAnsi"/>
          <w:sz w:val="22"/>
          <w:szCs w:val="22"/>
        </w:rPr>
        <w:tab/>
        <w:t xml:space="preserve">  </w:t>
      </w:r>
      <w:r w:rsidRPr="0039510C">
        <w:rPr>
          <w:rFonts w:asciiTheme="majorHAnsi" w:hAnsiTheme="majorHAnsi" w:cstheme="majorHAnsi"/>
          <w:sz w:val="22"/>
          <w:szCs w:val="22"/>
        </w:rPr>
        <w:tab/>
        <w:t xml:space="preserve">    </w:t>
      </w:r>
      <w:r w:rsidRPr="0039510C">
        <w:rPr>
          <w:rFonts w:asciiTheme="majorHAnsi" w:hAnsiTheme="majorHAnsi" w:cstheme="majorHAnsi"/>
          <w:sz w:val="22"/>
          <w:szCs w:val="22"/>
        </w:rPr>
        <w:tab/>
        <w:t xml:space="preserve"> </w:t>
      </w:r>
      <w:r w:rsidR="0039510C">
        <w:rPr>
          <w:rFonts w:asciiTheme="majorHAnsi" w:hAnsiTheme="majorHAnsi" w:cstheme="majorHAnsi"/>
          <w:sz w:val="22"/>
          <w:szCs w:val="22"/>
        </w:rPr>
        <w:t xml:space="preserve"> </w:t>
      </w:r>
      <w:r w:rsidRPr="0039510C">
        <w:rPr>
          <w:rFonts w:asciiTheme="majorHAnsi" w:hAnsiTheme="majorHAnsi" w:cstheme="majorHAnsi"/>
          <w:sz w:val="22"/>
          <w:szCs w:val="22"/>
        </w:rPr>
        <w:t>[</w:t>
      </w:r>
      <w:r w:rsidR="00707E57">
        <w:rPr>
          <w:rFonts w:asciiTheme="majorHAnsi" w:hAnsiTheme="majorHAnsi" w:cstheme="majorHAnsi"/>
          <w:sz w:val="22"/>
          <w:szCs w:val="22"/>
        </w:rPr>
        <w:t>3</w:t>
      </w:r>
      <w:r w:rsidRPr="0039510C">
        <w:rPr>
          <w:rFonts w:asciiTheme="majorHAnsi" w:hAnsiTheme="majorHAnsi" w:cstheme="majorHAnsi"/>
          <w:sz w:val="22"/>
          <w:szCs w:val="22"/>
        </w:rPr>
        <w:t>]</w:t>
      </w:r>
    </w:p>
    <w:p w14:paraId="27CFB256" w14:textId="5F219068" w:rsidR="00946477" w:rsidRDefault="00946477" w:rsidP="00946477">
      <w:pPr>
        <w:pStyle w:val="Standard"/>
        <w:spacing w:before="160" w:after="160" w:line="264" w:lineRule="auto"/>
        <w:ind w:firstLine="425"/>
        <w:jc w:val="center"/>
        <w:rPr>
          <w:rFonts w:asciiTheme="majorHAnsi" w:hAnsiTheme="majorHAnsi" w:cstheme="majorHAnsi"/>
          <w:sz w:val="22"/>
          <w:szCs w:val="22"/>
        </w:rPr>
      </w:pPr>
      <w:r w:rsidRPr="0039510C">
        <w:rPr>
          <w:rFonts w:asciiTheme="majorHAnsi" w:hAnsiTheme="majorHAnsi" w:cstheme="majorHAnsi"/>
          <w:sz w:val="22"/>
          <w:szCs w:val="22"/>
        </w:rPr>
        <w:tab/>
      </w:r>
      <w:r w:rsidRPr="0039510C">
        <w:rPr>
          <w:rFonts w:asciiTheme="majorHAnsi" w:hAnsiTheme="majorHAnsi" w:cstheme="majorHAnsi"/>
          <w:sz w:val="22"/>
          <w:szCs w:val="22"/>
        </w:rPr>
        <w:tab/>
      </w:r>
      <w:r w:rsidRPr="0039510C">
        <w:rPr>
          <w:rFonts w:asciiTheme="majorHAnsi" w:hAnsiTheme="majorHAnsi" w:cstheme="majorHAnsi"/>
          <w:sz w:val="22"/>
          <w:szCs w:val="22"/>
        </w:rPr>
        <w:tab/>
        <w:t xml:space="preserve"> </w:t>
      </w:r>
      <w:r w:rsidRPr="0039510C">
        <w:rPr>
          <w:rFonts w:asciiTheme="majorHAnsi" w:hAnsiTheme="majorHAnsi" w:cstheme="majorHAnsi"/>
          <w:sz w:val="22"/>
          <w:szCs w:val="22"/>
        </w:rPr>
        <w:tab/>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OPEX</m:t>
            </m:r>
          </m:e>
          <m:sub>
            <m:r>
              <w:rPr>
                <w:rFonts w:ascii="Cambria Math" w:hAnsi="Cambria Math" w:cstheme="majorHAnsi"/>
                <w:sz w:val="22"/>
                <w:szCs w:val="22"/>
              </w:rPr>
              <m:t>a</m:t>
            </m:r>
          </m:sub>
        </m:sSub>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O&amp;M</m:t>
            </m:r>
          </m:e>
          <m:sub>
            <m:r>
              <w:rPr>
                <w:rFonts w:ascii="Cambria Math" w:hAnsi="Cambria Math" w:cstheme="majorHAnsi"/>
                <w:sz w:val="22"/>
                <w:szCs w:val="22"/>
              </w:rPr>
              <m:t>v</m:t>
            </m:r>
          </m:sub>
        </m:sSub>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O&amp;M</m:t>
            </m:r>
          </m:e>
          <m:sub>
            <m:r>
              <w:rPr>
                <w:rFonts w:ascii="Cambria Math" w:hAnsi="Cambria Math" w:cstheme="majorHAnsi"/>
                <w:sz w:val="22"/>
                <w:szCs w:val="22"/>
              </w:rPr>
              <m:t>f</m:t>
            </m:r>
          </m:sub>
        </m:sSub>
      </m:oMath>
      <w:r w:rsidRPr="0039510C">
        <w:rPr>
          <w:rFonts w:asciiTheme="majorHAnsi" w:hAnsiTheme="majorHAnsi" w:cstheme="majorHAnsi"/>
          <w:sz w:val="22"/>
          <w:szCs w:val="22"/>
        </w:rPr>
        <w:tab/>
      </w:r>
      <w:r w:rsidRPr="0039510C">
        <w:rPr>
          <w:rFonts w:asciiTheme="majorHAnsi" w:hAnsiTheme="majorHAnsi" w:cstheme="majorHAnsi"/>
          <w:sz w:val="22"/>
          <w:szCs w:val="22"/>
        </w:rPr>
        <w:tab/>
      </w:r>
      <w:r w:rsidRPr="0039510C">
        <w:rPr>
          <w:rFonts w:asciiTheme="majorHAnsi" w:hAnsiTheme="majorHAnsi" w:cstheme="majorHAnsi"/>
          <w:sz w:val="22"/>
          <w:szCs w:val="22"/>
        </w:rPr>
        <w:tab/>
        <w:t xml:space="preserve">  </w:t>
      </w:r>
      <w:r w:rsidRPr="0039510C">
        <w:rPr>
          <w:rFonts w:asciiTheme="majorHAnsi" w:hAnsiTheme="majorHAnsi" w:cstheme="majorHAnsi"/>
          <w:sz w:val="22"/>
          <w:szCs w:val="22"/>
        </w:rPr>
        <w:tab/>
        <w:t xml:space="preserve"> </w:t>
      </w:r>
      <w:r w:rsidR="0039510C">
        <w:rPr>
          <w:rFonts w:asciiTheme="majorHAnsi" w:hAnsiTheme="majorHAnsi" w:cstheme="majorHAnsi"/>
          <w:sz w:val="22"/>
          <w:szCs w:val="22"/>
        </w:rPr>
        <w:t xml:space="preserve"> </w:t>
      </w:r>
      <w:r w:rsidRPr="0039510C">
        <w:rPr>
          <w:rFonts w:asciiTheme="majorHAnsi" w:hAnsiTheme="majorHAnsi" w:cstheme="majorHAnsi"/>
          <w:sz w:val="22"/>
          <w:szCs w:val="22"/>
        </w:rPr>
        <w:t>[</w:t>
      </w:r>
      <w:r w:rsidR="00707E57">
        <w:rPr>
          <w:rFonts w:asciiTheme="majorHAnsi" w:hAnsiTheme="majorHAnsi" w:cstheme="majorHAnsi"/>
          <w:sz w:val="22"/>
          <w:szCs w:val="22"/>
        </w:rPr>
        <w:t>4</w:t>
      </w:r>
      <w:r w:rsidRPr="0039510C">
        <w:rPr>
          <w:rFonts w:asciiTheme="majorHAnsi" w:hAnsiTheme="majorHAnsi" w:cstheme="majorHAnsi"/>
          <w:sz w:val="22"/>
          <w:szCs w:val="22"/>
        </w:rPr>
        <w:t>]</w:t>
      </w:r>
    </w:p>
    <w:p w14:paraId="7DDC091D" w14:textId="15B6E746" w:rsidR="0039510C" w:rsidRDefault="0039510C" w:rsidP="0039510C">
      <w:pPr>
        <w:pStyle w:val="Standard"/>
        <w:spacing w:before="160" w:after="160" w:line="264" w:lineRule="auto"/>
        <w:ind w:firstLine="425"/>
        <w:jc w:val="center"/>
        <w:rPr>
          <w:rFonts w:ascii="Arial" w:hAnsi="Arial"/>
          <w:sz w:val="22"/>
          <w:szCs w:val="22"/>
        </w:rPr>
      </w:pPr>
      <w:r w:rsidRPr="00D270A0">
        <w:rPr>
          <w:rFonts w:ascii="Arial" w:hAnsi="Arial"/>
          <w:sz w:val="22"/>
          <w:szCs w:val="22"/>
        </w:rPr>
        <w:tab/>
      </w:r>
      <w:r w:rsidRPr="00D270A0">
        <w:rPr>
          <w:rFonts w:ascii="Arial" w:hAnsi="Arial"/>
          <w:sz w:val="22"/>
          <w:szCs w:val="22"/>
        </w:rPr>
        <w:tab/>
      </w:r>
      <w:r w:rsidRPr="00D270A0">
        <w:rPr>
          <w:rFonts w:ascii="Arial" w:hAnsi="Arial"/>
          <w:sz w:val="22"/>
          <w:szCs w:val="22"/>
        </w:rPr>
        <w:tab/>
        <w:t xml:space="preserve"> </w:t>
      </w:r>
      <w:r w:rsidRPr="00D270A0">
        <w:rPr>
          <w:rFonts w:ascii="Arial" w:hAnsi="Arial"/>
          <w:sz w:val="22"/>
          <w:szCs w:val="22"/>
        </w:rPr>
        <w:tab/>
        <w:t xml:space="preserve">         </w:t>
      </w:r>
      <m:oMath>
        <m:sSub>
          <m:sSubPr>
            <m:ctrlPr>
              <w:rPr>
                <w:rFonts w:ascii="Cambria Math" w:hAnsi="Cambria Math"/>
                <w:i/>
                <w:sz w:val="22"/>
                <w:szCs w:val="22"/>
              </w:rPr>
            </m:ctrlPr>
          </m:sSubPr>
          <m:e>
            <m:r>
              <w:rPr>
                <w:rFonts w:ascii="Cambria Math" w:hAnsi="Cambria Math"/>
                <w:sz w:val="22"/>
                <w:szCs w:val="22"/>
              </w:rPr>
              <m:t>CAPEX</m:t>
            </m:r>
          </m:e>
          <m:sub>
            <m:r>
              <w:rPr>
                <w:rFonts w:ascii="Cambria Math" w:hAnsi="Cambria Math"/>
                <w:sz w:val="22"/>
                <w:szCs w:val="22"/>
              </w:rPr>
              <m:t>TES</m:t>
            </m:r>
          </m:sub>
        </m:sSub>
        <m:r>
          <w:rPr>
            <w:rFonts w:ascii="Cambria Math" w:hAnsi="Cambria Math"/>
            <w:sz w:val="22"/>
            <w:szCs w:val="22"/>
          </w:rPr>
          <m:t>=8357×</m:t>
        </m:r>
        <m:sSubSup>
          <m:sSubSupPr>
            <m:ctrlPr>
              <w:rPr>
                <w:rFonts w:ascii="Cambria Math" w:hAnsi="Cambria Math"/>
                <w:i/>
                <w:sz w:val="22"/>
                <w:szCs w:val="22"/>
              </w:rPr>
            </m:ctrlPr>
          </m:sSubSupPr>
          <m:e>
            <m:r>
              <w:rPr>
                <w:rFonts w:ascii="Cambria Math" w:hAnsi="Cambria Math"/>
                <w:sz w:val="22"/>
                <w:szCs w:val="22"/>
              </w:rPr>
              <m:t>V</m:t>
            </m:r>
          </m:e>
          <m:sub>
            <m:r>
              <w:rPr>
                <w:rFonts w:ascii="Cambria Math" w:hAnsi="Cambria Math"/>
                <w:sz w:val="22"/>
                <w:szCs w:val="22"/>
              </w:rPr>
              <m:t>TES</m:t>
            </m:r>
          </m:sub>
          <m:sup>
            <m:r>
              <w:rPr>
                <w:rFonts w:ascii="Cambria Math" w:hAnsi="Cambria Math"/>
                <w:sz w:val="22"/>
                <w:szCs w:val="22"/>
              </w:rPr>
              <m:t>-0.47</m:t>
            </m:r>
          </m:sup>
        </m:sSubSup>
      </m:oMath>
      <w:r w:rsidRPr="00D270A0">
        <w:rPr>
          <w:rFonts w:ascii="Arial" w:hAnsi="Arial"/>
          <w:sz w:val="22"/>
          <w:szCs w:val="22"/>
        </w:rPr>
        <w:tab/>
      </w:r>
      <w:r w:rsidRPr="00D270A0">
        <w:rPr>
          <w:rFonts w:ascii="Arial" w:hAnsi="Arial"/>
          <w:sz w:val="22"/>
          <w:szCs w:val="22"/>
        </w:rPr>
        <w:tab/>
      </w:r>
      <w:r w:rsidRPr="00D270A0">
        <w:rPr>
          <w:rFonts w:ascii="Arial" w:hAnsi="Arial"/>
          <w:sz w:val="22"/>
          <w:szCs w:val="22"/>
        </w:rPr>
        <w:tab/>
        <w:t xml:space="preserve">  </w:t>
      </w:r>
      <w:r w:rsidRPr="00D270A0">
        <w:rPr>
          <w:rFonts w:ascii="Arial" w:hAnsi="Arial"/>
          <w:sz w:val="22"/>
          <w:szCs w:val="22"/>
        </w:rPr>
        <w:tab/>
        <w:t xml:space="preserve"> </w:t>
      </w:r>
      <w:r w:rsidRPr="0039510C">
        <w:rPr>
          <w:rFonts w:asciiTheme="majorHAnsi" w:hAnsiTheme="majorHAnsi" w:cstheme="majorHAnsi"/>
          <w:sz w:val="22"/>
          <w:szCs w:val="22"/>
        </w:rPr>
        <w:t>[</w:t>
      </w:r>
      <w:r w:rsidR="00707E57">
        <w:rPr>
          <w:rFonts w:asciiTheme="majorHAnsi" w:hAnsiTheme="majorHAnsi" w:cstheme="majorHAnsi"/>
          <w:sz w:val="22"/>
          <w:szCs w:val="22"/>
        </w:rPr>
        <w:t>5</w:t>
      </w:r>
      <w:r w:rsidRPr="0039510C">
        <w:rPr>
          <w:rFonts w:asciiTheme="majorHAnsi" w:hAnsiTheme="majorHAnsi" w:cstheme="majorHAnsi"/>
          <w:sz w:val="22"/>
          <w:szCs w:val="22"/>
        </w:rPr>
        <w:t>]</w:t>
      </w:r>
    </w:p>
    <w:p w14:paraId="7A47F5FA" w14:textId="74898F19" w:rsidR="00946477" w:rsidRDefault="0039510C" w:rsidP="00BA2FE3">
      <w:pPr>
        <w:spacing w:after="120" w:line="264" w:lineRule="auto"/>
        <w:jc w:val="both"/>
        <w:rPr>
          <w:rFonts w:asciiTheme="majorHAnsi" w:hAnsiTheme="majorHAnsi" w:cstheme="majorHAnsi"/>
          <w:sz w:val="22"/>
          <w:szCs w:val="22"/>
        </w:rPr>
      </w:pPr>
      <w:r w:rsidRPr="00546934">
        <w:rPr>
          <w:rFonts w:asciiTheme="majorHAnsi" w:hAnsiTheme="majorHAnsi" w:cstheme="majorHAnsi"/>
          <w:sz w:val="22"/>
          <w:szCs w:val="22"/>
        </w:rPr>
        <w:lastRenderedPageBreak/>
        <w:t>In all scenarios, the loan period for the investment costs was assumed to be 10 years with an interest rate of 3.5% [</w:t>
      </w:r>
      <w:r w:rsidR="00E430C1" w:rsidRPr="00546934">
        <w:rPr>
          <w:rFonts w:asciiTheme="majorHAnsi" w:hAnsiTheme="majorHAnsi" w:cstheme="majorHAnsi"/>
          <w:sz w:val="22"/>
          <w:szCs w:val="22"/>
        </w:rPr>
        <w:t>24</w:t>
      </w:r>
      <w:r w:rsidRPr="00546934">
        <w:rPr>
          <w:rFonts w:asciiTheme="majorHAnsi" w:hAnsiTheme="majorHAnsi" w:cstheme="majorHAnsi"/>
          <w:sz w:val="22"/>
          <w:szCs w:val="22"/>
        </w:rPr>
        <w:t xml:space="preserve">], and all the assumptions used in LCOE calculations are listed in Table 3. </w:t>
      </w:r>
      <w:proofErr w:type="gramStart"/>
      <w:r w:rsidRPr="00546934">
        <w:rPr>
          <w:rFonts w:asciiTheme="majorHAnsi" w:hAnsiTheme="majorHAnsi" w:cstheme="majorHAnsi"/>
          <w:sz w:val="22"/>
          <w:szCs w:val="22"/>
        </w:rPr>
        <w:t>In order to</w:t>
      </w:r>
      <w:proofErr w:type="gramEnd"/>
      <w:r w:rsidRPr="00546934">
        <w:rPr>
          <w:rFonts w:asciiTheme="majorHAnsi" w:hAnsiTheme="majorHAnsi" w:cstheme="majorHAnsi"/>
          <w:sz w:val="22"/>
          <w:szCs w:val="22"/>
        </w:rPr>
        <w:t xml:space="preserve"> reflect economies of scale, the CAPEX benchmark for the thermal store (</w:t>
      </w:r>
      <m:oMath>
        <m:sSub>
          <m:sSubPr>
            <m:ctrlPr>
              <w:rPr>
                <w:rFonts w:ascii="Cambria Math" w:hAnsi="Cambria Math" w:cstheme="majorHAnsi"/>
                <w:sz w:val="22"/>
                <w:szCs w:val="22"/>
              </w:rPr>
            </m:ctrlPr>
          </m:sSubPr>
          <m:e>
            <m:r>
              <w:rPr>
                <w:rFonts w:ascii="Cambria Math" w:hAnsi="Cambria Math" w:cstheme="majorHAnsi"/>
                <w:sz w:val="22"/>
                <w:szCs w:val="22"/>
              </w:rPr>
              <m:t>CAPEX</m:t>
            </m:r>
          </m:e>
          <m:sub>
            <m:r>
              <w:rPr>
                <w:rFonts w:ascii="Cambria Math" w:hAnsi="Cambria Math" w:cstheme="majorHAnsi"/>
                <w:sz w:val="22"/>
                <w:szCs w:val="22"/>
              </w:rPr>
              <m:t>TES</m:t>
            </m:r>
          </m:sub>
        </m:sSub>
      </m:oMath>
      <w:r w:rsidRPr="00546934">
        <w:rPr>
          <w:rFonts w:asciiTheme="majorHAnsi" w:hAnsiTheme="majorHAnsi" w:cstheme="majorHAnsi"/>
          <w:sz w:val="22"/>
          <w:szCs w:val="22"/>
        </w:rPr>
        <w:t>), in GB</w:t>
      </w:r>
      <w:r w:rsidR="00B01EDC" w:rsidRPr="00546934">
        <w:rPr>
          <w:rFonts w:asciiTheme="majorHAnsi" w:hAnsiTheme="majorHAnsi" w:cstheme="majorHAnsi"/>
          <w:sz w:val="22"/>
          <w:szCs w:val="22"/>
        </w:rPr>
        <w:t>P</w:t>
      </w:r>
      <w:r w:rsidRPr="00546934">
        <w:rPr>
          <w:rFonts w:asciiTheme="majorHAnsi" w:hAnsiTheme="majorHAnsi" w:cstheme="majorHAnsi"/>
          <w:sz w:val="22"/>
          <w:szCs w:val="22"/>
        </w:rPr>
        <w:t>/m</w:t>
      </w:r>
      <w:r w:rsidRPr="00546934">
        <w:rPr>
          <w:rFonts w:asciiTheme="majorHAnsi" w:hAnsiTheme="majorHAnsi" w:cstheme="majorHAnsi"/>
          <w:sz w:val="22"/>
          <w:szCs w:val="22"/>
          <w:vertAlign w:val="superscript"/>
        </w:rPr>
        <w:t>3</w:t>
      </w:r>
      <w:r w:rsidRPr="00546934">
        <w:rPr>
          <w:rFonts w:asciiTheme="majorHAnsi" w:hAnsiTheme="majorHAnsi" w:cstheme="majorHAnsi"/>
          <w:sz w:val="22"/>
          <w:szCs w:val="22"/>
        </w:rPr>
        <w:t>, was correlated to its volume (</w:t>
      </w:r>
      <m:oMath>
        <m:sSub>
          <m:sSubPr>
            <m:ctrlPr>
              <w:rPr>
                <w:rFonts w:ascii="Cambria Math" w:hAnsi="Cambria Math" w:cstheme="majorHAnsi"/>
                <w:sz w:val="22"/>
                <w:szCs w:val="22"/>
              </w:rPr>
            </m:ctrlPr>
          </m:sSubPr>
          <m:e>
            <m:r>
              <w:rPr>
                <w:rFonts w:ascii="Cambria Math" w:hAnsi="Cambria Math" w:cstheme="majorHAnsi"/>
                <w:sz w:val="22"/>
                <w:szCs w:val="22"/>
              </w:rPr>
              <m:t>V</m:t>
            </m:r>
          </m:e>
          <m:sub>
            <m:r>
              <w:rPr>
                <w:rFonts w:ascii="Cambria Math" w:hAnsi="Cambria Math" w:cstheme="majorHAnsi"/>
                <w:sz w:val="22"/>
                <w:szCs w:val="22"/>
              </w:rPr>
              <m:t>TES</m:t>
            </m:r>
          </m:sub>
        </m:sSub>
      </m:oMath>
      <w:r w:rsidRPr="00546934">
        <w:rPr>
          <w:rFonts w:asciiTheme="majorHAnsi" w:hAnsiTheme="majorHAnsi" w:cstheme="majorHAnsi"/>
          <w:sz w:val="22"/>
          <w:szCs w:val="22"/>
        </w:rPr>
        <w:t>), in m</w:t>
      </w:r>
      <w:r w:rsidRPr="00546934">
        <w:rPr>
          <w:rFonts w:asciiTheme="majorHAnsi" w:hAnsiTheme="majorHAnsi" w:cstheme="majorHAnsi"/>
          <w:sz w:val="22"/>
          <w:szCs w:val="22"/>
          <w:vertAlign w:val="superscript"/>
        </w:rPr>
        <w:t>3</w:t>
      </w:r>
      <w:r w:rsidRPr="00546934">
        <w:rPr>
          <w:rFonts w:asciiTheme="majorHAnsi" w:hAnsiTheme="majorHAnsi" w:cstheme="majorHAnsi"/>
          <w:sz w:val="22"/>
          <w:szCs w:val="22"/>
        </w:rPr>
        <w:t xml:space="preserve">, using Equation </w:t>
      </w:r>
      <w:r w:rsidR="00707E57">
        <w:rPr>
          <w:rFonts w:asciiTheme="majorHAnsi" w:hAnsiTheme="majorHAnsi" w:cstheme="majorHAnsi"/>
          <w:sz w:val="22"/>
          <w:szCs w:val="22"/>
        </w:rPr>
        <w:t>5</w:t>
      </w:r>
      <w:r w:rsidRPr="00546934">
        <w:rPr>
          <w:rFonts w:asciiTheme="majorHAnsi" w:hAnsiTheme="majorHAnsi" w:cstheme="majorHAnsi"/>
          <w:sz w:val="22"/>
          <w:szCs w:val="22"/>
        </w:rPr>
        <w:t xml:space="preserve">, obtained from the Danish Energy Agency </w:t>
      </w:r>
      <w:r w:rsidR="00E430C1" w:rsidRPr="00546934">
        <w:rPr>
          <w:rFonts w:asciiTheme="majorHAnsi" w:hAnsiTheme="majorHAnsi" w:cstheme="majorHAnsi"/>
          <w:sz w:val="22"/>
          <w:szCs w:val="22"/>
        </w:rPr>
        <w:t>[25]</w:t>
      </w:r>
      <w:r w:rsidR="00546934" w:rsidRPr="00546934">
        <w:rPr>
          <w:rFonts w:asciiTheme="majorHAnsi" w:hAnsiTheme="majorHAnsi" w:cstheme="majorHAnsi"/>
          <w:sz w:val="22"/>
          <w:szCs w:val="22"/>
        </w:rPr>
        <w:t xml:space="preserve"> </w:t>
      </w:r>
      <w:r w:rsidR="00546934" w:rsidRPr="009B2056">
        <w:rPr>
          <w:rFonts w:asciiTheme="majorHAnsi" w:hAnsiTheme="majorHAnsi" w:cstheme="majorHAnsi"/>
          <w:sz w:val="22"/>
          <w:szCs w:val="22"/>
        </w:rPr>
        <w:t xml:space="preserve">and corrected to account for inflation. </w:t>
      </w:r>
      <w:r w:rsidRPr="009B2056">
        <w:rPr>
          <w:rFonts w:asciiTheme="majorHAnsi" w:hAnsiTheme="majorHAnsi" w:cstheme="majorHAnsi"/>
          <w:sz w:val="22"/>
          <w:szCs w:val="22"/>
        </w:rPr>
        <w:t>The cost benchmarks were mainly obtained from the Danish Energy Agency’s technology catalogue [</w:t>
      </w:r>
      <w:r w:rsidR="00E430C1" w:rsidRPr="009B2056">
        <w:rPr>
          <w:rFonts w:asciiTheme="majorHAnsi" w:hAnsiTheme="majorHAnsi" w:cstheme="majorHAnsi"/>
          <w:sz w:val="22"/>
          <w:szCs w:val="22"/>
        </w:rPr>
        <w:t>25</w:t>
      </w:r>
      <w:r w:rsidRPr="009B2056">
        <w:rPr>
          <w:rFonts w:asciiTheme="majorHAnsi" w:hAnsiTheme="majorHAnsi" w:cstheme="majorHAnsi"/>
          <w:sz w:val="22"/>
          <w:szCs w:val="22"/>
        </w:rPr>
        <w:t>], and values shown in</w:t>
      </w:r>
      <w:r w:rsidR="00546934" w:rsidRPr="009B2056">
        <w:rPr>
          <w:rFonts w:asciiTheme="majorHAnsi" w:hAnsiTheme="majorHAnsi" w:cstheme="majorHAnsi"/>
          <w:sz w:val="22"/>
          <w:szCs w:val="22"/>
        </w:rPr>
        <w:t xml:space="preserve"> </w:t>
      </w:r>
      <w:r w:rsidRPr="009B2056">
        <w:rPr>
          <w:rFonts w:asciiTheme="majorHAnsi" w:hAnsiTheme="majorHAnsi" w:cstheme="majorHAnsi"/>
          <w:sz w:val="22"/>
          <w:szCs w:val="22"/>
        </w:rPr>
        <w:t>Table 3 are the final benchmarks in GBP after conversion from EUR, considering the inflation and exchange rates also shown in Table 3. LC</w:t>
      </w:r>
      <w:r w:rsidR="00BA2FE3" w:rsidRPr="009B2056">
        <w:rPr>
          <w:rFonts w:asciiTheme="majorHAnsi" w:hAnsiTheme="majorHAnsi" w:cstheme="majorHAnsi"/>
          <w:sz w:val="22"/>
          <w:szCs w:val="22"/>
        </w:rPr>
        <w:t>OE</w:t>
      </w:r>
      <w:r w:rsidRPr="009B2056">
        <w:rPr>
          <w:rFonts w:asciiTheme="majorHAnsi" w:hAnsiTheme="majorHAnsi" w:cstheme="majorHAnsi"/>
          <w:sz w:val="22"/>
          <w:szCs w:val="22"/>
        </w:rPr>
        <w:t xml:space="preserve"> values were then calculated for each </w:t>
      </w:r>
      <w:r w:rsidR="00BA2FE3" w:rsidRPr="009B2056">
        <w:rPr>
          <w:rFonts w:asciiTheme="majorHAnsi" w:hAnsiTheme="majorHAnsi" w:cstheme="majorHAnsi"/>
          <w:sz w:val="22"/>
          <w:szCs w:val="22"/>
        </w:rPr>
        <w:t>of the scenarios</w:t>
      </w:r>
      <w:r w:rsidRPr="009B2056">
        <w:rPr>
          <w:rFonts w:asciiTheme="majorHAnsi" w:hAnsiTheme="majorHAnsi" w:cstheme="majorHAnsi"/>
          <w:sz w:val="22"/>
          <w:szCs w:val="22"/>
        </w:rPr>
        <w:t xml:space="preserve"> listed in Table </w:t>
      </w:r>
      <w:r w:rsidR="00BA2FE3" w:rsidRPr="009B2056">
        <w:rPr>
          <w:rFonts w:asciiTheme="majorHAnsi" w:hAnsiTheme="majorHAnsi" w:cstheme="majorHAnsi"/>
          <w:sz w:val="22"/>
          <w:szCs w:val="22"/>
        </w:rPr>
        <w:t>1</w:t>
      </w:r>
      <w:r w:rsidRPr="009B2056">
        <w:rPr>
          <w:rFonts w:asciiTheme="majorHAnsi" w:hAnsiTheme="majorHAnsi" w:cstheme="majorHAnsi"/>
          <w:sz w:val="22"/>
          <w:szCs w:val="22"/>
        </w:rPr>
        <w:t xml:space="preserve">. </w:t>
      </w:r>
      <w:r w:rsidR="00BA2FE3" w:rsidRPr="009B2056">
        <w:rPr>
          <w:rFonts w:asciiTheme="majorHAnsi" w:hAnsiTheme="majorHAnsi" w:cstheme="majorHAnsi"/>
          <w:sz w:val="22"/>
          <w:szCs w:val="22"/>
        </w:rPr>
        <w:t xml:space="preserve">The results obtained were then </w:t>
      </w:r>
      <w:r w:rsidRPr="009B2056">
        <w:rPr>
          <w:rFonts w:asciiTheme="majorHAnsi" w:hAnsiTheme="majorHAnsi" w:cstheme="majorHAnsi"/>
          <w:sz w:val="22"/>
          <w:szCs w:val="22"/>
        </w:rPr>
        <w:t xml:space="preserve">compared to the operational costs of </w:t>
      </w:r>
      <w:r w:rsidR="00BA2FE3" w:rsidRPr="009B2056">
        <w:rPr>
          <w:rFonts w:asciiTheme="majorHAnsi" w:hAnsiTheme="majorHAnsi" w:cstheme="majorHAnsi"/>
          <w:sz w:val="22"/>
          <w:szCs w:val="22"/>
        </w:rPr>
        <w:t>meeting the same heat demand with</w:t>
      </w:r>
      <w:r w:rsidR="00BD45C7">
        <w:rPr>
          <w:rFonts w:asciiTheme="majorHAnsi" w:hAnsiTheme="majorHAnsi" w:cstheme="majorHAnsi"/>
          <w:sz w:val="22"/>
          <w:szCs w:val="22"/>
        </w:rPr>
        <w:t xml:space="preserve"> either</w:t>
      </w:r>
      <w:r w:rsidR="00BA2FE3" w:rsidRPr="009B2056">
        <w:rPr>
          <w:rFonts w:asciiTheme="majorHAnsi" w:hAnsiTheme="majorHAnsi" w:cstheme="majorHAnsi"/>
          <w:sz w:val="22"/>
          <w:szCs w:val="22"/>
        </w:rPr>
        <w:t xml:space="preserve"> communal gas boilers or individual ASHPs. The calculations consider</w:t>
      </w:r>
      <w:r w:rsidRPr="009B2056">
        <w:rPr>
          <w:rFonts w:asciiTheme="majorHAnsi" w:hAnsiTheme="majorHAnsi" w:cstheme="majorHAnsi"/>
          <w:sz w:val="22"/>
          <w:szCs w:val="22"/>
        </w:rPr>
        <w:t xml:space="preserve"> </w:t>
      </w:r>
      <w:r w:rsidR="00BD45C7">
        <w:rPr>
          <w:rFonts w:asciiTheme="majorHAnsi" w:hAnsiTheme="majorHAnsi" w:cstheme="majorHAnsi"/>
          <w:sz w:val="22"/>
          <w:szCs w:val="22"/>
        </w:rPr>
        <w:t xml:space="preserve">both </w:t>
      </w:r>
      <w:r w:rsidRPr="009B2056">
        <w:rPr>
          <w:rFonts w:asciiTheme="majorHAnsi" w:hAnsiTheme="majorHAnsi" w:cstheme="majorHAnsi"/>
          <w:sz w:val="22"/>
          <w:szCs w:val="22"/>
        </w:rPr>
        <w:t xml:space="preserve">O&amp;M </w:t>
      </w:r>
      <w:r w:rsidR="00BA2FE3" w:rsidRPr="009B2056">
        <w:rPr>
          <w:rFonts w:asciiTheme="majorHAnsi" w:hAnsiTheme="majorHAnsi" w:cstheme="majorHAnsi"/>
          <w:sz w:val="22"/>
          <w:szCs w:val="22"/>
        </w:rPr>
        <w:t xml:space="preserve">and energy </w:t>
      </w:r>
      <w:r w:rsidRPr="009B2056">
        <w:rPr>
          <w:rFonts w:asciiTheme="majorHAnsi" w:hAnsiTheme="majorHAnsi" w:cstheme="majorHAnsi"/>
          <w:sz w:val="22"/>
          <w:szCs w:val="22"/>
        </w:rPr>
        <w:t xml:space="preserve">costs </w:t>
      </w:r>
      <w:r w:rsidR="00BA2FE3" w:rsidRPr="009B2056">
        <w:rPr>
          <w:rFonts w:asciiTheme="majorHAnsi" w:hAnsiTheme="majorHAnsi" w:cstheme="majorHAnsi"/>
          <w:sz w:val="22"/>
          <w:szCs w:val="22"/>
        </w:rPr>
        <w:t>for communal boilers and only the energy costs for running ASHPs. These were calculated by considering an 85% efficiency for gas boilers and a seasonal COP of 2.68 for ASHPs</w:t>
      </w:r>
      <w:r w:rsidR="0038144E">
        <w:rPr>
          <w:rFonts w:asciiTheme="majorHAnsi" w:hAnsiTheme="majorHAnsi" w:cstheme="majorHAnsi"/>
          <w:sz w:val="22"/>
          <w:szCs w:val="22"/>
        </w:rPr>
        <w:t xml:space="preserve"> [26]</w:t>
      </w:r>
      <w:r w:rsidR="00BA2FE3" w:rsidRPr="009B2056">
        <w:rPr>
          <w:rFonts w:asciiTheme="majorHAnsi" w:hAnsiTheme="majorHAnsi" w:cstheme="majorHAnsi"/>
          <w:sz w:val="22"/>
          <w:szCs w:val="22"/>
        </w:rPr>
        <w:t>, and the latest energy tariffs published by DESNZ [</w:t>
      </w:r>
      <w:r w:rsidR="009B2056" w:rsidRPr="009B2056">
        <w:rPr>
          <w:rFonts w:asciiTheme="majorHAnsi" w:hAnsiTheme="majorHAnsi" w:cstheme="majorHAnsi"/>
          <w:sz w:val="22"/>
          <w:szCs w:val="22"/>
        </w:rPr>
        <w:t>2</w:t>
      </w:r>
      <w:r w:rsidR="0038144E">
        <w:rPr>
          <w:rFonts w:asciiTheme="majorHAnsi" w:hAnsiTheme="majorHAnsi" w:cstheme="majorHAnsi"/>
          <w:sz w:val="22"/>
          <w:szCs w:val="22"/>
        </w:rPr>
        <w:t>7</w:t>
      </w:r>
      <w:r w:rsidR="00BA2FE3" w:rsidRPr="009B2056">
        <w:rPr>
          <w:rFonts w:asciiTheme="majorHAnsi" w:hAnsiTheme="majorHAnsi" w:cstheme="majorHAnsi"/>
          <w:sz w:val="22"/>
          <w:szCs w:val="22"/>
        </w:rPr>
        <w:t>]. In the case of communal gas boilers, non-domestic prices would apply as the heating plant would be operated by</w:t>
      </w:r>
      <w:r w:rsidR="00BA2FE3">
        <w:rPr>
          <w:rFonts w:asciiTheme="majorHAnsi" w:hAnsiTheme="majorHAnsi" w:cstheme="majorHAnsi"/>
          <w:sz w:val="22"/>
          <w:szCs w:val="22"/>
        </w:rPr>
        <w:t xml:space="preserve"> the local council, but individual ASHPs were assumed to run on domestic electricity prices, whereas the WHR system would be able to take advantage of lower tariffs for non-domestic electricity.</w:t>
      </w:r>
    </w:p>
    <w:p w14:paraId="64C14187" w14:textId="3A771EA3" w:rsidR="00546934" w:rsidRPr="00BD45C7" w:rsidRDefault="00546934" w:rsidP="00546934">
      <w:pPr>
        <w:spacing w:line="264" w:lineRule="auto"/>
        <w:jc w:val="center"/>
        <w:rPr>
          <w:sz w:val="18"/>
          <w:szCs w:val="18"/>
        </w:rPr>
      </w:pPr>
      <w:r w:rsidRPr="00BD45C7">
        <w:rPr>
          <w:b/>
          <w:sz w:val="18"/>
          <w:szCs w:val="18"/>
        </w:rPr>
        <w:t>Table 3</w:t>
      </w:r>
      <w:r w:rsidRPr="00BD45C7">
        <w:rPr>
          <w:sz w:val="18"/>
          <w:szCs w:val="18"/>
        </w:rPr>
        <w:t xml:space="preserve"> – List of assumptions used in </w:t>
      </w:r>
      <w:proofErr w:type="spellStart"/>
      <w:r w:rsidRPr="00BD45C7">
        <w:rPr>
          <w:sz w:val="18"/>
          <w:szCs w:val="18"/>
        </w:rPr>
        <w:t>levelised</w:t>
      </w:r>
      <w:proofErr w:type="spellEnd"/>
      <w:r w:rsidRPr="00BD45C7">
        <w:rPr>
          <w:sz w:val="18"/>
          <w:szCs w:val="18"/>
        </w:rPr>
        <w:t xml:space="preserve"> cost of </w:t>
      </w:r>
      <w:r w:rsidR="00BA2FE3" w:rsidRPr="00BD45C7">
        <w:rPr>
          <w:sz w:val="18"/>
          <w:szCs w:val="18"/>
        </w:rPr>
        <w:t>energy</w:t>
      </w:r>
      <w:r w:rsidRPr="00BD45C7">
        <w:rPr>
          <w:sz w:val="18"/>
          <w:szCs w:val="18"/>
        </w:rPr>
        <w:t xml:space="preserve"> calculations and their references.</w:t>
      </w:r>
    </w:p>
    <w:tbl>
      <w:tblPr>
        <w:tblStyle w:val="PlainTable2"/>
        <w:tblW w:w="9072" w:type="dxa"/>
        <w:tblLook w:val="04A0" w:firstRow="1" w:lastRow="0" w:firstColumn="1" w:lastColumn="0" w:noHBand="0" w:noVBand="1"/>
      </w:tblPr>
      <w:tblGrid>
        <w:gridCol w:w="4451"/>
        <w:gridCol w:w="1017"/>
        <w:gridCol w:w="1215"/>
        <w:gridCol w:w="2389"/>
      </w:tblGrid>
      <w:tr w:rsidR="00BD45C7" w:rsidRPr="00BD45C7" w14:paraId="28D54667" w14:textId="77777777" w:rsidTr="00BD4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4"/>
            <w:vAlign w:val="center"/>
          </w:tcPr>
          <w:p w14:paraId="64FBBED8" w14:textId="7BA1D6E9" w:rsidR="00BD45C7" w:rsidRPr="00BD45C7" w:rsidRDefault="00BD45C7" w:rsidP="00BD45C7">
            <w:pPr>
              <w:spacing w:line="264" w:lineRule="auto"/>
              <w:jc w:val="center"/>
              <w:rPr>
                <w:sz w:val="20"/>
                <w:szCs w:val="20"/>
              </w:rPr>
            </w:pPr>
            <w:r w:rsidRPr="00BD45C7">
              <w:rPr>
                <w:sz w:val="20"/>
                <w:szCs w:val="20"/>
              </w:rPr>
              <w:t>Capital costs</w:t>
            </w:r>
          </w:p>
        </w:tc>
      </w:tr>
      <w:tr w:rsidR="00546934" w:rsidRPr="00BD45C7" w14:paraId="385EE20A"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18FAA068" w14:textId="77777777" w:rsidR="00546934" w:rsidRPr="00BD45C7" w:rsidRDefault="00546934" w:rsidP="008C29EE">
            <w:pPr>
              <w:spacing w:line="264" w:lineRule="auto"/>
              <w:rPr>
                <w:b w:val="0"/>
                <w:sz w:val="18"/>
                <w:szCs w:val="18"/>
              </w:rPr>
            </w:pPr>
            <w:r w:rsidRPr="00BD45C7">
              <w:rPr>
                <w:sz w:val="18"/>
                <w:szCs w:val="18"/>
              </w:rPr>
              <w:t>Assumption</w:t>
            </w:r>
          </w:p>
        </w:tc>
        <w:tc>
          <w:tcPr>
            <w:tcW w:w="1017" w:type="dxa"/>
          </w:tcPr>
          <w:p w14:paraId="61E87817"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
                <w:bCs/>
                <w:sz w:val="18"/>
                <w:szCs w:val="18"/>
              </w:rPr>
              <w:t>Value</w:t>
            </w:r>
          </w:p>
        </w:tc>
        <w:tc>
          <w:tcPr>
            <w:tcW w:w="1215" w:type="dxa"/>
          </w:tcPr>
          <w:p w14:paraId="2E54010B"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BD45C7">
              <w:rPr>
                <w:b/>
                <w:bCs/>
                <w:sz w:val="18"/>
                <w:szCs w:val="18"/>
              </w:rPr>
              <w:t>Unit</w:t>
            </w:r>
          </w:p>
        </w:tc>
        <w:tc>
          <w:tcPr>
            <w:tcW w:w="2389" w:type="dxa"/>
          </w:tcPr>
          <w:p w14:paraId="67B8D20B"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
                <w:bCs/>
                <w:sz w:val="18"/>
                <w:szCs w:val="18"/>
              </w:rPr>
              <w:t>Reference</w:t>
            </w:r>
          </w:p>
        </w:tc>
      </w:tr>
      <w:tr w:rsidR="00546934" w:rsidRPr="00BD45C7" w14:paraId="07D342C7"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2B125EA5" w14:textId="169DF60B" w:rsidR="00546934" w:rsidRPr="00BD45C7" w:rsidRDefault="00546934" w:rsidP="008C29EE">
            <w:pPr>
              <w:spacing w:line="264" w:lineRule="auto"/>
              <w:rPr>
                <w:b w:val="0"/>
                <w:bCs w:val="0"/>
                <w:sz w:val="18"/>
                <w:szCs w:val="18"/>
              </w:rPr>
            </w:pPr>
            <w:r w:rsidRPr="00BD45C7">
              <w:rPr>
                <w:b w:val="0"/>
                <w:bCs w:val="0"/>
                <w:sz w:val="18"/>
                <w:szCs w:val="18"/>
              </w:rPr>
              <w:t>Heat recovery equipment for ventilation shaft</w:t>
            </w:r>
          </w:p>
        </w:tc>
        <w:tc>
          <w:tcPr>
            <w:tcW w:w="1017" w:type="dxa"/>
          </w:tcPr>
          <w:p w14:paraId="7AC59E94" w14:textId="631E1E3B"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975,780</w:t>
            </w:r>
          </w:p>
        </w:tc>
        <w:tc>
          <w:tcPr>
            <w:tcW w:w="1215" w:type="dxa"/>
          </w:tcPr>
          <w:p w14:paraId="0A618E47"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D45C7">
              <w:rPr>
                <w:sz w:val="18"/>
                <w:szCs w:val="18"/>
              </w:rPr>
              <w:t>GBP/MW</w:t>
            </w:r>
          </w:p>
        </w:tc>
        <w:tc>
          <w:tcPr>
            <w:tcW w:w="2389" w:type="dxa"/>
          </w:tcPr>
          <w:p w14:paraId="5B9BECAB" w14:textId="0913039A"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D45C7">
              <w:rPr>
                <w:bCs/>
                <w:sz w:val="18"/>
                <w:szCs w:val="18"/>
              </w:rPr>
              <w:t>[</w:t>
            </w:r>
            <w:r w:rsidR="009B2056" w:rsidRPr="00BD45C7">
              <w:rPr>
                <w:bCs/>
                <w:sz w:val="18"/>
                <w:szCs w:val="18"/>
              </w:rPr>
              <w:t>2</w:t>
            </w:r>
            <w:r w:rsidR="0038144E">
              <w:rPr>
                <w:bCs/>
                <w:sz w:val="18"/>
                <w:szCs w:val="18"/>
              </w:rPr>
              <w:t>8</w:t>
            </w:r>
            <w:r w:rsidRPr="00BD45C7">
              <w:rPr>
                <w:bCs/>
                <w:sz w:val="18"/>
                <w:szCs w:val="18"/>
              </w:rPr>
              <w:t>]</w:t>
            </w:r>
          </w:p>
        </w:tc>
      </w:tr>
      <w:tr w:rsidR="00546934" w:rsidRPr="00BD45C7" w14:paraId="45B8062F"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1D8DDCF9" w14:textId="034031E0" w:rsidR="00546934" w:rsidRPr="00BD45C7" w:rsidRDefault="00546934" w:rsidP="008C29EE">
            <w:pPr>
              <w:spacing w:line="264" w:lineRule="auto"/>
              <w:rPr>
                <w:b w:val="0"/>
                <w:bCs w:val="0"/>
                <w:sz w:val="18"/>
                <w:szCs w:val="18"/>
              </w:rPr>
            </w:pPr>
            <w:r w:rsidRPr="00BD45C7">
              <w:rPr>
                <w:b w:val="0"/>
                <w:bCs w:val="0"/>
                <w:sz w:val="18"/>
                <w:szCs w:val="18"/>
              </w:rPr>
              <w:t>District-scale heat pump using waste heat</w:t>
            </w:r>
          </w:p>
        </w:tc>
        <w:tc>
          <w:tcPr>
            <w:tcW w:w="1017" w:type="dxa"/>
          </w:tcPr>
          <w:p w14:paraId="6662F0FB" w14:textId="4F08D4F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1,390,957</w:t>
            </w:r>
          </w:p>
        </w:tc>
        <w:tc>
          <w:tcPr>
            <w:tcW w:w="1215" w:type="dxa"/>
          </w:tcPr>
          <w:p w14:paraId="7CC3B3AF" w14:textId="26560769" w:rsidR="00546934" w:rsidRPr="00BD45C7" w:rsidRDefault="00523FDA"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GBP/MW</w:t>
            </w:r>
          </w:p>
        </w:tc>
        <w:tc>
          <w:tcPr>
            <w:tcW w:w="2389" w:type="dxa"/>
            <w:vMerge w:val="restart"/>
            <w:vAlign w:val="center"/>
          </w:tcPr>
          <w:p w14:paraId="7AD12CFE" w14:textId="3D93E8D8" w:rsidR="00546934" w:rsidRPr="00BD45C7" w:rsidRDefault="00546934" w:rsidP="00546934">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Cs/>
                <w:sz w:val="18"/>
                <w:szCs w:val="18"/>
              </w:rPr>
              <w:t>[</w:t>
            </w:r>
            <w:r w:rsidR="009B2056" w:rsidRPr="00BD45C7">
              <w:rPr>
                <w:bCs/>
                <w:sz w:val="18"/>
                <w:szCs w:val="18"/>
              </w:rPr>
              <w:t>25</w:t>
            </w:r>
            <w:r w:rsidRPr="00BD45C7">
              <w:rPr>
                <w:bCs/>
                <w:sz w:val="18"/>
                <w:szCs w:val="18"/>
              </w:rPr>
              <w:t>]</w:t>
            </w:r>
          </w:p>
        </w:tc>
      </w:tr>
      <w:tr w:rsidR="00546934" w:rsidRPr="00BD45C7" w14:paraId="370842C0"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4EB579EC" w14:textId="77777777" w:rsidR="00546934" w:rsidRPr="00BD45C7" w:rsidRDefault="00546934" w:rsidP="008C29EE">
            <w:pPr>
              <w:spacing w:line="264" w:lineRule="auto"/>
              <w:rPr>
                <w:sz w:val="18"/>
                <w:szCs w:val="18"/>
              </w:rPr>
            </w:pPr>
            <w:r w:rsidRPr="00BD45C7">
              <w:rPr>
                <w:b w:val="0"/>
                <w:sz w:val="18"/>
                <w:szCs w:val="18"/>
              </w:rPr>
              <w:t>Heat exchanger substation</w:t>
            </w:r>
          </w:p>
        </w:tc>
        <w:tc>
          <w:tcPr>
            <w:tcW w:w="1017" w:type="dxa"/>
          </w:tcPr>
          <w:p w14:paraId="23134454"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115,043</w:t>
            </w:r>
          </w:p>
        </w:tc>
        <w:tc>
          <w:tcPr>
            <w:tcW w:w="1215" w:type="dxa"/>
          </w:tcPr>
          <w:p w14:paraId="35310C14"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D45C7">
              <w:rPr>
                <w:bCs/>
                <w:sz w:val="18"/>
                <w:szCs w:val="18"/>
              </w:rPr>
              <w:t>GBP/MW</w:t>
            </w:r>
          </w:p>
        </w:tc>
        <w:tc>
          <w:tcPr>
            <w:tcW w:w="2389" w:type="dxa"/>
            <w:vMerge/>
            <w:vAlign w:val="center"/>
          </w:tcPr>
          <w:p w14:paraId="35A932A2" w14:textId="197088AD"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546934" w:rsidRPr="00BD45C7" w14:paraId="21D962CA"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52F587AE" w14:textId="77777777" w:rsidR="00546934" w:rsidRPr="00BD45C7" w:rsidRDefault="00546934" w:rsidP="008C29EE">
            <w:pPr>
              <w:spacing w:line="264" w:lineRule="auto"/>
              <w:rPr>
                <w:sz w:val="18"/>
                <w:szCs w:val="18"/>
              </w:rPr>
            </w:pPr>
            <w:r w:rsidRPr="00BD45C7">
              <w:rPr>
                <w:b w:val="0"/>
                <w:sz w:val="18"/>
                <w:szCs w:val="18"/>
              </w:rPr>
              <w:t>Pumping station</w:t>
            </w:r>
          </w:p>
        </w:tc>
        <w:tc>
          <w:tcPr>
            <w:tcW w:w="1017" w:type="dxa"/>
          </w:tcPr>
          <w:p w14:paraId="30630670"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103,538</w:t>
            </w:r>
          </w:p>
        </w:tc>
        <w:tc>
          <w:tcPr>
            <w:tcW w:w="1215" w:type="dxa"/>
          </w:tcPr>
          <w:p w14:paraId="61FAC390"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BD45C7">
              <w:rPr>
                <w:bCs/>
                <w:sz w:val="18"/>
                <w:szCs w:val="18"/>
              </w:rPr>
              <w:t>GBP/MW</w:t>
            </w:r>
          </w:p>
        </w:tc>
        <w:tc>
          <w:tcPr>
            <w:tcW w:w="2389" w:type="dxa"/>
            <w:vMerge/>
            <w:vAlign w:val="center"/>
          </w:tcPr>
          <w:p w14:paraId="6C2D5316"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p>
        </w:tc>
      </w:tr>
      <w:tr w:rsidR="00546934" w:rsidRPr="00BD45C7" w14:paraId="72C515C8"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2BAF9329" w14:textId="77777777" w:rsidR="00546934" w:rsidRPr="00BD45C7" w:rsidRDefault="00546934" w:rsidP="008C29EE">
            <w:pPr>
              <w:spacing w:line="264" w:lineRule="auto"/>
              <w:rPr>
                <w:sz w:val="18"/>
                <w:szCs w:val="18"/>
              </w:rPr>
            </w:pPr>
            <w:r w:rsidRPr="00BD45C7">
              <w:rPr>
                <w:b w:val="0"/>
                <w:sz w:val="18"/>
                <w:szCs w:val="18"/>
              </w:rPr>
              <w:t>Pipework for DH connection</w:t>
            </w:r>
          </w:p>
        </w:tc>
        <w:tc>
          <w:tcPr>
            <w:tcW w:w="1017" w:type="dxa"/>
          </w:tcPr>
          <w:p w14:paraId="09AD5314"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1,170</w:t>
            </w:r>
          </w:p>
        </w:tc>
        <w:tc>
          <w:tcPr>
            <w:tcW w:w="1215" w:type="dxa"/>
          </w:tcPr>
          <w:p w14:paraId="5958EF2B"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D45C7">
              <w:rPr>
                <w:bCs/>
                <w:sz w:val="18"/>
                <w:szCs w:val="18"/>
              </w:rPr>
              <w:t>GBP/m</w:t>
            </w:r>
          </w:p>
        </w:tc>
        <w:tc>
          <w:tcPr>
            <w:tcW w:w="2389" w:type="dxa"/>
            <w:vAlign w:val="center"/>
          </w:tcPr>
          <w:p w14:paraId="43DC3AB5" w14:textId="2C8889E2" w:rsidR="00546934" w:rsidRPr="00BD45C7" w:rsidRDefault="009B2056"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D45C7">
              <w:rPr>
                <w:bCs/>
                <w:sz w:val="18"/>
                <w:szCs w:val="18"/>
              </w:rPr>
              <w:t>[2</w:t>
            </w:r>
            <w:r w:rsidR="0038144E">
              <w:rPr>
                <w:bCs/>
                <w:sz w:val="18"/>
                <w:szCs w:val="18"/>
              </w:rPr>
              <w:t>9</w:t>
            </w:r>
            <w:r w:rsidRPr="00BD45C7">
              <w:rPr>
                <w:bCs/>
                <w:sz w:val="18"/>
                <w:szCs w:val="18"/>
              </w:rPr>
              <w:t>]</w:t>
            </w:r>
          </w:p>
        </w:tc>
      </w:tr>
      <w:tr w:rsidR="00BD45C7" w:rsidRPr="00BD45C7" w14:paraId="1FEA2080"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4"/>
            <w:vAlign w:val="center"/>
          </w:tcPr>
          <w:p w14:paraId="0DE1864E" w14:textId="3AEBD33A" w:rsidR="00BD45C7" w:rsidRPr="00BD45C7" w:rsidRDefault="00BD45C7" w:rsidP="00BD45C7">
            <w:pPr>
              <w:spacing w:line="264" w:lineRule="auto"/>
              <w:jc w:val="center"/>
              <w:rPr>
                <w:b w:val="0"/>
                <w:sz w:val="20"/>
                <w:szCs w:val="20"/>
              </w:rPr>
            </w:pPr>
            <w:r w:rsidRPr="00BD45C7">
              <w:rPr>
                <w:bCs w:val="0"/>
                <w:sz w:val="20"/>
                <w:szCs w:val="20"/>
              </w:rPr>
              <w:t>Operational costs</w:t>
            </w:r>
          </w:p>
        </w:tc>
      </w:tr>
      <w:tr w:rsidR="00546934" w:rsidRPr="00BD45C7" w14:paraId="1617B5FE"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73ED90E2" w14:textId="77777777" w:rsidR="00546934" w:rsidRPr="00BD45C7" w:rsidRDefault="00546934" w:rsidP="008C29EE">
            <w:pPr>
              <w:spacing w:line="264" w:lineRule="auto"/>
              <w:rPr>
                <w:b w:val="0"/>
                <w:sz w:val="18"/>
                <w:szCs w:val="18"/>
              </w:rPr>
            </w:pPr>
            <w:r w:rsidRPr="00BD45C7">
              <w:rPr>
                <w:sz w:val="18"/>
                <w:szCs w:val="18"/>
              </w:rPr>
              <w:t>Assumption</w:t>
            </w:r>
          </w:p>
        </w:tc>
        <w:tc>
          <w:tcPr>
            <w:tcW w:w="1017" w:type="dxa"/>
          </w:tcPr>
          <w:p w14:paraId="7BDC2BC1"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BD45C7">
              <w:rPr>
                <w:b/>
                <w:bCs/>
                <w:sz w:val="18"/>
                <w:szCs w:val="18"/>
              </w:rPr>
              <w:t>Value</w:t>
            </w:r>
          </w:p>
        </w:tc>
        <w:tc>
          <w:tcPr>
            <w:tcW w:w="1215" w:type="dxa"/>
          </w:tcPr>
          <w:p w14:paraId="48877C7B"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D45C7">
              <w:rPr>
                <w:b/>
                <w:bCs/>
                <w:sz w:val="18"/>
                <w:szCs w:val="18"/>
              </w:rPr>
              <w:t>Unit</w:t>
            </w:r>
          </w:p>
        </w:tc>
        <w:tc>
          <w:tcPr>
            <w:tcW w:w="2389" w:type="dxa"/>
          </w:tcPr>
          <w:p w14:paraId="10BF4DC8"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BD45C7">
              <w:rPr>
                <w:b/>
                <w:bCs/>
                <w:sz w:val="18"/>
                <w:szCs w:val="18"/>
              </w:rPr>
              <w:t>Reference</w:t>
            </w:r>
          </w:p>
        </w:tc>
      </w:tr>
      <w:tr w:rsidR="00546934" w:rsidRPr="00BD45C7" w14:paraId="277E2631"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087B1537" w14:textId="77777777" w:rsidR="00546934" w:rsidRPr="00BD45C7" w:rsidRDefault="00546934" w:rsidP="008C29EE">
            <w:pPr>
              <w:spacing w:line="264" w:lineRule="auto"/>
              <w:rPr>
                <w:b w:val="0"/>
                <w:bCs w:val="0"/>
                <w:sz w:val="18"/>
                <w:szCs w:val="18"/>
              </w:rPr>
            </w:pPr>
            <w:r w:rsidRPr="00BD45C7">
              <w:rPr>
                <w:b w:val="0"/>
                <w:bCs w:val="0"/>
                <w:sz w:val="18"/>
                <w:szCs w:val="18"/>
              </w:rPr>
              <w:t>Annual district heating O&amp;M fixed costs</w:t>
            </w:r>
          </w:p>
        </w:tc>
        <w:tc>
          <w:tcPr>
            <w:tcW w:w="1017" w:type="dxa"/>
          </w:tcPr>
          <w:p w14:paraId="74E98318"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N/A</w:t>
            </w:r>
          </w:p>
        </w:tc>
        <w:tc>
          <w:tcPr>
            <w:tcW w:w="1215" w:type="dxa"/>
          </w:tcPr>
          <w:p w14:paraId="3D571EB0"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GBP/MWh</w:t>
            </w:r>
          </w:p>
        </w:tc>
        <w:tc>
          <w:tcPr>
            <w:tcW w:w="2389" w:type="dxa"/>
            <w:vMerge w:val="restart"/>
            <w:vAlign w:val="center"/>
          </w:tcPr>
          <w:p w14:paraId="5241203A" w14:textId="64FBD620" w:rsidR="00546934" w:rsidRPr="00BD45C7" w:rsidRDefault="009B2056" w:rsidP="008C29EE">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Cs/>
                <w:sz w:val="18"/>
                <w:szCs w:val="18"/>
              </w:rPr>
              <w:t>[25]</w:t>
            </w:r>
          </w:p>
        </w:tc>
      </w:tr>
      <w:tr w:rsidR="00546934" w:rsidRPr="00BD45C7" w14:paraId="16E3337B"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2D8BE677" w14:textId="77777777" w:rsidR="00546934" w:rsidRPr="00BD45C7" w:rsidRDefault="00546934" w:rsidP="008C29EE">
            <w:pPr>
              <w:spacing w:line="264" w:lineRule="auto"/>
              <w:rPr>
                <w:b w:val="0"/>
                <w:bCs w:val="0"/>
                <w:sz w:val="18"/>
                <w:szCs w:val="18"/>
              </w:rPr>
            </w:pPr>
            <w:r w:rsidRPr="00BD45C7">
              <w:rPr>
                <w:b w:val="0"/>
                <w:bCs w:val="0"/>
                <w:sz w:val="18"/>
                <w:szCs w:val="18"/>
              </w:rPr>
              <w:t>Annual district heating O&amp;M variable costs</w:t>
            </w:r>
          </w:p>
        </w:tc>
        <w:tc>
          <w:tcPr>
            <w:tcW w:w="1017" w:type="dxa"/>
          </w:tcPr>
          <w:p w14:paraId="6B1533B3"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1.62</w:t>
            </w:r>
          </w:p>
        </w:tc>
        <w:tc>
          <w:tcPr>
            <w:tcW w:w="1215" w:type="dxa"/>
          </w:tcPr>
          <w:p w14:paraId="276D5D61"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GBP/MWh</w:t>
            </w:r>
          </w:p>
        </w:tc>
        <w:tc>
          <w:tcPr>
            <w:tcW w:w="2389" w:type="dxa"/>
            <w:vMerge/>
            <w:vAlign w:val="center"/>
          </w:tcPr>
          <w:p w14:paraId="29A415C0"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r>
      <w:tr w:rsidR="00546934" w:rsidRPr="00BD45C7" w14:paraId="30E7E82C"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253AA929" w14:textId="77777777" w:rsidR="00546934" w:rsidRPr="00BD45C7" w:rsidRDefault="00546934" w:rsidP="008C29EE">
            <w:pPr>
              <w:spacing w:line="264" w:lineRule="auto"/>
              <w:rPr>
                <w:b w:val="0"/>
                <w:bCs w:val="0"/>
                <w:sz w:val="18"/>
                <w:szCs w:val="18"/>
              </w:rPr>
            </w:pPr>
            <w:r w:rsidRPr="00BD45C7">
              <w:rPr>
                <w:b w:val="0"/>
                <w:bCs w:val="0"/>
                <w:sz w:val="18"/>
                <w:szCs w:val="18"/>
              </w:rPr>
              <w:t>Annual thermal storage tank O&amp;M fixed costs</w:t>
            </w:r>
          </w:p>
        </w:tc>
        <w:tc>
          <w:tcPr>
            <w:tcW w:w="1017" w:type="dxa"/>
          </w:tcPr>
          <w:p w14:paraId="56785B91"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56</w:t>
            </w:r>
          </w:p>
        </w:tc>
        <w:tc>
          <w:tcPr>
            <w:tcW w:w="1215" w:type="dxa"/>
          </w:tcPr>
          <w:p w14:paraId="625DA310"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GBP/unit</w:t>
            </w:r>
          </w:p>
        </w:tc>
        <w:tc>
          <w:tcPr>
            <w:tcW w:w="2389" w:type="dxa"/>
            <w:vMerge/>
            <w:vAlign w:val="center"/>
          </w:tcPr>
          <w:p w14:paraId="3D459167"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p>
        </w:tc>
      </w:tr>
      <w:tr w:rsidR="00546934" w:rsidRPr="00BD45C7" w14:paraId="74B645B1"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4BC2ABF6" w14:textId="77777777" w:rsidR="00546934" w:rsidRPr="00BD45C7" w:rsidRDefault="00546934" w:rsidP="008C29EE">
            <w:pPr>
              <w:spacing w:line="264" w:lineRule="auto"/>
              <w:rPr>
                <w:b w:val="0"/>
                <w:bCs w:val="0"/>
                <w:sz w:val="18"/>
                <w:szCs w:val="18"/>
              </w:rPr>
            </w:pPr>
            <w:r w:rsidRPr="00BD45C7">
              <w:rPr>
                <w:b w:val="0"/>
                <w:bCs w:val="0"/>
                <w:sz w:val="18"/>
                <w:szCs w:val="18"/>
              </w:rPr>
              <w:t>Annual thermal storage tank O&amp;M variable costs</w:t>
            </w:r>
          </w:p>
        </w:tc>
        <w:tc>
          <w:tcPr>
            <w:tcW w:w="1017" w:type="dxa"/>
          </w:tcPr>
          <w:p w14:paraId="064BDD41"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0.79</w:t>
            </w:r>
          </w:p>
        </w:tc>
        <w:tc>
          <w:tcPr>
            <w:tcW w:w="1215" w:type="dxa"/>
          </w:tcPr>
          <w:p w14:paraId="2773B4C5"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GBP/MWh</w:t>
            </w:r>
          </w:p>
        </w:tc>
        <w:tc>
          <w:tcPr>
            <w:tcW w:w="2389" w:type="dxa"/>
            <w:vMerge/>
            <w:vAlign w:val="center"/>
          </w:tcPr>
          <w:p w14:paraId="1CEABF36"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r>
      <w:tr w:rsidR="00546934" w:rsidRPr="00BD45C7" w14:paraId="394EE4F5"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0F9C97A8" w14:textId="77777777" w:rsidR="00546934" w:rsidRPr="00BD45C7" w:rsidRDefault="00546934" w:rsidP="008C29EE">
            <w:pPr>
              <w:spacing w:line="264" w:lineRule="auto"/>
              <w:rPr>
                <w:sz w:val="18"/>
                <w:szCs w:val="18"/>
              </w:rPr>
            </w:pPr>
            <w:r w:rsidRPr="00BD45C7">
              <w:rPr>
                <w:b w:val="0"/>
                <w:bCs w:val="0"/>
                <w:sz w:val="18"/>
                <w:szCs w:val="18"/>
              </w:rPr>
              <w:t>Annual gas boiler O&amp;M fixed costs</w:t>
            </w:r>
          </w:p>
        </w:tc>
        <w:tc>
          <w:tcPr>
            <w:tcW w:w="1017" w:type="dxa"/>
          </w:tcPr>
          <w:p w14:paraId="0572C15B"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2,110</w:t>
            </w:r>
          </w:p>
        </w:tc>
        <w:tc>
          <w:tcPr>
            <w:tcW w:w="1215" w:type="dxa"/>
          </w:tcPr>
          <w:p w14:paraId="1E7071D0"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GBP/MW</w:t>
            </w:r>
          </w:p>
        </w:tc>
        <w:tc>
          <w:tcPr>
            <w:tcW w:w="2389" w:type="dxa"/>
            <w:vMerge/>
            <w:vAlign w:val="center"/>
          </w:tcPr>
          <w:p w14:paraId="5ACB036A" w14:textId="77777777" w:rsidR="00546934" w:rsidRPr="00BD45C7" w:rsidRDefault="00546934" w:rsidP="008C29EE">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p>
        </w:tc>
      </w:tr>
      <w:tr w:rsidR="00546934" w:rsidRPr="00BD45C7" w14:paraId="03E86591"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22B2509D" w14:textId="77777777" w:rsidR="00546934" w:rsidRPr="00BD45C7" w:rsidRDefault="00546934" w:rsidP="008C29EE">
            <w:pPr>
              <w:spacing w:line="264" w:lineRule="auto"/>
              <w:rPr>
                <w:sz w:val="18"/>
                <w:szCs w:val="18"/>
              </w:rPr>
            </w:pPr>
            <w:r w:rsidRPr="00BD45C7">
              <w:rPr>
                <w:b w:val="0"/>
                <w:bCs w:val="0"/>
                <w:sz w:val="18"/>
                <w:szCs w:val="18"/>
              </w:rPr>
              <w:t>Annual gas boiler O&amp;M variable costs</w:t>
            </w:r>
          </w:p>
        </w:tc>
        <w:tc>
          <w:tcPr>
            <w:tcW w:w="1017" w:type="dxa"/>
          </w:tcPr>
          <w:p w14:paraId="2DCB670F"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1.19</w:t>
            </w:r>
          </w:p>
        </w:tc>
        <w:tc>
          <w:tcPr>
            <w:tcW w:w="1215" w:type="dxa"/>
          </w:tcPr>
          <w:p w14:paraId="6F3D83FC"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GBP/MWh</w:t>
            </w:r>
          </w:p>
        </w:tc>
        <w:tc>
          <w:tcPr>
            <w:tcW w:w="2389" w:type="dxa"/>
            <w:vMerge/>
            <w:vAlign w:val="center"/>
          </w:tcPr>
          <w:p w14:paraId="25FD5D13" w14:textId="77777777" w:rsidR="00546934" w:rsidRPr="00BD45C7" w:rsidRDefault="00546934" w:rsidP="008C29EE">
            <w:pPr>
              <w:spacing w:line="264"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r>
      <w:tr w:rsidR="009B2056" w:rsidRPr="00BD45C7" w14:paraId="30CD7EB0"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6FCEEEEA" w14:textId="7EDB16E5" w:rsidR="009B2056" w:rsidRPr="00BD45C7" w:rsidRDefault="009B2056" w:rsidP="00BA2FE3">
            <w:pPr>
              <w:spacing w:line="264" w:lineRule="auto"/>
              <w:rPr>
                <w:b w:val="0"/>
                <w:bCs w:val="0"/>
                <w:sz w:val="18"/>
                <w:szCs w:val="18"/>
              </w:rPr>
            </w:pPr>
            <w:r w:rsidRPr="00BD45C7">
              <w:rPr>
                <w:b w:val="0"/>
                <w:bCs w:val="0"/>
                <w:sz w:val="18"/>
                <w:szCs w:val="18"/>
              </w:rPr>
              <w:t>Non-domestic price of natural gas</w:t>
            </w:r>
          </w:p>
        </w:tc>
        <w:tc>
          <w:tcPr>
            <w:tcW w:w="1017" w:type="dxa"/>
          </w:tcPr>
          <w:p w14:paraId="70B08928" w14:textId="25F6BDD3" w:rsidR="009B2056" w:rsidRPr="00BD45C7" w:rsidRDefault="00523FDA"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65.50</w:t>
            </w:r>
          </w:p>
        </w:tc>
        <w:tc>
          <w:tcPr>
            <w:tcW w:w="1215" w:type="dxa"/>
          </w:tcPr>
          <w:p w14:paraId="3F8AB100" w14:textId="4CE6F56A" w:rsidR="009B2056" w:rsidRPr="00BD45C7" w:rsidRDefault="009B2056"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GBP/MWh</w:t>
            </w:r>
          </w:p>
        </w:tc>
        <w:tc>
          <w:tcPr>
            <w:tcW w:w="2389" w:type="dxa"/>
            <w:vMerge w:val="restart"/>
            <w:vAlign w:val="center"/>
          </w:tcPr>
          <w:p w14:paraId="46B53560" w14:textId="5610A07F" w:rsidR="009B2056" w:rsidRPr="00BD45C7" w:rsidRDefault="009B2056"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Cs/>
                <w:sz w:val="18"/>
                <w:szCs w:val="18"/>
              </w:rPr>
              <w:t>[2</w:t>
            </w:r>
            <w:r w:rsidR="0038144E">
              <w:rPr>
                <w:bCs/>
                <w:sz w:val="18"/>
                <w:szCs w:val="18"/>
              </w:rPr>
              <w:t>7</w:t>
            </w:r>
            <w:r w:rsidRPr="00BD45C7">
              <w:rPr>
                <w:bCs/>
                <w:sz w:val="18"/>
                <w:szCs w:val="18"/>
              </w:rPr>
              <w:t>]</w:t>
            </w:r>
          </w:p>
        </w:tc>
      </w:tr>
      <w:tr w:rsidR="009B2056" w:rsidRPr="00BD45C7" w14:paraId="3ED84433"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552DED20" w14:textId="1071E212" w:rsidR="009B2056" w:rsidRPr="00BD45C7" w:rsidRDefault="009B2056" w:rsidP="00BA2FE3">
            <w:pPr>
              <w:spacing w:line="264" w:lineRule="auto"/>
              <w:rPr>
                <w:b w:val="0"/>
                <w:bCs w:val="0"/>
                <w:sz w:val="18"/>
                <w:szCs w:val="18"/>
              </w:rPr>
            </w:pPr>
            <w:r w:rsidRPr="00BD45C7">
              <w:rPr>
                <w:b w:val="0"/>
                <w:bCs w:val="0"/>
                <w:sz w:val="18"/>
                <w:szCs w:val="18"/>
              </w:rPr>
              <w:t>Non-domestic price for electricity</w:t>
            </w:r>
          </w:p>
        </w:tc>
        <w:tc>
          <w:tcPr>
            <w:tcW w:w="1017" w:type="dxa"/>
          </w:tcPr>
          <w:p w14:paraId="5DEEB5B2" w14:textId="326BD346" w:rsidR="009B2056" w:rsidRPr="00BD45C7" w:rsidRDefault="00523FDA"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248.1</w:t>
            </w:r>
          </w:p>
        </w:tc>
        <w:tc>
          <w:tcPr>
            <w:tcW w:w="1215" w:type="dxa"/>
          </w:tcPr>
          <w:p w14:paraId="29BD5C09" w14:textId="5361C7B0" w:rsidR="009B2056" w:rsidRPr="00BD45C7" w:rsidRDefault="009B2056"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GBP/MWh</w:t>
            </w:r>
          </w:p>
        </w:tc>
        <w:tc>
          <w:tcPr>
            <w:tcW w:w="2389" w:type="dxa"/>
            <w:vMerge/>
            <w:vAlign w:val="center"/>
          </w:tcPr>
          <w:p w14:paraId="60808E19" w14:textId="77777777" w:rsidR="009B2056" w:rsidRPr="00BD45C7" w:rsidRDefault="009B2056" w:rsidP="00BA2FE3">
            <w:pPr>
              <w:spacing w:line="264"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r>
      <w:tr w:rsidR="009B2056" w:rsidRPr="00BD45C7" w14:paraId="1720D638"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52C47A6D" w14:textId="3954C399" w:rsidR="009B2056" w:rsidRPr="00BD45C7" w:rsidRDefault="009B2056" w:rsidP="00BA2FE3">
            <w:pPr>
              <w:spacing w:line="264" w:lineRule="auto"/>
              <w:rPr>
                <w:b w:val="0"/>
                <w:bCs w:val="0"/>
                <w:sz w:val="18"/>
                <w:szCs w:val="18"/>
              </w:rPr>
            </w:pPr>
            <w:r w:rsidRPr="00BD45C7">
              <w:rPr>
                <w:b w:val="0"/>
                <w:bCs w:val="0"/>
                <w:sz w:val="18"/>
                <w:szCs w:val="18"/>
              </w:rPr>
              <w:t>Domestic price for electricity</w:t>
            </w:r>
          </w:p>
        </w:tc>
        <w:tc>
          <w:tcPr>
            <w:tcW w:w="1017" w:type="dxa"/>
          </w:tcPr>
          <w:p w14:paraId="56997CCA" w14:textId="30169A65" w:rsidR="009B2056" w:rsidRPr="00BD45C7" w:rsidRDefault="00523FDA"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336.2</w:t>
            </w:r>
          </w:p>
        </w:tc>
        <w:tc>
          <w:tcPr>
            <w:tcW w:w="1215" w:type="dxa"/>
          </w:tcPr>
          <w:p w14:paraId="59553F60" w14:textId="69367F28" w:rsidR="009B2056" w:rsidRPr="00BD45C7" w:rsidRDefault="009B2056"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GBP/MWh</w:t>
            </w:r>
          </w:p>
        </w:tc>
        <w:tc>
          <w:tcPr>
            <w:tcW w:w="2389" w:type="dxa"/>
            <w:vMerge/>
            <w:vAlign w:val="center"/>
          </w:tcPr>
          <w:p w14:paraId="366D3897" w14:textId="77777777" w:rsidR="009B2056" w:rsidRPr="00BD45C7" w:rsidRDefault="009B2056"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p>
        </w:tc>
      </w:tr>
      <w:tr w:rsidR="00BD45C7" w:rsidRPr="00BD45C7" w14:paraId="282D57AF" w14:textId="77777777" w:rsidTr="00BD45C7">
        <w:tc>
          <w:tcPr>
            <w:cnfStyle w:val="001000000000" w:firstRow="0" w:lastRow="0" w:firstColumn="1" w:lastColumn="0" w:oddVBand="0" w:evenVBand="0" w:oddHBand="0" w:evenHBand="0" w:firstRowFirstColumn="0" w:firstRowLastColumn="0" w:lastRowFirstColumn="0" w:lastRowLastColumn="0"/>
            <w:tcW w:w="9072" w:type="dxa"/>
            <w:gridSpan w:val="4"/>
            <w:vAlign w:val="center"/>
          </w:tcPr>
          <w:p w14:paraId="15BA53CB" w14:textId="58ED4828" w:rsidR="00BD45C7" w:rsidRPr="00BD45C7" w:rsidRDefault="00BD45C7" w:rsidP="00BD45C7">
            <w:pPr>
              <w:spacing w:line="264" w:lineRule="auto"/>
              <w:jc w:val="center"/>
              <w:rPr>
                <w:b w:val="0"/>
                <w:bCs w:val="0"/>
                <w:sz w:val="20"/>
                <w:szCs w:val="20"/>
              </w:rPr>
            </w:pPr>
            <w:r w:rsidRPr="00BD45C7">
              <w:rPr>
                <w:bCs w:val="0"/>
                <w:sz w:val="20"/>
                <w:szCs w:val="20"/>
              </w:rPr>
              <w:t>Financial figures</w:t>
            </w:r>
          </w:p>
        </w:tc>
      </w:tr>
      <w:tr w:rsidR="00BA2FE3" w:rsidRPr="00BD45C7" w14:paraId="44358CC2"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6E898C3E" w14:textId="77777777" w:rsidR="00BA2FE3" w:rsidRPr="00BD45C7" w:rsidRDefault="00BA2FE3" w:rsidP="00BA2FE3">
            <w:pPr>
              <w:spacing w:line="264" w:lineRule="auto"/>
              <w:rPr>
                <w:b w:val="0"/>
                <w:sz w:val="18"/>
                <w:szCs w:val="18"/>
              </w:rPr>
            </w:pPr>
            <w:r w:rsidRPr="00BD45C7">
              <w:rPr>
                <w:sz w:val="18"/>
                <w:szCs w:val="18"/>
              </w:rPr>
              <w:t>Assumption</w:t>
            </w:r>
          </w:p>
        </w:tc>
        <w:tc>
          <w:tcPr>
            <w:tcW w:w="1017" w:type="dxa"/>
          </w:tcPr>
          <w:p w14:paraId="2DD62527"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
                <w:bCs/>
                <w:sz w:val="18"/>
                <w:szCs w:val="18"/>
              </w:rPr>
              <w:t>Value</w:t>
            </w:r>
          </w:p>
        </w:tc>
        <w:tc>
          <w:tcPr>
            <w:tcW w:w="1215" w:type="dxa"/>
          </w:tcPr>
          <w:p w14:paraId="0B5C221D"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BD45C7">
              <w:rPr>
                <w:b/>
                <w:bCs/>
                <w:sz w:val="18"/>
                <w:szCs w:val="18"/>
              </w:rPr>
              <w:t>Unit</w:t>
            </w:r>
          </w:p>
        </w:tc>
        <w:tc>
          <w:tcPr>
            <w:tcW w:w="2389" w:type="dxa"/>
          </w:tcPr>
          <w:p w14:paraId="689556F3"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
                <w:bCs/>
                <w:sz w:val="18"/>
                <w:szCs w:val="18"/>
              </w:rPr>
              <w:t>Reference</w:t>
            </w:r>
          </w:p>
        </w:tc>
      </w:tr>
      <w:tr w:rsidR="00BA2FE3" w:rsidRPr="00BD45C7" w14:paraId="05908F92"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5565B834" w14:textId="77777777" w:rsidR="00BA2FE3" w:rsidRPr="00BD45C7" w:rsidRDefault="00BA2FE3" w:rsidP="00BA2FE3">
            <w:pPr>
              <w:spacing w:line="264" w:lineRule="auto"/>
              <w:rPr>
                <w:b w:val="0"/>
                <w:sz w:val="18"/>
                <w:szCs w:val="18"/>
              </w:rPr>
            </w:pPr>
            <w:r w:rsidRPr="00BD45C7">
              <w:rPr>
                <w:b w:val="0"/>
                <w:sz w:val="18"/>
                <w:szCs w:val="18"/>
              </w:rPr>
              <w:t>Inflation coefficient from 2015 to 2023</w:t>
            </w:r>
          </w:p>
        </w:tc>
        <w:tc>
          <w:tcPr>
            <w:tcW w:w="1017" w:type="dxa"/>
          </w:tcPr>
          <w:p w14:paraId="3A5898E7"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129</w:t>
            </w:r>
          </w:p>
        </w:tc>
        <w:tc>
          <w:tcPr>
            <w:tcW w:w="1215" w:type="dxa"/>
          </w:tcPr>
          <w:p w14:paraId="73EEB2FA"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w:t>
            </w:r>
          </w:p>
        </w:tc>
        <w:tc>
          <w:tcPr>
            <w:tcW w:w="2389" w:type="dxa"/>
            <w:vMerge w:val="restart"/>
            <w:vAlign w:val="center"/>
          </w:tcPr>
          <w:p w14:paraId="27551197" w14:textId="1240B453" w:rsidR="00BA2FE3" w:rsidRPr="00BD45C7" w:rsidRDefault="009B2056" w:rsidP="00BA2FE3">
            <w:pPr>
              <w:spacing w:line="264"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BD45C7">
              <w:rPr>
                <w:bCs/>
                <w:sz w:val="18"/>
                <w:szCs w:val="18"/>
              </w:rPr>
              <w:t>[3]</w:t>
            </w:r>
          </w:p>
        </w:tc>
      </w:tr>
      <w:tr w:rsidR="00BA2FE3" w:rsidRPr="00BD45C7" w14:paraId="5BC9C4EB"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15E092FB" w14:textId="77777777" w:rsidR="00BA2FE3" w:rsidRPr="00BD45C7" w:rsidRDefault="00BA2FE3" w:rsidP="00BA2FE3">
            <w:pPr>
              <w:spacing w:line="264" w:lineRule="auto"/>
              <w:rPr>
                <w:b w:val="0"/>
                <w:sz w:val="18"/>
                <w:szCs w:val="18"/>
              </w:rPr>
            </w:pPr>
            <w:r w:rsidRPr="00BD45C7">
              <w:rPr>
                <w:b w:val="0"/>
                <w:sz w:val="18"/>
                <w:szCs w:val="18"/>
              </w:rPr>
              <w:t>Inflation coefficient from 2020 to 2023</w:t>
            </w:r>
          </w:p>
        </w:tc>
        <w:tc>
          <w:tcPr>
            <w:tcW w:w="1017" w:type="dxa"/>
          </w:tcPr>
          <w:p w14:paraId="637370D6"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117</w:t>
            </w:r>
          </w:p>
        </w:tc>
        <w:tc>
          <w:tcPr>
            <w:tcW w:w="1215" w:type="dxa"/>
          </w:tcPr>
          <w:p w14:paraId="5EBCB0C9"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w:t>
            </w:r>
          </w:p>
        </w:tc>
        <w:tc>
          <w:tcPr>
            <w:tcW w:w="2389" w:type="dxa"/>
            <w:vMerge/>
          </w:tcPr>
          <w:p w14:paraId="07D6F035"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p>
        </w:tc>
      </w:tr>
      <w:tr w:rsidR="00BA2FE3" w:rsidRPr="00BD45C7" w14:paraId="754014DD"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669456E4" w14:textId="77777777" w:rsidR="00BA2FE3" w:rsidRPr="00BD45C7" w:rsidRDefault="00BA2FE3" w:rsidP="00BA2FE3">
            <w:pPr>
              <w:spacing w:line="264" w:lineRule="auto"/>
              <w:rPr>
                <w:b w:val="0"/>
                <w:sz w:val="18"/>
                <w:szCs w:val="18"/>
              </w:rPr>
            </w:pPr>
            <w:r w:rsidRPr="00BD45C7">
              <w:rPr>
                <w:b w:val="0"/>
                <w:sz w:val="18"/>
                <w:szCs w:val="18"/>
              </w:rPr>
              <w:t>Loan repayment period</w:t>
            </w:r>
          </w:p>
        </w:tc>
        <w:tc>
          <w:tcPr>
            <w:tcW w:w="1017" w:type="dxa"/>
          </w:tcPr>
          <w:p w14:paraId="63D65BC4"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10</w:t>
            </w:r>
          </w:p>
        </w:tc>
        <w:tc>
          <w:tcPr>
            <w:tcW w:w="1215" w:type="dxa"/>
          </w:tcPr>
          <w:p w14:paraId="318B6078"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sz w:val="18"/>
                <w:szCs w:val="18"/>
              </w:rPr>
              <w:t>years</w:t>
            </w:r>
          </w:p>
        </w:tc>
        <w:tc>
          <w:tcPr>
            <w:tcW w:w="2389" w:type="dxa"/>
          </w:tcPr>
          <w:p w14:paraId="4B00B582"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BD45C7">
              <w:rPr>
                <w:bCs/>
                <w:sz w:val="18"/>
                <w:szCs w:val="18"/>
              </w:rPr>
              <w:t>N/A</w:t>
            </w:r>
          </w:p>
        </w:tc>
      </w:tr>
      <w:tr w:rsidR="00BA2FE3" w:rsidRPr="00BD45C7" w14:paraId="4AA750B8"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366D5DEB" w14:textId="77777777" w:rsidR="00BA2FE3" w:rsidRPr="00BD45C7" w:rsidRDefault="00BA2FE3" w:rsidP="00BA2FE3">
            <w:pPr>
              <w:spacing w:line="264" w:lineRule="auto"/>
              <w:rPr>
                <w:b w:val="0"/>
                <w:sz w:val="18"/>
                <w:szCs w:val="18"/>
              </w:rPr>
            </w:pPr>
            <w:r w:rsidRPr="00BD45C7">
              <w:rPr>
                <w:b w:val="0"/>
                <w:sz w:val="18"/>
                <w:szCs w:val="18"/>
              </w:rPr>
              <w:t>Loan interest rate</w:t>
            </w:r>
          </w:p>
        </w:tc>
        <w:tc>
          <w:tcPr>
            <w:tcW w:w="1017" w:type="dxa"/>
          </w:tcPr>
          <w:p w14:paraId="1CB8CF20"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3.5</w:t>
            </w:r>
          </w:p>
        </w:tc>
        <w:tc>
          <w:tcPr>
            <w:tcW w:w="1215" w:type="dxa"/>
          </w:tcPr>
          <w:p w14:paraId="78EEAE6D"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sz w:val="18"/>
                <w:szCs w:val="18"/>
              </w:rPr>
              <w:t>% p.a.</w:t>
            </w:r>
          </w:p>
        </w:tc>
        <w:tc>
          <w:tcPr>
            <w:tcW w:w="2389" w:type="dxa"/>
          </w:tcPr>
          <w:p w14:paraId="77A68773" w14:textId="337D54C8"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Cs/>
                <w:sz w:val="18"/>
                <w:szCs w:val="18"/>
              </w:rPr>
              <w:t>[</w:t>
            </w:r>
            <w:r w:rsidR="009B2056" w:rsidRPr="00BD45C7">
              <w:rPr>
                <w:bCs/>
                <w:sz w:val="18"/>
                <w:szCs w:val="18"/>
              </w:rPr>
              <w:t>24</w:t>
            </w:r>
            <w:r w:rsidRPr="00BD45C7">
              <w:rPr>
                <w:bCs/>
                <w:sz w:val="18"/>
                <w:szCs w:val="18"/>
              </w:rPr>
              <w:t>]</w:t>
            </w:r>
          </w:p>
        </w:tc>
      </w:tr>
      <w:tr w:rsidR="00BD45C7" w:rsidRPr="00BD45C7" w14:paraId="4E9C3C9B" w14:textId="77777777" w:rsidTr="00BD45C7">
        <w:tc>
          <w:tcPr>
            <w:cnfStyle w:val="001000000000" w:firstRow="0" w:lastRow="0" w:firstColumn="1" w:lastColumn="0" w:oddVBand="0" w:evenVBand="0" w:oddHBand="0" w:evenHBand="0" w:firstRowFirstColumn="0" w:firstRowLastColumn="0" w:lastRowFirstColumn="0" w:lastRowLastColumn="0"/>
            <w:tcW w:w="9072" w:type="dxa"/>
            <w:gridSpan w:val="4"/>
            <w:vAlign w:val="center"/>
          </w:tcPr>
          <w:p w14:paraId="0FD08C1F" w14:textId="61AB1763" w:rsidR="00BD45C7" w:rsidRPr="00BD45C7" w:rsidRDefault="00BD45C7" w:rsidP="00BD45C7">
            <w:pPr>
              <w:spacing w:line="264" w:lineRule="auto"/>
              <w:jc w:val="center"/>
              <w:rPr>
                <w:bCs w:val="0"/>
                <w:sz w:val="18"/>
                <w:szCs w:val="18"/>
              </w:rPr>
            </w:pPr>
            <w:r w:rsidRPr="00BD45C7">
              <w:rPr>
                <w:bCs w:val="0"/>
                <w:sz w:val="20"/>
                <w:szCs w:val="20"/>
              </w:rPr>
              <w:t>Technology design life</w:t>
            </w:r>
          </w:p>
        </w:tc>
      </w:tr>
      <w:tr w:rsidR="00BA2FE3" w:rsidRPr="00BD45C7" w14:paraId="621B0527"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5ACDDAC0" w14:textId="77777777" w:rsidR="00BA2FE3" w:rsidRPr="00BD45C7" w:rsidRDefault="00BA2FE3" w:rsidP="00BA2FE3">
            <w:pPr>
              <w:spacing w:line="264" w:lineRule="auto"/>
              <w:rPr>
                <w:b w:val="0"/>
                <w:sz w:val="18"/>
                <w:szCs w:val="18"/>
              </w:rPr>
            </w:pPr>
            <w:r w:rsidRPr="00BD45C7">
              <w:rPr>
                <w:sz w:val="18"/>
                <w:szCs w:val="18"/>
              </w:rPr>
              <w:t>Assumption</w:t>
            </w:r>
          </w:p>
        </w:tc>
        <w:tc>
          <w:tcPr>
            <w:tcW w:w="1017" w:type="dxa"/>
          </w:tcPr>
          <w:p w14:paraId="264DECCA"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b/>
                <w:bCs/>
                <w:sz w:val="18"/>
                <w:szCs w:val="18"/>
              </w:rPr>
              <w:t>Value</w:t>
            </w:r>
          </w:p>
        </w:tc>
        <w:tc>
          <w:tcPr>
            <w:tcW w:w="1215" w:type="dxa"/>
          </w:tcPr>
          <w:p w14:paraId="1681D096"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b/>
                <w:bCs/>
                <w:sz w:val="18"/>
                <w:szCs w:val="18"/>
              </w:rPr>
              <w:t>Unit</w:t>
            </w:r>
          </w:p>
        </w:tc>
        <w:tc>
          <w:tcPr>
            <w:tcW w:w="2389" w:type="dxa"/>
          </w:tcPr>
          <w:p w14:paraId="0D2BBDBF"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
                <w:bCs/>
                <w:sz w:val="18"/>
                <w:szCs w:val="18"/>
              </w:rPr>
              <w:t>Reference</w:t>
            </w:r>
          </w:p>
        </w:tc>
      </w:tr>
      <w:tr w:rsidR="00BA2FE3" w:rsidRPr="00BD45C7" w14:paraId="600BD500"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41A18EEC" w14:textId="77777777" w:rsidR="00BA2FE3" w:rsidRPr="00BD45C7" w:rsidRDefault="00BA2FE3" w:rsidP="00BA2FE3">
            <w:pPr>
              <w:spacing w:line="264" w:lineRule="auto"/>
              <w:rPr>
                <w:b w:val="0"/>
                <w:sz w:val="18"/>
                <w:szCs w:val="18"/>
              </w:rPr>
            </w:pPr>
            <w:r w:rsidRPr="00BD45C7">
              <w:rPr>
                <w:b w:val="0"/>
                <w:sz w:val="18"/>
                <w:szCs w:val="18"/>
              </w:rPr>
              <w:t>Waste heat recovery system</w:t>
            </w:r>
          </w:p>
        </w:tc>
        <w:tc>
          <w:tcPr>
            <w:tcW w:w="1017" w:type="dxa"/>
          </w:tcPr>
          <w:p w14:paraId="6DF4C0D5"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bCs/>
                <w:sz w:val="18"/>
                <w:szCs w:val="18"/>
              </w:rPr>
              <w:t>25</w:t>
            </w:r>
          </w:p>
        </w:tc>
        <w:tc>
          <w:tcPr>
            <w:tcW w:w="1215" w:type="dxa"/>
          </w:tcPr>
          <w:p w14:paraId="6196A80F"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bCs/>
                <w:sz w:val="18"/>
                <w:szCs w:val="18"/>
              </w:rPr>
              <w:t>years</w:t>
            </w:r>
          </w:p>
        </w:tc>
        <w:tc>
          <w:tcPr>
            <w:tcW w:w="2389" w:type="dxa"/>
            <w:vMerge w:val="restart"/>
            <w:vAlign w:val="center"/>
          </w:tcPr>
          <w:p w14:paraId="6BBA2AE0" w14:textId="3A06041D"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BD45C7">
              <w:rPr>
                <w:bCs/>
                <w:sz w:val="18"/>
                <w:szCs w:val="18"/>
              </w:rPr>
              <w:t>[</w:t>
            </w:r>
            <w:r w:rsidR="009B2056" w:rsidRPr="00BD45C7">
              <w:rPr>
                <w:bCs/>
                <w:sz w:val="18"/>
                <w:szCs w:val="18"/>
              </w:rPr>
              <w:t>25</w:t>
            </w:r>
            <w:r w:rsidRPr="00BD45C7">
              <w:rPr>
                <w:bCs/>
                <w:sz w:val="18"/>
                <w:szCs w:val="18"/>
              </w:rPr>
              <w:t>]</w:t>
            </w:r>
          </w:p>
        </w:tc>
      </w:tr>
      <w:tr w:rsidR="00523FDA" w:rsidRPr="00BD45C7" w14:paraId="25164AFF"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6D55D8C5" w14:textId="62315482" w:rsidR="00523FDA" w:rsidRPr="00BD45C7" w:rsidRDefault="00523FDA" w:rsidP="00BA2FE3">
            <w:pPr>
              <w:spacing w:line="264" w:lineRule="auto"/>
              <w:rPr>
                <w:b w:val="0"/>
                <w:bCs w:val="0"/>
                <w:sz w:val="18"/>
                <w:szCs w:val="18"/>
              </w:rPr>
            </w:pPr>
            <w:r w:rsidRPr="00BD45C7">
              <w:rPr>
                <w:b w:val="0"/>
                <w:bCs w:val="0"/>
                <w:sz w:val="18"/>
                <w:szCs w:val="18"/>
              </w:rPr>
              <w:t>District-scale heat pump</w:t>
            </w:r>
          </w:p>
        </w:tc>
        <w:tc>
          <w:tcPr>
            <w:tcW w:w="1017" w:type="dxa"/>
          </w:tcPr>
          <w:p w14:paraId="1169F767" w14:textId="570C0813" w:rsidR="00523FDA" w:rsidRPr="00BD45C7" w:rsidRDefault="00523FDA"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Cs/>
                <w:sz w:val="18"/>
                <w:szCs w:val="18"/>
              </w:rPr>
              <w:t>25</w:t>
            </w:r>
          </w:p>
        </w:tc>
        <w:tc>
          <w:tcPr>
            <w:tcW w:w="1215" w:type="dxa"/>
          </w:tcPr>
          <w:p w14:paraId="2944EB62" w14:textId="60A16B10" w:rsidR="00523FDA" w:rsidRPr="00BD45C7" w:rsidRDefault="00523FDA"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BD45C7">
              <w:rPr>
                <w:bCs/>
                <w:sz w:val="18"/>
                <w:szCs w:val="18"/>
              </w:rPr>
              <w:t>years</w:t>
            </w:r>
          </w:p>
        </w:tc>
        <w:tc>
          <w:tcPr>
            <w:tcW w:w="2389" w:type="dxa"/>
            <w:vMerge/>
            <w:vAlign w:val="center"/>
          </w:tcPr>
          <w:p w14:paraId="5406D495" w14:textId="77777777" w:rsidR="00523FDA" w:rsidRPr="00BD45C7" w:rsidRDefault="00523FDA"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p>
        </w:tc>
      </w:tr>
      <w:tr w:rsidR="00BA2FE3" w:rsidRPr="00BD45C7" w14:paraId="47202AFB" w14:textId="77777777" w:rsidTr="00BD45C7">
        <w:tc>
          <w:tcPr>
            <w:cnfStyle w:val="001000000000" w:firstRow="0" w:lastRow="0" w:firstColumn="1" w:lastColumn="0" w:oddVBand="0" w:evenVBand="0" w:oddHBand="0" w:evenHBand="0" w:firstRowFirstColumn="0" w:firstRowLastColumn="0" w:lastRowFirstColumn="0" w:lastRowLastColumn="0"/>
            <w:tcW w:w="4451" w:type="dxa"/>
          </w:tcPr>
          <w:p w14:paraId="40F74421" w14:textId="77777777" w:rsidR="00BA2FE3" w:rsidRPr="00BD45C7" w:rsidRDefault="00BA2FE3" w:rsidP="00BA2FE3">
            <w:pPr>
              <w:spacing w:line="264" w:lineRule="auto"/>
              <w:rPr>
                <w:b w:val="0"/>
                <w:sz w:val="18"/>
                <w:szCs w:val="18"/>
              </w:rPr>
            </w:pPr>
            <w:r w:rsidRPr="00BD45C7">
              <w:rPr>
                <w:b w:val="0"/>
                <w:sz w:val="18"/>
                <w:szCs w:val="18"/>
              </w:rPr>
              <w:t>Small-scale thermal storage tank (steel)</w:t>
            </w:r>
          </w:p>
        </w:tc>
        <w:tc>
          <w:tcPr>
            <w:tcW w:w="1017" w:type="dxa"/>
          </w:tcPr>
          <w:p w14:paraId="68FD8BBD"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bCs/>
                <w:sz w:val="18"/>
                <w:szCs w:val="18"/>
              </w:rPr>
              <w:t>30</w:t>
            </w:r>
          </w:p>
        </w:tc>
        <w:tc>
          <w:tcPr>
            <w:tcW w:w="1215" w:type="dxa"/>
          </w:tcPr>
          <w:p w14:paraId="61E6C51F"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D45C7">
              <w:rPr>
                <w:bCs/>
                <w:sz w:val="18"/>
                <w:szCs w:val="18"/>
              </w:rPr>
              <w:t>years</w:t>
            </w:r>
          </w:p>
        </w:tc>
        <w:tc>
          <w:tcPr>
            <w:tcW w:w="2389" w:type="dxa"/>
            <w:vMerge/>
          </w:tcPr>
          <w:p w14:paraId="6D2532F1" w14:textId="77777777" w:rsidR="00BA2FE3" w:rsidRPr="00BD45C7" w:rsidRDefault="00BA2FE3" w:rsidP="00BA2FE3">
            <w:pPr>
              <w:spacing w:line="264"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p>
        </w:tc>
      </w:tr>
      <w:tr w:rsidR="00BA2FE3" w:rsidRPr="00BD45C7" w14:paraId="1E5A99FB" w14:textId="77777777" w:rsidTr="00BD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381DBA86" w14:textId="77777777" w:rsidR="00BA2FE3" w:rsidRPr="00BD45C7" w:rsidRDefault="00BA2FE3" w:rsidP="00BA2FE3">
            <w:pPr>
              <w:spacing w:line="264" w:lineRule="auto"/>
              <w:rPr>
                <w:b w:val="0"/>
                <w:sz w:val="18"/>
                <w:szCs w:val="18"/>
              </w:rPr>
            </w:pPr>
            <w:r w:rsidRPr="00BD45C7">
              <w:rPr>
                <w:b w:val="0"/>
                <w:sz w:val="18"/>
                <w:szCs w:val="18"/>
              </w:rPr>
              <w:t>District heating network</w:t>
            </w:r>
          </w:p>
        </w:tc>
        <w:tc>
          <w:tcPr>
            <w:tcW w:w="1017" w:type="dxa"/>
          </w:tcPr>
          <w:p w14:paraId="67896A43"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bCs/>
                <w:sz w:val="18"/>
                <w:szCs w:val="18"/>
              </w:rPr>
              <w:t>50</w:t>
            </w:r>
          </w:p>
        </w:tc>
        <w:tc>
          <w:tcPr>
            <w:tcW w:w="1215" w:type="dxa"/>
          </w:tcPr>
          <w:p w14:paraId="1DBE8667"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D45C7">
              <w:rPr>
                <w:bCs/>
                <w:sz w:val="18"/>
                <w:szCs w:val="18"/>
              </w:rPr>
              <w:t>years</w:t>
            </w:r>
          </w:p>
        </w:tc>
        <w:tc>
          <w:tcPr>
            <w:tcW w:w="2389" w:type="dxa"/>
            <w:vMerge/>
          </w:tcPr>
          <w:p w14:paraId="3136CCC6" w14:textId="77777777" w:rsidR="00BA2FE3" w:rsidRPr="00BD45C7" w:rsidRDefault="00BA2FE3" w:rsidP="00BA2FE3">
            <w:pPr>
              <w:spacing w:line="264"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p>
        </w:tc>
      </w:tr>
    </w:tbl>
    <w:p w14:paraId="65020219" w14:textId="77777777" w:rsidR="00546934" w:rsidRDefault="00546934" w:rsidP="00271E4E">
      <w:pPr>
        <w:spacing w:line="264" w:lineRule="auto"/>
        <w:jc w:val="both"/>
        <w:rPr>
          <w:rFonts w:asciiTheme="majorHAnsi" w:hAnsiTheme="majorHAnsi" w:cstheme="majorHAnsi"/>
          <w:sz w:val="22"/>
          <w:szCs w:val="22"/>
        </w:rPr>
      </w:pPr>
    </w:p>
    <w:p w14:paraId="3469299E" w14:textId="28237FA9" w:rsidR="00466954" w:rsidRPr="00466954" w:rsidRDefault="00271E4E" w:rsidP="00271E4E">
      <w:pPr>
        <w:spacing w:after="120" w:line="264" w:lineRule="auto"/>
        <w:jc w:val="both"/>
        <w:rPr>
          <w:rFonts w:asciiTheme="majorHAnsi" w:hAnsiTheme="majorHAnsi" w:cstheme="majorHAnsi"/>
          <w:sz w:val="22"/>
          <w:szCs w:val="22"/>
        </w:rPr>
      </w:pPr>
      <w:r w:rsidRPr="00466954">
        <w:rPr>
          <w:rFonts w:asciiTheme="majorHAnsi" w:hAnsiTheme="majorHAnsi" w:cstheme="majorHAnsi"/>
          <w:sz w:val="22"/>
          <w:szCs w:val="22"/>
        </w:rPr>
        <w:t xml:space="preserve">A comparison of the </w:t>
      </w:r>
      <w:proofErr w:type="spellStart"/>
      <w:r w:rsidRPr="00466954">
        <w:rPr>
          <w:rFonts w:asciiTheme="majorHAnsi" w:hAnsiTheme="majorHAnsi" w:cstheme="majorHAnsi"/>
          <w:sz w:val="22"/>
          <w:szCs w:val="22"/>
        </w:rPr>
        <w:t>levelised</w:t>
      </w:r>
      <w:proofErr w:type="spellEnd"/>
      <w:r w:rsidRPr="00466954">
        <w:rPr>
          <w:rFonts w:asciiTheme="majorHAnsi" w:hAnsiTheme="majorHAnsi" w:cstheme="majorHAnsi"/>
          <w:sz w:val="22"/>
          <w:szCs w:val="22"/>
        </w:rPr>
        <w:t xml:space="preserve"> costs for the WHR system against the operatio</w:t>
      </w:r>
      <w:r w:rsidR="0080177D" w:rsidRPr="00466954">
        <w:rPr>
          <w:rFonts w:asciiTheme="majorHAnsi" w:hAnsiTheme="majorHAnsi" w:cstheme="majorHAnsi"/>
          <w:sz w:val="22"/>
          <w:szCs w:val="22"/>
        </w:rPr>
        <w:t>n</w:t>
      </w:r>
      <w:r w:rsidRPr="00466954">
        <w:rPr>
          <w:rFonts w:asciiTheme="majorHAnsi" w:hAnsiTheme="majorHAnsi" w:cstheme="majorHAnsi"/>
          <w:sz w:val="22"/>
          <w:szCs w:val="22"/>
        </w:rPr>
        <w:t xml:space="preserve">al costs for gas boilers and ASHPs is shown in Figure 5. The contributions of different costs to the final </w:t>
      </w:r>
      <w:proofErr w:type="spellStart"/>
      <w:r w:rsidRPr="00466954">
        <w:rPr>
          <w:rFonts w:asciiTheme="majorHAnsi" w:hAnsiTheme="majorHAnsi" w:cstheme="majorHAnsi"/>
          <w:sz w:val="22"/>
          <w:szCs w:val="22"/>
        </w:rPr>
        <w:t>levelised</w:t>
      </w:r>
      <w:proofErr w:type="spellEnd"/>
      <w:r w:rsidRPr="00466954">
        <w:rPr>
          <w:rFonts w:asciiTheme="majorHAnsi" w:hAnsiTheme="majorHAnsi" w:cstheme="majorHAnsi"/>
          <w:sz w:val="22"/>
          <w:szCs w:val="22"/>
        </w:rPr>
        <w:t xml:space="preserve"> figure of each scenario are also indicated. As it can be observed</w:t>
      </w:r>
      <w:r w:rsidR="00BD45C7" w:rsidRPr="00466954">
        <w:rPr>
          <w:rFonts w:asciiTheme="majorHAnsi" w:hAnsiTheme="majorHAnsi" w:cstheme="majorHAnsi"/>
          <w:sz w:val="22"/>
          <w:szCs w:val="22"/>
        </w:rPr>
        <w:t xml:space="preserve">, </w:t>
      </w:r>
      <w:r w:rsidR="00023756" w:rsidRPr="00466954">
        <w:rPr>
          <w:rFonts w:asciiTheme="majorHAnsi" w:hAnsiTheme="majorHAnsi" w:cstheme="majorHAnsi"/>
          <w:sz w:val="22"/>
          <w:szCs w:val="22"/>
        </w:rPr>
        <w:t xml:space="preserve">an increase in the amount of cooling delivered </w:t>
      </w:r>
      <w:r w:rsidR="00707E57">
        <w:rPr>
          <w:rFonts w:asciiTheme="majorHAnsi" w:hAnsiTheme="majorHAnsi" w:cstheme="majorHAnsi"/>
          <w:sz w:val="22"/>
          <w:szCs w:val="22"/>
        </w:rPr>
        <w:lastRenderedPageBreak/>
        <w:t>would</w:t>
      </w:r>
      <w:r w:rsidR="00023756" w:rsidRPr="00466954">
        <w:rPr>
          <w:rFonts w:asciiTheme="majorHAnsi" w:hAnsiTheme="majorHAnsi" w:cstheme="majorHAnsi"/>
          <w:sz w:val="22"/>
          <w:szCs w:val="22"/>
        </w:rPr>
        <w:t xml:space="preserve"> achieve significant reductions in the LCOE, as the useful energy outputs from the system increase considerably when both heating and cooling are exploited, with scenario 5 obtaining the lowest LCOE value of £76.7 per MWh, which is 2% and 39% lower than the operational costs of communal gas boilers and ASHPs, respectively. Scenario 1</w:t>
      </w:r>
      <w:r w:rsidR="00466954" w:rsidRPr="00466954">
        <w:rPr>
          <w:rFonts w:asciiTheme="majorHAnsi" w:hAnsiTheme="majorHAnsi" w:cstheme="majorHAnsi"/>
          <w:sz w:val="22"/>
          <w:szCs w:val="22"/>
        </w:rPr>
        <w:t xml:space="preserve">, which corresponds to year-round operation in extract mode, </w:t>
      </w:r>
      <w:r w:rsidR="00023756" w:rsidRPr="00466954">
        <w:rPr>
          <w:rFonts w:asciiTheme="majorHAnsi" w:hAnsiTheme="majorHAnsi" w:cstheme="majorHAnsi"/>
          <w:sz w:val="22"/>
          <w:szCs w:val="22"/>
        </w:rPr>
        <w:t xml:space="preserve">uses less energy due to its higher seasonal COSP, as shown in Table 2, but its lack of cooling provision </w:t>
      </w:r>
      <w:r w:rsidR="00466954" w:rsidRPr="00466954">
        <w:rPr>
          <w:rFonts w:asciiTheme="majorHAnsi" w:hAnsiTheme="majorHAnsi" w:cstheme="majorHAnsi"/>
          <w:sz w:val="22"/>
          <w:szCs w:val="22"/>
        </w:rPr>
        <w:t>led to</w:t>
      </w:r>
      <w:r w:rsidR="00023756" w:rsidRPr="00466954">
        <w:rPr>
          <w:rFonts w:asciiTheme="majorHAnsi" w:hAnsiTheme="majorHAnsi" w:cstheme="majorHAnsi"/>
          <w:sz w:val="22"/>
          <w:szCs w:val="22"/>
        </w:rPr>
        <w:t xml:space="preserve"> </w:t>
      </w:r>
      <w:r w:rsidR="00707E57">
        <w:rPr>
          <w:rFonts w:asciiTheme="majorHAnsi" w:hAnsiTheme="majorHAnsi" w:cstheme="majorHAnsi"/>
          <w:sz w:val="22"/>
          <w:szCs w:val="22"/>
        </w:rPr>
        <w:t xml:space="preserve">the </w:t>
      </w:r>
      <w:r w:rsidR="00023756" w:rsidRPr="00466954">
        <w:rPr>
          <w:rFonts w:asciiTheme="majorHAnsi" w:hAnsiTheme="majorHAnsi" w:cstheme="majorHAnsi"/>
          <w:sz w:val="22"/>
          <w:szCs w:val="22"/>
        </w:rPr>
        <w:t>highest LCOE</w:t>
      </w:r>
      <w:r w:rsidR="00466954" w:rsidRPr="00466954">
        <w:rPr>
          <w:rFonts w:asciiTheme="majorHAnsi" w:hAnsiTheme="majorHAnsi" w:cstheme="majorHAnsi"/>
          <w:sz w:val="22"/>
          <w:szCs w:val="22"/>
        </w:rPr>
        <w:t xml:space="preserve"> (37% higher than the OPEX for gas boilers). However, the LCOE was still 14% lower than the running costs of an ASHP.</w:t>
      </w:r>
    </w:p>
    <w:p w14:paraId="6CBD489B" w14:textId="7F15BB87" w:rsidR="00683CE7" w:rsidRDefault="00466954" w:rsidP="00683CE7">
      <w:pPr>
        <w:spacing w:after="120" w:line="264" w:lineRule="auto"/>
        <w:jc w:val="both"/>
        <w:rPr>
          <w:rFonts w:asciiTheme="majorHAnsi" w:hAnsiTheme="majorHAnsi" w:cstheme="majorHAnsi"/>
          <w:sz w:val="22"/>
          <w:szCs w:val="22"/>
        </w:rPr>
      </w:pPr>
      <w:r w:rsidRPr="00466954">
        <w:rPr>
          <w:rFonts w:asciiTheme="majorHAnsi" w:hAnsiTheme="majorHAnsi" w:cstheme="majorHAnsi"/>
          <w:sz w:val="22"/>
          <w:szCs w:val="22"/>
        </w:rPr>
        <w:t xml:space="preserve">Despite these results </w:t>
      </w:r>
      <w:r w:rsidR="00023756" w:rsidRPr="00466954">
        <w:rPr>
          <w:rFonts w:asciiTheme="majorHAnsi" w:hAnsiTheme="majorHAnsi" w:cstheme="majorHAnsi"/>
          <w:sz w:val="22"/>
          <w:szCs w:val="22"/>
        </w:rPr>
        <w:t xml:space="preserve">indicating a benefit of running the system in supply mode throughout the year, </w:t>
      </w:r>
      <w:r w:rsidR="00683CE7" w:rsidRPr="00683CE7">
        <w:rPr>
          <w:rFonts w:asciiTheme="majorHAnsi" w:hAnsiTheme="majorHAnsi" w:cstheme="majorHAnsi"/>
          <w:sz w:val="22"/>
          <w:szCs w:val="22"/>
        </w:rPr>
        <w:t xml:space="preserve">one potential issue is that the recipient of the cooling benefit would be the railway operator, whilst the </w:t>
      </w:r>
      <w:r w:rsidR="00683CE7">
        <w:rPr>
          <w:rFonts w:asciiTheme="majorHAnsi" w:hAnsiTheme="majorHAnsi" w:cstheme="majorHAnsi"/>
          <w:sz w:val="22"/>
          <w:szCs w:val="22"/>
        </w:rPr>
        <w:t>DH</w:t>
      </w:r>
      <w:r w:rsidR="00683CE7" w:rsidRPr="00683CE7">
        <w:rPr>
          <w:rFonts w:asciiTheme="majorHAnsi" w:hAnsiTheme="majorHAnsi" w:cstheme="majorHAnsi"/>
          <w:sz w:val="22"/>
          <w:szCs w:val="22"/>
        </w:rPr>
        <w:t xml:space="preserve"> operator would be the stakeholder having to bear the higher costs of producing low-carbon heat using electricity as fuel. </w:t>
      </w:r>
      <w:r w:rsidR="00683CE7">
        <w:rPr>
          <w:rFonts w:asciiTheme="majorHAnsi" w:hAnsiTheme="majorHAnsi" w:cstheme="majorHAnsi"/>
          <w:sz w:val="22"/>
          <w:szCs w:val="22"/>
        </w:rPr>
        <w:t xml:space="preserve">This might pose a challenge to long-term cooling delivery, but the results from Table 2 still indicate how it is possible to deliver cooling when it is most needed with a small impact on the annual energy consumption of the WHR system. </w:t>
      </w:r>
      <w:r w:rsidR="00683CE7" w:rsidRPr="00683CE7">
        <w:rPr>
          <w:rFonts w:asciiTheme="majorHAnsi" w:hAnsiTheme="majorHAnsi" w:cstheme="majorHAnsi"/>
          <w:sz w:val="22"/>
          <w:szCs w:val="22"/>
        </w:rPr>
        <w:t xml:space="preserve">Furthermore, the high CAPEX associated with </w:t>
      </w:r>
      <w:r w:rsidR="00683CE7">
        <w:rPr>
          <w:rFonts w:asciiTheme="majorHAnsi" w:hAnsiTheme="majorHAnsi" w:cstheme="majorHAnsi"/>
          <w:sz w:val="22"/>
          <w:szCs w:val="22"/>
        </w:rPr>
        <w:t>DH</w:t>
      </w:r>
      <w:r w:rsidR="00683CE7" w:rsidRPr="00683CE7">
        <w:rPr>
          <w:rFonts w:asciiTheme="majorHAnsi" w:hAnsiTheme="majorHAnsi" w:cstheme="majorHAnsi"/>
          <w:sz w:val="22"/>
          <w:szCs w:val="22"/>
        </w:rPr>
        <w:t xml:space="preserve"> networks still lead</w:t>
      </w:r>
      <w:r w:rsidR="00683CE7">
        <w:rPr>
          <w:rFonts w:asciiTheme="majorHAnsi" w:hAnsiTheme="majorHAnsi" w:cstheme="majorHAnsi"/>
          <w:sz w:val="22"/>
          <w:szCs w:val="22"/>
        </w:rPr>
        <w:t>s</w:t>
      </w:r>
      <w:r w:rsidR="00683CE7" w:rsidRPr="00683CE7">
        <w:rPr>
          <w:rFonts w:asciiTheme="majorHAnsi" w:hAnsiTheme="majorHAnsi" w:cstheme="majorHAnsi"/>
          <w:sz w:val="22"/>
          <w:szCs w:val="22"/>
        </w:rPr>
        <w:t xml:space="preserve"> to long payback periods, meaning public policy must play a role as an enabler for WHR </w:t>
      </w:r>
      <w:r w:rsidR="00B85412">
        <w:rPr>
          <w:rFonts w:asciiTheme="majorHAnsi" w:hAnsiTheme="majorHAnsi" w:cstheme="majorHAnsi"/>
          <w:sz w:val="22"/>
          <w:szCs w:val="22"/>
        </w:rPr>
        <w:t>projects</w:t>
      </w:r>
      <w:r w:rsidR="00683CE7" w:rsidRPr="00683CE7">
        <w:rPr>
          <w:rFonts w:asciiTheme="majorHAnsi" w:hAnsiTheme="majorHAnsi" w:cstheme="majorHAnsi"/>
          <w:sz w:val="22"/>
          <w:szCs w:val="22"/>
        </w:rPr>
        <w:t>, especially as there is a significant disparity between gas and electricity prices in the UK. The higher levies and taxes applied to electricity bills represent a risk for the electrification of heat supply and for the exploitation of low-grade waste heat sources in the UK.</w:t>
      </w:r>
      <w:r w:rsidR="00683CE7">
        <w:rPr>
          <w:rFonts w:asciiTheme="majorHAnsi" w:hAnsiTheme="majorHAnsi" w:cstheme="majorHAnsi"/>
          <w:sz w:val="22"/>
          <w:szCs w:val="22"/>
        </w:rPr>
        <w:t xml:space="preserve"> Government plans to rebalance </w:t>
      </w:r>
      <w:r w:rsidR="00683CE7" w:rsidRPr="00683CE7">
        <w:rPr>
          <w:rFonts w:asciiTheme="majorHAnsi" w:hAnsiTheme="majorHAnsi" w:cstheme="majorHAnsi"/>
          <w:sz w:val="22"/>
          <w:szCs w:val="22"/>
        </w:rPr>
        <w:t>gas and electricity costs</w:t>
      </w:r>
      <w:r w:rsidR="00683CE7">
        <w:rPr>
          <w:rFonts w:asciiTheme="majorHAnsi" w:hAnsiTheme="majorHAnsi" w:cstheme="majorHAnsi"/>
          <w:sz w:val="22"/>
          <w:szCs w:val="22"/>
        </w:rPr>
        <w:t xml:space="preserve"> can be key in accelerating the rollout of DH networks using waste heat, together with policies such as the Green Heat Network Fund</w:t>
      </w:r>
      <w:r w:rsidR="0089500D">
        <w:rPr>
          <w:rFonts w:asciiTheme="majorHAnsi" w:hAnsiTheme="majorHAnsi" w:cstheme="majorHAnsi"/>
          <w:sz w:val="22"/>
          <w:szCs w:val="22"/>
        </w:rPr>
        <w:t xml:space="preserve"> [22], </w:t>
      </w:r>
      <w:r w:rsidR="0089500D" w:rsidRPr="0089500D">
        <w:rPr>
          <w:rFonts w:asciiTheme="majorHAnsi" w:hAnsiTheme="majorHAnsi" w:cstheme="majorHAnsi"/>
          <w:sz w:val="22"/>
          <w:szCs w:val="22"/>
        </w:rPr>
        <w:t xml:space="preserve">which </w:t>
      </w:r>
      <w:r w:rsidR="0089500D">
        <w:rPr>
          <w:rFonts w:asciiTheme="majorHAnsi" w:hAnsiTheme="majorHAnsi" w:cstheme="majorHAnsi"/>
          <w:sz w:val="22"/>
          <w:szCs w:val="22"/>
        </w:rPr>
        <w:t>can cover</w:t>
      </w:r>
      <w:r w:rsidR="0089500D" w:rsidRPr="0089500D">
        <w:rPr>
          <w:rFonts w:asciiTheme="majorHAnsi" w:hAnsiTheme="majorHAnsi" w:cstheme="majorHAnsi"/>
          <w:sz w:val="22"/>
          <w:szCs w:val="22"/>
        </w:rPr>
        <w:t xml:space="preserve"> up to 50% of </w:t>
      </w:r>
      <w:r w:rsidR="0089500D">
        <w:rPr>
          <w:rFonts w:asciiTheme="majorHAnsi" w:hAnsiTheme="majorHAnsi" w:cstheme="majorHAnsi"/>
          <w:sz w:val="22"/>
          <w:szCs w:val="22"/>
        </w:rPr>
        <w:t xml:space="preserve">the total </w:t>
      </w:r>
      <w:proofErr w:type="spellStart"/>
      <w:r w:rsidR="0089500D" w:rsidRPr="0089500D">
        <w:rPr>
          <w:rFonts w:asciiTheme="majorHAnsi" w:hAnsiTheme="majorHAnsi" w:cstheme="majorHAnsi"/>
          <w:sz w:val="22"/>
          <w:szCs w:val="22"/>
        </w:rPr>
        <w:t>commercialisation</w:t>
      </w:r>
      <w:proofErr w:type="spellEnd"/>
      <w:r w:rsidR="0089500D" w:rsidRPr="0089500D">
        <w:rPr>
          <w:rFonts w:asciiTheme="majorHAnsi" w:hAnsiTheme="majorHAnsi" w:cstheme="majorHAnsi"/>
          <w:sz w:val="22"/>
          <w:szCs w:val="22"/>
        </w:rPr>
        <w:t xml:space="preserve"> and construction costs</w:t>
      </w:r>
      <w:r w:rsidR="0089500D">
        <w:rPr>
          <w:rFonts w:asciiTheme="majorHAnsi" w:hAnsiTheme="majorHAnsi" w:cstheme="majorHAnsi"/>
          <w:sz w:val="22"/>
          <w:szCs w:val="22"/>
        </w:rPr>
        <w:t xml:space="preserve"> for</w:t>
      </w:r>
      <w:r w:rsidR="00B85412">
        <w:rPr>
          <w:rFonts w:asciiTheme="majorHAnsi" w:hAnsiTheme="majorHAnsi" w:cstheme="majorHAnsi"/>
          <w:sz w:val="22"/>
          <w:szCs w:val="22"/>
        </w:rPr>
        <w:t xml:space="preserve"> low-carbon</w:t>
      </w:r>
      <w:r w:rsidR="0089500D">
        <w:rPr>
          <w:rFonts w:asciiTheme="majorHAnsi" w:hAnsiTheme="majorHAnsi" w:cstheme="majorHAnsi"/>
          <w:sz w:val="22"/>
          <w:szCs w:val="22"/>
        </w:rPr>
        <w:t xml:space="preserve"> DH projects.</w:t>
      </w:r>
    </w:p>
    <w:p w14:paraId="53050134" w14:textId="299C1809" w:rsidR="0080177D" w:rsidRDefault="00932C55" w:rsidP="00BD45C7">
      <w:pPr>
        <w:spacing w:line="264" w:lineRule="auto"/>
        <w:jc w:val="center"/>
        <w:rPr>
          <w:rFonts w:asciiTheme="majorHAnsi" w:hAnsiTheme="majorHAnsi" w:cstheme="majorHAnsi"/>
          <w:sz w:val="22"/>
          <w:szCs w:val="22"/>
          <w:highlight w:val="yellow"/>
        </w:rPr>
      </w:pPr>
      <w:r w:rsidRPr="00932C55">
        <w:rPr>
          <w:rFonts w:asciiTheme="majorHAnsi" w:hAnsiTheme="majorHAnsi" w:cstheme="majorHAnsi"/>
          <w:noProof/>
          <w:sz w:val="22"/>
          <w:szCs w:val="22"/>
        </w:rPr>
        <w:drawing>
          <wp:inline distT="0" distB="0" distL="0" distR="0" wp14:anchorId="2BC72740" wp14:editId="2395CB6E">
            <wp:extent cx="5159893" cy="3132000"/>
            <wp:effectExtent l="0" t="0" r="0" b="0"/>
            <wp:docPr id="788727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9893" cy="3132000"/>
                    </a:xfrm>
                    <a:prstGeom prst="rect">
                      <a:avLst/>
                    </a:prstGeom>
                    <a:noFill/>
                  </pic:spPr>
                </pic:pic>
              </a:graphicData>
            </a:graphic>
          </wp:inline>
        </w:drawing>
      </w:r>
    </w:p>
    <w:p w14:paraId="20ECAB97" w14:textId="0D968045" w:rsidR="00BD45C7" w:rsidRPr="00BD45C7" w:rsidRDefault="00BD45C7" w:rsidP="00BD45C7">
      <w:pPr>
        <w:spacing w:after="120" w:line="264" w:lineRule="auto"/>
        <w:jc w:val="center"/>
        <w:rPr>
          <w:rFonts w:asciiTheme="majorHAnsi" w:hAnsiTheme="majorHAnsi" w:cstheme="majorHAnsi"/>
          <w:bCs/>
          <w:color w:val="000000" w:themeColor="text1"/>
          <w:sz w:val="18"/>
          <w:szCs w:val="18"/>
        </w:rPr>
      </w:pPr>
      <w:r w:rsidRPr="00BD45C7">
        <w:rPr>
          <w:rFonts w:asciiTheme="majorHAnsi" w:hAnsiTheme="majorHAnsi" w:cstheme="majorHAnsi"/>
          <w:b/>
          <w:sz w:val="18"/>
          <w:szCs w:val="18"/>
        </w:rPr>
        <w:t xml:space="preserve">Figure </w:t>
      </w:r>
      <w:r w:rsidR="0074110F">
        <w:rPr>
          <w:rFonts w:asciiTheme="majorHAnsi" w:hAnsiTheme="majorHAnsi" w:cstheme="majorHAnsi"/>
          <w:b/>
          <w:sz w:val="18"/>
          <w:szCs w:val="18"/>
        </w:rPr>
        <w:t>5</w:t>
      </w:r>
      <w:r w:rsidRPr="00BD45C7">
        <w:rPr>
          <w:rFonts w:asciiTheme="majorHAnsi" w:hAnsiTheme="majorHAnsi" w:cstheme="majorHAnsi"/>
          <w:b/>
          <w:sz w:val="18"/>
          <w:szCs w:val="18"/>
        </w:rPr>
        <w:t xml:space="preserve"> </w:t>
      </w:r>
      <w:r w:rsidRPr="005D6AFD">
        <w:rPr>
          <w:rFonts w:asciiTheme="majorHAnsi" w:hAnsiTheme="majorHAnsi" w:cstheme="majorHAnsi"/>
          <w:color w:val="000000" w:themeColor="text1"/>
          <w:sz w:val="18"/>
          <w:szCs w:val="18"/>
        </w:rPr>
        <w:t>–</w:t>
      </w:r>
      <w:r w:rsidRPr="00BD45C7">
        <w:rPr>
          <w:rFonts w:asciiTheme="majorHAnsi" w:hAnsiTheme="majorHAnsi" w:cstheme="majorHAnsi"/>
          <w:color w:val="000000" w:themeColor="text1"/>
          <w:sz w:val="18"/>
          <w:szCs w:val="18"/>
        </w:rPr>
        <w:t xml:space="preserve"> </w:t>
      </w:r>
      <w:proofErr w:type="spellStart"/>
      <w:r w:rsidRPr="00BD45C7">
        <w:rPr>
          <w:rFonts w:asciiTheme="majorHAnsi" w:hAnsiTheme="majorHAnsi" w:cstheme="majorHAnsi"/>
          <w:color w:val="000000" w:themeColor="text1"/>
          <w:sz w:val="18"/>
          <w:szCs w:val="18"/>
        </w:rPr>
        <w:t>Levelised</w:t>
      </w:r>
      <w:proofErr w:type="spellEnd"/>
      <w:r w:rsidRPr="00BD45C7">
        <w:rPr>
          <w:rFonts w:asciiTheme="majorHAnsi" w:hAnsiTheme="majorHAnsi" w:cstheme="majorHAnsi"/>
          <w:color w:val="000000" w:themeColor="text1"/>
          <w:sz w:val="18"/>
          <w:szCs w:val="18"/>
        </w:rPr>
        <w:t xml:space="preserve"> cost of </w:t>
      </w:r>
      <w:r w:rsidR="00B85412">
        <w:rPr>
          <w:rFonts w:asciiTheme="majorHAnsi" w:hAnsiTheme="majorHAnsi" w:cstheme="majorHAnsi"/>
          <w:color w:val="000000" w:themeColor="text1"/>
          <w:sz w:val="18"/>
          <w:szCs w:val="18"/>
        </w:rPr>
        <w:t>energy</w:t>
      </w:r>
      <w:r w:rsidRPr="00BD45C7">
        <w:rPr>
          <w:rFonts w:asciiTheme="majorHAnsi" w:hAnsiTheme="majorHAnsi" w:cstheme="majorHAnsi"/>
          <w:color w:val="000000" w:themeColor="text1"/>
          <w:sz w:val="18"/>
          <w:szCs w:val="18"/>
        </w:rPr>
        <w:t xml:space="preserve"> comparison between each modelled scenario and conventional technologies.</w:t>
      </w:r>
    </w:p>
    <w:p w14:paraId="0F00C494" w14:textId="13F871EF" w:rsidR="00665D13" w:rsidRPr="005D6CDC" w:rsidRDefault="009149A6" w:rsidP="00665D13">
      <w:pPr>
        <w:pStyle w:val="ListParagraph"/>
        <w:numPr>
          <w:ilvl w:val="1"/>
          <w:numId w:val="4"/>
        </w:numPr>
        <w:pBdr>
          <w:top w:val="nil"/>
          <w:left w:val="nil"/>
          <w:bottom w:val="nil"/>
          <w:right w:val="nil"/>
          <w:between w:val="nil"/>
        </w:pBdr>
        <w:spacing w:line="276" w:lineRule="auto"/>
        <w:jc w:val="both"/>
        <w:rPr>
          <w:b/>
          <w:color w:val="000000"/>
        </w:rPr>
      </w:pPr>
      <w:r>
        <w:rPr>
          <w:b/>
          <w:color w:val="000000"/>
        </w:rPr>
        <w:t>Emissions savings and carbon abatement cost</w:t>
      </w:r>
      <w:r w:rsidR="00665D13">
        <w:rPr>
          <w:b/>
          <w:color w:val="000000"/>
        </w:rPr>
        <w:t xml:space="preserve"> (CAC)</w:t>
      </w:r>
    </w:p>
    <w:p w14:paraId="52F77884" w14:textId="0099795E" w:rsidR="0038144E" w:rsidRDefault="00271E4E" w:rsidP="00665D13">
      <w:pPr>
        <w:pBdr>
          <w:top w:val="nil"/>
          <w:left w:val="nil"/>
          <w:bottom w:val="nil"/>
          <w:right w:val="nil"/>
          <w:between w:val="nil"/>
        </w:pBdr>
        <w:spacing w:after="120" w:line="276" w:lineRule="auto"/>
        <w:jc w:val="both"/>
        <w:rPr>
          <w:sz w:val="22"/>
          <w:szCs w:val="22"/>
        </w:rPr>
      </w:pPr>
      <w:r w:rsidRPr="0038144E">
        <w:rPr>
          <w:sz w:val="22"/>
          <w:szCs w:val="22"/>
        </w:rPr>
        <w:t>The</w:t>
      </w:r>
      <w:r w:rsidR="00466954" w:rsidRPr="0038144E">
        <w:rPr>
          <w:sz w:val="22"/>
          <w:szCs w:val="22"/>
        </w:rPr>
        <w:t xml:space="preserve"> </w:t>
      </w:r>
      <w:r w:rsidRPr="0038144E">
        <w:rPr>
          <w:sz w:val="22"/>
          <w:szCs w:val="22"/>
        </w:rPr>
        <w:t>environmental benefits of reusing recovered waste heat were assessed</w:t>
      </w:r>
      <w:r w:rsidR="00037947">
        <w:rPr>
          <w:sz w:val="22"/>
          <w:szCs w:val="22"/>
        </w:rPr>
        <w:t xml:space="preserve"> using the CAC metric, which can be interpreted as an indication of the </w:t>
      </w:r>
      <w:proofErr w:type="spellStart"/>
      <w:r w:rsidR="00037947">
        <w:rPr>
          <w:sz w:val="22"/>
          <w:szCs w:val="22"/>
        </w:rPr>
        <w:t>decarbonisation</w:t>
      </w:r>
      <w:proofErr w:type="spellEnd"/>
      <w:r w:rsidR="00037947">
        <w:rPr>
          <w:sz w:val="22"/>
          <w:szCs w:val="22"/>
        </w:rPr>
        <w:t xml:space="preserve"> costs </w:t>
      </w:r>
      <w:r w:rsidR="0020132C">
        <w:rPr>
          <w:sz w:val="22"/>
          <w:szCs w:val="22"/>
        </w:rPr>
        <w:t>associated with a given low-carbon</w:t>
      </w:r>
      <w:r w:rsidR="00037947">
        <w:rPr>
          <w:sz w:val="22"/>
          <w:szCs w:val="22"/>
        </w:rPr>
        <w:t xml:space="preserve"> technology. </w:t>
      </w:r>
      <w:r w:rsidR="0020132C">
        <w:rPr>
          <w:sz w:val="22"/>
          <w:szCs w:val="22"/>
        </w:rPr>
        <w:t>The</w:t>
      </w:r>
      <w:r w:rsidR="00037947">
        <w:rPr>
          <w:sz w:val="22"/>
          <w:szCs w:val="22"/>
        </w:rPr>
        <w:t xml:space="preserve"> CAC values were calculated for both the WHR system and individual ASHPs </w:t>
      </w:r>
      <w:r w:rsidR="0020132C">
        <w:rPr>
          <w:sz w:val="22"/>
          <w:szCs w:val="22"/>
        </w:rPr>
        <w:t>using</w:t>
      </w:r>
      <w:r w:rsidR="00037947">
        <w:rPr>
          <w:sz w:val="22"/>
          <w:szCs w:val="22"/>
        </w:rPr>
        <w:t xml:space="preserve"> communal gas boilers as the </w:t>
      </w:r>
      <w:r w:rsidR="0020132C">
        <w:rPr>
          <w:sz w:val="22"/>
          <w:szCs w:val="22"/>
        </w:rPr>
        <w:t>business-as-usual reference case</w:t>
      </w:r>
      <w:r w:rsidR="00037947">
        <w:rPr>
          <w:sz w:val="22"/>
          <w:szCs w:val="22"/>
        </w:rPr>
        <w:t xml:space="preserve">. </w:t>
      </w:r>
      <w:r w:rsidR="0038144E">
        <w:rPr>
          <w:sz w:val="22"/>
          <w:szCs w:val="22"/>
        </w:rPr>
        <w:t xml:space="preserve">The CAC can be calculated as shown in Equation </w:t>
      </w:r>
      <w:r w:rsidR="00707E57">
        <w:rPr>
          <w:sz w:val="22"/>
          <w:szCs w:val="22"/>
        </w:rPr>
        <w:t>6</w:t>
      </w:r>
      <w:r w:rsidR="0038144E">
        <w:rPr>
          <w:sz w:val="22"/>
          <w:szCs w:val="22"/>
        </w:rPr>
        <w:t xml:space="preserve">, which includes </w:t>
      </w:r>
      <w:r w:rsidR="0038144E" w:rsidRPr="0038144E">
        <w:rPr>
          <w:sz w:val="22"/>
          <w:szCs w:val="22"/>
        </w:rPr>
        <w:t xml:space="preserve">the net annual cost, i.e. the difference between the </w:t>
      </w:r>
      <w:proofErr w:type="spellStart"/>
      <w:r w:rsidR="0038144E" w:rsidRPr="0038144E">
        <w:rPr>
          <w:sz w:val="22"/>
          <w:szCs w:val="22"/>
        </w:rPr>
        <w:t>annualised</w:t>
      </w:r>
      <w:proofErr w:type="spellEnd"/>
      <w:r w:rsidR="0038144E" w:rsidRPr="0038144E">
        <w:rPr>
          <w:sz w:val="22"/>
          <w:szCs w:val="22"/>
        </w:rPr>
        <w:t xml:space="preserve"> costs for the </w:t>
      </w:r>
      <w:r w:rsidR="0038144E">
        <w:rPr>
          <w:sz w:val="22"/>
          <w:szCs w:val="22"/>
        </w:rPr>
        <w:t>low</w:t>
      </w:r>
      <w:r w:rsidR="00037947">
        <w:rPr>
          <w:sz w:val="22"/>
          <w:szCs w:val="22"/>
        </w:rPr>
        <w:t>-</w:t>
      </w:r>
      <w:r w:rsidR="0038144E">
        <w:rPr>
          <w:sz w:val="22"/>
          <w:szCs w:val="22"/>
        </w:rPr>
        <w:t xml:space="preserve">carbon alternative </w:t>
      </w:r>
      <w:r w:rsidR="0038144E" w:rsidRPr="0038144E">
        <w:rPr>
          <w:sz w:val="22"/>
          <w:szCs w:val="22"/>
        </w:rPr>
        <w:t>(</w:t>
      </w:r>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low,carb</m:t>
            </m:r>
          </m:sub>
        </m:sSub>
      </m:oMath>
      <w:r w:rsidR="0038144E" w:rsidRPr="0038144E">
        <w:rPr>
          <w:sz w:val="22"/>
          <w:szCs w:val="22"/>
        </w:rPr>
        <w:t>) and the operating costs of the displaced incumbent technology</w:t>
      </w:r>
      <w:bookmarkStart w:id="2" w:name="_Hlk153230007"/>
      <w:r w:rsidR="0038144E" w:rsidRPr="0038144E">
        <w:rPr>
          <w:sz w:val="22"/>
          <w:szCs w:val="22"/>
        </w:rPr>
        <w:t xml:space="preserve"> </w:t>
      </w:r>
      <w:bookmarkEnd w:id="2"/>
      <w:r w:rsidR="0038144E" w:rsidRPr="0038144E">
        <w:rPr>
          <w:sz w:val="22"/>
          <w:szCs w:val="22"/>
        </w:rPr>
        <w:t>(</w:t>
      </w:r>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inch,tech</m:t>
            </m:r>
          </m:sub>
        </m:sSub>
      </m:oMath>
      <w:r w:rsidR="0038144E" w:rsidRPr="0038144E">
        <w:rPr>
          <w:sz w:val="22"/>
          <w:szCs w:val="22"/>
        </w:rPr>
        <w:t>), as well as the carbon emission savings (</w:t>
      </w:r>
      <w:bookmarkStart w:id="3" w:name="_Hlk152949951"/>
      <m:oMath>
        <m:sSub>
          <m:sSubPr>
            <m:ctrlPr>
              <w:rPr>
                <w:rFonts w:ascii="Cambria Math" w:hAnsi="Cambria Math"/>
                <w:sz w:val="22"/>
                <w:szCs w:val="22"/>
              </w:rPr>
            </m:ctrlPr>
          </m:sSubPr>
          <m:e>
            <m:r>
              <w:rPr>
                <w:rFonts w:ascii="Cambria Math" w:hAnsi="Cambria Math"/>
                <w:sz w:val="22"/>
                <w:szCs w:val="22"/>
              </w:rPr>
              <m:t>S</m:t>
            </m:r>
          </m:e>
          <m:sub>
            <m:sSub>
              <m:sSubPr>
                <m:ctrlPr>
                  <w:rPr>
                    <w:rFonts w:ascii="Cambria Math" w:hAnsi="Cambria Math"/>
                    <w:sz w:val="22"/>
                    <w:szCs w:val="22"/>
                  </w:rPr>
                </m:ctrlPr>
              </m:sSubPr>
              <m:e>
                <m:r>
                  <w:rPr>
                    <w:rFonts w:ascii="Cambria Math" w:hAnsi="Cambria Math"/>
                    <w:sz w:val="22"/>
                    <w:szCs w:val="22"/>
                  </w:rPr>
                  <m:t>CO</m:t>
                </m:r>
              </m:e>
              <m:sub>
                <m:r>
                  <m:rPr>
                    <m:sty m:val="p"/>
                  </m:rPr>
                  <w:rPr>
                    <w:rFonts w:ascii="Cambria Math" w:hAnsi="Cambria Math"/>
                    <w:sz w:val="22"/>
                    <w:szCs w:val="22"/>
                  </w:rPr>
                  <m:t>2</m:t>
                </m:r>
              </m:sub>
            </m:sSub>
          </m:sub>
        </m:sSub>
      </m:oMath>
      <w:bookmarkEnd w:id="3"/>
      <w:r w:rsidR="0038144E" w:rsidRPr="0038144E">
        <w:rPr>
          <w:sz w:val="22"/>
          <w:szCs w:val="22"/>
        </w:rPr>
        <w:t>)</w:t>
      </w:r>
      <w:r w:rsidR="00037947">
        <w:rPr>
          <w:sz w:val="22"/>
          <w:szCs w:val="22"/>
        </w:rPr>
        <w:t xml:space="preserve"> achieved after the low-carbon </w:t>
      </w:r>
      <w:r w:rsidR="00037947">
        <w:rPr>
          <w:sz w:val="22"/>
          <w:szCs w:val="22"/>
        </w:rPr>
        <w:lastRenderedPageBreak/>
        <w:t>technology is introduced</w:t>
      </w:r>
      <w:r w:rsidR="0038144E" w:rsidRPr="0038144E">
        <w:rPr>
          <w:sz w:val="22"/>
          <w:szCs w:val="22"/>
        </w:rPr>
        <w:t>.</w:t>
      </w:r>
      <w:r w:rsidR="00037947">
        <w:rPr>
          <w:sz w:val="22"/>
          <w:szCs w:val="22"/>
        </w:rPr>
        <w:t xml:space="preserve"> These were calculated </w:t>
      </w:r>
      <w:r w:rsidR="00037947" w:rsidRPr="0038144E">
        <w:rPr>
          <w:sz w:val="22"/>
          <w:szCs w:val="22"/>
        </w:rPr>
        <w:t>considering carbon intensity factors for electricity and natural gas of 0.129 and 0.183 tCO</w:t>
      </w:r>
      <w:r w:rsidR="00037947" w:rsidRPr="00B85412">
        <w:rPr>
          <w:sz w:val="22"/>
          <w:szCs w:val="22"/>
          <w:vertAlign w:val="subscript"/>
        </w:rPr>
        <w:t>2</w:t>
      </w:r>
      <w:r w:rsidR="00037947" w:rsidRPr="0038144E">
        <w:rPr>
          <w:sz w:val="22"/>
          <w:szCs w:val="22"/>
        </w:rPr>
        <w:t>e per MWh</w:t>
      </w:r>
      <w:r w:rsidR="00037947">
        <w:rPr>
          <w:sz w:val="22"/>
          <w:szCs w:val="22"/>
        </w:rPr>
        <w:t>, respectively [29].</w:t>
      </w:r>
    </w:p>
    <w:p w14:paraId="624689FB" w14:textId="52020388" w:rsidR="0038144E" w:rsidRPr="0038144E" w:rsidRDefault="0038144E" w:rsidP="0038144E">
      <w:pPr>
        <w:pStyle w:val="Standard"/>
        <w:spacing w:before="160" w:after="160" w:line="264" w:lineRule="auto"/>
        <w:ind w:firstLine="425"/>
        <w:jc w:val="center"/>
        <w:rPr>
          <w:rFonts w:ascii="Calibri" w:hAnsi="Calibri" w:cs="Calibri"/>
          <w:sz w:val="22"/>
          <w:szCs w:val="22"/>
        </w:rPr>
      </w:pPr>
      <w:r w:rsidRPr="0038144E">
        <w:rPr>
          <w:rFonts w:ascii="Calibri" w:hAnsi="Calibri" w:cs="Calibri"/>
          <w:sz w:val="22"/>
          <w:szCs w:val="22"/>
        </w:rPr>
        <w:tab/>
      </w:r>
      <w:r w:rsidRPr="0038144E">
        <w:rPr>
          <w:rFonts w:ascii="Calibri" w:hAnsi="Calibri" w:cs="Calibri"/>
          <w:sz w:val="22"/>
          <w:szCs w:val="22"/>
        </w:rPr>
        <w:tab/>
      </w:r>
      <w:r w:rsidRPr="0038144E">
        <w:rPr>
          <w:rFonts w:ascii="Calibri" w:hAnsi="Calibri" w:cs="Calibri"/>
          <w:sz w:val="22"/>
          <w:szCs w:val="22"/>
        </w:rPr>
        <w:tab/>
        <w:t xml:space="preserve">       </w:t>
      </w:r>
      <w:r w:rsidRPr="0038144E">
        <w:rPr>
          <w:rFonts w:ascii="Calibri" w:hAnsi="Calibri" w:cs="Calibri"/>
          <w:sz w:val="22"/>
          <w:szCs w:val="22"/>
        </w:rPr>
        <w:tab/>
        <w:t xml:space="preserve">           </w:t>
      </w:r>
      <m:oMath>
        <m:r>
          <w:rPr>
            <w:rFonts w:ascii="Cambria Math" w:hAnsi="Cambria Math" w:cs="Calibri"/>
            <w:sz w:val="22"/>
            <w:szCs w:val="22"/>
          </w:rPr>
          <m:t>CAC=</m:t>
        </m:r>
        <m:f>
          <m:fPr>
            <m:ctrlPr>
              <w:rPr>
                <w:rFonts w:ascii="Cambria Math" w:hAnsi="Cambria Math" w:cs="Calibri"/>
                <w:i/>
                <w:sz w:val="22"/>
                <w:szCs w:val="22"/>
              </w:rPr>
            </m:ctrlPr>
          </m:fPr>
          <m:num>
            <m:sSub>
              <m:sSubPr>
                <m:ctrlPr>
                  <w:rPr>
                    <w:rFonts w:ascii="Cambria Math" w:hAnsi="Cambria Math" w:cs="Calibri"/>
                    <w:i/>
                    <w:sz w:val="22"/>
                    <w:szCs w:val="22"/>
                  </w:rPr>
                </m:ctrlPr>
              </m:sSubPr>
              <m:e>
                <m:r>
                  <w:rPr>
                    <w:rFonts w:ascii="Cambria Math" w:hAnsi="Cambria Math" w:cs="Calibri"/>
                    <w:sz w:val="22"/>
                    <w:szCs w:val="22"/>
                  </w:rPr>
                  <m:t>C</m:t>
                </m:r>
              </m:e>
              <m:sub>
                <m:r>
                  <w:rPr>
                    <w:rFonts w:ascii="Cambria Math" w:hAnsi="Cambria Math" w:cs="Calibri"/>
                    <w:sz w:val="22"/>
                    <w:szCs w:val="22"/>
                  </w:rPr>
                  <m:t>low,carb</m:t>
                </m:r>
              </m:sub>
            </m:sSub>
            <m:r>
              <w:rPr>
                <w:rFonts w:ascii="Cambria Math" w:hAnsi="Cambria Math" w:cs="Calibri"/>
                <w:sz w:val="22"/>
                <w:szCs w:val="22"/>
              </w:rPr>
              <m:t xml:space="preserve"> -</m:t>
            </m:r>
            <m:sSub>
              <m:sSubPr>
                <m:ctrlPr>
                  <w:rPr>
                    <w:rFonts w:ascii="Cambria Math" w:hAnsi="Cambria Math" w:cs="Calibri"/>
                    <w:i/>
                    <w:sz w:val="22"/>
                    <w:szCs w:val="22"/>
                  </w:rPr>
                </m:ctrlPr>
              </m:sSubPr>
              <m:e>
                <m:r>
                  <w:rPr>
                    <w:rFonts w:ascii="Cambria Math" w:hAnsi="Cambria Math" w:cs="Calibri"/>
                    <w:sz w:val="22"/>
                    <w:szCs w:val="22"/>
                  </w:rPr>
                  <m:t xml:space="preserve"> C</m:t>
                </m:r>
              </m:e>
              <m:sub>
                <m:r>
                  <w:rPr>
                    <w:rFonts w:ascii="Cambria Math" w:hAnsi="Cambria Math" w:cs="Calibri"/>
                    <w:sz w:val="22"/>
                    <w:szCs w:val="22"/>
                  </w:rPr>
                  <m:t>inc,tech</m:t>
                </m:r>
              </m:sub>
            </m:sSub>
          </m:num>
          <m:den>
            <m:sSub>
              <m:sSubPr>
                <m:ctrlPr>
                  <w:rPr>
                    <w:rFonts w:ascii="Cambria Math" w:eastAsia="Calibri" w:hAnsi="Cambria Math" w:cs="Calibri"/>
                    <w:i/>
                    <w:kern w:val="0"/>
                    <w:sz w:val="22"/>
                    <w:szCs w:val="22"/>
                    <w:lang w:val="en-US" w:eastAsia="en-US" w:bidi="ar-SA"/>
                  </w:rPr>
                </m:ctrlPr>
              </m:sSubPr>
              <m:e>
                <m:r>
                  <w:rPr>
                    <w:rFonts w:ascii="Cambria Math" w:hAnsi="Cambria Math" w:cs="Calibri"/>
                    <w:sz w:val="22"/>
                    <w:szCs w:val="22"/>
                  </w:rPr>
                  <m:t>S</m:t>
                </m:r>
              </m:e>
              <m:sub>
                <m:sSub>
                  <m:sSubPr>
                    <m:ctrlPr>
                      <w:rPr>
                        <w:rFonts w:ascii="Cambria Math" w:eastAsia="Calibri" w:hAnsi="Cambria Math" w:cs="Calibri"/>
                        <w:i/>
                        <w:kern w:val="0"/>
                        <w:sz w:val="22"/>
                        <w:szCs w:val="22"/>
                        <w:lang w:val="en-US" w:eastAsia="en-US" w:bidi="ar-SA"/>
                      </w:rPr>
                    </m:ctrlPr>
                  </m:sSubPr>
                  <m:e>
                    <m:r>
                      <w:rPr>
                        <w:rFonts w:ascii="Cambria Math" w:hAnsi="Cambria Math" w:cs="Calibri"/>
                        <w:sz w:val="22"/>
                        <w:szCs w:val="22"/>
                      </w:rPr>
                      <m:t>CO</m:t>
                    </m:r>
                  </m:e>
                  <m:sub>
                    <m:r>
                      <w:rPr>
                        <w:rFonts w:ascii="Cambria Math" w:hAnsi="Cambria Math" w:cs="Calibri"/>
                        <w:sz w:val="22"/>
                        <w:szCs w:val="22"/>
                      </w:rPr>
                      <m:t>2</m:t>
                    </m:r>
                  </m:sub>
                </m:sSub>
              </m:sub>
            </m:sSub>
          </m:den>
        </m:f>
      </m:oMath>
      <w:r w:rsidRPr="0038144E">
        <w:rPr>
          <w:rFonts w:ascii="Calibri" w:hAnsi="Calibri" w:cs="Calibri"/>
          <w:sz w:val="22"/>
          <w:szCs w:val="22"/>
        </w:rPr>
        <w:tab/>
      </w:r>
      <w:r w:rsidRPr="0038144E">
        <w:rPr>
          <w:rFonts w:ascii="Calibri" w:hAnsi="Calibri" w:cs="Calibri"/>
          <w:sz w:val="22"/>
          <w:szCs w:val="22"/>
        </w:rPr>
        <w:tab/>
        <w:t xml:space="preserve">  </w:t>
      </w:r>
      <w:r w:rsidRPr="0038144E">
        <w:rPr>
          <w:rFonts w:ascii="Calibri" w:hAnsi="Calibri" w:cs="Calibri"/>
          <w:sz w:val="22"/>
          <w:szCs w:val="22"/>
        </w:rPr>
        <w:tab/>
        <w:t xml:space="preserve">   </w:t>
      </w:r>
      <w:r w:rsidRPr="0038144E">
        <w:rPr>
          <w:rFonts w:ascii="Calibri" w:hAnsi="Calibri" w:cs="Calibri"/>
          <w:sz w:val="22"/>
          <w:szCs w:val="22"/>
        </w:rPr>
        <w:tab/>
      </w:r>
      <w:r w:rsidRPr="0038144E">
        <w:rPr>
          <w:rFonts w:ascii="Calibri" w:hAnsi="Calibri" w:cs="Calibri"/>
          <w:sz w:val="22"/>
          <w:szCs w:val="22"/>
        </w:rPr>
        <w:tab/>
      </w:r>
      <w:r>
        <w:rPr>
          <w:rFonts w:ascii="Calibri" w:hAnsi="Calibri" w:cs="Calibri"/>
          <w:sz w:val="22"/>
          <w:szCs w:val="22"/>
        </w:rPr>
        <w:t xml:space="preserve">  </w:t>
      </w:r>
      <w:r w:rsidRPr="0038144E">
        <w:rPr>
          <w:rFonts w:ascii="Calibri" w:hAnsi="Calibri" w:cs="Calibri"/>
          <w:sz w:val="22"/>
          <w:szCs w:val="22"/>
        </w:rPr>
        <w:t>[</w:t>
      </w:r>
      <w:r w:rsidR="00707E57">
        <w:rPr>
          <w:rFonts w:ascii="Calibri" w:hAnsi="Calibri" w:cs="Calibri"/>
          <w:sz w:val="22"/>
          <w:szCs w:val="22"/>
        </w:rPr>
        <w:t>6</w:t>
      </w:r>
      <w:r w:rsidRPr="0038144E">
        <w:rPr>
          <w:rFonts w:ascii="Calibri" w:hAnsi="Calibri" w:cs="Calibri"/>
          <w:sz w:val="22"/>
          <w:szCs w:val="22"/>
        </w:rPr>
        <w:t>]</w:t>
      </w:r>
    </w:p>
    <w:p w14:paraId="3EEA0C4C" w14:textId="3A5CD0DC" w:rsidR="00A34314" w:rsidRDefault="00A86BDA" w:rsidP="00665D13">
      <w:pPr>
        <w:pBdr>
          <w:top w:val="nil"/>
          <w:left w:val="nil"/>
          <w:bottom w:val="nil"/>
          <w:right w:val="nil"/>
          <w:between w:val="nil"/>
        </w:pBdr>
        <w:spacing w:after="120" w:line="276" w:lineRule="auto"/>
        <w:jc w:val="both"/>
        <w:rPr>
          <w:sz w:val="22"/>
          <w:szCs w:val="22"/>
        </w:rPr>
      </w:pPr>
      <w:r w:rsidRPr="0089500D">
        <w:rPr>
          <w:sz w:val="22"/>
          <w:szCs w:val="22"/>
        </w:rPr>
        <w:t>The carbon emissions savings and CAC values for each modelled scenario are illustrated in Figure 6</w:t>
      </w:r>
      <w:r w:rsidR="005C6971">
        <w:rPr>
          <w:sz w:val="22"/>
          <w:szCs w:val="22"/>
        </w:rPr>
        <w:t xml:space="preserve">. The carbon savings for WHR include both heating and cooling and are shown in Figure 6(a). </w:t>
      </w:r>
      <w:r w:rsidR="00A34314">
        <w:rPr>
          <w:sz w:val="22"/>
          <w:szCs w:val="22"/>
        </w:rPr>
        <w:t xml:space="preserve">Cooling emission savings were estimated by considering that the WHR system would displace a chiller with </w:t>
      </w:r>
      <w:r w:rsidR="005C6971">
        <w:rPr>
          <w:sz w:val="22"/>
          <w:szCs w:val="22"/>
        </w:rPr>
        <w:t xml:space="preserve">a COP of 2.70, which is based on </w:t>
      </w:r>
      <w:r w:rsidR="005C6971" w:rsidRPr="005C6971">
        <w:rPr>
          <w:sz w:val="22"/>
          <w:szCs w:val="22"/>
        </w:rPr>
        <w:t xml:space="preserve">an existing </w:t>
      </w:r>
      <w:r w:rsidR="005C6971">
        <w:rPr>
          <w:sz w:val="22"/>
          <w:szCs w:val="22"/>
        </w:rPr>
        <w:t>system installed at a ventilation shaft on the Victoria Line.</w:t>
      </w:r>
      <w:r w:rsidR="005C6971" w:rsidRPr="005C6971">
        <w:rPr>
          <w:sz w:val="22"/>
          <w:szCs w:val="22"/>
        </w:rPr>
        <w:t xml:space="preserve"> </w:t>
      </w:r>
      <w:r w:rsidR="005C6971" w:rsidRPr="00A34314">
        <w:rPr>
          <w:sz w:val="22"/>
          <w:szCs w:val="22"/>
        </w:rPr>
        <w:t xml:space="preserve">In general, carbon emission savings increase for higher </w:t>
      </w:r>
      <w:r w:rsidR="005C6971">
        <w:rPr>
          <w:sz w:val="22"/>
          <w:szCs w:val="22"/>
        </w:rPr>
        <w:t>shares of supply mode operation, when greater amounts of cooling are delivered, increasing by 242% for scenario 5 (2,920 tCO</w:t>
      </w:r>
      <w:r w:rsidR="005C6971" w:rsidRPr="005C6971">
        <w:rPr>
          <w:sz w:val="22"/>
          <w:szCs w:val="22"/>
          <w:vertAlign w:val="subscript"/>
        </w:rPr>
        <w:t>2</w:t>
      </w:r>
      <w:r w:rsidR="005C6971">
        <w:rPr>
          <w:sz w:val="22"/>
          <w:szCs w:val="22"/>
        </w:rPr>
        <w:t>e) when compared to scenario 1 (1,206 tCO</w:t>
      </w:r>
      <w:r w:rsidR="005C6971" w:rsidRPr="005C6971">
        <w:rPr>
          <w:sz w:val="22"/>
          <w:szCs w:val="22"/>
          <w:vertAlign w:val="subscript"/>
        </w:rPr>
        <w:t>2</w:t>
      </w:r>
      <w:r w:rsidR="005C6971">
        <w:rPr>
          <w:sz w:val="22"/>
          <w:szCs w:val="22"/>
        </w:rPr>
        <w:t xml:space="preserve">e). However, it is unlikely that vent shaft chiller systems would operate for the entire year, so the savings in scenario 5 must be interpreted as an upper limit rather than the actual savings that would be achieved in practice. If only heating is considered, carbon savings would be 7% lower for scenario 5 in comparison to scenario 1, being 4% lower than the savings achieved with ASHPs. For a year-round operation in extract mode, the WHR system would </w:t>
      </w:r>
      <w:r w:rsidR="008C0550">
        <w:rPr>
          <w:sz w:val="22"/>
          <w:szCs w:val="22"/>
        </w:rPr>
        <w:t xml:space="preserve">require 13% less energy than individual ASHPs due to its higher COPs, equally impacting operational carbon emissions. </w:t>
      </w:r>
    </w:p>
    <w:p w14:paraId="03BC28DF" w14:textId="0784E80E" w:rsidR="0020132C" w:rsidRDefault="00B85412" w:rsidP="00A34314">
      <w:pPr>
        <w:pBdr>
          <w:top w:val="nil"/>
          <w:left w:val="nil"/>
          <w:bottom w:val="nil"/>
          <w:right w:val="nil"/>
          <w:between w:val="nil"/>
        </w:pBdr>
        <w:spacing w:line="276" w:lineRule="auto"/>
        <w:jc w:val="both"/>
        <w:rPr>
          <w:sz w:val="22"/>
          <w:szCs w:val="22"/>
        </w:rPr>
      </w:pPr>
      <w:r>
        <w:rPr>
          <w:noProof/>
          <w:sz w:val="22"/>
          <w:szCs w:val="22"/>
        </w:rPr>
        <w:drawing>
          <wp:inline distT="0" distB="0" distL="0" distR="0" wp14:anchorId="02F8BE6F" wp14:editId="57984466">
            <wp:extent cx="5770882" cy="2322000"/>
            <wp:effectExtent l="0" t="0" r="0" b="0"/>
            <wp:docPr id="211947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882" cy="2322000"/>
                    </a:xfrm>
                    <a:prstGeom prst="rect">
                      <a:avLst/>
                    </a:prstGeom>
                    <a:noFill/>
                  </pic:spPr>
                </pic:pic>
              </a:graphicData>
            </a:graphic>
          </wp:inline>
        </w:drawing>
      </w:r>
    </w:p>
    <w:p w14:paraId="4C2C262B" w14:textId="4369FFF6" w:rsidR="00A34314" w:rsidRPr="00F84C7D" w:rsidRDefault="00A34314" w:rsidP="00A34314">
      <w:pPr>
        <w:spacing w:line="264" w:lineRule="auto"/>
        <w:ind w:left="2160"/>
        <w:rPr>
          <w:rFonts w:ascii="Arial" w:hAnsi="Arial"/>
          <w:sz w:val="22"/>
          <w:szCs w:val="22"/>
        </w:rPr>
      </w:pPr>
      <w:r>
        <w:rPr>
          <w:rFonts w:ascii="Arial" w:hAnsi="Arial"/>
          <w:b/>
          <w:sz w:val="18"/>
          <w:szCs w:val="18"/>
        </w:rPr>
        <w:t xml:space="preserve">    </w:t>
      </w:r>
      <w:r w:rsidRPr="001F5DC8">
        <w:rPr>
          <w:rFonts w:ascii="Arial" w:hAnsi="Arial"/>
          <w:b/>
          <w:sz w:val="18"/>
          <w:szCs w:val="18"/>
        </w:rPr>
        <w:t xml:space="preserve">(a) </w:t>
      </w:r>
      <w:r w:rsidRPr="001F5DC8">
        <w:rPr>
          <w:rFonts w:ascii="Arial" w:hAnsi="Arial"/>
          <w:b/>
          <w:sz w:val="18"/>
          <w:szCs w:val="18"/>
        </w:rPr>
        <w:tab/>
      </w:r>
      <w:r w:rsidRPr="001F5DC8">
        <w:rPr>
          <w:rFonts w:ascii="Arial" w:hAnsi="Arial"/>
          <w:b/>
          <w:sz w:val="18"/>
          <w:szCs w:val="18"/>
        </w:rPr>
        <w:tab/>
      </w:r>
      <w:r w:rsidRPr="001F5DC8">
        <w:rPr>
          <w:rFonts w:ascii="Arial" w:hAnsi="Arial"/>
          <w:b/>
          <w:sz w:val="18"/>
          <w:szCs w:val="18"/>
        </w:rPr>
        <w:tab/>
      </w:r>
      <w:r w:rsidRPr="001F5DC8">
        <w:rPr>
          <w:rFonts w:ascii="Arial" w:hAnsi="Arial"/>
          <w:b/>
          <w:sz w:val="18"/>
          <w:szCs w:val="18"/>
        </w:rPr>
        <w:tab/>
      </w:r>
      <w:r w:rsidRPr="001F5DC8">
        <w:rPr>
          <w:rFonts w:ascii="Arial" w:hAnsi="Arial"/>
          <w:b/>
          <w:sz w:val="18"/>
          <w:szCs w:val="18"/>
        </w:rPr>
        <w:tab/>
      </w:r>
      <w:r>
        <w:rPr>
          <w:rFonts w:ascii="Arial" w:hAnsi="Arial"/>
          <w:b/>
          <w:sz w:val="18"/>
          <w:szCs w:val="18"/>
        </w:rPr>
        <w:t xml:space="preserve">    </w:t>
      </w:r>
      <w:r>
        <w:rPr>
          <w:rFonts w:ascii="Arial" w:hAnsi="Arial"/>
          <w:b/>
          <w:sz w:val="18"/>
          <w:szCs w:val="18"/>
        </w:rPr>
        <w:tab/>
        <w:t xml:space="preserve"> </w:t>
      </w:r>
      <w:proofErr w:type="gramStart"/>
      <w:r>
        <w:rPr>
          <w:rFonts w:ascii="Arial" w:hAnsi="Arial"/>
          <w:b/>
          <w:sz w:val="18"/>
          <w:szCs w:val="18"/>
        </w:rPr>
        <w:t xml:space="preserve">   </w:t>
      </w:r>
      <w:r w:rsidRPr="001F5DC8">
        <w:rPr>
          <w:rFonts w:ascii="Arial" w:hAnsi="Arial"/>
          <w:b/>
          <w:sz w:val="18"/>
          <w:szCs w:val="18"/>
        </w:rPr>
        <w:t>(</w:t>
      </w:r>
      <w:proofErr w:type="gramEnd"/>
      <w:r w:rsidRPr="001F5DC8">
        <w:rPr>
          <w:rFonts w:ascii="Arial" w:hAnsi="Arial"/>
          <w:b/>
          <w:sz w:val="18"/>
          <w:szCs w:val="18"/>
        </w:rPr>
        <w:t>b)</w:t>
      </w:r>
    </w:p>
    <w:p w14:paraId="54C127C5" w14:textId="0DEBDC3A" w:rsidR="00A34314" w:rsidRPr="00436EBB" w:rsidRDefault="00A34314" w:rsidP="00A34314">
      <w:pPr>
        <w:spacing w:after="120" w:line="264" w:lineRule="auto"/>
        <w:jc w:val="center"/>
        <w:rPr>
          <w:rFonts w:ascii="Arial" w:eastAsiaTheme="minorEastAsia" w:hAnsi="Arial"/>
          <w:sz w:val="18"/>
          <w:szCs w:val="18"/>
        </w:rPr>
      </w:pPr>
      <w:r w:rsidRPr="00A34314">
        <w:rPr>
          <w:rFonts w:asciiTheme="majorHAnsi" w:hAnsiTheme="majorHAnsi" w:cstheme="majorHAnsi"/>
          <w:b/>
          <w:sz w:val="18"/>
          <w:szCs w:val="18"/>
        </w:rPr>
        <w:t xml:space="preserve">Figure </w:t>
      </w:r>
      <w:r w:rsidR="005C6971">
        <w:rPr>
          <w:rFonts w:asciiTheme="majorHAnsi" w:hAnsiTheme="majorHAnsi" w:cstheme="majorHAnsi"/>
          <w:b/>
          <w:sz w:val="18"/>
          <w:szCs w:val="18"/>
        </w:rPr>
        <w:t>6</w:t>
      </w:r>
      <w:r w:rsidRPr="000F547B">
        <w:rPr>
          <w:rFonts w:ascii="Arial" w:eastAsiaTheme="minorEastAsia" w:hAnsi="Arial"/>
          <w:sz w:val="18"/>
          <w:szCs w:val="18"/>
        </w:rPr>
        <w:t xml:space="preserve"> </w:t>
      </w:r>
      <w:r w:rsidRPr="005D6AFD">
        <w:rPr>
          <w:rFonts w:asciiTheme="majorHAnsi" w:hAnsiTheme="majorHAnsi" w:cstheme="majorHAnsi"/>
          <w:color w:val="000000" w:themeColor="text1"/>
          <w:sz w:val="18"/>
          <w:szCs w:val="18"/>
        </w:rPr>
        <w:t xml:space="preserve">– </w:t>
      </w:r>
      <w:r w:rsidRPr="00A34314">
        <w:rPr>
          <w:rFonts w:asciiTheme="majorHAnsi" w:hAnsiTheme="majorHAnsi" w:cstheme="majorHAnsi"/>
          <w:color w:val="000000" w:themeColor="text1"/>
          <w:sz w:val="18"/>
          <w:szCs w:val="18"/>
        </w:rPr>
        <w:t xml:space="preserve">Annual carbon emission savings (a) and CAC values (b) for all </w:t>
      </w:r>
      <w:r>
        <w:rPr>
          <w:rFonts w:asciiTheme="majorHAnsi" w:hAnsiTheme="majorHAnsi" w:cstheme="majorHAnsi"/>
          <w:color w:val="000000" w:themeColor="text1"/>
          <w:sz w:val="18"/>
          <w:szCs w:val="18"/>
        </w:rPr>
        <w:t>modelled scenarios, compared against ASHPs.</w:t>
      </w:r>
    </w:p>
    <w:p w14:paraId="20D81311" w14:textId="67E41C09" w:rsidR="008C0550" w:rsidRDefault="00A34314" w:rsidP="00665D13">
      <w:pPr>
        <w:pBdr>
          <w:top w:val="nil"/>
          <w:left w:val="nil"/>
          <w:bottom w:val="nil"/>
          <w:right w:val="nil"/>
          <w:between w:val="nil"/>
        </w:pBdr>
        <w:spacing w:after="120" w:line="276" w:lineRule="auto"/>
        <w:jc w:val="both"/>
        <w:rPr>
          <w:sz w:val="22"/>
          <w:szCs w:val="22"/>
        </w:rPr>
      </w:pPr>
      <w:r w:rsidRPr="00A34314">
        <w:rPr>
          <w:sz w:val="22"/>
          <w:szCs w:val="22"/>
        </w:rPr>
        <w:t>The results from the CAC analysis are illustrated in Figure 7(b).</w:t>
      </w:r>
      <w:r w:rsidR="008C0550">
        <w:rPr>
          <w:sz w:val="22"/>
          <w:szCs w:val="22"/>
        </w:rPr>
        <w:t xml:space="preserve"> The WHR system was able to achieve much lower CAC values when compared to ASHPs (from 43% to 61% of the ASHP value), which is due to the higher efficiencies and greater carbon savings of WHR across all scenarios.</w:t>
      </w:r>
      <w:r w:rsidRPr="00A34314">
        <w:rPr>
          <w:sz w:val="22"/>
          <w:szCs w:val="22"/>
        </w:rPr>
        <w:t xml:space="preserve"> </w:t>
      </w:r>
      <w:r w:rsidR="008C0550">
        <w:rPr>
          <w:sz w:val="22"/>
          <w:szCs w:val="22"/>
        </w:rPr>
        <w:t xml:space="preserve">It is interesting to note that, despite the highest emission savings for scenario 5, its high annual costs (20% </w:t>
      </w:r>
      <w:r w:rsidR="00B85412">
        <w:rPr>
          <w:sz w:val="22"/>
          <w:szCs w:val="22"/>
        </w:rPr>
        <w:t>greater</w:t>
      </w:r>
      <w:r w:rsidR="008C0550">
        <w:rPr>
          <w:sz w:val="22"/>
          <w:szCs w:val="22"/>
        </w:rPr>
        <w:t xml:space="preserve"> than scenario 1, see Table 2) meant it would not achieve the best results in terms of CAC, which was obtained for scenario 4 (£122 per tCO</w:t>
      </w:r>
      <w:r w:rsidR="008C0550" w:rsidRPr="008C0550">
        <w:rPr>
          <w:sz w:val="22"/>
          <w:szCs w:val="22"/>
          <w:vertAlign w:val="subscript"/>
        </w:rPr>
        <w:t>2</w:t>
      </w:r>
      <w:r w:rsidR="008C0550">
        <w:rPr>
          <w:sz w:val="22"/>
          <w:szCs w:val="22"/>
        </w:rPr>
        <w:t xml:space="preserve">e). CAC values were only marginally different for scenarios 3, 4 and 5, indicating how scenario 3, which involves operating for only half the year in supply mode, would achieve a low </w:t>
      </w:r>
      <w:proofErr w:type="spellStart"/>
      <w:r w:rsidR="008C0550">
        <w:rPr>
          <w:sz w:val="22"/>
          <w:szCs w:val="22"/>
        </w:rPr>
        <w:t>decarbonisation</w:t>
      </w:r>
      <w:proofErr w:type="spellEnd"/>
      <w:r w:rsidR="008C0550">
        <w:rPr>
          <w:sz w:val="22"/>
          <w:szCs w:val="22"/>
        </w:rPr>
        <w:t xml:space="preserve"> cost without overburdening the DH network operator with a lower system efficiency.</w:t>
      </w:r>
      <w:r w:rsidR="00683CE7">
        <w:rPr>
          <w:sz w:val="22"/>
          <w:szCs w:val="22"/>
        </w:rPr>
        <w:t xml:space="preserve"> The results from this analysis </w:t>
      </w:r>
      <w:r w:rsidR="00683CE7" w:rsidRPr="00683CE7">
        <w:rPr>
          <w:sz w:val="22"/>
          <w:szCs w:val="22"/>
        </w:rPr>
        <w:t xml:space="preserve">highlight how WHR systems can lead to significant benefits in terms of reducing the costs of </w:t>
      </w:r>
      <w:proofErr w:type="spellStart"/>
      <w:r w:rsidR="00683CE7" w:rsidRPr="00683CE7">
        <w:rPr>
          <w:sz w:val="22"/>
          <w:szCs w:val="22"/>
        </w:rPr>
        <w:t>decarbonisation</w:t>
      </w:r>
      <w:proofErr w:type="spellEnd"/>
      <w:r w:rsidR="00683CE7" w:rsidRPr="00683CE7">
        <w:rPr>
          <w:sz w:val="22"/>
          <w:szCs w:val="22"/>
        </w:rPr>
        <w:t xml:space="preserve">, particularly when additional value streams </w:t>
      </w:r>
      <w:r w:rsidR="00683CE7">
        <w:rPr>
          <w:sz w:val="22"/>
          <w:szCs w:val="22"/>
        </w:rPr>
        <w:t xml:space="preserve">such as cooling </w:t>
      </w:r>
      <w:r w:rsidR="00683CE7" w:rsidRPr="00683CE7">
        <w:rPr>
          <w:sz w:val="22"/>
          <w:szCs w:val="22"/>
        </w:rPr>
        <w:t>are also considered.</w:t>
      </w:r>
    </w:p>
    <w:p w14:paraId="5F42477A" w14:textId="08708049" w:rsidR="00DD3C58" w:rsidRPr="0089500D" w:rsidRDefault="00884962" w:rsidP="0039510C">
      <w:pPr>
        <w:pStyle w:val="ListParagraph"/>
        <w:numPr>
          <w:ilvl w:val="0"/>
          <w:numId w:val="4"/>
        </w:numPr>
        <w:pBdr>
          <w:top w:val="nil"/>
          <w:left w:val="nil"/>
          <w:bottom w:val="nil"/>
          <w:right w:val="nil"/>
          <w:between w:val="nil"/>
        </w:pBdr>
        <w:spacing w:line="276" w:lineRule="auto"/>
        <w:ind w:left="482" w:hanging="482"/>
        <w:jc w:val="both"/>
        <w:rPr>
          <w:b/>
          <w:color w:val="000000"/>
        </w:rPr>
      </w:pPr>
      <w:r w:rsidRPr="0089500D">
        <w:rPr>
          <w:b/>
          <w:color w:val="000000"/>
        </w:rPr>
        <w:t>Cooling the London Underground</w:t>
      </w:r>
    </w:p>
    <w:p w14:paraId="53BD63E3" w14:textId="7CA68E90" w:rsidR="0074110F" w:rsidRPr="0074110F" w:rsidRDefault="0074110F" w:rsidP="0074110F">
      <w:pPr>
        <w:pBdr>
          <w:top w:val="nil"/>
          <w:left w:val="nil"/>
          <w:bottom w:val="nil"/>
          <w:right w:val="nil"/>
          <w:between w:val="nil"/>
        </w:pBdr>
        <w:spacing w:after="200" w:line="276" w:lineRule="auto"/>
        <w:jc w:val="both"/>
        <w:rPr>
          <w:sz w:val="22"/>
          <w:szCs w:val="22"/>
        </w:rPr>
      </w:pPr>
      <w:r w:rsidRPr="0074110F">
        <w:rPr>
          <w:sz w:val="22"/>
          <w:szCs w:val="22"/>
        </w:rPr>
        <w:t xml:space="preserve">The cooling benefits behind the WHR system are also assessed in terms of the potential reduction in platform temperatures that can be achieved at the nearest stations to the ventilation shaft. This </w:t>
      </w:r>
      <w:r w:rsidRPr="0074110F">
        <w:rPr>
          <w:sz w:val="22"/>
          <w:szCs w:val="22"/>
        </w:rPr>
        <w:lastRenderedPageBreak/>
        <w:t xml:space="preserve">investigation was carried out in collaboration with the engineering team at TfL </w:t>
      </w:r>
      <w:proofErr w:type="gramStart"/>
      <w:r w:rsidRPr="0074110F">
        <w:rPr>
          <w:sz w:val="22"/>
          <w:szCs w:val="22"/>
        </w:rPr>
        <w:t>in order to</w:t>
      </w:r>
      <w:proofErr w:type="gramEnd"/>
      <w:r w:rsidRPr="0074110F">
        <w:rPr>
          <w:sz w:val="22"/>
          <w:szCs w:val="22"/>
        </w:rPr>
        <w:t xml:space="preserve"> simulate how future network temperatures would be affected by the WHR system, </w:t>
      </w:r>
      <w:proofErr w:type="spellStart"/>
      <w:r w:rsidRPr="0074110F">
        <w:rPr>
          <w:sz w:val="22"/>
          <w:szCs w:val="22"/>
        </w:rPr>
        <w:t>utilising</w:t>
      </w:r>
      <w:proofErr w:type="spellEnd"/>
      <w:r w:rsidRPr="0074110F">
        <w:rPr>
          <w:sz w:val="22"/>
          <w:szCs w:val="22"/>
        </w:rPr>
        <w:t xml:space="preserve"> a bespoke modelling tool based upon the Subway Environment Simulation (SES) platform. SES </w:t>
      </w:r>
      <w:proofErr w:type="gramStart"/>
      <w:r w:rsidRPr="0074110F">
        <w:rPr>
          <w:sz w:val="22"/>
          <w:szCs w:val="22"/>
        </w:rPr>
        <w:t>is able to</w:t>
      </w:r>
      <w:proofErr w:type="gramEnd"/>
      <w:r w:rsidRPr="0074110F">
        <w:rPr>
          <w:sz w:val="22"/>
          <w:szCs w:val="22"/>
        </w:rPr>
        <w:t xml:space="preserve"> perform 1D simulations of the operation of trains in tunnels, being suited to model many different aspects of a subway environment, such as airflows, temperatures and humidity throughout stations, tunnels and ventilation shafts [</w:t>
      </w:r>
      <w:r w:rsidR="0089500D">
        <w:rPr>
          <w:sz w:val="22"/>
          <w:szCs w:val="22"/>
        </w:rPr>
        <w:t>32</w:t>
      </w:r>
      <w:r w:rsidRPr="0074110F">
        <w:rPr>
          <w:sz w:val="22"/>
          <w:szCs w:val="22"/>
        </w:rPr>
        <w:t xml:space="preserve">]. The thermodynamic simulations in SES consist of breaking down the network into smaller components of constant temperature and humidity. The heat generated within each component over time, based upon train profiles and airflow patterns, is then used to calculate energy and mass balances at nodes connecting subsequent components, whilst also </w:t>
      </w:r>
      <w:proofErr w:type="gramStart"/>
      <w:r w:rsidRPr="0074110F">
        <w:rPr>
          <w:sz w:val="22"/>
          <w:szCs w:val="22"/>
        </w:rPr>
        <w:t>taking into account</w:t>
      </w:r>
      <w:proofErr w:type="gramEnd"/>
      <w:r w:rsidRPr="0074110F">
        <w:rPr>
          <w:sz w:val="22"/>
          <w:szCs w:val="22"/>
        </w:rPr>
        <w:t xml:space="preserve"> the conductive heat transfer between tunnel walls and the surrounding soil [</w:t>
      </w:r>
      <w:r w:rsidR="0089500D">
        <w:rPr>
          <w:sz w:val="22"/>
          <w:szCs w:val="22"/>
        </w:rPr>
        <w:t>33</w:t>
      </w:r>
      <w:r w:rsidRPr="0074110F">
        <w:rPr>
          <w:sz w:val="22"/>
          <w:szCs w:val="22"/>
        </w:rPr>
        <w:t xml:space="preserve">]. This approach is used for both aerodynamic and thermodynamic calculations, and an example of how different network sections are modelled is shown in </w:t>
      </w:r>
      <w:r w:rsidRPr="0074110F">
        <w:rPr>
          <w:sz w:val="22"/>
          <w:szCs w:val="22"/>
        </w:rPr>
        <w:fldChar w:fldCharType="begin"/>
      </w:r>
      <w:r w:rsidRPr="0074110F">
        <w:rPr>
          <w:sz w:val="22"/>
          <w:szCs w:val="22"/>
        </w:rPr>
        <w:instrText xml:space="preserve"> REF _Ref59544545 \h  \* MERGEFORMAT </w:instrText>
      </w:r>
      <w:r w:rsidRPr="0074110F">
        <w:rPr>
          <w:sz w:val="22"/>
          <w:szCs w:val="22"/>
        </w:rPr>
      </w:r>
      <w:r w:rsidRPr="0074110F">
        <w:rPr>
          <w:sz w:val="22"/>
          <w:szCs w:val="22"/>
        </w:rPr>
        <w:fldChar w:fldCharType="separate"/>
      </w:r>
      <w:r w:rsidRPr="0074110F">
        <w:rPr>
          <w:sz w:val="22"/>
          <w:szCs w:val="22"/>
        </w:rPr>
        <w:t>Figure 7</w:t>
      </w:r>
      <w:r w:rsidRPr="0074110F">
        <w:rPr>
          <w:sz w:val="22"/>
          <w:szCs w:val="22"/>
        </w:rPr>
        <w:fldChar w:fldCharType="end"/>
      </w:r>
      <w:r w:rsidRPr="0074110F">
        <w:rPr>
          <w:sz w:val="22"/>
          <w:szCs w:val="22"/>
        </w:rPr>
        <w:t>.</w:t>
      </w:r>
    </w:p>
    <w:p w14:paraId="23ADD0CF" w14:textId="77777777" w:rsidR="0074110F" w:rsidRPr="003A24C7" w:rsidRDefault="0074110F" w:rsidP="0074110F">
      <w:pPr>
        <w:jc w:val="center"/>
      </w:pPr>
      <w:r>
        <w:rPr>
          <w:noProof/>
          <w:lang w:val="en-GB" w:eastAsia="en-GB"/>
        </w:rPr>
        <w:drawing>
          <wp:inline distT="0" distB="0" distL="0" distR="0" wp14:anchorId="4DA9446E" wp14:editId="71B317BC">
            <wp:extent cx="5635621" cy="2160000"/>
            <wp:effectExtent l="0" t="0" r="3810" b="0"/>
            <wp:docPr id="68" name="Picture 68"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diagram of a cylind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635621" cy="2160000"/>
                    </a:xfrm>
                    <a:prstGeom prst="rect">
                      <a:avLst/>
                    </a:prstGeom>
                    <a:noFill/>
                  </pic:spPr>
                </pic:pic>
              </a:graphicData>
            </a:graphic>
          </wp:inline>
        </w:drawing>
      </w:r>
    </w:p>
    <w:p w14:paraId="5E306AC4" w14:textId="0F011D32" w:rsidR="0074110F" w:rsidRPr="00A14A16" w:rsidRDefault="0074110F" w:rsidP="0074110F">
      <w:pPr>
        <w:pStyle w:val="Caption"/>
        <w:jc w:val="center"/>
        <w:rPr>
          <w:rFonts w:ascii="Arial" w:eastAsia="Times" w:hAnsi="Arial" w:cs="Arial"/>
          <w:i w:val="0"/>
          <w:iCs w:val="0"/>
          <w:color w:val="auto"/>
          <w:sz w:val="20"/>
          <w:szCs w:val="20"/>
          <w:lang w:val="en-GB"/>
        </w:rPr>
      </w:pPr>
      <w:bookmarkStart w:id="4" w:name="_Ref59544545"/>
      <w:r w:rsidRPr="0074110F">
        <w:rPr>
          <w:rFonts w:asciiTheme="majorHAnsi" w:hAnsiTheme="majorHAnsi" w:cstheme="majorHAnsi"/>
          <w:b/>
          <w:i w:val="0"/>
          <w:iCs w:val="0"/>
          <w:color w:val="auto"/>
        </w:rPr>
        <w:t xml:space="preserve">Figure </w:t>
      </w:r>
      <w:r w:rsidRPr="0074110F">
        <w:rPr>
          <w:rFonts w:asciiTheme="majorHAnsi" w:hAnsiTheme="majorHAnsi" w:cstheme="majorHAnsi"/>
          <w:b/>
          <w:i w:val="0"/>
          <w:iCs w:val="0"/>
          <w:color w:val="auto"/>
        </w:rPr>
        <w:fldChar w:fldCharType="begin"/>
      </w:r>
      <w:r w:rsidRPr="0074110F">
        <w:rPr>
          <w:rFonts w:asciiTheme="majorHAnsi" w:hAnsiTheme="majorHAnsi" w:cstheme="majorHAnsi"/>
          <w:b/>
          <w:i w:val="0"/>
          <w:iCs w:val="0"/>
          <w:color w:val="auto"/>
        </w:rPr>
        <w:instrText xml:space="preserve"> SEQ Figure \* ARABIC \s 1 </w:instrText>
      </w:r>
      <w:r w:rsidRPr="0074110F">
        <w:rPr>
          <w:rFonts w:asciiTheme="majorHAnsi" w:hAnsiTheme="majorHAnsi" w:cstheme="majorHAnsi"/>
          <w:b/>
          <w:i w:val="0"/>
          <w:iCs w:val="0"/>
          <w:color w:val="auto"/>
        </w:rPr>
        <w:fldChar w:fldCharType="separate"/>
      </w:r>
      <w:r w:rsidRPr="0074110F">
        <w:rPr>
          <w:rFonts w:asciiTheme="majorHAnsi" w:hAnsiTheme="majorHAnsi" w:cstheme="majorHAnsi"/>
          <w:b/>
          <w:i w:val="0"/>
          <w:iCs w:val="0"/>
          <w:color w:val="auto"/>
        </w:rPr>
        <w:t>7</w:t>
      </w:r>
      <w:r w:rsidRPr="0074110F">
        <w:rPr>
          <w:rFonts w:asciiTheme="majorHAnsi" w:hAnsiTheme="majorHAnsi" w:cstheme="majorHAnsi"/>
          <w:b/>
          <w:i w:val="0"/>
          <w:iCs w:val="0"/>
          <w:color w:val="auto"/>
        </w:rPr>
        <w:fldChar w:fldCharType="end"/>
      </w:r>
      <w:bookmarkEnd w:id="4"/>
      <w:r w:rsidRPr="0074110F">
        <w:rPr>
          <w:rFonts w:asciiTheme="majorHAnsi" w:hAnsiTheme="majorHAnsi" w:cstheme="majorHAnsi"/>
          <w:b/>
          <w:i w:val="0"/>
          <w:iCs w:val="0"/>
          <w:color w:val="auto"/>
        </w:rPr>
        <w:t xml:space="preserve"> </w:t>
      </w:r>
      <w:r w:rsidRPr="005D6AFD">
        <w:rPr>
          <w:rFonts w:asciiTheme="majorHAnsi" w:hAnsiTheme="majorHAnsi" w:cstheme="majorHAnsi"/>
          <w:i w:val="0"/>
          <w:iCs w:val="0"/>
          <w:color w:val="000000" w:themeColor="text1"/>
        </w:rPr>
        <w:t>– E</w:t>
      </w:r>
      <w:r w:rsidRPr="0074110F">
        <w:rPr>
          <w:rFonts w:asciiTheme="majorHAnsi" w:hAnsiTheme="majorHAnsi" w:cstheme="majorHAnsi"/>
          <w:i w:val="0"/>
          <w:iCs w:val="0"/>
          <w:color w:val="000000" w:themeColor="text1"/>
        </w:rPr>
        <w:t>xamples of network sections and their components as simulated in SES [</w:t>
      </w:r>
      <w:r w:rsidR="0089500D">
        <w:rPr>
          <w:rFonts w:asciiTheme="majorHAnsi" w:hAnsiTheme="majorHAnsi" w:cstheme="majorHAnsi"/>
          <w:i w:val="0"/>
          <w:iCs w:val="0"/>
          <w:color w:val="000000" w:themeColor="text1"/>
        </w:rPr>
        <w:t>33</w:t>
      </w:r>
      <w:r w:rsidRPr="0074110F">
        <w:rPr>
          <w:rFonts w:asciiTheme="majorHAnsi" w:hAnsiTheme="majorHAnsi" w:cstheme="majorHAnsi"/>
          <w:i w:val="0"/>
          <w:iCs w:val="0"/>
          <w:color w:val="000000" w:themeColor="text1"/>
        </w:rPr>
        <w:t>].</w:t>
      </w:r>
    </w:p>
    <w:p w14:paraId="027CCBAE" w14:textId="708C912B" w:rsidR="0074110F" w:rsidRPr="0074110F" w:rsidRDefault="0074110F" w:rsidP="0074110F">
      <w:pPr>
        <w:pBdr>
          <w:top w:val="nil"/>
          <w:left w:val="nil"/>
          <w:bottom w:val="nil"/>
          <w:right w:val="nil"/>
          <w:between w:val="nil"/>
        </w:pBdr>
        <w:spacing w:after="200" w:line="276" w:lineRule="auto"/>
        <w:jc w:val="both"/>
        <w:rPr>
          <w:sz w:val="22"/>
          <w:szCs w:val="22"/>
        </w:rPr>
      </w:pPr>
      <w:r w:rsidRPr="0074110F">
        <w:rPr>
          <w:sz w:val="22"/>
          <w:szCs w:val="22"/>
        </w:rPr>
        <w:t xml:space="preserve">The results from the WHR model were used as inputs for SES, enabling the analysis of how the stations of Angel, Old Street, King’s Cross and Moorgate would </w:t>
      </w:r>
      <w:r w:rsidR="0089500D">
        <w:rPr>
          <w:sz w:val="22"/>
          <w:szCs w:val="22"/>
        </w:rPr>
        <w:t>be influenced by</w:t>
      </w:r>
      <w:r w:rsidRPr="0074110F">
        <w:rPr>
          <w:sz w:val="22"/>
          <w:szCs w:val="22"/>
        </w:rPr>
        <w:t xml:space="preserve"> the provision of cooling for the </w:t>
      </w:r>
      <w:r w:rsidRPr="0074110F">
        <w:rPr>
          <w:sz w:val="22"/>
          <w:szCs w:val="22"/>
        </w:rPr>
        <w:fldChar w:fldCharType="begin"/>
      </w:r>
      <w:r w:rsidRPr="0074110F">
        <w:rPr>
          <w:sz w:val="22"/>
          <w:szCs w:val="22"/>
        </w:rPr>
        <w:instrText xml:space="preserve"> REF _Ref63250872 \h  \* MERGEFORMAT </w:instrText>
      </w:r>
      <w:r w:rsidRPr="0074110F">
        <w:rPr>
          <w:sz w:val="22"/>
          <w:szCs w:val="22"/>
        </w:rPr>
      </w:r>
      <w:r w:rsidRPr="0074110F">
        <w:rPr>
          <w:sz w:val="22"/>
          <w:szCs w:val="22"/>
        </w:rPr>
        <w:fldChar w:fldCharType="separate"/>
      </w:r>
      <w:r w:rsidRPr="0074110F">
        <w:rPr>
          <w:sz w:val="22"/>
          <w:szCs w:val="22"/>
        </w:rPr>
        <w:t>Table 1</w:t>
      </w:r>
      <w:r w:rsidRPr="0074110F">
        <w:rPr>
          <w:sz w:val="22"/>
          <w:szCs w:val="22"/>
        </w:rPr>
        <w:fldChar w:fldCharType="end"/>
      </w:r>
      <w:r w:rsidRPr="0074110F">
        <w:rPr>
          <w:sz w:val="22"/>
          <w:szCs w:val="22"/>
        </w:rPr>
        <w:t xml:space="preserve"> scenarios over the long term, considering 2030 as the target year. The simulations work by adjusting the dry and wet-bulb temperatures of the air that is supplied at the ventilation shaft node to the conditions predicted by the WHR model.</w:t>
      </w:r>
      <w:r w:rsidR="00676DC1">
        <w:rPr>
          <w:sz w:val="22"/>
          <w:szCs w:val="22"/>
        </w:rPr>
        <w:t xml:space="preserve"> </w:t>
      </w:r>
      <w:r w:rsidRPr="0074110F">
        <w:rPr>
          <w:sz w:val="22"/>
          <w:szCs w:val="22"/>
        </w:rPr>
        <w:t>The novelty behind this approach is enabling the use of an accurate representation of the cooling process, which is achieved with the WHR model, to investigate the impacts of cooling coils on the LU environment.</w:t>
      </w:r>
    </w:p>
    <w:p w14:paraId="089E89F6" w14:textId="77777777" w:rsidR="0074110F" w:rsidRDefault="0074110F" w:rsidP="0074110F">
      <w:pPr>
        <w:pBdr>
          <w:top w:val="nil"/>
          <w:left w:val="nil"/>
          <w:bottom w:val="nil"/>
          <w:right w:val="nil"/>
          <w:between w:val="nil"/>
        </w:pBdr>
        <w:spacing w:line="276" w:lineRule="auto"/>
        <w:jc w:val="center"/>
        <w:rPr>
          <w:rFonts w:ascii="Arial" w:hAnsi="Arial" w:cs="Arial"/>
        </w:rPr>
      </w:pPr>
      <w:r>
        <w:rPr>
          <w:rFonts w:ascii="Arial" w:hAnsi="Arial" w:cs="Arial"/>
          <w:noProof/>
          <w:lang w:val="en-GB" w:eastAsia="en-GB"/>
        </w:rPr>
        <w:drawing>
          <wp:inline distT="0" distB="0" distL="0" distR="0" wp14:anchorId="7EA27716" wp14:editId="24612DBF">
            <wp:extent cx="5767566" cy="2232000"/>
            <wp:effectExtent l="0" t="0" r="0" b="0"/>
            <wp:docPr id="6" name="Picture 6" descr="A diagram of a city ra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ity rai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67566" cy="2232000"/>
                    </a:xfrm>
                    <a:prstGeom prst="rect">
                      <a:avLst/>
                    </a:prstGeom>
                    <a:noFill/>
                  </pic:spPr>
                </pic:pic>
              </a:graphicData>
            </a:graphic>
          </wp:inline>
        </w:drawing>
      </w:r>
    </w:p>
    <w:p w14:paraId="451F5B3D" w14:textId="77777777" w:rsidR="0074110F" w:rsidRDefault="0074110F" w:rsidP="0074110F">
      <w:pPr>
        <w:pBdr>
          <w:top w:val="nil"/>
          <w:left w:val="nil"/>
          <w:bottom w:val="nil"/>
          <w:right w:val="nil"/>
          <w:between w:val="nil"/>
        </w:pBdr>
        <w:spacing w:after="200" w:line="276" w:lineRule="auto"/>
        <w:jc w:val="center"/>
        <w:rPr>
          <w:rFonts w:ascii="Arial" w:eastAsia="Times" w:hAnsi="Arial" w:cs="Arial"/>
          <w:sz w:val="20"/>
          <w:szCs w:val="20"/>
          <w:lang w:val="en-GB"/>
        </w:rPr>
      </w:pPr>
      <w:bookmarkStart w:id="5" w:name="_Ref68775267"/>
      <w:bookmarkStart w:id="6" w:name="_Ref68775264"/>
      <w:r w:rsidRPr="00676DC1">
        <w:rPr>
          <w:rFonts w:asciiTheme="majorHAnsi" w:hAnsiTheme="majorHAnsi" w:cstheme="majorHAnsi"/>
          <w:b/>
          <w:sz w:val="18"/>
          <w:szCs w:val="18"/>
        </w:rPr>
        <w:t xml:space="preserve">Figure </w:t>
      </w:r>
      <w:r w:rsidRPr="00676DC1">
        <w:rPr>
          <w:rFonts w:asciiTheme="majorHAnsi" w:hAnsiTheme="majorHAnsi" w:cstheme="majorHAnsi"/>
          <w:b/>
          <w:sz w:val="18"/>
          <w:szCs w:val="18"/>
        </w:rPr>
        <w:fldChar w:fldCharType="begin"/>
      </w:r>
      <w:r w:rsidRPr="00676DC1">
        <w:rPr>
          <w:rFonts w:asciiTheme="majorHAnsi" w:hAnsiTheme="majorHAnsi" w:cstheme="majorHAnsi"/>
          <w:b/>
          <w:sz w:val="18"/>
          <w:szCs w:val="18"/>
        </w:rPr>
        <w:instrText xml:space="preserve"> SEQ Figure \* ARABIC </w:instrText>
      </w:r>
      <w:r w:rsidRPr="00676DC1">
        <w:rPr>
          <w:rFonts w:asciiTheme="majorHAnsi" w:hAnsiTheme="majorHAnsi" w:cstheme="majorHAnsi"/>
          <w:b/>
          <w:sz w:val="18"/>
          <w:szCs w:val="18"/>
        </w:rPr>
        <w:fldChar w:fldCharType="separate"/>
      </w:r>
      <w:r w:rsidRPr="00676DC1">
        <w:rPr>
          <w:rFonts w:asciiTheme="majorHAnsi" w:hAnsiTheme="majorHAnsi" w:cstheme="majorHAnsi"/>
          <w:b/>
          <w:sz w:val="18"/>
          <w:szCs w:val="18"/>
        </w:rPr>
        <w:t>8</w:t>
      </w:r>
      <w:r w:rsidRPr="00676DC1">
        <w:rPr>
          <w:rFonts w:asciiTheme="majorHAnsi" w:hAnsiTheme="majorHAnsi" w:cstheme="majorHAnsi"/>
          <w:b/>
          <w:sz w:val="18"/>
          <w:szCs w:val="18"/>
        </w:rPr>
        <w:fldChar w:fldCharType="end"/>
      </w:r>
      <w:bookmarkEnd w:id="5"/>
      <w:r w:rsidRPr="0089500D">
        <w:rPr>
          <w:rFonts w:asciiTheme="majorHAnsi" w:hAnsiTheme="majorHAnsi" w:cstheme="majorHAnsi"/>
          <w:bCs/>
          <w:sz w:val="18"/>
          <w:szCs w:val="18"/>
        </w:rPr>
        <w:t xml:space="preserve"> </w:t>
      </w:r>
      <w:r w:rsidRPr="005D6AFD">
        <w:rPr>
          <w:rFonts w:asciiTheme="majorHAnsi" w:hAnsiTheme="majorHAnsi" w:cstheme="majorHAnsi"/>
          <w:color w:val="000000" w:themeColor="text1"/>
          <w:sz w:val="18"/>
          <w:szCs w:val="18"/>
        </w:rPr>
        <w:t xml:space="preserve">– </w:t>
      </w:r>
      <w:r w:rsidRPr="00676DC1">
        <w:rPr>
          <w:rFonts w:asciiTheme="majorHAnsi" w:hAnsiTheme="majorHAnsi" w:cstheme="majorHAnsi"/>
          <w:color w:val="000000" w:themeColor="text1"/>
          <w:sz w:val="18"/>
          <w:szCs w:val="18"/>
        </w:rPr>
        <w:t>Schematic highlighting the inputs from the WHR model to the SES simulations.</w:t>
      </w:r>
      <w:bookmarkEnd w:id="6"/>
    </w:p>
    <w:p w14:paraId="5EFC1ED2" w14:textId="19286B42" w:rsidR="0074110F" w:rsidRDefault="0074110F" w:rsidP="0074110F">
      <w:pPr>
        <w:pBdr>
          <w:top w:val="nil"/>
          <w:left w:val="nil"/>
          <w:bottom w:val="nil"/>
          <w:right w:val="nil"/>
          <w:between w:val="nil"/>
        </w:pBdr>
        <w:spacing w:after="200" w:line="276" w:lineRule="auto"/>
        <w:jc w:val="both"/>
        <w:rPr>
          <w:sz w:val="22"/>
          <w:szCs w:val="22"/>
        </w:rPr>
      </w:pPr>
      <w:r w:rsidRPr="00676DC1">
        <w:rPr>
          <w:sz w:val="22"/>
          <w:szCs w:val="22"/>
        </w:rPr>
        <w:lastRenderedPageBreak/>
        <w:t xml:space="preserve">The SES model developed by TfL is calibrated to </w:t>
      </w:r>
      <w:proofErr w:type="spellStart"/>
      <w:r w:rsidRPr="00676DC1">
        <w:rPr>
          <w:sz w:val="22"/>
          <w:szCs w:val="22"/>
        </w:rPr>
        <w:t>utilise</w:t>
      </w:r>
      <w:proofErr w:type="spellEnd"/>
      <w:r w:rsidRPr="00676DC1">
        <w:rPr>
          <w:sz w:val="22"/>
          <w:szCs w:val="22"/>
        </w:rPr>
        <w:t xml:space="preserve"> 2006 weather data as the basis for simulations, and the UK climate projections (UKCP) from 2009, along with train frequency profiles, are </w:t>
      </w:r>
      <w:proofErr w:type="spellStart"/>
      <w:r w:rsidRPr="00676DC1">
        <w:rPr>
          <w:sz w:val="22"/>
          <w:szCs w:val="22"/>
        </w:rPr>
        <w:t>utilised</w:t>
      </w:r>
      <w:proofErr w:type="spellEnd"/>
      <w:r w:rsidRPr="00676DC1">
        <w:rPr>
          <w:sz w:val="22"/>
          <w:szCs w:val="22"/>
        </w:rPr>
        <w:t xml:space="preserve"> to yield future platform temperatures. Therefore, the WHR model had to be run with 2006 weather data </w:t>
      </w:r>
      <w:proofErr w:type="gramStart"/>
      <w:r w:rsidRPr="00676DC1">
        <w:rPr>
          <w:sz w:val="22"/>
          <w:szCs w:val="22"/>
        </w:rPr>
        <w:t>in order to</w:t>
      </w:r>
      <w:proofErr w:type="gramEnd"/>
      <w:r w:rsidRPr="00676DC1">
        <w:rPr>
          <w:sz w:val="22"/>
          <w:szCs w:val="22"/>
        </w:rPr>
        <w:t xml:space="preserve"> provide the necessary inputs for this investigation, and the link between the WHR and SES models are provided in </w:t>
      </w:r>
      <w:r w:rsidRPr="00676DC1">
        <w:rPr>
          <w:sz w:val="22"/>
          <w:szCs w:val="22"/>
        </w:rPr>
        <w:fldChar w:fldCharType="begin"/>
      </w:r>
      <w:r w:rsidRPr="00676DC1">
        <w:rPr>
          <w:sz w:val="22"/>
          <w:szCs w:val="22"/>
        </w:rPr>
        <w:instrText xml:space="preserve"> REF _Ref68775267 \h  \* MERGEFORMAT </w:instrText>
      </w:r>
      <w:r w:rsidRPr="00676DC1">
        <w:rPr>
          <w:sz w:val="22"/>
          <w:szCs w:val="22"/>
        </w:rPr>
      </w:r>
      <w:r w:rsidRPr="00676DC1">
        <w:rPr>
          <w:sz w:val="22"/>
          <w:szCs w:val="22"/>
        </w:rPr>
        <w:fldChar w:fldCharType="separate"/>
      </w:r>
      <w:r w:rsidRPr="00676DC1">
        <w:rPr>
          <w:sz w:val="22"/>
          <w:szCs w:val="22"/>
        </w:rPr>
        <w:t>Figure 8</w:t>
      </w:r>
      <w:r w:rsidRPr="00676DC1">
        <w:rPr>
          <w:sz w:val="22"/>
          <w:szCs w:val="22"/>
        </w:rPr>
        <w:fldChar w:fldCharType="end"/>
      </w:r>
      <w:r w:rsidRPr="00676DC1">
        <w:rPr>
          <w:sz w:val="22"/>
          <w:szCs w:val="22"/>
        </w:rPr>
        <w:t>. The cooling effect calculated by the WHR model considers both sensible and latent cooling loads associated with the heat recovery process in supply mode,</w:t>
      </w:r>
      <w:r w:rsidR="0089500D">
        <w:rPr>
          <w:sz w:val="22"/>
          <w:szCs w:val="22"/>
        </w:rPr>
        <w:t xml:space="preserve"> as discussed in [18],</w:t>
      </w:r>
      <w:r w:rsidRPr="00676DC1">
        <w:rPr>
          <w:sz w:val="22"/>
          <w:szCs w:val="22"/>
        </w:rPr>
        <w:t xml:space="preserve"> and the data used for simulation </w:t>
      </w:r>
      <w:r w:rsidR="0089500D">
        <w:rPr>
          <w:sz w:val="22"/>
          <w:szCs w:val="22"/>
        </w:rPr>
        <w:t>are</w:t>
      </w:r>
      <w:r w:rsidRPr="00676DC1">
        <w:rPr>
          <w:sz w:val="22"/>
          <w:szCs w:val="22"/>
        </w:rPr>
        <w:t xml:space="preserve"> </w:t>
      </w:r>
      <w:proofErr w:type="spellStart"/>
      <w:r w:rsidRPr="00676DC1">
        <w:rPr>
          <w:sz w:val="22"/>
          <w:szCs w:val="22"/>
        </w:rPr>
        <w:t>summarised</w:t>
      </w:r>
      <w:proofErr w:type="spellEnd"/>
      <w:r w:rsidRPr="00676DC1">
        <w:rPr>
          <w:sz w:val="22"/>
          <w:szCs w:val="22"/>
        </w:rPr>
        <w:t xml:space="preserve"> in </w:t>
      </w:r>
      <w:r w:rsidRPr="00676DC1">
        <w:rPr>
          <w:sz w:val="22"/>
          <w:szCs w:val="22"/>
        </w:rPr>
        <w:fldChar w:fldCharType="begin"/>
      </w:r>
      <w:r w:rsidRPr="00676DC1">
        <w:rPr>
          <w:sz w:val="22"/>
          <w:szCs w:val="22"/>
        </w:rPr>
        <w:instrText xml:space="preserve"> REF _Ref68856267 \h  \* MERGEFORMAT </w:instrText>
      </w:r>
      <w:r w:rsidRPr="00676DC1">
        <w:rPr>
          <w:sz w:val="22"/>
          <w:szCs w:val="22"/>
        </w:rPr>
      </w:r>
      <w:r w:rsidRPr="00676DC1">
        <w:rPr>
          <w:sz w:val="22"/>
          <w:szCs w:val="22"/>
        </w:rPr>
        <w:fldChar w:fldCharType="separate"/>
      </w:r>
      <w:r w:rsidRPr="00676DC1">
        <w:rPr>
          <w:sz w:val="22"/>
          <w:szCs w:val="22"/>
        </w:rPr>
        <w:t>Figure 9</w:t>
      </w:r>
      <w:r w:rsidRPr="00676DC1">
        <w:rPr>
          <w:sz w:val="22"/>
          <w:szCs w:val="22"/>
        </w:rPr>
        <w:fldChar w:fldCharType="end"/>
      </w:r>
      <w:r w:rsidRPr="00676DC1">
        <w:rPr>
          <w:sz w:val="22"/>
          <w:szCs w:val="22"/>
        </w:rPr>
        <w:t>.</w:t>
      </w:r>
    </w:p>
    <w:p w14:paraId="2367DB37" w14:textId="77777777" w:rsidR="0089500D" w:rsidRDefault="0089500D" w:rsidP="0089500D">
      <w:pPr>
        <w:pBdr>
          <w:top w:val="nil"/>
          <w:left w:val="nil"/>
          <w:bottom w:val="nil"/>
          <w:right w:val="nil"/>
          <w:between w:val="nil"/>
        </w:pBdr>
        <w:spacing w:line="276" w:lineRule="auto"/>
        <w:jc w:val="center"/>
        <w:rPr>
          <w:rFonts w:ascii="Arial" w:hAnsi="Arial" w:cs="Arial"/>
        </w:rPr>
      </w:pPr>
      <w:r>
        <w:rPr>
          <w:rFonts w:ascii="Arial" w:hAnsi="Arial" w:cs="Arial"/>
          <w:noProof/>
          <w:lang w:val="en-GB" w:eastAsia="en-GB"/>
        </w:rPr>
        <w:drawing>
          <wp:inline distT="0" distB="0" distL="0" distR="0" wp14:anchorId="7076EF19" wp14:editId="1DBF93B6">
            <wp:extent cx="5732764" cy="2988000"/>
            <wp:effectExtent l="0" t="0" r="1905" b="3175"/>
            <wp:docPr id="5" name="Picture 5"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a red line&#10;&#10;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32764" cy="2988000"/>
                    </a:xfrm>
                    <a:prstGeom prst="rect">
                      <a:avLst/>
                    </a:prstGeom>
                    <a:noFill/>
                  </pic:spPr>
                </pic:pic>
              </a:graphicData>
            </a:graphic>
          </wp:inline>
        </w:drawing>
      </w:r>
    </w:p>
    <w:p w14:paraId="6251A013" w14:textId="339C1EAB" w:rsidR="0089500D" w:rsidRPr="005D6AFD" w:rsidRDefault="0089500D" w:rsidP="0089500D">
      <w:pPr>
        <w:pBdr>
          <w:top w:val="nil"/>
          <w:left w:val="nil"/>
          <w:bottom w:val="nil"/>
          <w:right w:val="nil"/>
          <w:between w:val="nil"/>
        </w:pBdr>
        <w:spacing w:after="200" w:line="276" w:lineRule="auto"/>
        <w:jc w:val="center"/>
        <w:rPr>
          <w:rFonts w:asciiTheme="majorHAnsi" w:hAnsiTheme="majorHAnsi" w:cstheme="majorHAnsi"/>
          <w:color w:val="000000" w:themeColor="text1"/>
          <w:sz w:val="18"/>
          <w:szCs w:val="18"/>
        </w:rPr>
      </w:pPr>
      <w:bookmarkStart w:id="7" w:name="_Ref68856267"/>
      <w:r w:rsidRPr="005D6AFD">
        <w:rPr>
          <w:rFonts w:asciiTheme="majorHAnsi" w:hAnsiTheme="majorHAnsi" w:cstheme="majorHAnsi"/>
          <w:b/>
          <w:sz w:val="18"/>
          <w:szCs w:val="18"/>
        </w:rPr>
        <w:t xml:space="preserve">Figure </w:t>
      </w:r>
      <w:r w:rsidRPr="005D6AFD">
        <w:rPr>
          <w:rFonts w:asciiTheme="majorHAnsi" w:hAnsiTheme="majorHAnsi" w:cstheme="majorHAnsi"/>
          <w:b/>
          <w:sz w:val="18"/>
          <w:szCs w:val="18"/>
        </w:rPr>
        <w:fldChar w:fldCharType="begin"/>
      </w:r>
      <w:r w:rsidRPr="005D6AFD">
        <w:rPr>
          <w:rFonts w:asciiTheme="majorHAnsi" w:hAnsiTheme="majorHAnsi" w:cstheme="majorHAnsi"/>
          <w:b/>
          <w:sz w:val="18"/>
          <w:szCs w:val="18"/>
        </w:rPr>
        <w:instrText xml:space="preserve"> SEQ Figure \* ARABIC </w:instrText>
      </w:r>
      <w:r w:rsidRPr="005D6AFD">
        <w:rPr>
          <w:rFonts w:asciiTheme="majorHAnsi" w:hAnsiTheme="majorHAnsi" w:cstheme="majorHAnsi"/>
          <w:b/>
          <w:sz w:val="18"/>
          <w:szCs w:val="18"/>
        </w:rPr>
        <w:fldChar w:fldCharType="separate"/>
      </w:r>
      <w:r w:rsidRPr="005D6AFD">
        <w:rPr>
          <w:rFonts w:asciiTheme="majorHAnsi" w:hAnsiTheme="majorHAnsi" w:cstheme="majorHAnsi"/>
          <w:b/>
          <w:sz w:val="18"/>
          <w:szCs w:val="18"/>
        </w:rPr>
        <w:t>9</w:t>
      </w:r>
      <w:r w:rsidRPr="005D6AFD">
        <w:rPr>
          <w:rFonts w:asciiTheme="majorHAnsi" w:hAnsiTheme="majorHAnsi" w:cstheme="majorHAnsi"/>
          <w:b/>
          <w:sz w:val="18"/>
          <w:szCs w:val="18"/>
        </w:rPr>
        <w:fldChar w:fldCharType="end"/>
      </w:r>
      <w:bookmarkEnd w:id="7"/>
      <w:r>
        <w:rPr>
          <w:rFonts w:ascii="Arial" w:eastAsia="Times" w:hAnsi="Arial" w:cs="Arial"/>
          <w:b/>
          <w:sz w:val="20"/>
          <w:szCs w:val="20"/>
          <w:lang w:val="en-GB"/>
        </w:rPr>
        <w:t xml:space="preserve"> </w:t>
      </w:r>
      <w:r w:rsidRPr="005D6AFD">
        <w:rPr>
          <w:rFonts w:asciiTheme="majorHAnsi" w:hAnsiTheme="majorHAnsi" w:cstheme="majorHAnsi"/>
          <w:color w:val="000000" w:themeColor="text1"/>
          <w:sz w:val="18"/>
          <w:szCs w:val="18"/>
        </w:rPr>
        <w:t xml:space="preserve">– </w:t>
      </w:r>
      <w:r w:rsidR="005D6AFD">
        <w:rPr>
          <w:rFonts w:asciiTheme="majorHAnsi" w:hAnsiTheme="majorHAnsi" w:cstheme="majorHAnsi"/>
          <w:color w:val="000000" w:themeColor="text1"/>
          <w:sz w:val="18"/>
          <w:szCs w:val="18"/>
        </w:rPr>
        <w:t>Mon</w:t>
      </w:r>
      <w:r w:rsidRPr="005D6AFD">
        <w:rPr>
          <w:rFonts w:asciiTheme="majorHAnsi" w:hAnsiTheme="majorHAnsi" w:cstheme="majorHAnsi"/>
          <w:color w:val="000000" w:themeColor="text1"/>
          <w:sz w:val="18"/>
          <w:szCs w:val="18"/>
        </w:rPr>
        <w:t>thly average sensible and latent cooling</w:t>
      </w:r>
      <w:r w:rsidR="005D6AFD">
        <w:rPr>
          <w:rFonts w:asciiTheme="majorHAnsi" w:hAnsiTheme="majorHAnsi" w:cstheme="majorHAnsi"/>
          <w:color w:val="000000" w:themeColor="text1"/>
          <w:sz w:val="18"/>
          <w:szCs w:val="18"/>
        </w:rPr>
        <w:t xml:space="preserve"> outputs</w:t>
      </w:r>
      <w:r w:rsidRPr="005D6AFD">
        <w:rPr>
          <w:rFonts w:asciiTheme="majorHAnsi" w:hAnsiTheme="majorHAnsi" w:cstheme="majorHAnsi"/>
          <w:color w:val="000000" w:themeColor="text1"/>
          <w:sz w:val="18"/>
          <w:szCs w:val="18"/>
        </w:rPr>
        <w:t>, as well as air inlet and outlet temperatures calculated by the WHR model in supply mode.</w:t>
      </w:r>
    </w:p>
    <w:p w14:paraId="09374FE2" w14:textId="77777777" w:rsidR="0074110F" w:rsidRPr="00676DC1" w:rsidRDefault="0074110F" w:rsidP="0074110F">
      <w:pPr>
        <w:pBdr>
          <w:top w:val="nil"/>
          <w:left w:val="nil"/>
          <w:bottom w:val="nil"/>
          <w:right w:val="nil"/>
          <w:between w:val="nil"/>
        </w:pBdr>
        <w:spacing w:after="200" w:line="276" w:lineRule="auto"/>
        <w:jc w:val="both"/>
        <w:rPr>
          <w:sz w:val="22"/>
          <w:szCs w:val="22"/>
        </w:rPr>
      </w:pPr>
      <w:r w:rsidRPr="00676DC1">
        <w:rPr>
          <w:sz w:val="22"/>
          <w:szCs w:val="22"/>
        </w:rPr>
        <w:t xml:space="preserve">As shown in </w:t>
      </w:r>
      <w:r w:rsidRPr="00676DC1">
        <w:rPr>
          <w:sz w:val="22"/>
          <w:szCs w:val="22"/>
        </w:rPr>
        <w:fldChar w:fldCharType="begin"/>
      </w:r>
      <w:r w:rsidRPr="00676DC1">
        <w:rPr>
          <w:sz w:val="22"/>
          <w:szCs w:val="22"/>
        </w:rPr>
        <w:instrText xml:space="preserve"> REF _Ref68856267 \h  \* MERGEFORMAT </w:instrText>
      </w:r>
      <w:r w:rsidRPr="00676DC1">
        <w:rPr>
          <w:sz w:val="22"/>
          <w:szCs w:val="22"/>
        </w:rPr>
      </w:r>
      <w:r w:rsidRPr="00676DC1">
        <w:rPr>
          <w:sz w:val="22"/>
          <w:szCs w:val="22"/>
        </w:rPr>
        <w:fldChar w:fldCharType="separate"/>
      </w:r>
      <w:r w:rsidRPr="00676DC1">
        <w:rPr>
          <w:sz w:val="22"/>
          <w:szCs w:val="22"/>
        </w:rPr>
        <w:t>Figure 9</w:t>
      </w:r>
      <w:r w:rsidRPr="00676DC1">
        <w:rPr>
          <w:sz w:val="22"/>
          <w:szCs w:val="22"/>
        </w:rPr>
        <w:fldChar w:fldCharType="end"/>
      </w:r>
      <w:r w:rsidRPr="00676DC1">
        <w:rPr>
          <w:sz w:val="22"/>
          <w:szCs w:val="22"/>
        </w:rPr>
        <w:t>, supply mode operation results in significant proportions of latent cooling, with an average of 34% of the total coil duty annually. This leads to a lower air temperature reduction (</w:t>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t>
            </m:r>
          </m:sub>
        </m:sSub>
      </m:oMath>
      <w:r w:rsidRPr="00676DC1">
        <w:rPr>
          <w:sz w:val="22"/>
          <w:szCs w:val="22"/>
        </w:rPr>
        <w:t xml:space="preserve">) than would be achieved if no condensation took place. Overall, the annual average </w:t>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t>
            </m:r>
          </m:sub>
        </m:sSub>
      </m:oMath>
      <w:r w:rsidRPr="00676DC1">
        <w:rPr>
          <w:sz w:val="22"/>
          <w:szCs w:val="22"/>
        </w:rPr>
        <w:t xml:space="preserve"> was calculated as 5.4°C, although values as high as 9.6°C were predicted for an entirely sensible cooling process, highlighting the relevance of considering latent loads when </w:t>
      </w:r>
      <w:proofErr w:type="spellStart"/>
      <w:r w:rsidRPr="00676DC1">
        <w:rPr>
          <w:sz w:val="22"/>
          <w:szCs w:val="22"/>
        </w:rPr>
        <w:t>analysing</w:t>
      </w:r>
      <w:proofErr w:type="spellEnd"/>
      <w:r w:rsidRPr="00676DC1">
        <w:rPr>
          <w:sz w:val="22"/>
          <w:szCs w:val="22"/>
        </w:rPr>
        <w:t xml:space="preserve"> the cooling potential of the WHR system. For each scenario from </w:t>
      </w:r>
      <w:r w:rsidRPr="00676DC1">
        <w:rPr>
          <w:sz w:val="22"/>
          <w:szCs w:val="22"/>
        </w:rPr>
        <w:fldChar w:fldCharType="begin"/>
      </w:r>
      <w:r w:rsidRPr="00676DC1">
        <w:rPr>
          <w:sz w:val="22"/>
          <w:szCs w:val="22"/>
        </w:rPr>
        <w:instrText xml:space="preserve"> REF _Ref63250872 \h  \* MERGEFORMAT </w:instrText>
      </w:r>
      <w:r w:rsidRPr="00676DC1">
        <w:rPr>
          <w:sz w:val="22"/>
          <w:szCs w:val="22"/>
        </w:rPr>
      </w:r>
      <w:r w:rsidRPr="00676DC1">
        <w:rPr>
          <w:sz w:val="22"/>
          <w:szCs w:val="22"/>
        </w:rPr>
        <w:fldChar w:fldCharType="separate"/>
      </w:r>
      <w:r w:rsidRPr="00676DC1">
        <w:rPr>
          <w:sz w:val="22"/>
          <w:szCs w:val="22"/>
        </w:rPr>
        <w:t>Table 1</w:t>
      </w:r>
      <w:r w:rsidRPr="00676DC1">
        <w:rPr>
          <w:sz w:val="22"/>
          <w:szCs w:val="22"/>
        </w:rPr>
        <w:fldChar w:fldCharType="end"/>
      </w:r>
      <w:r w:rsidRPr="00676DC1">
        <w:rPr>
          <w:sz w:val="22"/>
          <w:szCs w:val="22"/>
        </w:rPr>
        <w:t xml:space="preserve">, supply mode operation was modelled using the air outlet temperatures corresponding to the months the system would be operating in supply mode. Extract mode was modelled with no air supply through the vent shaft, and a mixed operation was simulated by combining the results from both extract and supply simulations. The results are expressed in terms of average evening peak temperatures for the hottest week of the year. This corresponds to the worst-case scenario the stations would be exposed to, representing how the cooling provided can alleviate temperatures during critical periods. The results from the SES analysis are illustrated in </w:t>
      </w:r>
      <w:r w:rsidRPr="00676DC1">
        <w:rPr>
          <w:sz w:val="22"/>
          <w:szCs w:val="22"/>
        </w:rPr>
        <w:fldChar w:fldCharType="begin"/>
      </w:r>
      <w:r w:rsidRPr="00676DC1">
        <w:rPr>
          <w:sz w:val="22"/>
          <w:szCs w:val="22"/>
        </w:rPr>
        <w:instrText xml:space="preserve"> REF _Ref68858892 \h  \* MERGEFORMAT </w:instrText>
      </w:r>
      <w:r w:rsidRPr="00676DC1">
        <w:rPr>
          <w:sz w:val="22"/>
          <w:szCs w:val="22"/>
        </w:rPr>
      </w:r>
      <w:r w:rsidRPr="00676DC1">
        <w:rPr>
          <w:sz w:val="22"/>
          <w:szCs w:val="22"/>
        </w:rPr>
        <w:fldChar w:fldCharType="separate"/>
      </w:r>
      <w:r w:rsidRPr="00676DC1">
        <w:rPr>
          <w:sz w:val="22"/>
          <w:szCs w:val="22"/>
        </w:rPr>
        <w:t>Figure 10</w:t>
      </w:r>
      <w:r w:rsidRPr="00676DC1">
        <w:rPr>
          <w:sz w:val="22"/>
          <w:szCs w:val="22"/>
        </w:rPr>
        <w:fldChar w:fldCharType="end"/>
      </w:r>
      <w:r w:rsidRPr="00676DC1">
        <w:rPr>
          <w:sz w:val="22"/>
          <w:szCs w:val="22"/>
        </w:rPr>
        <w:t>.</w:t>
      </w:r>
    </w:p>
    <w:p w14:paraId="0CCD6C86" w14:textId="54D41F91" w:rsidR="0074110F" w:rsidRPr="005D6AFD" w:rsidRDefault="0074110F" w:rsidP="0074110F">
      <w:pPr>
        <w:pBdr>
          <w:top w:val="nil"/>
          <w:left w:val="nil"/>
          <w:bottom w:val="nil"/>
          <w:right w:val="nil"/>
          <w:between w:val="nil"/>
        </w:pBdr>
        <w:spacing w:after="200" w:line="276" w:lineRule="auto"/>
        <w:jc w:val="both"/>
        <w:rPr>
          <w:sz w:val="22"/>
          <w:szCs w:val="22"/>
        </w:rPr>
      </w:pPr>
      <w:r w:rsidRPr="005D6AFD">
        <w:rPr>
          <w:sz w:val="22"/>
          <w:szCs w:val="22"/>
        </w:rPr>
        <w:t>The results show how the scenarios involving cooling provision would lead to significant reductions in platform temperatures as opposed to year-round extract mode operation, particularly for the stations adjacent to the ventilation shaft (Angel and Old Street), as negligible reductions were observed at King’s Cross and Moorgate. The highest reductions were estimated for scenario 5, where the year-round supply of cooling could potentially reduce peak temperatures by 7.2</w:t>
      </w:r>
      <w:r w:rsidR="005D6AFD">
        <w:rPr>
          <w:sz w:val="22"/>
          <w:szCs w:val="22"/>
        </w:rPr>
        <w:t xml:space="preserve"> K</w:t>
      </w:r>
      <w:r w:rsidRPr="005D6AFD">
        <w:rPr>
          <w:sz w:val="22"/>
          <w:szCs w:val="22"/>
        </w:rPr>
        <w:t xml:space="preserve"> at Angel and 6.3</w:t>
      </w:r>
      <w:r w:rsidR="005D6AFD">
        <w:rPr>
          <w:sz w:val="22"/>
          <w:szCs w:val="22"/>
        </w:rPr>
        <w:t xml:space="preserve"> K </w:t>
      </w:r>
      <w:r w:rsidRPr="005D6AFD">
        <w:rPr>
          <w:sz w:val="22"/>
          <w:szCs w:val="22"/>
        </w:rPr>
        <w:t>at Old Street. For scenarios 2, 3 and 4, which involve a combination of extract and supply modes, the average ΔTs, considering both adjacent stations, were of 1.1, 2.6 and 4.5</w:t>
      </w:r>
      <w:r w:rsidR="005D6AFD">
        <w:rPr>
          <w:sz w:val="22"/>
          <w:szCs w:val="22"/>
        </w:rPr>
        <w:t xml:space="preserve"> K</w:t>
      </w:r>
      <w:r w:rsidRPr="005D6AFD">
        <w:rPr>
          <w:sz w:val="22"/>
          <w:szCs w:val="22"/>
        </w:rPr>
        <w:t xml:space="preserve">, respectively, highlighting how the </w:t>
      </w:r>
      <w:r w:rsidRPr="005D6AFD">
        <w:rPr>
          <w:sz w:val="22"/>
          <w:szCs w:val="22"/>
        </w:rPr>
        <w:lastRenderedPageBreak/>
        <w:t>cooling benefit can be increased if the system operates for longer periods in supply mode. These temperature reductions might lead to several tangible benefits for LU, such as increasing the wellbeing of passengers and staff [</w:t>
      </w:r>
      <w:r w:rsidR="0089500D" w:rsidRPr="005D6AFD">
        <w:rPr>
          <w:sz w:val="22"/>
          <w:szCs w:val="22"/>
        </w:rPr>
        <w:t>34</w:t>
      </w:r>
      <w:r w:rsidRPr="005D6AFD">
        <w:rPr>
          <w:sz w:val="22"/>
          <w:szCs w:val="22"/>
        </w:rPr>
        <w:t>], reducing risk of train delays caused by high temperatures [</w:t>
      </w:r>
      <w:r w:rsidR="0089500D" w:rsidRPr="005D6AFD">
        <w:rPr>
          <w:sz w:val="22"/>
          <w:szCs w:val="22"/>
        </w:rPr>
        <w:t>1</w:t>
      </w:r>
      <w:r w:rsidRPr="005D6AFD">
        <w:rPr>
          <w:sz w:val="22"/>
          <w:szCs w:val="22"/>
        </w:rPr>
        <w:t>7], as well as unlocking potential for service frequency and ridership to be increased.</w:t>
      </w:r>
    </w:p>
    <w:p w14:paraId="3FC9189C" w14:textId="77777777" w:rsidR="0074110F" w:rsidRDefault="0074110F" w:rsidP="007227FA">
      <w:pPr>
        <w:pBdr>
          <w:top w:val="nil"/>
          <w:left w:val="nil"/>
          <w:bottom w:val="nil"/>
          <w:right w:val="nil"/>
          <w:between w:val="nil"/>
        </w:pBdr>
        <w:spacing w:line="276" w:lineRule="auto"/>
        <w:jc w:val="center"/>
        <w:rPr>
          <w:rFonts w:ascii="Arial" w:hAnsi="Arial" w:cs="Arial"/>
        </w:rPr>
      </w:pPr>
      <w:r>
        <w:rPr>
          <w:rFonts w:ascii="Arial" w:hAnsi="Arial" w:cs="Arial"/>
          <w:noProof/>
          <w:lang w:val="en-GB" w:eastAsia="en-GB"/>
        </w:rPr>
        <w:drawing>
          <wp:inline distT="0" distB="0" distL="0" distR="0" wp14:anchorId="5A379A47" wp14:editId="12F1150B">
            <wp:extent cx="5420377" cy="2880000"/>
            <wp:effectExtent l="0" t="0" r="8890" b="0"/>
            <wp:docPr id="9" name="Picture 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different colored lines&#10;&#10;Description automatically generated"/>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420377" cy="2880000"/>
                    </a:xfrm>
                    <a:prstGeom prst="rect">
                      <a:avLst/>
                    </a:prstGeom>
                    <a:noFill/>
                  </pic:spPr>
                </pic:pic>
              </a:graphicData>
            </a:graphic>
          </wp:inline>
        </w:drawing>
      </w:r>
    </w:p>
    <w:p w14:paraId="20C200E6" w14:textId="77777777" w:rsidR="0074110F" w:rsidRDefault="0074110F" w:rsidP="0074110F">
      <w:pPr>
        <w:pBdr>
          <w:top w:val="nil"/>
          <w:left w:val="nil"/>
          <w:bottom w:val="nil"/>
          <w:right w:val="nil"/>
          <w:between w:val="nil"/>
        </w:pBdr>
        <w:spacing w:after="200" w:line="276" w:lineRule="auto"/>
        <w:jc w:val="center"/>
        <w:rPr>
          <w:rFonts w:ascii="Arial" w:eastAsia="Times" w:hAnsi="Arial" w:cs="Arial"/>
          <w:sz w:val="20"/>
          <w:szCs w:val="20"/>
          <w:lang w:val="en-GB"/>
        </w:rPr>
      </w:pPr>
      <w:bookmarkStart w:id="8" w:name="_Ref68858892"/>
      <w:r w:rsidRPr="005D6AFD">
        <w:rPr>
          <w:rFonts w:asciiTheme="majorHAnsi" w:hAnsiTheme="majorHAnsi" w:cstheme="majorHAnsi"/>
          <w:b/>
          <w:bCs/>
          <w:color w:val="000000" w:themeColor="text1"/>
          <w:sz w:val="18"/>
          <w:szCs w:val="18"/>
        </w:rPr>
        <w:t xml:space="preserve">Figure </w:t>
      </w:r>
      <w:r w:rsidRPr="005D6AFD">
        <w:rPr>
          <w:rFonts w:asciiTheme="majorHAnsi" w:hAnsiTheme="majorHAnsi" w:cstheme="majorHAnsi"/>
          <w:b/>
          <w:bCs/>
          <w:color w:val="000000" w:themeColor="text1"/>
          <w:sz w:val="18"/>
          <w:szCs w:val="18"/>
        </w:rPr>
        <w:fldChar w:fldCharType="begin"/>
      </w:r>
      <w:r w:rsidRPr="005D6AFD">
        <w:rPr>
          <w:rFonts w:asciiTheme="majorHAnsi" w:hAnsiTheme="majorHAnsi" w:cstheme="majorHAnsi"/>
          <w:b/>
          <w:bCs/>
          <w:color w:val="000000" w:themeColor="text1"/>
          <w:sz w:val="18"/>
          <w:szCs w:val="18"/>
        </w:rPr>
        <w:instrText xml:space="preserve"> SEQ Figure \* ARABIC </w:instrText>
      </w:r>
      <w:r w:rsidRPr="005D6AFD">
        <w:rPr>
          <w:rFonts w:asciiTheme="majorHAnsi" w:hAnsiTheme="majorHAnsi" w:cstheme="majorHAnsi"/>
          <w:b/>
          <w:bCs/>
          <w:color w:val="000000" w:themeColor="text1"/>
          <w:sz w:val="18"/>
          <w:szCs w:val="18"/>
        </w:rPr>
        <w:fldChar w:fldCharType="separate"/>
      </w:r>
      <w:r w:rsidRPr="005D6AFD">
        <w:rPr>
          <w:rFonts w:asciiTheme="majorHAnsi" w:hAnsiTheme="majorHAnsi" w:cstheme="majorHAnsi"/>
          <w:b/>
          <w:bCs/>
          <w:color w:val="000000" w:themeColor="text1"/>
          <w:sz w:val="18"/>
          <w:szCs w:val="18"/>
        </w:rPr>
        <w:t>10</w:t>
      </w:r>
      <w:r w:rsidRPr="005D6AFD">
        <w:rPr>
          <w:rFonts w:asciiTheme="majorHAnsi" w:hAnsiTheme="majorHAnsi" w:cstheme="majorHAnsi"/>
          <w:b/>
          <w:bCs/>
          <w:color w:val="000000" w:themeColor="text1"/>
          <w:sz w:val="18"/>
          <w:szCs w:val="18"/>
        </w:rPr>
        <w:fldChar w:fldCharType="end"/>
      </w:r>
      <w:bookmarkEnd w:id="8"/>
      <w:r w:rsidRPr="005D6AFD">
        <w:rPr>
          <w:rFonts w:asciiTheme="majorHAnsi" w:hAnsiTheme="majorHAnsi" w:cstheme="majorHAnsi"/>
          <w:color w:val="000000" w:themeColor="text1"/>
          <w:sz w:val="18"/>
          <w:szCs w:val="18"/>
        </w:rPr>
        <w:t xml:space="preserve"> – Peak platform temperatures for 2030 based upon a combination of extract and supply mode SES simulations.</w:t>
      </w:r>
    </w:p>
    <w:p w14:paraId="684E0607" w14:textId="6637EEC7" w:rsidR="005D6AFD" w:rsidRDefault="009149A6" w:rsidP="00F5675A">
      <w:pPr>
        <w:pStyle w:val="ListParagraph"/>
        <w:numPr>
          <w:ilvl w:val="0"/>
          <w:numId w:val="4"/>
        </w:numPr>
        <w:pBdr>
          <w:top w:val="nil"/>
          <w:left w:val="nil"/>
          <w:bottom w:val="nil"/>
          <w:right w:val="nil"/>
          <w:between w:val="nil"/>
        </w:pBdr>
        <w:spacing w:line="276" w:lineRule="auto"/>
        <w:jc w:val="both"/>
        <w:rPr>
          <w:b/>
          <w:color w:val="000000"/>
        </w:rPr>
      </w:pPr>
      <w:r>
        <w:rPr>
          <w:b/>
          <w:color w:val="000000"/>
        </w:rPr>
        <w:t>Wider opportunities for waste heat recovery</w:t>
      </w:r>
    </w:p>
    <w:p w14:paraId="177A2DB9" w14:textId="4D611479" w:rsidR="007227FA" w:rsidRDefault="005D6AFD" w:rsidP="00A47E51">
      <w:pPr>
        <w:pBdr>
          <w:top w:val="nil"/>
          <w:left w:val="nil"/>
          <w:bottom w:val="nil"/>
          <w:right w:val="nil"/>
          <w:between w:val="nil"/>
        </w:pBdr>
        <w:spacing w:after="200" w:line="276" w:lineRule="auto"/>
        <w:jc w:val="both"/>
        <w:rPr>
          <w:sz w:val="22"/>
          <w:szCs w:val="22"/>
        </w:rPr>
      </w:pPr>
      <w:r w:rsidRPr="005D6CDC">
        <w:rPr>
          <w:sz w:val="22"/>
          <w:szCs w:val="22"/>
        </w:rPr>
        <w:t>Th</w:t>
      </w:r>
      <w:r>
        <w:rPr>
          <w:sz w:val="22"/>
          <w:szCs w:val="22"/>
        </w:rPr>
        <w:t xml:space="preserve">is investigation is part </w:t>
      </w:r>
      <w:r w:rsidR="008C5BD2">
        <w:rPr>
          <w:sz w:val="22"/>
          <w:szCs w:val="22"/>
        </w:rPr>
        <w:t xml:space="preserve">of the broader work from </w:t>
      </w:r>
      <w:r w:rsidR="00305DF9">
        <w:rPr>
          <w:sz w:val="22"/>
          <w:szCs w:val="22"/>
        </w:rPr>
        <w:t>the Heating and Cooling Research Group at LSBU</w:t>
      </w:r>
      <w:r w:rsidR="008C5BD2">
        <w:rPr>
          <w:sz w:val="22"/>
          <w:szCs w:val="22"/>
        </w:rPr>
        <w:t xml:space="preserve"> in the field of heat recovery, e.g.</w:t>
      </w:r>
      <w:r w:rsidR="00305DF9">
        <w:rPr>
          <w:sz w:val="22"/>
          <w:szCs w:val="22"/>
        </w:rPr>
        <w:t xml:space="preserve"> through projects </w:t>
      </w:r>
      <w:proofErr w:type="spellStart"/>
      <w:r w:rsidR="00305DF9">
        <w:rPr>
          <w:sz w:val="22"/>
          <w:szCs w:val="22"/>
        </w:rPr>
        <w:t>LoT</w:t>
      </w:r>
      <w:proofErr w:type="spellEnd"/>
      <w:r w:rsidR="00305DF9">
        <w:rPr>
          <w:sz w:val="22"/>
          <w:szCs w:val="22"/>
        </w:rPr>
        <w:t xml:space="preserve">-NET [35] and </w:t>
      </w:r>
      <w:proofErr w:type="spellStart"/>
      <w:r w:rsidR="00305DF9">
        <w:rPr>
          <w:sz w:val="22"/>
          <w:szCs w:val="22"/>
        </w:rPr>
        <w:t>GreenSCIES</w:t>
      </w:r>
      <w:proofErr w:type="spellEnd"/>
      <w:r w:rsidR="00305DF9">
        <w:rPr>
          <w:sz w:val="22"/>
          <w:szCs w:val="22"/>
        </w:rPr>
        <w:t xml:space="preserve"> [36]. Our research group has been involved in several investigations of opportunities to recover and reuse waste and renewable heat. Underground railways represent only a small proportion of the overall </w:t>
      </w:r>
      <w:r w:rsidR="008C5BD2">
        <w:rPr>
          <w:sz w:val="22"/>
          <w:szCs w:val="22"/>
        </w:rPr>
        <w:t xml:space="preserve">low-temperature </w:t>
      </w:r>
      <w:r w:rsidR="00305DF9">
        <w:rPr>
          <w:sz w:val="22"/>
          <w:szCs w:val="22"/>
        </w:rPr>
        <w:t>WHR potential we have estimated for the UK [</w:t>
      </w:r>
      <w:r w:rsidR="008C5BD2">
        <w:rPr>
          <w:sz w:val="22"/>
          <w:szCs w:val="22"/>
        </w:rPr>
        <w:t>37</w:t>
      </w:r>
      <w:r w:rsidR="00305DF9">
        <w:rPr>
          <w:sz w:val="22"/>
          <w:szCs w:val="22"/>
        </w:rPr>
        <w:t>]</w:t>
      </w:r>
      <w:r w:rsidR="008C5BD2">
        <w:rPr>
          <w:sz w:val="22"/>
          <w:szCs w:val="22"/>
        </w:rPr>
        <w:t>, as shown in Figure 11, which compares different unconventional heat sources that could be efficiently exploited by low-carbon DH networks using large-scale heat pumps.</w:t>
      </w:r>
      <w:r w:rsidR="00A47E51">
        <w:rPr>
          <w:sz w:val="22"/>
          <w:szCs w:val="22"/>
        </w:rPr>
        <w:t xml:space="preserve"> Although a </w:t>
      </w:r>
      <w:proofErr w:type="gramStart"/>
      <w:r w:rsidR="00A47E51">
        <w:rPr>
          <w:sz w:val="22"/>
          <w:szCs w:val="22"/>
        </w:rPr>
        <w:t>relative</w:t>
      </w:r>
      <w:proofErr w:type="gramEnd"/>
      <w:r w:rsidR="00A47E51">
        <w:rPr>
          <w:sz w:val="22"/>
          <w:szCs w:val="22"/>
        </w:rPr>
        <w:t xml:space="preserve"> small heat source, underground railways </w:t>
      </w:r>
      <w:r w:rsidR="00A47E51" w:rsidRPr="00A47E51">
        <w:rPr>
          <w:sz w:val="22"/>
          <w:szCs w:val="22"/>
        </w:rPr>
        <w:t>could still be used to reduce carbon emissions and energy costs locally</w:t>
      </w:r>
      <w:r w:rsidR="00A47E51">
        <w:rPr>
          <w:sz w:val="22"/>
          <w:szCs w:val="22"/>
        </w:rPr>
        <w:t>, as shown in this study.</w:t>
      </w:r>
    </w:p>
    <w:p w14:paraId="515AF04A" w14:textId="77777777" w:rsidR="007227FA" w:rsidRDefault="007227FA" w:rsidP="007227FA">
      <w:pPr>
        <w:jc w:val="center"/>
        <w:rPr>
          <w:rFonts w:ascii="Arial" w:hAnsi="Arial" w:cs="Arial"/>
          <w:b/>
        </w:rPr>
      </w:pPr>
      <w:r>
        <w:rPr>
          <w:rFonts w:ascii="Arial" w:hAnsi="Arial" w:cs="Arial"/>
          <w:b/>
          <w:noProof/>
          <w:lang w:eastAsia="en-GB"/>
        </w:rPr>
        <w:drawing>
          <wp:inline distT="0" distB="0" distL="0" distR="0" wp14:anchorId="12EBF813" wp14:editId="4F0798C4">
            <wp:extent cx="5751941" cy="2700000"/>
            <wp:effectExtent l="0" t="0" r="0" b="5715"/>
            <wp:docPr id="16" name="Picture 16"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olorful circle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58"/>
                    <a:stretch/>
                  </pic:blipFill>
                  <pic:spPr bwMode="auto">
                    <a:xfrm>
                      <a:off x="0" y="0"/>
                      <a:ext cx="5751941"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65565171" w14:textId="2CB3BCB7" w:rsidR="007227FA" w:rsidRDefault="007227FA" w:rsidP="007227FA">
      <w:pPr>
        <w:pBdr>
          <w:top w:val="nil"/>
          <w:left w:val="nil"/>
          <w:bottom w:val="nil"/>
          <w:right w:val="nil"/>
          <w:between w:val="nil"/>
        </w:pBdr>
        <w:spacing w:after="200" w:line="276" w:lineRule="auto"/>
        <w:jc w:val="center"/>
        <w:rPr>
          <w:rFonts w:ascii="Arial" w:eastAsia="Times" w:hAnsi="Arial" w:cs="Arial"/>
          <w:sz w:val="20"/>
          <w:szCs w:val="20"/>
          <w:lang w:val="en-GB"/>
        </w:rPr>
      </w:pPr>
      <w:r w:rsidRPr="005D6AFD">
        <w:rPr>
          <w:rFonts w:asciiTheme="majorHAnsi" w:hAnsiTheme="majorHAnsi" w:cstheme="majorHAnsi"/>
          <w:b/>
          <w:bCs/>
          <w:color w:val="000000" w:themeColor="text1"/>
          <w:sz w:val="18"/>
          <w:szCs w:val="18"/>
        </w:rPr>
        <w:t xml:space="preserve">Figure </w:t>
      </w:r>
      <w:r w:rsidRPr="005D6AFD">
        <w:rPr>
          <w:rFonts w:asciiTheme="majorHAnsi" w:hAnsiTheme="majorHAnsi" w:cstheme="majorHAnsi"/>
          <w:b/>
          <w:bCs/>
          <w:color w:val="000000" w:themeColor="text1"/>
          <w:sz w:val="18"/>
          <w:szCs w:val="18"/>
        </w:rPr>
        <w:fldChar w:fldCharType="begin"/>
      </w:r>
      <w:r w:rsidRPr="005D6AFD">
        <w:rPr>
          <w:rFonts w:asciiTheme="majorHAnsi" w:hAnsiTheme="majorHAnsi" w:cstheme="majorHAnsi"/>
          <w:b/>
          <w:bCs/>
          <w:color w:val="000000" w:themeColor="text1"/>
          <w:sz w:val="18"/>
          <w:szCs w:val="18"/>
        </w:rPr>
        <w:instrText xml:space="preserve"> SEQ Figure \* ARABIC </w:instrText>
      </w:r>
      <w:r w:rsidRPr="005D6AFD">
        <w:rPr>
          <w:rFonts w:asciiTheme="majorHAnsi" w:hAnsiTheme="majorHAnsi" w:cstheme="majorHAnsi"/>
          <w:b/>
          <w:bCs/>
          <w:color w:val="000000" w:themeColor="text1"/>
          <w:sz w:val="18"/>
          <w:szCs w:val="18"/>
        </w:rPr>
        <w:fldChar w:fldCharType="separate"/>
      </w:r>
      <w:r w:rsidRPr="005D6AFD">
        <w:rPr>
          <w:rFonts w:asciiTheme="majorHAnsi" w:hAnsiTheme="majorHAnsi" w:cstheme="majorHAnsi"/>
          <w:b/>
          <w:bCs/>
          <w:color w:val="000000" w:themeColor="text1"/>
          <w:sz w:val="18"/>
          <w:szCs w:val="18"/>
        </w:rPr>
        <w:t>1</w:t>
      </w:r>
      <w:r>
        <w:rPr>
          <w:rFonts w:asciiTheme="majorHAnsi" w:hAnsiTheme="majorHAnsi" w:cstheme="majorHAnsi"/>
          <w:b/>
          <w:bCs/>
          <w:color w:val="000000" w:themeColor="text1"/>
          <w:sz w:val="18"/>
          <w:szCs w:val="18"/>
        </w:rPr>
        <w:t>1</w:t>
      </w:r>
      <w:r w:rsidRPr="005D6AFD">
        <w:rPr>
          <w:rFonts w:asciiTheme="majorHAnsi" w:hAnsiTheme="majorHAnsi" w:cstheme="majorHAnsi"/>
          <w:b/>
          <w:bCs/>
          <w:color w:val="000000" w:themeColor="text1"/>
          <w:sz w:val="18"/>
          <w:szCs w:val="18"/>
        </w:rPr>
        <w:fldChar w:fldCharType="end"/>
      </w:r>
      <w:r w:rsidRPr="005D6AFD">
        <w:rPr>
          <w:rFonts w:asciiTheme="majorHAnsi" w:hAnsiTheme="majorHAnsi" w:cstheme="majorHAnsi"/>
          <w:color w:val="000000" w:themeColor="text1"/>
          <w:sz w:val="18"/>
          <w:szCs w:val="18"/>
        </w:rPr>
        <w:t xml:space="preserve"> – </w:t>
      </w:r>
      <w:r w:rsidRPr="007227FA">
        <w:rPr>
          <w:rFonts w:asciiTheme="majorHAnsi" w:hAnsiTheme="majorHAnsi" w:cstheme="majorHAnsi"/>
          <w:color w:val="000000" w:themeColor="text1"/>
          <w:sz w:val="18"/>
          <w:szCs w:val="18"/>
        </w:rPr>
        <w:t xml:space="preserve">Summary of total annual </w:t>
      </w:r>
      <w:r>
        <w:rPr>
          <w:rFonts w:asciiTheme="majorHAnsi" w:hAnsiTheme="majorHAnsi" w:cstheme="majorHAnsi"/>
          <w:color w:val="000000" w:themeColor="text1"/>
          <w:sz w:val="18"/>
          <w:szCs w:val="18"/>
        </w:rPr>
        <w:t>waste heat potential</w:t>
      </w:r>
      <w:r w:rsidRPr="007227FA">
        <w:rPr>
          <w:rFonts w:asciiTheme="majorHAnsi" w:hAnsiTheme="majorHAnsi" w:cstheme="majorHAnsi"/>
          <w:color w:val="000000" w:themeColor="text1"/>
          <w:sz w:val="18"/>
          <w:szCs w:val="18"/>
        </w:rPr>
        <w:t xml:space="preserve"> for</w:t>
      </w:r>
      <w:r>
        <w:rPr>
          <w:rFonts w:asciiTheme="majorHAnsi" w:hAnsiTheme="majorHAnsi" w:cstheme="majorHAnsi"/>
          <w:color w:val="000000" w:themeColor="text1"/>
          <w:sz w:val="18"/>
          <w:szCs w:val="18"/>
        </w:rPr>
        <w:t xml:space="preserve"> the low-temperature</w:t>
      </w:r>
      <w:r w:rsidRPr="007227FA">
        <w:rPr>
          <w:rFonts w:asciiTheme="majorHAnsi" w:hAnsiTheme="majorHAnsi" w:cstheme="majorHAnsi"/>
          <w:color w:val="000000" w:themeColor="text1"/>
          <w:sz w:val="18"/>
          <w:szCs w:val="18"/>
        </w:rPr>
        <w:t xml:space="preserve"> heat sources considered</w:t>
      </w:r>
      <w:r>
        <w:rPr>
          <w:rFonts w:asciiTheme="majorHAnsi" w:hAnsiTheme="majorHAnsi" w:cstheme="majorHAnsi"/>
          <w:color w:val="000000" w:themeColor="text1"/>
          <w:sz w:val="18"/>
          <w:szCs w:val="18"/>
        </w:rPr>
        <w:t xml:space="preserve"> in [37]</w:t>
      </w:r>
      <w:r w:rsidRPr="007227FA">
        <w:rPr>
          <w:rFonts w:asciiTheme="majorHAnsi" w:hAnsiTheme="majorHAnsi" w:cstheme="majorHAnsi"/>
          <w:color w:val="000000" w:themeColor="text1"/>
          <w:sz w:val="18"/>
          <w:szCs w:val="18"/>
        </w:rPr>
        <w:t>.</w:t>
      </w:r>
    </w:p>
    <w:p w14:paraId="3BBBCB15" w14:textId="3BBA271C" w:rsidR="005D6AFD" w:rsidRDefault="008C5BD2" w:rsidP="007227FA">
      <w:pPr>
        <w:pBdr>
          <w:top w:val="nil"/>
          <w:left w:val="nil"/>
          <w:bottom w:val="nil"/>
          <w:right w:val="nil"/>
          <w:between w:val="nil"/>
        </w:pBdr>
        <w:spacing w:after="200" w:line="276" w:lineRule="auto"/>
        <w:jc w:val="both"/>
        <w:rPr>
          <w:sz w:val="22"/>
          <w:szCs w:val="22"/>
        </w:rPr>
      </w:pPr>
      <w:r>
        <w:rPr>
          <w:sz w:val="22"/>
          <w:szCs w:val="22"/>
        </w:rPr>
        <w:lastRenderedPageBreak/>
        <w:t>Overall, we have quantified the</w:t>
      </w:r>
      <w:r w:rsidR="007227FA">
        <w:rPr>
          <w:sz w:val="22"/>
          <w:szCs w:val="22"/>
        </w:rPr>
        <w:t xml:space="preserve"> UK’s</w:t>
      </w:r>
      <w:r>
        <w:rPr>
          <w:sz w:val="22"/>
          <w:szCs w:val="22"/>
        </w:rPr>
        <w:t xml:space="preserve"> waste heat potentia</w:t>
      </w:r>
      <w:r w:rsidR="007227FA">
        <w:rPr>
          <w:sz w:val="22"/>
          <w:szCs w:val="22"/>
        </w:rPr>
        <w:t>l, i.e. excluding mine water,</w:t>
      </w:r>
      <w:r>
        <w:rPr>
          <w:sz w:val="22"/>
          <w:szCs w:val="22"/>
        </w:rPr>
        <w:t xml:space="preserve"> to be 53 TWh</w:t>
      </w:r>
      <w:r w:rsidR="007227FA">
        <w:rPr>
          <w:sz w:val="22"/>
          <w:szCs w:val="22"/>
        </w:rPr>
        <w:t xml:space="preserve"> from low-temperature sources only. This</w:t>
      </w:r>
      <w:r>
        <w:rPr>
          <w:sz w:val="22"/>
          <w:szCs w:val="22"/>
        </w:rPr>
        <w:t xml:space="preserve"> value represents </w:t>
      </w:r>
      <w:r w:rsidR="007227FA">
        <w:rPr>
          <w:sz w:val="22"/>
          <w:szCs w:val="22"/>
        </w:rPr>
        <w:t>6</w:t>
      </w:r>
      <w:r>
        <w:rPr>
          <w:sz w:val="22"/>
          <w:szCs w:val="22"/>
        </w:rPr>
        <w:t xml:space="preserve">5% of the </w:t>
      </w:r>
      <w:r w:rsidR="007227FA">
        <w:rPr>
          <w:sz w:val="22"/>
          <w:szCs w:val="22"/>
        </w:rPr>
        <w:t>projected</w:t>
      </w:r>
      <w:r>
        <w:rPr>
          <w:sz w:val="22"/>
          <w:szCs w:val="22"/>
        </w:rPr>
        <w:t xml:space="preserve"> increase of the heat network market by 2050, which </w:t>
      </w:r>
      <w:r w:rsidR="007227FA">
        <w:rPr>
          <w:sz w:val="22"/>
          <w:szCs w:val="22"/>
        </w:rPr>
        <w:t>is expected to</w:t>
      </w:r>
      <w:r>
        <w:rPr>
          <w:sz w:val="22"/>
          <w:szCs w:val="22"/>
        </w:rPr>
        <w:t xml:space="preserve"> grow from meeting 14 TWh to 95 TWh of the UK’s heat demand </w:t>
      </w:r>
      <w:r w:rsidR="007227FA">
        <w:rPr>
          <w:sz w:val="22"/>
          <w:szCs w:val="22"/>
        </w:rPr>
        <w:t xml:space="preserve">annually </w:t>
      </w:r>
      <w:r>
        <w:rPr>
          <w:sz w:val="22"/>
          <w:szCs w:val="22"/>
        </w:rPr>
        <w:t>[38].</w:t>
      </w:r>
      <w:r w:rsidR="007227FA">
        <w:rPr>
          <w:sz w:val="22"/>
          <w:szCs w:val="22"/>
        </w:rPr>
        <w:t xml:space="preserve"> This indicates how waste heat </w:t>
      </w:r>
      <w:r w:rsidR="00A47E51">
        <w:rPr>
          <w:sz w:val="22"/>
          <w:szCs w:val="22"/>
        </w:rPr>
        <w:t>and large-scale heat pumps are likely to play a key role in</w:t>
      </w:r>
      <w:r w:rsidR="007227FA">
        <w:rPr>
          <w:sz w:val="22"/>
          <w:szCs w:val="22"/>
        </w:rPr>
        <w:t xml:space="preserve"> </w:t>
      </w:r>
      <w:proofErr w:type="spellStart"/>
      <w:r w:rsidR="007227FA">
        <w:rPr>
          <w:sz w:val="22"/>
          <w:szCs w:val="22"/>
        </w:rPr>
        <w:t>decarbonising</w:t>
      </w:r>
      <w:proofErr w:type="spellEnd"/>
      <w:r w:rsidR="007227FA">
        <w:rPr>
          <w:sz w:val="22"/>
          <w:szCs w:val="22"/>
        </w:rPr>
        <w:t xml:space="preserve"> the built environment </w:t>
      </w:r>
      <w:r w:rsidR="007227FA" w:rsidRPr="007227FA">
        <w:rPr>
          <w:sz w:val="22"/>
          <w:szCs w:val="22"/>
        </w:rPr>
        <w:t>as the UK moves towards net zero.</w:t>
      </w:r>
    </w:p>
    <w:p w14:paraId="10C22379" w14:textId="293EC666" w:rsidR="00F5675A" w:rsidRPr="005D6CDC" w:rsidRDefault="00B005E9" w:rsidP="00F5675A">
      <w:pPr>
        <w:pStyle w:val="ListParagraph"/>
        <w:numPr>
          <w:ilvl w:val="0"/>
          <w:numId w:val="4"/>
        </w:numPr>
        <w:pBdr>
          <w:top w:val="nil"/>
          <w:left w:val="nil"/>
          <w:bottom w:val="nil"/>
          <w:right w:val="nil"/>
          <w:between w:val="nil"/>
        </w:pBdr>
        <w:spacing w:line="276" w:lineRule="auto"/>
        <w:jc w:val="both"/>
        <w:rPr>
          <w:b/>
          <w:color w:val="000000"/>
        </w:rPr>
      </w:pPr>
      <w:r w:rsidRPr="005D6CDC">
        <w:rPr>
          <w:b/>
          <w:color w:val="000000"/>
        </w:rPr>
        <w:t>Conclusions</w:t>
      </w:r>
    </w:p>
    <w:p w14:paraId="7C5FCBC9" w14:textId="38201B38" w:rsidR="00144467" w:rsidRPr="00A47E51" w:rsidRDefault="005C32A6" w:rsidP="00A47E51">
      <w:pPr>
        <w:pBdr>
          <w:top w:val="nil"/>
          <w:left w:val="nil"/>
          <w:bottom w:val="nil"/>
          <w:right w:val="nil"/>
          <w:between w:val="nil"/>
        </w:pBdr>
        <w:spacing w:after="120" w:line="276" w:lineRule="auto"/>
        <w:jc w:val="both"/>
        <w:rPr>
          <w:sz w:val="22"/>
          <w:szCs w:val="22"/>
        </w:rPr>
      </w:pPr>
      <w:r w:rsidRPr="00A47E51">
        <w:rPr>
          <w:sz w:val="22"/>
          <w:szCs w:val="22"/>
        </w:rPr>
        <w:t>This</w:t>
      </w:r>
      <w:r w:rsidR="004D2A60" w:rsidRPr="00A47E51">
        <w:rPr>
          <w:sz w:val="22"/>
          <w:szCs w:val="22"/>
        </w:rPr>
        <w:t xml:space="preserve"> </w:t>
      </w:r>
      <w:r w:rsidR="00A47E51" w:rsidRPr="00A47E51">
        <w:rPr>
          <w:sz w:val="22"/>
          <w:szCs w:val="22"/>
        </w:rPr>
        <w:t>paper presented an investigation into</w:t>
      </w:r>
      <w:r w:rsidR="004D2A60" w:rsidRPr="00A47E51">
        <w:rPr>
          <w:sz w:val="22"/>
          <w:szCs w:val="22"/>
        </w:rPr>
        <w:t xml:space="preserve"> </w:t>
      </w:r>
      <w:r w:rsidR="00A47E51">
        <w:rPr>
          <w:sz w:val="22"/>
          <w:szCs w:val="22"/>
        </w:rPr>
        <w:t xml:space="preserve">the potential of integrating heating and cooling as part of a heat pump system that recovers waste heat from the London Underground metro system. A mathematical model has been developed and </w:t>
      </w:r>
      <w:proofErr w:type="spellStart"/>
      <w:r w:rsidR="00A47E51">
        <w:rPr>
          <w:sz w:val="22"/>
          <w:szCs w:val="22"/>
        </w:rPr>
        <w:t>utilised</w:t>
      </w:r>
      <w:proofErr w:type="spellEnd"/>
      <w:r w:rsidR="00A47E51">
        <w:rPr>
          <w:sz w:val="22"/>
          <w:szCs w:val="22"/>
        </w:rPr>
        <w:t xml:space="preserve"> to demonstrate how the delivery of both heating and cooling through a WHR system could achieve significant benefits in terms of reducing the </w:t>
      </w:r>
      <w:proofErr w:type="spellStart"/>
      <w:r w:rsidR="00A47E51">
        <w:rPr>
          <w:sz w:val="22"/>
          <w:szCs w:val="22"/>
        </w:rPr>
        <w:t>levelised</w:t>
      </w:r>
      <w:proofErr w:type="spellEnd"/>
      <w:r w:rsidR="00A47E51">
        <w:rPr>
          <w:sz w:val="22"/>
          <w:szCs w:val="22"/>
        </w:rPr>
        <w:t xml:space="preserve"> cost of energy and </w:t>
      </w:r>
      <w:proofErr w:type="spellStart"/>
      <w:r w:rsidR="00A47E51">
        <w:rPr>
          <w:sz w:val="22"/>
          <w:szCs w:val="22"/>
        </w:rPr>
        <w:t>maximising</w:t>
      </w:r>
      <w:proofErr w:type="spellEnd"/>
      <w:r w:rsidR="00A47E51">
        <w:rPr>
          <w:sz w:val="22"/>
          <w:szCs w:val="22"/>
        </w:rPr>
        <w:t xml:space="preserve"> carbon savings. The results have indicated how the exploitation of cooling could be crucial in making WHR projects a feasible investment. The combination of both </w:t>
      </w:r>
      <w:r w:rsidR="00735D08">
        <w:rPr>
          <w:sz w:val="22"/>
          <w:szCs w:val="22"/>
        </w:rPr>
        <w:t>heating and cooling benefits</w:t>
      </w:r>
      <w:r w:rsidR="00A47E51">
        <w:rPr>
          <w:sz w:val="22"/>
          <w:szCs w:val="22"/>
        </w:rPr>
        <w:t xml:space="preserve"> could lead to reductions of up </w:t>
      </w:r>
      <w:r w:rsidR="00F9788A" w:rsidRPr="00A47E51">
        <w:rPr>
          <w:sz w:val="22"/>
          <w:szCs w:val="22"/>
        </w:rPr>
        <w:t xml:space="preserve">to </w:t>
      </w:r>
      <w:r w:rsidR="00A47E51">
        <w:rPr>
          <w:sz w:val="22"/>
          <w:szCs w:val="22"/>
        </w:rPr>
        <w:t>39</w:t>
      </w:r>
      <w:r w:rsidR="00911D62" w:rsidRPr="00A47E51">
        <w:rPr>
          <w:sz w:val="22"/>
          <w:szCs w:val="22"/>
        </w:rPr>
        <w:t xml:space="preserve">% in the </w:t>
      </w:r>
      <w:proofErr w:type="spellStart"/>
      <w:r w:rsidR="00911D62" w:rsidRPr="00A47E51">
        <w:rPr>
          <w:sz w:val="22"/>
          <w:szCs w:val="22"/>
        </w:rPr>
        <w:t>levelised</w:t>
      </w:r>
      <w:proofErr w:type="spellEnd"/>
      <w:r w:rsidR="00911D62" w:rsidRPr="00A47E51">
        <w:rPr>
          <w:sz w:val="22"/>
          <w:szCs w:val="22"/>
        </w:rPr>
        <w:t xml:space="preserve"> cost of </w:t>
      </w:r>
      <w:r w:rsidR="00A47E51">
        <w:rPr>
          <w:sz w:val="22"/>
          <w:szCs w:val="22"/>
        </w:rPr>
        <w:t>energy</w:t>
      </w:r>
      <w:r w:rsidR="00911D62" w:rsidRPr="00A47E51">
        <w:rPr>
          <w:sz w:val="22"/>
          <w:szCs w:val="22"/>
        </w:rPr>
        <w:t xml:space="preserve"> and </w:t>
      </w:r>
      <w:r w:rsidR="00A47E51">
        <w:rPr>
          <w:sz w:val="22"/>
          <w:szCs w:val="22"/>
        </w:rPr>
        <w:t>57</w:t>
      </w:r>
      <w:r w:rsidR="00911D62" w:rsidRPr="00A47E51">
        <w:rPr>
          <w:sz w:val="22"/>
          <w:szCs w:val="22"/>
        </w:rPr>
        <w:t xml:space="preserve">% in </w:t>
      </w:r>
      <w:r w:rsidR="00ED38E4" w:rsidRPr="00A47E51">
        <w:rPr>
          <w:sz w:val="22"/>
          <w:szCs w:val="22"/>
        </w:rPr>
        <w:t>the carbon abatement cost agai</w:t>
      </w:r>
      <w:r w:rsidR="003C2DBA" w:rsidRPr="00A47E51">
        <w:rPr>
          <w:sz w:val="22"/>
          <w:szCs w:val="22"/>
        </w:rPr>
        <w:t>nst ASHPs</w:t>
      </w:r>
      <w:r w:rsidR="00735D08">
        <w:rPr>
          <w:sz w:val="22"/>
          <w:szCs w:val="22"/>
        </w:rPr>
        <w:t>. This highlights how exploring additional benefits and the higher energy efficiencies of waste heat can compensate for its typically higher capital costs.</w:t>
      </w:r>
    </w:p>
    <w:p w14:paraId="0A793D25" w14:textId="0BC493FC" w:rsidR="009849F3" w:rsidRPr="005D6CDC" w:rsidRDefault="00735D08" w:rsidP="00735D08">
      <w:pPr>
        <w:pBdr>
          <w:top w:val="nil"/>
          <w:left w:val="nil"/>
          <w:bottom w:val="nil"/>
          <w:right w:val="nil"/>
          <w:between w:val="nil"/>
        </w:pBdr>
        <w:spacing w:after="120" w:line="276" w:lineRule="auto"/>
        <w:jc w:val="both"/>
        <w:rPr>
          <w:sz w:val="22"/>
          <w:szCs w:val="22"/>
        </w:rPr>
      </w:pPr>
      <w:r>
        <w:rPr>
          <w:sz w:val="22"/>
          <w:szCs w:val="22"/>
        </w:rPr>
        <w:t>The provision of cooling through the WHR system also has significant impacts on the local tunnel environment,</w:t>
      </w:r>
      <w:r w:rsidRPr="00735D08">
        <w:rPr>
          <w:sz w:val="22"/>
          <w:szCs w:val="22"/>
        </w:rPr>
        <w:t xml:space="preserve"> with peak temperature reductions of up to 7.</w:t>
      </w:r>
      <w:r>
        <w:rPr>
          <w:sz w:val="22"/>
          <w:szCs w:val="22"/>
        </w:rPr>
        <w:t>2 K</w:t>
      </w:r>
      <w:r w:rsidRPr="00735D08">
        <w:rPr>
          <w:sz w:val="22"/>
          <w:szCs w:val="22"/>
        </w:rPr>
        <w:t xml:space="preserve"> being estimated for adjacent stations in 2030.</w:t>
      </w:r>
      <w:r>
        <w:rPr>
          <w:sz w:val="22"/>
          <w:szCs w:val="22"/>
        </w:rPr>
        <w:t xml:space="preserve"> When operating for half the year in supply mode (i.e. when cooling is delivered), the WHR system would be able to reduce peak temperatures at adjacent stations by an average of 2.6 K compared to a do-nothing scenario. </w:t>
      </w:r>
      <w:r w:rsidRPr="00735D08">
        <w:rPr>
          <w:sz w:val="22"/>
          <w:szCs w:val="22"/>
        </w:rPr>
        <w:t>One risk identified regarding supply mode operation is the reduction of system efficiency, as lower temperature air is used as the heat source. This could increase running costs for system operators, and a balance between cooling and heating benefits must be sought.</w:t>
      </w:r>
      <w:r>
        <w:rPr>
          <w:sz w:val="22"/>
          <w:szCs w:val="22"/>
        </w:rPr>
        <w:t xml:space="preserve"> Furthermore,</w:t>
      </w:r>
      <w:r w:rsidR="00ED38E4" w:rsidRPr="00A47E51">
        <w:rPr>
          <w:sz w:val="22"/>
          <w:szCs w:val="22"/>
        </w:rPr>
        <w:t xml:space="preserve"> it is</w:t>
      </w:r>
      <w:r w:rsidR="003C2DBA" w:rsidRPr="00A47E51">
        <w:rPr>
          <w:sz w:val="22"/>
          <w:szCs w:val="22"/>
        </w:rPr>
        <w:t xml:space="preserve"> still</w:t>
      </w:r>
      <w:r w:rsidR="00ED38E4" w:rsidRPr="00A47E51">
        <w:rPr>
          <w:sz w:val="22"/>
          <w:szCs w:val="22"/>
        </w:rPr>
        <w:t xml:space="preserve"> important to </w:t>
      </w:r>
      <w:r w:rsidR="00B24341" w:rsidRPr="00A47E51">
        <w:rPr>
          <w:sz w:val="22"/>
          <w:szCs w:val="22"/>
        </w:rPr>
        <w:t>highlight</w:t>
      </w:r>
      <w:r w:rsidR="00ED38E4" w:rsidRPr="00A47E51">
        <w:rPr>
          <w:sz w:val="22"/>
          <w:szCs w:val="22"/>
        </w:rPr>
        <w:t xml:space="preserve"> how the price disparity between electricity and natural gas in the UK is a major barrier to the development of WHR systems, particularly from a heating perspective. </w:t>
      </w:r>
      <w:r w:rsidR="00144467" w:rsidRPr="00A47E51">
        <w:rPr>
          <w:sz w:val="22"/>
          <w:szCs w:val="22"/>
        </w:rPr>
        <w:t>I</w:t>
      </w:r>
      <w:r w:rsidR="00ED38E4" w:rsidRPr="00A47E51">
        <w:rPr>
          <w:sz w:val="22"/>
          <w:szCs w:val="22"/>
        </w:rPr>
        <w:t>t is expected that future policy can provid</w:t>
      </w:r>
      <w:r w:rsidR="003C2DBA" w:rsidRPr="00A47E51">
        <w:rPr>
          <w:sz w:val="22"/>
          <w:szCs w:val="22"/>
        </w:rPr>
        <w:t>e much</w:t>
      </w:r>
      <w:r w:rsidR="008A244C" w:rsidRPr="00A47E51">
        <w:rPr>
          <w:sz w:val="22"/>
          <w:szCs w:val="22"/>
        </w:rPr>
        <w:t>-</w:t>
      </w:r>
      <w:r w:rsidR="003C2DBA" w:rsidRPr="00A47E51">
        <w:rPr>
          <w:sz w:val="22"/>
          <w:szCs w:val="22"/>
        </w:rPr>
        <w:t>needed support for low-carbon</w:t>
      </w:r>
      <w:r w:rsidR="00144467" w:rsidRPr="00A47E51">
        <w:rPr>
          <w:sz w:val="22"/>
          <w:szCs w:val="22"/>
        </w:rPr>
        <w:t xml:space="preserve"> heat networks, allowing waste heat to play its role as an essential resource for </w:t>
      </w:r>
      <w:proofErr w:type="spellStart"/>
      <w:r w:rsidR="00144467" w:rsidRPr="00A47E51">
        <w:rPr>
          <w:sz w:val="22"/>
          <w:szCs w:val="22"/>
        </w:rPr>
        <w:t>minimising</w:t>
      </w:r>
      <w:proofErr w:type="spellEnd"/>
      <w:r w:rsidR="00144467" w:rsidRPr="00A47E51">
        <w:rPr>
          <w:sz w:val="22"/>
          <w:szCs w:val="22"/>
        </w:rPr>
        <w:t xml:space="preserve"> the costs of </w:t>
      </w:r>
      <w:proofErr w:type="spellStart"/>
      <w:r w:rsidR="00144467" w:rsidRPr="00A47E51">
        <w:rPr>
          <w:sz w:val="22"/>
          <w:szCs w:val="22"/>
        </w:rPr>
        <w:t>deca</w:t>
      </w:r>
      <w:r w:rsidR="00006A4E" w:rsidRPr="00A47E51">
        <w:rPr>
          <w:sz w:val="22"/>
          <w:szCs w:val="22"/>
        </w:rPr>
        <w:t>r</w:t>
      </w:r>
      <w:r w:rsidR="00144467" w:rsidRPr="00A47E51">
        <w:rPr>
          <w:sz w:val="22"/>
          <w:szCs w:val="22"/>
        </w:rPr>
        <w:t>bonisation</w:t>
      </w:r>
      <w:proofErr w:type="spellEnd"/>
      <w:r w:rsidR="00144467" w:rsidRPr="00A47E51">
        <w:rPr>
          <w:sz w:val="22"/>
          <w:szCs w:val="22"/>
        </w:rPr>
        <w:t xml:space="preserve"> </w:t>
      </w:r>
      <w:r w:rsidR="003B211C" w:rsidRPr="00A47E51">
        <w:rPr>
          <w:sz w:val="22"/>
          <w:szCs w:val="22"/>
        </w:rPr>
        <w:t>as the UK</w:t>
      </w:r>
      <w:r w:rsidR="00ED38E4" w:rsidRPr="00A47E51">
        <w:rPr>
          <w:sz w:val="22"/>
          <w:szCs w:val="22"/>
        </w:rPr>
        <w:t xml:space="preserve"> moves towards a clean energy future.</w:t>
      </w:r>
    </w:p>
    <w:p w14:paraId="3E2E3E64" w14:textId="77777777" w:rsidR="009849F3" w:rsidRPr="005D6CDC" w:rsidRDefault="009849F3" w:rsidP="009849F3">
      <w:pPr>
        <w:pBdr>
          <w:top w:val="nil"/>
          <w:left w:val="nil"/>
          <w:bottom w:val="nil"/>
          <w:right w:val="nil"/>
          <w:between w:val="nil"/>
        </w:pBdr>
        <w:spacing w:line="276" w:lineRule="auto"/>
        <w:jc w:val="both"/>
        <w:rPr>
          <w:b/>
          <w:color w:val="000000"/>
        </w:rPr>
      </w:pPr>
      <w:r w:rsidRPr="005D6CDC">
        <w:rPr>
          <w:b/>
          <w:color w:val="000000"/>
        </w:rPr>
        <w:t>Acknowledgements</w:t>
      </w:r>
    </w:p>
    <w:p w14:paraId="0F1C64F0" w14:textId="0782E1E3" w:rsidR="009849F3" w:rsidRPr="005D6CDC" w:rsidRDefault="009849F3" w:rsidP="009849F3">
      <w:pPr>
        <w:pBdr>
          <w:top w:val="nil"/>
          <w:left w:val="nil"/>
          <w:bottom w:val="nil"/>
          <w:right w:val="nil"/>
          <w:between w:val="nil"/>
        </w:pBdr>
        <w:spacing w:after="120" w:line="276" w:lineRule="auto"/>
        <w:jc w:val="both"/>
        <w:rPr>
          <w:color w:val="000000"/>
        </w:rPr>
      </w:pPr>
      <w:r w:rsidRPr="005D6CDC">
        <w:rPr>
          <w:sz w:val="22"/>
          <w:szCs w:val="22"/>
        </w:rPr>
        <w:t xml:space="preserve">The authors would like to express their gratitude for the support </w:t>
      </w:r>
      <w:r w:rsidR="008A2D24" w:rsidRPr="005D6CDC">
        <w:rPr>
          <w:sz w:val="22"/>
          <w:szCs w:val="22"/>
        </w:rPr>
        <w:t>received from</w:t>
      </w:r>
      <w:r w:rsidRPr="005D6CDC">
        <w:rPr>
          <w:sz w:val="22"/>
          <w:szCs w:val="22"/>
        </w:rPr>
        <w:t xml:space="preserve"> Transport for London, London South Bank University</w:t>
      </w:r>
      <w:r w:rsidR="00E833EF" w:rsidRPr="005D6CDC">
        <w:rPr>
          <w:sz w:val="22"/>
          <w:szCs w:val="22"/>
        </w:rPr>
        <w:t>,</w:t>
      </w:r>
      <w:r w:rsidRPr="005D6CDC">
        <w:rPr>
          <w:sz w:val="22"/>
          <w:szCs w:val="22"/>
        </w:rPr>
        <w:t xml:space="preserve"> and the Engineering and Physical Science Research Council (EPSRC) through project LoT-NET - Low Temperature Heat Recovery and Distribution Network Technologies [EP/R045496/1]. The authors are also grateful to the London Borough of Islington for their support in providing valuable information for this project.</w:t>
      </w:r>
    </w:p>
    <w:p w14:paraId="0FCEDBBE" w14:textId="77777777" w:rsidR="009849F3" w:rsidRPr="005D6CDC" w:rsidRDefault="00DD3C58" w:rsidP="009849F3">
      <w:pPr>
        <w:pBdr>
          <w:top w:val="nil"/>
          <w:left w:val="nil"/>
          <w:bottom w:val="nil"/>
          <w:right w:val="nil"/>
          <w:between w:val="nil"/>
        </w:pBdr>
        <w:spacing w:line="276" w:lineRule="auto"/>
        <w:jc w:val="both"/>
        <w:rPr>
          <w:b/>
          <w:color w:val="000000"/>
        </w:rPr>
      </w:pPr>
      <w:r w:rsidRPr="005D6CDC">
        <w:rPr>
          <w:b/>
          <w:color w:val="000000"/>
        </w:rPr>
        <w:t>R</w:t>
      </w:r>
      <w:r w:rsidR="009849F3" w:rsidRPr="005D6CDC">
        <w:rPr>
          <w:b/>
          <w:color w:val="000000"/>
        </w:rPr>
        <w:t>eferences</w:t>
      </w:r>
    </w:p>
    <w:p w14:paraId="387C73D9" w14:textId="79F73307" w:rsidR="00D52119" w:rsidRPr="005D6CDC" w:rsidRDefault="00D52119" w:rsidP="00D52119">
      <w:pPr>
        <w:pStyle w:val="ListParagraph"/>
        <w:numPr>
          <w:ilvl w:val="0"/>
          <w:numId w:val="11"/>
        </w:numPr>
        <w:rPr>
          <w:color w:val="000000"/>
          <w:sz w:val="22"/>
          <w:szCs w:val="22"/>
        </w:rPr>
      </w:pPr>
      <w:r w:rsidRPr="005D6CDC">
        <w:rPr>
          <w:color w:val="000000"/>
          <w:sz w:val="22"/>
          <w:szCs w:val="22"/>
        </w:rPr>
        <w:t>National Grid, 2023. Energy explained - How much of the UK’s energy is renewable? Available online: https://www.nationalgrid.com/stories/energy-explained/how-much-uks-energy-renewable [Accessed 14/11/2023].</w:t>
      </w:r>
    </w:p>
    <w:p w14:paraId="52AABC16" w14:textId="77777777" w:rsidR="00D52119" w:rsidRPr="005D6CDC" w:rsidRDefault="00D52119" w:rsidP="00D52119">
      <w:pPr>
        <w:rPr>
          <w:color w:val="000000"/>
          <w:sz w:val="22"/>
          <w:szCs w:val="22"/>
        </w:rPr>
      </w:pPr>
    </w:p>
    <w:p w14:paraId="4EF01B5B" w14:textId="5FF700AE" w:rsidR="00D52119" w:rsidRPr="005D6CDC" w:rsidRDefault="00D52119" w:rsidP="00D52119">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Department of Energy Security and Net Zero (DESNZ), 2023. UK greenhouse gas emissions, provisional figures. Available online: https://assets.publishing.service.gov.uk/media/642 4b8b83d885d000fdade9b/2022_Provisional_emissions_statistics_report.pdf [Accessed 08/12/2023].</w:t>
      </w:r>
    </w:p>
    <w:p w14:paraId="259F4BFF" w14:textId="77777777" w:rsidR="00CF0212" w:rsidRPr="005D6CDC" w:rsidRDefault="00CF0212" w:rsidP="00CF0212">
      <w:pPr>
        <w:pStyle w:val="ListParagraph"/>
        <w:rPr>
          <w:color w:val="000000"/>
          <w:sz w:val="22"/>
          <w:szCs w:val="22"/>
        </w:rPr>
      </w:pPr>
    </w:p>
    <w:p w14:paraId="2F24C775" w14:textId="77777777" w:rsidR="00CF0212" w:rsidRPr="005D6CDC" w:rsidRDefault="00CF0212" w:rsidP="00CF0212">
      <w:pPr>
        <w:pStyle w:val="ListParagraph"/>
        <w:numPr>
          <w:ilvl w:val="0"/>
          <w:numId w:val="11"/>
        </w:numPr>
        <w:rPr>
          <w:color w:val="000000"/>
          <w:sz w:val="22"/>
          <w:szCs w:val="22"/>
        </w:rPr>
      </w:pPr>
      <w:r w:rsidRPr="005D6CDC">
        <w:rPr>
          <w:color w:val="000000"/>
          <w:sz w:val="22"/>
          <w:szCs w:val="22"/>
        </w:rPr>
        <w:t>Bank of England, 2022. When will inflation come down? Available online: https://www.bankofengland.co.uk/knowledgebank/will-inflation-in-the-uk-keep-rising [accessed 30/09/2022].</w:t>
      </w:r>
    </w:p>
    <w:p w14:paraId="3F7A45AD" w14:textId="77777777" w:rsidR="00D52119" w:rsidRPr="005D6CDC" w:rsidRDefault="00D52119" w:rsidP="00D52119">
      <w:pPr>
        <w:pStyle w:val="ListParagraph"/>
        <w:rPr>
          <w:color w:val="000000"/>
          <w:sz w:val="22"/>
          <w:szCs w:val="22"/>
        </w:rPr>
      </w:pPr>
    </w:p>
    <w:p w14:paraId="58B6818B" w14:textId="7577C093" w:rsidR="00D52119" w:rsidRPr="005D6CDC" w:rsidRDefault="00D52119" w:rsidP="00D52119">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Grubb, M., Ferguson, T., Musat, A., Maximov, S., Zhang, Z., Price, J. &amp; Drummond, P., 2022. Navigating the crises in European energy: Price Inflation, Marginal Cost Pricing, and principles for electricity market redesign in an era of low-carbon transition. UCL Institute for Sustainable Resources – Series Navigating the Energy-Climate Crises. WP #3.</w:t>
      </w:r>
    </w:p>
    <w:p w14:paraId="6C949FB7" w14:textId="77777777" w:rsidR="00D52119" w:rsidRPr="005D6CDC" w:rsidRDefault="00D52119" w:rsidP="00D52119">
      <w:pPr>
        <w:pBdr>
          <w:top w:val="nil"/>
          <w:left w:val="nil"/>
          <w:bottom w:val="nil"/>
          <w:right w:val="nil"/>
          <w:between w:val="nil"/>
        </w:pBdr>
        <w:spacing w:line="276" w:lineRule="auto"/>
        <w:jc w:val="both"/>
        <w:rPr>
          <w:color w:val="000000"/>
          <w:sz w:val="22"/>
          <w:szCs w:val="22"/>
        </w:rPr>
      </w:pPr>
    </w:p>
    <w:p w14:paraId="1CC010BD" w14:textId="62F9DFC1" w:rsidR="00D52119" w:rsidRPr="005D6CDC" w:rsidRDefault="00D52119" w:rsidP="00D52119">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National Energy Action, 2022. The hardest hit: Impact of the energy crisis. Available online: https://www.nea.org.uk/wp-content/uploads/2023/01/3830_NEA_Fuel-Poverty-Monitor-Report-2022_V2-1.pdf [Accessed 13/10/2023].</w:t>
      </w:r>
    </w:p>
    <w:p w14:paraId="0F4EF3D0" w14:textId="77777777" w:rsidR="00D52119" w:rsidRPr="005D6CDC" w:rsidRDefault="00D52119" w:rsidP="00D52119">
      <w:pPr>
        <w:pBdr>
          <w:top w:val="nil"/>
          <w:left w:val="nil"/>
          <w:bottom w:val="nil"/>
          <w:right w:val="nil"/>
          <w:between w:val="nil"/>
        </w:pBdr>
        <w:spacing w:line="276" w:lineRule="auto"/>
        <w:jc w:val="both"/>
        <w:rPr>
          <w:color w:val="000000"/>
          <w:sz w:val="22"/>
          <w:szCs w:val="22"/>
        </w:rPr>
      </w:pPr>
    </w:p>
    <w:p w14:paraId="62EC1B2C" w14:textId="77777777" w:rsidR="00D52119" w:rsidRPr="005D6CDC" w:rsidRDefault="00D52119" w:rsidP="00D52119">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Department for Energy Security &amp; Net Zero (DESNZ), 2022. Electricity networks strategic framework. Available online: https://www.gov.uk/government/publications/electricity-networks-strategic-framework [Accessed 14/11/2023].</w:t>
      </w:r>
    </w:p>
    <w:p w14:paraId="16DB520F" w14:textId="77777777" w:rsidR="00D52119" w:rsidRPr="005D6CDC" w:rsidRDefault="00D52119" w:rsidP="00D52119">
      <w:pPr>
        <w:pBdr>
          <w:top w:val="nil"/>
          <w:left w:val="nil"/>
          <w:bottom w:val="nil"/>
          <w:right w:val="nil"/>
          <w:between w:val="nil"/>
        </w:pBdr>
        <w:spacing w:line="276" w:lineRule="auto"/>
        <w:jc w:val="both"/>
        <w:rPr>
          <w:color w:val="000000"/>
          <w:sz w:val="22"/>
          <w:szCs w:val="22"/>
        </w:rPr>
      </w:pPr>
    </w:p>
    <w:p w14:paraId="76E7D294" w14:textId="77777777" w:rsidR="00D52119" w:rsidRPr="005D6CDC" w:rsidRDefault="00D52119" w:rsidP="00D52119">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 xml:space="preserve">Rosenow, J., 2022. Is heating homes with hydrogen all but a pipe dream? </w:t>
      </w:r>
      <w:proofErr w:type="gramStart"/>
      <w:r w:rsidRPr="005D6CDC">
        <w:rPr>
          <w:color w:val="000000"/>
          <w:sz w:val="22"/>
          <w:szCs w:val="22"/>
        </w:rPr>
        <w:t>An evidence</w:t>
      </w:r>
      <w:proofErr w:type="gramEnd"/>
      <w:r w:rsidRPr="005D6CDC">
        <w:rPr>
          <w:color w:val="000000"/>
          <w:sz w:val="22"/>
          <w:szCs w:val="22"/>
        </w:rPr>
        <w:t xml:space="preserve"> review. Joule 6(10), 2225-2228.</w:t>
      </w:r>
    </w:p>
    <w:p w14:paraId="36865C65" w14:textId="77777777" w:rsidR="00D52119" w:rsidRPr="005D6CDC" w:rsidRDefault="00D52119" w:rsidP="00D52119">
      <w:pPr>
        <w:pBdr>
          <w:top w:val="nil"/>
          <w:left w:val="nil"/>
          <w:bottom w:val="nil"/>
          <w:right w:val="nil"/>
          <w:between w:val="nil"/>
        </w:pBdr>
        <w:spacing w:line="276" w:lineRule="auto"/>
        <w:jc w:val="both"/>
        <w:rPr>
          <w:color w:val="000000"/>
          <w:sz w:val="22"/>
          <w:szCs w:val="22"/>
        </w:rPr>
      </w:pPr>
    </w:p>
    <w:p w14:paraId="5B93666E" w14:textId="77777777" w:rsidR="00D52119" w:rsidRPr="005D6CDC" w:rsidRDefault="00D52119" w:rsidP="00D52119">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 xml:space="preserve">Rowley, P., Wilson, G. &amp; Taylor, R., 2018. Heat </w:t>
      </w:r>
      <w:proofErr w:type="spellStart"/>
      <w:r w:rsidRPr="005D6CDC">
        <w:rPr>
          <w:color w:val="000000"/>
          <w:sz w:val="22"/>
          <w:szCs w:val="22"/>
        </w:rPr>
        <w:t>decarbonisation</w:t>
      </w:r>
      <w:proofErr w:type="spellEnd"/>
      <w:r w:rsidRPr="005D6CDC">
        <w:rPr>
          <w:color w:val="000000"/>
          <w:sz w:val="22"/>
          <w:szCs w:val="22"/>
        </w:rPr>
        <w:t xml:space="preserve"> challenges: local gas vs electricity supply. Available online: https://ukerc.ac.uk/publications/local-gas-demand-vs-electricity-supply/ [Accessed 14/11/2023].</w:t>
      </w:r>
    </w:p>
    <w:p w14:paraId="0F07A548" w14:textId="77777777" w:rsidR="00F20E78" w:rsidRPr="005D6CDC" w:rsidRDefault="00F20E78" w:rsidP="00F20E78">
      <w:pPr>
        <w:pBdr>
          <w:top w:val="nil"/>
          <w:left w:val="nil"/>
          <w:bottom w:val="nil"/>
          <w:right w:val="nil"/>
          <w:between w:val="nil"/>
        </w:pBdr>
        <w:spacing w:line="276" w:lineRule="auto"/>
        <w:jc w:val="both"/>
        <w:rPr>
          <w:color w:val="000000"/>
          <w:sz w:val="22"/>
          <w:szCs w:val="22"/>
        </w:rPr>
      </w:pPr>
    </w:p>
    <w:p w14:paraId="335C809E" w14:textId="77777777" w:rsidR="00F20E78" w:rsidRPr="005D6CDC" w:rsidRDefault="00F20E78" w:rsidP="00F20E78">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Lund, H., Werner, S., Wiltshire, R., Svendsen, S., Thorsen, J. E., Hvelplund, F. &amp; Mathiesen, B. V., 2014. 4th Generation District Heating (4GDH): Integrating smart thermal grids into future sustainable energy systems. Energy 68, 1-11.</w:t>
      </w:r>
    </w:p>
    <w:p w14:paraId="7EBEEF7B" w14:textId="77777777" w:rsidR="00F20E78" w:rsidRPr="005D6CDC" w:rsidRDefault="00F20E78" w:rsidP="00F20E78">
      <w:pPr>
        <w:pStyle w:val="ListParagraph"/>
        <w:pBdr>
          <w:top w:val="nil"/>
          <w:left w:val="nil"/>
          <w:bottom w:val="nil"/>
          <w:right w:val="nil"/>
          <w:between w:val="nil"/>
        </w:pBdr>
        <w:spacing w:line="276" w:lineRule="auto"/>
        <w:ind w:left="360"/>
        <w:jc w:val="both"/>
        <w:rPr>
          <w:color w:val="000000"/>
          <w:sz w:val="22"/>
          <w:szCs w:val="22"/>
        </w:rPr>
      </w:pPr>
    </w:p>
    <w:p w14:paraId="0FB3F89C" w14:textId="20C5AE2B" w:rsidR="00F20E78" w:rsidRPr="005D6CDC" w:rsidRDefault="00F20E78" w:rsidP="00F20E78">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 xml:space="preserve">Revesz, A., Jones, P., Dunham, C., Davies, G., Marques, C., </w:t>
      </w:r>
      <w:proofErr w:type="spellStart"/>
      <w:r w:rsidRPr="005D6CDC">
        <w:rPr>
          <w:color w:val="000000"/>
          <w:sz w:val="22"/>
          <w:szCs w:val="22"/>
        </w:rPr>
        <w:t>Matabuena</w:t>
      </w:r>
      <w:proofErr w:type="spellEnd"/>
      <w:r w:rsidRPr="005D6CDC">
        <w:rPr>
          <w:color w:val="000000"/>
          <w:sz w:val="22"/>
          <w:szCs w:val="22"/>
        </w:rPr>
        <w:t>, R., Scott, J. &amp; Maidment, G., 2020. Developing novel 5th generation district energy networks. Energy 201, 117389</w:t>
      </w:r>
      <w:r w:rsidR="004C4139">
        <w:rPr>
          <w:color w:val="000000"/>
          <w:sz w:val="22"/>
          <w:szCs w:val="22"/>
        </w:rPr>
        <w:t>.</w:t>
      </w:r>
    </w:p>
    <w:p w14:paraId="5EE901E6" w14:textId="77777777" w:rsidR="00CF0212" w:rsidRPr="005D6CDC" w:rsidRDefault="00CF0212" w:rsidP="00CF0212">
      <w:pPr>
        <w:pStyle w:val="ListParagraph"/>
        <w:rPr>
          <w:color w:val="000000"/>
          <w:sz w:val="22"/>
          <w:szCs w:val="22"/>
        </w:rPr>
      </w:pPr>
    </w:p>
    <w:p w14:paraId="59BF97FB" w14:textId="4BFA0888" w:rsidR="004C4139" w:rsidRDefault="004C4139" w:rsidP="00F20E78">
      <w:pPr>
        <w:pStyle w:val="ListParagraph"/>
        <w:numPr>
          <w:ilvl w:val="0"/>
          <w:numId w:val="11"/>
        </w:numPr>
        <w:pBdr>
          <w:top w:val="nil"/>
          <w:left w:val="nil"/>
          <w:bottom w:val="nil"/>
          <w:right w:val="nil"/>
          <w:between w:val="nil"/>
        </w:pBdr>
        <w:spacing w:line="276" w:lineRule="auto"/>
        <w:jc w:val="both"/>
        <w:rPr>
          <w:color w:val="000000"/>
          <w:sz w:val="22"/>
          <w:szCs w:val="22"/>
        </w:rPr>
      </w:pPr>
      <w:r w:rsidRPr="004C4139">
        <w:rPr>
          <w:color w:val="000000"/>
          <w:sz w:val="22"/>
          <w:szCs w:val="22"/>
        </w:rPr>
        <w:t>Lagoeiro</w:t>
      </w:r>
      <w:r>
        <w:rPr>
          <w:color w:val="000000"/>
          <w:sz w:val="22"/>
          <w:szCs w:val="22"/>
        </w:rPr>
        <w:t>, H.</w:t>
      </w:r>
      <w:r w:rsidRPr="004C4139">
        <w:rPr>
          <w:color w:val="000000"/>
          <w:sz w:val="22"/>
          <w:szCs w:val="22"/>
        </w:rPr>
        <w:t>, Revesz</w:t>
      </w:r>
      <w:r>
        <w:rPr>
          <w:color w:val="000000"/>
          <w:sz w:val="22"/>
          <w:szCs w:val="22"/>
        </w:rPr>
        <w:t>,</w:t>
      </w:r>
      <w:r w:rsidRPr="004C4139">
        <w:rPr>
          <w:color w:val="000000"/>
          <w:sz w:val="22"/>
          <w:szCs w:val="22"/>
        </w:rPr>
        <w:t xml:space="preserve"> A</w:t>
      </w:r>
      <w:r>
        <w:rPr>
          <w:color w:val="000000"/>
          <w:sz w:val="22"/>
          <w:szCs w:val="22"/>
        </w:rPr>
        <w:t>.</w:t>
      </w:r>
      <w:r w:rsidRPr="004C4139">
        <w:rPr>
          <w:color w:val="000000"/>
          <w:sz w:val="22"/>
          <w:szCs w:val="22"/>
        </w:rPr>
        <w:t>, Davies</w:t>
      </w:r>
      <w:r>
        <w:rPr>
          <w:color w:val="000000"/>
          <w:sz w:val="22"/>
          <w:szCs w:val="22"/>
        </w:rPr>
        <w:t>,</w:t>
      </w:r>
      <w:r w:rsidRPr="004C4139">
        <w:rPr>
          <w:color w:val="000000"/>
          <w:sz w:val="22"/>
          <w:szCs w:val="22"/>
        </w:rPr>
        <w:t xml:space="preserve"> G</w:t>
      </w:r>
      <w:r>
        <w:rPr>
          <w:color w:val="000000"/>
          <w:sz w:val="22"/>
          <w:szCs w:val="22"/>
        </w:rPr>
        <w:t>.</w:t>
      </w:r>
      <w:r w:rsidRPr="004C4139">
        <w:rPr>
          <w:color w:val="000000"/>
          <w:sz w:val="22"/>
          <w:szCs w:val="22"/>
        </w:rPr>
        <w:t>, Maidment</w:t>
      </w:r>
      <w:r>
        <w:rPr>
          <w:color w:val="000000"/>
          <w:sz w:val="22"/>
          <w:szCs w:val="22"/>
        </w:rPr>
        <w:t>,</w:t>
      </w:r>
      <w:r w:rsidRPr="004C4139">
        <w:rPr>
          <w:color w:val="000000"/>
          <w:sz w:val="22"/>
          <w:szCs w:val="22"/>
        </w:rPr>
        <w:t xml:space="preserve"> G</w:t>
      </w:r>
      <w:r>
        <w:rPr>
          <w:color w:val="000000"/>
          <w:sz w:val="22"/>
          <w:szCs w:val="22"/>
        </w:rPr>
        <w:t>.</w:t>
      </w:r>
      <w:r w:rsidRPr="004C4139">
        <w:rPr>
          <w:color w:val="000000"/>
          <w:sz w:val="22"/>
          <w:szCs w:val="22"/>
        </w:rPr>
        <w:t>, Curry</w:t>
      </w:r>
      <w:r>
        <w:rPr>
          <w:color w:val="000000"/>
          <w:sz w:val="22"/>
          <w:szCs w:val="22"/>
        </w:rPr>
        <w:t>,</w:t>
      </w:r>
      <w:r w:rsidRPr="004C4139">
        <w:rPr>
          <w:color w:val="000000"/>
          <w:sz w:val="22"/>
          <w:szCs w:val="22"/>
        </w:rPr>
        <w:t xml:space="preserve"> D</w:t>
      </w:r>
      <w:r>
        <w:rPr>
          <w:color w:val="000000"/>
          <w:sz w:val="22"/>
          <w:szCs w:val="22"/>
        </w:rPr>
        <w:t>.</w:t>
      </w:r>
      <w:r w:rsidRPr="004C4139">
        <w:rPr>
          <w:color w:val="000000"/>
          <w:sz w:val="22"/>
          <w:szCs w:val="22"/>
        </w:rPr>
        <w:t>, Faulks</w:t>
      </w:r>
      <w:r>
        <w:rPr>
          <w:color w:val="000000"/>
          <w:sz w:val="22"/>
          <w:szCs w:val="22"/>
        </w:rPr>
        <w:t>,</w:t>
      </w:r>
      <w:r w:rsidRPr="004C4139">
        <w:rPr>
          <w:color w:val="000000"/>
          <w:sz w:val="22"/>
          <w:szCs w:val="22"/>
        </w:rPr>
        <w:t xml:space="preserve"> G</w:t>
      </w:r>
      <w:r>
        <w:rPr>
          <w:color w:val="000000"/>
          <w:sz w:val="22"/>
          <w:szCs w:val="22"/>
        </w:rPr>
        <w:t>. &amp;</w:t>
      </w:r>
      <w:r w:rsidRPr="004C4139">
        <w:rPr>
          <w:color w:val="000000"/>
          <w:sz w:val="22"/>
          <w:szCs w:val="22"/>
        </w:rPr>
        <w:t xml:space="preserve"> </w:t>
      </w:r>
      <w:proofErr w:type="spellStart"/>
      <w:r w:rsidRPr="004C4139">
        <w:rPr>
          <w:color w:val="000000"/>
          <w:sz w:val="22"/>
          <w:szCs w:val="22"/>
        </w:rPr>
        <w:t>Murawa</w:t>
      </w:r>
      <w:proofErr w:type="spellEnd"/>
      <w:r>
        <w:rPr>
          <w:color w:val="000000"/>
          <w:sz w:val="22"/>
          <w:szCs w:val="22"/>
        </w:rPr>
        <w:t>,</w:t>
      </w:r>
      <w:r w:rsidRPr="004C4139">
        <w:rPr>
          <w:color w:val="000000"/>
          <w:sz w:val="22"/>
          <w:szCs w:val="22"/>
        </w:rPr>
        <w:t xml:space="preserve"> M.</w:t>
      </w:r>
      <w:r>
        <w:rPr>
          <w:color w:val="000000"/>
          <w:sz w:val="22"/>
          <w:szCs w:val="22"/>
        </w:rPr>
        <w:t>, 2019.</w:t>
      </w:r>
      <w:r w:rsidRPr="004C4139">
        <w:rPr>
          <w:color w:val="000000"/>
          <w:sz w:val="22"/>
          <w:szCs w:val="22"/>
        </w:rPr>
        <w:t xml:space="preserve"> Opportunities for Integrating Underground Railways into Low Carbon Urban Energy Networks: A Review. Applied Sciences</w:t>
      </w:r>
      <w:r>
        <w:rPr>
          <w:color w:val="000000"/>
          <w:sz w:val="22"/>
          <w:szCs w:val="22"/>
        </w:rPr>
        <w:t xml:space="preserve"> </w:t>
      </w:r>
      <w:r w:rsidRPr="004C4139">
        <w:rPr>
          <w:color w:val="000000"/>
          <w:sz w:val="22"/>
          <w:szCs w:val="22"/>
        </w:rPr>
        <w:t>9(16)</w:t>
      </w:r>
      <w:r>
        <w:rPr>
          <w:color w:val="000000"/>
          <w:sz w:val="22"/>
          <w:szCs w:val="22"/>
        </w:rPr>
        <w:t xml:space="preserve">, </w:t>
      </w:r>
      <w:r w:rsidRPr="004C4139">
        <w:rPr>
          <w:color w:val="000000"/>
          <w:sz w:val="22"/>
          <w:szCs w:val="22"/>
        </w:rPr>
        <w:t>3332</w:t>
      </w:r>
      <w:r>
        <w:rPr>
          <w:color w:val="000000"/>
          <w:sz w:val="22"/>
          <w:szCs w:val="22"/>
        </w:rPr>
        <w:t>.</w:t>
      </w:r>
    </w:p>
    <w:p w14:paraId="26366CEC" w14:textId="77777777" w:rsidR="004C4139" w:rsidRPr="004C4139" w:rsidRDefault="004C4139" w:rsidP="004C4139">
      <w:pPr>
        <w:pStyle w:val="ListParagraph"/>
        <w:rPr>
          <w:color w:val="000000"/>
          <w:sz w:val="22"/>
          <w:szCs w:val="22"/>
        </w:rPr>
      </w:pPr>
    </w:p>
    <w:p w14:paraId="5E07738E" w14:textId="61858156" w:rsidR="00CF0212" w:rsidRPr="005D6CDC" w:rsidRDefault="00CF0212" w:rsidP="00F20E78">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Transport for London (TfL), 2019. Facts &amp; Figures. Available from: https://tfl.gov.uk/corporate/about-tfl/what-we-do/london-underground/facts-and-figures [14/01/2019].</w:t>
      </w:r>
    </w:p>
    <w:p w14:paraId="2EF0E9F0" w14:textId="77777777" w:rsidR="00CF0212" w:rsidRPr="005D6CDC" w:rsidRDefault="00CF0212" w:rsidP="00CF0212">
      <w:pPr>
        <w:pStyle w:val="ListParagraph"/>
        <w:rPr>
          <w:color w:val="000000"/>
          <w:sz w:val="22"/>
          <w:szCs w:val="22"/>
        </w:rPr>
      </w:pPr>
    </w:p>
    <w:p w14:paraId="41608591" w14:textId="17458A08" w:rsidR="00CF0212" w:rsidRPr="005D6CDC" w:rsidRDefault="00CF0212" w:rsidP="00F20E78">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 xml:space="preserve">Duffy, S., 2018. Opportunities to </w:t>
      </w:r>
      <w:proofErr w:type="spellStart"/>
      <w:r w:rsidRPr="005D6CDC">
        <w:rPr>
          <w:color w:val="000000"/>
          <w:sz w:val="22"/>
          <w:szCs w:val="22"/>
        </w:rPr>
        <w:t>Utilise</w:t>
      </w:r>
      <w:proofErr w:type="spellEnd"/>
      <w:r w:rsidRPr="005D6CDC">
        <w:rPr>
          <w:color w:val="000000"/>
          <w:sz w:val="22"/>
          <w:szCs w:val="22"/>
        </w:rPr>
        <w:t xml:space="preserve"> Transport for London’s Secondary Heat Sources. CIBSE Technical Symposium, London, UK.</w:t>
      </w:r>
    </w:p>
    <w:p w14:paraId="7C76E639" w14:textId="77777777" w:rsidR="005D6CDC" w:rsidRPr="005D6CDC" w:rsidRDefault="005D6CDC" w:rsidP="005D6CDC">
      <w:pPr>
        <w:pStyle w:val="ListParagraph"/>
        <w:rPr>
          <w:color w:val="000000"/>
          <w:sz w:val="22"/>
          <w:szCs w:val="22"/>
        </w:rPr>
      </w:pPr>
    </w:p>
    <w:p w14:paraId="52F3CF95" w14:textId="02FD7022" w:rsidR="005D6CDC" w:rsidRPr="005D6CDC" w:rsidRDefault="005D6CDC" w:rsidP="005D6CDC">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 xml:space="preserve">United Nations Environment </w:t>
      </w:r>
      <w:proofErr w:type="spellStart"/>
      <w:r w:rsidRPr="005D6CDC">
        <w:rPr>
          <w:color w:val="000000"/>
          <w:sz w:val="22"/>
          <w:szCs w:val="22"/>
        </w:rPr>
        <w:t>Programme</w:t>
      </w:r>
      <w:proofErr w:type="spellEnd"/>
      <w:r w:rsidRPr="005D6CDC">
        <w:rPr>
          <w:color w:val="000000"/>
          <w:sz w:val="22"/>
          <w:szCs w:val="22"/>
        </w:rPr>
        <w:t xml:space="preserve"> (UNEP). 2022. Emissions Gap Report 2022. Available online: https://www.unep.org/events/publication-launch/emissions-gap-report-2022 [Accessed 12/12/2023].</w:t>
      </w:r>
    </w:p>
    <w:p w14:paraId="6E6F6097" w14:textId="77777777" w:rsidR="005D6CDC" w:rsidRPr="005D6CDC" w:rsidRDefault="005D6CDC" w:rsidP="005D6CDC">
      <w:pPr>
        <w:pStyle w:val="ListParagraph"/>
        <w:rPr>
          <w:color w:val="000000"/>
          <w:sz w:val="22"/>
          <w:szCs w:val="22"/>
        </w:rPr>
      </w:pPr>
    </w:p>
    <w:p w14:paraId="60D8E931" w14:textId="413615EC" w:rsidR="005D6CDC" w:rsidRPr="005D6CDC" w:rsidRDefault="005D6CDC" w:rsidP="00F20E78">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Met Office. 2022. Unprecedented extreme heatwave, July 2022. Available online: https://www.metoffice.gov.uk/binaries/content/assets/metofficegovuk/pdf/weather/learn-about/uk-past-events/interesting/2022/2022_03_july_heatwave_v1.pdf [Accessed 12/12/2023].</w:t>
      </w:r>
    </w:p>
    <w:p w14:paraId="6E748001" w14:textId="77777777" w:rsidR="005D6CDC" w:rsidRPr="005D6CDC" w:rsidRDefault="005D6CDC" w:rsidP="005D6CDC">
      <w:pPr>
        <w:pStyle w:val="ListParagraph"/>
        <w:rPr>
          <w:color w:val="000000"/>
          <w:sz w:val="22"/>
          <w:szCs w:val="22"/>
        </w:rPr>
      </w:pPr>
    </w:p>
    <w:p w14:paraId="531BD984" w14:textId="1BF068FB" w:rsidR="005D6CDC" w:rsidRDefault="005D6CDC" w:rsidP="005D6CDC">
      <w:pPr>
        <w:pStyle w:val="ListParagraph"/>
        <w:numPr>
          <w:ilvl w:val="0"/>
          <w:numId w:val="11"/>
        </w:numPr>
        <w:pBdr>
          <w:top w:val="nil"/>
          <w:left w:val="nil"/>
          <w:bottom w:val="nil"/>
          <w:right w:val="nil"/>
          <w:between w:val="nil"/>
        </w:pBdr>
        <w:spacing w:line="276" w:lineRule="auto"/>
        <w:jc w:val="both"/>
        <w:rPr>
          <w:color w:val="000000"/>
          <w:sz w:val="22"/>
          <w:szCs w:val="22"/>
        </w:rPr>
      </w:pPr>
      <w:r w:rsidRPr="005D6CDC">
        <w:rPr>
          <w:color w:val="000000"/>
          <w:sz w:val="22"/>
          <w:szCs w:val="22"/>
        </w:rPr>
        <w:t>Birmingham Energy Institute. 2023. The Hot Reality: Living in a +50°C World. Available online: https://www.sustainablecooling.org/wp-content/uploads/2023/11/Hot-Reality-Living-in-a-50C-World.pdf [Accessed 12/12/2023].</w:t>
      </w:r>
    </w:p>
    <w:p w14:paraId="37104696" w14:textId="77777777" w:rsidR="00416342" w:rsidRPr="00416342" w:rsidRDefault="00416342" w:rsidP="00416342">
      <w:pPr>
        <w:pStyle w:val="ListParagraph"/>
        <w:rPr>
          <w:color w:val="000000"/>
          <w:sz w:val="22"/>
          <w:szCs w:val="22"/>
        </w:rPr>
      </w:pPr>
    </w:p>
    <w:p w14:paraId="1F3E60B2" w14:textId="7905CBAE" w:rsidR="00416342" w:rsidRDefault="00416342" w:rsidP="005D6CDC">
      <w:pPr>
        <w:pStyle w:val="ListParagraph"/>
        <w:numPr>
          <w:ilvl w:val="0"/>
          <w:numId w:val="11"/>
        </w:numPr>
        <w:pBdr>
          <w:top w:val="nil"/>
          <w:left w:val="nil"/>
          <w:bottom w:val="nil"/>
          <w:right w:val="nil"/>
          <w:between w:val="nil"/>
        </w:pBdr>
        <w:spacing w:line="276" w:lineRule="auto"/>
        <w:jc w:val="both"/>
        <w:rPr>
          <w:color w:val="000000"/>
          <w:sz w:val="22"/>
          <w:szCs w:val="22"/>
        </w:rPr>
      </w:pPr>
      <w:proofErr w:type="spellStart"/>
      <w:r w:rsidRPr="00416342">
        <w:rPr>
          <w:color w:val="000000"/>
          <w:sz w:val="22"/>
          <w:szCs w:val="22"/>
        </w:rPr>
        <w:t>Greenham</w:t>
      </w:r>
      <w:proofErr w:type="spellEnd"/>
      <w:r w:rsidRPr="00416342">
        <w:rPr>
          <w:color w:val="000000"/>
          <w:sz w:val="22"/>
          <w:szCs w:val="22"/>
        </w:rPr>
        <w:t xml:space="preserve">, S., Ferranti, E., Powell, R., Drayson, K. </w:t>
      </w:r>
      <w:r>
        <w:rPr>
          <w:color w:val="000000"/>
          <w:sz w:val="22"/>
          <w:szCs w:val="22"/>
        </w:rPr>
        <w:t>&amp;</w:t>
      </w:r>
      <w:r w:rsidRPr="00416342">
        <w:rPr>
          <w:color w:val="000000"/>
          <w:sz w:val="22"/>
          <w:szCs w:val="22"/>
        </w:rPr>
        <w:t xml:space="preserve"> Quinn, A.</w:t>
      </w:r>
      <w:r>
        <w:rPr>
          <w:color w:val="000000"/>
          <w:sz w:val="22"/>
          <w:szCs w:val="22"/>
        </w:rPr>
        <w:t xml:space="preserve">, </w:t>
      </w:r>
      <w:r w:rsidRPr="00416342">
        <w:rPr>
          <w:color w:val="000000"/>
          <w:sz w:val="22"/>
          <w:szCs w:val="22"/>
        </w:rPr>
        <w:t>2023</w:t>
      </w:r>
      <w:r>
        <w:rPr>
          <w:color w:val="000000"/>
          <w:sz w:val="22"/>
          <w:szCs w:val="22"/>
        </w:rPr>
        <w:t>.</w:t>
      </w:r>
      <w:r w:rsidRPr="00416342">
        <w:rPr>
          <w:color w:val="000000"/>
          <w:sz w:val="22"/>
          <w:szCs w:val="22"/>
        </w:rPr>
        <w:t xml:space="preserve"> The impact of heat on London Underground infrastructure in a changing climate. Weather 78</w:t>
      </w:r>
      <w:r w:rsidR="005D6AFD">
        <w:rPr>
          <w:color w:val="000000"/>
          <w:sz w:val="22"/>
          <w:szCs w:val="22"/>
        </w:rPr>
        <w:t>,</w:t>
      </w:r>
      <w:r w:rsidRPr="00416342">
        <w:rPr>
          <w:color w:val="000000"/>
          <w:sz w:val="22"/>
          <w:szCs w:val="22"/>
        </w:rPr>
        <w:t xml:space="preserve"> 170-175.</w:t>
      </w:r>
    </w:p>
    <w:p w14:paraId="5F41DDD5" w14:textId="77777777" w:rsidR="004C4139" w:rsidRPr="004C4139" w:rsidRDefault="004C4139" w:rsidP="004C4139">
      <w:pPr>
        <w:pStyle w:val="ListParagraph"/>
        <w:rPr>
          <w:color w:val="000000"/>
          <w:sz w:val="22"/>
          <w:szCs w:val="22"/>
        </w:rPr>
      </w:pPr>
    </w:p>
    <w:p w14:paraId="145A1770" w14:textId="68E7CF1A" w:rsidR="004C4139" w:rsidRDefault="004C4139" w:rsidP="005D6CDC">
      <w:pPr>
        <w:pStyle w:val="ListParagraph"/>
        <w:numPr>
          <w:ilvl w:val="0"/>
          <w:numId w:val="11"/>
        </w:numPr>
        <w:pBdr>
          <w:top w:val="nil"/>
          <w:left w:val="nil"/>
          <w:bottom w:val="nil"/>
          <w:right w:val="nil"/>
          <w:between w:val="nil"/>
        </w:pBdr>
        <w:spacing w:line="276" w:lineRule="auto"/>
        <w:jc w:val="both"/>
        <w:rPr>
          <w:color w:val="000000"/>
          <w:sz w:val="22"/>
          <w:szCs w:val="22"/>
        </w:rPr>
      </w:pPr>
      <w:r w:rsidRPr="004C4139">
        <w:rPr>
          <w:color w:val="000000"/>
          <w:sz w:val="22"/>
          <w:szCs w:val="22"/>
        </w:rPr>
        <w:t>Lagoeiro, H., Revesz, A., Davies, G., Gysin, K., Curry, D., Faulks, G., Murphy, D., Vivian, J. &amp; Maidment, G.</w:t>
      </w:r>
      <w:r w:rsidR="005D6AFD">
        <w:rPr>
          <w:color w:val="000000"/>
          <w:sz w:val="22"/>
          <w:szCs w:val="22"/>
        </w:rPr>
        <w:t>,</w:t>
      </w:r>
      <w:r w:rsidRPr="004C4139">
        <w:rPr>
          <w:color w:val="000000"/>
          <w:sz w:val="22"/>
          <w:szCs w:val="22"/>
        </w:rPr>
        <w:t xml:space="preserve"> 202</w:t>
      </w:r>
      <w:r w:rsidR="005D6AFD">
        <w:rPr>
          <w:color w:val="000000"/>
          <w:sz w:val="22"/>
          <w:szCs w:val="22"/>
        </w:rPr>
        <w:t>2</w:t>
      </w:r>
      <w:r w:rsidRPr="004C4139">
        <w:rPr>
          <w:color w:val="000000"/>
          <w:sz w:val="22"/>
          <w:szCs w:val="22"/>
        </w:rPr>
        <w:t xml:space="preserve">. </w:t>
      </w:r>
      <w:r w:rsidR="005D6AFD" w:rsidRPr="005D6AFD">
        <w:rPr>
          <w:color w:val="000000"/>
          <w:sz w:val="22"/>
          <w:szCs w:val="22"/>
        </w:rPr>
        <w:t>Investigating the opportunity for cooling the London underground through waste heat recovery. Building Services Engineering Research and Technolog</w:t>
      </w:r>
      <w:r w:rsidR="005D6AFD">
        <w:rPr>
          <w:color w:val="000000"/>
          <w:sz w:val="22"/>
          <w:szCs w:val="22"/>
        </w:rPr>
        <w:t xml:space="preserve">y </w:t>
      </w:r>
      <w:r w:rsidR="005D6AFD" w:rsidRPr="005D6AFD">
        <w:rPr>
          <w:color w:val="000000"/>
          <w:sz w:val="22"/>
          <w:szCs w:val="22"/>
        </w:rPr>
        <w:t>43(3)</w:t>
      </w:r>
      <w:r w:rsidR="005D6AFD">
        <w:rPr>
          <w:color w:val="000000"/>
          <w:sz w:val="22"/>
          <w:szCs w:val="22"/>
        </w:rPr>
        <w:t xml:space="preserve">, </w:t>
      </w:r>
      <w:r w:rsidR="005D6AFD" w:rsidRPr="005D6AFD">
        <w:rPr>
          <w:color w:val="000000"/>
          <w:sz w:val="22"/>
          <w:szCs w:val="22"/>
        </w:rPr>
        <w:t>347-359.</w:t>
      </w:r>
    </w:p>
    <w:p w14:paraId="0E4EA845" w14:textId="77777777" w:rsidR="00C76B01" w:rsidRPr="00C76B01" w:rsidRDefault="00C76B01" w:rsidP="00C76B01">
      <w:pPr>
        <w:pStyle w:val="ListParagraph"/>
        <w:rPr>
          <w:color w:val="000000"/>
          <w:sz w:val="22"/>
          <w:szCs w:val="22"/>
        </w:rPr>
      </w:pPr>
    </w:p>
    <w:p w14:paraId="75921099" w14:textId="77777777" w:rsidR="00F77488" w:rsidRDefault="00C76B01" w:rsidP="00E72971">
      <w:pPr>
        <w:pStyle w:val="ListParagraph"/>
        <w:numPr>
          <w:ilvl w:val="0"/>
          <w:numId w:val="11"/>
        </w:numPr>
        <w:pBdr>
          <w:top w:val="nil"/>
          <w:left w:val="nil"/>
          <w:bottom w:val="nil"/>
          <w:right w:val="nil"/>
          <w:between w:val="nil"/>
        </w:pBdr>
        <w:spacing w:line="276" w:lineRule="auto"/>
        <w:jc w:val="both"/>
        <w:rPr>
          <w:color w:val="000000"/>
          <w:sz w:val="22"/>
          <w:szCs w:val="22"/>
        </w:rPr>
      </w:pPr>
      <w:r w:rsidRPr="00F77488">
        <w:rPr>
          <w:color w:val="000000"/>
          <w:sz w:val="22"/>
          <w:szCs w:val="22"/>
        </w:rPr>
        <w:t>Energy Systems Catapult, 2020. Thermal Energy Storage for Heat Networks. Available online: https://es.catapult.org.uk/report/storage-and-flexibility-thermal-energy-storage-for-heat-networks/ [Accessed 16/11/2023].</w:t>
      </w:r>
    </w:p>
    <w:p w14:paraId="7F93A774" w14:textId="77777777" w:rsidR="00F77488" w:rsidRPr="00F77488" w:rsidRDefault="00F77488" w:rsidP="00F77488">
      <w:pPr>
        <w:pStyle w:val="ListParagraph"/>
        <w:rPr>
          <w:color w:val="000000"/>
          <w:sz w:val="22"/>
          <w:szCs w:val="22"/>
        </w:rPr>
      </w:pPr>
    </w:p>
    <w:p w14:paraId="5C97971C" w14:textId="22CBE564" w:rsidR="00C76B01" w:rsidRDefault="00C76B01" w:rsidP="00F77488">
      <w:pPr>
        <w:pStyle w:val="ListParagraph"/>
        <w:numPr>
          <w:ilvl w:val="0"/>
          <w:numId w:val="11"/>
        </w:numPr>
        <w:pBdr>
          <w:top w:val="nil"/>
          <w:left w:val="nil"/>
          <w:bottom w:val="nil"/>
          <w:right w:val="nil"/>
          <w:between w:val="nil"/>
        </w:pBdr>
        <w:spacing w:line="276" w:lineRule="auto"/>
        <w:jc w:val="both"/>
        <w:rPr>
          <w:color w:val="000000"/>
          <w:sz w:val="22"/>
          <w:szCs w:val="22"/>
        </w:rPr>
      </w:pPr>
      <w:r w:rsidRPr="00F77488">
        <w:rPr>
          <w:color w:val="000000"/>
          <w:sz w:val="22"/>
          <w:szCs w:val="22"/>
        </w:rPr>
        <w:t>Chartered Institution of Building Services Engineers. 2020. CP1 – Heat Networks Code of Practice for the UK.</w:t>
      </w:r>
    </w:p>
    <w:p w14:paraId="5BDC4E71" w14:textId="77777777" w:rsidR="00F77488" w:rsidRPr="00F77488" w:rsidRDefault="00F77488" w:rsidP="00F77488">
      <w:pPr>
        <w:pStyle w:val="ListParagraph"/>
        <w:rPr>
          <w:color w:val="000000"/>
          <w:sz w:val="22"/>
          <w:szCs w:val="22"/>
        </w:rPr>
      </w:pPr>
    </w:p>
    <w:p w14:paraId="48756CD0" w14:textId="40437094" w:rsidR="00F77488" w:rsidRDefault="00F77488" w:rsidP="00F77488">
      <w:pPr>
        <w:pStyle w:val="ListParagraph"/>
        <w:numPr>
          <w:ilvl w:val="0"/>
          <w:numId w:val="11"/>
        </w:numPr>
        <w:pBdr>
          <w:top w:val="nil"/>
          <w:left w:val="nil"/>
          <w:bottom w:val="nil"/>
          <w:right w:val="nil"/>
          <w:between w:val="nil"/>
        </w:pBdr>
        <w:spacing w:line="276" w:lineRule="auto"/>
        <w:jc w:val="both"/>
        <w:rPr>
          <w:color w:val="000000"/>
          <w:sz w:val="22"/>
          <w:szCs w:val="22"/>
        </w:rPr>
      </w:pPr>
      <w:r w:rsidRPr="00F77488">
        <w:rPr>
          <w:color w:val="000000"/>
          <w:sz w:val="22"/>
          <w:szCs w:val="22"/>
        </w:rPr>
        <w:t>Heinonen, E. W., Wildin, M. W., Beall, A. N. &amp; Tapscott, R. E., 1997. Assessment of Antifreeze Solutions for Ground-Source Heat Pump Systems. ASHRAE Transactions 103(2), 747-56.</w:t>
      </w:r>
    </w:p>
    <w:p w14:paraId="0C28477D" w14:textId="77777777" w:rsidR="00626520" w:rsidRPr="00626520" w:rsidRDefault="00626520" w:rsidP="00626520">
      <w:pPr>
        <w:pStyle w:val="ListParagraph"/>
        <w:rPr>
          <w:color w:val="000000"/>
          <w:sz w:val="22"/>
          <w:szCs w:val="22"/>
        </w:rPr>
      </w:pPr>
    </w:p>
    <w:p w14:paraId="46C19970" w14:textId="3D2D2560" w:rsidR="00626520" w:rsidRDefault="00626520" w:rsidP="00F77488">
      <w:pPr>
        <w:pStyle w:val="ListParagraph"/>
        <w:numPr>
          <w:ilvl w:val="0"/>
          <w:numId w:val="11"/>
        </w:numPr>
        <w:pBdr>
          <w:top w:val="nil"/>
          <w:left w:val="nil"/>
          <w:bottom w:val="nil"/>
          <w:right w:val="nil"/>
          <w:between w:val="nil"/>
        </w:pBdr>
        <w:spacing w:line="276" w:lineRule="auto"/>
        <w:jc w:val="both"/>
        <w:rPr>
          <w:color w:val="000000"/>
          <w:sz w:val="22"/>
          <w:szCs w:val="22"/>
        </w:rPr>
      </w:pPr>
      <w:r w:rsidRPr="00626520">
        <w:rPr>
          <w:color w:val="000000"/>
          <w:sz w:val="22"/>
          <w:szCs w:val="22"/>
        </w:rPr>
        <w:t xml:space="preserve">Lagoeiro, H., Revesz, A., Davies, G., Gysin, K., Curry, D., Faulks, G., Murphy, D., Vivian, J. &amp; Maidment, G. 2022. Integrating Waste Heat Recovery from Railway Tunnels into Flexible Heat Networks. Proceedings of the ASHRAE Winter Conference, USA, 29 Jan – 2 </w:t>
      </w:r>
      <w:proofErr w:type="gramStart"/>
      <w:r w:rsidRPr="00626520">
        <w:rPr>
          <w:color w:val="000000"/>
          <w:sz w:val="22"/>
          <w:szCs w:val="22"/>
        </w:rPr>
        <w:t>Feb,</w:t>
      </w:r>
      <w:proofErr w:type="gramEnd"/>
      <w:r w:rsidRPr="00626520">
        <w:rPr>
          <w:color w:val="000000"/>
          <w:sz w:val="22"/>
          <w:szCs w:val="22"/>
        </w:rPr>
        <w:t xml:space="preserve"> 2022.</w:t>
      </w:r>
    </w:p>
    <w:p w14:paraId="7CD57920" w14:textId="77777777" w:rsidR="00946477" w:rsidRPr="00946477" w:rsidRDefault="00946477" w:rsidP="00946477">
      <w:pPr>
        <w:pStyle w:val="ListParagraph"/>
        <w:rPr>
          <w:color w:val="000000"/>
          <w:sz w:val="22"/>
          <w:szCs w:val="22"/>
        </w:rPr>
      </w:pPr>
    </w:p>
    <w:p w14:paraId="574E95CB" w14:textId="092B510E" w:rsidR="00946477" w:rsidRDefault="00946477" w:rsidP="00F77488">
      <w:pPr>
        <w:pStyle w:val="ListParagraph"/>
        <w:numPr>
          <w:ilvl w:val="0"/>
          <w:numId w:val="11"/>
        </w:numPr>
        <w:pBdr>
          <w:top w:val="nil"/>
          <w:left w:val="nil"/>
          <w:bottom w:val="nil"/>
          <w:right w:val="nil"/>
          <w:between w:val="nil"/>
        </w:pBdr>
        <w:spacing w:line="276" w:lineRule="auto"/>
        <w:jc w:val="both"/>
        <w:rPr>
          <w:color w:val="000000"/>
          <w:sz w:val="22"/>
          <w:szCs w:val="22"/>
        </w:rPr>
      </w:pPr>
      <w:r w:rsidRPr="00946477">
        <w:rPr>
          <w:color w:val="000000"/>
          <w:sz w:val="22"/>
          <w:szCs w:val="22"/>
        </w:rPr>
        <w:t>Ibrahim, N. &amp; Kennedy, C. 2016. A Methodology for Constructing Marginal Abatement Cost Curves for Climate Action in Cities. Energies 9(4): 227.</w:t>
      </w:r>
    </w:p>
    <w:p w14:paraId="6D995085" w14:textId="77777777" w:rsidR="00E430C1" w:rsidRPr="00E430C1" w:rsidRDefault="00E430C1" w:rsidP="00E430C1">
      <w:pPr>
        <w:pStyle w:val="ListParagraph"/>
        <w:rPr>
          <w:color w:val="000000"/>
          <w:sz w:val="22"/>
          <w:szCs w:val="22"/>
        </w:rPr>
      </w:pPr>
    </w:p>
    <w:p w14:paraId="5134B09D" w14:textId="25AE760F" w:rsidR="00E430C1" w:rsidRDefault="00E430C1" w:rsidP="00E430C1">
      <w:pPr>
        <w:pStyle w:val="ListParagraph"/>
        <w:numPr>
          <w:ilvl w:val="0"/>
          <w:numId w:val="11"/>
        </w:numPr>
        <w:pBdr>
          <w:top w:val="nil"/>
          <w:left w:val="nil"/>
          <w:bottom w:val="nil"/>
          <w:right w:val="nil"/>
          <w:between w:val="nil"/>
        </w:pBdr>
        <w:spacing w:line="276" w:lineRule="auto"/>
        <w:jc w:val="both"/>
        <w:rPr>
          <w:color w:val="000000"/>
          <w:sz w:val="22"/>
          <w:szCs w:val="22"/>
        </w:rPr>
      </w:pPr>
      <w:r w:rsidRPr="00E430C1">
        <w:rPr>
          <w:color w:val="000000"/>
          <w:sz w:val="22"/>
          <w:szCs w:val="22"/>
        </w:rPr>
        <w:t>European Commission. 2023. Reference and discount rates (in %) since 01.08.1997. Available online: https://competition-policy.ec.europa.eu/state-aid/legislation/reference-discount-rates-and-recovery-interest-rates/reference-and-discount-rates_en [Accessed 31 July 2023].</w:t>
      </w:r>
    </w:p>
    <w:p w14:paraId="1328CDA2" w14:textId="77777777" w:rsidR="00E430C1" w:rsidRPr="00E430C1" w:rsidRDefault="00E430C1" w:rsidP="00E430C1">
      <w:pPr>
        <w:pStyle w:val="ListParagraph"/>
        <w:rPr>
          <w:color w:val="000000"/>
          <w:sz w:val="22"/>
          <w:szCs w:val="22"/>
        </w:rPr>
      </w:pPr>
    </w:p>
    <w:p w14:paraId="14AB8562" w14:textId="73C7C35D" w:rsidR="00E430C1" w:rsidRDefault="00E430C1" w:rsidP="00E430C1">
      <w:pPr>
        <w:pStyle w:val="ListParagraph"/>
        <w:numPr>
          <w:ilvl w:val="0"/>
          <w:numId w:val="11"/>
        </w:numPr>
        <w:pBdr>
          <w:top w:val="nil"/>
          <w:left w:val="nil"/>
          <w:bottom w:val="nil"/>
          <w:right w:val="nil"/>
          <w:between w:val="nil"/>
        </w:pBdr>
        <w:spacing w:line="276" w:lineRule="auto"/>
        <w:jc w:val="both"/>
        <w:rPr>
          <w:color w:val="000000"/>
          <w:sz w:val="22"/>
          <w:szCs w:val="22"/>
        </w:rPr>
      </w:pPr>
      <w:r w:rsidRPr="00E430C1">
        <w:rPr>
          <w:color w:val="000000"/>
          <w:sz w:val="22"/>
          <w:szCs w:val="22"/>
        </w:rPr>
        <w:t>Danish Energy Agency, 2023. Technology Data. Available online: https://ens.dk/en/our-services/projections-and-models/technology-data [Accessed 23/11/2023].</w:t>
      </w:r>
    </w:p>
    <w:p w14:paraId="50D81C77" w14:textId="77777777" w:rsidR="00BA2FE3" w:rsidRPr="00BA2FE3" w:rsidRDefault="00BA2FE3" w:rsidP="00BA2FE3">
      <w:pPr>
        <w:pStyle w:val="ListParagraph"/>
        <w:rPr>
          <w:color w:val="000000"/>
          <w:sz w:val="22"/>
          <w:szCs w:val="22"/>
        </w:rPr>
      </w:pPr>
    </w:p>
    <w:p w14:paraId="263867E7" w14:textId="7F353398" w:rsidR="0038144E" w:rsidRPr="0038144E" w:rsidRDefault="0038144E" w:rsidP="0038144E">
      <w:pPr>
        <w:pStyle w:val="ListParagraph"/>
        <w:numPr>
          <w:ilvl w:val="0"/>
          <w:numId w:val="11"/>
        </w:numPr>
        <w:pBdr>
          <w:top w:val="nil"/>
          <w:left w:val="nil"/>
          <w:bottom w:val="nil"/>
          <w:right w:val="nil"/>
          <w:between w:val="nil"/>
        </w:pBdr>
        <w:spacing w:line="276" w:lineRule="auto"/>
        <w:jc w:val="both"/>
        <w:rPr>
          <w:color w:val="000000"/>
          <w:sz w:val="22"/>
          <w:szCs w:val="22"/>
        </w:rPr>
      </w:pPr>
      <w:r w:rsidRPr="0038144E">
        <w:rPr>
          <w:color w:val="000000"/>
          <w:sz w:val="22"/>
          <w:szCs w:val="22"/>
        </w:rPr>
        <w:t xml:space="preserve">Energy Saving Trust, 2013. The heat is </w:t>
      </w:r>
      <w:proofErr w:type="gramStart"/>
      <w:r w:rsidRPr="0038144E">
        <w:rPr>
          <w:color w:val="000000"/>
          <w:sz w:val="22"/>
          <w:szCs w:val="22"/>
        </w:rPr>
        <w:t>on:</w:t>
      </w:r>
      <w:proofErr w:type="gramEnd"/>
      <w:r w:rsidRPr="0038144E">
        <w:rPr>
          <w:color w:val="000000"/>
          <w:sz w:val="22"/>
          <w:szCs w:val="22"/>
        </w:rPr>
        <w:t xml:space="preserve"> heat pump field trials: phase 2. Available online: https://www.energysavingtrust.org.uk/sites/default/files/reports/TheHeatisOnweb%281%29.p</w:t>
      </w:r>
      <w:r>
        <w:rPr>
          <w:color w:val="000000"/>
          <w:sz w:val="22"/>
          <w:szCs w:val="22"/>
        </w:rPr>
        <w:t>d</w:t>
      </w:r>
      <w:r w:rsidRPr="0038144E">
        <w:rPr>
          <w:color w:val="000000"/>
          <w:sz w:val="22"/>
          <w:szCs w:val="22"/>
        </w:rPr>
        <w:t>f [Accessed 13</w:t>
      </w:r>
      <w:r>
        <w:rPr>
          <w:color w:val="000000"/>
          <w:sz w:val="22"/>
          <w:szCs w:val="22"/>
        </w:rPr>
        <w:t>/04/</w:t>
      </w:r>
      <w:r w:rsidRPr="0038144E">
        <w:rPr>
          <w:color w:val="000000"/>
          <w:sz w:val="22"/>
          <w:szCs w:val="22"/>
        </w:rPr>
        <w:t>2021].</w:t>
      </w:r>
    </w:p>
    <w:p w14:paraId="598E664B" w14:textId="77777777" w:rsidR="0038144E" w:rsidRPr="0038144E" w:rsidRDefault="0038144E" w:rsidP="0038144E">
      <w:pPr>
        <w:pStyle w:val="ListParagraph"/>
        <w:rPr>
          <w:color w:val="000000"/>
          <w:sz w:val="22"/>
          <w:szCs w:val="22"/>
        </w:rPr>
      </w:pPr>
    </w:p>
    <w:p w14:paraId="7E81B3B5" w14:textId="56EA10F6" w:rsidR="00BA2FE3" w:rsidRDefault="009B2056" w:rsidP="00E430C1">
      <w:pPr>
        <w:pStyle w:val="ListParagraph"/>
        <w:numPr>
          <w:ilvl w:val="0"/>
          <w:numId w:val="11"/>
        </w:numPr>
        <w:pBdr>
          <w:top w:val="nil"/>
          <w:left w:val="nil"/>
          <w:bottom w:val="nil"/>
          <w:right w:val="nil"/>
          <w:between w:val="nil"/>
        </w:pBdr>
        <w:spacing w:line="276" w:lineRule="auto"/>
        <w:jc w:val="both"/>
        <w:rPr>
          <w:color w:val="000000"/>
          <w:sz w:val="22"/>
          <w:szCs w:val="22"/>
        </w:rPr>
      </w:pPr>
      <w:r>
        <w:rPr>
          <w:color w:val="000000"/>
          <w:sz w:val="22"/>
          <w:szCs w:val="22"/>
        </w:rPr>
        <w:t xml:space="preserve">Department for Energy Security &amp; Net Zero (DESNZ), 2023. Quarterly Energy Prices. Available online: </w:t>
      </w:r>
      <w:r w:rsidRPr="009B2056">
        <w:rPr>
          <w:color w:val="000000"/>
          <w:sz w:val="22"/>
          <w:szCs w:val="22"/>
        </w:rPr>
        <w:t>https://www.gov.uk/government/collections/quarterly-energy-prices</w:t>
      </w:r>
      <w:r>
        <w:rPr>
          <w:color w:val="000000"/>
          <w:sz w:val="22"/>
          <w:szCs w:val="22"/>
        </w:rPr>
        <w:t xml:space="preserve"> [Accessed 18/12/2023].</w:t>
      </w:r>
    </w:p>
    <w:p w14:paraId="7D1DFBD7" w14:textId="77777777" w:rsidR="009B2056" w:rsidRPr="009B2056" w:rsidRDefault="009B2056" w:rsidP="009B2056">
      <w:pPr>
        <w:pStyle w:val="ListParagraph"/>
        <w:rPr>
          <w:color w:val="000000"/>
          <w:sz w:val="22"/>
          <w:szCs w:val="22"/>
        </w:rPr>
      </w:pPr>
    </w:p>
    <w:p w14:paraId="38A3C088" w14:textId="2C51FBE4" w:rsidR="009B2056" w:rsidRDefault="009B2056" w:rsidP="00602AE0">
      <w:pPr>
        <w:pStyle w:val="ListParagraph"/>
        <w:numPr>
          <w:ilvl w:val="0"/>
          <w:numId w:val="11"/>
        </w:numPr>
        <w:pBdr>
          <w:top w:val="nil"/>
          <w:left w:val="nil"/>
          <w:bottom w:val="nil"/>
          <w:right w:val="nil"/>
          <w:between w:val="nil"/>
        </w:pBdr>
        <w:spacing w:line="276" w:lineRule="auto"/>
        <w:jc w:val="both"/>
        <w:rPr>
          <w:color w:val="000000"/>
          <w:sz w:val="22"/>
          <w:szCs w:val="22"/>
        </w:rPr>
      </w:pPr>
      <w:r w:rsidRPr="009B2056">
        <w:rPr>
          <w:color w:val="000000"/>
          <w:sz w:val="22"/>
          <w:szCs w:val="22"/>
        </w:rPr>
        <w:t xml:space="preserve">Hamilton, J., 2022. Institute of Refrigeration SIRACH Event: </w:t>
      </w:r>
      <w:proofErr w:type="spellStart"/>
      <w:r w:rsidRPr="009B2056">
        <w:rPr>
          <w:color w:val="000000"/>
          <w:sz w:val="22"/>
          <w:szCs w:val="22"/>
        </w:rPr>
        <w:t>Decarbonising</w:t>
      </w:r>
      <w:proofErr w:type="spellEnd"/>
      <w:r w:rsidRPr="009B2056">
        <w:rPr>
          <w:color w:val="000000"/>
          <w:sz w:val="22"/>
          <w:szCs w:val="22"/>
        </w:rPr>
        <w:t xml:space="preserve"> heat using secondary sources and Government policy</w:t>
      </w:r>
      <w:r>
        <w:rPr>
          <w:color w:val="000000"/>
          <w:sz w:val="22"/>
          <w:szCs w:val="22"/>
        </w:rPr>
        <w:t xml:space="preserve"> </w:t>
      </w:r>
      <w:r w:rsidRPr="009B2056">
        <w:rPr>
          <w:color w:val="000000"/>
          <w:sz w:val="22"/>
          <w:szCs w:val="22"/>
        </w:rPr>
        <w:t>- Waste Heat</w:t>
      </w:r>
      <w:r>
        <w:rPr>
          <w:color w:val="000000"/>
          <w:sz w:val="22"/>
          <w:szCs w:val="22"/>
        </w:rPr>
        <w:t xml:space="preserve">. Available online: </w:t>
      </w:r>
      <w:r w:rsidRPr="009B2056">
        <w:rPr>
          <w:color w:val="000000"/>
          <w:sz w:val="22"/>
          <w:szCs w:val="22"/>
        </w:rPr>
        <w:t>https://</w:t>
      </w:r>
      <w:r>
        <w:rPr>
          <w:color w:val="000000"/>
          <w:sz w:val="22"/>
          <w:szCs w:val="22"/>
        </w:rPr>
        <w:t xml:space="preserve"> </w:t>
      </w:r>
      <w:r w:rsidRPr="009B2056">
        <w:rPr>
          <w:color w:val="000000"/>
          <w:sz w:val="22"/>
          <w:szCs w:val="22"/>
        </w:rPr>
        <w:t>ior.org.uk/public/downloads/HD2mP/Dr-Joel-Hamilton-June-22.pdf</w:t>
      </w:r>
      <w:r>
        <w:rPr>
          <w:color w:val="000000"/>
          <w:sz w:val="22"/>
          <w:szCs w:val="22"/>
        </w:rPr>
        <w:t xml:space="preserve"> [Accessed 01/12/2023].</w:t>
      </w:r>
    </w:p>
    <w:p w14:paraId="2791DBD2" w14:textId="77777777" w:rsidR="009B2056" w:rsidRPr="009B2056" w:rsidRDefault="009B2056" w:rsidP="009B2056">
      <w:pPr>
        <w:pStyle w:val="ListParagraph"/>
        <w:rPr>
          <w:color w:val="000000"/>
          <w:sz w:val="22"/>
          <w:szCs w:val="22"/>
        </w:rPr>
      </w:pPr>
    </w:p>
    <w:p w14:paraId="43B41D46" w14:textId="77777777" w:rsidR="0038144E" w:rsidRDefault="009B2056" w:rsidP="009849F3">
      <w:pPr>
        <w:pStyle w:val="ListParagraph"/>
        <w:numPr>
          <w:ilvl w:val="0"/>
          <w:numId w:val="11"/>
        </w:numPr>
        <w:pBdr>
          <w:top w:val="nil"/>
          <w:left w:val="nil"/>
          <w:bottom w:val="nil"/>
          <w:right w:val="nil"/>
          <w:between w:val="nil"/>
        </w:pBdr>
        <w:spacing w:line="276" w:lineRule="auto"/>
        <w:jc w:val="both"/>
        <w:rPr>
          <w:color w:val="000000"/>
          <w:sz w:val="22"/>
          <w:szCs w:val="22"/>
        </w:rPr>
      </w:pPr>
      <w:r w:rsidRPr="009B2056">
        <w:rPr>
          <w:color w:val="000000"/>
          <w:sz w:val="22"/>
          <w:szCs w:val="22"/>
        </w:rPr>
        <w:t xml:space="preserve">Revesz, A., Dunham, C., Jones, P., Bond, C., Fenner, R., Mody, S., </w:t>
      </w:r>
      <w:proofErr w:type="spellStart"/>
      <w:r w:rsidRPr="009B2056">
        <w:rPr>
          <w:color w:val="000000"/>
          <w:sz w:val="22"/>
          <w:szCs w:val="22"/>
        </w:rPr>
        <w:t>Nijjhar</w:t>
      </w:r>
      <w:proofErr w:type="spellEnd"/>
      <w:r w:rsidRPr="009B2056">
        <w:rPr>
          <w:color w:val="000000"/>
          <w:sz w:val="22"/>
          <w:szCs w:val="22"/>
        </w:rPr>
        <w:t xml:space="preserve">, R., Marques, C. &amp; Maidment, G. 2022. A holistic design approach for 5th generation smart local energy systems: Project </w:t>
      </w:r>
      <w:proofErr w:type="spellStart"/>
      <w:r w:rsidRPr="009B2056">
        <w:rPr>
          <w:color w:val="000000"/>
          <w:sz w:val="22"/>
          <w:szCs w:val="22"/>
        </w:rPr>
        <w:t>GreenSCIES</w:t>
      </w:r>
      <w:proofErr w:type="spellEnd"/>
      <w:r w:rsidRPr="009B2056">
        <w:rPr>
          <w:color w:val="000000"/>
          <w:sz w:val="22"/>
          <w:szCs w:val="22"/>
        </w:rPr>
        <w:t>. Energy 242, 122885.</w:t>
      </w:r>
    </w:p>
    <w:p w14:paraId="6FD3E968" w14:textId="77777777" w:rsidR="0038144E" w:rsidRPr="0038144E" w:rsidRDefault="0038144E" w:rsidP="0038144E">
      <w:pPr>
        <w:pStyle w:val="ListParagraph"/>
        <w:rPr>
          <w:color w:val="000000"/>
          <w:sz w:val="22"/>
          <w:szCs w:val="22"/>
        </w:rPr>
      </w:pPr>
    </w:p>
    <w:p w14:paraId="76CA6B06" w14:textId="7676163C" w:rsidR="0038144E" w:rsidRDefault="0038144E" w:rsidP="00683CE7">
      <w:pPr>
        <w:pStyle w:val="ListParagraph"/>
        <w:numPr>
          <w:ilvl w:val="0"/>
          <w:numId w:val="11"/>
        </w:numPr>
        <w:pBdr>
          <w:top w:val="nil"/>
          <w:left w:val="nil"/>
          <w:bottom w:val="nil"/>
          <w:right w:val="nil"/>
          <w:between w:val="nil"/>
        </w:pBdr>
        <w:spacing w:line="276" w:lineRule="auto"/>
        <w:jc w:val="both"/>
        <w:rPr>
          <w:color w:val="000000"/>
          <w:sz w:val="22"/>
          <w:szCs w:val="22"/>
        </w:rPr>
      </w:pPr>
      <w:r w:rsidRPr="0038144E">
        <w:rPr>
          <w:color w:val="000000"/>
          <w:sz w:val="22"/>
          <w:szCs w:val="22"/>
        </w:rPr>
        <w:t>Department for Energy Security &amp; Net Zero (DESNZ), 2023. Green Book supplementary guidance: valuation of energy use and greenhouse gas emissions for appraisal. Available online: https://www.gov.uk/government/publications/valuation-of-energy-use-and-greenhouse-gas-emissions-for-appraisal [Accessed 30/07/2023].</w:t>
      </w:r>
    </w:p>
    <w:p w14:paraId="04E4E310" w14:textId="77777777" w:rsidR="00683CE7" w:rsidRPr="00683CE7" w:rsidRDefault="00683CE7" w:rsidP="00683CE7">
      <w:pPr>
        <w:pStyle w:val="ListParagraph"/>
        <w:rPr>
          <w:color w:val="000000"/>
          <w:sz w:val="22"/>
          <w:szCs w:val="22"/>
        </w:rPr>
      </w:pPr>
    </w:p>
    <w:p w14:paraId="4BD9FDA8" w14:textId="2F66DA94" w:rsidR="00683CE7" w:rsidRDefault="00683CE7" w:rsidP="00683CE7">
      <w:pPr>
        <w:pStyle w:val="ListParagraph"/>
        <w:numPr>
          <w:ilvl w:val="0"/>
          <w:numId w:val="11"/>
        </w:numPr>
        <w:pBdr>
          <w:top w:val="nil"/>
          <w:left w:val="nil"/>
          <w:bottom w:val="nil"/>
          <w:right w:val="nil"/>
          <w:between w:val="nil"/>
        </w:pBdr>
        <w:spacing w:line="276" w:lineRule="auto"/>
        <w:jc w:val="both"/>
        <w:rPr>
          <w:color w:val="000000"/>
          <w:sz w:val="22"/>
          <w:szCs w:val="22"/>
        </w:rPr>
      </w:pPr>
      <w:r w:rsidRPr="00683CE7">
        <w:rPr>
          <w:color w:val="000000"/>
          <w:sz w:val="22"/>
          <w:szCs w:val="22"/>
        </w:rPr>
        <w:t>Department for Energy Security &amp; Net Zero (DESNZ)</w:t>
      </w:r>
      <w:r>
        <w:rPr>
          <w:color w:val="000000"/>
          <w:sz w:val="22"/>
          <w:szCs w:val="22"/>
        </w:rPr>
        <w:t>,</w:t>
      </w:r>
      <w:r w:rsidRPr="00683CE7">
        <w:rPr>
          <w:color w:val="000000"/>
          <w:sz w:val="22"/>
          <w:szCs w:val="22"/>
        </w:rPr>
        <w:t xml:space="preserve"> 2022. Green Heat Network Development Fund Round 1: Guidance for Applicants, March 2022, Available online: https://</w:t>
      </w:r>
      <w:r w:rsidR="0089500D">
        <w:rPr>
          <w:color w:val="000000"/>
          <w:sz w:val="22"/>
          <w:szCs w:val="22"/>
        </w:rPr>
        <w:t xml:space="preserve"> </w:t>
      </w:r>
      <w:r w:rsidRPr="00683CE7">
        <w:rPr>
          <w:color w:val="000000"/>
          <w:sz w:val="22"/>
          <w:szCs w:val="22"/>
        </w:rPr>
        <w:t>www.gov.uk/government/publications/green-heat-network-fund-ghnf [</w:t>
      </w:r>
      <w:r w:rsidR="0089500D">
        <w:rPr>
          <w:color w:val="000000"/>
          <w:sz w:val="22"/>
          <w:szCs w:val="22"/>
        </w:rPr>
        <w:t>A</w:t>
      </w:r>
      <w:r w:rsidRPr="00683CE7">
        <w:rPr>
          <w:color w:val="000000"/>
          <w:sz w:val="22"/>
          <w:szCs w:val="22"/>
        </w:rPr>
        <w:t xml:space="preserve">ccessed </w:t>
      </w:r>
      <w:r w:rsidR="0089500D">
        <w:rPr>
          <w:color w:val="000000"/>
          <w:sz w:val="22"/>
          <w:szCs w:val="22"/>
        </w:rPr>
        <w:t>15/11/2022].</w:t>
      </w:r>
    </w:p>
    <w:p w14:paraId="7DC86227" w14:textId="77777777" w:rsidR="0089500D" w:rsidRPr="0089500D" w:rsidRDefault="0089500D" w:rsidP="0089500D">
      <w:pPr>
        <w:pStyle w:val="ListParagraph"/>
        <w:rPr>
          <w:color w:val="000000"/>
          <w:sz w:val="22"/>
          <w:szCs w:val="22"/>
        </w:rPr>
      </w:pPr>
    </w:p>
    <w:p w14:paraId="26C18E08" w14:textId="77777777" w:rsidR="0089500D" w:rsidRPr="0089500D" w:rsidRDefault="0089500D" w:rsidP="0089500D">
      <w:pPr>
        <w:pStyle w:val="ListParagraph"/>
        <w:numPr>
          <w:ilvl w:val="0"/>
          <w:numId w:val="11"/>
        </w:numPr>
        <w:pBdr>
          <w:top w:val="nil"/>
          <w:left w:val="nil"/>
          <w:bottom w:val="nil"/>
          <w:right w:val="nil"/>
          <w:between w:val="nil"/>
        </w:pBdr>
        <w:spacing w:line="276" w:lineRule="auto"/>
        <w:jc w:val="both"/>
        <w:rPr>
          <w:color w:val="000000"/>
          <w:sz w:val="22"/>
          <w:szCs w:val="22"/>
        </w:rPr>
      </w:pPr>
      <w:r w:rsidRPr="0089500D">
        <w:rPr>
          <w:color w:val="000000"/>
          <w:sz w:val="22"/>
          <w:szCs w:val="22"/>
        </w:rPr>
        <w:t>Thompson, J.A., Maidment, G.G. &amp; Missenden, J.F., 2006. Modelling low-energy cooling strategies for underground railways. Applied Energy 83, 1152-62.</w:t>
      </w:r>
    </w:p>
    <w:p w14:paraId="6A728260" w14:textId="77777777" w:rsidR="0089500D" w:rsidRPr="0089500D" w:rsidRDefault="0089500D" w:rsidP="0089500D">
      <w:pPr>
        <w:pBdr>
          <w:top w:val="nil"/>
          <w:left w:val="nil"/>
          <w:bottom w:val="nil"/>
          <w:right w:val="nil"/>
          <w:between w:val="nil"/>
        </w:pBdr>
        <w:spacing w:line="276" w:lineRule="auto"/>
        <w:jc w:val="both"/>
        <w:rPr>
          <w:color w:val="000000"/>
          <w:sz w:val="22"/>
          <w:szCs w:val="22"/>
        </w:rPr>
      </w:pPr>
    </w:p>
    <w:p w14:paraId="460082ED" w14:textId="77777777" w:rsidR="0089500D" w:rsidRPr="0089500D" w:rsidRDefault="0089500D" w:rsidP="0089500D">
      <w:pPr>
        <w:pStyle w:val="ListParagraph"/>
        <w:numPr>
          <w:ilvl w:val="0"/>
          <w:numId w:val="11"/>
        </w:numPr>
        <w:pBdr>
          <w:top w:val="nil"/>
          <w:left w:val="nil"/>
          <w:bottom w:val="nil"/>
          <w:right w:val="nil"/>
          <w:between w:val="nil"/>
        </w:pBdr>
        <w:spacing w:line="276" w:lineRule="auto"/>
        <w:jc w:val="both"/>
        <w:rPr>
          <w:color w:val="000000"/>
          <w:sz w:val="22"/>
          <w:szCs w:val="22"/>
        </w:rPr>
      </w:pPr>
      <w:r w:rsidRPr="0089500D">
        <w:rPr>
          <w:color w:val="000000"/>
          <w:sz w:val="22"/>
          <w:szCs w:val="22"/>
        </w:rPr>
        <w:t>U.S. Department of Transportation, 2002. Subway Environmental Design Handbook, Volume II. Subway Environmental Simulation Computer Program, Version 4.1.</w:t>
      </w:r>
    </w:p>
    <w:p w14:paraId="1CABA713" w14:textId="77777777" w:rsidR="0089500D" w:rsidRPr="0089500D" w:rsidRDefault="0089500D" w:rsidP="0089500D">
      <w:pPr>
        <w:pStyle w:val="ListParagraph"/>
        <w:pBdr>
          <w:top w:val="nil"/>
          <w:left w:val="nil"/>
          <w:bottom w:val="nil"/>
          <w:right w:val="nil"/>
          <w:between w:val="nil"/>
        </w:pBdr>
        <w:spacing w:line="276" w:lineRule="auto"/>
        <w:ind w:left="360"/>
        <w:jc w:val="both"/>
        <w:rPr>
          <w:color w:val="000000"/>
          <w:sz w:val="22"/>
          <w:szCs w:val="22"/>
        </w:rPr>
      </w:pPr>
    </w:p>
    <w:p w14:paraId="10D1930E" w14:textId="77777777" w:rsidR="00305DF9" w:rsidRPr="0089500D" w:rsidRDefault="00305DF9" w:rsidP="00305DF9">
      <w:pPr>
        <w:pStyle w:val="ListParagraph"/>
        <w:numPr>
          <w:ilvl w:val="0"/>
          <w:numId w:val="11"/>
        </w:numPr>
        <w:pBdr>
          <w:top w:val="nil"/>
          <w:left w:val="nil"/>
          <w:bottom w:val="nil"/>
          <w:right w:val="nil"/>
          <w:between w:val="nil"/>
        </w:pBdr>
        <w:spacing w:line="276" w:lineRule="auto"/>
        <w:jc w:val="both"/>
        <w:rPr>
          <w:color w:val="000000"/>
          <w:sz w:val="22"/>
          <w:szCs w:val="22"/>
        </w:rPr>
      </w:pPr>
      <w:r w:rsidRPr="0089500D">
        <w:rPr>
          <w:color w:val="000000"/>
          <w:sz w:val="22"/>
          <w:szCs w:val="22"/>
        </w:rPr>
        <w:t>Wen, Y., Leng, J., Shen, X., Han, G., Lijun, S. &amp; Yu, F., 2020. Environmental and Health Effects of Ventilation in Subway Stations: A Literature Review. International Journal of Environmental Research and Public Health 17, 1084.</w:t>
      </w:r>
    </w:p>
    <w:p w14:paraId="433149BC" w14:textId="77777777" w:rsidR="00305DF9" w:rsidRDefault="00305DF9" w:rsidP="00305DF9">
      <w:pPr>
        <w:pBdr>
          <w:top w:val="nil"/>
          <w:left w:val="nil"/>
          <w:bottom w:val="nil"/>
          <w:right w:val="nil"/>
          <w:between w:val="nil"/>
        </w:pBdr>
        <w:spacing w:line="276" w:lineRule="auto"/>
        <w:jc w:val="both"/>
        <w:rPr>
          <w:color w:val="000000"/>
          <w:sz w:val="22"/>
          <w:szCs w:val="22"/>
        </w:rPr>
      </w:pPr>
    </w:p>
    <w:p w14:paraId="2A22D3A7" w14:textId="68AB510B" w:rsidR="00305DF9" w:rsidRDefault="00305DF9" w:rsidP="00305DF9">
      <w:pPr>
        <w:pStyle w:val="ListParagraph"/>
        <w:numPr>
          <w:ilvl w:val="0"/>
          <w:numId w:val="11"/>
        </w:numPr>
        <w:pBdr>
          <w:top w:val="nil"/>
          <w:left w:val="nil"/>
          <w:bottom w:val="nil"/>
          <w:right w:val="nil"/>
          <w:between w:val="nil"/>
        </w:pBdr>
        <w:spacing w:line="276" w:lineRule="auto"/>
        <w:jc w:val="both"/>
        <w:rPr>
          <w:color w:val="000000"/>
          <w:sz w:val="22"/>
          <w:szCs w:val="22"/>
        </w:rPr>
      </w:pPr>
      <w:r>
        <w:rPr>
          <w:color w:val="000000"/>
          <w:sz w:val="22"/>
          <w:szCs w:val="22"/>
        </w:rPr>
        <w:t>Low Temperature Heat Recovery and Distribution Network Technologies (</w:t>
      </w:r>
      <w:proofErr w:type="spellStart"/>
      <w:r>
        <w:rPr>
          <w:color w:val="000000"/>
          <w:sz w:val="22"/>
          <w:szCs w:val="22"/>
        </w:rPr>
        <w:t>LoT</w:t>
      </w:r>
      <w:proofErr w:type="spellEnd"/>
      <w:r>
        <w:rPr>
          <w:color w:val="000000"/>
          <w:sz w:val="22"/>
          <w:szCs w:val="22"/>
        </w:rPr>
        <w:t xml:space="preserve">-NET), 2023. Project website. Available online: </w:t>
      </w:r>
      <w:r w:rsidRPr="00305DF9">
        <w:rPr>
          <w:color w:val="000000"/>
          <w:sz w:val="22"/>
          <w:szCs w:val="22"/>
        </w:rPr>
        <w:t>https://lot-net.org/</w:t>
      </w:r>
      <w:r>
        <w:rPr>
          <w:color w:val="000000"/>
          <w:sz w:val="22"/>
          <w:szCs w:val="22"/>
        </w:rPr>
        <w:t xml:space="preserve"> [Accessed 19/12/2023].</w:t>
      </w:r>
    </w:p>
    <w:p w14:paraId="03713C4C" w14:textId="77777777" w:rsidR="00305DF9" w:rsidRDefault="00305DF9" w:rsidP="00305DF9">
      <w:pPr>
        <w:pBdr>
          <w:top w:val="nil"/>
          <w:left w:val="nil"/>
          <w:bottom w:val="nil"/>
          <w:right w:val="nil"/>
          <w:between w:val="nil"/>
        </w:pBdr>
        <w:spacing w:line="276" w:lineRule="auto"/>
        <w:jc w:val="both"/>
        <w:rPr>
          <w:color w:val="000000"/>
          <w:sz w:val="22"/>
          <w:szCs w:val="22"/>
        </w:rPr>
      </w:pPr>
    </w:p>
    <w:p w14:paraId="42977003" w14:textId="585A7608" w:rsidR="00305DF9" w:rsidRDefault="00305DF9" w:rsidP="00305DF9">
      <w:pPr>
        <w:pStyle w:val="ListParagraph"/>
        <w:numPr>
          <w:ilvl w:val="0"/>
          <w:numId w:val="11"/>
        </w:numPr>
        <w:pBdr>
          <w:top w:val="nil"/>
          <w:left w:val="nil"/>
          <w:bottom w:val="nil"/>
          <w:right w:val="nil"/>
          <w:between w:val="nil"/>
        </w:pBdr>
        <w:spacing w:line="276" w:lineRule="auto"/>
        <w:jc w:val="both"/>
        <w:rPr>
          <w:color w:val="000000"/>
          <w:sz w:val="22"/>
          <w:szCs w:val="22"/>
        </w:rPr>
      </w:pPr>
      <w:r w:rsidRPr="00305DF9">
        <w:rPr>
          <w:color w:val="000000"/>
          <w:sz w:val="22"/>
          <w:szCs w:val="22"/>
        </w:rPr>
        <w:t xml:space="preserve">Green Smart Community Integrated Energy Systems </w:t>
      </w:r>
      <w:r>
        <w:rPr>
          <w:color w:val="000000"/>
          <w:sz w:val="22"/>
          <w:szCs w:val="22"/>
        </w:rPr>
        <w:t>(</w:t>
      </w:r>
      <w:proofErr w:type="spellStart"/>
      <w:r>
        <w:rPr>
          <w:color w:val="000000"/>
          <w:sz w:val="22"/>
          <w:szCs w:val="22"/>
        </w:rPr>
        <w:t>GreenSCIES</w:t>
      </w:r>
      <w:proofErr w:type="spellEnd"/>
      <w:r>
        <w:rPr>
          <w:color w:val="000000"/>
          <w:sz w:val="22"/>
          <w:szCs w:val="22"/>
        </w:rPr>
        <w:t xml:space="preserve">), 2023. A Centre of Excellence in SLES. Available online: </w:t>
      </w:r>
      <w:r w:rsidRPr="00305DF9">
        <w:rPr>
          <w:color w:val="000000"/>
          <w:sz w:val="22"/>
          <w:szCs w:val="22"/>
        </w:rPr>
        <w:t xml:space="preserve">https://greenscies.com/ </w:t>
      </w:r>
      <w:r>
        <w:rPr>
          <w:color w:val="000000"/>
          <w:sz w:val="22"/>
          <w:szCs w:val="22"/>
        </w:rPr>
        <w:t>[Accessed 19/12/2023].</w:t>
      </w:r>
    </w:p>
    <w:p w14:paraId="6B83F531" w14:textId="77777777" w:rsidR="008C5BD2" w:rsidRPr="008C5BD2" w:rsidRDefault="008C5BD2" w:rsidP="008C5BD2">
      <w:pPr>
        <w:pStyle w:val="ListParagraph"/>
        <w:rPr>
          <w:color w:val="000000"/>
          <w:sz w:val="22"/>
          <w:szCs w:val="22"/>
        </w:rPr>
      </w:pPr>
    </w:p>
    <w:p w14:paraId="36A4CE1D" w14:textId="699B9877" w:rsidR="008C5BD2" w:rsidRPr="00305DF9" w:rsidRDefault="008C5BD2" w:rsidP="00305DF9">
      <w:pPr>
        <w:pStyle w:val="ListParagraph"/>
        <w:numPr>
          <w:ilvl w:val="0"/>
          <w:numId w:val="11"/>
        </w:numPr>
        <w:pBdr>
          <w:top w:val="nil"/>
          <w:left w:val="nil"/>
          <w:bottom w:val="nil"/>
          <w:right w:val="nil"/>
          <w:between w:val="nil"/>
        </w:pBdr>
        <w:spacing w:line="276" w:lineRule="auto"/>
        <w:jc w:val="both"/>
        <w:rPr>
          <w:color w:val="000000"/>
          <w:sz w:val="22"/>
          <w:szCs w:val="22"/>
        </w:rPr>
      </w:pPr>
      <w:r w:rsidRPr="008C5BD2">
        <w:rPr>
          <w:color w:val="000000"/>
          <w:sz w:val="22"/>
          <w:szCs w:val="22"/>
        </w:rPr>
        <w:t>Davies, G., Lagoeiro, H., Turnell, H., Wegner, M., Foster, A., Evans, J., Revesz, A., Leiper, A., Smyth, K., Hamilton, J., Cooke, H. &amp; Maidment, G., 2023.Evaluation of low temperature waste heat as a low carbon heat resource in the UK. Applied Thermal Engineering 235, 121283.</w:t>
      </w:r>
    </w:p>
    <w:sectPr w:rsidR="008C5BD2" w:rsidRPr="00305DF9" w:rsidSect="006234F8">
      <w:headerReference w:type="default" r:id="rId22"/>
      <w:footerReference w:type="default" r:id="rId23"/>
      <w:pgSz w:w="11900" w:h="16840"/>
      <w:pgMar w:top="1440" w:right="1440" w:bottom="1440" w:left="1440"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33D94" w14:textId="77777777" w:rsidR="00DE24CF" w:rsidRDefault="00DE24CF" w:rsidP="0005295C">
      <w:r>
        <w:separator/>
      </w:r>
    </w:p>
  </w:endnote>
  <w:endnote w:type="continuationSeparator" w:id="0">
    <w:p w14:paraId="601E1FC9" w14:textId="77777777" w:rsidR="00DE24CF" w:rsidRDefault="00DE24CF" w:rsidP="0005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PS MT">
    <w:altName w:val="Times New Roman"/>
    <w:charset w:val="00"/>
    <w:family w:val="roman"/>
    <w:pitch w:val="variable"/>
    <w:sig w:usb0="E0002AEF" w:usb1="C0007841" w:usb2="00000009" w:usb3="00000000" w:csb0="000001FF" w:csb1="00000000"/>
  </w:font>
  <w:font w:name="Times">
    <w:panose1 w:val="02020603050405020304"/>
    <w:charset w:val="00"/>
    <w:family w:val="auto"/>
    <w:pitch w:val="variable"/>
    <w:sig w:usb0="E00002FF" w:usb1="5000205A" w:usb2="00000000" w:usb3="00000000" w:csb0="0000019F" w:csb1="00000000"/>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4EE0" w14:textId="21D34956" w:rsidR="00AA4819" w:rsidRPr="009D7F4E" w:rsidRDefault="00AA4819" w:rsidP="00F50E6C">
    <w:pPr>
      <w:pStyle w:val="Footer"/>
      <w:jc w:val="center"/>
    </w:pPr>
    <w:r w:rsidRPr="009D7F4E">
      <w:t xml:space="preserve">Page </w:t>
    </w:r>
    <w:r w:rsidRPr="009D7F4E">
      <w:fldChar w:fldCharType="begin"/>
    </w:r>
    <w:r w:rsidRPr="009D7F4E">
      <w:instrText xml:space="preserve"> PAGE </w:instrText>
    </w:r>
    <w:r w:rsidRPr="009D7F4E">
      <w:fldChar w:fldCharType="separate"/>
    </w:r>
    <w:r w:rsidR="008E61CC">
      <w:rPr>
        <w:noProof/>
      </w:rPr>
      <w:t>14</w:t>
    </w:r>
    <w:r w:rsidRPr="009D7F4E">
      <w:fldChar w:fldCharType="end"/>
    </w:r>
    <w:r w:rsidRPr="009D7F4E">
      <w:t xml:space="preserve"> of </w:t>
    </w:r>
    <w:r w:rsidR="0089500D">
      <w:t>1</w:t>
    </w:r>
    <w:r w:rsidR="007227FA">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00679" w14:textId="77777777" w:rsidR="00DE24CF" w:rsidRDefault="00DE24CF" w:rsidP="0005295C">
      <w:r>
        <w:separator/>
      </w:r>
    </w:p>
  </w:footnote>
  <w:footnote w:type="continuationSeparator" w:id="0">
    <w:p w14:paraId="457C925A" w14:textId="77777777" w:rsidR="00DE24CF" w:rsidRDefault="00DE24CF" w:rsidP="00052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B04F" w14:textId="2686954B" w:rsidR="00AA4819" w:rsidRPr="00E315E2" w:rsidRDefault="003354A4" w:rsidP="007E03A9">
    <w:pPr>
      <w:pStyle w:val="Header"/>
      <w:jc w:val="right"/>
      <w:rPr>
        <w:sz w:val="18"/>
        <w:szCs w:val="18"/>
      </w:rPr>
    </w:pPr>
    <w:r>
      <w:rPr>
        <w:sz w:val="18"/>
        <w:szCs w:val="18"/>
      </w:rPr>
      <w:t>Institute of Refrigeration Tech Talk – Ted Perry Award 2021/2022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A533F"/>
    <w:multiLevelType w:val="hybridMultilevel"/>
    <w:tmpl w:val="E5EE8842"/>
    <w:lvl w:ilvl="0" w:tplc="A9047BB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A3D56"/>
    <w:multiLevelType w:val="hybridMultilevel"/>
    <w:tmpl w:val="06EE453A"/>
    <w:lvl w:ilvl="0" w:tplc="17BAA39C">
      <w:start w:val="1"/>
      <w:numFmt w:val="decimal"/>
      <w:suff w:val="space"/>
      <w:lvlText w:val="(%1)"/>
      <w:lvlJc w:val="left"/>
      <w:pPr>
        <w:ind w:left="360" w:hanging="360"/>
      </w:pPr>
      <w:rPr>
        <w:rFonts w:hint="default"/>
      </w:rPr>
    </w:lvl>
    <w:lvl w:ilvl="1" w:tplc="08090019">
      <w:start w:val="1"/>
      <w:numFmt w:val="lowerLetter"/>
      <w:lvlText w:val="%2."/>
      <w:lvlJc w:val="left"/>
      <w:pPr>
        <w:ind w:left="939" w:hanging="360"/>
      </w:pPr>
    </w:lvl>
    <w:lvl w:ilvl="2" w:tplc="0809001B" w:tentative="1">
      <w:start w:val="1"/>
      <w:numFmt w:val="lowerRoman"/>
      <w:lvlText w:val="%3."/>
      <w:lvlJc w:val="right"/>
      <w:pPr>
        <w:ind w:left="1659" w:hanging="180"/>
      </w:pPr>
    </w:lvl>
    <w:lvl w:ilvl="3" w:tplc="0809000F" w:tentative="1">
      <w:start w:val="1"/>
      <w:numFmt w:val="decimal"/>
      <w:lvlText w:val="%4."/>
      <w:lvlJc w:val="left"/>
      <w:pPr>
        <w:ind w:left="2379" w:hanging="360"/>
      </w:pPr>
    </w:lvl>
    <w:lvl w:ilvl="4" w:tplc="08090019" w:tentative="1">
      <w:start w:val="1"/>
      <w:numFmt w:val="lowerLetter"/>
      <w:lvlText w:val="%5."/>
      <w:lvlJc w:val="left"/>
      <w:pPr>
        <w:ind w:left="3099" w:hanging="360"/>
      </w:pPr>
    </w:lvl>
    <w:lvl w:ilvl="5" w:tplc="0809001B" w:tentative="1">
      <w:start w:val="1"/>
      <w:numFmt w:val="lowerRoman"/>
      <w:lvlText w:val="%6."/>
      <w:lvlJc w:val="right"/>
      <w:pPr>
        <w:ind w:left="3819" w:hanging="180"/>
      </w:pPr>
    </w:lvl>
    <w:lvl w:ilvl="6" w:tplc="0809000F" w:tentative="1">
      <w:start w:val="1"/>
      <w:numFmt w:val="decimal"/>
      <w:lvlText w:val="%7."/>
      <w:lvlJc w:val="left"/>
      <w:pPr>
        <w:ind w:left="4539" w:hanging="360"/>
      </w:pPr>
    </w:lvl>
    <w:lvl w:ilvl="7" w:tplc="08090019" w:tentative="1">
      <w:start w:val="1"/>
      <w:numFmt w:val="lowerLetter"/>
      <w:lvlText w:val="%8."/>
      <w:lvlJc w:val="left"/>
      <w:pPr>
        <w:ind w:left="5259" w:hanging="360"/>
      </w:pPr>
    </w:lvl>
    <w:lvl w:ilvl="8" w:tplc="0809001B" w:tentative="1">
      <w:start w:val="1"/>
      <w:numFmt w:val="lowerRoman"/>
      <w:lvlText w:val="%9."/>
      <w:lvlJc w:val="right"/>
      <w:pPr>
        <w:ind w:left="5979" w:hanging="180"/>
      </w:pPr>
    </w:lvl>
  </w:abstractNum>
  <w:abstractNum w:abstractNumId="2" w15:restartNumberingAfterBreak="0">
    <w:nsid w:val="3B026A36"/>
    <w:multiLevelType w:val="hybridMultilevel"/>
    <w:tmpl w:val="8F3441FE"/>
    <w:lvl w:ilvl="0" w:tplc="E942091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74AA8"/>
    <w:multiLevelType w:val="hybridMultilevel"/>
    <w:tmpl w:val="A04C03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CA083D"/>
    <w:multiLevelType w:val="multilevel"/>
    <w:tmpl w:val="984E87D0"/>
    <w:lvl w:ilvl="0">
      <w:start w:val="1"/>
      <w:numFmt w:val="decimal"/>
      <w:lvlText w:val="%1."/>
      <w:lvlJc w:val="left"/>
      <w:pPr>
        <w:ind w:left="480" w:hanging="480"/>
      </w:pPr>
      <w:rPr>
        <w:rFonts w:ascii="Calibri" w:eastAsia="Calibri" w:hAnsi="Calibri" w:cs="Calibri"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4D7C57CD"/>
    <w:multiLevelType w:val="multilevel"/>
    <w:tmpl w:val="AFA246CC"/>
    <w:lvl w:ilvl="0">
      <w:start w:val="1"/>
      <w:numFmt w:val="decimal"/>
      <w:lvlText w:val="%1."/>
      <w:lvlJc w:val="left"/>
      <w:pPr>
        <w:ind w:left="480" w:hanging="480"/>
      </w:pPr>
      <w:rPr>
        <w:rFonts w:ascii="Arial" w:eastAsia="Calibri" w:hAnsi="Arial" w:cs="Arial"/>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50C42C40"/>
    <w:multiLevelType w:val="multilevel"/>
    <w:tmpl w:val="79CE6958"/>
    <w:lvl w:ilvl="0">
      <w:start w:val="1"/>
      <w:numFmt w:val="decimal"/>
      <w:lvlText w:val="%1."/>
      <w:lvlJc w:val="left"/>
      <w:pPr>
        <w:ind w:left="763" w:hanging="48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62B46472"/>
    <w:multiLevelType w:val="multilevel"/>
    <w:tmpl w:val="ED4C0DFE"/>
    <w:lvl w:ilvl="0">
      <w:start w:val="3"/>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633B1AC5"/>
    <w:multiLevelType w:val="multilevel"/>
    <w:tmpl w:val="AFA246CC"/>
    <w:lvl w:ilvl="0">
      <w:start w:val="1"/>
      <w:numFmt w:val="decimal"/>
      <w:lvlText w:val="%1."/>
      <w:lvlJc w:val="left"/>
      <w:pPr>
        <w:ind w:left="763" w:hanging="480"/>
      </w:pPr>
      <w:rPr>
        <w:rFonts w:ascii="Arial" w:eastAsia="Calibri" w:hAnsi="Arial" w:cs="Arial"/>
      </w:rPr>
    </w:lvl>
    <w:lvl w:ilvl="1">
      <w:start w:val="1"/>
      <w:numFmt w:val="decimal"/>
      <w:lvlText w:val="%1.%2."/>
      <w:lvlJc w:val="left"/>
      <w:pPr>
        <w:ind w:left="1428" w:hanging="720"/>
      </w:pPr>
      <w:rPr>
        <w:rFonts w:hint="default"/>
      </w:rPr>
    </w:lvl>
    <w:lvl w:ilvl="2">
      <w:start w:val="1"/>
      <w:numFmt w:val="decimal"/>
      <w:lvlText w:val="%1.%2.%3."/>
      <w:lvlJc w:val="left"/>
      <w:pPr>
        <w:ind w:left="2421" w:hanging="720"/>
      </w:pPr>
      <w:rPr>
        <w:rFonts w:hint="default"/>
      </w:rPr>
    </w:lvl>
    <w:lvl w:ilvl="3">
      <w:start w:val="1"/>
      <w:numFmt w:val="decimal"/>
      <w:lvlText w:val="%1.%2.%3.%4."/>
      <w:lvlJc w:val="left"/>
      <w:pPr>
        <w:ind w:left="3490"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268" w:hanging="1440"/>
      </w:pPr>
      <w:rPr>
        <w:rFonts w:hint="default"/>
      </w:rPr>
    </w:lvl>
    <w:lvl w:ilvl="6">
      <w:start w:val="1"/>
      <w:numFmt w:val="decimal"/>
      <w:lvlText w:val="%1.%2.%3.%4.%5.%6.%7."/>
      <w:lvlJc w:val="left"/>
      <w:pPr>
        <w:ind w:left="6337" w:hanging="1800"/>
      </w:pPr>
      <w:rPr>
        <w:rFonts w:hint="default"/>
      </w:rPr>
    </w:lvl>
    <w:lvl w:ilvl="7">
      <w:start w:val="1"/>
      <w:numFmt w:val="decimal"/>
      <w:lvlText w:val="%1.%2.%3.%4.%5.%6.%7.%8."/>
      <w:lvlJc w:val="left"/>
      <w:pPr>
        <w:ind w:left="7406" w:hanging="2160"/>
      </w:pPr>
      <w:rPr>
        <w:rFonts w:hint="default"/>
      </w:rPr>
    </w:lvl>
    <w:lvl w:ilvl="8">
      <w:start w:val="1"/>
      <w:numFmt w:val="decimal"/>
      <w:lvlText w:val="%1.%2.%3.%4.%5.%6.%7.%8.%9."/>
      <w:lvlJc w:val="left"/>
      <w:pPr>
        <w:ind w:left="8115" w:hanging="2160"/>
      </w:pPr>
      <w:rPr>
        <w:rFonts w:hint="default"/>
      </w:rPr>
    </w:lvl>
  </w:abstractNum>
  <w:abstractNum w:abstractNumId="9" w15:restartNumberingAfterBreak="0">
    <w:nsid w:val="6F402D79"/>
    <w:multiLevelType w:val="multilevel"/>
    <w:tmpl w:val="FBA45956"/>
    <w:lvl w:ilvl="0">
      <w:start w:val="1"/>
      <w:numFmt w:val="decimal"/>
      <w:lvlText w:val="%1."/>
      <w:lvlJc w:val="left"/>
      <w:pPr>
        <w:ind w:left="907" w:hanging="547"/>
      </w:pPr>
      <w:rPr>
        <w:rFonts w:ascii="Arial" w:eastAsia="Calibri" w:hAnsi="Arial" w:cs="Arial" w:hint="default"/>
      </w:rPr>
    </w:lvl>
    <w:lvl w:ilvl="1">
      <w:start w:val="1"/>
      <w:numFmt w:val="decimal"/>
      <w:lvlText w:val="%1.%2."/>
      <w:lvlJc w:val="left"/>
      <w:pPr>
        <w:ind w:left="1428"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10" w15:restartNumberingAfterBreak="0">
    <w:nsid w:val="72AF787D"/>
    <w:multiLevelType w:val="hybridMultilevel"/>
    <w:tmpl w:val="985C998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8691207">
    <w:abstractNumId w:val="1"/>
  </w:num>
  <w:num w:numId="2" w16cid:durableId="1834031846">
    <w:abstractNumId w:val="3"/>
  </w:num>
  <w:num w:numId="3" w16cid:durableId="1494685191">
    <w:abstractNumId w:val="6"/>
  </w:num>
  <w:num w:numId="4" w16cid:durableId="2017150036">
    <w:abstractNumId w:val="4"/>
  </w:num>
  <w:num w:numId="5" w16cid:durableId="1597639462">
    <w:abstractNumId w:val="9"/>
  </w:num>
  <w:num w:numId="6" w16cid:durableId="1470590144">
    <w:abstractNumId w:val="7"/>
  </w:num>
  <w:num w:numId="7" w16cid:durableId="551380362">
    <w:abstractNumId w:val="8"/>
  </w:num>
  <w:num w:numId="8" w16cid:durableId="536356940">
    <w:abstractNumId w:val="5"/>
  </w:num>
  <w:num w:numId="9" w16cid:durableId="2017269994">
    <w:abstractNumId w:val="0"/>
  </w:num>
  <w:num w:numId="10" w16cid:durableId="1100838180">
    <w:abstractNumId w:val="2"/>
  </w:num>
  <w:num w:numId="11" w16cid:durableId="34390001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4096" w:nlCheck="1" w:checkStyle="0"/>
  <w:activeWritingStyle w:appName="MSWord" w:lang="en-GB" w:vendorID="64" w:dllVersion="4096" w:nlCheck="1" w:checkStyle="0"/>
  <w:activeWritingStyle w:appName="MSWord" w:lang="nb-NO" w:vendorID="64" w:dllVersion="0" w:nlCheck="1" w:checkStyle="0"/>
  <w:activeWritingStyle w:appName="MSWord" w:lang="cs-CZ" w:vendorID="64" w:dllVersion="0" w:nlCheck="1" w:checkStyle="0"/>
  <w:activeWritingStyle w:appName="MSWord" w:lang="fi-FI" w:vendorID="64" w:dllVersion="0"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567"/>
  <w:drawingGridVerticalSpacing w:val="164"/>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403"/>
    <w:rsid w:val="00000D31"/>
    <w:rsid w:val="0000192A"/>
    <w:rsid w:val="0000286C"/>
    <w:rsid w:val="00002B24"/>
    <w:rsid w:val="000052D1"/>
    <w:rsid w:val="00006A4E"/>
    <w:rsid w:val="0000714D"/>
    <w:rsid w:val="00007204"/>
    <w:rsid w:val="00010323"/>
    <w:rsid w:val="0001097D"/>
    <w:rsid w:val="00011A2A"/>
    <w:rsid w:val="000127E8"/>
    <w:rsid w:val="000129F0"/>
    <w:rsid w:val="00012E69"/>
    <w:rsid w:val="00012FA7"/>
    <w:rsid w:val="00013345"/>
    <w:rsid w:val="00013CCE"/>
    <w:rsid w:val="00013EA6"/>
    <w:rsid w:val="000145E1"/>
    <w:rsid w:val="00014E24"/>
    <w:rsid w:val="0001516E"/>
    <w:rsid w:val="00015234"/>
    <w:rsid w:val="00015FA8"/>
    <w:rsid w:val="0001624C"/>
    <w:rsid w:val="0001646D"/>
    <w:rsid w:val="00020FF1"/>
    <w:rsid w:val="00023756"/>
    <w:rsid w:val="000239BD"/>
    <w:rsid w:val="00023B5D"/>
    <w:rsid w:val="00023CDE"/>
    <w:rsid w:val="00024DA0"/>
    <w:rsid w:val="0002542C"/>
    <w:rsid w:val="000260A2"/>
    <w:rsid w:val="00026744"/>
    <w:rsid w:val="0002676E"/>
    <w:rsid w:val="00026B99"/>
    <w:rsid w:val="0002753C"/>
    <w:rsid w:val="00032EC4"/>
    <w:rsid w:val="00035C4C"/>
    <w:rsid w:val="00035DB1"/>
    <w:rsid w:val="00036824"/>
    <w:rsid w:val="00037947"/>
    <w:rsid w:val="00041E61"/>
    <w:rsid w:val="000423F2"/>
    <w:rsid w:val="000435D9"/>
    <w:rsid w:val="0004392C"/>
    <w:rsid w:val="0004482F"/>
    <w:rsid w:val="00047792"/>
    <w:rsid w:val="000510B2"/>
    <w:rsid w:val="000515B7"/>
    <w:rsid w:val="00051BE8"/>
    <w:rsid w:val="00052041"/>
    <w:rsid w:val="000520A6"/>
    <w:rsid w:val="000520D3"/>
    <w:rsid w:val="0005295C"/>
    <w:rsid w:val="00052A71"/>
    <w:rsid w:val="00053135"/>
    <w:rsid w:val="000535B3"/>
    <w:rsid w:val="00053610"/>
    <w:rsid w:val="00053E55"/>
    <w:rsid w:val="00055525"/>
    <w:rsid w:val="000568FC"/>
    <w:rsid w:val="00056A45"/>
    <w:rsid w:val="000640E7"/>
    <w:rsid w:val="00064C8B"/>
    <w:rsid w:val="00064E75"/>
    <w:rsid w:val="00066F8D"/>
    <w:rsid w:val="0006716C"/>
    <w:rsid w:val="00067250"/>
    <w:rsid w:val="000676C9"/>
    <w:rsid w:val="000706E2"/>
    <w:rsid w:val="00070C70"/>
    <w:rsid w:val="00071C68"/>
    <w:rsid w:val="0007211B"/>
    <w:rsid w:val="000722B1"/>
    <w:rsid w:val="00073250"/>
    <w:rsid w:val="00073435"/>
    <w:rsid w:val="0007405D"/>
    <w:rsid w:val="00074619"/>
    <w:rsid w:val="0007475A"/>
    <w:rsid w:val="00074D5D"/>
    <w:rsid w:val="00074F80"/>
    <w:rsid w:val="00075927"/>
    <w:rsid w:val="00077DC6"/>
    <w:rsid w:val="0008044B"/>
    <w:rsid w:val="00083ED7"/>
    <w:rsid w:val="00084BB4"/>
    <w:rsid w:val="00090B03"/>
    <w:rsid w:val="00090C89"/>
    <w:rsid w:val="00091364"/>
    <w:rsid w:val="0009331B"/>
    <w:rsid w:val="000934FC"/>
    <w:rsid w:val="00093A3B"/>
    <w:rsid w:val="000956F5"/>
    <w:rsid w:val="00095CE3"/>
    <w:rsid w:val="000A00CB"/>
    <w:rsid w:val="000A0449"/>
    <w:rsid w:val="000A06F5"/>
    <w:rsid w:val="000A07DC"/>
    <w:rsid w:val="000A12DA"/>
    <w:rsid w:val="000A1A17"/>
    <w:rsid w:val="000A277D"/>
    <w:rsid w:val="000A2D3A"/>
    <w:rsid w:val="000A39E9"/>
    <w:rsid w:val="000A520F"/>
    <w:rsid w:val="000A5B4C"/>
    <w:rsid w:val="000A6155"/>
    <w:rsid w:val="000A6C94"/>
    <w:rsid w:val="000A6ECF"/>
    <w:rsid w:val="000A78FA"/>
    <w:rsid w:val="000B0333"/>
    <w:rsid w:val="000B07D0"/>
    <w:rsid w:val="000B1116"/>
    <w:rsid w:val="000B1661"/>
    <w:rsid w:val="000B1944"/>
    <w:rsid w:val="000B210E"/>
    <w:rsid w:val="000B2540"/>
    <w:rsid w:val="000B31EB"/>
    <w:rsid w:val="000B38BF"/>
    <w:rsid w:val="000B4BCA"/>
    <w:rsid w:val="000B50E3"/>
    <w:rsid w:val="000B6411"/>
    <w:rsid w:val="000B737A"/>
    <w:rsid w:val="000C011C"/>
    <w:rsid w:val="000C019F"/>
    <w:rsid w:val="000C0841"/>
    <w:rsid w:val="000C0A34"/>
    <w:rsid w:val="000C2C6E"/>
    <w:rsid w:val="000C360F"/>
    <w:rsid w:val="000C36E0"/>
    <w:rsid w:val="000C3C92"/>
    <w:rsid w:val="000C3CCF"/>
    <w:rsid w:val="000C3D38"/>
    <w:rsid w:val="000C5D11"/>
    <w:rsid w:val="000C64F2"/>
    <w:rsid w:val="000C7D40"/>
    <w:rsid w:val="000C7F2A"/>
    <w:rsid w:val="000D06BD"/>
    <w:rsid w:val="000D0A1C"/>
    <w:rsid w:val="000D2674"/>
    <w:rsid w:val="000D28A1"/>
    <w:rsid w:val="000D2A08"/>
    <w:rsid w:val="000D2D62"/>
    <w:rsid w:val="000D2D81"/>
    <w:rsid w:val="000D4F88"/>
    <w:rsid w:val="000D5841"/>
    <w:rsid w:val="000D5DF1"/>
    <w:rsid w:val="000D666D"/>
    <w:rsid w:val="000E0657"/>
    <w:rsid w:val="000E075C"/>
    <w:rsid w:val="000E1188"/>
    <w:rsid w:val="000E1403"/>
    <w:rsid w:val="000E2D4D"/>
    <w:rsid w:val="000E311F"/>
    <w:rsid w:val="000E34D9"/>
    <w:rsid w:val="000E39B6"/>
    <w:rsid w:val="000E412F"/>
    <w:rsid w:val="000E431E"/>
    <w:rsid w:val="000E471D"/>
    <w:rsid w:val="000E490E"/>
    <w:rsid w:val="000E5759"/>
    <w:rsid w:val="000E5F25"/>
    <w:rsid w:val="000E64B3"/>
    <w:rsid w:val="000E6525"/>
    <w:rsid w:val="000E706B"/>
    <w:rsid w:val="000E7D39"/>
    <w:rsid w:val="000F0034"/>
    <w:rsid w:val="000F0399"/>
    <w:rsid w:val="000F0EEA"/>
    <w:rsid w:val="000F1430"/>
    <w:rsid w:val="000F1B58"/>
    <w:rsid w:val="000F2630"/>
    <w:rsid w:val="000F2B81"/>
    <w:rsid w:val="000F37C4"/>
    <w:rsid w:val="000F3A6A"/>
    <w:rsid w:val="000F4E67"/>
    <w:rsid w:val="000F5126"/>
    <w:rsid w:val="000F53E2"/>
    <w:rsid w:val="00100410"/>
    <w:rsid w:val="00105D1B"/>
    <w:rsid w:val="00112AAC"/>
    <w:rsid w:val="001130DD"/>
    <w:rsid w:val="00113301"/>
    <w:rsid w:val="0011465A"/>
    <w:rsid w:val="00114C18"/>
    <w:rsid w:val="00115223"/>
    <w:rsid w:val="00115E59"/>
    <w:rsid w:val="00117882"/>
    <w:rsid w:val="001200D7"/>
    <w:rsid w:val="00120171"/>
    <w:rsid w:val="001202B5"/>
    <w:rsid w:val="0012107B"/>
    <w:rsid w:val="001212EE"/>
    <w:rsid w:val="00122516"/>
    <w:rsid w:val="00122B64"/>
    <w:rsid w:val="0012321F"/>
    <w:rsid w:val="00123F32"/>
    <w:rsid w:val="00124039"/>
    <w:rsid w:val="00124A26"/>
    <w:rsid w:val="00126EA2"/>
    <w:rsid w:val="00126F79"/>
    <w:rsid w:val="001277B2"/>
    <w:rsid w:val="00127E4A"/>
    <w:rsid w:val="00127EE4"/>
    <w:rsid w:val="00130485"/>
    <w:rsid w:val="0013127E"/>
    <w:rsid w:val="00131677"/>
    <w:rsid w:val="001326B4"/>
    <w:rsid w:val="001328FF"/>
    <w:rsid w:val="00132D23"/>
    <w:rsid w:val="00132E46"/>
    <w:rsid w:val="00132F98"/>
    <w:rsid w:val="00134414"/>
    <w:rsid w:val="00135250"/>
    <w:rsid w:val="00136AB1"/>
    <w:rsid w:val="00136B97"/>
    <w:rsid w:val="0013731B"/>
    <w:rsid w:val="00140673"/>
    <w:rsid w:val="00140B13"/>
    <w:rsid w:val="00141207"/>
    <w:rsid w:val="00141367"/>
    <w:rsid w:val="00142001"/>
    <w:rsid w:val="00142413"/>
    <w:rsid w:val="00142D8F"/>
    <w:rsid w:val="00142E24"/>
    <w:rsid w:val="0014380E"/>
    <w:rsid w:val="00143E50"/>
    <w:rsid w:val="00144467"/>
    <w:rsid w:val="00144F09"/>
    <w:rsid w:val="001458EE"/>
    <w:rsid w:val="00146665"/>
    <w:rsid w:val="00151889"/>
    <w:rsid w:val="001521A8"/>
    <w:rsid w:val="0015303A"/>
    <w:rsid w:val="00153696"/>
    <w:rsid w:val="001544F8"/>
    <w:rsid w:val="001545F3"/>
    <w:rsid w:val="001546AC"/>
    <w:rsid w:val="00155BD9"/>
    <w:rsid w:val="00155E4E"/>
    <w:rsid w:val="001561EE"/>
    <w:rsid w:val="00156333"/>
    <w:rsid w:val="00156CF9"/>
    <w:rsid w:val="00160B80"/>
    <w:rsid w:val="00161D32"/>
    <w:rsid w:val="00163BE8"/>
    <w:rsid w:val="00164A9C"/>
    <w:rsid w:val="00165A3C"/>
    <w:rsid w:val="00165F2D"/>
    <w:rsid w:val="00166694"/>
    <w:rsid w:val="00167DB8"/>
    <w:rsid w:val="0017128A"/>
    <w:rsid w:val="00171455"/>
    <w:rsid w:val="001715A0"/>
    <w:rsid w:val="00171621"/>
    <w:rsid w:val="00172506"/>
    <w:rsid w:val="001738B4"/>
    <w:rsid w:val="001743BA"/>
    <w:rsid w:val="00174FE9"/>
    <w:rsid w:val="00175244"/>
    <w:rsid w:val="001756D9"/>
    <w:rsid w:val="001757D5"/>
    <w:rsid w:val="001758B5"/>
    <w:rsid w:val="00175BBB"/>
    <w:rsid w:val="00175E25"/>
    <w:rsid w:val="00176716"/>
    <w:rsid w:val="00176BAB"/>
    <w:rsid w:val="00176C4A"/>
    <w:rsid w:val="0017711F"/>
    <w:rsid w:val="001776A3"/>
    <w:rsid w:val="00177DE1"/>
    <w:rsid w:val="00182C26"/>
    <w:rsid w:val="00182F8E"/>
    <w:rsid w:val="0018347F"/>
    <w:rsid w:val="00184CEE"/>
    <w:rsid w:val="00185F33"/>
    <w:rsid w:val="001860C4"/>
    <w:rsid w:val="00186524"/>
    <w:rsid w:val="00186942"/>
    <w:rsid w:val="00186BCC"/>
    <w:rsid w:val="00187586"/>
    <w:rsid w:val="00187827"/>
    <w:rsid w:val="001908AE"/>
    <w:rsid w:val="0019153B"/>
    <w:rsid w:val="00191EA6"/>
    <w:rsid w:val="0019332F"/>
    <w:rsid w:val="001937E8"/>
    <w:rsid w:val="00193A25"/>
    <w:rsid w:val="00193AE1"/>
    <w:rsid w:val="00194D03"/>
    <w:rsid w:val="00195835"/>
    <w:rsid w:val="00195B2B"/>
    <w:rsid w:val="001965AF"/>
    <w:rsid w:val="001967EE"/>
    <w:rsid w:val="00197169"/>
    <w:rsid w:val="00197D4F"/>
    <w:rsid w:val="00197F19"/>
    <w:rsid w:val="001A1177"/>
    <w:rsid w:val="001A12E6"/>
    <w:rsid w:val="001A147E"/>
    <w:rsid w:val="001A176C"/>
    <w:rsid w:val="001A1C5C"/>
    <w:rsid w:val="001A34F1"/>
    <w:rsid w:val="001A3996"/>
    <w:rsid w:val="001A3B77"/>
    <w:rsid w:val="001A3EB4"/>
    <w:rsid w:val="001A45E3"/>
    <w:rsid w:val="001A4BA0"/>
    <w:rsid w:val="001A588E"/>
    <w:rsid w:val="001A5BDA"/>
    <w:rsid w:val="001A60F8"/>
    <w:rsid w:val="001A7A5C"/>
    <w:rsid w:val="001B0587"/>
    <w:rsid w:val="001B0F3F"/>
    <w:rsid w:val="001B199C"/>
    <w:rsid w:val="001B19F4"/>
    <w:rsid w:val="001B1D3A"/>
    <w:rsid w:val="001B2EFE"/>
    <w:rsid w:val="001B2F06"/>
    <w:rsid w:val="001B3A70"/>
    <w:rsid w:val="001B4ACA"/>
    <w:rsid w:val="001B53A3"/>
    <w:rsid w:val="001B559E"/>
    <w:rsid w:val="001B725D"/>
    <w:rsid w:val="001B7416"/>
    <w:rsid w:val="001B74AC"/>
    <w:rsid w:val="001B7824"/>
    <w:rsid w:val="001C2848"/>
    <w:rsid w:val="001C2FC6"/>
    <w:rsid w:val="001C3141"/>
    <w:rsid w:val="001C3C0C"/>
    <w:rsid w:val="001C3E6C"/>
    <w:rsid w:val="001C6408"/>
    <w:rsid w:val="001C6AE8"/>
    <w:rsid w:val="001C740C"/>
    <w:rsid w:val="001C7C73"/>
    <w:rsid w:val="001D1836"/>
    <w:rsid w:val="001D19E0"/>
    <w:rsid w:val="001D2541"/>
    <w:rsid w:val="001D31B1"/>
    <w:rsid w:val="001D5278"/>
    <w:rsid w:val="001D615B"/>
    <w:rsid w:val="001D6DEE"/>
    <w:rsid w:val="001D78F5"/>
    <w:rsid w:val="001E003B"/>
    <w:rsid w:val="001E091B"/>
    <w:rsid w:val="001E0CE3"/>
    <w:rsid w:val="001E0E8D"/>
    <w:rsid w:val="001E11E3"/>
    <w:rsid w:val="001E12BA"/>
    <w:rsid w:val="001E1A79"/>
    <w:rsid w:val="001E1F08"/>
    <w:rsid w:val="001E1F3E"/>
    <w:rsid w:val="001E1FC1"/>
    <w:rsid w:val="001E30BD"/>
    <w:rsid w:val="001E481A"/>
    <w:rsid w:val="001E58E3"/>
    <w:rsid w:val="001E674F"/>
    <w:rsid w:val="001E7C4C"/>
    <w:rsid w:val="001E7CE8"/>
    <w:rsid w:val="001F561E"/>
    <w:rsid w:val="001F6471"/>
    <w:rsid w:val="00200E1D"/>
    <w:rsid w:val="0020132C"/>
    <w:rsid w:val="00201809"/>
    <w:rsid w:val="00202B0B"/>
    <w:rsid w:val="002033ED"/>
    <w:rsid w:val="002038A5"/>
    <w:rsid w:val="00203A43"/>
    <w:rsid w:val="00203AD9"/>
    <w:rsid w:val="00204DEC"/>
    <w:rsid w:val="002053E2"/>
    <w:rsid w:val="0020552E"/>
    <w:rsid w:val="00207084"/>
    <w:rsid w:val="00207140"/>
    <w:rsid w:val="00211171"/>
    <w:rsid w:val="00212B81"/>
    <w:rsid w:val="00213426"/>
    <w:rsid w:val="00213F1B"/>
    <w:rsid w:val="0021478F"/>
    <w:rsid w:val="00214B7A"/>
    <w:rsid w:val="00215A52"/>
    <w:rsid w:val="00216039"/>
    <w:rsid w:val="00217D1D"/>
    <w:rsid w:val="00217DE8"/>
    <w:rsid w:val="00222DD6"/>
    <w:rsid w:val="00222E9C"/>
    <w:rsid w:val="00223A23"/>
    <w:rsid w:val="00224B62"/>
    <w:rsid w:val="00225A04"/>
    <w:rsid w:val="00225BAE"/>
    <w:rsid w:val="00225D11"/>
    <w:rsid w:val="00225DC9"/>
    <w:rsid w:val="00226FBF"/>
    <w:rsid w:val="00227C13"/>
    <w:rsid w:val="00231312"/>
    <w:rsid w:val="00231866"/>
    <w:rsid w:val="00231F53"/>
    <w:rsid w:val="002342D0"/>
    <w:rsid w:val="00234478"/>
    <w:rsid w:val="00235237"/>
    <w:rsid w:val="00235963"/>
    <w:rsid w:val="002403CB"/>
    <w:rsid w:val="00240A3C"/>
    <w:rsid w:val="00241843"/>
    <w:rsid w:val="00241ECE"/>
    <w:rsid w:val="00241EED"/>
    <w:rsid w:val="0024270A"/>
    <w:rsid w:val="00243DC3"/>
    <w:rsid w:val="002456C1"/>
    <w:rsid w:val="0024587C"/>
    <w:rsid w:val="00245A4A"/>
    <w:rsid w:val="00245CB5"/>
    <w:rsid w:val="00246780"/>
    <w:rsid w:val="002470CC"/>
    <w:rsid w:val="002470E4"/>
    <w:rsid w:val="00247343"/>
    <w:rsid w:val="002505D5"/>
    <w:rsid w:val="0025085B"/>
    <w:rsid w:val="00250C8A"/>
    <w:rsid w:val="00250DA0"/>
    <w:rsid w:val="002513B4"/>
    <w:rsid w:val="00252B56"/>
    <w:rsid w:val="00252DDE"/>
    <w:rsid w:val="0025669A"/>
    <w:rsid w:val="0025686D"/>
    <w:rsid w:val="00256E23"/>
    <w:rsid w:val="00257537"/>
    <w:rsid w:val="00257718"/>
    <w:rsid w:val="002577A7"/>
    <w:rsid w:val="00257D2F"/>
    <w:rsid w:val="002628EC"/>
    <w:rsid w:val="00263843"/>
    <w:rsid w:val="002638AA"/>
    <w:rsid w:val="002661BD"/>
    <w:rsid w:val="0026631F"/>
    <w:rsid w:val="002700B3"/>
    <w:rsid w:val="002705AB"/>
    <w:rsid w:val="00270B2D"/>
    <w:rsid w:val="00271E4E"/>
    <w:rsid w:val="002725D1"/>
    <w:rsid w:val="00272727"/>
    <w:rsid w:val="002728DB"/>
    <w:rsid w:val="00272A55"/>
    <w:rsid w:val="00272BA7"/>
    <w:rsid w:val="00273FB7"/>
    <w:rsid w:val="0027497B"/>
    <w:rsid w:val="00275524"/>
    <w:rsid w:val="00275855"/>
    <w:rsid w:val="00276714"/>
    <w:rsid w:val="002773AF"/>
    <w:rsid w:val="002774B7"/>
    <w:rsid w:val="002776EE"/>
    <w:rsid w:val="00280146"/>
    <w:rsid w:val="00280464"/>
    <w:rsid w:val="00280701"/>
    <w:rsid w:val="0028115B"/>
    <w:rsid w:val="00282EEB"/>
    <w:rsid w:val="00283850"/>
    <w:rsid w:val="00283FFD"/>
    <w:rsid w:val="002843A1"/>
    <w:rsid w:val="00284B56"/>
    <w:rsid w:val="00286EE7"/>
    <w:rsid w:val="00290420"/>
    <w:rsid w:val="002906D2"/>
    <w:rsid w:val="002939A1"/>
    <w:rsid w:val="00294693"/>
    <w:rsid w:val="002950A4"/>
    <w:rsid w:val="0029542B"/>
    <w:rsid w:val="002954CE"/>
    <w:rsid w:val="002962B4"/>
    <w:rsid w:val="002965D0"/>
    <w:rsid w:val="00296A09"/>
    <w:rsid w:val="002A01EB"/>
    <w:rsid w:val="002A09F1"/>
    <w:rsid w:val="002A1ACF"/>
    <w:rsid w:val="002A1EE3"/>
    <w:rsid w:val="002A24EF"/>
    <w:rsid w:val="002A4761"/>
    <w:rsid w:val="002A50F8"/>
    <w:rsid w:val="002A5387"/>
    <w:rsid w:val="002A5EE4"/>
    <w:rsid w:val="002A6220"/>
    <w:rsid w:val="002A69B9"/>
    <w:rsid w:val="002A6E89"/>
    <w:rsid w:val="002A7CFD"/>
    <w:rsid w:val="002B1D3C"/>
    <w:rsid w:val="002B1D70"/>
    <w:rsid w:val="002B1D98"/>
    <w:rsid w:val="002B20C9"/>
    <w:rsid w:val="002B4BEC"/>
    <w:rsid w:val="002B5750"/>
    <w:rsid w:val="002B5CAE"/>
    <w:rsid w:val="002B650E"/>
    <w:rsid w:val="002B6706"/>
    <w:rsid w:val="002B724D"/>
    <w:rsid w:val="002B78E8"/>
    <w:rsid w:val="002C0408"/>
    <w:rsid w:val="002C0AA6"/>
    <w:rsid w:val="002C132D"/>
    <w:rsid w:val="002C1B9F"/>
    <w:rsid w:val="002C31E8"/>
    <w:rsid w:val="002C4031"/>
    <w:rsid w:val="002C46A2"/>
    <w:rsid w:val="002C5637"/>
    <w:rsid w:val="002C6EB8"/>
    <w:rsid w:val="002C7D6B"/>
    <w:rsid w:val="002D04AD"/>
    <w:rsid w:val="002D0880"/>
    <w:rsid w:val="002D3824"/>
    <w:rsid w:val="002D3B64"/>
    <w:rsid w:val="002D4DCD"/>
    <w:rsid w:val="002D6CDE"/>
    <w:rsid w:val="002D7788"/>
    <w:rsid w:val="002D7B8A"/>
    <w:rsid w:val="002D7DE9"/>
    <w:rsid w:val="002E1DE7"/>
    <w:rsid w:val="002E1EFD"/>
    <w:rsid w:val="002E2870"/>
    <w:rsid w:val="002E302A"/>
    <w:rsid w:val="002E3591"/>
    <w:rsid w:val="002E455D"/>
    <w:rsid w:val="002E5008"/>
    <w:rsid w:val="002E526A"/>
    <w:rsid w:val="002E54BA"/>
    <w:rsid w:val="002E5D62"/>
    <w:rsid w:val="002E6003"/>
    <w:rsid w:val="002E6454"/>
    <w:rsid w:val="002F00C6"/>
    <w:rsid w:val="002F0E01"/>
    <w:rsid w:val="002F0E4A"/>
    <w:rsid w:val="002F2699"/>
    <w:rsid w:val="002F340F"/>
    <w:rsid w:val="002F3C4A"/>
    <w:rsid w:val="002F3CE2"/>
    <w:rsid w:val="002F4B0E"/>
    <w:rsid w:val="002F66B1"/>
    <w:rsid w:val="002F7915"/>
    <w:rsid w:val="00301855"/>
    <w:rsid w:val="00302D44"/>
    <w:rsid w:val="00303770"/>
    <w:rsid w:val="0030550C"/>
    <w:rsid w:val="00305B7B"/>
    <w:rsid w:val="00305DF9"/>
    <w:rsid w:val="00305FA2"/>
    <w:rsid w:val="00305FD5"/>
    <w:rsid w:val="00310589"/>
    <w:rsid w:val="00310A17"/>
    <w:rsid w:val="00310A71"/>
    <w:rsid w:val="003116EE"/>
    <w:rsid w:val="00311A91"/>
    <w:rsid w:val="00312770"/>
    <w:rsid w:val="003140D8"/>
    <w:rsid w:val="00314285"/>
    <w:rsid w:val="00317F28"/>
    <w:rsid w:val="00321AEE"/>
    <w:rsid w:val="00321C8C"/>
    <w:rsid w:val="00321D72"/>
    <w:rsid w:val="00321D98"/>
    <w:rsid w:val="0032217F"/>
    <w:rsid w:val="00322657"/>
    <w:rsid w:val="00323A2A"/>
    <w:rsid w:val="00323F18"/>
    <w:rsid w:val="00324038"/>
    <w:rsid w:val="0032415B"/>
    <w:rsid w:val="00324187"/>
    <w:rsid w:val="00324858"/>
    <w:rsid w:val="003251E4"/>
    <w:rsid w:val="00326ED3"/>
    <w:rsid w:val="00327159"/>
    <w:rsid w:val="003278B6"/>
    <w:rsid w:val="00327B8F"/>
    <w:rsid w:val="00327ED6"/>
    <w:rsid w:val="00331BCD"/>
    <w:rsid w:val="00331DDF"/>
    <w:rsid w:val="00332C6E"/>
    <w:rsid w:val="003334D9"/>
    <w:rsid w:val="003354A4"/>
    <w:rsid w:val="00335884"/>
    <w:rsid w:val="003359E7"/>
    <w:rsid w:val="003368D3"/>
    <w:rsid w:val="00337CAD"/>
    <w:rsid w:val="00341436"/>
    <w:rsid w:val="003457FB"/>
    <w:rsid w:val="00345F09"/>
    <w:rsid w:val="00346372"/>
    <w:rsid w:val="00350DD1"/>
    <w:rsid w:val="00350E05"/>
    <w:rsid w:val="00352809"/>
    <w:rsid w:val="0035320E"/>
    <w:rsid w:val="00353A3C"/>
    <w:rsid w:val="00354E0C"/>
    <w:rsid w:val="00354FC9"/>
    <w:rsid w:val="00355CFA"/>
    <w:rsid w:val="00356DE5"/>
    <w:rsid w:val="003602E7"/>
    <w:rsid w:val="00360BF9"/>
    <w:rsid w:val="00360C74"/>
    <w:rsid w:val="00363FEA"/>
    <w:rsid w:val="00364B58"/>
    <w:rsid w:val="00365149"/>
    <w:rsid w:val="00365435"/>
    <w:rsid w:val="0036543B"/>
    <w:rsid w:val="00365F84"/>
    <w:rsid w:val="00366775"/>
    <w:rsid w:val="00366A9C"/>
    <w:rsid w:val="00367FBB"/>
    <w:rsid w:val="00370316"/>
    <w:rsid w:val="00371235"/>
    <w:rsid w:val="00371773"/>
    <w:rsid w:val="00371B9A"/>
    <w:rsid w:val="00372E83"/>
    <w:rsid w:val="0037308D"/>
    <w:rsid w:val="00373208"/>
    <w:rsid w:val="003734E6"/>
    <w:rsid w:val="003738B9"/>
    <w:rsid w:val="00374143"/>
    <w:rsid w:val="0037429A"/>
    <w:rsid w:val="00380B24"/>
    <w:rsid w:val="0038144E"/>
    <w:rsid w:val="00382422"/>
    <w:rsid w:val="003828AA"/>
    <w:rsid w:val="0038353E"/>
    <w:rsid w:val="003836F9"/>
    <w:rsid w:val="00383C80"/>
    <w:rsid w:val="00383FD9"/>
    <w:rsid w:val="00385484"/>
    <w:rsid w:val="00385BE3"/>
    <w:rsid w:val="00385F69"/>
    <w:rsid w:val="00390C0F"/>
    <w:rsid w:val="00390D50"/>
    <w:rsid w:val="00393BB2"/>
    <w:rsid w:val="00394002"/>
    <w:rsid w:val="0039510C"/>
    <w:rsid w:val="003955F3"/>
    <w:rsid w:val="00395943"/>
    <w:rsid w:val="00396BD3"/>
    <w:rsid w:val="003971E7"/>
    <w:rsid w:val="003A00DE"/>
    <w:rsid w:val="003A0ACE"/>
    <w:rsid w:val="003A141D"/>
    <w:rsid w:val="003A2D9F"/>
    <w:rsid w:val="003A4435"/>
    <w:rsid w:val="003A5E96"/>
    <w:rsid w:val="003A6289"/>
    <w:rsid w:val="003A6490"/>
    <w:rsid w:val="003A6DF4"/>
    <w:rsid w:val="003A6ED3"/>
    <w:rsid w:val="003B062F"/>
    <w:rsid w:val="003B211C"/>
    <w:rsid w:val="003B26E2"/>
    <w:rsid w:val="003B3875"/>
    <w:rsid w:val="003B5026"/>
    <w:rsid w:val="003B5D86"/>
    <w:rsid w:val="003B6BE9"/>
    <w:rsid w:val="003B6C80"/>
    <w:rsid w:val="003B722D"/>
    <w:rsid w:val="003B728F"/>
    <w:rsid w:val="003B7A25"/>
    <w:rsid w:val="003C0BE3"/>
    <w:rsid w:val="003C0F37"/>
    <w:rsid w:val="003C2DBA"/>
    <w:rsid w:val="003C30B5"/>
    <w:rsid w:val="003C33C4"/>
    <w:rsid w:val="003C340A"/>
    <w:rsid w:val="003C3DE4"/>
    <w:rsid w:val="003C3E07"/>
    <w:rsid w:val="003C499C"/>
    <w:rsid w:val="003C4B4B"/>
    <w:rsid w:val="003C58C4"/>
    <w:rsid w:val="003C6DF5"/>
    <w:rsid w:val="003D0331"/>
    <w:rsid w:val="003D0D10"/>
    <w:rsid w:val="003D184F"/>
    <w:rsid w:val="003D343C"/>
    <w:rsid w:val="003D3F52"/>
    <w:rsid w:val="003D4B31"/>
    <w:rsid w:val="003D4E80"/>
    <w:rsid w:val="003D5970"/>
    <w:rsid w:val="003D5D57"/>
    <w:rsid w:val="003D6515"/>
    <w:rsid w:val="003D6876"/>
    <w:rsid w:val="003D7148"/>
    <w:rsid w:val="003D79D7"/>
    <w:rsid w:val="003D7BBF"/>
    <w:rsid w:val="003E284C"/>
    <w:rsid w:val="003E33A1"/>
    <w:rsid w:val="003E42FF"/>
    <w:rsid w:val="003E4364"/>
    <w:rsid w:val="003E5090"/>
    <w:rsid w:val="003E53CB"/>
    <w:rsid w:val="003E5855"/>
    <w:rsid w:val="003E6CEA"/>
    <w:rsid w:val="003E7B3D"/>
    <w:rsid w:val="003F186D"/>
    <w:rsid w:val="003F18FF"/>
    <w:rsid w:val="003F24C2"/>
    <w:rsid w:val="003F36CB"/>
    <w:rsid w:val="003F4631"/>
    <w:rsid w:val="003F563C"/>
    <w:rsid w:val="003F5AEB"/>
    <w:rsid w:val="003F6363"/>
    <w:rsid w:val="003F737B"/>
    <w:rsid w:val="004010D6"/>
    <w:rsid w:val="0040175A"/>
    <w:rsid w:val="00402539"/>
    <w:rsid w:val="00403086"/>
    <w:rsid w:val="00403B4D"/>
    <w:rsid w:val="00405895"/>
    <w:rsid w:val="004072C9"/>
    <w:rsid w:val="00407E5D"/>
    <w:rsid w:val="00410371"/>
    <w:rsid w:val="0041042C"/>
    <w:rsid w:val="00410A76"/>
    <w:rsid w:val="004110F9"/>
    <w:rsid w:val="00411774"/>
    <w:rsid w:val="00411A84"/>
    <w:rsid w:val="004124A1"/>
    <w:rsid w:val="004127D3"/>
    <w:rsid w:val="00415F15"/>
    <w:rsid w:val="00416342"/>
    <w:rsid w:val="0041673F"/>
    <w:rsid w:val="00416D7B"/>
    <w:rsid w:val="0041703A"/>
    <w:rsid w:val="00417450"/>
    <w:rsid w:val="00420BC7"/>
    <w:rsid w:val="00421300"/>
    <w:rsid w:val="00422E23"/>
    <w:rsid w:val="004241F7"/>
    <w:rsid w:val="00424C87"/>
    <w:rsid w:val="00424CA0"/>
    <w:rsid w:val="00425A56"/>
    <w:rsid w:val="00426E7F"/>
    <w:rsid w:val="0043044C"/>
    <w:rsid w:val="004305F6"/>
    <w:rsid w:val="00430CD7"/>
    <w:rsid w:val="00430E89"/>
    <w:rsid w:val="004327EF"/>
    <w:rsid w:val="004328B6"/>
    <w:rsid w:val="00432E03"/>
    <w:rsid w:val="00432EDE"/>
    <w:rsid w:val="0043332F"/>
    <w:rsid w:val="004334FA"/>
    <w:rsid w:val="00434208"/>
    <w:rsid w:val="00434AFA"/>
    <w:rsid w:val="00435079"/>
    <w:rsid w:val="00435288"/>
    <w:rsid w:val="00435DF6"/>
    <w:rsid w:val="004367FB"/>
    <w:rsid w:val="004370AE"/>
    <w:rsid w:val="004404ED"/>
    <w:rsid w:val="00440627"/>
    <w:rsid w:val="00440A66"/>
    <w:rsid w:val="00441EB0"/>
    <w:rsid w:val="004421E1"/>
    <w:rsid w:val="004425B0"/>
    <w:rsid w:val="004432D0"/>
    <w:rsid w:val="00443DC7"/>
    <w:rsid w:val="004449F7"/>
    <w:rsid w:val="0044531B"/>
    <w:rsid w:val="00445435"/>
    <w:rsid w:val="0044555B"/>
    <w:rsid w:val="00445561"/>
    <w:rsid w:val="00445D6C"/>
    <w:rsid w:val="00447BA5"/>
    <w:rsid w:val="0045025A"/>
    <w:rsid w:val="00451BDD"/>
    <w:rsid w:val="00451D93"/>
    <w:rsid w:val="0045382D"/>
    <w:rsid w:val="00454396"/>
    <w:rsid w:val="004549A8"/>
    <w:rsid w:val="00454FF5"/>
    <w:rsid w:val="00460C03"/>
    <w:rsid w:val="00461100"/>
    <w:rsid w:val="00462AC4"/>
    <w:rsid w:val="00465860"/>
    <w:rsid w:val="004658FC"/>
    <w:rsid w:val="004661FB"/>
    <w:rsid w:val="00466634"/>
    <w:rsid w:val="00466757"/>
    <w:rsid w:val="00466954"/>
    <w:rsid w:val="004669E0"/>
    <w:rsid w:val="00467E60"/>
    <w:rsid w:val="004708BF"/>
    <w:rsid w:val="00474225"/>
    <w:rsid w:val="00477881"/>
    <w:rsid w:val="0048063A"/>
    <w:rsid w:val="0048074D"/>
    <w:rsid w:val="00481218"/>
    <w:rsid w:val="004818F7"/>
    <w:rsid w:val="004820FB"/>
    <w:rsid w:val="00482FCE"/>
    <w:rsid w:val="0048318A"/>
    <w:rsid w:val="004839F2"/>
    <w:rsid w:val="00484124"/>
    <w:rsid w:val="00485419"/>
    <w:rsid w:val="00485F5E"/>
    <w:rsid w:val="00486B2D"/>
    <w:rsid w:val="00490242"/>
    <w:rsid w:val="00491C9B"/>
    <w:rsid w:val="0049293C"/>
    <w:rsid w:val="00494E7F"/>
    <w:rsid w:val="00495437"/>
    <w:rsid w:val="0049749B"/>
    <w:rsid w:val="004A1B2D"/>
    <w:rsid w:val="004A1BFB"/>
    <w:rsid w:val="004A3474"/>
    <w:rsid w:val="004A3A5F"/>
    <w:rsid w:val="004A3EBD"/>
    <w:rsid w:val="004A49A4"/>
    <w:rsid w:val="004A4C02"/>
    <w:rsid w:val="004A6B5E"/>
    <w:rsid w:val="004A76D5"/>
    <w:rsid w:val="004A7FC8"/>
    <w:rsid w:val="004A7FE8"/>
    <w:rsid w:val="004B04D3"/>
    <w:rsid w:val="004B1705"/>
    <w:rsid w:val="004B1BC2"/>
    <w:rsid w:val="004B38F6"/>
    <w:rsid w:val="004B439F"/>
    <w:rsid w:val="004B54F6"/>
    <w:rsid w:val="004B597A"/>
    <w:rsid w:val="004B5B55"/>
    <w:rsid w:val="004B616C"/>
    <w:rsid w:val="004B6352"/>
    <w:rsid w:val="004B6B97"/>
    <w:rsid w:val="004B7357"/>
    <w:rsid w:val="004C1243"/>
    <w:rsid w:val="004C1483"/>
    <w:rsid w:val="004C1AAB"/>
    <w:rsid w:val="004C37A9"/>
    <w:rsid w:val="004C3E21"/>
    <w:rsid w:val="004C4139"/>
    <w:rsid w:val="004C5B85"/>
    <w:rsid w:val="004C5F2A"/>
    <w:rsid w:val="004D1C5E"/>
    <w:rsid w:val="004D2A60"/>
    <w:rsid w:val="004D335B"/>
    <w:rsid w:val="004D3A1E"/>
    <w:rsid w:val="004D41FC"/>
    <w:rsid w:val="004D4410"/>
    <w:rsid w:val="004D4695"/>
    <w:rsid w:val="004D4728"/>
    <w:rsid w:val="004D4A35"/>
    <w:rsid w:val="004D6293"/>
    <w:rsid w:val="004D697D"/>
    <w:rsid w:val="004E052F"/>
    <w:rsid w:val="004E0983"/>
    <w:rsid w:val="004E2067"/>
    <w:rsid w:val="004E27BB"/>
    <w:rsid w:val="004E34A3"/>
    <w:rsid w:val="004E37E3"/>
    <w:rsid w:val="004E3B58"/>
    <w:rsid w:val="004E5F62"/>
    <w:rsid w:val="004E7049"/>
    <w:rsid w:val="004F127F"/>
    <w:rsid w:val="004F2365"/>
    <w:rsid w:val="004F4485"/>
    <w:rsid w:val="004F4AA4"/>
    <w:rsid w:val="004F4FC7"/>
    <w:rsid w:val="004F549C"/>
    <w:rsid w:val="004F5A31"/>
    <w:rsid w:val="004F6642"/>
    <w:rsid w:val="004F7CD0"/>
    <w:rsid w:val="0050050E"/>
    <w:rsid w:val="005016B7"/>
    <w:rsid w:val="00501B5A"/>
    <w:rsid w:val="00503AF0"/>
    <w:rsid w:val="00503D21"/>
    <w:rsid w:val="00503F91"/>
    <w:rsid w:val="00505C56"/>
    <w:rsid w:val="00505FAF"/>
    <w:rsid w:val="00506321"/>
    <w:rsid w:val="005073A0"/>
    <w:rsid w:val="00507435"/>
    <w:rsid w:val="0050752D"/>
    <w:rsid w:val="00507E20"/>
    <w:rsid w:val="00510B88"/>
    <w:rsid w:val="00510D7C"/>
    <w:rsid w:val="00511538"/>
    <w:rsid w:val="00511E8B"/>
    <w:rsid w:val="00512088"/>
    <w:rsid w:val="00512436"/>
    <w:rsid w:val="00515858"/>
    <w:rsid w:val="00516B03"/>
    <w:rsid w:val="00516CDD"/>
    <w:rsid w:val="00517CA8"/>
    <w:rsid w:val="00517E99"/>
    <w:rsid w:val="005203BE"/>
    <w:rsid w:val="005219BE"/>
    <w:rsid w:val="00522025"/>
    <w:rsid w:val="005230AC"/>
    <w:rsid w:val="00523FDA"/>
    <w:rsid w:val="0052498F"/>
    <w:rsid w:val="0052528E"/>
    <w:rsid w:val="005253A4"/>
    <w:rsid w:val="005259F2"/>
    <w:rsid w:val="00530049"/>
    <w:rsid w:val="00530253"/>
    <w:rsid w:val="00530E01"/>
    <w:rsid w:val="005313DB"/>
    <w:rsid w:val="00531716"/>
    <w:rsid w:val="00531F4F"/>
    <w:rsid w:val="005329BB"/>
    <w:rsid w:val="005335BE"/>
    <w:rsid w:val="005336D2"/>
    <w:rsid w:val="00533A40"/>
    <w:rsid w:val="00534E27"/>
    <w:rsid w:val="005350B2"/>
    <w:rsid w:val="00535352"/>
    <w:rsid w:val="00535AE7"/>
    <w:rsid w:val="0053640A"/>
    <w:rsid w:val="00537B0C"/>
    <w:rsid w:val="005404B5"/>
    <w:rsid w:val="00540A59"/>
    <w:rsid w:val="005433A3"/>
    <w:rsid w:val="00543E54"/>
    <w:rsid w:val="005458D2"/>
    <w:rsid w:val="00546934"/>
    <w:rsid w:val="00547BD9"/>
    <w:rsid w:val="00551A19"/>
    <w:rsid w:val="00551DB2"/>
    <w:rsid w:val="00552F50"/>
    <w:rsid w:val="00553BA1"/>
    <w:rsid w:val="00554A8F"/>
    <w:rsid w:val="00555185"/>
    <w:rsid w:val="00555637"/>
    <w:rsid w:val="005559DE"/>
    <w:rsid w:val="005564BE"/>
    <w:rsid w:val="005608CF"/>
    <w:rsid w:val="005608D5"/>
    <w:rsid w:val="0056112D"/>
    <w:rsid w:val="00561894"/>
    <w:rsid w:val="00562CCF"/>
    <w:rsid w:val="00566170"/>
    <w:rsid w:val="005666A2"/>
    <w:rsid w:val="00567242"/>
    <w:rsid w:val="005675DD"/>
    <w:rsid w:val="00567E4B"/>
    <w:rsid w:val="00567EA3"/>
    <w:rsid w:val="00570EE4"/>
    <w:rsid w:val="0057101C"/>
    <w:rsid w:val="00572367"/>
    <w:rsid w:val="00573842"/>
    <w:rsid w:val="005740E0"/>
    <w:rsid w:val="00574863"/>
    <w:rsid w:val="00575269"/>
    <w:rsid w:val="0057598C"/>
    <w:rsid w:val="00575B50"/>
    <w:rsid w:val="00576D92"/>
    <w:rsid w:val="005774A0"/>
    <w:rsid w:val="00577C1B"/>
    <w:rsid w:val="00581D9D"/>
    <w:rsid w:val="00581EB0"/>
    <w:rsid w:val="00582557"/>
    <w:rsid w:val="00582879"/>
    <w:rsid w:val="005828CE"/>
    <w:rsid w:val="0058326D"/>
    <w:rsid w:val="00583B13"/>
    <w:rsid w:val="005849BB"/>
    <w:rsid w:val="005854EE"/>
    <w:rsid w:val="00587EC4"/>
    <w:rsid w:val="00590960"/>
    <w:rsid w:val="00591625"/>
    <w:rsid w:val="00592F90"/>
    <w:rsid w:val="00593690"/>
    <w:rsid w:val="00594AAE"/>
    <w:rsid w:val="00594DFF"/>
    <w:rsid w:val="00594E9A"/>
    <w:rsid w:val="00597678"/>
    <w:rsid w:val="00597D1D"/>
    <w:rsid w:val="00597E9E"/>
    <w:rsid w:val="005A06F0"/>
    <w:rsid w:val="005A1445"/>
    <w:rsid w:val="005A1707"/>
    <w:rsid w:val="005A1E16"/>
    <w:rsid w:val="005A3135"/>
    <w:rsid w:val="005A435D"/>
    <w:rsid w:val="005A4A6E"/>
    <w:rsid w:val="005A5C27"/>
    <w:rsid w:val="005A7439"/>
    <w:rsid w:val="005A7921"/>
    <w:rsid w:val="005B0507"/>
    <w:rsid w:val="005B05A3"/>
    <w:rsid w:val="005B0805"/>
    <w:rsid w:val="005B1B6F"/>
    <w:rsid w:val="005B22AF"/>
    <w:rsid w:val="005B40BF"/>
    <w:rsid w:val="005B5729"/>
    <w:rsid w:val="005B7565"/>
    <w:rsid w:val="005B760E"/>
    <w:rsid w:val="005C04CA"/>
    <w:rsid w:val="005C0A4C"/>
    <w:rsid w:val="005C0D96"/>
    <w:rsid w:val="005C1377"/>
    <w:rsid w:val="005C2D0C"/>
    <w:rsid w:val="005C2FD7"/>
    <w:rsid w:val="005C32A6"/>
    <w:rsid w:val="005C33CD"/>
    <w:rsid w:val="005C6971"/>
    <w:rsid w:val="005C6CF1"/>
    <w:rsid w:val="005C725A"/>
    <w:rsid w:val="005D01CF"/>
    <w:rsid w:val="005D0419"/>
    <w:rsid w:val="005D0946"/>
    <w:rsid w:val="005D0A6E"/>
    <w:rsid w:val="005D10C1"/>
    <w:rsid w:val="005D14B7"/>
    <w:rsid w:val="005D2776"/>
    <w:rsid w:val="005D341C"/>
    <w:rsid w:val="005D3653"/>
    <w:rsid w:val="005D42E6"/>
    <w:rsid w:val="005D4EF3"/>
    <w:rsid w:val="005D6914"/>
    <w:rsid w:val="005D6AFD"/>
    <w:rsid w:val="005D6BDD"/>
    <w:rsid w:val="005D6C9C"/>
    <w:rsid w:val="005D6CDC"/>
    <w:rsid w:val="005D6E35"/>
    <w:rsid w:val="005D790D"/>
    <w:rsid w:val="005D7FB1"/>
    <w:rsid w:val="005E0732"/>
    <w:rsid w:val="005E10C6"/>
    <w:rsid w:val="005E2C5F"/>
    <w:rsid w:val="005E2C99"/>
    <w:rsid w:val="005E3815"/>
    <w:rsid w:val="005E395C"/>
    <w:rsid w:val="005E4088"/>
    <w:rsid w:val="005E48BA"/>
    <w:rsid w:val="005E59D1"/>
    <w:rsid w:val="005E5E28"/>
    <w:rsid w:val="005F0DA4"/>
    <w:rsid w:val="005F116D"/>
    <w:rsid w:val="005F1961"/>
    <w:rsid w:val="005F1EA9"/>
    <w:rsid w:val="005F25FF"/>
    <w:rsid w:val="005F3F78"/>
    <w:rsid w:val="005F4611"/>
    <w:rsid w:val="005F4A4F"/>
    <w:rsid w:val="005F5530"/>
    <w:rsid w:val="005F5BAA"/>
    <w:rsid w:val="005F70EE"/>
    <w:rsid w:val="005F7B5B"/>
    <w:rsid w:val="006003B0"/>
    <w:rsid w:val="00600D11"/>
    <w:rsid w:val="006013C2"/>
    <w:rsid w:val="00601741"/>
    <w:rsid w:val="00602EC5"/>
    <w:rsid w:val="006033B8"/>
    <w:rsid w:val="00603A2C"/>
    <w:rsid w:val="00603A89"/>
    <w:rsid w:val="006060A6"/>
    <w:rsid w:val="00606B17"/>
    <w:rsid w:val="00606D5A"/>
    <w:rsid w:val="0060762B"/>
    <w:rsid w:val="006102FA"/>
    <w:rsid w:val="00610664"/>
    <w:rsid w:val="00610C96"/>
    <w:rsid w:val="00610FAF"/>
    <w:rsid w:val="006111C5"/>
    <w:rsid w:val="0061202D"/>
    <w:rsid w:val="00612346"/>
    <w:rsid w:val="0061485A"/>
    <w:rsid w:val="00617138"/>
    <w:rsid w:val="00620123"/>
    <w:rsid w:val="0062032A"/>
    <w:rsid w:val="006209CD"/>
    <w:rsid w:val="00620C37"/>
    <w:rsid w:val="00620CED"/>
    <w:rsid w:val="00620EF9"/>
    <w:rsid w:val="00621036"/>
    <w:rsid w:val="00622A01"/>
    <w:rsid w:val="006233F6"/>
    <w:rsid w:val="0062349B"/>
    <w:rsid w:val="006234F8"/>
    <w:rsid w:val="00623728"/>
    <w:rsid w:val="00623A1D"/>
    <w:rsid w:val="00623A35"/>
    <w:rsid w:val="00623DE7"/>
    <w:rsid w:val="0062425E"/>
    <w:rsid w:val="006250EC"/>
    <w:rsid w:val="00625AF9"/>
    <w:rsid w:val="00626320"/>
    <w:rsid w:val="00626520"/>
    <w:rsid w:val="00627BA6"/>
    <w:rsid w:val="006310AC"/>
    <w:rsid w:val="0063115F"/>
    <w:rsid w:val="006326B7"/>
    <w:rsid w:val="00634796"/>
    <w:rsid w:val="00635319"/>
    <w:rsid w:val="00635422"/>
    <w:rsid w:val="00636BB4"/>
    <w:rsid w:val="00636DD7"/>
    <w:rsid w:val="0063743E"/>
    <w:rsid w:val="00640241"/>
    <w:rsid w:val="0064063F"/>
    <w:rsid w:val="00640868"/>
    <w:rsid w:val="00641664"/>
    <w:rsid w:val="00641BE9"/>
    <w:rsid w:val="006430A6"/>
    <w:rsid w:val="00643369"/>
    <w:rsid w:val="00643D10"/>
    <w:rsid w:val="00644366"/>
    <w:rsid w:val="00644A5C"/>
    <w:rsid w:val="00644AE9"/>
    <w:rsid w:val="006452EA"/>
    <w:rsid w:val="00645A16"/>
    <w:rsid w:val="006469BE"/>
    <w:rsid w:val="00646A7D"/>
    <w:rsid w:val="00646F36"/>
    <w:rsid w:val="00647214"/>
    <w:rsid w:val="00647724"/>
    <w:rsid w:val="00647BF9"/>
    <w:rsid w:val="006506EA"/>
    <w:rsid w:val="00650C05"/>
    <w:rsid w:val="00651101"/>
    <w:rsid w:val="00651510"/>
    <w:rsid w:val="006520AD"/>
    <w:rsid w:val="00655249"/>
    <w:rsid w:val="00655506"/>
    <w:rsid w:val="00655C86"/>
    <w:rsid w:val="00655E3D"/>
    <w:rsid w:val="006565BC"/>
    <w:rsid w:val="006572F3"/>
    <w:rsid w:val="00660763"/>
    <w:rsid w:val="006611A0"/>
    <w:rsid w:val="00661287"/>
    <w:rsid w:val="0066135F"/>
    <w:rsid w:val="0066181B"/>
    <w:rsid w:val="00661946"/>
    <w:rsid w:val="00661CE4"/>
    <w:rsid w:val="006624A4"/>
    <w:rsid w:val="00662B48"/>
    <w:rsid w:val="0066350A"/>
    <w:rsid w:val="006648E2"/>
    <w:rsid w:val="00664D02"/>
    <w:rsid w:val="0066542D"/>
    <w:rsid w:val="006656D7"/>
    <w:rsid w:val="0066576A"/>
    <w:rsid w:val="00665D13"/>
    <w:rsid w:val="0066629B"/>
    <w:rsid w:val="006668F0"/>
    <w:rsid w:val="00666901"/>
    <w:rsid w:val="00667383"/>
    <w:rsid w:val="00667A9E"/>
    <w:rsid w:val="00670427"/>
    <w:rsid w:val="0067103B"/>
    <w:rsid w:val="006727B3"/>
    <w:rsid w:val="0067284E"/>
    <w:rsid w:val="00672A0F"/>
    <w:rsid w:val="00672B70"/>
    <w:rsid w:val="006733E5"/>
    <w:rsid w:val="006765D7"/>
    <w:rsid w:val="00676DC1"/>
    <w:rsid w:val="0067797E"/>
    <w:rsid w:val="00677FCF"/>
    <w:rsid w:val="0068000B"/>
    <w:rsid w:val="00681105"/>
    <w:rsid w:val="0068336F"/>
    <w:rsid w:val="006837AC"/>
    <w:rsid w:val="00683CE7"/>
    <w:rsid w:val="00684103"/>
    <w:rsid w:val="00684E55"/>
    <w:rsid w:val="00686965"/>
    <w:rsid w:val="00686BED"/>
    <w:rsid w:val="0068727E"/>
    <w:rsid w:val="006907EB"/>
    <w:rsid w:val="00690A80"/>
    <w:rsid w:val="00693249"/>
    <w:rsid w:val="00694109"/>
    <w:rsid w:val="0069424B"/>
    <w:rsid w:val="006950B1"/>
    <w:rsid w:val="0069788B"/>
    <w:rsid w:val="006A013B"/>
    <w:rsid w:val="006A07C6"/>
    <w:rsid w:val="006A0CEB"/>
    <w:rsid w:val="006A1C4E"/>
    <w:rsid w:val="006A25D1"/>
    <w:rsid w:val="006A3074"/>
    <w:rsid w:val="006A36DD"/>
    <w:rsid w:val="006A4700"/>
    <w:rsid w:val="006A4B9E"/>
    <w:rsid w:val="006A517F"/>
    <w:rsid w:val="006A5607"/>
    <w:rsid w:val="006A60C5"/>
    <w:rsid w:val="006A62C2"/>
    <w:rsid w:val="006A6E85"/>
    <w:rsid w:val="006A7451"/>
    <w:rsid w:val="006A799D"/>
    <w:rsid w:val="006B017F"/>
    <w:rsid w:val="006B0B91"/>
    <w:rsid w:val="006B157E"/>
    <w:rsid w:val="006B4510"/>
    <w:rsid w:val="006B45EC"/>
    <w:rsid w:val="006B60D6"/>
    <w:rsid w:val="006B6A94"/>
    <w:rsid w:val="006B7B16"/>
    <w:rsid w:val="006C11F0"/>
    <w:rsid w:val="006C12DA"/>
    <w:rsid w:val="006C17B9"/>
    <w:rsid w:val="006C24D9"/>
    <w:rsid w:val="006C3110"/>
    <w:rsid w:val="006C3A21"/>
    <w:rsid w:val="006C3ED1"/>
    <w:rsid w:val="006C40C8"/>
    <w:rsid w:val="006C4E06"/>
    <w:rsid w:val="006C5022"/>
    <w:rsid w:val="006C5207"/>
    <w:rsid w:val="006C555E"/>
    <w:rsid w:val="006C6181"/>
    <w:rsid w:val="006D041C"/>
    <w:rsid w:val="006D42F1"/>
    <w:rsid w:val="006D45C3"/>
    <w:rsid w:val="006D4C64"/>
    <w:rsid w:val="006D4F9C"/>
    <w:rsid w:val="006D5758"/>
    <w:rsid w:val="006D6380"/>
    <w:rsid w:val="006E0513"/>
    <w:rsid w:val="006E341E"/>
    <w:rsid w:val="006E43E5"/>
    <w:rsid w:val="006E4980"/>
    <w:rsid w:val="006E4BA0"/>
    <w:rsid w:val="006E5A4A"/>
    <w:rsid w:val="006E6298"/>
    <w:rsid w:val="006E6A6E"/>
    <w:rsid w:val="006F0B6B"/>
    <w:rsid w:val="006F21BD"/>
    <w:rsid w:val="006F2247"/>
    <w:rsid w:val="006F2936"/>
    <w:rsid w:val="006F3F42"/>
    <w:rsid w:val="006F4933"/>
    <w:rsid w:val="006F6777"/>
    <w:rsid w:val="006F775D"/>
    <w:rsid w:val="0070050C"/>
    <w:rsid w:val="00700FD8"/>
    <w:rsid w:val="00701665"/>
    <w:rsid w:val="00701C18"/>
    <w:rsid w:val="00703696"/>
    <w:rsid w:val="00704589"/>
    <w:rsid w:val="0070629D"/>
    <w:rsid w:val="007066E4"/>
    <w:rsid w:val="00706BE3"/>
    <w:rsid w:val="00707026"/>
    <w:rsid w:val="00707E57"/>
    <w:rsid w:val="00716462"/>
    <w:rsid w:val="00717506"/>
    <w:rsid w:val="007177E4"/>
    <w:rsid w:val="00720A58"/>
    <w:rsid w:val="00721181"/>
    <w:rsid w:val="007214A6"/>
    <w:rsid w:val="00721D2E"/>
    <w:rsid w:val="007222DE"/>
    <w:rsid w:val="007227EB"/>
    <w:rsid w:val="007227FA"/>
    <w:rsid w:val="00722987"/>
    <w:rsid w:val="007232D4"/>
    <w:rsid w:val="007242FA"/>
    <w:rsid w:val="00724A57"/>
    <w:rsid w:val="00724B06"/>
    <w:rsid w:val="0072675E"/>
    <w:rsid w:val="007269AA"/>
    <w:rsid w:val="00726B3D"/>
    <w:rsid w:val="00726FB3"/>
    <w:rsid w:val="00727083"/>
    <w:rsid w:val="00730E82"/>
    <w:rsid w:val="00730F0D"/>
    <w:rsid w:val="007311A8"/>
    <w:rsid w:val="00733050"/>
    <w:rsid w:val="00733181"/>
    <w:rsid w:val="00733F9F"/>
    <w:rsid w:val="00734503"/>
    <w:rsid w:val="00735D08"/>
    <w:rsid w:val="0073673A"/>
    <w:rsid w:val="007369A1"/>
    <w:rsid w:val="00736BB5"/>
    <w:rsid w:val="00737B3F"/>
    <w:rsid w:val="00740435"/>
    <w:rsid w:val="00740FD5"/>
    <w:rsid w:val="0074110F"/>
    <w:rsid w:val="00741260"/>
    <w:rsid w:val="00741614"/>
    <w:rsid w:val="00743985"/>
    <w:rsid w:val="00744C96"/>
    <w:rsid w:val="00745878"/>
    <w:rsid w:val="00745CD7"/>
    <w:rsid w:val="0074645C"/>
    <w:rsid w:val="007506E5"/>
    <w:rsid w:val="007507D4"/>
    <w:rsid w:val="00750F34"/>
    <w:rsid w:val="00751F53"/>
    <w:rsid w:val="0075294F"/>
    <w:rsid w:val="00753028"/>
    <w:rsid w:val="00753D1C"/>
    <w:rsid w:val="00753EB2"/>
    <w:rsid w:val="00754504"/>
    <w:rsid w:val="00754F3E"/>
    <w:rsid w:val="0075504A"/>
    <w:rsid w:val="00755440"/>
    <w:rsid w:val="0075566A"/>
    <w:rsid w:val="0075629E"/>
    <w:rsid w:val="00756869"/>
    <w:rsid w:val="00756CAA"/>
    <w:rsid w:val="0075728D"/>
    <w:rsid w:val="0075770E"/>
    <w:rsid w:val="00757E79"/>
    <w:rsid w:val="00760205"/>
    <w:rsid w:val="0076205C"/>
    <w:rsid w:val="0076221B"/>
    <w:rsid w:val="00762B18"/>
    <w:rsid w:val="00762FFF"/>
    <w:rsid w:val="007642C3"/>
    <w:rsid w:val="007644B1"/>
    <w:rsid w:val="00764989"/>
    <w:rsid w:val="0076509A"/>
    <w:rsid w:val="00765813"/>
    <w:rsid w:val="0076762B"/>
    <w:rsid w:val="00770313"/>
    <w:rsid w:val="00771541"/>
    <w:rsid w:val="007734FB"/>
    <w:rsid w:val="00775191"/>
    <w:rsid w:val="00775480"/>
    <w:rsid w:val="00776580"/>
    <w:rsid w:val="007825FC"/>
    <w:rsid w:val="00783961"/>
    <w:rsid w:val="00783EFF"/>
    <w:rsid w:val="007842D1"/>
    <w:rsid w:val="00784913"/>
    <w:rsid w:val="007854A4"/>
    <w:rsid w:val="00785F34"/>
    <w:rsid w:val="0078607C"/>
    <w:rsid w:val="00787517"/>
    <w:rsid w:val="00790D06"/>
    <w:rsid w:val="00790E6F"/>
    <w:rsid w:val="00791952"/>
    <w:rsid w:val="00792978"/>
    <w:rsid w:val="00792C47"/>
    <w:rsid w:val="00792ECB"/>
    <w:rsid w:val="00794323"/>
    <w:rsid w:val="00795A53"/>
    <w:rsid w:val="0079772C"/>
    <w:rsid w:val="00797CF0"/>
    <w:rsid w:val="007A05B6"/>
    <w:rsid w:val="007A067D"/>
    <w:rsid w:val="007A2F3C"/>
    <w:rsid w:val="007A358D"/>
    <w:rsid w:val="007A493E"/>
    <w:rsid w:val="007A4E24"/>
    <w:rsid w:val="007A60E8"/>
    <w:rsid w:val="007A66A3"/>
    <w:rsid w:val="007A6AC3"/>
    <w:rsid w:val="007A7D86"/>
    <w:rsid w:val="007B07B2"/>
    <w:rsid w:val="007B123F"/>
    <w:rsid w:val="007B1B10"/>
    <w:rsid w:val="007B30F8"/>
    <w:rsid w:val="007B616B"/>
    <w:rsid w:val="007B6B51"/>
    <w:rsid w:val="007C0CC1"/>
    <w:rsid w:val="007C1366"/>
    <w:rsid w:val="007C138F"/>
    <w:rsid w:val="007C486A"/>
    <w:rsid w:val="007C5600"/>
    <w:rsid w:val="007C6BB8"/>
    <w:rsid w:val="007C700B"/>
    <w:rsid w:val="007C72D1"/>
    <w:rsid w:val="007C7DDE"/>
    <w:rsid w:val="007D11AF"/>
    <w:rsid w:val="007D17E2"/>
    <w:rsid w:val="007D2788"/>
    <w:rsid w:val="007D2D54"/>
    <w:rsid w:val="007D32B6"/>
    <w:rsid w:val="007D3712"/>
    <w:rsid w:val="007D4E38"/>
    <w:rsid w:val="007D617A"/>
    <w:rsid w:val="007E03A9"/>
    <w:rsid w:val="007E18B2"/>
    <w:rsid w:val="007E1CCC"/>
    <w:rsid w:val="007E290F"/>
    <w:rsid w:val="007E3688"/>
    <w:rsid w:val="007E36EF"/>
    <w:rsid w:val="007E3880"/>
    <w:rsid w:val="007E3B64"/>
    <w:rsid w:val="007E51F6"/>
    <w:rsid w:val="007E5EE5"/>
    <w:rsid w:val="007E61AB"/>
    <w:rsid w:val="007E6CA2"/>
    <w:rsid w:val="007E7AC7"/>
    <w:rsid w:val="007F115F"/>
    <w:rsid w:val="007F1414"/>
    <w:rsid w:val="007F3D1E"/>
    <w:rsid w:val="007F6AA3"/>
    <w:rsid w:val="007F7506"/>
    <w:rsid w:val="007F7A93"/>
    <w:rsid w:val="00800A1C"/>
    <w:rsid w:val="0080177D"/>
    <w:rsid w:val="008024FE"/>
    <w:rsid w:val="00802988"/>
    <w:rsid w:val="008031F4"/>
    <w:rsid w:val="00804B6F"/>
    <w:rsid w:val="00805255"/>
    <w:rsid w:val="00805457"/>
    <w:rsid w:val="00806B12"/>
    <w:rsid w:val="00810FBB"/>
    <w:rsid w:val="00811304"/>
    <w:rsid w:val="0081195A"/>
    <w:rsid w:val="0081246B"/>
    <w:rsid w:val="0081532F"/>
    <w:rsid w:val="008155F2"/>
    <w:rsid w:val="008156E7"/>
    <w:rsid w:val="00815D24"/>
    <w:rsid w:val="00815D89"/>
    <w:rsid w:val="00816AF1"/>
    <w:rsid w:val="00816C39"/>
    <w:rsid w:val="00817CB5"/>
    <w:rsid w:val="0082036F"/>
    <w:rsid w:val="00820B60"/>
    <w:rsid w:val="0082184E"/>
    <w:rsid w:val="00821D8F"/>
    <w:rsid w:val="008220C2"/>
    <w:rsid w:val="00822349"/>
    <w:rsid w:val="00822579"/>
    <w:rsid w:val="008225F2"/>
    <w:rsid w:val="00822DA4"/>
    <w:rsid w:val="0082315B"/>
    <w:rsid w:val="00824D90"/>
    <w:rsid w:val="0082505E"/>
    <w:rsid w:val="0082604E"/>
    <w:rsid w:val="00827E59"/>
    <w:rsid w:val="00827FB9"/>
    <w:rsid w:val="00830549"/>
    <w:rsid w:val="0083199A"/>
    <w:rsid w:val="008329C2"/>
    <w:rsid w:val="0083335B"/>
    <w:rsid w:val="008350F3"/>
    <w:rsid w:val="008353B4"/>
    <w:rsid w:val="008359D9"/>
    <w:rsid w:val="0083679D"/>
    <w:rsid w:val="00836A56"/>
    <w:rsid w:val="0084041F"/>
    <w:rsid w:val="00840D66"/>
    <w:rsid w:val="00840F21"/>
    <w:rsid w:val="0084212D"/>
    <w:rsid w:val="00843833"/>
    <w:rsid w:val="008447C0"/>
    <w:rsid w:val="008449C6"/>
    <w:rsid w:val="00844CCA"/>
    <w:rsid w:val="00845235"/>
    <w:rsid w:val="0084530D"/>
    <w:rsid w:val="008454D4"/>
    <w:rsid w:val="00846339"/>
    <w:rsid w:val="00847060"/>
    <w:rsid w:val="0084799B"/>
    <w:rsid w:val="00847B63"/>
    <w:rsid w:val="00850A46"/>
    <w:rsid w:val="008520C8"/>
    <w:rsid w:val="008534AC"/>
    <w:rsid w:val="00854F4C"/>
    <w:rsid w:val="00855AE5"/>
    <w:rsid w:val="008572AD"/>
    <w:rsid w:val="00865BC3"/>
    <w:rsid w:val="00865DBA"/>
    <w:rsid w:val="00865FC6"/>
    <w:rsid w:val="00867EC6"/>
    <w:rsid w:val="0087114D"/>
    <w:rsid w:val="00872370"/>
    <w:rsid w:val="00874C57"/>
    <w:rsid w:val="00875EE6"/>
    <w:rsid w:val="00876122"/>
    <w:rsid w:val="008770BC"/>
    <w:rsid w:val="008774DF"/>
    <w:rsid w:val="008779C3"/>
    <w:rsid w:val="00877C5A"/>
    <w:rsid w:val="00880675"/>
    <w:rsid w:val="00880DBD"/>
    <w:rsid w:val="0088159C"/>
    <w:rsid w:val="00882229"/>
    <w:rsid w:val="008824F6"/>
    <w:rsid w:val="00882C6E"/>
    <w:rsid w:val="0088302B"/>
    <w:rsid w:val="00883125"/>
    <w:rsid w:val="008839C6"/>
    <w:rsid w:val="00884962"/>
    <w:rsid w:val="00887887"/>
    <w:rsid w:val="0089146F"/>
    <w:rsid w:val="008946EB"/>
    <w:rsid w:val="0089500D"/>
    <w:rsid w:val="00895876"/>
    <w:rsid w:val="00895B30"/>
    <w:rsid w:val="00896796"/>
    <w:rsid w:val="00896CD8"/>
    <w:rsid w:val="00896D00"/>
    <w:rsid w:val="00897361"/>
    <w:rsid w:val="0089788B"/>
    <w:rsid w:val="008A04E1"/>
    <w:rsid w:val="008A0C45"/>
    <w:rsid w:val="008A15A7"/>
    <w:rsid w:val="008A15C8"/>
    <w:rsid w:val="008A23C7"/>
    <w:rsid w:val="008A244C"/>
    <w:rsid w:val="008A298B"/>
    <w:rsid w:val="008A2D24"/>
    <w:rsid w:val="008A366C"/>
    <w:rsid w:val="008A3AD3"/>
    <w:rsid w:val="008A4305"/>
    <w:rsid w:val="008A4B15"/>
    <w:rsid w:val="008A587E"/>
    <w:rsid w:val="008A5A93"/>
    <w:rsid w:val="008A5E01"/>
    <w:rsid w:val="008B006A"/>
    <w:rsid w:val="008B11ED"/>
    <w:rsid w:val="008B2644"/>
    <w:rsid w:val="008B2BAA"/>
    <w:rsid w:val="008B4A9B"/>
    <w:rsid w:val="008B4CF2"/>
    <w:rsid w:val="008B55EF"/>
    <w:rsid w:val="008B6FEF"/>
    <w:rsid w:val="008B71E3"/>
    <w:rsid w:val="008B756B"/>
    <w:rsid w:val="008B7E8B"/>
    <w:rsid w:val="008C036D"/>
    <w:rsid w:val="008C0550"/>
    <w:rsid w:val="008C09A6"/>
    <w:rsid w:val="008C1CBB"/>
    <w:rsid w:val="008C1D53"/>
    <w:rsid w:val="008C2868"/>
    <w:rsid w:val="008C3AAA"/>
    <w:rsid w:val="008C4B2C"/>
    <w:rsid w:val="008C58C9"/>
    <w:rsid w:val="008C58EC"/>
    <w:rsid w:val="008C5A3C"/>
    <w:rsid w:val="008C5BD2"/>
    <w:rsid w:val="008C79D1"/>
    <w:rsid w:val="008D02CF"/>
    <w:rsid w:val="008D07E5"/>
    <w:rsid w:val="008D0DB5"/>
    <w:rsid w:val="008D45DF"/>
    <w:rsid w:val="008D5BD1"/>
    <w:rsid w:val="008D728D"/>
    <w:rsid w:val="008D7C93"/>
    <w:rsid w:val="008D7F0D"/>
    <w:rsid w:val="008E0102"/>
    <w:rsid w:val="008E0C80"/>
    <w:rsid w:val="008E1849"/>
    <w:rsid w:val="008E21DB"/>
    <w:rsid w:val="008E3BC3"/>
    <w:rsid w:val="008E61CC"/>
    <w:rsid w:val="008E6984"/>
    <w:rsid w:val="008E6E2D"/>
    <w:rsid w:val="008F017B"/>
    <w:rsid w:val="008F0544"/>
    <w:rsid w:val="008F1553"/>
    <w:rsid w:val="008F3A5F"/>
    <w:rsid w:val="008F4128"/>
    <w:rsid w:val="008F45D6"/>
    <w:rsid w:val="008F70C9"/>
    <w:rsid w:val="008F72F1"/>
    <w:rsid w:val="008F754F"/>
    <w:rsid w:val="008F7626"/>
    <w:rsid w:val="0090023F"/>
    <w:rsid w:val="0090086B"/>
    <w:rsid w:val="009010CD"/>
    <w:rsid w:val="00902735"/>
    <w:rsid w:val="0090345F"/>
    <w:rsid w:val="00903AAE"/>
    <w:rsid w:val="00903E2A"/>
    <w:rsid w:val="00903EB3"/>
    <w:rsid w:val="009045A4"/>
    <w:rsid w:val="00904895"/>
    <w:rsid w:val="0090631E"/>
    <w:rsid w:val="00906717"/>
    <w:rsid w:val="0091037D"/>
    <w:rsid w:val="00911A98"/>
    <w:rsid w:val="00911D62"/>
    <w:rsid w:val="00912218"/>
    <w:rsid w:val="009128B9"/>
    <w:rsid w:val="00912F1B"/>
    <w:rsid w:val="00914252"/>
    <w:rsid w:val="009149A6"/>
    <w:rsid w:val="0091547D"/>
    <w:rsid w:val="00915D9B"/>
    <w:rsid w:val="00915EC3"/>
    <w:rsid w:val="00921248"/>
    <w:rsid w:val="00921C72"/>
    <w:rsid w:val="00926ACD"/>
    <w:rsid w:val="00927016"/>
    <w:rsid w:val="00927759"/>
    <w:rsid w:val="00930292"/>
    <w:rsid w:val="0093049B"/>
    <w:rsid w:val="0093093E"/>
    <w:rsid w:val="00930C7B"/>
    <w:rsid w:val="009317C6"/>
    <w:rsid w:val="00931867"/>
    <w:rsid w:val="00932899"/>
    <w:rsid w:val="0093297F"/>
    <w:rsid w:val="00932C55"/>
    <w:rsid w:val="0093324B"/>
    <w:rsid w:val="00933A6B"/>
    <w:rsid w:val="009341A3"/>
    <w:rsid w:val="00934201"/>
    <w:rsid w:val="00934A0D"/>
    <w:rsid w:val="009356A9"/>
    <w:rsid w:val="00935B48"/>
    <w:rsid w:val="00936B69"/>
    <w:rsid w:val="00936F5B"/>
    <w:rsid w:val="0093728B"/>
    <w:rsid w:val="00937DAE"/>
    <w:rsid w:val="00940AD6"/>
    <w:rsid w:val="00940AD8"/>
    <w:rsid w:val="00940B18"/>
    <w:rsid w:val="00940B80"/>
    <w:rsid w:val="0094133F"/>
    <w:rsid w:val="0094478E"/>
    <w:rsid w:val="00944A0B"/>
    <w:rsid w:val="009453A8"/>
    <w:rsid w:val="00945CFA"/>
    <w:rsid w:val="00946477"/>
    <w:rsid w:val="0094684D"/>
    <w:rsid w:val="00946977"/>
    <w:rsid w:val="00946A83"/>
    <w:rsid w:val="00946F68"/>
    <w:rsid w:val="00947FEC"/>
    <w:rsid w:val="00950037"/>
    <w:rsid w:val="009511F2"/>
    <w:rsid w:val="00954382"/>
    <w:rsid w:val="00954415"/>
    <w:rsid w:val="009557F6"/>
    <w:rsid w:val="00956497"/>
    <w:rsid w:val="00957280"/>
    <w:rsid w:val="009573C7"/>
    <w:rsid w:val="00965F61"/>
    <w:rsid w:val="00966211"/>
    <w:rsid w:val="009662CE"/>
    <w:rsid w:val="00966568"/>
    <w:rsid w:val="00966C27"/>
    <w:rsid w:val="00967C83"/>
    <w:rsid w:val="00970652"/>
    <w:rsid w:val="00970848"/>
    <w:rsid w:val="00972730"/>
    <w:rsid w:val="009748BA"/>
    <w:rsid w:val="00974CAD"/>
    <w:rsid w:val="00975201"/>
    <w:rsid w:val="00975934"/>
    <w:rsid w:val="009806C7"/>
    <w:rsid w:val="0098101E"/>
    <w:rsid w:val="0098108D"/>
    <w:rsid w:val="009819CA"/>
    <w:rsid w:val="00981B55"/>
    <w:rsid w:val="00982EE4"/>
    <w:rsid w:val="0098371F"/>
    <w:rsid w:val="00984098"/>
    <w:rsid w:val="009849F3"/>
    <w:rsid w:val="0098560E"/>
    <w:rsid w:val="009860D1"/>
    <w:rsid w:val="009861ED"/>
    <w:rsid w:val="00992073"/>
    <w:rsid w:val="00993EEE"/>
    <w:rsid w:val="009947D4"/>
    <w:rsid w:val="00996189"/>
    <w:rsid w:val="0099726C"/>
    <w:rsid w:val="00997A66"/>
    <w:rsid w:val="009A0B6E"/>
    <w:rsid w:val="009A0D41"/>
    <w:rsid w:val="009A11D4"/>
    <w:rsid w:val="009A220C"/>
    <w:rsid w:val="009A2C12"/>
    <w:rsid w:val="009A361B"/>
    <w:rsid w:val="009A3931"/>
    <w:rsid w:val="009A48F8"/>
    <w:rsid w:val="009A5042"/>
    <w:rsid w:val="009A52D0"/>
    <w:rsid w:val="009A55E2"/>
    <w:rsid w:val="009A675F"/>
    <w:rsid w:val="009A6DFF"/>
    <w:rsid w:val="009A7555"/>
    <w:rsid w:val="009A7CF0"/>
    <w:rsid w:val="009A7D40"/>
    <w:rsid w:val="009B08DA"/>
    <w:rsid w:val="009B0E68"/>
    <w:rsid w:val="009B12A5"/>
    <w:rsid w:val="009B2056"/>
    <w:rsid w:val="009B3863"/>
    <w:rsid w:val="009B3FE4"/>
    <w:rsid w:val="009B4145"/>
    <w:rsid w:val="009B53B1"/>
    <w:rsid w:val="009B7E54"/>
    <w:rsid w:val="009C17A0"/>
    <w:rsid w:val="009C2079"/>
    <w:rsid w:val="009C379D"/>
    <w:rsid w:val="009C3C82"/>
    <w:rsid w:val="009C6D57"/>
    <w:rsid w:val="009D0C4D"/>
    <w:rsid w:val="009D0F24"/>
    <w:rsid w:val="009D0F38"/>
    <w:rsid w:val="009D163C"/>
    <w:rsid w:val="009D242F"/>
    <w:rsid w:val="009D38BD"/>
    <w:rsid w:val="009D4C75"/>
    <w:rsid w:val="009D4EE7"/>
    <w:rsid w:val="009D671E"/>
    <w:rsid w:val="009D6BC2"/>
    <w:rsid w:val="009D7948"/>
    <w:rsid w:val="009D7C5B"/>
    <w:rsid w:val="009D7F4E"/>
    <w:rsid w:val="009E026F"/>
    <w:rsid w:val="009E04E9"/>
    <w:rsid w:val="009E192A"/>
    <w:rsid w:val="009E231D"/>
    <w:rsid w:val="009E2915"/>
    <w:rsid w:val="009E580B"/>
    <w:rsid w:val="009E6005"/>
    <w:rsid w:val="009E6A0E"/>
    <w:rsid w:val="009E7E9E"/>
    <w:rsid w:val="009F05A8"/>
    <w:rsid w:val="009F1041"/>
    <w:rsid w:val="009F2760"/>
    <w:rsid w:val="009F30D4"/>
    <w:rsid w:val="009F3571"/>
    <w:rsid w:val="009F3677"/>
    <w:rsid w:val="009F3FFE"/>
    <w:rsid w:val="009F4006"/>
    <w:rsid w:val="009F4076"/>
    <w:rsid w:val="009F4606"/>
    <w:rsid w:val="009F5124"/>
    <w:rsid w:val="009F5213"/>
    <w:rsid w:val="009F60A3"/>
    <w:rsid w:val="009F6B98"/>
    <w:rsid w:val="009F6CA7"/>
    <w:rsid w:val="009F7488"/>
    <w:rsid w:val="00A00668"/>
    <w:rsid w:val="00A00F7C"/>
    <w:rsid w:val="00A01014"/>
    <w:rsid w:val="00A01AA3"/>
    <w:rsid w:val="00A02B16"/>
    <w:rsid w:val="00A02E84"/>
    <w:rsid w:val="00A033B7"/>
    <w:rsid w:val="00A037C8"/>
    <w:rsid w:val="00A05DCF"/>
    <w:rsid w:val="00A061E3"/>
    <w:rsid w:val="00A065B7"/>
    <w:rsid w:val="00A06DA6"/>
    <w:rsid w:val="00A07152"/>
    <w:rsid w:val="00A07A7C"/>
    <w:rsid w:val="00A11694"/>
    <w:rsid w:val="00A11D64"/>
    <w:rsid w:val="00A11EE2"/>
    <w:rsid w:val="00A12636"/>
    <w:rsid w:val="00A12DA7"/>
    <w:rsid w:val="00A13047"/>
    <w:rsid w:val="00A13640"/>
    <w:rsid w:val="00A14A16"/>
    <w:rsid w:val="00A175AD"/>
    <w:rsid w:val="00A17818"/>
    <w:rsid w:val="00A17830"/>
    <w:rsid w:val="00A2188F"/>
    <w:rsid w:val="00A21909"/>
    <w:rsid w:val="00A2298F"/>
    <w:rsid w:val="00A22AC1"/>
    <w:rsid w:val="00A22F5F"/>
    <w:rsid w:val="00A233CF"/>
    <w:rsid w:val="00A24799"/>
    <w:rsid w:val="00A265E9"/>
    <w:rsid w:val="00A26E59"/>
    <w:rsid w:val="00A2777A"/>
    <w:rsid w:val="00A27B30"/>
    <w:rsid w:val="00A30290"/>
    <w:rsid w:val="00A304E9"/>
    <w:rsid w:val="00A3108F"/>
    <w:rsid w:val="00A314A1"/>
    <w:rsid w:val="00A34269"/>
    <w:rsid w:val="00A34314"/>
    <w:rsid w:val="00A34891"/>
    <w:rsid w:val="00A35039"/>
    <w:rsid w:val="00A353C4"/>
    <w:rsid w:val="00A366F9"/>
    <w:rsid w:val="00A37BDB"/>
    <w:rsid w:val="00A37F30"/>
    <w:rsid w:val="00A40056"/>
    <w:rsid w:val="00A41116"/>
    <w:rsid w:val="00A42B90"/>
    <w:rsid w:val="00A439B8"/>
    <w:rsid w:val="00A4412F"/>
    <w:rsid w:val="00A44708"/>
    <w:rsid w:val="00A45242"/>
    <w:rsid w:val="00A45F50"/>
    <w:rsid w:val="00A469B8"/>
    <w:rsid w:val="00A47E51"/>
    <w:rsid w:val="00A50DBC"/>
    <w:rsid w:val="00A50E4E"/>
    <w:rsid w:val="00A519AA"/>
    <w:rsid w:val="00A51AE0"/>
    <w:rsid w:val="00A534CA"/>
    <w:rsid w:val="00A54EC3"/>
    <w:rsid w:val="00A554DA"/>
    <w:rsid w:val="00A56CBF"/>
    <w:rsid w:val="00A57B4A"/>
    <w:rsid w:val="00A60001"/>
    <w:rsid w:val="00A602C3"/>
    <w:rsid w:val="00A61622"/>
    <w:rsid w:val="00A61766"/>
    <w:rsid w:val="00A619ED"/>
    <w:rsid w:val="00A6213C"/>
    <w:rsid w:val="00A6221D"/>
    <w:rsid w:val="00A6238E"/>
    <w:rsid w:val="00A637F9"/>
    <w:rsid w:val="00A643D8"/>
    <w:rsid w:val="00A64CA9"/>
    <w:rsid w:val="00A657E7"/>
    <w:rsid w:val="00A65F5F"/>
    <w:rsid w:val="00A66EC8"/>
    <w:rsid w:val="00A66F43"/>
    <w:rsid w:val="00A67BDE"/>
    <w:rsid w:val="00A70436"/>
    <w:rsid w:val="00A70708"/>
    <w:rsid w:val="00A715F8"/>
    <w:rsid w:val="00A735D2"/>
    <w:rsid w:val="00A7371A"/>
    <w:rsid w:val="00A73BD4"/>
    <w:rsid w:val="00A74B44"/>
    <w:rsid w:val="00A764DA"/>
    <w:rsid w:val="00A7655B"/>
    <w:rsid w:val="00A80F75"/>
    <w:rsid w:val="00A81877"/>
    <w:rsid w:val="00A818A1"/>
    <w:rsid w:val="00A8262D"/>
    <w:rsid w:val="00A84376"/>
    <w:rsid w:val="00A85434"/>
    <w:rsid w:val="00A8584A"/>
    <w:rsid w:val="00A85857"/>
    <w:rsid w:val="00A86BDA"/>
    <w:rsid w:val="00A87532"/>
    <w:rsid w:val="00A903DC"/>
    <w:rsid w:val="00A90ECB"/>
    <w:rsid w:val="00A91693"/>
    <w:rsid w:val="00A9209F"/>
    <w:rsid w:val="00A92EAA"/>
    <w:rsid w:val="00A9338C"/>
    <w:rsid w:val="00A93A49"/>
    <w:rsid w:val="00A94E30"/>
    <w:rsid w:val="00A951D8"/>
    <w:rsid w:val="00A958E8"/>
    <w:rsid w:val="00A95A00"/>
    <w:rsid w:val="00A96955"/>
    <w:rsid w:val="00A976C4"/>
    <w:rsid w:val="00A97911"/>
    <w:rsid w:val="00AA1DCA"/>
    <w:rsid w:val="00AA1E85"/>
    <w:rsid w:val="00AA4819"/>
    <w:rsid w:val="00AA5229"/>
    <w:rsid w:val="00AA5FED"/>
    <w:rsid w:val="00AA6BF9"/>
    <w:rsid w:val="00AA7745"/>
    <w:rsid w:val="00AA7A71"/>
    <w:rsid w:val="00AB097F"/>
    <w:rsid w:val="00AB26C1"/>
    <w:rsid w:val="00AB28A2"/>
    <w:rsid w:val="00AB3311"/>
    <w:rsid w:val="00AB6042"/>
    <w:rsid w:val="00AB7F03"/>
    <w:rsid w:val="00AC09D4"/>
    <w:rsid w:val="00AC09DF"/>
    <w:rsid w:val="00AC0CB4"/>
    <w:rsid w:val="00AC0E19"/>
    <w:rsid w:val="00AC132F"/>
    <w:rsid w:val="00AC2637"/>
    <w:rsid w:val="00AC2B86"/>
    <w:rsid w:val="00AC4182"/>
    <w:rsid w:val="00AC5AAA"/>
    <w:rsid w:val="00AC5B8B"/>
    <w:rsid w:val="00AC6E6D"/>
    <w:rsid w:val="00AD11F8"/>
    <w:rsid w:val="00AD1398"/>
    <w:rsid w:val="00AD13C6"/>
    <w:rsid w:val="00AD2960"/>
    <w:rsid w:val="00AE103F"/>
    <w:rsid w:val="00AE3763"/>
    <w:rsid w:val="00AE54A9"/>
    <w:rsid w:val="00AE5CEB"/>
    <w:rsid w:val="00AE66B7"/>
    <w:rsid w:val="00AE6A3B"/>
    <w:rsid w:val="00AE78AB"/>
    <w:rsid w:val="00AE7EEA"/>
    <w:rsid w:val="00AE7FA1"/>
    <w:rsid w:val="00AF071C"/>
    <w:rsid w:val="00AF1068"/>
    <w:rsid w:val="00AF2F73"/>
    <w:rsid w:val="00AF419B"/>
    <w:rsid w:val="00AF4B84"/>
    <w:rsid w:val="00AF509C"/>
    <w:rsid w:val="00AF5204"/>
    <w:rsid w:val="00AF7E0D"/>
    <w:rsid w:val="00B005E9"/>
    <w:rsid w:val="00B00FF4"/>
    <w:rsid w:val="00B0157D"/>
    <w:rsid w:val="00B01975"/>
    <w:rsid w:val="00B01EDC"/>
    <w:rsid w:val="00B02F07"/>
    <w:rsid w:val="00B044B2"/>
    <w:rsid w:val="00B04637"/>
    <w:rsid w:val="00B0629F"/>
    <w:rsid w:val="00B07CF4"/>
    <w:rsid w:val="00B1190E"/>
    <w:rsid w:val="00B11F86"/>
    <w:rsid w:val="00B12019"/>
    <w:rsid w:val="00B12963"/>
    <w:rsid w:val="00B13B69"/>
    <w:rsid w:val="00B16722"/>
    <w:rsid w:val="00B1766D"/>
    <w:rsid w:val="00B21153"/>
    <w:rsid w:val="00B21BAA"/>
    <w:rsid w:val="00B22DA3"/>
    <w:rsid w:val="00B23298"/>
    <w:rsid w:val="00B23EB7"/>
    <w:rsid w:val="00B24341"/>
    <w:rsid w:val="00B25790"/>
    <w:rsid w:val="00B2588A"/>
    <w:rsid w:val="00B25D46"/>
    <w:rsid w:val="00B2696B"/>
    <w:rsid w:val="00B30E35"/>
    <w:rsid w:val="00B30EE1"/>
    <w:rsid w:val="00B3124D"/>
    <w:rsid w:val="00B31370"/>
    <w:rsid w:val="00B31B4E"/>
    <w:rsid w:val="00B32F8C"/>
    <w:rsid w:val="00B334B7"/>
    <w:rsid w:val="00B33923"/>
    <w:rsid w:val="00B33F7D"/>
    <w:rsid w:val="00B348C4"/>
    <w:rsid w:val="00B35085"/>
    <w:rsid w:val="00B352C6"/>
    <w:rsid w:val="00B35668"/>
    <w:rsid w:val="00B3651B"/>
    <w:rsid w:val="00B4008D"/>
    <w:rsid w:val="00B40437"/>
    <w:rsid w:val="00B40CB1"/>
    <w:rsid w:val="00B43006"/>
    <w:rsid w:val="00B43372"/>
    <w:rsid w:val="00B436FA"/>
    <w:rsid w:val="00B44438"/>
    <w:rsid w:val="00B44EC7"/>
    <w:rsid w:val="00B46595"/>
    <w:rsid w:val="00B46768"/>
    <w:rsid w:val="00B46E72"/>
    <w:rsid w:val="00B503BA"/>
    <w:rsid w:val="00B51AD3"/>
    <w:rsid w:val="00B51E6B"/>
    <w:rsid w:val="00B53C57"/>
    <w:rsid w:val="00B56094"/>
    <w:rsid w:val="00B620C5"/>
    <w:rsid w:val="00B62418"/>
    <w:rsid w:val="00B6308B"/>
    <w:rsid w:val="00B63417"/>
    <w:rsid w:val="00B650E5"/>
    <w:rsid w:val="00B65841"/>
    <w:rsid w:val="00B663D5"/>
    <w:rsid w:val="00B701AE"/>
    <w:rsid w:val="00B721BA"/>
    <w:rsid w:val="00B72F8C"/>
    <w:rsid w:val="00B7512E"/>
    <w:rsid w:val="00B75C77"/>
    <w:rsid w:val="00B7600A"/>
    <w:rsid w:val="00B7600F"/>
    <w:rsid w:val="00B768B8"/>
    <w:rsid w:val="00B76BDF"/>
    <w:rsid w:val="00B775F8"/>
    <w:rsid w:val="00B811F4"/>
    <w:rsid w:val="00B82235"/>
    <w:rsid w:val="00B83397"/>
    <w:rsid w:val="00B8499E"/>
    <w:rsid w:val="00B84BB6"/>
    <w:rsid w:val="00B85412"/>
    <w:rsid w:val="00B8699C"/>
    <w:rsid w:val="00B9090C"/>
    <w:rsid w:val="00B91F5D"/>
    <w:rsid w:val="00B92D94"/>
    <w:rsid w:val="00B93664"/>
    <w:rsid w:val="00B9449C"/>
    <w:rsid w:val="00B95156"/>
    <w:rsid w:val="00B96735"/>
    <w:rsid w:val="00B9682A"/>
    <w:rsid w:val="00B97A04"/>
    <w:rsid w:val="00B97AD3"/>
    <w:rsid w:val="00BA0256"/>
    <w:rsid w:val="00BA05E0"/>
    <w:rsid w:val="00BA12BE"/>
    <w:rsid w:val="00BA1413"/>
    <w:rsid w:val="00BA2FE3"/>
    <w:rsid w:val="00BA367C"/>
    <w:rsid w:val="00BA3B47"/>
    <w:rsid w:val="00BA499F"/>
    <w:rsid w:val="00BA602E"/>
    <w:rsid w:val="00BA7851"/>
    <w:rsid w:val="00BA7CD2"/>
    <w:rsid w:val="00BB080F"/>
    <w:rsid w:val="00BB0F0A"/>
    <w:rsid w:val="00BB160A"/>
    <w:rsid w:val="00BB16F1"/>
    <w:rsid w:val="00BB26EA"/>
    <w:rsid w:val="00BB2A35"/>
    <w:rsid w:val="00BB2C84"/>
    <w:rsid w:val="00BB30CD"/>
    <w:rsid w:val="00BB3D77"/>
    <w:rsid w:val="00BB3FC4"/>
    <w:rsid w:val="00BB45D8"/>
    <w:rsid w:val="00BB46E3"/>
    <w:rsid w:val="00BB4C5F"/>
    <w:rsid w:val="00BB540F"/>
    <w:rsid w:val="00BB56C7"/>
    <w:rsid w:val="00BB5A68"/>
    <w:rsid w:val="00BB6925"/>
    <w:rsid w:val="00BB7966"/>
    <w:rsid w:val="00BC10F3"/>
    <w:rsid w:val="00BC13B4"/>
    <w:rsid w:val="00BC19FD"/>
    <w:rsid w:val="00BC256A"/>
    <w:rsid w:val="00BC3C95"/>
    <w:rsid w:val="00BC3EE1"/>
    <w:rsid w:val="00BC467A"/>
    <w:rsid w:val="00BC4877"/>
    <w:rsid w:val="00BC4F93"/>
    <w:rsid w:val="00BC5881"/>
    <w:rsid w:val="00BC5C76"/>
    <w:rsid w:val="00BC7456"/>
    <w:rsid w:val="00BD0AA2"/>
    <w:rsid w:val="00BD1372"/>
    <w:rsid w:val="00BD1C2B"/>
    <w:rsid w:val="00BD2F0D"/>
    <w:rsid w:val="00BD39CF"/>
    <w:rsid w:val="00BD3E6F"/>
    <w:rsid w:val="00BD45C7"/>
    <w:rsid w:val="00BD5837"/>
    <w:rsid w:val="00BD67A6"/>
    <w:rsid w:val="00BD6CF7"/>
    <w:rsid w:val="00BE0BCD"/>
    <w:rsid w:val="00BE2F85"/>
    <w:rsid w:val="00BE39D0"/>
    <w:rsid w:val="00BE405D"/>
    <w:rsid w:val="00BE44C7"/>
    <w:rsid w:val="00BE66E2"/>
    <w:rsid w:val="00BE7ACB"/>
    <w:rsid w:val="00BF0901"/>
    <w:rsid w:val="00BF0A44"/>
    <w:rsid w:val="00BF2F21"/>
    <w:rsid w:val="00BF3F9C"/>
    <w:rsid w:val="00BF4029"/>
    <w:rsid w:val="00BF41E3"/>
    <w:rsid w:val="00BF4D84"/>
    <w:rsid w:val="00BF5E31"/>
    <w:rsid w:val="00BF6912"/>
    <w:rsid w:val="00BF6934"/>
    <w:rsid w:val="00BF76C5"/>
    <w:rsid w:val="00BF77DD"/>
    <w:rsid w:val="00C00944"/>
    <w:rsid w:val="00C0222D"/>
    <w:rsid w:val="00C02570"/>
    <w:rsid w:val="00C03AF2"/>
    <w:rsid w:val="00C03B8C"/>
    <w:rsid w:val="00C04279"/>
    <w:rsid w:val="00C07A22"/>
    <w:rsid w:val="00C11061"/>
    <w:rsid w:val="00C1175B"/>
    <w:rsid w:val="00C122ED"/>
    <w:rsid w:val="00C12319"/>
    <w:rsid w:val="00C14AB4"/>
    <w:rsid w:val="00C14AC8"/>
    <w:rsid w:val="00C14D18"/>
    <w:rsid w:val="00C154B6"/>
    <w:rsid w:val="00C1644E"/>
    <w:rsid w:val="00C171FC"/>
    <w:rsid w:val="00C21A34"/>
    <w:rsid w:val="00C22DBB"/>
    <w:rsid w:val="00C22F43"/>
    <w:rsid w:val="00C22FC3"/>
    <w:rsid w:val="00C23563"/>
    <w:rsid w:val="00C240A3"/>
    <w:rsid w:val="00C2458D"/>
    <w:rsid w:val="00C24E48"/>
    <w:rsid w:val="00C2588B"/>
    <w:rsid w:val="00C26340"/>
    <w:rsid w:val="00C27ECE"/>
    <w:rsid w:val="00C300A0"/>
    <w:rsid w:val="00C3161D"/>
    <w:rsid w:val="00C32054"/>
    <w:rsid w:val="00C32139"/>
    <w:rsid w:val="00C334F5"/>
    <w:rsid w:val="00C34259"/>
    <w:rsid w:val="00C345DD"/>
    <w:rsid w:val="00C34EA9"/>
    <w:rsid w:val="00C35042"/>
    <w:rsid w:val="00C3507E"/>
    <w:rsid w:val="00C3525D"/>
    <w:rsid w:val="00C35D99"/>
    <w:rsid w:val="00C36214"/>
    <w:rsid w:val="00C36B12"/>
    <w:rsid w:val="00C36BB3"/>
    <w:rsid w:val="00C36DEC"/>
    <w:rsid w:val="00C370E5"/>
    <w:rsid w:val="00C37B19"/>
    <w:rsid w:val="00C40228"/>
    <w:rsid w:val="00C42CC0"/>
    <w:rsid w:val="00C4398A"/>
    <w:rsid w:val="00C43DC8"/>
    <w:rsid w:val="00C449A5"/>
    <w:rsid w:val="00C44D9E"/>
    <w:rsid w:val="00C451F3"/>
    <w:rsid w:val="00C45889"/>
    <w:rsid w:val="00C45CA5"/>
    <w:rsid w:val="00C4619D"/>
    <w:rsid w:val="00C46FDE"/>
    <w:rsid w:val="00C476D7"/>
    <w:rsid w:val="00C47752"/>
    <w:rsid w:val="00C5124E"/>
    <w:rsid w:val="00C51D7F"/>
    <w:rsid w:val="00C51E56"/>
    <w:rsid w:val="00C5220C"/>
    <w:rsid w:val="00C522FB"/>
    <w:rsid w:val="00C524EE"/>
    <w:rsid w:val="00C5265A"/>
    <w:rsid w:val="00C529E9"/>
    <w:rsid w:val="00C558BB"/>
    <w:rsid w:val="00C60D3D"/>
    <w:rsid w:val="00C61A22"/>
    <w:rsid w:val="00C61CF5"/>
    <w:rsid w:val="00C632DE"/>
    <w:rsid w:val="00C63DE6"/>
    <w:rsid w:val="00C6536A"/>
    <w:rsid w:val="00C661E2"/>
    <w:rsid w:val="00C66870"/>
    <w:rsid w:val="00C66ED7"/>
    <w:rsid w:val="00C67195"/>
    <w:rsid w:val="00C671B3"/>
    <w:rsid w:val="00C70833"/>
    <w:rsid w:val="00C71B5E"/>
    <w:rsid w:val="00C7211B"/>
    <w:rsid w:val="00C73628"/>
    <w:rsid w:val="00C75C3B"/>
    <w:rsid w:val="00C76B01"/>
    <w:rsid w:val="00C76EF0"/>
    <w:rsid w:val="00C809AE"/>
    <w:rsid w:val="00C8124B"/>
    <w:rsid w:val="00C81B33"/>
    <w:rsid w:val="00C824D4"/>
    <w:rsid w:val="00C828FA"/>
    <w:rsid w:val="00C8349F"/>
    <w:rsid w:val="00C83959"/>
    <w:rsid w:val="00C83D12"/>
    <w:rsid w:val="00C843E1"/>
    <w:rsid w:val="00C84AEC"/>
    <w:rsid w:val="00C853B7"/>
    <w:rsid w:val="00C85A2F"/>
    <w:rsid w:val="00C85A36"/>
    <w:rsid w:val="00C868CF"/>
    <w:rsid w:val="00C86949"/>
    <w:rsid w:val="00C87DB6"/>
    <w:rsid w:val="00C90206"/>
    <w:rsid w:val="00C90D33"/>
    <w:rsid w:val="00C90FC1"/>
    <w:rsid w:val="00C91049"/>
    <w:rsid w:val="00C913BE"/>
    <w:rsid w:val="00C932A0"/>
    <w:rsid w:val="00C93A53"/>
    <w:rsid w:val="00C93F96"/>
    <w:rsid w:val="00C9453D"/>
    <w:rsid w:val="00C9486B"/>
    <w:rsid w:val="00C94CF7"/>
    <w:rsid w:val="00C9629A"/>
    <w:rsid w:val="00C9644A"/>
    <w:rsid w:val="00C97430"/>
    <w:rsid w:val="00CA0094"/>
    <w:rsid w:val="00CA1850"/>
    <w:rsid w:val="00CA1A4B"/>
    <w:rsid w:val="00CA1E14"/>
    <w:rsid w:val="00CA4B6A"/>
    <w:rsid w:val="00CA537A"/>
    <w:rsid w:val="00CA5B9A"/>
    <w:rsid w:val="00CA5DDE"/>
    <w:rsid w:val="00CA6A90"/>
    <w:rsid w:val="00CA7B9A"/>
    <w:rsid w:val="00CB0BC4"/>
    <w:rsid w:val="00CB20EA"/>
    <w:rsid w:val="00CB2246"/>
    <w:rsid w:val="00CB3485"/>
    <w:rsid w:val="00CB4283"/>
    <w:rsid w:val="00CB4C22"/>
    <w:rsid w:val="00CB4DBB"/>
    <w:rsid w:val="00CB548C"/>
    <w:rsid w:val="00CB5F86"/>
    <w:rsid w:val="00CC0C56"/>
    <w:rsid w:val="00CC0EDA"/>
    <w:rsid w:val="00CC2DFD"/>
    <w:rsid w:val="00CC374F"/>
    <w:rsid w:val="00CC3B33"/>
    <w:rsid w:val="00CC40F1"/>
    <w:rsid w:val="00CD1B53"/>
    <w:rsid w:val="00CD2CC3"/>
    <w:rsid w:val="00CD4BA2"/>
    <w:rsid w:val="00CD4E5B"/>
    <w:rsid w:val="00CD53F9"/>
    <w:rsid w:val="00CD61D5"/>
    <w:rsid w:val="00CE0F7D"/>
    <w:rsid w:val="00CE113E"/>
    <w:rsid w:val="00CE1153"/>
    <w:rsid w:val="00CE33EF"/>
    <w:rsid w:val="00CE36C0"/>
    <w:rsid w:val="00CE381C"/>
    <w:rsid w:val="00CE4BAF"/>
    <w:rsid w:val="00CE6A10"/>
    <w:rsid w:val="00CF0212"/>
    <w:rsid w:val="00CF166F"/>
    <w:rsid w:val="00CF2541"/>
    <w:rsid w:val="00CF2919"/>
    <w:rsid w:val="00CF42B6"/>
    <w:rsid w:val="00CF4786"/>
    <w:rsid w:val="00CF4BB0"/>
    <w:rsid w:val="00CF60D4"/>
    <w:rsid w:val="00CF7B21"/>
    <w:rsid w:val="00D0111E"/>
    <w:rsid w:val="00D029C1"/>
    <w:rsid w:val="00D02CC4"/>
    <w:rsid w:val="00D03FD4"/>
    <w:rsid w:val="00D043F1"/>
    <w:rsid w:val="00D055FA"/>
    <w:rsid w:val="00D05DFC"/>
    <w:rsid w:val="00D072B1"/>
    <w:rsid w:val="00D0797B"/>
    <w:rsid w:val="00D10B23"/>
    <w:rsid w:val="00D11084"/>
    <w:rsid w:val="00D111AD"/>
    <w:rsid w:val="00D11A10"/>
    <w:rsid w:val="00D11DD1"/>
    <w:rsid w:val="00D11EC3"/>
    <w:rsid w:val="00D1227D"/>
    <w:rsid w:val="00D12977"/>
    <w:rsid w:val="00D13785"/>
    <w:rsid w:val="00D16380"/>
    <w:rsid w:val="00D1655E"/>
    <w:rsid w:val="00D175A5"/>
    <w:rsid w:val="00D176A1"/>
    <w:rsid w:val="00D200AB"/>
    <w:rsid w:val="00D20184"/>
    <w:rsid w:val="00D20D1D"/>
    <w:rsid w:val="00D225F7"/>
    <w:rsid w:val="00D22E5D"/>
    <w:rsid w:val="00D23D62"/>
    <w:rsid w:val="00D23DED"/>
    <w:rsid w:val="00D24663"/>
    <w:rsid w:val="00D24D38"/>
    <w:rsid w:val="00D26DD1"/>
    <w:rsid w:val="00D27EC2"/>
    <w:rsid w:val="00D30365"/>
    <w:rsid w:val="00D31A9C"/>
    <w:rsid w:val="00D31C01"/>
    <w:rsid w:val="00D32551"/>
    <w:rsid w:val="00D325DE"/>
    <w:rsid w:val="00D326E1"/>
    <w:rsid w:val="00D32D6F"/>
    <w:rsid w:val="00D342F2"/>
    <w:rsid w:val="00D35270"/>
    <w:rsid w:val="00D358AF"/>
    <w:rsid w:val="00D35B00"/>
    <w:rsid w:val="00D36680"/>
    <w:rsid w:val="00D3671C"/>
    <w:rsid w:val="00D37925"/>
    <w:rsid w:val="00D4010E"/>
    <w:rsid w:val="00D405BC"/>
    <w:rsid w:val="00D40810"/>
    <w:rsid w:val="00D41B72"/>
    <w:rsid w:val="00D41C9A"/>
    <w:rsid w:val="00D42694"/>
    <w:rsid w:val="00D426F7"/>
    <w:rsid w:val="00D43D29"/>
    <w:rsid w:val="00D45DC4"/>
    <w:rsid w:val="00D4680A"/>
    <w:rsid w:val="00D46FBC"/>
    <w:rsid w:val="00D47345"/>
    <w:rsid w:val="00D503E6"/>
    <w:rsid w:val="00D512F2"/>
    <w:rsid w:val="00D51D56"/>
    <w:rsid w:val="00D52119"/>
    <w:rsid w:val="00D52533"/>
    <w:rsid w:val="00D52B18"/>
    <w:rsid w:val="00D52F9D"/>
    <w:rsid w:val="00D53CEF"/>
    <w:rsid w:val="00D5428D"/>
    <w:rsid w:val="00D55DA7"/>
    <w:rsid w:val="00D606A5"/>
    <w:rsid w:val="00D61687"/>
    <w:rsid w:val="00D61B1B"/>
    <w:rsid w:val="00D61D05"/>
    <w:rsid w:val="00D62628"/>
    <w:rsid w:val="00D6300A"/>
    <w:rsid w:val="00D64F68"/>
    <w:rsid w:val="00D65377"/>
    <w:rsid w:val="00D6730D"/>
    <w:rsid w:val="00D67F0B"/>
    <w:rsid w:val="00D71A1F"/>
    <w:rsid w:val="00D726D1"/>
    <w:rsid w:val="00D72886"/>
    <w:rsid w:val="00D73641"/>
    <w:rsid w:val="00D74533"/>
    <w:rsid w:val="00D7465D"/>
    <w:rsid w:val="00D75747"/>
    <w:rsid w:val="00D75A63"/>
    <w:rsid w:val="00D76874"/>
    <w:rsid w:val="00D769CD"/>
    <w:rsid w:val="00D76F3B"/>
    <w:rsid w:val="00D812BB"/>
    <w:rsid w:val="00D819F6"/>
    <w:rsid w:val="00D830AF"/>
    <w:rsid w:val="00D837C6"/>
    <w:rsid w:val="00D840E2"/>
    <w:rsid w:val="00D845BA"/>
    <w:rsid w:val="00D84929"/>
    <w:rsid w:val="00D86067"/>
    <w:rsid w:val="00D863E9"/>
    <w:rsid w:val="00D86D22"/>
    <w:rsid w:val="00D87279"/>
    <w:rsid w:val="00D874CC"/>
    <w:rsid w:val="00D8766F"/>
    <w:rsid w:val="00D91EED"/>
    <w:rsid w:val="00D922A6"/>
    <w:rsid w:val="00D924F4"/>
    <w:rsid w:val="00D942E9"/>
    <w:rsid w:val="00D95A69"/>
    <w:rsid w:val="00D95ECF"/>
    <w:rsid w:val="00D969AB"/>
    <w:rsid w:val="00DA03A2"/>
    <w:rsid w:val="00DA0C77"/>
    <w:rsid w:val="00DA1B95"/>
    <w:rsid w:val="00DA2437"/>
    <w:rsid w:val="00DA624A"/>
    <w:rsid w:val="00DA6AF4"/>
    <w:rsid w:val="00DA6D10"/>
    <w:rsid w:val="00DA6F32"/>
    <w:rsid w:val="00DB1D96"/>
    <w:rsid w:val="00DB4BDA"/>
    <w:rsid w:val="00DB72CD"/>
    <w:rsid w:val="00DB7A1B"/>
    <w:rsid w:val="00DC09EF"/>
    <w:rsid w:val="00DC1B61"/>
    <w:rsid w:val="00DC1E8C"/>
    <w:rsid w:val="00DC2F0B"/>
    <w:rsid w:val="00DC3033"/>
    <w:rsid w:val="00DC3FAF"/>
    <w:rsid w:val="00DC4626"/>
    <w:rsid w:val="00DC4E4E"/>
    <w:rsid w:val="00DC538B"/>
    <w:rsid w:val="00DC5AEB"/>
    <w:rsid w:val="00DC5CC6"/>
    <w:rsid w:val="00DC5D99"/>
    <w:rsid w:val="00DC60E1"/>
    <w:rsid w:val="00DC65E5"/>
    <w:rsid w:val="00DC7586"/>
    <w:rsid w:val="00DD16DD"/>
    <w:rsid w:val="00DD29F9"/>
    <w:rsid w:val="00DD2F05"/>
    <w:rsid w:val="00DD37C8"/>
    <w:rsid w:val="00DD3C58"/>
    <w:rsid w:val="00DD4CDF"/>
    <w:rsid w:val="00DD520B"/>
    <w:rsid w:val="00DD560C"/>
    <w:rsid w:val="00DD569C"/>
    <w:rsid w:val="00DD59D1"/>
    <w:rsid w:val="00DD68E9"/>
    <w:rsid w:val="00DE0061"/>
    <w:rsid w:val="00DE0598"/>
    <w:rsid w:val="00DE0B94"/>
    <w:rsid w:val="00DE177C"/>
    <w:rsid w:val="00DE1A6C"/>
    <w:rsid w:val="00DE24CF"/>
    <w:rsid w:val="00DE3AB0"/>
    <w:rsid w:val="00DE4950"/>
    <w:rsid w:val="00DE5389"/>
    <w:rsid w:val="00DE57A4"/>
    <w:rsid w:val="00DE6565"/>
    <w:rsid w:val="00DE76C9"/>
    <w:rsid w:val="00DF00D5"/>
    <w:rsid w:val="00DF0382"/>
    <w:rsid w:val="00DF0B92"/>
    <w:rsid w:val="00DF2860"/>
    <w:rsid w:val="00DF3723"/>
    <w:rsid w:val="00DF3F3A"/>
    <w:rsid w:val="00DF4355"/>
    <w:rsid w:val="00DF55CE"/>
    <w:rsid w:val="00DF5877"/>
    <w:rsid w:val="00DF590D"/>
    <w:rsid w:val="00DF5C3A"/>
    <w:rsid w:val="00DF656E"/>
    <w:rsid w:val="00DF697F"/>
    <w:rsid w:val="00E00087"/>
    <w:rsid w:val="00E00AE0"/>
    <w:rsid w:val="00E00BBC"/>
    <w:rsid w:val="00E01014"/>
    <w:rsid w:val="00E02456"/>
    <w:rsid w:val="00E02495"/>
    <w:rsid w:val="00E031F9"/>
    <w:rsid w:val="00E042B9"/>
    <w:rsid w:val="00E04324"/>
    <w:rsid w:val="00E05E1D"/>
    <w:rsid w:val="00E05E43"/>
    <w:rsid w:val="00E069D1"/>
    <w:rsid w:val="00E07DAA"/>
    <w:rsid w:val="00E130DB"/>
    <w:rsid w:val="00E1447F"/>
    <w:rsid w:val="00E17473"/>
    <w:rsid w:val="00E17A00"/>
    <w:rsid w:val="00E2076C"/>
    <w:rsid w:val="00E21003"/>
    <w:rsid w:val="00E2178E"/>
    <w:rsid w:val="00E220B6"/>
    <w:rsid w:val="00E2222F"/>
    <w:rsid w:val="00E222DC"/>
    <w:rsid w:val="00E23E18"/>
    <w:rsid w:val="00E24D33"/>
    <w:rsid w:val="00E26610"/>
    <w:rsid w:val="00E26BBF"/>
    <w:rsid w:val="00E30AE3"/>
    <w:rsid w:val="00E315E2"/>
    <w:rsid w:val="00E31B35"/>
    <w:rsid w:val="00E344E7"/>
    <w:rsid w:val="00E356BC"/>
    <w:rsid w:val="00E35AD2"/>
    <w:rsid w:val="00E40E3B"/>
    <w:rsid w:val="00E417C7"/>
    <w:rsid w:val="00E42B54"/>
    <w:rsid w:val="00E430C1"/>
    <w:rsid w:val="00E44163"/>
    <w:rsid w:val="00E44FC4"/>
    <w:rsid w:val="00E45979"/>
    <w:rsid w:val="00E460C3"/>
    <w:rsid w:val="00E46E70"/>
    <w:rsid w:val="00E47449"/>
    <w:rsid w:val="00E507B9"/>
    <w:rsid w:val="00E509C0"/>
    <w:rsid w:val="00E50E24"/>
    <w:rsid w:val="00E510AA"/>
    <w:rsid w:val="00E52553"/>
    <w:rsid w:val="00E52763"/>
    <w:rsid w:val="00E52D69"/>
    <w:rsid w:val="00E543EC"/>
    <w:rsid w:val="00E5513E"/>
    <w:rsid w:val="00E554B8"/>
    <w:rsid w:val="00E55EF2"/>
    <w:rsid w:val="00E56A05"/>
    <w:rsid w:val="00E56E07"/>
    <w:rsid w:val="00E60045"/>
    <w:rsid w:val="00E606D5"/>
    <w:rsid w:val="00E6188F"/>
    <w:rsid w:val="00E626AF"/>
    <w:rsid w:val="00E62C7D"/>
    <w:rsid w:val="00E63348"/>
    <w:rsid w:val="00E6493D"/>
    <w:rsid w:val="00E66607"/>
    <w:rsid w:val="00E66E01"/>
    <w:rsid w:val="00E67570"/>
    <w:rsid w:val="00E67591"/>
    <w:rsid w:val="00E67E03"/>
    <w:rsid w:val="00E71C95"/>
    <w:rsid w:val="00E729ED"/>
    <w:rsid w:val="00E7393C"/>
    <w:rsid w:val="00E74ACD"/>
    <w:rsid w:val="00E74E5F"/>
    <w:rsid w:val="00E76D76"/>
    <w:rsid w:val="00E77D49"/>
    <w:rsid w:val="00E81635"/>
    <w:rsid w:val="00E8164F"/>
    <w:rsid w:val="00E8275E"/>
    <w:rsid w:val="00E82D0E"/>
    <w:rsid w:val="00E833EF"/>
    <w:rsid w:val="00E834D4"/>
    <w:rsid w:val="00E835D7"/>
    <w:rsid w:val="00E83872"/>
    <w:rsid w:val="00E849F8"/>
    <w:rsid w:val="00E8600A"/>
    <w:rsid w:val="00E86735"/>
    <w:rsid w:val="00E86BC1"/>
    <w:rsid w:val="00E87A92"/>
    <w:rsid w:val="00E90ACD"/>
    <w:rsid w:val="00E91409"/>
    <w:rsid w:val="00E91F32"/>
    <w:rsid w:val="00E92560"/>
    <w:rsid w:val="00E9300B"/>
    <w:rsid w:val="00E9431E"/>
    <w:rsid w:val="00E94D91"/>
    <w:rsid w:val="00E96D7E"/>
    <w:rsid w:val="00E97AA8"/>
    <w:rsid w:val="00EA05A3"/>
    <w:rsid w:val="00EA1144"/>
    <w:rsid w:val="00EA1919"/>
    <w:rsid w:val="00EA1A4E"/>
    <w:rsid w:val="00EA25D9"/>
    <w:rsid w:val="00EA2D19"/>
    <w:rsid w:val="00EA3119"/>
    <w:rsid w:val="00EA40D2"/>
    <w:rsid w:val="00EA40F5"/>
    <w:rsid w:val="00EA488B"/>
    <w:rsid w:val="00EA51A8"/>
    <w:rsid w:val="00EA5567"/>
    <w:rsid w:val="00EA63A9"/>
    <w:rsid w:val="00EA7CFD"/>
    <w:rsid w:val="00EB2A1C"/>
    <w:rsid w:val="00EB32C0"/>
    <w:rsid w:val="00EB3A2A"/>
    <w:rsid w:val="00EB4272"/>
    <w:rsid w:val="00EB48F6"/>
    <w:rsid w:val="00EB515B"/>
    <w:rsid w:val="00EB5A98"/>
    <w:rsid w:val="00EB6458"/>
    <w:rsid w:val="00EB6720"/>
    <w:rsid w:val="00EC2578"/>
    <w:rsid w:val="00EC4291"/>
    <w:rsid w:val="00EC4AF0"/>
    <w:rsid w:val="00EC5D05"/>
    <w:rsid w:val="00ED0054"/>
    <w:rsid w:val="00ED0F41"/>
    <w:rsid w:val="00ED194E"/>
    <w:rsid w:val="00ED2372"/>
    <w:rsid w:val="00ED24B2"/>
    <w:rsid w:val="00ED264E"/>
    <w:rsid w:val="00ED3125"/>
    <w:rsid w:val="00ED38E4"/>
    <w:rsid w:val="00ED44DC"/>
    <w:rsid w:val="00ED4FEA"/>
    <w:rsid w:val="00ED53A7"/>
    <w:rsid w:val="00ED5429"/>
    <w:rsid w:val="00ED5C3D"/>
    <w:rsid w:val="00ED73A2"/>
    <w:rsid w:val="00EE1063"/>
    <w:rsid w:val="00EE196A"/>
    <w:rsid w:val="00EE1C6F"/>
    <w:rsid w:val="00EE3DDC"/>
    <w:rsid w:val="00EE4346"/>
    <w:rsid w:val="00EE5577"/>
    <w:rsid w:val="00EE5699"/>
    <w:rsid w:val="00EE5C65"/>
    <w:rsid w:val="00EE5D26"/>
    <w:rsid w:val="00EE5D58"/>
    <w:rsid w:val="00EE6C19"/>
    <w:rsid w:val="00EE78DC"/>
    <w:rsid w:val="00EF04B8"/>
    <w:rsid w:val="00EF0584"/>
    <w:rsid w:val="00EF0613"/>
    <w:rsid w:val="00EF1C06"/>
    <w:rsid w:val="00EF1D06"/>
    <w:rsid w:val="00EF3816"/>
    <w:rsid w:val="00EF422C"/>
    <w:rsid w:val="00EF4DB5"/>
    <w:rsid w:val="00EF65CB"/>
    <w:rsid w:val="00EF6B17"/>
    <w:rsid w:val="00EF6EE7"/>
    <w:rsid w:val="00EF6F41"/>
    <w:rsid w:val="00EF77AB"/>
    <w:rsid w:val="00F02D52"/>
    <w:rsid w:val="00F02EB7"/>
    <w:rsid w:val="00F03598"/>
    <w:rsid w:val="00F04970"/>
    <w:rsid w:val="00F04A90"/>
    <w:rsid w:val="00F04B4E"/>
    <w:rsid w:val="00F062AD"/>
    <w:rsid w:val="00F0687C"/>
    <w:rsid w:val="00F06911"/>
    <w:rsid w:val="00F0756C"/>
    <w:rsid w:val="00F07BD2"/>
    <w:rsid w:val="00F07F85"/>
    <w:rsid w:val="00F10A2B"/>
    <w:rsid w:val="00F1120E"/>
    <w:rsid w:val="00F11681"/>
    <w:rsid w:val="00F11997"/>
    <w:rsid w:val="00F12686"/>
    <w:rsid w:val="00F132C2"/>
    <w:rsid w:val="00F14871"/>
    <w:rsid w:val="00F148EC"/>
    <w:rsid w:val="00F14EB3"/>
    <w:rsid w:val="00F15D5D"/>
    <w:rsid w:val="00F17996"/>
    <w:rsid w:val="00F20E78"/>
    <w:rsid w:val="00F23F2F"/>
    <w:rsid w:val="00F2402A"/>
    <w:rsid w:val="00F25451"/>
    <w:rsid w:val="00F25ED2"/>
    <w:rsid w:val="00F266D4"/>
    <w:rsid w:val="00F2724B"/>
    <w:rsid w:val="00F31621"/>
    <w:rsid w:val="00F31E61"/>
    <w:rsid w:val="00F31E71"/>
    <w:rsid w:val="00F32C4B"/>
    <w:rsid w:val="00F32FA9"/>
    <w:rsid w:val="00F334E6"/>
    <w:rsid w:val="00F33B68"/>
    <w:rsid w:val="00F33CC8"/>
    <w:rsid w:val="00F34880"/>
    <w:rsid w:val="00F35165"/>
    <w:rsid w:val="00F35325"/>
    <w:rsid w:val="00F37A98"/>
    <w:rsid w:val="00F37AD0"/>
    <w:rsid w:val="00F414D3"/>
    <w:rsid w:val="00F41B05"/>
    <w:rsid w:val="00F42EAC"/>
    <w:rsid w:val="00F43DA4"/>
    <w:rsid w:val="00F43FC8"/>
    <w:rsid w:val="00F4463C"/>
    <w:rsid w:val="00F45170"/>
    <w:rsid w:val="00F45D65"/>
    <w:rsid w:val="00F45F78"/>
    <w:rsid w:val="00F465F0"/>
    <w:rsid w:val="00F46870"/>
    <w:rsid w:val="00F47685"/>
    <w:rsid w:val="00F503AF"/>
    <w:rsid w:val="00F50DC6"/>
    <w:rsid w:val="00F50E6C"/>
    <w:rsid w:val="00F5189F"/>
    <w:rsid w:val="00F518AF"/>
    <w:rsid w:val="00F51C7F"/>
    <w:rsid w:val="00F52D6B"/>
    <w:rsid w:val="00F53BA0"/>
    <w:rsid w:val="00F53BFF"/>
    <w:rsid w:val="00F540DF"/>
    <w:rsid w:val="00F544F7"/>
    <w:rsid w:val="00F54DB8"/>
    <w:rsid w:val="00F552AA"/>
    <w:rsid w:val="00F55CC8"/>
    <w:rsid w:val="00F5675A"/>
    <w:rsid w:val="00F56AF9"/>
    <w:rsid w:val="00F57309"/>
    <w:rsid w:val="00F57D17"/>
    <w:rsid w:val="00F61661"/>
    <w:rsid w:val="00F626C4"/>
    <w:rsid w:val="00F62918"/>
    <w:rsid w:val="00F65508"/>
    <w:rsid w:val="00F673A6"/>
    <w:rsid w:val="00F70630"/>
    <w:rsid w:val="00F7094E"/>
    <w:rsid w:val="00F70EEE"/>
    <w:rsid w:val="00F71039"/>
    <w:rsid w:val="00F723AE"/>
    <w:rsid w:val="00F726D0"/>
    <w:rsid w:val="00F730F0"/>
    <w:rsid w:val="00F740CB"/>
    <w:rsid w:val="00F744D9"/>
    <w:rsid w:val="00F75A17"/>
    <w:rsid w:val="00F75CF6"/>
    <w:rsid w:val="00F75EEE"/>
    <w:rsid w:val="00F75F6E"/>
    <w:rsid w:val="00F77083"/>
    <w:rsid w:val="00F77488"/>
    <w:rsid w:val="00F77B23"/>
    <w:rsid w:val="00F80D32"/>
    <w:rsid w:val="00F818E2"/>
    <w:rsid w:val="00F81EB1"/>
    <w:rsid w:val="00F82C31"/>
    <w:rsid w:val="00F82D48"/>
    <w:rsid w:val="00F82E5F"/>
    <w:rsid w:val="00F83A4E"/>
    <w:rsid w:val="00F841C6"/>
    <w:rsid w:val="00F84723"/>
    <w:rsid w:val="00F85A9B"/>
    <w:rsid w:val="00F86C1B"/>
    <w:rsid w:val="00F8707E"/>
    <w:rsid w:val="00F8712D"/>
    <w:rsid w:val="00F9090E"/>
    <w:rsid w:val="00F90C2A"/>
    <w:rsid w:val="00F90EF2"/>
    <w:rsid w:val="00F93222"/>
    <w:rsid w:val="00F93565"/>
    <w:rsid w:val="00F9417F"/>
    <w:rsid w:val="00F94A54"/>
    <w:rsid w:val="00F953F3"/>
    <w:rsid w:val="00F95500"/>
    <w:rsid w:val="00F95B07"/>
    <w:rsid w:val="00F96504"/>
    <w:rsid w:val="00F97493"/>
    <w:rsid w:val="00F97497"/>
    <w:rsid w:val="00F9788A"/>
    <w:rsid w:val="00FA1DBC"/>
    <w:rsid w:val="00FA24F8"/>
    <w:rsid w:val="00FA2581"/>
    <w:rsid w:val="00FA3B37"/>
    <w:rsid w:val="00FA66A4"/>
    <w:rsid w:val="00FB0045"/>
    <w:rsid w:val="00FB01ED"/>
    <w:rsid w:val="00FB0742"/>
    <w:rsid w:val="00FB1D1F"/>
    <w:rsid w:val="00FB2F78"/>
    <w:rsid w:val="00FB3222"/>
    <w:rsid w:val="00FB4771"/>
    <w:rsid w:val="00FB61A2"/>
    <w:rsid w:val="00FC0A12"/>
    <w:rsid w:val="00FC1FC6"/>
    <w:rsid w:val="00FC20AC"/>
    <w:rsid w:val="00FC27E8"/>
    <w:rsid w:val="00FC29E8"/>
    <w:rsid w:val="00FC3A82"/>
    <w:rsid w:val="00FC4803"/>
    <w:rsid w:val="00FC6500"/>
    <w:rsid w:val="00FC6917"/>
    <w:rsid w:val="00FC729E"/>
    <w:rsid w:val="00FC7E6E"/>
    <w:rsid w:val="00FC7F7A"/>
    <w:rsid w:val="00FD0AC1"/>
    <w:rsid w:val="00FD1A5A"/>
    <w:rsid w:val="00FD2228"/>
    <w:rsid w:val="00FD2634"/>
    <w:rsid w:val="00FD409B"/>
    <w:rsid w:val="00FD4936"/>
    <w:rsid w:val="00FD57FC"/>
    <w:rsid w:val="00FD6022"/>
    <w:rsid w:val="00FD675C"/>
    <w:rsid w:val="00FD6831"/>
    <w:rsid w:val="00FD7129"/>
    <w:rsid w:val="00FD73D8"/>
    <w:rsid w:val="00FE1E49"/>
    <w:rsid w:val="00FE2520"/>
    <w:rsid w:val="00FE2F62"/>
    <w:rsid w:val="00FE31C4"/>
    <w:rsid w:val="00FE5483"/>
    <w:rsid w:val="00FE5A59"/>
    <w:rsid w:val="00FE6468"/>
    <w:rsid w:val="00FE6BC0"/>
    <w:rsid w:val="00FE7BC7"/>
    <w:rsid w:val="00FF09BF"/>
    <w:rsid w:val="00FF0C42"/>
    <w:rsid w:val="00FF1BAB"/>
    <w:rsid w:val="00FF1C02"/>
    <w:rsid w:val="00FF21F6"/>
    <w:rsid w:val="00FF2D58"/>
    <w:rsid w:val="00FF2DAF"/>
    <w:rsid w:val="00FF39D3"/>
    <w:rsid w:val="00FF4138"/>
    <w:rsid w:val="00FF4E1F"/>
    <w:rsid w:val="00FF5338"/>
    <w:rsid w:val="00FF571D"/>
    <w:rsid w:val="00FF63A3"/>
    <w:rsid w:val="00FF70E7"/>
    <w:rsid w:val="00FF7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9F7BF2"/>
  <w15:docId w15:val="{E86AF2A9-3B18-4AFB-B5D8-3D1C1F3A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49F3"/>
  </w:style>
  <w:style w:type="paragraph" w:styleId="Heading1">
    <w:name w:val="heading 1"/>
    <w:basedOn w:val="Normal"/>
    <w:next w:val="Normal"/>
    <w:link w:val="Heading1Char"/>
    <w:rsid w:val="002E3591"/>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rsid w:val="002E3591"/>
    <w:pPr>
      <w:keepNext/>
      <w:keepLines/>
      <w:spacing w:before="360" w:after="80"/>
      <w:outlineLvl w:val="1"/>
    </w:pPr>
    <w:rPr>
      <w:b/>
      <w:sz w:val="36"/>
      <w:szCs w:val="36"/>
    </w:rPr>
  </w:style>
  <w:style w:type="paragraph" w:styleId="Heading3">
    <w:name w:val="heading 3"/>
    <w:basedOn w:val="Normal"/>
    <w:next w:val="Normal"/>
    <w:rsid w:val="002E3591"/>
    <w:pPr>
      <w:keepNext/>
      <w:keepLines/>
      <w:spacing w:before="280" w:after="80"/>
      <w:outlineLvl w:val="2"/>
    </w:pPr>
    <w:rPr>
      <w:b/>
      <w:sz w:val="28"/>
      <w:szCs w:val="28"/>
    </w:rPr>
  </w:style>
  <w:style w:type="paragraph" w:styleId="Heading4">
    <w:name w:val="heading 4"/>
    <w:basedOn w:val="Normal"/>
    <w:next w:val="Normal"/>
    <w:rsid w:val="002E3591"/>
    <w:pPr>
      <w:keepNext/>
      <w:keepLines/>
      <w:spacing w:before="240" w:after="40"/>
      <w:outlineLvl w:val="3"/>
    </w:pPr>
    <w:rPr>
      <w:b/>
    </w:rPr>
  </w:style>
  <w:style w:type="paragraph" w:styleId="Heading5">
    <w:name w:val="heading 5"/>
    <w:basedOn w:val="Normal"/>
    <w:next w:val="Normal"/>
    <w:rsid w:val="002E3591"/>
    <w:pPr>
      <w:keepNext/>
      <w:keepLines/>
      <w:spacing w:before="220" w:after="40"/>
      <w:outlineLvl w:val="4"/>
    </w:pPr>
    <w:rPr>
      <w:b/>
      <w:sz w:val="22"/>
      <w:szCs w:val="22"/>
    </w:rPr>
  </w:style>
  <w:style w:type="paragraph" w:styleId="Heading6">
    <w:name w:val="heading 6"/>
    <w:basedOn w:val="Normal"/>
    <w:next w:val="Normal"/>
    <w:rsid w:val="002E359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E3591"/>
    <w:pPr>
      <w:keepNext/>
      <w:keepLines/>
      <w:spacing w:before="480" w:after="120"/>
    </w:pPr>
    <w:rPr>
      <w:b/>
      <w:sz w:val="72"/>
      <w:szCs w:val="72"/>
    </w:rPr>
  </w:style>
  <w:style w:type="paragraph" w:styleId="Subtitle">
    <w:name w:val="Subtitle"/>
    <w:basedOn w:val="Normal"/>
    <w:next w:val="Normal"/>
    <w:rsid w:val="002E359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F493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4933"/>
    <w:rPr>
      <w:rFonts w:ascii="Times New Roman" w:hAnsi="Times New Roman" w:cs="Times New Roman"/>
      <w:sz w:val="18"/>
      <w:szCs w:val="18"/>
    </w:rPr>
  </w:style>
  <w:style w:type="paragraph" w:styleId="NormalWeb">
    <w:name w:val="Normal (Web)"/>
    <w:basedOn w:val="Normal"/>
    <w:uiPriority w:val="99"/>
    <w:semiHidden/>
    <w:unhideWhenUsed/>
    <w:rsid w:val="00231866"/>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D4010E"/>
    <w:pPr>
      <w:ind w:left="720"/>
      <w:contextualSpacing/>
    </w:pPr>
  </w:style>
  <w:style w:type="paragraph" w:styleId="TOC1">
    <w:name w:val="toc 1"/>
    <w:basedOn w:val="Normal"/>
    <w:next w:val="Normal"/>
    <w:autoRedefine/>
    <w:uiPriority w:val="39"/>
    <w:unhideWhenUsed/>
    <w:rsid w:val="00F730F0"/>
  </w:style>
  <w:style w:type="paragraph" w:styleId="TOC2">
    <w:name w:val="toc 2"/>
    <w:basedOn w:val="Normal"/>
    <w:next w:val="Normal"/>
    <w:autoRedefine/>
    <w:uiPriority w:val="39"/>
    <w:unhideWhenUsed/>
    <w:rsid w:val="00F730F0"/>
    <w:pPr>
      <w:ind w:left="240"/>
    </w:pPr>
  </w:style>
  <w:style w:type="paragraph" w:styleId="TOC3">
    <w:name w:val="toc 3"/>
    <w:basedOn w:val="Normal"/>
    <w:next w:val="Normal"/>
    <w:autoRedefine/>
    <w:uiPriority w:val="39"/>
    <w:unhideWhenUsed/>
    <w:rsid w:val="00F730F0"/>
    <w:pPr>
      <w:ind w:left="480"/>
    </w:pPr>
  </w:style>
  <w:style w:type="paragraph" w:styleId="TOC4">
    <w:name w:val="toc 4"/>
    <w:basedOn w:val="Normal"/>
    <w:next w:val="Normal"/>
    <w:autoRedefine/>
    <w:uiPriority w:val="39"/>
    <w:unhideWhenUsed/>
    <w:rsid w:val="00F730F0"/>
    <w:pPr>
      <w:ind w:left="720"/>
    </w:pPr>
  </w:style>
  <w:style w:type="paragraph" w:styleId="TOC5">
    <w:name w:val="toc 5"/>
    <w:basedOn w:val="Normal"/>
    <w:next w:val="Normal"/>
    <w:autoRedefine/>
    <w:uiPriority w:val="39"/>
    <w:unhideWhenUsed/>
    <w:rsid w:val="00F730F0"/>
    <w:pPr>
      <w:ind w:left="960"/>
    </w:pPr>
  </w:style>
  <w:style w:type="paragraph" w:styleId="TOC6">
    <w:name w:val="toc 6"/>
    <w:basedOn w:val="Normal"/>
    <w:next w:val="Normal"/>
    <w:autoRedefine/>
    <w:uiPriority w:val="39"/>
    <w:unhideWhenUsed/>
    <w:rsid w:val="00F730F0"/>
    <w:pPr>
      <w:ind w:left="1200"/>
    </w:pPr>
  </w:style>
  <w:style w:type="paragraph" w:styleId="TOC7">
    <w:name w:val="toc 7"/>
    <w:basedOn w:val="Normal"/>
    <w:next w:val="Normal"/>
    <w:autoRedefine/>
    <w:uiPriority w:val="39"/>
    <w:unhideWhenUsed/>
    <w:rsid w:val="00F730F0"/>
    <w:pPr>
      <w:ind w:left="1440"/>
    </w:pPr>
  </w:style>
  <w:style w:type="paragraph" w:styleId="TOC8">
    <w:name w:val="toc 8"/>
    <w:basedOn w:val="Normal"/>
    <w:next w:val="Normal"/>
    <w:autoRedefine/>
    <w:uiPriority w:val="39"/>
    <w:unhideWhenUsed/>
    <w:rsid w:val="00F730F0"/>
    <w:pPr>
      <w:ind w:left="1680"/>
    </w:pPr>
  </w:style>
  <w:style w:type="paragraph" w:styleId="TOC9">
    <w:name w:val="toc 9"/>
    <w:basedOn w:val="Normal"/>
    <w:next w:val="Normal"/>
    <w:autoRedefine/>
    <w:uiPriority w:val="39"/>
    <w:unhideWhenUsed/>
    <w:rsid w:val="00F730F0"/>
    <w:pPr>
      <w:ind w:left="1920"/>
    </w:pPr>
  </w:style>
  <w:style w:type="character" w:styleId="CommentReference">
    <w:name w:val="annotation reference"/>
    <w:basedOn w:val="DefaultParagraphFont"/>
    <w:uiPriority w:val="99"/>
    <w:semiHidden/>
    <w:unhideWhenUsed/>
    <w:rsid w:val="00741614"/>
    <w:rPr>
      <w:sz w:val="18"/>
      <w:szCs w:val="18"/>
    </w:rPr>
  </w:style>
  <w:style w:type="paragraph" w:styleId="CommentText">
    <w:name w:val="annotation text"/>
    <w:basedOn w:val="Normal"/>
    <w:link w:val="CommentTextChar"/>
    <w:uiPriority w:val="99"/>
    <w:semiHidden/>
    <w:unhideWhenUsed/>
    <w:rsid w:val="00741614"/>
  </w:style>
  <w:style w:type="character" w:customStyle="1" w:styleId="CommentTextChar">
    <w:name w:val="Comment Text Char"/>
    <w:basedOn w:val="DefaultParagraphFont"/>
    <w:link w:val="CommentText"/>
    <w:uiPriority w:val="99"/>
    <w:semiHidden/>
    <w:rsid w:val="00741614"/>
  </w:style>
  <w:style w:type="paragraph" w:styleId="CommentSubject">
    <w:name w:val="annotation subject"/>
    <w:basedOn w:val="CommentText"/>
    <w:next w:val="CommentText"/>
    <w:link w:val="CommentSubjectChar"/>
    <w:uiPriority w:val="99"/>
    <w:semiHidden/>
    <w:unhideWhenUsed/>
    <w:rsid w:val="00741614"/>
    <w:rPr>
      <w:b/>
      <w:bCs/>
      <w:sz w:val="20"/>
      <w:szCs w:val="20"/>
    </w:rPr>
  </w:style>
  <w:style w:type="character" w:customStyle="1" w:styleId="CommentSubjectChar">
    <w:name w:val="Comment Subject Char"/>
    <w:basedOn w:val="CommentTextChar"/>
    <w:link w:val="CommentSubject"/>
    <w:uiPriority w:val="99"/>
    <w:semiHidden/>
    <w:rsid w:val="00741614"/>
    <w:rPr>
      <w:b/>
      <w:bCs/>
      <w:sz w:val="20"/>
      <w:szCs w:val="20"/>
    </w:rPr>
  </w:style>
  <w:style w:type="paragraph" w:customStyle="1" w:styleId="18References">
    <w:name w:val="18. References"/>
    <w:basedOn w:val="Normal"/>
    <w:qFormat/>
    <w:rsid w:val="006950B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hanging="360"/>
      <w:jc w:val="both"/>
    </w:pPr>
    <w:rPr>
      <w:rFonts w:ascii="Garamond" w:hAnsi="Garamond" w:cs="Times New Roman PS MT"/>
      <w:color w:val="000000"/>
      <w:sz w:val="21"/>
      <w:szCs w:val="20"/>
    </w:rPr>
  </w:style>
  <w:style w:type="character" w:styleId="Hyperlink">
    <w:name w:val="Hyperlink"/>
    <w:basedOn w:val="DefaultParagraphFont"/>
    <w:uiPriority w:val="99"/>
    <w:unhideWhenUsed/>
    <w:rsid w:val="005E395C"/>
    <w:rPr>
      <w:color w:val="0000FF" w:themeColor="hyperlink"/>
      <w:u w:val="single"/>
    </w:rPr>
  </w:style>
  <w:style w:type="character" w:styleId="FollowedHyperlink">
    <w:name w:val="FollowedHyperlink"/>
    <w:basedOn w:val="DefaultParagraphFont"/>
    <w:uiPriority w:val="99"/>
    <w:semiHidden/>
    <w:unhideWhenUsed/>
    <w:rsid w:val="00C36B12"/>
    <w:rPr>
      <w:color w:val="800080" w:themeColor="followedHyperlink"/>
      <w:u w:val="single"/>
    </w:rPr>
  </w:style>
  <w:style w:type="paragraph" w:styleId="Header">
    <w:name w:val="header"/>
    <w:basedOn w:val="Normal"/>
    <w:link w:val="HeaderChar"/>
    <w:unhideWhenUsed/>
    <w:rsid w:val="007E03A9"/>
    <w:pPr>
      <w:tabs>
        <w:tab w:val="center" w:pos="4513"/>
        <w:tab w:val="right" w:pos="9026"/>
      </w:tabs>
    </w:pPr>
  </w:style>
  <w:style w:type="character" w:customStyle="1" w:styleId="HeaderChar">
    <w:name w:val="Header Char"/>
    <w:basedOn w:val="DefaultParagraphFont"/>
    <w:link w:val="Header"/>
    <w:rsid w:val="007E03A9"/>
  </w:style>
  <w:style w:type="paragraph" w:styleId="Footer">
    <w:name w:val="footer"/>
    <w:basedOn w:val="Normal"/>
    <w:link w:val="FooterChar"/>
    <w:uiPriority w:val="99"/>
    <w:unhideWhenUsed/>
    <w:rsid w:val="0005295C"/>
    <w:pPr>
      <w:tabs>
        <w:tab w:val="center" w:pos="4513"/>
        <w:tab w:val="right" w:pos="9026"/>
      </w:tabs>
    </w:pPr>
  </w:style>
  <w:style w:type="character" w:customStyle="1" w:styleId="FooterChar">
    <w:name w:val="Footer Char"/>
    <w:basedOn w:val="DefaultParagraphFont"/>
    <w:link w:val="Footer"/>
    <w:uiPriority w:val="99"/>
    <w:rsid w:val="0005295C"/>
  </w:style>
  <w:style w:type="character" w:styleId="PlaceholderText">
    <w:name w:val="Placeholder Text"/>
    <w:basedOn w:val="DefaultParagraphFont"/>
    <w:uiPriority w:val="99"/>
    <w:semiHidden/>
    <w:rsid w:val="005A1707"/>
    <w:rPr>
      <w:color w:val="808080"/>
    </w:rPr>
  </w:style>
  <w:style w:type="table" w:styleId="TableGrid">
    <w:name w:val="Table Grid"/>
    <w:basedOn w:val="TableNormal"/>
    <w:uiPriority w:val="39"/>
    <w:rsid w:val="0057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rsid w:val="007E03A9"/>
  </w:style>
  <w:style w:type="paragraph" w:customStyle="1" w:styleId="Author">
    <w:name w:val="Author"/>
    <w:basedOn w:val="Normal"/>
    <w:rsid w:val="00F50E6C"/>
    <w:rPr>
      <w:rFonts w:ascii="Arial" w:eastAsia="Times" w:hAnsi="Arial" w:cs="Arial"/>
      <w:smallCaps/>
      <w:lang w:val="en-GB"/>
    </w:rPr>
  </w:style>
  <w:style w:type="paragraph" w:customStyle="1" w:styleId="Affiliation">
    <w:name w:val="Affiliation"/>
    <w:basedOn w:val="Normal"/>
    <w:rsid w:val="00F50E6C"/>
    <w:rPr>
      <w:rFonts w:ascii="Arial" w:eastAsia="Times" w:hAnsi="Arial" w:cs="Arial"/>
      <w:szCs w:val="20"/>
      <w:lang w:val="en-GB"/>
    </w:rPr>
  </w:style>
  <w:style w:type="character" w:customStyle="1" w:styleId="Heading1Char">
    <w:name w:val="Heading 1 Char"/>
    <w:basedOn w:val="DefaultParagraphFont"/>
    <w:link w:val="Heading1"/>
    <w:rsid w:val="00225D11"/>
    <w:rPr>
      <w:rFonts w:ascii="Times New Roman" w:eastAsia="Times New Roman" w:hAnsi="Times New Roman" w:cs="Times New Roman"/>
      <w:b/>
      <w:sz w:val="48"/>
      <w:szCs w:val="48"/>
    </w:rPr>
  </w:style>
  <w:style w:type="paragraph" w:styleId="BodyText">
    <w:name w:val="Body Text"/>
    <w:basedOn w:val="Normal"/>
    <w:link w:val="BodyTextChar"/>
    <w:uiPriority w:val="99"/>
    <w:unhideWhenUsed/>
    <w:rsid w:val="00225D11"/>
    <w:pPr>
      <w:spacing w:after="120"/>
    </w:pPr>
    <w:rPr>
      <w:rFonts w:ascii="Arial" w:eastAsia="Times" w:hAnsi="Arial" w:cs="Arial"/>
      <w:szCs w:val="20"/>
      <w:lang w:val="en-GB"/>
    </w:rPr>
  </w:style>
  <w:style w:type="character" w:customStyle="1" w:styleId="BodyTextChar">
    <w:name w:val="Body Text Char"/>
    <w:basedOn w:val="DefaultParagraphFont"/>
    <w:link w:val="BodyText"/>
    <w:uiPriority w:val="99"/>
    <w:rsid w:val="00225D11"/>
    <w:rPr>
      <w:rFonts w:ascii="Arial" w:eastAsia="Times" w:hAnsi="Arial" w:cs="Arial"/>
      <w:szCs w:val="20"/>
      <w:lang w:val="en-GB"/>
    </w:rPr>
  </w:style>
  <w:style w:type="character" w:styleId="SubtleEmphasis">
    <w:name w:val="Subtle Emphasis"/>
    <w:basedOn w:val="DefaultParagraphFont"/>
    <w:uiPriority w:val="19"/>
    <w:qFormat/>
    <w:rsid w:val="008E6984"/>
    <w:rPr>
      <w:i/>
      <w:iCs/>
      <w:color w:val="808080" w:themeColor="text1" w:themeTint="7F"/>
    </w:rPr>
  </w:style>
  <w:style w:type="paragraph" w:styleId="NoSpacing">
    <w:name w:val="No Spacing"/>
    <w:aliases w:val="Main text,Captions"/>
    <w:link w:val="NoSpacingChar"/>
    <w:uiPriority w:val="1"/>
    <w:qFormat/>
    <w:rsid w:val="00263843"/>
  </w:style>
  <w:style w:type="table" w:styleId="GridTable5Dark">
    <w:name w:val="Grid Table 5 Dark"/>
    <w:basedOn w:val="TableNormal"/>
    <w:uiPriority w:val="50"/>
    <w:rsid w:val="005063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50632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50632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50632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50632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0632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Figures"/>
    <w:basedOn w:val="Normal"/>
    <w:next w:val="Normal"/>
    <w:uiPriority w:val="35"/>
    <w:unhideWhenUsed/>
    <w:qFormat/>
    <w:rsid w:val="00073250"/>
    <w:pPr>
      <w:spacing w:after="200"/>
    </w:pPr>
    <w:rPr>
      <w:i/>
      <w:iCs/>
      <w:color w:val="1F497D" w:themeColor="text2"/>
      <w:sz w:val="18"/>
      <w:szCs w:val="18"/>
    </w:rPr>
  </w:style>
  <w:style w:type="character" w:customStyle="1" w:styleId="NoSpacingChar">
    <w:name w:val="No Spacing Char"/>
    <w:aliases w:val="Main text Char,Captions Char"/>
    <w:basedOn w:val="DefaultParagraphFont"/>
    <w:link w:val="NoSpacing"/>
    <w:uiPriority w:val="1"/>
    <w:rsid w:val="009F3677"/>
  </w:style>
  <w:style w:type="paragraph" w:customStyle="1" w:styleId="06BodyMaintext">
    <w:name w:val="06. Body [Main text]"/>
    <w:basedOn w:val="Normal"/>
    <w:autoRedefine/>
    <w:qFormat/>
    <w:rsid w:val="006A6E85"/>
    <w:pPr>
      <w:widowControl w:val="0"/>
      <w:autoSpaceDE w:val="0"/>
      <w:autoSpaceDN w:val="0"/>
      <w:adjustRightInd w:val="0"/>
      <w:spacing w:line="264" w:lineRule="auto"/>
      <w:ind w:firstLine="448"/>
      <w:jc w:val="center"/>
      <w:textAlignment w:val="center"/>
    </w:pPr>
    <w:rPr>
      <w:rFonts w:cstheme="majorHAnsi"/>
      <w:b/>
      <w:sz w:val="20"/>
      <w:szCs w:val="20"/>
    </w:rPr>
  </w:style>
  <w:style w:type="paragraph" w:customStyle="1" w:styleId="14TableHeading">
    <w:name w:val="14. Table Heading"/>
    <w:basedOn w:val="Normal"/>
    <w:autoRedefine/>
    <w:qFormat/>
    <w:rsid w:val="00701C18"/>
    <w:pPr>
      <w:ind w:left="360" w:hanging="360"/>
      <w:jc w:val="center"/>
    </w:pPr>
    <w:rPr>
      <w:rFonts w:ascii="Garamond" w:hAnsi="Garamond" w:cs="Times New Roman"/>
      <w:b/>
      <w:sz w:val="20"/>
      <w:szCs w:val="20"/>
    </w:rPr>
  </w:style>
  <w:style w:type="paragraph" w:customStyle="1" w:styleId="16TableText">
    <w:name w:val="16. Table Text"/>
    <w:basedOn w:val="Normal"/>
    <w:qFormat/>
    <w:rsid w:val="00701C18"/>
    <w:pPr>
      <w:ind w:left="360" w:hanging="360"/>
      <w:jc w:val="center"/>
    </w:pPr>
    <w:rPr>
      <w:rFonts w:ascii="Garamond" w:hAnsi="Garamond" w:cs="Times New Roman"/>
      <w:sz w:val="20"/>
      <w:szCs w:val="20"/>
    </w:rPr>
  </w:style>
  <w:style w:type="paragraph" w:styleId="Revision">
    <w:name w:val="Revision"/>
    <w:hidden/>
    <w:uiPriority w:val="99"/>
    <w:semiHidden/>
    <w:rsid w:val="00354FC9"/>
  </w:style>
  <w:style w:type="character" w:styleId="UnresolvedMention">
    <w:name w:val="Unresolved Mention"/>
    <w:basedOn w:val="DefaultParagraphFont"/>
    <w:uiPriority w:val="99"/>
    <w:semiHidden/>
    <w:unhideWhenUsed/>
    <w:rsid w:val="00D52119"/>
    <w:rPr>
      <w:color w:val="605E5C"/>
      <w:shd w:val="clear" w:color="auto" w:fill="E1DFDD"/>
    </w:rPr>
  </w:style>
  <w:style w:type="paragraph" w:customStyle="1" w:styleId="Standard">
    <w:name w:val="Standard"/>
    <w:rsid w:val="00946477"/>
    <w:pPr>
      <w:suppressAutoHyphens/>
      <w:autoSpaceDN w:val="0"/>
      <w:textAlignment w:val="baseline"/>
    </w:pPr>
    <w:rPr>
      <w:rFonts w:ascii="Times New Roman" w:eastAsia="NSimSun" w:hAnsi="Times New Roman" w:cs="Arial"/>
      <w:kern w:val="3"/>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6969">
      <w:bodyDiv w:val="1"/>
      <w:marLeft w:val="0"/>
      <w:marRight w:val="0"/>
      <w:marTop w:val="0"/>
      <w:marBottom w:val="0"/>
      <w:divBdr>
        <w:top w:val="none" w:sz="0" w:space="0" w:color="auto"/>
        <w:left w:val="none" w:sz="0" w:space="0" w:color="auto"/>
        <w:bottom w:val="none" w:sz="0" w:space="0" w:color="auto"/>
        <w:right w:val="none" w:sz="0" w:space="0" w:color="auto"/>
      </w:divBdr>
    </w:div>
    <w:div w:id="13845410">
      <w:marLeft w:val="0"/>
      <w:marRight w:val="0"/>
      <w:marTop w:val="0"/>
      <w:marBottom w:val="0"/>
      <w:divBdr>
        <w:top w:val="none" w:sz="0" w:space="0" w:color="auto"/>
        <w:left w:val="none" w:sz="0" w:space="0" w:color="auto"/>
        <w:bottom w:val="none" w:sz="0" w:space="0" w:color="auto"/>
        <w:right w:val="none" w:sz="0" w:space="0" w:color="auto"/>
      </w:divBdr>
    </w:div>
    <w:div w:id="16154174">
      <w:bodyDiv w:val="1"/>
      <w:marLeft w:val="0"/>
      <w:marRight w:val="0"/>
      <w:marTop w:val="0"/>
      <w:marBottom w:val="0"/>
      <w:divBdr>
        <w:top w:val="none" w:sz="0" w:space="0" w:color="auto"/>
        <w:left w:val="none" w:sz="0" w:space="0" w:color="auto"/>
        <w:bottom w:val="none" w:sz="0" w:space="0" w:color="auto"/>
        <w:right w:val="none" w:sz="0" w:space="0" w:color="auto"/>
      </w:divBdr>
    </w:div>
    <w:div w:id="25982665">
      <w:bodyDiv w:val="1"/>
      <w:marLeft w:val="0"/>
      <w:marRight w:val="0"/>
      <w:marTop w:val="0"/>
      <w:marBottom w:val="0"/>
      <w:divBdr>
        <w:top w:val="none" w:sz="0" w:space="0" w:color="auto"/>
        <w:left w:val="none" w:sz="0" w:space="0" w:color="auto"/>
        <w:bottom w:val="none" w:sz="0" w:space="0" w:color="auto"/>
        <w:right w:val="none" w:sz="0" w:space="0" w:color="auto"/>
      </w:divBdr>
    </w:div>
    <w:div w:id="36974104">
      <w:bodyDiv w:val="1"/>
      <w:marLeft w:val="0"/>
      <w:marRight w:val="0"/>
      <w:marTop w:val="0"/>
      <w:marBottom w:val="0"/>
      <w:divBdr>
        <w:top w:val="none" w:sz="0" w:space="0" w:color="auto"/>
        <w:left w:val="none" w:sz="0" w:space="0" w:color="auto"/>
        <w:bottom w:val="none" w:sz="0" w:space="0" w:color="auto"/>
        <w:right w:val="none" w:sz="0" w:space="0" w:color="auto"/>
      </w:divBdr>
    </w:div>
    <w:div w:id="42681325">
      <w:bodyDiv w:val="1"/>
      <w:marLeft w:val="0"/>
      <w:marRight w:val="0"/>
      <w:marTop w:val="0"/>
      <w:marBottom w:val="0"/>
      <w:divBdr>
        <w:top w:val="none" w:sz="0" w:space="0" w:color="auto"/>
        <w:left w:val="none" w:sz="0" w:space="0" w:color="auto"/>
        <w:bottom w:val="none" w:sz="0" w:space="0" w:color="auto"/>
        <w:right w:val="none" w:sz="0" w:space="0" w:color="auto"/>
      </w:divBdr>
    </w:div>
    <w:div w:id="59376893">
      <w:bodyDiv w:val="1"/>
      <w:marLeft w:val="0"/>
      <w:marRight w:val="0"/>
      <w:marTop w:val="0"/>
      <w:marBottom w:val="0"/>
      <w:divBdr>
        <w:top w:val="none" w:sz="0" w:space="0" w:color="auto"/>
        <w:left w:val="none" w:sz="0" w:space="0" w:color="auto"/>
        <w:bottom w:val="none" w:sz="0" w:space="0" w:color="auto"/>
        <w:right w:val="none" w:sz="0" w:space="0" w:color="auto"/>
      </w:divBdr>
    </w:div>
    <w:div w:id="99104240">
      <w:bodyDiv w:val="1"/>
      <w:marLeft w:val="0"/>
      <w:marRight w:val="0"/>
      <w:marTop w:val="0"/>
      <w:marBottom w:val="0"/>
      <w:divBdr>
        <w:top w:val="none" w:sz="0" w:space="0" w:color="auto"/>
        <w:left w:val="none" w:sz="0" w:space="0" w:color="auto"/>
        <w:bottom w:val="none" w:sz="0" w:space="0" w:color="auto"/>
        <w:right w:val="none" w:sz="0" w:space="0" w:color="auto"/>
      </w:divBdr>
    </w:div>
    <w:div w:id="101389978">
      <w:bodyDiv w:val="1"/>
      <w:marLeft w:val="0"/>
      <w:marRight w:val="0"/>
      <w:marTop w:val="0"/>
      <w:marBottom w:val="0"/>
      <w:divBdr>
        <w:top w:val="none" w:sz="0" w:space="0" w:color="auto"/>
        <w:left w:val="none" w:sz="0" w:space="0" w:color="auto"/>
        <w:bottom w:val="none" w:sz="0" w:space="0" w:color="auto"/>
        <w:right w:val="none" w:sz="0" w:space="0" w:color="auto"/>
      </w:divBdr>
    </w:div>
    <w:div w:id="106431823">
      <w:bodyDiv w:val="1"/>
      <w:marLeft w:val="0"/>
      <w:marRight w:val="0"/>
      <w:marTop w:val="0"/>
      <w:marBottom w:val="0"/>
      <w:divBdr>
        <w:top w:val="none" w:sz="0" w:space="0" w:color="auto"/>
        <w:left w:val="none" w:sz="0" w:space="0" w:color="auto"/>
        <w:bottom w:val="none" w:sz="0" w:space="0" w:color="auto"/>
        <w:right w:val="none" w:sz="0" w:space="0" w:color="auto"/>
      </w:divBdr>
    </w:div>
    <w:div w:id="180778183">
      <w:bodyDiv w:val="1"/>
      <w:marLeft w:val="0"/>
      <w:marRight w:val="0"/>
      <w:marTop w:val="0"/>
      <w:marBottom w:val="0"/>
      <w:divBdr>
        <w:top w:val="none" w:sz="0" w:space="0" w:color="auto"/>
        <w:left w:val="none" w:sz="0" w:space="0" w:color="auto"/>
        <w:bottom w:val="none" w:sz="0" w:space="0" w:color="auto"/>
        <w:right w:val="none" w:sz="0" w:space="0" w:color="auto"/>
      </w:divBdr>
    </w:div>
    <w:div w:id="189033069">
      <w:bodyDiv w:val="1"/>
      <w:marLeft w:val="0"/>
      <w:marRight w:val="0"/>
      <w:marTop w:val="0"/>
      <w:marBottom w:val="0"/>
      <w:divBdr>
        <w:top w:val="none" w:sz="0" w:space="0" w:color="auto"/>
        <w:left w:val="none" w:sz="0" w:space="0" w:color="auto"/>
        <w:bottom w:val="none" w:sz="0" w:space="0" w:color="auto"/>
        <w:right w:val="none" w:sz="0" w:space="0" w:color="auto"/>
      </w:divBdr>
    </w:div>
    <w:div w:id="198856203">
      <w:bodyDiv w:val="1"/>
      <w:marLeft w:val="0"/>
      <w:marRight w:val="0"/>
      <w:marTop w:val="0"/>
      <w:marBottom w:val="0"/>
      <w:divBdr>
        <w:top w:val="none" w:sz="0" w:space="0" w:color="auto"/>
        <w:left w:val="none" w:sz="0" w:space="0" w:color="auto"/>
        <w:bottom w:val="none" w:sz="0" w:space="0" w:color="auto"/>
        <w:right w:val="none" w:sz="0" w:space="0" w:color="auto"/>
      </w:divBdr>
    </w:div>
    <w:div w:id="207106469">
      <w:bodyDiv w:val="1"/>
      <w:marLeft w:val="0"/>
      <w:marRight w:val="0"/>
      <w:marTop w:val="0"/>
      <w:marBottom w:val="0"/>
      <w:divBdr>
        <w:top w:val="none" w:sz="0" w:space="0" w:color="auto"/>
        <w:left w:val="none" w:sz="0" w:space="0" w:color="auto"/>
        <w:bottom w:val="none" w:sz="0" w:space="0" w:color="auto"/>
        <w:right w:val="none" w:sz="0" w:space="0" w:color="auto"/>
      </w:divBdr>
    </w:div>
    <w:div w:id="262959689">
      <w:bodyDiv w:val="1"/>
      <w:marLeft w:val="0"/>
      <w:marRight w:val="0"/>
      <w:marTop w:val="0"/>
      <w:marBottom w:val="0"/>
      <w:divBdr>
        <w:top w:val="none" w:sz="0" w:space="0" w:color="auto"/>
        <w:left w:val="none" w:sz="0" w:space="0" w:color="auto"/>
        <w:bottom w:val="none" w:sz="0" w:space="0" w:color="auto"/>
        <w:right w:val="none" w:sz="0" w:space="0" w:color="auto"/>
      </w:divBdr>
    </w:div>
    <w:div w:id="270822933">
      <w:bodyDiv w:val="1"/>
      <w:marLeft w:val="0"/>
      <w:marRight w:val="0"/>
      <w:marTop w:val="0"/>
      <w:marBottom w:val="0"/>
      <w:divBdr>
        <w:top w:val="none" w:sz="0" w:space="0" w:color="auto"/>
        <w:left w:val="none" w:sz="0" w:space="0" w:color="auto"/>
        <w:bottom w:val="none" w:sz="0" w:space="0" w:color="auto"/>
        <w:right w:val="none" w:sz="0" w:space="0" w:color="auto"/>
      </w:divBdr>
    </w:div>
    <w:div w:id="283269038">
      <w:bodyDiv w:val="1"/>
      <w:marLeft w:val="0"/>
      <w:marRight w:val="0"/>
      <w:marTop w:val="0"/>
      <w:marBottom w:val="0"/>
      <w:divBdr>
        <w:top w:val="none" w:sz="0" w:space="0" w:color="auto"/>
        <w:left w:val="none" w:sz="0" w:space="0" w:color="auto"/>
        <w:bottom w:val="none" w:sz="0" w:space="0" w:color="auto"/>
        <w:right w:val="none" w:sz="0" w:space="0" w:color="auto"/>
      </w:divBdr>
    </w:div>
    <w:div w:id="310670789">
      <w:bodyDiv w:val="1"/>
      <w:marLeft w:val="0"/>
      <w:marRight w:val="0"/>
      <w:marTop w:val="0"/>
      <w:marBottom w:val="0"/>
      <w:divBdr>
        <w:top w:val="none" w:sz="0" w:space="0" w:color="auto"/>
        <w:left w:val="none" w:sz="0" w:space="0" w:color="auto"/>
        <w:bottom w:val="none" w:sz="0" w:space="0" w:color="auto"/>
        <w:right w:val="none" w:sz="0" w:space="0" w:color="auto"/>
      </w:divBdr>
    </w:div>
    <w:div w:id="327095433">
      <w:bodyDiv w:val="1"/>
      <w:marLeft w:val="0"/>
      <w:marRight w:val="0"/>
      <w:marTop w:val="0"/>
      <w:marBottom w:val="0"/>
      <w:divBdr>
        <w:top w:val="none" w:sz="0" w:space="0" w:color="auto"/>
        <w:left w:val="none" w:sz="0" w:space="0" w:color="auto"/>
        <w:bottom w:val="none" w:sz="0" w:space="0" w:color="auto"/>
        <w:right w:val="none" w:sz="0" w:space="0" w:color="auto"/>
      </w:divBdr>
    </w:div>
    <w:div w:id="347953732">
      <w:bodyDiv w:val="1"/>
      <w:marLeft w:val="0"/>
      <w:marRight w:val="0"/>
      <w:marTop w:val="0"/>
      <w:marBottom w:val="0"/>
      <w:divBdr>
        <w:top w:val="none" w:sz="0" w:space="0" w:color="auto"/>
        <w:left w:val="none" w:sz="0" w:space="0" w:color="auto"/>
        <w:bottom w:val="none" w:sz="0" w:space="0" w:color="auto"/>
        <w:right w:val="none" w:sz="0" w:space="0" w:color="auto"/>
      </w:divBdr>
    </w:div>
    <w:div w:id="376323122">
      <w:bodyDiv w:val="1"/>
      <w:marLeft w:val="0"/>
      <w:marRight w:val="0"/>
      <w:marTop w:val="0"/>
      <w:marBottom w:val="0"/>
      <w:divBdr>
        <w:top w:val="none" w:sz="0" w:space="0" w:color="auto"/>
        <w:left w:val="none" w:sz="0" w:space="0" w:color="auto"/>
        <w:bottom w:val="none" w:sz="0" w:space="0" w:color="auto"/>
        <w:right w:val="none" w:sz="0" w:space="0" w:color="auto"/>
      </w:divBdr>
    </w:div>
    <w:div w:id="379327079">
      <w:bodyDiv w:val="1"/>
      <w:marLeft w:val="0"/>
      <w:marRight w:val="0"/>
      <w:marTop w:val="0"/>
      <w:marBottom w:val="0"/>
      <w:divBdr>
        <w:top w:val="none" w:sz="0" w:space="0" w:color="auto"/>
        <w:left w:val="none" w:sz="0" w:space="0" w:color="auto"/>
        <w:bottom w:val="none" w:sz="0" w:space="0" w:color="auto"/>
        <w:right w:val="none" w:sz="0" w:space="0" w:color="auto"/>
      </w:divBdr>
    </w:div>
    <w:div w:id="387730329">
      <w:bodyDiv w:val="1"/>
      <w:marLeft w:val="0"/>
      <w:marRight w:val="0"/>
      <w:marTop w:val="0"/>
      <w:marBottom w:val="0"/>
      <w:divBdr>
        <w:top w:val="none" w:sz="0" w:space="0" w:color="auto"/>
        <w:left w:val="none" w:sz="0" w:space="0" w:color="auto"/>
        <w:bottom w:val="none" w:sz="0" w:space="0" w:color="auto"/>
        <w:right w:val="none" w:sz="0" w:space="0" w:color="auto"/>
      </w:divBdr>
    </w:div>
    <w:div w:id="392436116">
      <w:marLeft w:val="0"/>
      <w:marRight w:val="0"/>
      <w:marTop w:val="0"/>
      <w:marBottom w:val="0"/>
      <w:divBdr>
        <w:top w:val="none" w:sz="0" w:space="0" w:color="auto"/>
        <w:left w:val="none" w:sz="0" w:space="0" w:color="auto"/>
        <w:bottom w:val="none" w:sz="0" w:space="0" w:color="auto"/>
        <w:right w:val="none" w:sz="0" w:space="0" w:color="auto"/>
      </w:divBdr>
    </w:div>
    <w:div w:id="418527421">
      <w:bodyDiv w:val="1"/>
      <w:marLeft w:val="0"/>
      <w:marRight w:val="0"/>
      <w:marTop w:val="0"/>
      <w:marBottom w:val="0"/>
      <w:divBdr>
        <w:top w:val="none" w:sz="0" w:space="0" w:color="auto"/>
        <w:left w:val="none" w:sz="0" w:space="0" w:color="auto"/>
        <w:bottom w:val="none" w:sz="0" w:space="0" w:color="auto"/>
        <w:right w:val="none" w:sz="0" w:space="0" w:color="auto"/>
      </w:divBdr>
    </w:div>
    <w:div w:id="424041203">
      <w:bodyDiv w:val="1"/>
      <w:marLeft w:val="0"/>
      <w:marRight w:val="0"/>
      <w:marTop w:val="0"/>
      <w:marBottom w:val="0"/>
      <w:divBdr>
        <w:top w:val="none" w:sz="0" w:space="0" w:color="auto"/>
        <w:left w:val="none" w:sz="0" w:space="0" w:color="auto"/>
        <w:bottom w:val="none" w:sz="0" w:space="0" w:color="auto"/>
        <w:right w:val="none" w:sz="0" w:space="0" w:color="auto"/>
      </w:divBdr>
    </w:div>
    <w:div w:id="436759240">
      <w:bodyDiv w:val="1"/>
      <w:marLeft w:val="0"/>
      <w:marRight w:val="0"/>
      <w:marTop w:val="0"/>
      <w:marBottom w:val="0"/>
      <w:divBdr>
        <w:top w:val="none" w:sz="0" w:space="0" w:color="auto"/>
        <w:left w:val="none" w:sz="0" w:space="0" w:color="auto"/>
        <w:bottom w:val="none" w:sz="0" w:space="0" w:color="auto"/>
        <w:right w:val="none" w:sz="0" w:space="0" w:color="auto"/>
      </w:divBdr>
    </w:div>
    <w:div w:id="527836548">
      <w:bodyDiv w:val="1"/>
      <w:marLeft w:val="0"/>
      <w:marRight w:val="0"/>
      <w:marTop w:val="0"/>
      <w:marBottom w:val="0"/>
      <w:divBdr>
        <w:top w:val="none" w:sz="0" w:space="0" w:color="auto"/>
        <w:left w:val="none" w:sz="0" w:space="0" w:color="auto"/>
        <w:bottom w:val="none" w:sz="0" w:space="0" w:color="auto"/>
        <w:right w:val="none" w:sz="0" w:space="0" w:color="auto"/>
      </w:divBdr>
    </w:div>
    <w:div w:id="531651426">
      <w:marLeft w:val="0"/>
      <w:marRight w:val="0"/>
      <w:marTop w:val="0"/>
      <w:marBottom w:val="0"/>
      <w:divBdr>
        <w:top w:val="none" w:sz="0" w:space="0" w:color="auto"/>
        <w:left w:val="none" w:sz="0" w:space="0" w:color="auto"/>
        <w:bottom w:val="none" w:sz="0" w:space="0" w:color="auto"/>
        <w:right w:val="none" w:sz="0" w:space="0" w:color="auto"/>
      </w:divBdr>
    </w:div>
    <w:div w:id="539973081">
      <w:bodyDiv w:val="1"/>
      <w:marLeft w:val="0"/>
      <w:marRight w:val="0"/>
      <w:marTop w:val="0"/>
      <w:marBottom w:val="0"/>
      <w:divBdr>
        <w:top w:val="none" w:sz="0" w:space="0" w:color="auto"/>
        <w:left w:val="none" w:sz="0" w:space="0" w:color="auto"/>
        <w:bottom w:val="none" w:sz="0" w:space="0" w:color="auto"/>
        <w:right w:val="none" w:sz="0" w:space="0" w:color="auto"/>
      </w:divBdr>
    </w:div>
    <w:div w:id="543251044">
      <w:bodyDiv w:val="1"/>
      <w:marLeft w:val="0"/>
      <w:marRight w:val="0"/>
      <w:marTop w:val="0"/>
      <w:marBottom w:val="0"/>
      <w:divBdr>
        <w:top w:val="none" w:sz="0" w:space="0" w:color="auto"/>
        <w:left w:val="none" w:sz="0" w:space="0" w:color="auto"/>
        <w:bottom w:val="none" w:sz="0" w:space="0" w:color="auto"/>
        <w:right w:val="none" w:sz="0" w:space="0" w:color="auto"/>
      </w:divBdr>
    </w:div>
    <w:div w:id="553615113">
      <w:bodyDiv w:val="1"/>
      <w:marLeft w:val="0"/>
      <w:marRight w:val="0"/>
      <w:marTop w:val="0"/>
      <w:marBottom w:val="0"/>
      <w:divBdr>
        <w:top w:val="none" w:sz="0" w:space="0" w:color="auto"/>
        <w:left w:val="none" w:sz="0" w:space="0" w:color="auto"/>
        <w:bottom w:val="none" w:sz="0" w:space="0" w:color="auto"/>
        <w:right w:val="none" w:sz="0" w:space="0" w:color="auto"/>
      </w:divBdr>
    </w:div>
    <w:div w:id="562788625">
      <w:bodyDiv w:val="1"/>
      <w:marLeft w:val="0"/>
      <w:marRight w:val="0"/>
      <w:marTop w:val="0"/>
      <w:marBottom w:val="0"/>
      <w:divBdr>
        <w:top w:val="none" w:sz="0" w:space="0" w:color="auto"/>
        <w:left w:val="none" w:sz="0" w:space="0" w:color="auto"/>
        <w:bottom w:val="none" w:sz="0" w:space="0" w:color="auto"/>
        <w:right w:val="none" w:sz="0" w:space="0" w:color="auto"/>
      </w:divBdr>
    </w:div>
    <w:div w:id="583149034">
      <w:bodyDiv w:val="1"/>
      <w:marLeft w:val="0"/>
      <w:marRight w:val="0"/>
      <w:marTop w:val="0"/>
      <w:marBottom w:val="0"/>
      <w:divBdr>
        <w:top w:val="none" w:sz="0" w:space="0" w:color="auto"/>
        <w:left w:val="none" w:sz="0" w:space="0" w:color="auto"/>
        <w:bottom w:val="none" w:sz="0" w:space="0" w:color="auto"/>
        <w:right w:val="none" w:sz="0" w:space="0" w:color="auto"/>
      </w:divBdr>
    </w:div>
    <w:div w:id="612984380">
      <w:bodyDiv w:val="1"/>
      <w:marLeft w:val="0"/>
      <w:marRight w:val="0"/>
      <w:marTop w:val="0"/>
      <w:marBottom w:val="0"/>
      <w:divBdr>
        <w:top w:val="none" w:sz="0" w:space="0" w:color="auto"/>
        <w:left w:val="none" w:sz="0" w:space="0" w:color="auto"/>
        <w:bottom w:val="none" w:sz="0" w:space="0" w:color="auto"/>
        <w:right w:val="none" w:sz="0" w:space="0" w:color="auto"/>
      </w:divBdr>
    </w:div>
    <w:div w:id="642321129">
      <w:bodyDiv w:val="1"/>
      <w:marLeft w:val="0"/>
      <w:marRight w:val="0"/>
      <w:marTop w:val="0"/>
      <w:marBottom w:val="0"/>
      <w:divBdr>
        <w:top w:val="none" w:sz="0" w:space="0" w:color="auto"/>
        <w:left w:val="none" w:sz="0" w:space="0" w:color="auto"/>
        <w:bottom w:val="none" w:sz="0" w:space="0" w:color="auto"/>
        <w:right w:val="none" w:sz="0" w:space="0" w:color="auto"/>
      </w:divBdr>
    </w:div>
    <w:div w:id="662121472">
      <w:bodyDiv w:val="1"/>
      <w:marLeft w:val="0"/>
      <w:marRight w:val="0"/>
      <w:marTop w:val="0"/>
      <w:marBottom w:val="0"/>
      <w:divBdr>
        <w:top w:val="none" w:sz="0" w:space="0" w:color="auto"/>
        <w:left w:val="none" w:sz="0" w:space="0" w:color="auto"/>
        <w:bottom w:val="none" w:sz="0" w:space="0" w:color="auto"/>
        <w:right w:val="none" w:sz="0" w:space="0" w:color="auto"/>
      </w:divBdr>
    </w:div>
    <w:div w:id="662507561">
      <w:bodyDiv w:val="1"/>
      <w:marLeft w:val="0"/>
      <w:marRight w:val="0"/>
      <w:marTop w:val="0"/>
      <w:marBottom w:val="0"/>
      <w:divBdr>
        <w:top w:val="none" w:sz="0" w:space="0" w:color="auto"/>
        <w:left w:val="none" w:sz="0" w:space="0" w:color="auto"/>
        <w:bottom w:val="none" w:sz="0" w:space="0" w:color="auto"/>
        <w:right w:val="none" w:sz="0" w:space="0" w:color="auto"/>
      </w:divBdr>
    </w:div>
    <w:div w:id="673841218">
      <w:bodyDiv w:val="1"/>
      <w:marLeft w:val="0"/>
      <w:marRight w:val="0"/>
      <w:marTop w:val="0"/>
      <w:marBottom w:val="0"/>
      <w:divBdr>
        <w:top w:val="none" w:sz="0" w:space="0" w:color="auto"/>
        <w:left w:val="none" w:sz="0" w:space="0" w:color="auto"/>
        <w:bottom w:val="none" w:sz="0" w:space="0" w:color="auto"/>
        <w:right w:val="none" w:sz="0" w:space="0" w:color="auto"/>
      </w:divBdr>
    </w:div>
    <w:div w:id="717509238">
      <w:bodyDiv w:val="1"/>
      <w:marLeft w:val="0"/>
      <w:marRight w:val="0"/>
      <w:marTop w:val="0"/>
      <w:marBottom w:val="0"/>
      <w:divBdr>
        <w:top w:val="none" w:sz="0" w:space="0" w:color="auto"/>
        <w:left w:val="none" w:sz="0" w:space="0" w:color="auto"/>
        <w:bottom w:val="none" w:sz="0" w:space="0" w:color="auto"/>
        <w:right w:val="none" w:sz="0" w:space="0" w:color="auto"/>
      </w:divBdr>
    </w:div>
    <w:div w:id="725299076">
      <w:bodyDiv w:val="1"/>
      <w:marLeft w:val="0"/>
      <w:marRight w:val="0"/>
      <w:marTop w:val="0"/>
      <w:marBottom w:val="0"/>
      <w:divBdr>
        <w:top w:val="none" w:sz="0" w:space="0" w:color="auto"/>
        <w:left w:val="none" w:sz="0" w:space="0" w:color="auto"/>
        <w:bottom w:val="none" w:sz="0" w:space="0" w:color="auto"/>
        <w:right w:val="none" w:sz="0" w:space="0" w:color="auto"/>
      </w:divBdr>
    </w:div>
    <w:div w:id="751321855">
      <w:bodyDiv w:val="1"/>
      <w:marLeft w:val="0"/>
      <w:marRight w:val="0"/>
      <w:marTop w:val="0"/>
      <w:marBottom w:val="0"/>
      <w:divBdr>
        <w:top w:val="none" w:sz="0" w:space="0" w:color="auto"/>
        <w:left w:val="none" w:sz="0" w:space="0" w:color="auto"/>
        <w:bottom w:val="none" w:sz="0" w:space="0" w:color="auto"/>
        <w:right w:val="none" w:sz="0" w:space="0" w:color="auto"/>
      </w:divBdr>
    </w:div>
    <w:div w:id="832067181">
      <w:bodyDiv w:val="1"/>
      <w:marLeft w:val="0"/>
      <w:marRight w:val="0"/>
      <w:marTop w:val="0"/>
      <w:marBottom w:val="0"/>
      <w:divBdr>
        <w:top w:val="none" w:sz="0" w:space="0" w:color="auto"/>
        <w:left w:val="none" w:sz="0" w:space="0" w:color="auto"/>
        <w:bottom w:val="none" w:sz="0" w:space="0" w:color="auto"/>
        <w:right w:val="none" w:sz="0" w:space="0" w:color="auto"/>
      </w:divBdr>
    </w:div>
    <w:div w:id="857164293">
      <w:bodyDiv w:val="1"/>
      <w:marLeft w:val="0"/>
      <w:marRight w:val="0"/>
      <w:marTop w:val="0"/>
      <w:marBottom w:val="0"/>
      <w:divBdr>
        <w:top w:val="none" w:sz="0" w:space="0" w:color="auto"/>
        <w:left w:val="none" w:sz="0" w:space="0" w:color="auto"/>
        <w:bottom w:val="none" w:sz="0" w:space="0" w:color="auto"/>
        <w:right w:val="none" w:sz="0" w:space="0" w:color="auto"/>
      </w:divBdr>
    </w:div>
    <w:div w:id="881093202">
      <w:bodyDiv w:val="1"/>
      <w:marLeft w:val="0"/>
      <w:marRight w:val="0"/>
      <w:marTop w:val="0"/>
      <w:marBottom w:val="0"/>
      <w:divBdr>
        <w:top w:val="none" w:sz="0" w:space="0" w:color="auto"/>
        <w:left w:val="none" w:sz="0" w:space="0" w:color="auto"/>
        <w:bottom w:val="none" w:sz="0" w:space="0" w:color="auto"/>
        <w:right w:val="none" w:sz="0" w:space="0" w:color="auto"/>
      </w:divBdr>
    </w:div>
    <w:div w:id="890270501">
      <w:bodyDiv w:val="1"/>
      <w:marLeft w:val="0"/>
      <w:marRight w:val="0"/>
      <w:marTop w:val="0"/>
      <w:marBottom w:val="0"/>
      <w:divBdr>
        <w:top w:val="none" w:sz="0" w:space="0" w:color="auto"/>
        <w:left w:val="none" w:sz="0" w:space="0" w:color="auto"/>
        <w:bottom w:val="none" w:sz="0" w:space="0" w:color="auto"/>
        <w:right w:val="none" w:sz="0" w:space="0" w:color="auto"/>
      </w:divBdr>
    </w:div>
    <w:div w:id="891502493">
      <w:bodyDiv w:val="1"/>
      <w:marLeft w:val="0"/>
      <w:marRight w:val="0"/>
      <w:marTop w:val="0"/>
      <w:marBottom w:val="0"/>
      <w:divBdr>
        <w:top w:val="none" w:sz="0" w:space="0" w:color="auto"/>
        <w:left w:val="none" w:sz="0" w:space="0" w:color="auto"/>
        <w:bottom w:val="none" w:sz="0" w:space="0" w:color="auto"/>
        <w:right w:val="none" w:sz="0" w:space="0" w:color="auto"/>
      </w:divBdr>
    </w:div>
    <w:div w:id="927925271">
      <w:bodyDiv w:val="1"/>
      <w:marLeft w:val="0"/>
      <w:marRight w:val="0"/>
      <w:marTop w:val="0"/>
      <w:marBottom w:val="0"/>
      <w:divBdr>
        <w:top w:val="none" w:sz="0" w:space="0" w:color="auto"/>
        <w:left w:val="none" w:sz="0" w:space="0" w:color="auto"/>
        <w:bottom w:val="none" w:sz="0" w:space="0" w:color="auto"/>
        <w:right w:val="none" w:sz="0" w:space="0" w:color="auto"/>
      </w:divBdr>
    </w:div>
    <w:div w:id="945888219">
      <w:bodyDiv w:val="1"/>
      <w:marLeft w:val="0"/>
      <w:marRight w:val="0"/>
      <w:marTop w:val="0"/>
      <w:marBottom w:val="0"/>
      <w:divBdr>
        <w:top w:val="none" w:sz="0" w:space="0" w:color="auto"/>
        <w:left w:val="none" w:sz="0" w:space="0" w:color="auto"/>
        <w:bottom w:val="none" w:sz="0" w:space="0" w:color="auto"/>
        <w:right w:val="none" w:sz="0" w:space="0" w:color="auto"/>
      </w:divBdr>
    </w:div>
    <w:div w:id="956370611">
      <w:bodyDiv w:val="1"/>
      <w:marLeft w:val="0"/>
      <w:marRight w:val="0"/>
      <w:marTop w:val="0"/>
      <w:marBottom w:val="0"/>
      <w:divBdr>
        <w:top w:val="none" w:sz="0" w:space="0" w:color="auto"/>
        <w:left w:val="none" w:sz="0" w:space="0" w:color="auto"/>
        <w:bottom w:val="none" w:sz="0" w:space="0" w:color="auto"/>
        <w:right w:val="none" w:sz="0" w:space="0" w:color="auto"/>
      </w:divBdr>
    </w:div>
    <w:div w:id="963776284">
      <w:bodyDiv w:val="1"/>
      <w:marLeft w:val="0"/>
      <w:marRight w:val="0"/>
      <w:marTop w:val="0"/>
      <w:marBottom w:val="0"/>
      <w:divBdr>
        <w:top w:val="none" w:sz="0" w:space="0" w:color="auto"/>
        <w:left w:val="none" w:sz="0" w:space="0" w:color="auto"/>
        <w:bottom w:val="none" w:sz="0" w:space="0" w:color="auto"/>
        <w:right w:val="none" w:sz="0" w:space="0" w:color="auto"/>
      </w:divBdr>
    </w:div>
    <w:div w:id="980772029">
      <w:bodyDiv w:val="1"/>
      <w:marLeft w:val="0"/>
      <w:marRight w:val="0"/>
      <w:marTop w:val="0"/>
      <w:marBottom w:val="0"/>
      <w:divBdr>
        <w:top w:val="none" w:sz="0" w:space="0" w:color="auto"/>
        <w:left w:val="none" w:sz="0" w:space="0" w:color="auto"/>
        <w:bottom w:val="none" w:sz="0" w:space="0" w:color="auto"/>
        <w:right w:val="none" w:sz="0" w:space="0" w:color="auto"/>
      </w:divBdr>
    </w:div>
    <w:div w:id="993726813">
      <w:bodyDiv w:val="1"/>
      <w:marLeft w:val="0"/>
      <w:marRight w:val="0"/>
      <w:marTop w:val="0"/>
      <w:marBottom w:val="0"/>
      <w:divBdr>
        <w:top w:val="none" w:sz="0" w:space="0" w:color="auto"/>
        <w:left w:val="none" w:sz="0" w:space="0" w:color="auto"/>
        <w:bottom w:val="none" w:sz="0" w:space="0" w:color="auto"/>
        <w:right w:val="none" w:sz="0" w:space="0" w:color="auto"/>
      </w:divBdr>
    </w:div>
    <w:div w:id="1002047929">
      <w:bodyDiv w:val="1"/>
      <w:marLeft w:val="0"/>
      <w:marRight w:val="0"/>
      <w:marTop w:val="0"/>
      <w:marBottom w:val="0"/>
      <w:divBdr>
        <w:top w:val="none" w:sz="0" w:space="0" w:color="auto"/>
        <w:left w:val="none" w:sz="0" w:space="0" w:color="auto"/>
        <w:bottom w:val="none" w:sz="0" w:space="0" w:color="auto"/>
        <w:right w:val="none" w:sz="0" w:space="0" w:color="auto"/>
      </w:divBdr>
    </w:div>
    <w:div w:id="1013461830">
      <w:bodyDiv w:val="1"/>
      <w:marLeft w:val="0"/>
      <w:marRight w:val="0"/>
      <w:marTop w:val="0"/>
      <w:marBottom w:val="0"/>
      <w:divBdr>
        <w:top w:val="none" w:sz="0" w:space="0" w:color="auto"/>
        <w:left w:val="none" w:sz="0" w:space="0" w:color="auto"/>
        <w:bottom w:val="none" w:sz="0" w:space="0" w:color="auto"/>
        <w:right w:val="none" w:sz="0" w:space="0" w:color="auto"/>
      </w:divBdr>
    </w:div>
    <w:div w:id="1058086935">
      <w:bodyDiv w:val="1"/>
      <w:marLeft w:val="0"/>
      <w:marRight w:val="0"/>
      <w:marTop w:val="0"/>
      <w:marBottom w:val="0"/>
      <w:divBdr>
        <w:top w:val="none" w:sz="0" w:space="0" w:color="auto"/>
        <w:left w:val="none" w:sz="0" w:space="0" w:color="auto"/>
        <w:bottom w:val="none" w:sz="0" w:space="0" w:color="auto"/>
        <w:right w:val="none" w:sz="0" w:space="0" w:color="auto"/>
      </w:divBdr>
    </w:div>
    <w:div w:id="1105661407">
      <w:bodyDiv w:val="1"/>
      <w:marLeft w:val="0"/>
      <w:marRight w:val="0"/>
      <w:marTop w:val="0"/>
      <w:marBottom w:val="0"/>
      <w:divBdr>
        <w:top w:val="none" w:sz="0" w:space="0" w:color="auto"/>
        <w:left w:val="none" w:sz="0" w:space="0" w:color="auto"/>
        <w:bottom w:val="none" w:sz="0" w:space="0" w:color="auto"/>
        <w:right w:val="none" w:sz="0" w:space="0" w:color="auto"/>
      </w:divBdr>
    </w:div>
    <w:div w:id="1110851938">
      <w:bodyDiv w:val="1"/>
      <w:marLeft w:val="0"/>
      <w:marRight w:val="0"/>
      <w:marTop w:val="0"/>
      <w:marBottom w:val="0"/>
      <w:divBdr>
        <w:top w:val="none" w:sz="0" w:space="0" w:color="auto"/>
        <w:left w:val="none" w:sz="0" w:space="0" w:color="auto"/>
        <w:bottom w:val="none" w:sz="0" w:space="0" w:color="auto"/>
        <w:right w:val="none" w:sz="0" w:space="0" w:color="auto"/>
      </w:divBdr>
    </w:div>
    <w:div w:id="1134059512">
      <w:bodyDiv w:val="1"/>
      <w:marLeft w:val="0"/>
      <w:marRight w:val="0"/>
      <w:marTop w:val="0"/>
      <w:marBottom w:val="0"/>
      <w:divBdr>
        <w:top w:val="none" w:sz="0" w:space="0" w:color="auto"/>
        <w:left w:val="none" w:sz="0" w:space="0" w:color="auto"/>
        <w:bottom w:val="none" w:sz="0" w:space="0" w:color="auto"/>
        <w:right w:val="none" w:sz="0" w:space="0" w:color="auto"/>
      </w:divBdr>
    </w:div>
    <w:div w:id="1137841430">
      <w:bodyDiv w:val="1"/>
      <w:marLeft w:val="0"/>
      <w:marRight w:val="0"/>
      <w:marTop w:val="0"/>
      <w:marBottom w:val="0"/>
      <w:divBdr>
        <w:top w:val="none" w:sz="0" w:space="0" w:color="auto"/>
        <w:left w:val="none" w:sz="0" w:space="0" w:color="auto"/>
        <w:bottom w:val="none" w:sz="0" w:space="0" w:color="auto"/>
        <w:right w:val="none" w:sz="0" w:space="0" w:color="auto"/>
      </w:divBdr>
    </w:div>
    <w:div w:id="1158501329">
      <w:bodyDiv w:val="1"/>
      <w:marLeft w:val="0"/>
      <w:marRight w:val="0"/>
      <w:marTop w:val="0"/>
      <w:marBottom w:val="0"/>
      <w:divBdr>
        <w:top w:val="none" w:sz="0" w:space="0" w:color="auto"/>
        <w:left w:val="none" w:sz="0" w:space="0" w:color="auto"/>
        <w:bottom w:val="none" w:sz="0" w:space="0" w:color="auto"/>
        <w:right w:val="none" w:sz="0" w:space="0" w:color="auto"/>
      </w:divBdr>
    </w:div>
    <w:div w:id="1176573165">
      <w:bodyDiv w:val="1"/>
      <w:marLeft w:val="0"/>
      <w:marRight w:val="0"/>
      <w:marTop w:val="0"/>
      <w:marBottom w:val="0"/>
      <w:divBdr>
        <w:top w:val="none" w:sz="0" w:space="0" w:color="auto"/>
        <w:left w:val="none" w:sz="0" w:space="0" w:color="auto"/>
        <w:bottom w:val="none" w:sz="0" w:space="0" w:color="auto"/>
        <w:right w:val="none" w:sz="0" w:space="0" w:color="auto"/>
      </w:divBdr>
    </w:div>
    <w:div w:id="1181046365">
      <w:bodyDiv w:val="1"/>
      <w:marLeft w:val="0"/>
      <w:marRight w:val="0"/>
      <w:marTop w:val="0"/>
      <w:marBottom w:val="0"/>
      <w:divBdr>
        <w:top w:val="none" w:sz="0" w:space="0" w:color="auto"/>
        <w:left w:val="none" w:sz="0" w:space="0" w:color="auto"/>
        <w:bottom w:val="none" w:sz="0" w:space="0" w:color="auto"/>
        <w:right w:val="none" w:sz="0" w:space="0" w:color="auto"/>
      </w:divBdr>
    </w:div>
    <w:div w:id="1181092250">
      <w:bodyDiv w:val="1"/>
      <w:marLeft w:val="0"/>
      <w:marRight w:val="0"/>
      <w:marTop w:val="0"/>
      <w:marBottom w:val="0"/>
      <w:divBdr>
        <w:top w:val="none" w:sz="0" w:space="0" w:color="auto"/>
        <w:left w:val="none" w:sz="0" w:space="0" w:color="auto"/>
        <w:bottom w:val="none" w:sz="0" w:space="0" w:color="auto"/>
        <w:right w:val="none" w:sz="0" w:space="0" w:color="auto"/>
      </w:divBdr>
    </w:div>
    <w:div w:id="1188372740">
      <w:bodyDiv w:val="1"/>
      <w:marLeft w:val="0"/>
      <w:marRight w:val="0"/>
      <w:marTop w:val="0"/>
      <w:marBottom w:val="0"/>
      <w:divBdr>
        <w:top w:val="none" w:sz="0" w:space="0" w:color="auto"/>
        <w:left w:val="none" w:sz="0" w:space="0" w:color="auto"/>
        <w:bottom w:val="none" w:sz="0" w:space="0" w:color="auto"/>
        <w:right w:val="none" w:sz="0" w:space="0" w:color="auto"/>
      </w:divBdr>
    </w:div>
    <w:div w:id="1188643533">
      <w:bodyDiv w:val="1"/>
      <w:marLeft w:val="0"/>
      <w:marRight w:val="0"/>
      <w:marTop w:val="0"/>
      <w:marBottom w:val="0"/>
      <w:divBdr>
        <w:top w:val="none" w:sz="0" w:space="0" w:color="auto"/>
        <w:left w:val="none" w:sz="0" w:space="0" w:color="auto"/>
        <w:bottom w:val="none" w:sz="0" w:space="0" w:color="auto"/>
        <w:right w:val="none" w:sz="0" w:space="0" w:color="auto"/>
      </w:divBdr>
    </w:div>
    <w:div w:id="1218276011">
      <w:bodyDiv w:val="1"/>
      <w:marLeft w:val="0"/>
      <w:marRight w:val="0"/>
      <w:marTop w:val="0"/>
      <w:marBottom w:val="0"/>
      <w:divBdr>
        <w:top w:val="none" w:sz="0" w:space="0" w:color="auto"/>
        <w:left w:val="none" w:sz="0" w:space="0" w:color="auto"/>
        <w:bottom w:val="none" w:sz="0" w:space="0" w:color="auto"/>
        <w:right w:val="none" w:sz="0" w:space="0" w:color="auto"/>
      </w:divBdr>
    </w:div>
    <w:div w:id="1235554701">
      <w:bodyDiv w:val="1"/>
      <w:marLeft w:val="0"/>
      <w:marRight w:val="0"/>
      <w:marTop w:val="0"/>
      <w:marBottom w:val="0"/>
      <w:divBdr>
        <w:top w:val="none" w:sz="0" w:space="0" w:color="auto"/>
        <w:left w:val="none" w:sz="0" w:space="0" w:color="auto"/>
        <w:bottom w:val="none" w:sz="0" w:space="0" w:color="auto"/>
        <w:right w:val="none" w:sz="0" w:space="0" w:color="auto"/>
      </w:divBdr>
    </w:div>
    <w:div w:id="1267424698">
      <w:bodyDiv w:val="1"/>
      <w:marLeft w:val="0"/>
      <w:marRight w:val="0"/>
      <w:marTop w:val="0"/>
      <w:marBottom w:val="0"/>
      <w:divBdr>
        <w:top w:val="none" w:sz="0" w:space="0" w:color="auto"/>
        <w:left w:val="none" w:sz="0" w:space="0" w:color="auto"/>
        <w:bottom w:val="none" w:sz="0" w:space="0" w:color="auto"/>
        <w:right w:val="none" w:sz="0" w:space="0" w:color="auto"/>
      </w:divBdr>
    </w:div>
    <w:div w:id="1282491397">
      <w:bodyDiv w:val="1"/>
      <w:marLeft w:val="0"/>
      <w:marRight w:val="0"/>
      <w:marTop w:val="0"/>
      <w:marBottom w:val="0"/>
      <w:divBdr>
        <w:top w:val="none" w:sz="0" w:space="0" w:color="auto"/>
        <w:left w:val="none" w:sz="0" w:space="0" w:color="auto"/>
        <w:bottom w:val="none" w:sz="0" w:space="0" w:color="auto"/>
        <w:right w:val="none" w:sz="0" w:space="0" w:color="auto"/>
      </w:divBdr>
    </w:div>
    <w:div w:id="1288118906">
      <w:bodyDiv w:val="1"/>
      <w:marLeft w:val="0"/>
      <w:marRight w:val="0"/>
      <w:marTop w:val="0"/>
      <w:marBottom w:val="0"/>
      <w:divBdr>
        <w:top w:val="none" w:sz="0" w:space="0" w:color="auto"/>
        <w:left w:val="none" w:sz="0" w:space="0" w:color="auto"/>
        <w:bottom w:val="none" w:sz="0" w:space="0" w:color="auto"/>
        <w:right w:val="none" w:sz="0" w:space="0" w:color="auto"/>
      </w:divBdr>
    </w:div>
    <w:div w:id="1302417928">
      <w:bodyDiv w:val="1"/>
      <w:marLeft w:val="0"/>
      <w:marRight w:val="0"/>
      <w:marTop w:val="0"/>
      <w:marBottom w:val="0"/>
      <w:divBdr>
        <w:top w:val="none" w:sz="0" w:space="0" w:color="auto"/>
        <w:left w:val="none" w:sz="0" w:space="0" w:color="auto"/>
        <w:bottom w:val="none" w:sz="0" w:space="0" w:color="auto"/>
        <w:right w:val="none" w:sz="0" w:space="0" w:color="auto"/>
      </w:divBdr>
    </w:div>
    <w:div w:id="1306351926">
      <w:bodyDiv w:val="1"/>
      <w:marLeft w:val="0"/>
      <w:marRight w:val="0"/>
      <w:marTop w:val="0"/>
      <w:marBottom w:val="0"/>
      <w:divBdr>
        <w:top w:val="none" w:sz="0" w:space="0" w:color="auto"/>
        <w:left w:val="none" w:sz="0" w:space="0" w:color="auto"/>
        <w:bottom w:val="none" w:sz="0" w:space="0" w:color="auto"/>
        <w:right w:val="none" w:sz="0" w:space="0" w:color="auto"/>
      </w:divBdr>
    </w:div>
    <w:div w:id="1310019600">
      <w:bodyDiv w:val="1"/>
      <w:marLeft w:val="0"/>
      <w:marRight w:val="0"/>
      <w:marTop w:val="0"/>
      <w:marBottom w:val="0"/>
      <w:divBdr>
        <w:top w:val="none" w:sz="0" w:space="0" w:color="auto"/>
        <w:left w:val="none" w:sz="0" w:space="0" w:color="auto"/>
        <w:bottom w:val="none" w:sz="0" w:space="0" w:color="auto"/>
        <w:right w:val="none" w:sz="0" w:space="0" w:color="auto"/>
      </w:divBdr>
    </w:div>
    <w:div w:id="1351057304">
      <w:bodyDiv w:val="1"/>
      <w:marLeft w:val="0"/>
      <w:marRight w:val="0"/>
      <w:marTop w:val="0"/>
      <w:marBottom w:val="0"/>
      <w:divBdr>
        <w:top w:val="none" w:sz="0" w:space="0" w:color="auto"/>
        <w:left w:val="none" w:sz="0" w:space="0" w:color="auto"/>
        <w:bottom w:val="none" w:sz="0" w:space="0" w:color="auto"/>
        <w:right w:val="none" w:sz="0" w:space="0" w:color="auto"/>
      </w:divBdr>
    </w:div>
    <w:div w:id="1354186806">
      <w:bodyDiv w:val="1"/>
      <w:marLeft w:val="0"/>
      <w:marRight w:val="0"/>
      <w:marTop w:val="0"/>
      <w:marBottom w:val="0"/>
      <w:divBdr>
        <w:top w:val="none" w:sz="0" w:space="0" w:color="auto"/>
        <w:left w:val="none" w:sz="0" w:space="0" w:color="auto"/>
        <w:bottom w:val="none" w:sz="0" w:space="0" w:color="auto"/>
        <w:right w:val="none" w:sz="0" w:space="0" w:color="auto"/>
      </w:divBdr>
    </w:div>
    <w:div w:id="1368482382">
      <w:bodyDiv w:val="1"/>
      <w:marLeft w:val="0"/>
      <w:marRight w:val="0"/>
      <w:marTop w:val="0"/>
      <w:marBottom w:val="0"/>
      <w:divBdr>
        <w:top w:val="none" w:sz="0" w:space="0" w:color="auto"/>
        <w:left w:val="none" w:sz="0" w:space="0" w:color="auto"/>
        <w:bottom w:val="none" w:sz="0" w:space="0" w:color="auto"/>
        <w:right w:val="none" w:sz="0" w:space="0" w:color="auto"/>
      </w:divBdr>
    </w:div>
    <w:div w:id="1372926471">
      <w:bodyDiv w:val="1"/>
      <w:marLeft w:val="0"/>
      <w:marRight w:val="0"/>
      <w:marTop w:val="0"/>
      <w:marBottom w:val="0"/>
      <w:divBdr>
        <w:top w:val="none" w:sz="0" w:space="0" w:color="auto"/>
        <w:left w:val="none" w:sz="0" w:space="0" w:color="auto"/>
        <w:bottom w:val="none" w:sz="0" w:space="0" w:color="auto"/>
        <w:right w:val="none" w:sz="0" w:space="0" w:color="auto"/>
      </w:divBdr>
      <w:divsChild>
        <w:div w:id="766384892">
          <w:marLeft w:val="480"/>
          <w:marRight w:val="0"/>
          <w:marTop w:val="0"/>
          <w:marBottom w:val="0"/>
          <w:divBdr>
            <w:top w:val="none" w:sz="0" w:space="0" w:color="auto"/>
            <w:left w:val="none" w:sz="0" w:space="0" w:color="auto"/>
            <w:bottom w:val="none" w:sz="0" w:space="0" w:color="auto"/>
            <w:right w:val="none" w:sz="0" w:space="0" w:color="auto"/>
          </w:divBdr>
          <w:divsChild>
            <w:div w:id="287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5095">
      <w:bodyDiv w:val="1"/>
      <w:marLeft w:val="0"/>
      <w:marRight w:val="0"/>
      <w:marTop w:val="0"/>
      <w:marBottom w:val="0"/>
      <w:divBdr>
        <w:top w:val="none" w:sz="0" w:space="0" w:color="auto"/>
        <w:left w:val="none" w:sz="0" w:space="0" w:color="auto"/>
        <w:bottom w:val="none" w:sz="0" w:space="0" w:color="auto"/>
        <w:right w:val="none" w:sz="0" w:space="0" w:color="auto"/>
      </w:divBdr>
    </w:div>
    <w:div w:id="1408192670">
      <w:bodyDiv w:val="1"/>
      <w:marLeft w:val="0"/>
      <w:marRight w:val="0"/>
      <w:marTop w:val="0"/>
      <w:marBottom w:val="0"/>
      <w:divBdr>
        <w:top w:val="none" w:sz="0" w:space="0" w:color="auto"/>
        <w:left w:val="none" w:sz="0" w:space="0" w:color="auto"/>
        <w:bottom w:val="none" w:sz="0" w:space="0" w:color="auto"/>
        <w:right w:val="none" w:sz="0" w:space="0" w:color="auto"/>
      </w:divBdr>
    </w:div>
    <w:div w:id="1415543637">
      <w:bodyDiv w:val="1"/>
      <w:marLeft w:val="0"/>
      <w:marRight w:val="0"/>
      <w:marTop w:val="0"/>
      <w:marBottom w:val="0"/>
      <w:divBdr>
        <w:top w:val="none" w:sz="0" w:space="0" w:color="auto"/>
        <w:left w:val="none" w:sz="0" w:space="0" w:color="auto"/>
        <w:bottom w:val="none" w:sz="0" w:space="0" w:color="auto"/>
        <w:right w:val="none" w:sz="0" w:space="0" w:color="auto"/>
      </w:divBdr>
    </w:div>
    <w:div w:id="1442409473">
      <w:bodyDiv w:val="1"/>
      <w:marLeft w:val="0"/>
      <w:marRight w:val="0"/>
      <w:marTop w:val="0"/>
      <w:marBottom w:val="0"/>
      <w:divBdr>
        <w:top w:val="none" w:sz="0" w:space="0" w:color="auto"/>
        <w:left w:val="none" w:sz="0" w:space="0" w:color="auto"/>
        <w:bottom w:val="none" w:sz="0" w:space="0" w:color="auto"/>
        <w:right w:val="none" w:sz="0" w:space="0" w:color="auto"/>
      </w:divBdr>
    </w:div>
    <w:div w:id="1442842018">
      <w:bodyDiv w:val="1"/>
      <w:marLeft w:val="0"/>
      <w:marRight w:val="0"/>
      <w:marTop w:val="0"/>
      <w:marBottom w:val="0"/>
      <w:divBdr>
        <w:top w:val="none" w:sz="0" w:space="0" w:color="auto"/>
        <w:left w:val="none" w:sz="0" w:space="0" w:color="auto"/>
        <w:bottom w:val="none" w:sz="0" w:space="0" w:color="auto"/>
        <w:right w:val="none" w:sz="0" w:space="0" w:color="auto"/>
      </w:divBdr>
    </w:div>
    <w:div w:id="1452941123">
      <w:bodyDiv w:val="1"/>
      <w:marLeft w:val="0"/>
      <w:marRight w:val="0"/>
      <w:marTop w:val="0"/>
      <w:marBottom w:val="0"/>
      <w:divBdr>
        <w:top w:val="none" w:sz="0" w:space="0" w:color="auto"/>
        <w:left w:val="none" w:sz="0" w:space="0" w:color="auto"/>
        <w:bottom w:val="none" w:sz="0" w:space="0" w:color="auto"/>
        <w:right w:val="none" w:sz="0" w:space="0" w:color="auto"/>
      </w:divBdr>
    </w:div>
    <w:div w:id="1469667828">
      <w:bodyDiv w:val="1"/>
      <w:marLeft w:val="0"/>
      <w:marRight w:val="0"/>
      <w:marTop w:val="0"/>
      <w:marBottom w:val="0"/>
      <w:divBdr>
        <w:top w:val="none" w:sz="0" w:space="0" w:color="auto"/>
        <w:left w:val="none" w:sz="0" w:space="0" w:color="auto"/>
        <w:bottom w:val="none" w:sz="0" w:space="0" w:color="auto"/>
        <w:right w:val="none" w:sz="0" w:space="0" w:color="auto"/>
      </w:divBdr>
    </w:div>
    <w:div w:id="1475021199">
      <w:bodyDiv w:val="1"/>
      <w:marLeft w:val="0"/>
      <w:marRight w:val="0"/>
      <w:marTop w:val="0"/>
      <w:marBottom w:val="0"/>
      <w:divBdr>
        <w:top w:val="none" w:sz="0" w:space="0" w:color="auto"/>
        <w:left w:val="none" w:sz="0" w:space="0" w:color="auto"/>
        <w:bottom w:val="none" w:sz="0" w:space="0" w:color="auto"/>
        <w:right w:val="none" w:sz="0" w:space="0" w:color="auto"/>
      </w:divBdr>
    </w:div>
    <w:div w:id="1475558687">
      <w:bodyDiv w:val="1"/>
      <w:marLeft w:val="0"/>
      <w:marRight w:val="0"/>
      <w:marTop w:val="0"/>
      <w:marBottom w:val="0"/>
      <w:divBdr>
        <w:top w:val="none" w:sz="0" w:space="0" w:color="auto"/>
        <w:left w:val="none" w:sz="0" w:space="0" w:color="auto"/>
        <w:bottom w:val="none" w:sz="0" w:space="0" w:color="auto"/>
        <w:right w:val="none" w:sz="0" w:space="0" w:color="auto"/>
      </w:divBdr>
    </w:div>
    <w:div w:id="1477843324">
      <w:bodyDiv w:val="1"/>
      <w:marLeft w:val="0"/>
      <w:marRight w:val="0"/>
      <w:marTop w:val="0"/>
      <w:marBottom w:val="0"/>
      <w:divBdr>
        <w:top w:val="none" w:sz="0" w:space="0" w:color="auto"/>
        <w:left w:val="none" w:sz="0" w:space="0" w:color="auto"/>
        <w:bottom w:val="none" w:sz="0" w:space="0" w:color="auto"/>
        <w:right w:val="none" w:sz="0" w:space="0" w:color="auto"/>
      </w:divBdr>
    </w:div>
    <w:div w:id="1515224060">
      <w:marLeft w:val="0"/>
      <w:marRight w:val="0"/>
      <w:marTop w:val="0"/>
      <w:marBottom w:val="0"/>
      <w:divBdr>
        <w:top w:val="none" w:sz="0" w:space="0" w:color="auto"/>
        <w:left w:val="none" w:sz="0" w:space="0" w:color="auto"/>
        <w:bottom w:val="none" w:sz="0" w:space="0" w:color="auto"/>
        <w:right w:val="none" w:sz="0" w:space="0" w:color="auto"/>
      </w:divBdr>
    </w:div>
    <w:div w:id="1523014617">
      <w:bodyDiv w:val="1"/>
      <w:marLeft w:val="0"/>
      <w:marRight w:val="0"/>
      <w:marTop w:val="0"/>
      <w:marBottom w:val="0"/>
      <w:divBdr>
        <w:top w:val="none" w:sz="0" w:space="0" w:color="auto"/>
        <w:left w:val="none" w:sz="0" w:space="0" w:color="auto"/>
        <w:bottom w:val="none" w:sz="0" w:space="0" w:color="auto"/>
        <w:right w:val="none" w:sz="0" w:space="0" w:color="auto"/>
      </w:divBdr>
    </w:div>
    <w:div w:id="1526749909">
      <w:bodyDiv w:val="1"/>
      <w:marLeft w:val="0"/>
      <w:marRight w:val="0"/>
      <w:marTop w:val="0"/>
      <w:marBottom w:val="0"/>
      <w:divBdr>
        <w:top w:val="none" w:sz="0" w:space="0" w:color="auto"/>
        <w:left w:val="none" w:sz="0" w:space="0" w:color="auto"/>
        <w:bottom w:val="none" w:sz="0" w:space="0" w:color="auto"/>
        <w:right w:val="none" w:sz="0" w:space="0" w:color="auto"/>
      </w:divBdr>
    </w:div>
    <w:div w:id="1529879415">
      <w:bodyDiv w:val="1"/>
      <w:marLeft w:val="0"/>
      <w:marRight w:val="0"/>
      <w:marTop w:val="0"/>
      <w:marBottom w:val="0"/>
      <w:divBdr>
        <w:top w:val="none" w:sz="0" w:space="0" w:color="auto"/>
        <w:left w:val="none" w:sz="0" w:space="0" w:color="auto"/>
        <w:bottom w:val="none" w:sz="0" w:space="0" w:color="auto"/>
        <w:right w:val="none" w:sz="0" w:space="0" w:color="auto"/>
      </w:divBdr>
    </w:div>
    <w:div w:id="1536578890">
      <w:bodyDiv w:val="1"/>
      <w:marLeft w:val="0"/>
      <w:marRight w:val="0"/>
      <w:marTop w:val="0"/>
      <w:marBottom w:val="0"/>
      <w:divBdr>
        <w:top w:val="none" w:sz="0" w:space="0" w:color="auto"/>
        <w:left w:val="none" w:sz="0" w:space="0" w:color="auto"/>
        <w:bottom w:val="none" w:sz="0" w:space="0" w:color="auto"/>
        <w:right w:val="none" w:sz="0" w:space="0" w:color="auto"/>
      </w:divBdr>
    </w:div>
    <w:div w:id="1582986785">
      <w:bodyDiv w:val="1"/>
      <w:marLeft w:val="0"/>
      <w:marRight w:val="0"/>
      <w:marTop w:val="0"/>
      <w:marBottom w:val="0"/>
      <w:divBdr>
        <w:top w:val="none" w:sz="0" w:space="0" w:color="auto"/>
        <w:left w:val="none" w:sz="0" w:space="0" w:color="auto"/>
        <w:bottom w:val="none" w:sz="0" w:space="0" w:color="auto"/>
        <w:right w:val="none" w:sz="0" w:space="0" w:color="auto"/>
      </w:divBdr>
    </w:div>
    <w:div w:id="1586181111">
      <w:bodyDiv w:val="1"/>
      <w:marLeft w:val="0"/>
      <w:marRight w:val="0"/>
      <w:marTop w:val="0"/>
      <w:marBottom w:val="0"/>
      <w:divBdr>
        <w:top w:val="none" w:sz="0" w:space="0" w:color="auto"/>
        <w:left w:val="none" w:sz="0" w:space="0" w:color="auto"/>
        <w:bottom w:val="none" w:sz="0" w:space="0" w:color="auto"/>
        <w:right w:val="none" w:sz="0" w:space="0" w:color="auto"/>
      </w:divBdr>
    </w:div>
    <w:div w:id="1594776861">
      <w:bodyDiv w:val="1"/>
      <w:marLeft w:val="0"/>
      <w:marRight w:val="0"/>
      <w:marTop w:val="0"/>
      <w:marBottom w:val="0"/>
      <w:divBdr>
        <w:top w:val="none" w:sz="0" w:space="0" w:color="auto"/>
        <w:left w:val="none" w:sz="0" w:space="0" w:color="auto"/>
        <w:bottom w:val="none" w:sz="0" w:space="0" w:color="auto"/>
        <w:right w:val="none" w:sz="0" w:space="0" w:color="auto"/>
      </w:divBdr>
    </w:div>
    <w:div w:id="1594823701">
      <w:bodyDiv w:val="1"/>
      <w:marLeft w:val="0"/>
      <w:marRight w:val="0"/>
      <w:marTop w:val="0"/>
      <w:marBottom w:val="0"/>
      <w:divBdr>
        <w:top w:val="none" w:sz="0" w:space="0" w:color="auto"/>
        <w:left w:val="none" w:sz="0" w:space="0" w:color="auto"/>
        <w:bottom w:val="none" w:sz="0" w:space="0" w:color="auto"/>
        <w:right w:val="none" w:sz="0" w:space="0" w:color="auto"/>
      </w:divBdr>
    </w:div>
    <w:div w:id="1600606138">
      <w:bodyDiv w:val="1"/>
      <w:marLeft w:val="0"/>
      <w:marRight w:val="0"/>
      <w:marTop w:val="0"/>
      <w:marBottom w:val="0"/>
      <w:divBdr>
        <w:top w:val="none" w:sz="0" w:space="0" w:color="auto"/>
        <w:left w:val="none" w:sz="0" w:space="0" w:color="auto"/>
        <w:bottom w:val="none" w:sz="0" w:space="0" w:color="auto"/>
        <w:right w:val="none" w:sz="0" w:space="0" w:color="auto"/>
      </w:divBdr>
    </w:div>
    <w:div w:id="1619407921">
      <w:bodyDiv w:val="1"/>
      <w:marLeft w:val="0"/>
      <w:marRight w:val="0"/>
      <w:marTop w:val="0"/>
      <w:marBottom w:val="0"/>
      <w:divBdr>
        <w:top w:val="none" w:sz="0" w:space="0" w:color="auto"/>
        <w:left w:val="none" w:sz="0" w:space="0" w:color="auto"/>
        <w:bottom w:val="none" w:sz="0" w:space="0" w:color="auto"/>
        <w:right w:val="none" w:sz="0" w:space="0" w:color="auto"/>
      </w:divBdr>
    </w:div>
    <w:div w:id="1635602847">
      <w:bodyDiv w:val="1"/>
      <w:marLeft w:val="0"/>
      <w:marRight w:val="0"/>
      <w:marTop w:val="0"/>
      <w:marBottom w:val="0"/>
      <w:divBdr>
        <w:top w:val="none" w:sz="0" w:space="0" w:color="auto"/>
        <w:left w:val="none" w:sz="0" w:space="0" w:color="auto"/>
        <w:bottom w:val="none" w:sz="0" w:space="0" w:color="auto"/>
        <w:right w:val="none" w:sz="0" w:space="0" w:color="auto"/>
      </w:divBdr>
    </w:div>
    <w:div w:id="1641035223">
      <w:bodyDiv w:val="1"/>
      <w:marLeft w:val="0"/>
      <w:marRight w:val="0"/>
      <w:marTop w:val="0"/>
      <w:marBottom w:val="0"/>
      <w:divBdr>
        <w:top w:val="none" w:sz="0" w:space="0" w:color="auto"/>
        <w:left w:val="none" w:sz="0" w:space="0" w:color="auto"/>
        <w:bottom w:val="none" w:sz="0" w:space="0" w:color="auto"/>
        <w:right w:val="none" w:sz="0" w:space="0" w:color="auto"/>
      </w:divBdr>
    </w:div>
    <w:div w:id="1682656844">
      <w:bodyDiv w:val="1"/>
      <w:marLeft w:val="0"/>
      <w:marRight w:val="0"/>
      <w:marTop w:val="0"/>
      <w:marBottom w:val="0"/>
      <w:divBdr>
        <w:top w:val="none" w:sz="0" w:space="0" w:color="auto"/>
        <w:left w:val="none" w:sz="0" w:space="0" w:color="auto"/>
        <w:bottom w:val="none" w:sz="0" w:space="0" w:color="auto"/>
        <w:right w:val="none" w:sz="0" w:space="0" w:color="auto"/>
      </w:divBdr>
    </w:div>
    <w:div w:id="1687487968">
      <w:bodyDiv w:val="1"/>
      <w:marLeft w:val="0"/>
      <w:marRight w:val="0"/>
      <w:marTop w:val="0"/>
      <w:marBottom w:val="0"/>
      <w:divBdr>
        <w:top w:val="none" w:sz="0" w:space="0" w:color="auto"/>
        <w:left w:val="none" w:sz="0" w:space="0" w:color="auto"/>
        <w:bottom w:val="none" w:sz="0" w:space="0" w:color="auto"/>
        <w:right w:val="none" w:sz="0" w:space="0" w:color="auto"/>
      </w:divBdr>
    </w:div>
    <w:div w:id="1738088600">
      <w:bodyDiv w:val="1"/>
      <w:marLeft w:val="0"/>
      <w:marRight w:val="0"/>
      <w:marTop w:val="0"/>
      <w:marBottom w:val="0"/>
      <w:divBdr>
        <w:top w:val="none" w:sz="0" w:space="0" w:color="auto"/>
        <w:left w:val="none" w:sz="0" w:space="0" w:color="auto"/>
        <w:bottom w:val="none" w:sz="0" w:space="0" w:color="auto"/>
        <w:right w:val="none" w:sz="0" w:space="0" w:color="auto"/>
      </w:divBdr>
    </w:div>
    <w:div w:id="1751344278">
      <w:bodyDiv w:val="1"/>
      <w:marLeft w:val="0"/>
      <w:marRight w:val="0"/>
      <w:marTop w:val="0"/>
      <w:marBottom w:val="0"/>
      <w:divBdr>
        <w:top w:val="none" w:sz="0" w:space="0" w:color="auto"/>
        <w:left w:val="none" w:sz="0" w:space="0" w:color="auto"/>
        <w:bottom w:val="none" w:sz="0" w:space="0" w:color="auto"/>
        <w:right w:val="none" w:sz="0" w:space="0" w:color="auto"/>
      </w:divBdr>
    </w:div>
    <w:div w:id="1753889319">
      <w:bodyDiv w:val="1"/>
      <w:marLeft w:val="0"/>
      <w:marRight w:val="0"/>
      <w:marTop w:val="0"/>
      <w:marBottom w:val="0"/>
      <w:divBdr>
        <w:top w:val="none" w:sz="0" w:space="0" w:color="auto"/>
        <w:left w:val="none" w:sz="0" w:space="0" w:color="auto"/>
        <w:bottom w:val="none" w:sz="0" w:space="0" w:color="auto"/>
        <w:right w:val="none" w:sz="0" w:space="0" w:color="auto"/>
      </w:divBdr>
    </w:div>
    <w:div w:id="1780569070">
      <w:bodyDiv w:val="1"/>
      <w:marLeft w:val="0"/>
      <w:marRight w:val="0"/>
      <w:marTop w:val="0"/>
      <w:marBottom w:val="0"/>
      <w:divBdr>
        <w:top w:val="none" w:sz="0" w:space="0" w:color="auto"/>
        <w:left w:val="none" w:sz="0" w:space="0" w:color="auto"/>
        <w:bottom w:val="none" w:sz="0" w:space="0" w:color="auto"/>
        <w:right w:val="none" w:sz="0" w:space="0" w:color="auto"/>
      </w:divBdr>
    </w:div>
    <w:div w:id="1828091990">
      <w:bodyDiv w:val="1"/>
      <w:marLeft w:val="0"/>
      <w:marRight w:val="0"/>
      <w:marTop w:val="0"/>
      <w:marBottom w:val="0"/>
      <w:divBdr>
        <w:top w:val="none" w:sz="0" w:space="0" w:color="auto"/>
        <w:left w:val="none" w:sz="0" w:space="0" w:color="auto"/>
        <w:bottom w:val="none" w:sz="0" w:space="0" w:color="auto"/>
        <w:right w:val="none" w:sz="0" w:space="0" w:color="auto"/>
      </w:divBdr>
    </w:div>
    <w:div w:id="1865164659">
      <w:bodyDiv w:val="1"/>
      <w:marLeft w:val="0"/>
      <w:marRight w:val="0"/>
      <w:marTop w:val="0"/>
      <w:marBottom w:val="0"/>
      <w:divBdr>
        <w:top w:val="none" w:sz="0" w:space="0" w:color="auto"/>
        <w:left w:val="none" w:sz="0" w:space="0" w:color="auto"/>
        <w:bottom w:val="none" w:sz="0" w:space="0" w:color="auto"/>
        <w:right w:val="none" w:sz="0" w:space="0" w:color="auto"/>
      </w:divBdr>
    </w:div>
    <w:div w:id="1890726883">
      <w:bodyDiv w:val="1"/>
      <w:marLeft w:val="0"/>
      <w:marRight w:val="0"/>
      <w:marTop w:val="0"/>
      <w:marBottom w:val="0"/>
      <w:divBdr>
        <w:top w:val="none" w:sz="0" w:space="0" w:color="auto"/>
        <w:left w:val="none" w:sz="0" w:space="0" w:color="auto"/>
        <w:bottom w:val="none" w:sz="0" w:space="0" w:color="auto"/>
        <w:right w:val="none" w:sz="0" w:space="0" w:color="auto"/>
      </w:divBdr>
    </w:div>
    <w:div w:id="1895850277">
      <w:bodyDiv w:val="1"/>
      <w:marLeft w:val="0"/>
      <w:marRight w:val="0"/>
      <w:marTop w:val="0"/>
      <w:marBottom w:val="0"/>
      <w:divBdr>
        <w:top w:val="none" w:sz="0" w:space="0" w:color="auto"/>
        <w:left w:val="none" w:sz="0" w:space="0" w:color="auto"/>
        <w:bottom w:val="none" w:sz="0" w:space="0" w:color="auto"/>
        <w:right w:val="none" w:sz="0" w:space="0" w:color="auto"/>
      </w:divBdr>
      <w:divsChild>
        <w:div w:id="1521237216">
          <w:marLeft w:val="480"/>
          <w:marRight w:val="0"/>
          <w:marTop w:val="0"/>
          <w:marBottom w:val="0"/>
          <w:divBdr>
            <w:top w:val="none" w:sz="0" w:space="0" w:color="auto"/>
            <w:left w:val="none" w:sz="0" w:space="0" w:color="auto"/>
            <w:bottom w:val="none" w:sz="0" w:space="0" w:color="auto"/>
            <w:right w:val="none" w:sz="0" w:space="0" w:color="auto"/>
          </w:divBdr>
          <w:divsChild>
            <w:div w:id="17015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340">
      <w:bodyDiv w:val="1"/>
      <w:marLeft w:val="0"/>
      <w:marRight w:val="0"/>
      <w:marTop w:val="0"/>
      <w:marBottom w:val="0"/>
      <w:divBdr>
        <w:top w:val="none" w:sz="0" w:space="0" w:color="auto"/>
        <w:left w:val="none" w:sz="0" w:space="0" w:color="auto"/>
        <w:bottom w:val="none" w:sz="0" w:space="0" w:color="auto"/>
        <w:right w:val="none" w:sz="0" w:space="0" w:color="auto"/>
      </w:divBdr>
    </w:div>
    <w:div w:id="1911306479">
      <w:bodyDiv w:val="1"/>
      <w:marLeft w:val="0"/>
      <w:marRight w:val="0"/>
      <w:marTop w:val="0"/>
      <w:marBottom w:val="0"/>
      <w:divBdr>
        <w:top w:val="none" w:sz="0" w:space="0" w:color="auto"/>
        <w:left w:val="none" w:sz="0" w:space="0" w:color="auto"/>
        <w:bottom w:val="none" w:sz="0" w:space="0" w:color="auto"/>
        <w:right w:val="none" w:sz="0" w:space="0" w:color="auto"/>
      </w:divBdr>
    </w:div>
    <w:div w:id="1932085615">
      <w:bodyDiv w:val="1"/>
      <w:marLeft w:val="0"/>
      <w:marRight w:val="0"/>
      <w:marTop w:val="0"/>
      <w:marBottom w:val="0"/>
      <w:divBdr>
        <w:top w:val="none" w:sz="0" w:space="0" w:color="auto"/>
        <w:left w:val="none" w:sz="0" w:space="0" w:color="auto"/>
        <w:bottom w:val="none" w:sz="0" w:space="0" w:color="auto"/>
        <w:right w:val="none" w:sz="0" w:space="0" w:color="auto"/>
      </w:divBdr>
    </w:div>
    <w:div w:id="1943536528">
      <w:bodyDiv w:val="1"/>
      <w:marLeft w:val="0"/>
      <w:marRight w:val="0"/>
      <w:marTop w:val="0"/>
      <w:marBottom w:val="0"/>
      <w:divBdr>
        <w:top w:val="none" w:sz="0" w:space="0" w:color="auto"/>
        <w:left w:val="none" w:sz="0" w:space="0" w:color="auto"/>
        <w:bottom w:val="none" w:sz="0" w:space="0" w:color="auto"/>
        <w:right w:val="none" w:sz="0" w:space="0" w:color="auto"/>
      </w:divBdr>
    </w:div>
    <w:div w:id="1951935319">
      <w:bodyDiv w:val="1"/>
      <w:marLeft w:val="0"/>
      <w:marRight w:val="0"/>
      <w:marTop w:val="0"/>
      <w:marBottom w:val="0"/>
      <w:divBdr>
        <w:top w:val="none" w:sz="0" w:space="0" w:color="auto"/>
        <w:left w:val="none" w:sz="0" w:space="0" w:color="auto"/>
        <w:bottom w:val="none" w:sz="0" w:space="0" w:color="auto"/>
        <w:right w:val="none" w:sz="0" w:space="0" w:color="auto"/>
      </w:divBdr>
    </w:div>
    <w:div w:id="1958095288">
      <w:bodyDiv w:val="1"/>
      <w:marLeft w:val="0"/>
      <w:marRight w:val="0"/>
      <w:marTop w:val="0"/>
      <w:marBottom w:val="0"/>
      <w:divBdr>
        <w:top w:val="none" w:sz="0" w:space="0" w:color="auto"/>
        <w:left w:val="none" w:sz="0" w:space="0" w:color="auto"/>
        <w:bottom w:val="none" w:sz="0" w:space="0" w:color="auto"/>
        <w:right w:val="none" w:sz="0" w:space="0" w:color="auto"/>
      </w:divBdr>
    </w:div>
    <w:div w:id="1974827992">
      <w:bodyDiv w:val="1"/>
      <w:marLeft w:val="0"/>
      <w:marRight w:val="0"/>
      <w:marTop w:val="0"/>
      <w:marBottom w:val="0"/>
      <w:divBdr>
        <w:top w:val="none" w:sz="0" w:space="0" w:color="auto"/>
        <w:left w:val="none" w:sz="0" w:space="0" w:color="auto"/>
        <w:bottom w:val="none" w:sz="0" w:space="0" w:color="auto"/>
        <w:right w:val="none" w:sz="0" w:space="0" w:color="auto"/>
      </w:divBdr>
    </w:div>
    <w:div w:id="2013876702">
      <w:bodyDiv w:val="1"/>
      <w:marLeft w:val="0"/>
      <w:marRight w:val="0"/>
      <w:marTop w:val="0"/>
      <w:marBottom w:val="0"/>
      <w:divBdr>
        <w:top w:val="none" w:sz="0" w:space="0" w:color="auto"/>
        <w:left w:val="none" w:sz="0" w:space="0" w:color="auto"/>
        <w:bottom w:val="none" w:sz="0" w:space="0" w:color="auto"/>
        <w:right w:val="none" w:sz="0" w:space="0" w:color="auto"/>
      </w:divBdr>
    </w:div>
    <w:div w:id="2020159021">
      <w:bodyDiv w:val="1"/>
      <w:marLeft w:val="0"/>
      <w:marRight w:val="0"/>
      <w:marTop w:val="0"/>
      <w:marBottom w:val="0"/>
      <w:divBdr>
        <w:top w:val="none" w:sz="0" w:space="0" w:color="auto"/>
        <w:left w:val="none" w:sz="0" w:space="0" w:color="auto"/>
        <w:bottom w:val="none" w:sz="0" w:space="0" w:color="auto"/>
        <w:right w:val="none" w:sz="0" w:space="0" w:color="auto"/>
      </w:divBdr>
    </w:div>
    <w:div w:id="2052457901">
      <w:bodyDiv w:val="1"/>
      <w:marLeft w:val="0"/>
      <w:marRight w:val="0"/>
      <w:marTop w:val="0"/>
      <w:marBottom w:val="0"/>
      <w:divBdr>
        <w:top w:val="none" w:sz="0" w:space="0" w:color="auto"/>
        <w:left w:val="none" w:sz="0" w:space="0" w:color="auto"/>
        <w:bottom w:val="none" w:sz="0" w:space="0" w:color="auto"/>
        <w:right w:val="none" w:sz="0" w:space="0" w:color="auto"/>
      </w:divBdr>
    </w:div>
    <w:div w:id="2058776244">
      <w:bodyDiv w:val="1"/>
      <w:marLeft w:val="0"/>
      <w:marRight w:val="0"/>
      <w:marTop w:val="0"/>
      <w:marBottom w:val="0"/>
      <w:divBdr>
        <w:top w:val="none" w:sz="0" w:space="0" w:color="auto"/>
        <w:left w:val="none" w:sz="0" w:space="0" w:color="auto"/>
        <w:bottom w:val="none" w:sz="0" w:space="0" w:color="auto"/>
        <w:right w:val="none" w:sz="0" w:space="0" w:color="auto"/>
      </w:divBdr>
    </w:div>
    <w:div w:id="2067727543">
      <w:bodyDiv w:val="1"/>
      <w:marLeft w:val="0"/>
      <w:marRight w:val="0"/>
      <w:marTop w:val="0"/>
      <w:marBottom w:val="0"/>
      <w:divBdr>
        <w:top w:val="none" w:sz="0" w:space="0" w:color="auto"/>
        <w:left w:val="none" w:sz="0" w:space="0" w:color="auto"/>
        <w:bottom w:val="none" w:sz="0" w:space="0" w:color="auto"/>
        <w:right w:val="none" w:sz="0" w:space="0" w:color="auto"/>
      </w:divBdr>
    </w:div>
    <w:div w:id="2071342081">
      <w:bodyDiv w:val="1"/>
      <w:marLeft w:val="0"/>
      <w:marRight w:val="0"/>
      <w:marTop w:val="0"/>
      <w:marBottom w:val="0"/>
      <w:divBdr>
        <w:top w:val="none" w:sz="0" w:space="0" w:color="auto"/>
        <w:left w:val="none" w:sz="0" w:space="0" w:color="auto"/>
        <w:bottom w:val="none" w:sz="0" w:space="0" w:color="auto"/>
        <w:right w:val="none" w:sz="0" w:space="0" w:color="auto"/>
      </w:divBdr>
    </w:div>
    <w:div w:id="2075932499">
      <w:bodyDiv w:val="1"/>
      <w:marLeft w:val="0"/>
      <w:marRight w:val="0"/>
      <w:marTop w:val="0"/>
      <w:marBottom w:val="0"/>
      <w:divBdr>
        <w:top w:val="none" w:sz="0" w:space="0" w:color="auto"/>
        <w:left w:val="none" w:sz="0" w:space="0" w:color="auto"/>
        <w:bottom w:val="none" w:sz="0" w:space="0" w:color="auto"/>
        <w:right w:val="none" w:sz="0" w:space="0" w:color="auto"/>
      </w:divBdr>
    </w:div>
    <w:div w:id="2106804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he</b:Tag>
    <b:SourceType>DocumentFromInternetSite</b:SourceType>
    <b:Guid>{B5417EBD-8E5E-4261-BA97-B4D6ABF396CE}</b:Guid>
    <b:Author>
      <b:Author>
        <b:Corporate>ADE</b:Corporate>
      </b:Author>
    </b:Author>
    <b:Title>The Association for Decentralised Energy. Market Report: Heat Networks in the UK</b:Title>
    <b:Year>2018</b:Year>
    <b:Month>January</b:Month>
    <b:YearAccessed>2018</b:YearAccessed>
    <b:MonthAccessed>November</b:MonthAccessed>
    <b:DayAccessed>4</b:DayAccessed>
    <b:URL>https://www.theade.co.uk/resources/publications/market-report-heat-networks-in-the-uk</b:URL>
    <b:RefOrder>2</b:RefOrder>
  </b:Source>
  <b:Source>
    <b:Tag>CCC18</b:Tag>
    <b:SourceType>DocumentFromInternetSite</b:SourceType>
    <b:Guid>{DFFB2DA2-11D4-4830-9DC9-FD864FFEAB49}</b:Guid>
    <b:Author>
      <b:Author>
        <b:Corporate>CCC</b:Corporate>
      </b:Author>
    </b:Author>
    <b:Title>The Committee on Climate Change. Net Zero - The UK's Contribution to Stopping Global Warming</b:Title>
    <b:Year>2019</b:Year>
    <b:Month>May</b:Month>
    <b:Day>2</b:Day>
    <b:YearAccessed>2019</b:YearAccessed>
    <b:MonthAccessed>May</b:MonthAccessed>
    <b:DayAccessed>19</b:DayAccessed>
    <b:URL>https://www.theccc.org.uk/publication/net-zero-the-uks-contribution-to-stopping-global-warming/</b:URL>
    <b:RefOrder>3</b:RefOrder>
  </b:Source>
  <b:Source>
    <b:Tag>GLA18</b:Tag>
    <b:SourceType>DocumentFromInternetSite</b:SourceType>
    <b:Guid>{0F9FF745-03B2-4EB6-A574-E8CFD95A31D0}</b:Guid>
    <b:Title>The Greater London Authority.</b:Title>
    <b:Year>2021</b:Year>
    <b:Month>March</b:Month>
    <b:Day>2</b:Day>
    <b:YearAccessed>30</b:YearAccessed>
    <b:MonthAccessed>October</b:MonthAccessed>
    <b:DayAccessed>2018</b:DayAccessed>
    <b:URL>https://www.london.gov.uk/what-we-do/planning/london-plan/new-london-plan/london-plan-2021</b:URL>
    <b:Author>
      <b:Author>
        <b:Corporate>GLA</b:Corporate>
      </b:Author>
    </b:Author>
    <b:InternetSiteTitle>London Plan 2021</b:InternetSiteTitle>
    <b:RefOrder>4</b:RefOrder>
  </b:Source>
  <b:Source>
    <b:Tag>GLA13</b:Tag>
    <b:SourceType>Report</b:SourceType>
    <b:Guid>{7E3B0B81-ECAB-434A-A2D4-7DEEFFA05CC7}</b:Guid>
    <b:Title>London's Zero Carbon Energy Resource - Secondary Heat</b:Title>
    <b:Year>2013</b:Year>
    <b:City>London, UK</b:City>
    <b:Author>
      <b:Author>
        <b:Corporate>GLA and Buro Happold</b:Corporate>
      </b:Author>
    </b:Author>
    <b:RefOrder>5</b:RefOrder>
  </b:Source>
  <b:Source>
    <b:Tag>Duf18</b:Tag>
    <b:SourceType>ConferenceProceedings</b:SourceType>
    <b:Guid>{9B608ED2-8115-45CF-9F7C-A76364F3F74B}</b:Guid>
    <b:Title>Opportunities to Utilise Transport for London’s Secondary Heat Sources</b:Title>
    <b:Year>2018</b:Year>
    <b:Author>
      <b:Author>
        <b:NameList>
          <b:Person>
            <b:Last>Duffy</b:Last>
            <b:First>S</b:First>
          </b:Person>
        </b:NameList>
      </b:Author>
    </b:Author>
    <b:City>London, UK</b:City>
    <b:Publisher>Proceedings of the CIBSE Technical Symposium</b:Publisher>
    <b:RefOrder>6</b:RefOrder>
  </b:Source>
  <b:Source>
    <b:Tag>Tra19</b:Tag>
    <b:SourceType>Misc</b:SourceType>
    <b:Guid>{6E9D5EF2-7D6F-4E01-B6BE-D767BD293792}</b:Guid>
    <b:Title>Transport for London. Private Communication</b:Title>
    <b:Year>2019</b:Year>
    <b:Author>
      <b:Author>
        <b:Corporate>TfL</b:Corporate>
      </b:Author>
    </b:Author>
    <b:City>London, United Kingdom.</b:City>
    <b:RefOrder>7</b:RefOrder>
  </b:Source>
  <b:Source>
    <b:Tag>TfL17</b:Tag>
    <b:SourceType>InternetSite</b:SourceType>
    <b:Guid>{69F3187E-A904-42DC-9E12-2E6AFD310C98}</b:Guid>
    <b:Title>Transport for London.  Tube Temperature Measurements.</b:Title>
    <b:Year>2017</b:Year>
    <b:Author>
      <b:Author>
        <b:Corporate>TfL</b:Corporate>
      </b:Author>
    </b:Author>
    <b:YearAccessed>2020</b:YearAccessed>
    <b:MonthAccessed>September</b:MonthAccessed>
    <b:DayAccessed>9</b:DayAccessed>
    <b:URL>https://tfl.gov.uk/corporate/transparency/freedom-of-information/foi-request-detail?referenceId=FOI-2633-1617</b:URL>
    <b:RefOrder>8</b:RefOrder>
  </b:Source>
  <b:Source>
    <b:Tag>Lag19</b:Tag>
    <b:SourceType>ConferenceProceedings</b:SourceType>
    <b:Guid>{B1847685-CF2F-427B-AF3A-C99F1F780231}</b:Guid>
    <b:Title>Heat from Underground Energy London</b:Title>
    <b:Year>2019</b:Year>
    <b:City>Sheffield, UK</b:City>
    <b:Author>
      <b:Author>
        <b:NameList>
          <b:Person>
            <b:Last>Lagoeiro</b:Last>
            <b:First>H.</b:First>
          </b:Person>
          <b:Person>
            <b:Last>Revesz</b:Last>
            <b:First>A.</b:First>
          </b:Person>
          <b:Person>
            <b:Last>Davies</b:Last>
            <b:First>G.</b:First>
          </b:Person>
          <b:Person>
            <b:Last>Maidment</b:Last>
            <b:First>G.</b:First>
          </b:Person>
          <b:Person>
            <b:Last>Curry</b:Last>
            <b:First>D.</b:First>
          </b:Person>
          <b:Person>
            <b:Last>Faulks</b:Last>
            <b:First>G.</b:First>
          </b:Person>
          <b:Person>
            <b:Last>Bielicki</b:Last>
            <b:First>J.</b:First>
          </b:Person>
        </b:NameList>
      </b:Author>
    </b:Author>
    <b:ConferenceName>CIBSE Technical Symposium</b:ConferenceName>
    <b:RefOrder>9</b:RefOrder>
  </b:Source>
  <b:Source>
    <b:Tag>Gre201</b:Tag>
    <b:SourceType>JournalArticle</b:SourceType>
    <b:Guid>{B9E97AA2-F585-4EB5-907F-A921C82B291A}</b:Guid>
    <b:Title>The impact of high temperatures and extreme heat to delays on the London Underground rail network: An empirical study</b:Title>
    <b:JournalName>Meteorological Applications</b:JournalName>
    <b:Year>2020</b:Year>
    <b:Volume>27</b:Volume>
    <b:Issue>3</b:Issue>
    <b:Author>
      <b:Author>
        <b:NameList>
          <b:Person>
            <b:Last>Greenham</b:Last>
            <b:First>Sarah</b:First>
          </b:Person>
          <b:Person>
            <b:Last>Ferranti</b:Last>
            <b:First>Emma</b:First>
          </b:Person>
          <b:Person>
            <b:Last>Quinn</b:Last>
            <b:First>Andrew</b:First>
          </b:Person>
          <b:Person>
            <b:Last>Drayson</b:Last>
            <b:First>Katherine</b:First>
          </b:Person>
        </b:NameList>
      </b:Author>
    </b:Author>
    <b:RefOrder>10</b:RefOrder>
  </b:Source>
  <b:Source>
    <b:Tag>Isl20</b:Tag>
    <b:SourceType>InternetSite</b:SourceType>
    <b:Guid>{243DB0DE-6BE8-4795-B180-826F51A52576}</b:Guid>
    <b:Author>
      <b:Author>
        <b:Corporate>Islington Council</b:Corporate>
      </b:Author>
    </b:Author>
    <b:Title>World-first scheme is launched using waste heat from the Tube to warm homes, two leisure centres and a school in Islington</b:Title>
    <b:Year>2020</b:Year>
    <b:YearAccessed>2021</b:YearAccessed>
    <b:MonthAccessed>Mar</b:MonthAccessed>
    <b:DayAccessed>23</b:DayAccessed>
    <b:URL>https://www.islington.media/news/bunhill-2-launch-pr</b:URL>
    <b:RefOrder>11</b:RefOrder>
  </b:Source>
  <b:Source>
    <b:Tag>FCh19a</b:Tag>
    <b:SourceType>InternetSite</b:SourceType>
    <b:Guid>{9E5FA8A5-1355-4642-8539-E779533AA8A2}</b:Guid>
    <b:Author>
      <b:Author>
        <b:Corporate>F-Chart Software</b:Corporate>
      </b:Author>
    </b:Author>
    <b:Title>EES Overview</b:Title>
    <b:Year>2019</b:Year>
    <b:YearAccessed>2019</b:YearAccessed>
    <b:MonthAccessed>September</b:MonthAccessed>
    <b:DayAccessed>15</b:DayAccessed>
    <b:URL>http://fchartsoftware.com/ees/index.php</b:URL>
    <b:RefOrder>12</b:RefOrder>
  </b:Source>
  <b:Source>
    <b:Tag>Hei97</b:Tag>
    <b:SourceType>JournalArticle</b:SourceType>
    <b:Guid>{4C55B475-9147-4416-B6A4-D3F7042B8C06}</b:Guid>
    <b:Title>Assessment of Antifreeze Solutions for Ground-Source Heat Pump Systems</b:Title>
    <b:Year>1997</b:Year>
    <b:JournalName>ASHRAE Transactions,</b:JournalName>
    <b:Pages>747-756</b:Pages>
    <b:Volume>103</b:Volume>
    <b:Issue>2</b:Issue>
    <b:Author>
      <b:Author>
        <b:NameList>
          <b:Person>
            <b:Last>Heinonen</b:Last>
            <b:Middle>W.</b:Middle>
            <b:First>Everett</b:First>
          </b:Person>
          <b:Person>
            <b:Last>Wildin</b:Last>
            <b:Middle>W.</b:Middle>
            <b:First>Maurice</b:First>
          </b:Person>
          <b:Person>
            <b:Last>Beall</b:Last>
            <b:Middle>N.</b:Middle>
            <b:First>Andrew</b:First>
          </b:Person>
          <b:Person>
            <b:Last>Tapscott</b:Last>
            <b:Middle>E.</b:Middle>
            <b:First>Robert</b:First>
          </b:Person>
        </b:NameList>
      </b:Author>
    </b:Author>
    <b:RefOrder>13</b:RefOrder>
  </b:Source>
  <b:Source>
    <b:Tag>Mit13</b:Tag>
    <b:SourceType>Book</b:SourceType>
    <b:Guid>{EC3DB4DA-04A8-40AE-9537-E2472108641D}</b:Guid>
    <b:Author>
      <b:Author>
        <b:NameList>
          <b:Person>
            <b:Last>Mitchell</b:Last>
            <b:Middle>W</b:Middle>
            <b:First>John</b:First>
          </b:Person>
          <b:Person>
            <b:Last>Braun</b:Last>
            <b:Middle>E</b:Middle>
            <b:First>James</b:First>
          </b:Person>
        </b:NameList>
      </b:Author>
    </b:Author>
    <b:Title>Principles of Heating, Ventilation and Air Conditioning in Buildings</b:Title>
    <b:Year>2013</b:Year>
    <b:City>USA</b:City>
    <b:Publisher>John Wiley &amp; Sons</b:Publisher>
    <b:Edition>1st</b:Edition>
    <b:RefOrder>14</b:RefOrder>
  </b:Source>
  <b:Source>
    <b:Tag>Met8b</b:Tag>
    <b:SourceType>InternetSite</b:SourceType>
    <b:Guid>{2621B756-FE70-4C77-AA08-1A72F28FCC2E}</b:Guid>
    <b:Title>Meteorological Office. UK Climate Projections (UKCP)</b:Title>
    <b:Year>2018b</b:Year>
    <b:Author>
      <b:Author>
        <b:Corporate>Met Office</b:Corporate>
      </b:Author>
    </b:Author>
    <b:YearAccessed>2021</b:YearAccessed>
    <b:MonthAccessed>January</b:MonthAccessed>
    <b:DayAccessed>8</b:DayAccessed>
    <b:URL>https://www.metoffice.gov.uk/research/approach/collaboration/ukcp/index</b:URL>
    <b:RefOrder>15</b:RefOrder>
  </b:Source>
  <b:Source>
    <b:Tag>Met9a</b:Tag>
    <b:SourceType>Misc</b:SourceType>
    <b:Guid>{7BB345F5-75BB-4F13-9BAB-0C52335319E0}</b:Guid>
    <b:Title>Meteorological Office. Private Communication</b:Title>
    <b:Year>2019a</b:Year>
    <b:Author>
      <b:Author>
        <b:Corporate>Met Office</b:Corporate>
      </b:Author>
    </b:Author>
    <b:City>London, United Kingdom</b:City>
    <b:RefOrder>16</b:RefOrder>
  </b:Source>
  <b:Source>
    <b:Tag>Sto82</b:Tag>
    <b:SourceType>Book</b:SourceType>
    <b:Guid>{705570AC-CC1C-40F2-86E3-A98673A11C46}</b:Guid>
    <b:Title>Refrigeration and air conditioning</b:Title>
    <b:Year>1982</b:Year>
    <b:City>New York, USA</b:City>
    <b:Publisher>McGraw-Hill</b:Publisher>
    <b:Edition>2nd</b:Edition>
    <b:Author>
      <b:Author>
        <b:NameList>
          <b:Person>
            <b:Last>Stoecker</b:Last>
            <b:Middle>F.</b:Middle>
            <b:First>W.</b:First>
          </b:Person>
          <b:Person>
            <b:Last>Jones</b:Last>
            <b:Middle>W.</b:Middle>
            <b:First>J.</b:First>
          </b:Person>
        </b:NameList>
      </b:Author>
    </b:Author>
    <b:RefOrder>17</b:RefOrder>
  </b:Source>
  <b:Source>
    <b:Tag>Jon73</b:Tag>
    <b:SourceType>Book</b:SourceType>
    <b:Guid>{0A3AD45F-F297-49CF-96FA-50C61AC22A6A}</b:Guid>
    <b:Title>Air Conditoning Engineering</b:Title>
    <b:Year>1973</b:Year>
    <b:City>Oxford, UK</b:City>
    <b:Publisher>Butterworth Heinemann</b:Publisher>
    <b:Edition>5th</b:Edition>
    <b:Author>
      <b:Author>
        <b:NameList>
          <b:Person>
            <b:Last>Jones</b:Last>
            <b:Middle>Peter</b:Middle>
            <b:First>William</b:First>
          </b:Person>
        </b:NameList>
      </b:Author>
    </b:Author>
    <b:RefOrder>18</b:RefOrder>
  </b:Source>
  <b:Source>
    <b:Tag>Mil10</b:Tag>
    <b:SourceType>DocumentFromInternetSite</b:SourceType>
    <b:Guid>{C09364B7-E9F6-4301-94FC-F35B7897675B}</b:Guid>
    <b:Title>The Mathematics of Pumping Water. AECOM Design Build &amp; The Royal Academy of Engineering.</b:Title>
    <b:Year>2010</b:Year>
    <b:Author>
      <b:Author>
        <b:NameList>
          <b:Person>
            <b:Last>Milnes</b:Last>
            <b:First>M.</b:First>
          </b:Person>
        </b:NameList>
      </b:Author>
    </b:Author>
    <b:YearAccessed>2020</b:YearAccessed>
    <b:MonthAccessed>January</b:MonthAccessed>
    <b:DayAccessed>3</b:DayAccessed>
    <b:URL>https://www.stem.org.uk/resources/elibrary/resource/25398/mathematics-pumping-water</b:URL>
    <b:RefOrder>19</b:RefOrder>
  </b:Source>
  <b:Source>
    <b:Tag>Nel08</b:Tag>
    <b:SourceType>Book</b:SourceType>
    <b:Guid>{CF2A04E4-06F8-49B2-AAC2-8EC72F0BBA96}</b:Guid>
    <b:Author>
      <b:Author>
        <b:NameList>
          <b:Person>
            <b:Last>Nellis</b:Last>
            <b:First>Gregory</b:First>
          </b:Person>
          <b:Person>
            <b:Last>Klein</b:Last>
            <b:First>Sanford</b:First>
          </b:Person>
        </b:NameList>
      </b:Author>
    </b:Author>
    <b:Title>Heat Transfer</b:Title>
    <b:Year>2008</b:Year>
    <b:City>New York, USA.</b:City>
    <b:Publisher>Cambridge University Press</b:Publisher>
    <b:Edition>1st</b:Edition>
    <b:RefOrder>20</b:RefOrder>
  </b:Source>
  <b:Source>
    <b:Tag>CIB19</b:Tag>
    <b:SourceType>Report</b:SourceType>
    <b:Guid>{7A68FB22-97BC-4E0A-B246-6451CEB8119D}</b:Guid>
    <b:Author>
      <b:Author>
        <b:Corporate>CIBSE/ADE</b:Corporate>
      </b:Author>
    </b:Author>
    <b:Title>Heat networks: Code of Practice for the UK</b:Title>
    <b:Year>2015</b:Year>
    <b:Publisher>Chartered Institution of Building Services Engineers and the Association for Decentralised Energy</b:Publisher>
    <b:City>London</b:City>
    <b:RefOrder>21</b:RefOrder>
  </b:Source>
  <b:Source>
    <b:Tag>BRE19</b:Tag>
    <b:SourceType>DocumentFromInternetSite</b:SourceType>
    <b:Guid>{57AD4CB7-D308-4E76-9D13-5458CAB43144}</b:Guid>
    <b:Title>Standard Assessment Procedure (SAP 10)</b:Title>
    <b:Year>2019</b:Year>
    <b:YearAccessed>2021</b:YearAccessed>
    <b:MonthAccessed>April</b:MonthAccessed>
    <b:DayAccessed>4</b:DayAccessed>
    <b:URL>https://www.bregroup.com/sap/sap10/</b:URL>
    <b:Author>
      <b:Author>
        <b:Corporate>BRE Group</b:Corporate>
      </b:Author>
    </b:Author>
    <b:Month>November</b:Month>
    <b:Day>8</b:Day>
    <b:RefOrder>22</b:RefOrder>
  </b:Source>
  <b:Source>
    <b:Tag>BEI182</b:Tag>
    <b:SourceType>DocumentFromInternetSite</b:SourceType>
    <b:Guid>{28754A7E-FE09-4BCD-BB3B-964B984A0427}</b:Guid>
    <b:Author>
      <b:Author>
        <b:Corporate>BEIS</b:Corporate>
      </b:Author>
    </b:Author>
    <b:Title>Department for Business, Energy &amp; Industrial Strategy. Heat Networks Investment Project, Introduction to the Scheme</b:Title>
    <b:Year>2018</b:Year>
    <b:Month>October</b:Month>
    <b:Day>16</b:Day>
    <b:YearAccessed>2018</b:YearAccessed>
    <b:MonthAccessed>November</b:MonthAccessed>
    <b:DayAccessed>21</b:DayAccessed>
    <b:URL>https://www.gov.uk/government/publications/heat-networks-investment-project-hnip-scheme-overview</b:URL>
    <b:RefOrder>23</b:RefOrder>
  </b:Source>
  <b:Source>
    <b:Tag>BEI0b</b:Tag>
    <b:SourceType>DocumentFromInternetSite</b:SourceType>
    <b:Guid>{258E5BD7-DCD3-4000-83EE-1A4360C779BB}</b:Guid>
    <b:Author>
      <b:Author>
        <b:Corporate>BEIS</b:Corporate>
      </b:Author>
    </b:Author>
    <b:Title>Department for Business, Energy &amp; Industrial Strategy. Green Book supplementary guidance: valuation of energy use and greenhouse gas emissions for appraisal.</b:Title>
    <b:Year>2020b</b:Year>
    <b:Month>March</b:Month>
    <b:Day>19</b:Day>
    <b:YearAccessed>2021</b:YearAccessed>
    <b:MonthAccessed>April</b:MonthAccessed>
    <b:DayAccessed>4</b:DayAccessed>
    <b:URL>https://www.gov.uk/government/publications/valuation-of-energy-use-and-greenhouse-gas-emissions-for-appraisal</b:URL>
    <b:RefOrder>24</b:RefOrder>
  </b:Source>
  <b:Source>
    <b:Tag>BEI8a</b:Tag>
    <b:SourceType>DocumentFromInternetSite</b:SourceType>
    <b:Guid>{9DDB015F-A620-4FD2-83A3-DA36198E701E}</b:Guid>
    <b:Author>
      <b:Author>
        <b:Corporate>BEIS</b:Corporate>
      </b:Author>
    </b:Author>
    <b:Title>Department for Business, Energy &amp; Industrial Strategy. Digest of UK Energy Statistics (DUKES) 2020.</b:Title>
    <b:Year>2020a</b:Year>
    <b:Month>July</b:Month>
    <b:Day>30</b:Day>
    <b:YearAccessed>2020</b:YearAccessed>
    <b:MonthAccessed>August</b:MonthAccessed>
    <b:DayAccessed>18</b:DayAccessed>
    <b:URL>https://www.gov.uk/government/statistics/digest-of-uk-energy-statistics-dukes-2020</b:URL>
    <b:RefOrder>25</b:RefOrder>
  </b:Source>
  <b:Source>
    <b:Tag>Ofg20</b:Tag>
    <b:SourceType>InternetSite</b:SourceType>
    <b:Guid>{1B13A35A-F188-4C2B-A8E8-2E3AFAF7A0E0}</b:Guid>
    <b:Title>Non-Domestic Renewable Heat Incentive (RHI)</b:Title>
    <b:Year>2020</b:Year>
    <b:YearAccessed>2021</b:YearAccessed>
    <b:MonthAccessed>April</b:MonthAccessed>
    <b:DayAccessed>6</b:DayAccessed>
    <b:URL>https://www.ofgem.gov.uk/environmental-programmes/non-domestic-rhi</b:URL>
    <b:Author>
      <b:Author>
        <b:Corporate>Ofgem</b:Corporate>
      </b:Author>
    </b:Author>
    <b:RefOrder>26</b:RefOrder>
  </b:Source>
  <b:Source>
    <b:Tag>BEI20</b:Tag>
    <b:SourceType>InternetSite</b:SourceType>
    <b:Guid>{FC208E64-59E5-4C83-9D01-51C36DF00544}</b:Guid>
    <b:Author>
      <b:Author>
        <b:Corporate>BEIS</b:Corporate>
      </b:Author>
    </b:Author>
    <b:Title>Department for Business, Energy and Industrial Strategy. Heat Networks Investment Project (HNIP): overview and how to apply</b:Title>
    <b:Year>2020c</b:Year>
    <b:YearAccessed>2021</b:YearAccessed>
    <b:MonthAccessed>April</b:MonthAccessed>
    <b:DayAccessed>6</b:DayAccessed>
    <b:URL>https://www.gov.uk/government/collections/heat-networks-investment-project-hnip-overview-and-how-to-apply</b:URL>
    <b:RefOrder>27</b:RefOrder>
  </b:Source>
  <b:Source>
    <b:Tag>Dep20</b:Tag>
    <b:SourceType>InternetSite</b:SourceType>
    <b:Guid>{FA143B3C-9F0E-4569-B9A2-7CF5E3E86210}</b:Guid>
    <b:Title>Department for Business, Energy and Industrial Strategy. Green Heat Network Fund: proposals for the scheme design</b:Title>
    <b:Year>2020d</b:Year>
    <b:YearAccessed>2021</b:YearAccessed>
    <b:MonthAccessed>April</b:MonthAccessed>
    <b:DayAccessed>6</b:DayAccessed>
    <b:URL>https://www.gov.uk/government/consultations/green-heat-network-fund-proposals-for-the-scheme-design</b:URL>
    <b:Author>
      <b:Author>
        <b:Corporate>BEIS</b:Corporate>
      </b:Author>
    </b:Author>
    <b:RefOrder>28</b:RefOrder>
  </b:Source>
  <b:Source>
    <b:Tag>Rev201</b:Tag>
    <b:SourceType>JournalArticle</b:SourceType>
    <b:Guid>{C93E3933-CC24-4DF6-ACD7-C1F64543489B}</b:Guid>
    <b:Title>Developing novel 5th generation district energy networks</b:Title>
    <b:Year>2020</b:Year>
    <b:JournalName>Energy</b:JournalName>
    <b:Pages>117389</b:Pages>
    <b:Volume>201</b:Volume>
    <b:Author>
      <b:Author>
        <b:NameList>
          <b:Person>
            <b:Last>Revesz</b:Last>
            <b:First>Akos</b:First>
          </b:Person>
          <b:Person>
            <b:Last>Jones</b:Last>
            <b:First>Phil</b:First>
          </b:Person>
          <b:Person>
            <b:Last>Dunham</b:Last>
            <b:First>Chris</b:First>
          </b:Person>
          <b:Person>
            <b:Last>Davies</b:Last>
            <b:First>Gareth</b:First>
          </b:Person>
          <b:Person>
            <b:Last>Marques</b:Last>
            <b:First>Catarina</b:First>
          </b:Person>
          <b:Person>
            <b:Last>Matabuena</b:Last>
            <b:First>Rodrigo</b:First>
          </b:Person>
          <b:Person>
            <b:Last>Scott</b:Last>
            <b:First>Jim</b:First>
          </b:Person>
          <b:Person>
            <b:Last>Maidment</b:Last>
            <b:First>Graeme</b:First>
          </b:Person>
        </b:NameList>
      </b:Author>
    </b:Author>
    <b:RefOrder>29</b:RefOrder>
  </b:Source>
  <b:Source>
    <b:Tag>Tho06</b:Tag>
    <b:SourceType>JournalArticle</b:SourceType>
    <b:Guid>{F8D8F28C-9E06-4D0A-82D2-91FAAE1978BC}</b:Guid>
    <b:Title>Modelling low-energy cooling strategies for underground railways</b:Title>
    <b:Year>2006</b:Year>
    <b:JournalName>Applied Energy</b:JournalName>
    <b:Pages>1152-1162</b:Pages>
    <b:Volume>83</b:Volume>
    <b:Author>
      <b:Author>
        <b:NameList>
          <b:Person>
            <b:Last>Thompson</b:Last>
            <b:First>J.A.</b:First>
          </b:Person>
          <b:Person>
            <b:Last>Maidment</b:Last>
            <b:First>G.G.</b:First>
          </b:Person>
          <b:Person>
            <b:Last>Missenden</b:Last>
            <b:First>J.F.</b:First>
          </b:Person>
        </b:NameList>
      </b:Author>
    </b:Author>
    <b:RefOrder>30</b:RefOrder>
  </b:Source>
  <b:Source>
    <b:Tag>Wen</b:Tag>
    <b:SourceType>JournalArticle</b:SourceType>
    <b:Guid>{0BF3B6AC-7748-4092-8A1F-C47CD1C08A27}</b:Guid>
    <b:Title>Environmental and Health Effects of Ventilation in Subway Stations: A Literature Review</b:Title>
    <b:JournalName>International Journal of Environmental Research and Public Health</b:JournalName>
    <b:Author>
      <b:Author>
        <b:NameList>
          <b:Person>
            <b:Last>Wen</b:Last>
            <b:First>Yueming</b:First>
          </b:Person>
          <b:Person>
            <b:Last>Leng</b:Last>
            <b:First>Jiawei</b:First>
          </b:Person>
          <b:Person>
            <b:Last>Shen</b:Last>
            <b:First>Xiaobing</b:First>
          </b:Person>
          <b:Person>
            <b:Last>Han</b:Last>
            <b:First>Gang</b:First>
          </b:Person>
          <b:Person>
            <b:Last>Lijun</b:Last>
            <b:First>Sun</b:First>
          </b:Person>
          <b:Person>
            <b:Last>Yu</b:Last>
            <b:First>Fei</b:First>
          </b:Person>
        </b:NameList>
      </b:Author>
    </b:Author>
    <b:Year>2020</b:Year>
    <b:Pages>1084</b:Pages>
    <b:Volume>17</b:Volume>
    <b:RefOrder>31</b:RefOrder>
  </b:Source>
  <b:Source>
    <b:Tag>Par02</b:Tag>
    <b:SourceType>Report</b:SourceType>
    <b:Guid>{5423236B-F51C-42BB-B4CD-5D193790D785}</b:Guid>
    <b:Title>Subway Environmental Design Handbook, Volume II. Subway Environmental Simulation Computer Program, Version 4.1</b:Title>
    <b:Year>2002</b:Year>
    <b:City>New York, USA</b:City>
    <b:Author>
      <b:Author>
        <b:Corporate>U.S. Department of Transportation</b:Corporate>
      </b:Author>
    </b:Autho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D2E21DBD8F96468B336EC1A1344676" ma:contentTypeVersion="13" ma:contentTypeDescription="Create a new document." ma:contentTypeScope="" ma:versionID="7bb000669150ec165347817d9c3ab437">
  <xsd:schema xmlns:xsd="http://www.w3.org/2001/XMLSchema" xmlns:xs="http://www.w3.org/2001/XMLSchema" xmlns:p="http://schemas.microsoft.com/office/2006/metadata/properties" xmlns:ns3="ecee6795-fb55-4d03-85cb-af6f56f5d1bc" xmlns:ns4="9e8c740a-bf30-4fec-a03b-5dcf545d8eda" targetNamespace="http://schemas.microsoft.com/office/2006/metadata/properties" ma:root="true" ma:fieldsID="94151be2a0a1feec963c5608800d0600" ns3:_="" ns4:_="">
    <xsd:import namespace="ecee6795-fb55-4d03-85cb-af6f56f5d1bc"/>
    <xsd:import namespace="9e8c740a-bf30-4fec-a03b-5dcf545d8ed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e6795-fb55-4d03-85cb-af6f56f5d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c740a-bf30-4fec-a03b-5dcf545d8ed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2A0605-624B-4FE7-BA42-5A38197B2D63}">
  <ds:schemaRefs>
    <ds:schemaRef ds:uri="http://schemas.openxmlformats.org/officeDocument/2006/bibliography"/>
  </ds:schemaRefs>
</ds:datastoreItem>
</file>

<file path=customXml/itemProps2.xml><?xml version="1.0" encoding="utf-8"?>
<ds:datastoreItem xmlns:ds="http://schemas.openxmlformats.org/officeDocument/2006/customXml" ds:itemID="{99E77794-772B-4033-B3F2-191CE94BBB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7F396F-7ABA-4C55-BE82-4B0A0FDE4082}">
  <ds:schemaRefs>
    <ds:schemaRef ds:uri="http://schemas.microsoft.com/sharepoint/v3/contenttype/forms"/>
  </ds:schemaRefs>
</ds:datastoreItem>
</file>

<file path=customXml/itemProps4.xml><?xml version="1.0" encoding="utf-8"?>
<ds:datastoreItem xmlns:ds="http://schemas.openxmlformats.org/officeDocument/2006/customXml" ds:itemID="{4E63026A-3B1B-411E-9F37-4B02E2F47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e6795-fb55-4d03-85cb-af6f56f5d1bc"/>
    <ds:schemaRef ds:uri="9e8c740a-bf30-4fec-a03b-5dcf545d8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1921</TotalTime>
  <Pages>17</Pages>
  <Words>7087</Words>
  <Characters>40400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47393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Roscoe</dc:creator>
  <cp:keywords/>
  <dc:description/>
  <cp:lastModifiedBy>Henrique Roscoe Papini Lagoeiro</cp:lastModifiedBy>
  <cp:revision>168</cp:revision>
  <cp:lastPrinted>2021-10-12T13:21:00Z</cp:lastPrinted>
  <dcterms:created xsi:type="dcterms:W3CDTF">2022-02-17T15:44:00Z</dcterms:created>
  <dcterms:modified xsi:type="dcterms:W3CDTF">2023-12-20T09:18:00Z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0x01010009D2E21DBD8F96468B336EC1A1344676</vt:lpwstr>
  </property>
</Properties>
</file>