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64A9D" w14:textId="71775119" w:rsidR="00B944E7" w:rsidRPr="00735740" w:rsidRDefault="00A9309E" w:rsidP="00201640">
      <w:pPr>
        <w:pStyle w:val="Title"/>
        <w:spacing w:afterLines="160" w:after="384" w:line="360" w:lineRule="auto"/>
        <w:rPr>
          <w:rFonts w:ascii="Garamond" w:hAnsi="Garamond"/>
          <w:color w:val="000000" w:themeColor="text1"/>
        </w:rPr>
      </w:pPr>
      <w:bookmarkStart w:id="0" w:name="_GoBack"/>
      <w:bookmarkEnd w:id="0"/>
      <w:r w:rsidRPr="00735740">
        <w:rPr>
          <w:rFonts w:ascii="Garamond" w:hAnsi="Garamond"/>
          <w:color w:val="000000" w:themeColor="text1"/>
        </w:rPr>
        <w:t>Archiv</w:t>
      </w:r>
      <w:r w:rsidR="00B904E4" w:rsidRPr="00735740">
        <w:rPr>
          <w:rFonts w:ascii="Garamond" w:hAnsi="Garamond"/>
          <w:color w:val="000000" w:themeColor="text1"/>
        </w:rPr>
        <w:t xml:space="preserve">ing </w:t>
      </w:r>
      <w:r w:rsidR="001252E4" w:rsidRPr="00735740">
        <w:rPr>
          <w:rFonts w:ascii="Garamond" w:hAnsi="Garamond"/>
          <w:color w:val="000000" w:themeColor="text1"/>
        </w:rPr>
        <w:t xml:space="preserve">(in)justice: </w:t>
      </w:r>
      <w:r w:rsidR="00906522" w:rsidRPr="00735740">
        <w:rPr>
          <w:rFonts w:ascii="Garamond" w:hAnsi="Garamond"/>
          <w:color w:val="000000" w:themeColor="text1"/>
        </w:rPr>
        <w:t xml:space="preserve">building </w:t>
      </w:r>
      <w:r w:rsidR="001252E4" w:rsidRPr="00735740">
        <w:rPr>
          <w:rFonts w:ascii="Garamond" w:hAnsi="Garamond"/>
          <w:color w:val="000000" w:themeColor="text1"/>
        </w:rPr>
        <w:t xml:space="preserve">archives </w:t>
      </w:r>
      <w:r w:rsidR="00B32299" w:rsidRPr="00735740">
        <w:rPr>
          <w:rFonts w:ascii="Garamond" w:hAnsi="Garamond"/>
          <w:color w:val="000000" w:themeColor="text1"/>
        </w:rPr>
        <w:t xml:space="preserve">and </w:t>
      </w:r>
      <w:r w:rsidR="003A5C27" w:rsidRPr="00735740">
        <w:rPr>
          <w:rFonts w:ascii="Garamond" w:hAnsi="Garamond"/>
          <w:color w:val="000000" w:themeColor="text1"/>
        </w:rPr>
        <w:t>imagin</w:t>
      </w:r>
      <w:r w:rsidR="004666A7" w:rsidRPr="00735740">
        <w:rPr>
          <w:rFonts w:ascii="Garamond" w:hAnsi="Garamond"/>
          <w:color w:val="000000" w:themeColor="text1"/>
        </w:rPr>
        <w:t>in</w:t>
      </w:r>
      <w:r w:rsidR="003A5C27" w:rsidRPr="00735740">
        <w:rPr>
          <w:rFonts w:ascii="Garamond" w:hAnsi="Garamond"/>
          <w:color w:val="000000" w:themeColor="text1"/>
        </w:rPr>
        <w:t xml:space="preserve">g </w:t>
      </w:r>
      <w:r w:rsidR="00906522" w:rsidRPr="00735740">
        <w:rPr>
          <w:rFonts w:ascii="Garamond" w:hAnsi="Garamond"/>
          <w:color w:val="000000" w:themeColor="text1"/>
        </w:rPr>
        <w:t>community</w:t>
      </w:r>
    </w:p>
    <w:p w14:paraId="27D36EE5" w14:textId="6492CAA3" w:rsidR="003827C7" w:rsidRPr="00735740" w:rsidRDefault="00B944E7" w:rsidP="00201640">
      <w:pPr>
        <w:spacing w:afterLines="160" w:after="384" w:line="360" w:lineRule="auto"/>
        <w:rPr>
          <w:rFonts w:ascii="Garamond" w:hAnsi="Garamond"/>
          <w:i/>
          <w:color w:val="000000" w:themeColor="text1"/>
        </w:rPr>
      </w:pPr>
      <w:r w:rsidRPr="00735740">
        <w:rPr>
          <w:rFonts w:ascii="Garamond" w:hAnsi="Garamond"/>
          <w:i/>
          <w:color w:val="000000" w:themeColor="text1"/>
        </w:rPr>
        <w:t xml:space="preserve">This article </w:t>
      </w:r>
      <w:r w:rsidR="00406B29" w:rsidRPr="00735740">
        <w:rPr>
          <w:rFonts w:ascii="Garamond" w:hAnsi="Garamond"/>
          <w:i/>
          <w:color w:val="000000" w:themeColor="text1"/>
        </w:rPr>
        <w:t>explores</w:t>
      </w:r>
      <w:r w:rsidRPr="00735740">
        <w:rPr>
          <w:rFonts w:ascii="Garamond" w:hAnsi="Garamond"/>
          <w:i/>
          <w:color w:val="000000" w:themeColor="text1"/>
        </w:rPr>
        <w:t xml:space="preserve"> the</w:t>
      </w:r>
      <w:r w:rsidR="001F3B4E" w:rsidRPr="00735740">
        <w:rPr>
          <w:rFonts w:ascii="Garamond" w:hAnsi="Garamond"/>
          <w:i/>
          <w:color w:val="000000" w:themeColor="text1"/>
        </w:rPr>
        <w:t xml:space="preserve"> </w:t>
      </w:r>
      <w:r w:rsidR="001A4372" w:rsidRPr="00735740">
        <w:rPr>
          <w:rFonts w:ascii="Garamond" w:hAnsi="Garamond"/>
          <w:i/>
          <w:color w:val="000000" w:themeColor="text1"/>
        </w:rPr>
        <w:t>role that</w:t>
      </w:r>
      <w:r w:rsidR="001F3B4E" w:rsidRPr="00735740">
        <w:rPr>
          <w:rFonts w:ascii="Garamond" w:hAnsi="Garamond"/>
          <w:i/>
          <w:color w:val="000000" w:themeColor="text1"/>
        </w:rPr>
        <w:t xml:space="preserve"> archives </w:t>
      </w:r>
      <w:r w:rsidR="001A4372" w:rsidRPr="00735740">
        <w:rPr>
          <w:rFonts w:ascii="Garamond" w:hAnsi="Garamond"/>
          <w:i/>
          <w:color w:val="000000" w:themeColor="text1"/>
        </w:rPr>
        <w:t>play in</w:t>
      </w:r>
      <w:r w:rsidR="001F3B4E" w:rsidRPr="00735740">
        <w:rPr>
          <w:rFonts w:ascii="Garamond" w:hAnsi="Garamond"/>
          <w:i/>
          <w:color w:val="000000" w:themeColor="text1"/>
        </w:rPr>
        <w:t xml:space="preserve"> </w:t>
      </w:r>
      <w:r w:rsidR="009C2BFC" w:rsidRPr="00735740">
        <w:rPr>
          <w:rFonts w:ascii="Garamond" w:hAnsi="Garamond"/>
          <w:i/>
          <w:color w:val="000000" w:themeColor="text1"/>
        </w:rPr>
        <w:t>the constitution</w:t>
      </w:r>
      <w:r w:rsidR="001A4372" w:rsidRPr="00735740">
        <w:rPr>
          <w:rFonts w:ascii="Garamond" w:hAnsi="Garamond"/>
          <w:i/>
          <w:color w:val="000000" w:themeColor="text1"/>
        </w:rPr>
        <w:t xml:space="preserve"> and governance</w:t>
      </w:r>
      <w:r w:rsidR="009C2BFC" w:rsidRPr="00735740">
        <w:rPr>
          <w:rFonts w:ascii="Garamond" w:hAnsi="Garamond"/>
          <w:i/>
          <w:color w:val="000000" w:themeColor="text1"/>
        </w:rPr>
        <w:t xml:space="preserve"> of </w:t>
      </w:r>
      <w:r w:rsidR="001F3B4E" w:rsidRPr="00735740">
        <w:rPr>
          <w:rFonts w:ascii="Garamond" w:hAnsi="Garamond"/>
          <w:i/>
          <w:color w:val="000000" w:themeColor="text1"/>
        </w:rPr>
        <w:t xml:space="preserve">the international community. </w:t>
      </w:r>
      <w:r w:rsidRPr="00735740">
        <w:rPr>
          <w:rFonts w:ascii="Garamond" w:hAnsi="Garamond"/>
          <w:i/>
          <w:color w:val="000000" w:themeColor="text1"/>
        </w:rPr>
        <w:t>First</w:t>
      </w:r>
      <w:r w:rsidR="00E80ECB" w:rsidRPr="00735740">
        <w:rPr>
          <w:rFonts w:ascii="Garamond" w:hAnsi="Garamond"/>
          <w:i/>
          <w:color w:val="000000" w:themeColor="text1"/>
        </w:rPr>
        <w:t>,</w:t>
      </w:r>
      <w:r w:rsidR="00C55575" w:rsidRPr="00735740">
        <w:rPr>
          <w:rFonts w:ascii="Garamond" w:hAnsi="Garamond"/>
          <w:i/>
          <w:color w:val="000000" w:themeColor="text1"/>
        </w:rPr>
        <w:t xml:space="preserve"> drawing on post-colonial </w:t>
      </w:r>
      <w:r w:rsidR="00885820" w:rsidRPr="00735740">
        <w:rPr>
          <w:rFonts w:ascii="Garamond" w:hAnsi="Garamond"/>
          <w:i/>
          <w:color w:val="000000" w:themeColor="text1"/>
        </w:rPr>
        <w:t>scholarship</w:t>
      </w:r>
      <w:r w:rsidR="002612BE" w:rsidRPr="00735740">
        <w:rPr>
          <w:rFonts w:ascii="Garamond" w:hAnsi="Garamond"/>
          <w:i/>
          <w:color w:val="000000" w:themeColor="text1"/>
        </w:rPr>
        <w:t>,</w:t>
      </w:r>
      <w:r w:rsidR="00A312DD" w:rsidRPr="00735740">
        <w:rPr>
          <w:rFonts w:ascii="Garamond" w:hAnsi="Garamond"/>
          <w:i/>
          <w:color w:val="000000" w:themeColor="text1"/>
        </w:rPr>
        <w:t xml:space="preserve"> it develops a framework to </w:t>
      </w:r>
      <w:r w:rsidR="00B42298" w:rsidRPr="00735740">
        <w:rPr>
          <w:rFonts w:ascii="Garamond" w:hAnsi="Garamond"/>
          <w:i/>
          <w:color w:val="000000" w:themeColor="text1"/>
        </w:rPr>
        <w:t>explicate</w:t>
      </w:r>
      <w:r w:rsidR="00A312DD" w:rsidRPr="00735740">
        <w:rPr>
          <w:rFonts w:ascii="Garamond" w:hAnsi="Garamond"/>
          <w:i/>
          <w:color w:val="000000" w:themeColor="text1"/>
        </w:rPr>
        <w:t xml:space="preserve"> the link between archive and community</w:t>
      </w:r>
      <w:r w:rsidR="002612BE" w:rsidRPr="00735740">
        <w:rPr>
          <w:rFonts w:ascii="Garamond" w:hAnsi="Garamond"/>
          <w:i/>
          <w:color w:val="000000" w:themeColor="text1"/>
        </w:rPr>
        <w:t xml:space="preserve">, </w:t>
      </w:r>
      <w:r w:rsidR="00A312DD" w:rsidRPr="00735740">
        <w:rPr>
          <w:rFonts w:ascii="Garamond" w:hAnsi="Garamond"/>
          <w:i/>
          <w:color w:val="000000" w:themeColor="text1"/>
        </w:rPr>
        <w:t>centr</w:t>
      </w:r>
      <w:r w:rsidR="002612BE" w:rsidRPr="00735740">
        <w:rPr>
          <w:rFonts w:ascii="Garamond" w:hAnsi="Garamond"/>
          <w:i/>
          <w:color w:val="000000" w:themeColor="text1"/>
        </w:rPr>
        <w:t>ing</w:t>
      </w:r>
      <w:r w:rsidR="00A312DD" w:rsidRPr="00735740">
        <w:rPr>
          <w:rFonts w:ascii="Garamond" w:hAnsi="Garamond"/>
          <w:i/>
          <w:color w:val="000000" w:themeColor="text1"/>
        </w:rPr>
        <w:t xml:space="preserve"> </w:t>
      </w:r>
      <w:r w:rsidR="002612BE" w:rsidRPr="00735740">
        <w:rPr>
          <w:rFonts w:ascii="Garamond" w:hAnsi="Garamond"/>
          <w:i/>
          <w:color w:val="000000" w:themeColor="text1"/>
        </w:rPr>
        <w:t>on</w:t>
      </w:r>
      <w:r w:rsidR="00A312DD" w:rsidRPr="00735740">
        <w:rPr>
          <w:rFonts w:ascii="Garamond" w:hAnsi="Garamond"/>
          <w:i/>
          <w:color w:val="000000" w:themeColor="text1"/>
        </w:rPr>
        <w:t xml:space="preserve"> questions of voice, identity and responsibility</w:t>
      </w:r>
      <w:r w:rsidR="002612BE" w:rsidRPr="00735740">
        <w:rPr>
          <w:rFonts w:ascii="Garamond" w:hAnsi="Garamond"/>
          <w:i/>
          <w:color w:val="000000" w:themeColor="text1"/>
        </w:rPr>
        <w:t xml:space="preserve">. It </w:t>
      </w:r>
      <w:r w:rsidR="00A312DD" w:rsidRPr="00735740">
        <w:rPr>
          <w:rFonts w:ascii="Garamond" w:hAnsi="Garamond"/>
          <w:i/>
          <w:color w:val="000000" w:themeColor="text1"/>
        </w:rPr>
        <w:t>then examines how the archive can be analysed</w:t>
      </w:r>
      <w:r w:rsidR="002612BE" w:rsidRPr="00735740">
        <w:rPr>
          <w:rFonts w:ascii="Garamond" w:hAnsi="Garamond"/>
          <w:i/>
          <w:color w:val="000000" w:themeColor="text1"/>
        </w:rPr>
        <w:t>, pointing additionally to the importance of the archive’s materiality</w:t>
      </w:r>
      <w:r w:rsidR="00A312DD" w:rsidRPr="00735740">
        <w:rPr>
          <w:rFonts w:ascii="Garamond" w:hAnsi="Garamond"/>
          <w:i/>
          <w:color w:val="000000" w:themeColor="text1"/>
        </w:rPr>
        <w:t xml:space="preserve">. </w:t>
      </w:r>
      <w:r w:rsidR="007C5EA8" w:rsidRPr="00735740">
        <w:rPr>
          <w:rFonts w:ascii="Garamond" w:hAnsi="Garamond"/>
          <w:i/>
          <w:color w:val="000000" w:themeColor="text1"/>
        </w:rPr>
        <w:t>Second,</w:t>
      </w:r>
      <w:r w:rsidR="008A6568" w:rsidRPr="00735740">
        <w:rPr>
          <w:rFonts w:ascii="Garamond" w:hAnsi="Garamond"/>
          <w:i/>
          <w:color w:val="000000" w:themeColor="text1"/>
        </w:rPr>
        <w:t xml:space="preserve"> </w:t>
      </w:r>
      <w:r w:rsidR="007C5EA8" w:rsidRPr="00735740">
        <w:rPr>
          <w:rFonts w:ascii="Garamond" w:hAnsi="Garamond"/>
          <w:i/>
          <w:color w:val="000000" w:themeColor="text1"/>
        </w:rPr>
        <w:t>t</w:t>
      </w:r>
      <w:r w:rsidR="00E80ECB" w:rsidRPr="00735740">
        <w:rPr>
          <w:rFonts w:ascii="Garamond" w:hAnsi="Garamond"/>
          <w:i/>
          <w:color w:val="000000" w:themeColor="text1"/>
        </w:rPr>
        <w:t xml:space="preserve">hese ideas are explored through a reading of the International Criminal Tribunal for Rwanda’s </w:t>
      </w:r>
      <w:r w:rsidR="00B42298" w:rsidRPr="00735740">
        <w:rPr>
          <w:rFonts w:ascii="Garamond" w:hAnsi="Garamond"/>
          <w:i/>
          <w:color w:val="000000" w:themeColor="text1"/>
        </w:rPr>
        <w:t xml:space="preserve">(ICTR) </w:t>
      </w:r>
      <w:r w:rsidR="00E80ECB" w:rsidRPr="00735740">
        <w:rPr>
          <w:rFonts w:ascii="Garamond" w:hAnsi="Garamond"/>
          <w:i/>
          <w:color w:val="000000" w:themeColor="text1"/>
        </w:rPr>
        <w:t xml:space="preserve">archive, which </w:t>
      </w:r>
      <w:r w:rsidR="00C55575" w:rsidRPr="00735740">
        <w:rPr>
          <w:rFonts w:ascii="Garamond" w:hAnsi="Garamond"/>
          <w:i/>
          <w:color w:val="000000" w:themeColor="text1"/>
        </w:rPr>
        <w:t xml:space="preserve">helped </w:t>
      </w:r>
      <w:r w:rsidR="008A6568" w:rsidRPr="00735740">
        <w:rPr>
          <w:rFonts w:ascii="Garamond" w:hAnsi="Garamond"/>
          <w:i/>
          <w:color w:val="000000" w:themeColor="text1"/>
        </w:rPr>
        <w:t>rebuild the</w:t>
      </w:r>
      <w:r w:rsidR="00C55575" w:rsidRPr="00735740">
        <w:rPr>
          <w:rFonts w:ascii="Garamond" w:hAnsi="Garamond"/>
          <w:i/>
          <w:color w:val="000000" w:themeColor="text1"/>
        </w:rPr>
        <w:t xml:space="preserve"> </w:t>
      </w:r>
      <w:r w:rsidR="00E80ECB" w:rsidRPr="00735740">
        <w:rPr>
          <w:rFonts w:ascii="Garamond" w:hAnsi="Garamond"/>
          <w:i/>
          <w:color w:val="000000" w:themeColor="text1"/>
        </w:rPr>
        <w:t>international community</w:t>
      </w:r>
      <w:r w:rsidR="008A6568" w:rsidRPr="00735740">
        <w:rPr>
          <w:rFonts w:ascii="Garamond" w:hAnsi="Garamond"/>
          <w:i/>
          <w:color w:val="000000" w:themeColor="text1"/>
        </w:rPr>
        <w:t xml:space="preserve"> in the wake of </w:t>
      </w:r>
      <w:r w:rsidR="00484E25" w:rsidRPr="00735740">
        <w:rPr>
          <w:rFonts w:ascii="Garamond" w:hAnsi="Garamond"/>
          <w:i/>
          <w:color w:val="000000" w:themeColor="text1"/>
        </w:rPr>
        <w:t>its</w:t>
      </w:r>
      <w:r w:rsidR="008A6568" w:rsidRPr="00735740">
        <w:rPr>
          <w:rFonts w:ascii="Garamond" w:hAnsi="Garamond"/>
          <w:i/>
          <w:color w:val="000000" w:themeColor="text1"/>
        </w:rPr>
        <w:t xml:space="preserve"> failure to </w:t>
      </w:r>
      <w:r w:rsidR="00406B29" w:rsidRPr="00735740">
        <w:rPr>
          <w:rFonts w:ascii="Garamond" w:hAnsi="Garamond"/>
          <w:i/>
          <w:color w:val="000000" w:themeColor="text1"/>
        </w:rPr>
        <w:t>prevent</w:t>
      </w:r>
      <w:r w:rsidR="008A6568" w:rsidRPr="00735740">
        <w:rPr>
          <w:rFonts w:ascii="Garamond" w:hAnsi="Garamond"/>
          <w:i/>
          <w:color w:val="000000" w:themeColor="text1"/>
        </w:rPr>
        <w:t xml:space="preserve"> the Rwandan genocide</w:t>
      </w:r>
      <w:r w:rsidR="00406B29" w:rsidRPr="00735740">
        <w:rPr>
          <w:rFonts w:ascii="Garamond" w:hAnsi="Garamond"/>
          <w:i/>
          <w:color w:val="000000" w:themeColor="text1"/>
        </w:rPr>
        <w:t xml:space="preserve">. </w:t>
      </w:r>
      <w:r w:rsidR="0069659A" w:rsidRPr="00735740">
        <w:rPr>
          <w:rFonts w:ascii="Garamond" w:hAnsi="Garamond"/>
          <w:i/>
          <w:color w:val="000000" w:themeColor="text1"/>
        </w:rPr>
        <w:t>By providing a detailed reading of the ICTR’s records</w:t>
      </w:r>
      <w:r w:rsidR="00B42298" w:rsidRPr="00735740">
        <w:rPr>
          <w:rFonts w:ascii="Garamond" w:hAnsi="Garamond"/>
          <w:i/>
          <w:color w:val="000000" w:themeColor="text1"/>
        </w:rPr>
        <w:t>,</w:t>
      </w:r>
      <w:r w:rsidR="005E47DB" w:rsidRPr="00735740">
        <w:rPr>
          <w:rFonts w:ascii="Garamond" w:hAnsi="Garamond"/>
          <w:i/>
          <w:color w:val="000000" w:themeColor="text1"/>
        </w:rPr>
        <w:t xml:space="preserve"> and drawing on the </w:t>
      </w:r>
      <w:r w:rsidR="00402B74" w:rsidRPr="00735740">
        <w:rPr>
          <w:rFonts w:ascii="Garamond" w:hAnsi="Garamond"/>
          <w:i/>
          <w:color w:val="000000" w:themeColor="text1"/>
        </w:rPr>
        <w:t>framework</w:t>
      </w:r>
      <w:r w:rsidR="005E47DB" w:rsidRPr="00735740">
        <w:rPr>
          <w:rFonts w:ascii="Garamond" w:hAnsi="Garamond"/>
          <w:i/>
          <w:color w:val="000000" w:themeColor="text1"/>
        </w:rPr>
        <w:t xml:space="preserve"> established in the first section,</w:t>
      </w:r>
      <w:r w:rsidR="0069659A" w:rsidRPr="00735740">
        <w:rPr>
          <w:rFonts w:ascii="Garamond" w:hAnsi="Garamond"/>
          <w:i/>
          <w:color w:val="000000" w:themeColor="text1"/>
        </w:rPr>
        <w:t xml:space="preserve"> </w:t>
      </w:r>
      <w:r w:rsidR="005E47DB" w:rsidRPr="00735740">
        <w:rPr>
          <w:rFonts w:ascii="Garamond" w:hAnsi="Garamond"/>
          <w:i/>
          <w:color w:val="000000" w:themeColor="text1"/>
        </w:rPr>
        <w:t xml:space="preserve">the article </w:t>
      </w:r>
      <w:r w:rsidR="00406B29" w:rsidRPr="00735740">
        <w:rPr>
          <w:rFonts w:ascii="Garamond" w:hAnsi="Garamond"/>
          <w:i/>
          <w:color w:val="000000" w:themeColor="text1"/>
        </w:rPr>
        <w:t xml:space="preserve">shows </w:t>
      </w:r>
      <w:r w:rsidR="004B03B8" w:rsidRPr="00735740">
        <w:rPr>
          <w:rFonts w:ascii="Garamond" w:hAnsi="Garamond"/>
          <w:i/>
          <w:color w:val="000000" w:themeColor="text1"/>
        </w:rPr>
        <w:t>that</w:t>
      </w:r>
      <w:r w:rsidR="0069659A" w:rsidRPr="00735740">
        <w:rPr>
          <w:rFonts w:ascii="Garamond" w:hAnsi="Garamond"/>
          <w:i/>
          <w:color w:val="000000" w:themeColor="text1"/>
        </w:rPr>
        <w:t xml:space="preserve"> the archive </w:t>
      </w:r>
      <w:r w:rsidR="00402B74" w:rsidRPr="00735740">
        <w:rPr>
          <w:rFonts w:ascii="Garamond" w:hAnsi="Garamond"/>
          <w:i/>
          <w:color w:val="000000" w:themeColor="text1"/>
        </w:rPr>
        <w:t>constructed</w:t>
      </w:r>
      <w:r w:rsidR="0069659A" w:rsidRPr="00735740">
        <w:rPr>
          <w:rFonts w:ascii="Garamond" w:hAnsi="Garamond"/>
          <w:i/>
          <w:color w:val="000000" w:themeColor="text1"/>
        </w:rPr>
        <w:t xml:space="preserve"> a </w:t>
      </w:r>
      <w:r w:rsidR="003D03A8" w:rsidRPr="00735740">
        <w:rPr>
          <w:rFonts w:ascii="Garamond" w:hAnsi="Garamond"/>
          <w:i/>
          <w:color w:val="000000" w:themeColor="text1"/>
        </w:rPr>
        <w:t>liberal,</w:t>
      </w:r>
      <w:r w:rsidR="008A6568" w:rsidRPr="00735740">
        <w:rPr>
          <w:rFonts w:ascii="Garamond" w:hAnsi="Garamond"/>
          <w:i/>
          <w:color w:val="000000" w:themeColor="text1"/>
        </w:rPr>
        <w:t xml:space="preserve"> patriarchal</w:t>
      </w:r>
      <w:r w:rsidR="003D03A8" w:rsidRPr="00735740">
        <w:rPr>
          <w:rFonts w:ascii="Garamond" w:hAnsi="Garamond"/>
          <w:i/>
          <w:color w:val="000000" w:themeColor="text1"/>
        </w:rPr>
        <w:t xml:space="preserve"> and </w:t>
      </w:r>
      <w:r w:rsidR="00DD6920" w:rsidRPr="00735740">
        <w:rPr>
          <w:rFonts w:ascii="Garamond" w:hAnsi="Garamond"/>
          <w:i/>
          <w:color w:val="000000" w:themeColor="text1"/>
        </w:rPr>
        <w:t>colonial</w:t>
      </w:r>
      <w:r w:rsidR="008A6568" w:rsidRPr="00735740">
        <w:rPr>
          <w:rFonts w:ascii="Garamond" w:hAnsi="Garamond"/>
          <w:i/>
          <w:color w:val="000000" w:themeColor="text1"/>
        </w:rPr>
        <w:t xml:space="preserve"> understanding of </w:t>
      </w:r>
      <w:r w:rsidR="004B03B8" w:rsidRPr="00735740">
        <w:rPr>
          <w:rFonts w:ascii="Garamond" w:hAnsi="Garamond"/>
          <w:i/>
          <w:color w:val="000000" w:themeColor="text1"/>
        </w:rPr>
        <w:t xml:space="preserve">the international </w:t>
      </w:r>
      <w:r w:rsidR="008A6568" w:rsidRPr="00735740">
        <w:rPr>
          <w:rFonts w:ascii="Garamond" w:hAnsi="Garamond"/>
          <w:i/>
          <w:color w:val="000000" w:themeColor="text1"/>
        </w:rPr>
        <w:t>community</w:t>
      </w:r>
      <w:r w:rsidR="006F77A0" w:rsidRPr="00735740">
        <w:rPr>
          <w:rFonts w:ascii="Garamond" w:hAnsi="Garamond"/>
          <w:i/>
          <w:color w:val="000000" w:themeColor="text1"/>
        </w:rPr>
        <w:t>.</w:t>
      </w:r>
    </w:p>
    <w:p w14:paraId="5143BAEE" w14:textId="3ED0DE6C" w:rsidR="00531A8F" w:rsidRPr="00735740" w:rsidRDefault="00531A8F" w:rsidP="00201640">
      <w:pPr>
        <w:spacing w:afterLines="160" w:after="384" w:line="360" w:lineRule="auto"/>
        <w:rPr>
          <w:rFonts w:ascii="Garamond" w:hAnsi="Garamond"/>
          <w:color w:val="000000" w:themeColor="text1"/>
        </w:rPr>
      </w:pPr>
      <w:r w:rsidRPr="00735740">
        <w:rPr>
          <w:rFonts w:ascii="Garamond" w:hAnsi="Garamond"/>
          <w:color w:val="000000" w:themeColor="text1"/>
        </w:rPr>
        <w:t>Key words: archive;</w:t>
      </w:r>
      <w:r w:rsidR="00103DD8" w:rsidRPr="00735740">
        <w:rPr>
          <w:rFonts w:ascii="Garamond" w:hAnsi="Garamond"/>
          <w:color w:val="000000" w:themeColor="text1"/>
        </w:rPr>
        <w:t xml:space="preserve"> international community; </w:t>
      </w:r>
      <w:r w:rsidR="000F4DC8" w:rsidRPr="00735740">
        <w:rPr>
          <w:rFonts w:ascii="Garamond" w:hAnsi="Garamond"/>
          <w:color w:val="000000" w:themeColor="text1"/>
        </w:rPr>
        <w:t>genocide</w:t>
      </w:r>
      <w:r w:rsidR="004F52B5" w:rsidRPr="00735740">
        <w:rPr>
          <w:rFonts w:ascii="Garamond" w:hAnsi="Garamond"/>
          <w:color w:val="000000" w:themeColor="text1"/>
        </w:rPr>
        <w:t xml:space="preserve">; </w:t>
      </w:r>
      <w:r w:rsidR="00C55575" w:rsidRPr="00735740">
        <w:rPr>
          <w:rFonts w:ascii="Garamond" w:hAnsi="Garamond"/>
          <w:color w:val="000000" w:themeColor="text1"/>
        </w:rPr>
        <w:t>post-colonial</w:t>
      </w:r>
      <w:r w:rsidR="004F52B5" w:rsidRPr="00735740">
        <w:rPr>
          <w:rFonts w:ascii="Garamond" w:hAnsi="Garamond"/>
          <w:color w:val="000000" w:themeColor="text1"/>
        </w:rPr>
        <w:t>; international criminal justice; Rwanda</w:t>
      </w:r>
      <w:r w:rsidR="00484E25" w:rsidRPr="00735740">
        <w:rPr>
          <w:rFonts w:ascii="Garamond" w:hAnsi="Garamond"/>
          <w:color w:val="000000" w:themeColor="text1"/>
        </w:rPr>
        <w:t>.</w:t>
      </w:r>
    </w:p>
    <w:p w14:paraId="4520B860" w14:textId="6B7E1FF4" w:rsidR="00B45BA2" w:rsidRPr="00735740" w:rsidRDefault="007B7A4B" w:rsidP="00201640">
      <w:pPr>
        <w:pStyle w:val="Heading1"/>
        <w:spacing w:afterLines="160" w:after="384" w:line="360" w:lineRule="auto"/>
        <w:rPr>
          <w:rFonts w:ascii="Garamond" w:hAnsi="Garamond"/>
          <w:szCs w:val="36"/>
        </w:rPr>
      </w:pPr>
      <w:r w:rsidRPr="00735740">
        <w:rPr>
          <w:rFonts w:ascii="Garamond" w:hAnsi="Garamond"/>
          <w:szCs w:val="36"/>
        </w:rPr>
        <w:t>Introduction</w:t>
      </w:r>
    </w:p>
    <w:p w14:paraId="54578E58" w14:textId="330A2D03" w:rsidR="00E20632" w:rsidRPr="00735740" w:rsidRDefault="006E4821" w:rsidP="00201640">
      <w:pPr>
        <w:spacing w:afterLines="160" w:after="384" w:line="360" w:lineRule="auto"/>
        <w:rPr>
          <w:rFonts w:ascii="Garamond" w:hAnsi="Garamond"/>
          <w:color w:val="000000" w:themeColor="text1"/>
          <w:sz w:val="24"/>
          <w:szCs w:val="24"/>
        </w:rPr>
      </w:pPr>
      <w:r w:rsidRPr="00735740">
        <w:rPr>
          <w:rFonts w:ascii="Garamond" w:hAnsi="Garamond"/>
          <w:color w:val="000000" w:themeColor="text1"/>
          <w:sz w:val="24"/>
          <w:szCs w:val="24"/>
        </w:rPr>
        <w:t xml:space="preserve">In the </w:t>
      </w:r>
      <w:r w:rsidR="003D71B8" w:rsidRPr="00735740">
        <w:rPr>
          <w:rFonts w:ascii="Garamond" w:hAnsi="Garamond"/>
          <w:color w:val="000000" w:themeColor="text1"/>
          <w:sz w:val="24"/>
          <w:szCs w:val="24"/>
        </w:rPr>
        <w:t>aftermath</w:t>
      </w:r>
      <w:r w:rsidRPr="00735740">
        <w:rPr>
          <w:rFonts w:ascii="Garamond" w:hAnsi="Garamond"/>
          <w:color w:val="000000" w:themeColor="text1"/>
          <w:sz w:val="24"/>
          <w:szCs w:val="24"/>
        </w:rPr>
        <w:t xml:space="preserve"> of </w:t>
      </w:r>
      <w:r w:rsidR="003D71B8" w:rsidRPr="00735740">
        <w:rPr>
          <w:rFonts w:ascii="Garamond" w:hAnsi="Garamond"/>
          <w:color w:val="000000" w:themeColor="text1"/>
          <w:sz w:val="24"/>
          <w:szCs w:val="24"/>
        </w:rPr>
        <w:t>the Second World War</w:t>
      </w:r>
      <w:r w:rsidRPr="00735740">
        <w:rPr>
          <w:rFonts w:ascii="Garamond" w:hAnsi="Garamond"/>
          <w:color w:val="000000" w:themeColor="text1"/>
          <w:sz w:val="24"/>
          <w:szCs w:val="24"/>
        </w:rPr>
        <w:t xml:space="preserve">, </w:t>
      </w:r>
      <w:r w:rsidR="005E1B04" w:rsidRPr="00735740">
        <w:rPr>
          <w:rFonts w:ascii="Garamond" w:hAnsi="Garamond"/>
          <w:color w:val="000000" w:themeColor="text1"/>
          <w:sz w:val="24"/>
          <w:szCs w:val="24"/>
        </w:rPr>
        <w:t>the United Nations (UN)</w:t>
      </w:r>
      <w:r w:rsidR="00B904E4" w:rsidRPr="00735740">
        <w:rPr>
          <w:rFonts w:ascii="Garamond" w:hAnsi="Garamond"/>
          <w:color w:val="000000" w:themeColor="text1"/>
          <w:sz w:val="24"/>
          <w:szCs w:val="24"/>
        </w:rPr>
        <w:t xml:space="preserve"> proposed the formation of</w:t>
      </w:r>
      <w:r w:rsidRPr="00735740">
        <w:rPr>
          <w:rFonts w:ascii="Garamond" w:hAnsi="Garamond"/>
          <w:color w:val="000000" w:themeColor="text1"/>
          <w:sz w:val="24"/>
          <w:szCs w:val="24"/>
        </w:rPr>
        <w:t xml:space="preserve"> a </w:t>
      </w:r>
      <w:r w:rsidR="003D71B8" w:rsidRPr="00735740">
        <w:rPr>
          <w:rFonts w:ascii="Garamond" w:hAnsi="Garamond"/>
          <w:color w:val="000000" w:themeColor="text1"/>
          <w:sz w:val="24"/>
          <w:szCs w:val="24"/>
        </w:rPr>
        <w:t>u</w:t>
      </w:r>
      <w:r w:rsidRPr="00735740">
        <w:rPr>
          <w:rFonts w:ascii="Garamond" w:hAnsi="Garamond"/>
          <w:color w:val="000000" w:themeColor="text1"/>
          <w:sz w:val="24"/>
          <w:szCs w:val="24"/>
        </w:rPr>
        <w:t xml:space="preserve">niversal </w:t>
      </w:r>
      <w:r w:rsidR="003D71B8" w:rsidRPr="00735740">
        <w:rPr>
          <w:rFonts w:ascii="Garamond" w:hAnsi="Garamond"/>
          <w:color w:val="000000" w:themeColor="text1"/>
          <w:sz w:val="24"/>
          <w:szCs w:val="24"/>
        </w:rPr>
        <w:t>a</w:t>
      </w:r>
      <w:r w:rsidRPr="00735740">
        <w:rPr>
          <w:rFonts w:ascii="Garamond" w:hAnsi="Garamond"/>
          <w:color w:val="000000" w:themeColor="text1"/>
          <w:sz w:val="24"/>
          <w:szCs w:val="24"/>
        </w:rPr>
        <w:t>rchive that would represent the unity</w:t>
      </w:r>
      <w:r w:rsidR="005E1B04" w:rsidRPr="00735740">
        <w:rPr>
          <w:rFonts w:ascii="Garamond" w:hAnsi="Garamond"/>
          <w:color w:val="000000" w:themeColor="text1"/>
          <w:sz w:val="24"/>
          <w:szCs w:val="24"/>
        </w:rPr>
        <w:t xml:space="preserve"> </w:t>
      </w:r>
      <w:r w:rsidRPr="00735740">
        <w:rPr>
          <w:rFonts w:ascii="Garamond" w:hAnsi="Garamond"/>
          <w:color w:val="000000" w:themeColor="text1"/>
          <w:sz w:val="24"/>
          <w:szCs w:val="24"/>
        </w:rPr>
        <w:t>of the international community, marking a moment of internationalist identity building.</w:t>
      </w:r>
      <w:r w:rsidR="009350FC" w:rsidRPr="00735740">
        <w:rPr>
          <w:rStyle w:val="FootnoteReference"/>
          <w:rFonts w:ascii="Garamond" w:hAnsi="Garamond"/>
          <w:color w:val="000000" w:themeColor="text1"/>
          <w:sz w:val="24"/>
          <w:szCs w:val="24"/>
        </w:rPr>
        <w:footnoteReference w:id="1"/>
      </w:r>
      <w:r w:rsidRPr="00735740">
        <w:rPr>
          <w:rFonts w:ascii="Garamond" w:hAnsi="Garamond"/>
          <w:color w:val="000000" w:themeColor="text1"/>
          <w:sz w:val="24"/>
          <w:szCs w:val="24"/>
        </w:rPr>
        <w:t xml:space="preserve"> </w:t>
      </w:r>
      <w:r w:rsidR="003101A3" w:rsidRPr="00735740">
        <w:rPr>
          <w:rFonts w:ascii="Garamond" w:hAnsi="Garamond"/>
          <w:color w:val="000000" w:themeColor="text1"/>
          <w:sz w:val="24"/>
          <w:szCs w:val="24"/>
        </w:rPr>
        <w:t>Whilst the Cold War</w:t>
      </w:r>
      <w:r w:rsidR="00814BCD" w:rsidRPr="00735740">
        <w:rPr>
          <w:rFonts w:ascii="Garamond" w:hAnsi="Garamond"/>
          <w:color w:val="000000" w:themeColor="text1"/>
          <w:sz w:val="24"/>
          <w:szCs w:val="24"/>
        </w:rPr>
        <w:t xml:space="preserve"> </w:t>
      </w:r>
      <w:r w:rsidR="003101A3" w:rsidRPr="00735740">
        <w:rPr>
          <w:rFonts w:ascii="Garamond" w:hAnsi="Garamond"/>
          <w:color w:val="000000" w:themeColor="text1"/>
          <w:sz w:val="24"/>
          <w:szCs w:val="24"/>
        </w:rPr>
        <w:t>put an end to this idea,</w:t>
      </w:r>
      <w:r w:rsidRPr="00735740">
        <w:rPr>
          <w:rFonts w:ascii="Garamond" w:hAnsi="Garamond"/>
          <w:color w:val="000000" w:themeColor="text1"/>
          <w:sz w:val="24"/>
          <w:szCs w:val="24"/>
        </w:rPr>
        <w:t xml:space="preserve"> dotted throughout the international domain</w:t>
      </w:r>
      <w:r w:rsidR="00484E25" w:rsidRPr="00735740">
        <w:rPr>
          <w:rFonts w:ascii="Garamond" w:hAnsi="Garamond"/>
          <w:color w:val="000000" w:themeColor="text1"/>
          <w:sz w:val="24"/>
          <w:szCs w:val="24"/>
        </w:rPr>
        <w:t xml:space="preserve"> </w:t>
      </w:r>
      <w:r w:rsidR="005E1B04" w:rsidRPr="00735740">
        <w:rPr>
          <w:rFonts w:ascii="Garamond" w:hAnsi="Garamond"/>
          <w:color w:val="000000" w:themeColor="text1"/>
          <w:sz w:val="24"/>
          <w:szCs w:val="24"/>
        </w:rPr>
        <w:t>–</w:t>
      </w:r>
      <w:r w:rsidR="00484E25" w:rsidRPr="00735740">
        <w:rPr>
          <w:rFonts w:ascii="Garamond" w:hAnsi="Garamond"/>
          <w:color w:val="000000" w:themeColor="text1"/>
          <w:sz w:val="24"/>
          <w:szCs w:val="24"/>
        </w:rPr>
        <w:t xml:space="preserve"> </w:t>
      </w:r>
      <w:r w:rsidR="005E1B04" w:rsidRPr="00735740">
        <w:rPr>
          <w:rFonts w:ascii="Garamond" w:hAnsi="Garamond"/>
          <w:color w:val="000000" w:themeColor="text1"/>
          <w:sz w:val="24"/>
          <w:szCs w:val="24"/>
        </w:rPr>
        <w:t>not least within the UN</w:t>
      </w:r>
      <w:r w:rsidR="00484E25" w:rsidRPr="00735740">
        <w:rPr>
          <w:rFonts w:ascii="Garamond" w:hAnsi="Garamond"/>
          <w:color w:val="000000" w:themeColor="text1"/>
          <w:sz w:val="24"/>
          <w:szCs w:val="24"/>
        </w:rPr>
        <w:t xml:space="preserve"> </w:t>
      </w:r>
      <w:r w:rsidR="00DC069D" w:rsidRPr="00735740">
        <w:rPr>
          <w:rFonts w:ascii="Garamond" w:hAnsi="Garamond"/>
          <w:color w:val="000000" w:themeColor="text1"/>
          <w:sz w:val="24"/>
          <w:szCs w:val="24"/>
        </w:rPr>
        <w:t>–</w:t>
      </w:r>
      <w:r w:rsidR="00484E25" w:rsidRPr="00735740">
        <w:rPr>
          <w:rFonts w:ascii="Garamond" w:hAnsi="Garamond"/>
          <w:color w:val="000000" w:themeColor="text1"/>
          <w:sz w:val="24"/>
          <w:szCs w:val="24"/>
        </w:rPr>
        <w:t xml:space="preserve"> </w:t>
      </w:r>
      <w:r w:rsidRPr="00735740">
        <w:rPr>
          <w:rFonts w:ascii="Garamond" w:hAnsi="Garamond"/>
          <w:color w:val="000000" w:themeColor="text1"/>
          <w:sz w:val="24"/>
          <w:szCs w:val="24"/>
        </w:rPr>
        <w:t xml:space="preserve">are archives that </w:t>
      </w:r>
      <w:r w:rsidR="00B95496" w:rsidRPr="00735740">
        <w:rPr>
          <w:rFonts w:ascii="Garamond" w:hAnsi="Garamond"/>
          <w:color w:val="000000" w:themeColor="text1"/>
          <w:sz w:val="24"/>
          <w:szCs w:val="24"/>
        </w:rPr>
        <w:t xml:space="preserve">resemble this project, </w:t>
      </w:r>
      <w:r w:rsidR="004666A7" w:rsidRPr="00735740">
        <w:rPr>
          <w:rFonts w:ascii="Garamond" w:hAnsi="Garamond"/>
          <w:color w:val="000000" w:themeColor="text1"/>
          <w:sz w:val="24"/>
          <w:szCs w:val="24"/>
        </w:rPr>
        <w:t>marking</w:t>
      </w:r>
      <w:r w:rsidR="00B95496" w:rsidRPr="00735740">
        <w:rPr>
          <w:rFonts w:ascii="Garamond" w:hAnsi="Garamond"/>
          <w:color w:val="000000" w:themeColor="text1"/>
          <w:sz w:val="24"/>
          <w:szCs w:val="24"/>
        </w:rPr>
        <w:t xml:space="preserve"> an</w:t>
      </w:r>
      <w:r w:rsidRPr="00735740">
        <w:rPr>
          <w:rFonts w:ascii="Garamond" w:hAnsi="Garamond"/>
          <w:color w:val="000000" w:themeColor="text1"/>
          <w:sz w:val="24"/>
          <w:szCs w:val="24"/>
        </w:rPr>
        <w:t xml:space="preserve"> attempt to construct an account of what </w:t>
      </w:r>
      <w:r w:rsidR="003101A3" w:rsidRPr="00735740">
        <w:rPr>
          <w:rFonts w:ascii="Garamond" w:hAnsi="Garamond"/>
          <w:color w:val="000000" w:themeColor="text1"/>
          <w:sz w:val="24"/>
          <w:szCs w:val="24"/>
        </w:rPr>
        <w:t xml:space="preserve">the </w:t>
      </w:r>
      <w:r w:rsidR="004E495E" w:rsidRPr="00735740">
        <w:rPr>
          <w:rFonts w:ascii="Garamond" w:hAnsi="Garamond"/>
          <w:color w:val="000000" w:themeColor="text1"/>
          <w:sz w:val="24"/>
          <w:szCs w:val="24"/>
        </w:rPr>
        <w:t>‘</w:t>
      </w:r>
      <w:r w:rsidR="003101A3" w:rsidRPr="00735740">
        <w:rPr>
          <w:rFonts w:ascii="Garamond" w:hAnsi="Garamond"/>
          <w:color w:val="000000" w:themeColor="text1"/>
          <w:sz w:val="24"/>
          <w:szCs w:val="24"/>
        </w:rPr>
        <w:t>international</w:t>
      </w:r>
      <w:r w:rsidRPr="00735740">
        <w:rPr>
          <w:rFonts w:ascii="Garamond" w:hAnsi="Garamond"/>
          <w:color w:val="000000" w:themeColor="text1"/>
          <w:sz w:val="24"/>
          <w:szCs w:val="24"/>
        </w:rPr>
        <w:t xml:space="preserve"> community</w:t>
      </w:r>
      <w:r w:rsidR="004E495E" w:rsidRPr="00735740">
        <w:rPr>
          <w:rFonts w:ascii="Garamond" w:hAnsi="Garamond"/>
          <w:color w:val="000000" w:themeColor="text1"/>
          <w:sz w:val="24"/>
          <w:szCs w:val="24"/>
        </w:rPr>
        <w:t>’</w:t>
      </w:r>
      <w:r w:rsidR="007A120D" w:rsidRPr="00735740">
        <w:rPr>
          <w:rFonts w:ascii="Garamond" w:hAnsi="Garamond"/>
          <w:color w:val="000000" w:themeColor="text1"/>
          <w:sz w:val="24"/>
          <w:szCs w:val="24"/>
        </w:rPr>
        <w:t xml:space="preserve"> </w:t>
      </w:r>
      <w:r w:rsidRPr="00735740">
        <w:rPr>
          <w:rFonts w:ascii="Garamond" w:hAnsi="Garamond"/>
          <w:color w:val="000000" w:themeColor="text1"/>
          <w:sz w:val="24"/>
          <w:szCs w:val="24"/>
        </w:rPr>
        <w:t>is</w:t>
      </w:r>
      <w:r w:rsidR="00B95496" w:rsidRPr="00735740">
        <w:rPr>
          <w:rFonts w:ascii="Garamond" w:hAnsi="Garamond"/>
          <w:color w:val="000000" w:themeColor="text1"/>
          <w:sz w:val="24"/>
          <w:szCs w:val="24"/>
        </w:rPr>
        <w:t xml:space="preserve"> and how it should exist</w:t>
      </w:r>
      <w:r w:rsidRPr="00735740">
        <w:rPr>
          <w:rFonts w:ascii="Garamond" w:hAnsi="Garamond"/>
          <w:color w:val="000000" w:themeColor="text1"/>
          <w:sz w:val="24"/>
          <w:szCs w:val="24"/>
        </w:rPr>
        <w:t xml:space="preserve">. </w:t>
      </w:r>
      <w:r w:rsidR="008D0BD2" w:rsidRPr="00735740">
        <w:rPr>
          <w:rFonts w:ascii="Garamond" w:hAnsi="Garamond"/>
          <w:color w:val="000000" w:themeColor="text1"/>
          <w:sz w:val="24"/>
          <w:szCs w:val="24"/>
        </w:rPr>
        <w:t xml:space="preserve">Archives have played important roles </w:t>
      </w:r>
      <w:r w:rsidR="00654B6C" w:rsidRPr="00735740">
        <w:rPr>
          <w:rFonts w:ascii="Garamond" w:hAnsi="Garamond"/>
          <w:color w:val="000000" w:themeColor="text1"/>
          <w:sz w:val="24"/>
          <w:szCs w:val="24"/>
        </w:rPr>
        <w:t>elsewhere</w:t>
      </w:r>
      <w:r w:rsidR="008D0BD2" w:rsidRPr="00735740">
        <w:rPr>
          <w:rFonts w:ascii="Garamond" w:hAnsi="Garamond"/>
          <w:color w:val="000000" w:themeColor="text1"/>
          <w:sz w:val="24"/>
          <w:szCs w:val="24"/>
        </w:rPr>
        <w:t xml:space="preserve"> in international </w:t>
      </w:r>
      <w:r w:rsidR="00654B6C" w:rsidRPr="00735740">
        <w:rPr>
          <w:rFonts w:ascii="Garamond" w:hAnsi="Garamond"/>
          <w:color w:val="000000" w:themeColor="text1"/>
          <w:sz w:val="24"/>
          <w:szCs w:val="24"/>
        </w:rPr>
        <w:t>politics</w:t>
      </w:r>
      <w:r w:rsidR="008D0BD2" w:rsidRPr="00735740">
        <w:rPr>
          <w:rFonts w:ascii="Garamond" w:hAnsi="Garamond"/>
          <w:color w:val="000000" w:themeColor="text1"/>
          <w:sz w:val="24"/>
          <w:szCs w:val="24"/>
        </w:rPr>
        <w:t>, forming part of the response</w:t>
      </w:r>
      <w:r w:rsidR="00D10A9B" w:rsidRPr="00735740">
        <w:rPr>
          <w:rFonts w:ascii="Garamond" w:hAnsi="Garamond"/>
          <w:color w:val="000000" w:themeColor="text1"/>
          <w:sz w:val="24"/>
          <w:szCs w:val="24"/>
        </w:rPr>
        <w:t xml:space="preserve"> to</w:t>
      </w:r>
      <w:r w:rsidR="008D0BD2" w:rsidRPr="00735740">
        <w:rPr>
          <w:rFonts w:ascii="Garamond" w:hAnsi="Garamond"/>
          <w:color w:val="000000" w:themeColor="text1"/>
          <w:sz w:val="24"/>
          <w:szCs w:val="24"/>
        </w:rPr>
        <w:t xml:space="preserve"> human rights violations</w:t>
      </w:r>
      <w:r w:rsidR="003101A3" w:rsidRPr="00735740">
        <w:rPr>
          <w:rFonts w:ascii="Garamond" w:hAnsi="Garamond"/>
          <w:color w:val="000000" w:themeColor="text1"/>
          <w:sz w:val="24"/>
          <w:szCs w:val="24"/>
        </w:rPr>
        <w:t xml:space="preserve"> and in some cases</w:t>
      </w:r>
      <w:r w:rsidR="008D0BD2" w:rsidRPr="00735740">
        <w:rPr>
          <w:rFonts w:ascii="Garamond" w:hAnsi="Garamond"/>
          <w:color w:val="000000" w:themeColor="text1"/>
          <w:sz w:val="24"/>
          <w:szCs w:val="24"/>
        </w:rPr>
        <w:t xml:space="preserve"> acting </w:t>
      </w:r>
      <w:r w:rsidR="00D10A9B" w:rsidRPr="00735740">
        <w:rPr>
          <w:rFonts w:ascii="Garamond" w:hAnsi="Garamond"/>
          <w:color w:val="000000" w:themeColor="text1"/>
          <w:sz w:val="24"/>
          <w:szCs w:val="24"/>
        </w:rPr>
        <w:t xml:space="preserve">as </w:t>
      </w:r>
      <w:r w:rsidR="001F1417" w:rsidRPr="00735740">
        <w:rPr>
          <w:rFonts w:ascii="Garamond" w:hAnsi="Garamond"/>
          <w:color w:val="000000" w:themeColor="text1"/>
          <w:sz w:val="24"/>
          <w:szCs w:val="24"/>
        </w:rPr>
        <w:t>a substitute</w:t>
      </w:r>
      <w:r w:rsidR="001F1417" w:rsidRPr="00735740">
        <w:rPr>
          <w:rFonts w:ascii="Garamond" w:hAnsi="Garamond"/>
          <w:i/>
          <w:color w:val="000000" w:themeColor="text1"/>
          <w:sz w:val="24"/>
          <w:szCs w:val="24"/>
        </w:rPr>
        <w:t xml:space="preserve"> </w:t>
      </w:r>
      <w:r w:rsidR="001F1417" w:rsidRPr="00735740">
        <w:rPr>
          <w:rFonts w:ascii="Garamond" w:hAnsi="Garamond"/>
          <w:color w:val="000000" w:themeColor="text1"/>
          <w:sz w:val="24"/>
          <w:szCs w:val="24"/>
        </w:rPr>
        <w:t>for more conventional modes of justice</w:t>
      </w:r>
      <w:r w:rsidR="00814BCD" w:rsidRPr="00735740">
        <w:rPr>
          <w:rFonts w:ascii="Garamond" w:hAnsi="Garamond"/>
          <w:color w:val="000000" w:themeColor="text1"/>
          <w:sz w:val="24"/>
          <w:szCs w:val="24"/>
        </w:rPr>
        <w:t>,</w:t>
      </w:r>
      <w:r w:rsidR="00654B6C" w:rsidRPr="00735740">
        <w:rPr>
          <w:rFonts w:ascii="Garamond" w:hAnsi="Garamond"/>
          <w:color w:val="000000" w:themeColor="text1"/>
          <w:sz w:val="24"/>
          <w:szCs w:val="24"/>
        </w:rPr>
        <w:t xml:space="preserve"> </w:t>
      </w:r>
      <w:r w:rsidR="003101A3" w:rsidRPr="00735740">
        <w:rPr>
          <w:rFonts w:ascii="Garamond" w:hAnsi="Garamond"/>
          <w:color w:val="000000" w:themeColor="text1"/>
          <w:sz w:val="24"/>
          <w:szCs w:val="24"/>
        </w:rPr>
        <w:t>as with the opening of</w:t>
      </w:r>
      <w:r w:rsidR="005E1B04" w:rsidRPr="00735740">
        <w:rPr>
          <w:rFonts w:ascii="Garamond" w:hAnsi="Garamond"/>
          <w:color w:val="000000" w:themeColor="text1"/>
          <w:sz w:val="24"/>
          <w:szCs w:val="24"/>
        </w:rPr>
        <w:t xml:space="preserve"> the</w:t>
      </w:r>
      <w:r w:rsidR="008D0BD2" w:rsidRPr="00735740">
        <w:rPr>
          <w:rFonts w:ascii="Garamond" w:hAnsi="Garamond"/>
          <w:color w:val="000000" w:themeColor="text1"/>
          <w:sz w:val="24"/>
          <w:szCs w:val="24"/>
        </w:rPr>
        <w:t xml:space="preserve"> Stasi archives</w:t>
      </w:r>
      <w:r w:rsidR="005E1B04" w:rsidRPr="00735740">
        <w:rPr>
          <w:rFonts w:ascii="Garamond" w:hAnsi="Garamond"/>
          <w:color w:val="000000" w:themeColor="text1"/>
          <w:sz w:val="24"/>
          <w:szCs w:val="24"/>
        </w:rPr>
        <w:t xml:space="preserve"> after the </w:t>
      </w:r>
      <w:r w:rsidR="00E04CD4" w:rsidRPr="00735740">
        <w:rPr>
          <w:rFonts w:ascii="Garamond" w:hAnsi="Garamond"/>
          <w:color w:val="000000" w:themeColor="text1"/>
          <w:sz w:val="24"/>
          <w:szCs w:val="24"/>
        </w:rPr>
        <w:t>collapse</w:t>
      </w:r>
      <w:r w:rsidR="005E1B04" w:rsidRPr="00735740">
        <w:rPr>
          <w:rFonts w:ascii="Garamond" w:hAnsi="Garamond"/>
          <w:color w:val="000000" w:themeColor="text1"/>
          <w:sz w:val="24"/>
          <w:szCs w:val="24"/>
        </w:rPr>
        <w:t xml:space="preserve"> of </w:t>
      </w:r>
      <w:r w:rsidR="00E04CD4" w:rsidRPr="00735740">
        <w:rPr>
          <w:rFonts w:ascii="Garamond" w:hAnsi="Garamond"/>
          <w:color w:val="000000" w:themeColor="text1"/>
          <w:sz w:val="24"/>
          <w:szCs w:val="24"/>
        </w:rPr>
        <w:t>the German Democratic Republic</w:t>
      </w:r>
      <w:r w:rsidR="00270254" w:rsidRPr="00735740">
        <w:rPr>
          <w:rFonts w:ascii="Garamond" w:hAnsi="Garamond"/>
          <w:noProof/>
          <w:color w:val="000000" w:themeColor="text1"/>
          <w:sz w:val="24"/>
          <w:szCs w:val="24"/>
        </w:rPr>
        <w:t>.</w:t>
      </w:r>
      <w:r w:rsidR="009350FC" w:rsidRPr="00735740">
        <w:rPr>
          <w:rStyle w:val="FootnoteReference"/>
          <w:rFonts w:ascii="Garamond" w:hAnsi="Garamond"/>
          <w:noProof/>
          <w:color w:val="000000" w:themeColor="text1"/>
          <w:sz w:val="24"/>
          <w:szCs w:val="24"/>
        </w:rPr>
        <w:footnoteReference w:id="2"/>
      </w:r>
      <w:r w:rsidR="00270254" w:rsidRPr="00735740">
        <w:rPr>
          <w:rFonts w:ascii="Garamond" w:hAnsi="Garamond"/>
          <w:noProof/>
          <w:color w:val="000000" w:themeColor="text1"/>
          <w:sz w:val="24"/>
          <w:szCs w:val="24"/>
        </w:rPr>
        <w:t xml:space="preserve"> </w:t>
      </w:r>
      <w:r w:rsidR="00E4553C" w:rsidRPr="00735740">
        <w:rPr>
          <w:rFonts w:ascii="Garamond" w:hAnsi="Garamond"/>
          <w:color w:val="000000" w:themeColor="text1"/>
          <w:sz w:val="24"/>
          <w:szCs w:val="24"/>
        </w:rPr>
        <w:t xml:space="preserve">At </w:t>
      </w:r>
      <w:r w:rsidR="001F1417" w:rsidRPr="00735740">
        <w:rPr>
          <w:rFonts w:ascii="Garamond" w:hAnsi="Garamond"/>
          <w:color w:val="000000" w:themeColor="text1"/>
          <w:sz w:val="24"/>
          <w:szCs w:val="24"/>
        </w:rPr>
        <w:t xml:space="preserve">the International Criminal Tribunal for </w:t>
      </w:r>
      <w:r w:rsidR="001F1417" w:rsidRPr="00735740">
        <w:rPr>
          <w:rFonts w:ascii="Garamond" w:hAnsi="Garamond"/>
          <w:color w:val="000000" w:themeColor="text1"/>
          <w:sz w:val="24"/>
          <w:szCs w:val="24"/>
        </w:rPr>
        <w:lastRenderedPageBreak/>
        <w:t xml:space="preserve">Rwanda </w:t>
      </w:r>
      <w:r w:rsidR="00C52DC7" w:rsidRPr="00735740">
        <w:rPr>
          <w:rFonts w:ascii="Garamond" w:hAnsi="Garamond"/>
          <w:color w:val="000000" w:themeColor="text1"/>
          <w:sz w:val="24"/>
          <w:szCs w:val="24"/>
        </w:rPr>
        <w:t>(ICTR)</w:t>
      </w:r>
      <w:r w:rsidR="00484E25" w:rsidRPr="00735740">
        <w:rPr>
          <w:rFonts w:ascii="Garamond" w:hAnsi="Garamond"/>
          <w:color w:val="000000" w:themeColor="text1"/>
          <w:sz w:val="24"/>
          <w:szCs w:val="24"/>
        </w:rPr>
        <w:t xml:space="preserve"> </w:t>
      </w:r>
      <w:r w:rsidR="001F1417" w:rsidRPr="00735740">
        <w:rPr>
          <w:rFonts w:ascii="Garamond" w:hAnsi="Garamond"/>
          <w:color w:val="000000" w:themeColor="text1"/>
          <w:sz w:val="24"/>
          <w:szCs w:val="24"/>
        </w:rPr>
        <w:t>–</w:t>
      </w:r>
      <w:r w:rsidR="00484E25" w:rsidRPr="00735740">
        <w:rPr>
          <w:rFonts w:ascii="Garamond" w:hAnsi="Garamond"/>
          <w:color w:val="000000" w:themeColor="text1"/>
          <w:sz w:val="24"/>
          <w:szCs w:val="24"/>
        </w:rPr>
        <w:t xml:space="preserve"> </w:t>
      </w:r>
      <w:r w:rsidR="001F1417" w:rsidRPr="00735740">
        <w:rPr>
          <w:rFonts w:ascii="Garamond" w:hAnsi="Garamond"/>
          <w:color w:val="000000" w:themeColor="text1"/>
          <w:sz w:val="24"/>
          <w:szCs w:val="24"/>
        </w:rPr>
        <w:t>the focus of this article</w:t>
      </w:r>
      <w:r w:rsidR="00484E25" w:rsidRPr="00735740">
        <w:rPr>
          <w:rFonts w:ascii="Garamond" w:hAnsi="Garamond"/>
          <w:color w:val="000000" w:themeColor="text1"/>
          <w:sz w:val="24"/>
          <w:szCs w:val="24"/>
        </w:rPr>
        <w:t xml:space="preserve"> </w:t>
      </w:r>
      <w:r w:rsidR="001F1417" w:rsidRPr="00735740">
        <w:rPr>
          <w:rFonts w:ascii="Garamond" w:hAnsi="Garamond"/>
          <w:color w:val="000000" w:themeColor="text1"/>
          <w:sz w:val="24"/>
          <w:szCs w:val="24"/>
        </w:rPr>
        <w:t>–</w:t>
      </w:r>
      <w:r w:rsidR="00484E25" w:rsidRPr="00735740">
        <w:rPr>
          <w:rFonts w:ascii="Garamond" w:hAnsi="Garamond"/>
          <w:color w:val="000000" w:themeColor="text1"/>
          <w:sz w:val="24"/>
          <w:szCs w:val="24"/>
        </w:rPr>
        <w:t xml:space="preserve"> </w:t>
      </w:r>
      <w:r w:rsidR="00270254" w:rsidRPr="00735740">
        <w:rPr>
          <w:rFonts w:ascii="Garamond" w:hAnsi="Garamond"/>
          <w:color w:val="000000" w:themeColor="text1"/>
          <w:sz w:val="24"/>
          <w:szCs w:val="24"/>
        </w:rPr>
        <w:t xml:space="preserve">the archive </w:t>
      </w:r>
      <w:r w:rsidR="00611EF6" w:rsidRPr="00735740">
        <w:rPr>
          <w:rFonts w:ascii="Garamond" w:hAnsi="Garamond"/>
          <w:color w:val="000000" w:themeColor="text1"/>
          <w:sz w:val="24"/>
          <w:szCs w:val="24"/>
        </w:rPr>
        <w:t>formed</w:t>
      </w:r>
      <w:r w:rsidR="00AD2C03" w:rsidRPr="00735740">
        <w:rPr>
          <w:rFonts w:ascii="Garamond" w:hAnsi="Garamond"/>
          <w:color w:val="000000" w:themeColor="text1"/>
          <w:sz w:val="24"/>
          <w:szCs w:val="24"/>
        </w:rPr>
        <w:t xml:space="preserve"> </w:t>
      </w:r>
      <w:r w:rsidR="0061410B" w:rsidRPr="00735740">
        <w:rPr>
          <w:rFonts w:ascii="Garamond" w:hAnsi="Garamond"/>
          <w:color w:val="000000" w:themeColor="text1"/>
          <w:sz w:val="24"/>
          <w:szCs w:val="24"/>
        </w:rPr>
        <w:t xml:space="preserve">part of </w:t>
      </w:r>
      <w:r w:rsidR="00A521DD" w:rsidRPr="00735740">
        <w:rPr>
          <w:rFonts w:ascii="Garamond" w:hAnsi="Garamond"/>
          <w:color w:val="000000" w:themeColor="text1"/>
          <w:sz w:val="24"/>
          <w:szCs w:val="24"/>
        </w:rPr>
        <w:t>the tribunal’s</w:t>
      </w:r>
      <w:r w:rsidR="0061410B" w:rsidRPr="00735740">
        <w:rPr>
          <w:rFonts w:ascii="Garamond" w:hAnsi="Garamond"/>
          <w:color w:val="000000" w:themeColor="text1"/>
          <w:sz w:val="24"/>
          <w:szCs w:val="24"/>
        </w:rPr>
        <w:t xml:space="preserve"> </w:t>
      </w:r>
      <w:r w:rsidR="002F6D69" w:rsidRPr="00735740">
        <w:rPr>
          <w:rFonts w:ascii="Garamond" w:hAnsi="Garamond"/>
          <w:color w:val="000000" w:themeColor="text1"/>
          <w:sz w:val="24"/>
          <w:szCs w:val="24"/>
        </w:rPr>
        <w:t xml:space="preserve">attempts to introduce peace after the </w:t>
      </w:r>
      <w:r w:rsidR="002479B0" w:rsidRPr="00735740">
        <w:rPr>
          <w:rFonts w:ascii="Garamond" w:hAnsi="Garamond"/>
          <w:color w:val="000000" w:themeColor="text1"/>
          <w:sz w:val="24"/>
          <w:szCs w:val="24"/>
        </w:rPr>
        <w:t>1994 Rwandan genocide</w:t>
      </w:r>
      <w:r w:rsidR="00D00EB0" w:rsidRPr="00735740">
        <w:rPr>
          <w:rFonts w:ascii="Garamond" w:hAnsi="Garamond"/>
          <w:color w:val="000000" w:themeColor="text1"/>
          <w:sz w:val="24"/>
          <w:szCs w:val="24"/>
        </w:rPr>
        <w:t xml:space="preserve"> and, as will be argued, projected a particular understanding of the international community</w:t>
      </w:r>
      <w:r w:rsidR="00B54BB9" w:rsidRPr="00735740">
        <w:rPr>
          <w:rFonts w:ascii="Garamond" w:hAnsi="Garamond"/>
          <w:color w:val="000000" w:themeColor="text1"/>
          <w:sz w:val="24"/>
          <w:szCs w:val="24"/>
        </w:rPr>
        <w:t xml:space="preserve"> as it came to represent the ‘</w:t>
      </w:r>
      <w:r w:rsidR="00540484" w:rsidRPr="00735740">
        <w:rPr>
          <w:rFonts w:ascii="Garamond" w:hAnsi="Garamond"/>
          <w:color w:val="000000" w:themeColor="text1"/>
          <w:sz w:val="24"/>
          <w:szCs w:val="24"/>
        </w:rPr>
        <w:t xml:space="preserve">consciousness </w:t>
      </w:r>
      <w:r w:rsidR="00204BD3" w:rsidRPr="00735740">
        <w:rPr>
          <w:rFonts w:ascii="Garamond" w:hAnsi="Garamond"/>
          <w:color w:val="000000" w:themeColor="text1"/>
          <w:sz w:val="24"/>
          <w:szCs w:val="24"/>
        </w:rPr>
        <w:t>[</w:t>
      </w:r>
      <w:r w:rsidR="00B54BB9" w:rsidRPr="00735740">
        <w:rPr>
          <w:rFonts w:ascii="Garamond" w:hAnsi="Garamond"/>
          <w:color w:val="000000" w:themeColor="text1"/>
          <w:sz w:val="24"/>
          <w:szCs w:val="24"/>
        </w:rPr>
        <w:t>of</w:t>
      </w:r>
      <w:r w:rsidR="00204BD3" w:rsidRPr="00735740">
        <w:rPr>
          <w:rFonts w:ascii="Garamond" w:hAnsi="Garamond"/>
          <w:color w:val="000000" w:themeColor="text1"/>
          <w:sz w:val="24"/>
          <w:szCs w:val="24"/>
        </w:rPr>
        <w:t>]</w:t>
      </w:r>
      <w:r w:rsidR="00B54BB9" w:rsidRPr="00735740">
        <w:rPr>
          <w:rFonts w:ascii="Garamond" w:hAnsi="Garamond"/>
          <w:color w:val="000000" w:themeColor="text1"/>
          <w:sz w:val="24"/>
          <w:szCs w:val="24"/>
        </w:rPr>
        <w:t xml:space="preserve"> mankind’</w:t>
      </w:r>
      <w:r w:rsidR="001F1417" w:rsidRPr="00735740">
        <w:rPr>
          <w:rFonts w:ascii="Garamond" w:hAnsi="Garamond"/>
          <w:color w:val="000000" w:themeColor="text1"/>
          <w:sz w:val="24"/>
          <w:szCs w:val="24"/>
        </w:rPr>
        <w:t>.</w:t>
      </w:r>
      <w:r w:rsidR="009350FC" w:rsidRPr="00735740">
        <w:rPr>
          <w:rStyle w:val="FootnoteReference"/>
          <w:rFonts w:ascii="Garamond" w:hAnsi="Garamond"/>
          <w:color w:val="000000" w:themeColor="text1"/>
          <w:sz w:val="24"/>
          <w:szCs w:val="24"/>
        </w:rPr>
        <w:footnoteReference w:id="3"/>
      </w:r>
      <w:r w:rsidR="00385E53" w:rsidRPr="00735740">
        <w:rPr>
          <w:rFonts w:ascii="Garamond" w:hAnsi="Garamond"/>
          <w:color w:val="000000" w:themeColor="text1"/>
          <w:sz w:val="24"/>
          <w:szCs w:val="24"/>
        </w:rPr>
        <w:t xml:space="preserve"> As yet another intervention of the international community in the global south, this archive also raises important questions </w:t>
      </w:r>
      <w:r w:rsidR="00D9015B" w:rsidRPr="00735740">
        <w:rPr>
          <w:rFonts w:ascii="Garamond" w:hAnsi="Garamond"/>
          <w:color w:val="000000" w:themeColor="text1"/>
          <w:sz w:val="24"/>
          <w:szCs w:val="24"/>
        </w:rPr>
        <w:t xml:space="preserve">about </w:t>
      </w:r>
      <w:r w:rsidR="007C5EA8" w:rsidRPr="00735740">
        <w:rPr>
          <w:rFonts w:ascii="Garamond" w:hAnsi="Garamond"/>
          <w:color w:val="000000" w:themeColor="text1"/>
          <w:sz w:val="24"/>
          <w:szCs w:val="24"/>
        </w:rPr>
        <w:t xml:space="preserve">(post)colonial nature of </w:t>
      </w:r>
      <w:r w:rsidR="00D9015B" w:rsidRPr="00735740">
        <w:rPr>
          <w:rFonts w:ascii="Garamond" w:hAnsi="Garamond"/>
          <w:color w:val="000000" w:themeColor="text1"/>
          <w:sz w:val="24"/>
          <w:szCs w:val="24"/>
        </w:rPr>
        <w:t xml:space="preserve">the international </w:t>
      </w:r>
      <w:r w:rsidR="007C5EA8" w:rsidRPr="00735740">
        <w:rPr>
          <w:rFonts w:ascii="Garamond" w:hAnsi="Garamond"/>
          <w:color w:val="000000" w:themeColor="text1"/>
          <w:sz w:val="24"/>
          <w:szCs w:val="24"/>
        </w:rPr>
        <w:t>community</w:t>
      </w:r>
      <w:r w:rsidR="00385E53" w:rsidRPr="00735740">
        <w:rPr>
          <w:rFonts w:ascii="Garamond" w:hAnsi="Garamond"/>
          <w:color w:val="000000" w:themeColor="text1"/>
          <w:sz w:val="24"/>
          <w:szCs w:val="24"/>
        </w:rPr>
        <w:t>.</w:t>
      </w:r>
      <w:r w:rsidR="00385E53" w:rsidRPr="00735740">
        <w:rPr>
          <w:rStyle w:val="FootnoteReference"/>
          <w:rFonts w:ascii="Garamond" w:hAnsi="Garamond"/>
          <w:color w:val="000000" w:themeColor="text1"/>
          <w:sz w:val="24"/>
          <w:szCs w:val="24"/>
        </w:rPr>
        <w:footnoteReference w:id="4"/>
      </w:r>
      <w:r w:rsidR="001F1417" w:rsidRPr="00735740">
        <w:rPr>
          <w:rFonts w:ascii="Garamond" w:hAnsi="Garamond"/>
          <w:color w:val="000000" w:themeColor="text1"/>
          <w:sz w:val="24"/>
          <w:szCs w:val="24"/>
        </w:rPr>
        <w:t xml:space="preserve"> </w:t>
      </w:r>
      <w:r w:rsidR="00C75664" w:rsidRPr="00735740">
        <w:rPr>
          <w:rFonts w:ascii="Garamond" w:hAnsi="Garamond"/>
          <w:color w:val="000000" w:themeColor="text1"/>
          <w:sz w:val="24"/>
          <w:szCs w:val="24"/>
        </w:rPr>
        <w:t>A</w:t>
      </w:r>
      <w:r w:rsidR="00B95496" w:rsidRPr="00735740">
        <w:rPr>
          <w:rFonts w:ascii="Garamond" w:hAnsi="Garamond"/>
          <w:color w:val="000000" w:themeColor="text1"/>
          <w:sz w:val="24"/>
          <w:szCs w:val="24"/>
        </w:rPr>
        <w:t>rchive</w:t>
      </w:r>
      <w:r w:rsidR="00654B6C" w:rsidRPr="00735740">
        <w:rPr>
          <w:rFonts w:ascii="Garamond" w:hAnsi="Garamond"/>
          <w:color w:val="000000" w:themeColor="text1"/>
          <w:sz w:val="24"/>
          <w:szCs w:val="24"/>
        </w:rPr>
        <w:t>s</w:t>
      </w:r>
      <w:r w:rsidR="001D7A72" w:rsidRPr="00735740">
        <w:rPr>
          <w:rFonts w:ascii="Garamond" w:hAnsi="Garamond"/>
          <w:color w:val="000000" w:themeColor="text1"/>
          <w:sz w:val="24"/>
          <w:szCs w:val="24"/>
        </w:rPr>
        <w:t xml:space="preserve"> are, then, </w:t>
      </w:r>
      <w:r w:rsidR="007C5EA8" w:rsidRPr="00735740">
        <w:rPr>
          <w:rFonts w:ascii="Garamond" w:hAnsi="Garamond"/>
          <w:color w:val="000000" w:themeColor="text1"/>
          <w:sz w:val="24"/>
          <w:szCs w:val="24"/>
        </w:rPr>
        <w:t>important yet often overlooked site</w:t>
      </w:r>
      <w:r w:rsidR="00FA4807" w:rsidRPr="00735740">
        <w:rPr>
          <w:rFonts w:ascii="Garamond" w:hAnsi="Garamond"/>
          <w:color w:val="000000" w:themeColor="text1"/>
          <w:sz w:val="24"/>
          <w:szCs w:val="24"/>
        </w:rPr>
        <w:t>s</w:t>
      </w:r>
      <w:r w:rsidR="007C5EA8" w:rsidRPr="00735740">
        <w:rPr>
          <w:rFonts w:ascii="Garamond" w:hAnsi="Garamond"/>
          <w:color w:val="000000" w:themeColor="text1"/>
          <w:sz w:val="24"/>
          <w:szCs w:val="24"/>
        </w:rPr>
        <w:t xml:space="preserve"> of international relations as they </w:t>
      </w:r>
      <w:r w:rsidR="00B95496" w:rsidRPr="00735740">
        <w:rPr>
          <w:rFonts w:ascii="Garamond" w:hAnsi="Garamond"/>
          <w:color w:val="000000" w:themeColor="text1"/>
          <w:sz w:val="24"/>
          <w:szCs w:val="24"/>
        </w:rPr>
        <w:t>construct</w:t>
      </w:r>
      <w:r w:rsidR="00654B6C" w:rsidRPr="00735740">
        <w:rPr>
          <w:rFonts w:ascii="Garamond" w:hAnsi="Garamond"/>
          <w:color w:val="000000" w:themeColor="text1"/>
          <w:sz w:val="24"/>
          <w:szCs w:val="24"/>
        </w:rPr>
        <w:t xml:space="preserve"> </w:t>
      </w:r>
      <w:r w:rsidR="00B95496" w:rsidRPr="00735740">
        <w:rPr>
          <w:rFonts w:ascii="Garamond" w:hAnsi="Garamond"/>
          <w:color w:val="000000" w:themeColor="text1"/>
          <w:sz w:val="24"/>
          <w:szCs w:val="24"/>
        </w:rPr>
        <w:t>a particular image of</w:t>
      </w:r>
      <w:r w:rsidR="007C5EA8" w:rsidRPr="00735740">
        <w:rPr>
          <w:rFonts w:ascii="Garamond" w:hAnsi="Garamond"/>
          <w:color w:val="000000" w:themeColor="text1"/>
          <w:sz w:val="24"/>
          <w:szCs w:val="24"/>
        </w:rPr>
        <w:t>, and regulate,</w:t>
      </w:r>
      <w:r w:rsidR="00FA4807" w:rsidRPr="00735740">
        <w:rPr>
          <w:rFonts w:ascii="Garamond" w:hAnsi="Garamond"/>
          <w:color w:val="000000" w:themeColor="text1"/>
          <w:sz w:val="24"/>
          <w:szCs w:val="24"/>
        </w:rPr>
        <w:t xml:space="preserve"> </w:t>
      </w:r>
      <w:r w:rsidR="00B95496" w:rsidRPr="00735740">
        <w:rPr>
          <w:rFonts w:ascii="Garamond" w:hAnsi="Garamond"/>
          <w:color w:val="000000" w:themeColor="text1"/>
          <w:sz w:val="24"/>
          <w:szCs w:val="24"/>
        </w:rPr>
        <w:t>community</w:t>
      </w:r>
      <w:r w:rsidR="001D7A72" w:rsidRPr="00735740">
        <w:rPr>
          <w:rFonts w:ascii="Garamond" w:hAnsi="Garamond"/>
          <w:color w:val="000000" w:themeColor="text1"/>
          <w:sz w:val="24"/>
          <w:szCs w:val="24"/>
        </w:rPr>
        <w:t xml:space="preserve">. </w:t>
      </w:r>
      <w:r w:rsidR="00D67C9C" w:rsidRPr="00735740">
        <w:rPr>
          <w:rFonts w:ascii="Garamond" w:hAnsi="Garamond"/>
          <w:color w:val="000000" w:themeColor="text1"/>
          <w:sz w:val="24"/>
          <w:szCs w:val="24"/>
        </w:rPr>
        <w:t xml:space="preserve"> </w:t>
      </w:r>
    </w:p>
    <w:p w14:paraId="4708F53D" w14:textId="391BDBA5" w:rsidR="00B904E4" w:rsidRPr="00735740" w:rsidRDefault="00D67C9C" w:rsidP="00201640">
      <w:pPr>
        <w:spacing w:afterLines="160" w:after="384" w:line="360" w:lineRule="auto"/>
        <w:rPr>
          <w:rFonts w:ascii="Garamond" w:hAnsi="Garamond"/>
          <w:color w:val="000000" w:themeColor="text1"/>
          <w:sz w:val="24"/>
          <w:szCs w:val="24"/>
        </w:rPr>
      </w:pPr>
      <w:r w:rsidRPr="00735740">
        <w:rPr>
          <w:rFonts w:ascii="Garamond" w:hAnsi="Garamond"/>
          <w:color w:val="000000" w:themeColor="text1"/>
          <w:sz w:val="24"/>
          <w:szCs w:val="24"/>
        </w:rPr>
        <w:t xml:space="preserve">Building on the post-colonial scholarship on </w:t>
      </w:r>
      <w:r w:rsidR="002F35DF" w:rsidRPr="00735740">
        <w:rPr>
          <w:rFonts w:ascii="Garamond" w:hAnsi="Garamond"/>
          <w:color w:val="000000" w:themeColor="text1"/>
          <w:sz w:val="24"/>
          <w:szCs w:val="24"/>
        </w:rPr>
        <w:t xml:space="preserve">colonial </w:t>
      </w:r>
      <w:r w:rsidRPr="00735740">
        <w:rPr>
          <w:rFonts w:ascii="Garamond" w:hAnsi="Garamond"/>
          <w:color w:val="000000" w:themeColor="text1"/>
          <w:sz w:val="24"/>
          <w:szCs w:val="24"/>
        </w:rPr>
        <w:t>archives, this article offers a reading of the significance of archives for IR</w:t>
      </w:r>
      <w:r w:rsidR="002F35DF" w:rsidRPr="00735740">
        <w:rPr>
          <w:rFonts w:ascii="Garamond" w:hAnsi="Garamond"/>
          <w:color w:val="000000" w:themeColor="text1"/>
          <w:sz w:val="24"/>
          <w:szCs w:val="24"/>
        </w:rPr>
        <w:t xml:space="preserve"> </w:t>
      </w:r>
      <w:r w:rsidR="001F1417" w:rsidRPr="00735740">
        <w:rPr>
          <w:rFonts w:ascii="Garamond" w:hAnsi="Garamond"/>
          <w:color w:val="000000" w:themeColor="text1"/>
          <w:sz w:val="24"/>
          <w:szCs w:val="24"/>
        </w:rPr>
        <w:t xml:space="preserve">by </w:t>
      </w:r>
      <w:r w:rsidR="007C5EA8" w:rsidRPr="00735740">
        <w:rPr>
          <w:rFonts w:ascii="Garamond" w:hAnsi="Garamond"/>
          <w:color w:val="000000" w:themeColor="text1"/>
          <w:sz w:val="24"/>
          <w:szCs w:val="24"/>
        </w:rPr>
        <w:t>examining</w:t>
      </w:r>
      <w:r w:rsidR="005F01DB" w:rsidRPr="00735740">
        <w:rPr>
          <w:rFonts w:ascii="Garamond" w:hAnsi="Garamond"/>
          <w:color w:val="000000" w:themeColor="text1"/>
          <w:sz w:val="24"/>
          <w:szCs w:val="24"/>
        </w:rPr>
        <w:t xml:space="preserve"> the role that these archives play in constituting the international community</w:t>
      </w:r>
      <w:r w:rsidR="008D751A" w:rsidRPr="00735740">
        <w:rPr>
          <w:rFonts w:ascii="Garamond" w:hAnsi="Garamond"/>
          <w:color w:val="000000" w:themeColor="text1"/>
          <w:sz w:val="24"/>
          <w:szCs w:val="24"/>
        </w:rPr>
        <w:t>.</w:t>
      </w:r>
      <w:r w:rsidR="007A120D" w:rsidRPr="00735740">
        <w:rPr>
          <w:rFonts w:ascii="Garamond" w:hAnsi="Garamond"/>
          <w:color w:val="000000" w:themeColor="text1"/>
          <w:sz w:val="24"/>
          <w:szCs w:val="24"/>
        </w:rPr>
        <w:t xml:space="preserve"> </w:t>
      </w:r>
      <w:r w:rsidR="008D0BD2" w:rsidRPr="00735740">
        <w:rPr>
          <w:rFonts w:ascii="Garamond" w:hAnsi="Garamond"/>
          <w:color w:val="000000" w:themeColor="text1"/>
          <w:sz w:val="24"/>
          <w:szCs w:val="24"/>
        </w:rPr>
        <w:t xml:space="preserve">It proceeds in </w:t>
      </w:r>
      <w:r w:rsidR="00D35606" w:rsidRPr="00735740">
        <w:rPr>
          <w:rFonts w:ascii="Garamond" w:hAnsi="Garamond"/>
          <w:color w:val="000000" w:themeColor="text1"/>
          <w:sz w:val="24"/>
          <w:szCs w:val="24"/>
        </w:rPr>
        <w:t xml:space="preserve">two </w:t>
      </w:r>
      <w:r w:rsidR="008D0BD2" w:rsidRPr="00735740">
        <w:rPr>
          <w:rFonts w:ascii="Garamond" w:hAnsi="Garamond"/>
          <w:color w:val="000000" w:themeColor="text1"/>
          <w:sz w:val="24"/>
          <w:szCs w:val="24"/>
        </w:rPr>
        <w:t xml:space="preserve">parts. First, </w:t>
      </w:r>
      <w:r w:rsidR="003C4DDC" w:rsidRPr="00735740">
        <w:rPr>
          <w:rFonts w:ascii="Garamond" w:hAnsi="Garamond"/>
          <w:color w:val="000000" w:themeColor="text1"/>
          <w:sz w:val="24"/>
          <w:szCs w:val="24"/>
        </w:rPr>
        <w:t xml:space="preserve">by </w:t>
      </w:r>
      <w:r w:rsidR="008D0BD2" w:rsidRPr="00735740">
        <w:rPr>
          <w:rFonts w:ascii="Garamond" w:hAnsi="Garamond"/>
          <w:color w:val="000000" w:themeColor="text1"/>
          <w:sz w:val="24"/>
          <w:szCs w:val="24"/>
        </w:rPr>
        <w:t>d</w:t>
      </w:r>
      <w:r w:rsidR="001F1417" w:rsidRPr="00735740">
        <w:rPr>
          <w:rFonts w:ascii="Garamond" w:hAnsi="Garamond"/>
          <w:color w:val="000000" w:themeColor="text1"/>
          <w:sz w:val="24"/>
          <w:szCs w:val="24"/>
        </w:rPr>
        <w:t xml:space="preserve">rawing on the rich literature on archives </w:t>
      </w:r>
      <w:r w:rsidR="008D0BD2" w:rsidRPr="00735740">
        <w:rPr>
          <w:rFonts w:ascii="Garamond" w:hAnsi="Garamond"/>
          <w:color w:val="000000" w:themeColor="text1"/>
          <w:sz w:val="24"/>
          <w:szCs w:val="24"/>
        </w:rPr>
        <w:t xml:space="preserve">from </w:t>
      </w:r>
      <w:r w:rsidR="002479B0" w:rsidRPr="00735740">
        <w:rPr>
          <w:rFonts w:ascii="Garamond" w:hAnsi="Garamond"/>
          <w:color w:val="000000" w:themeColor="text1"/>
          <w:sz w:val="24"/>
          <w:szCs w:val="24"/>
        </w:rPr>
        <w:t xml:space="preserve">history, </w:t>
      </w:r>
      <w:r w:rsidR="00F2552B" w:rsidRPr="00735740">
        <w:rPr>
          <w:rFonts w:ascii="Garamond" w:hAnsi="Garamond"/>
          <w:color w:val="000000" w:themeColor="text1"/>
          <w:sz w:val="24"/>
          <w:szCs w:val="24"/>
        </w:rPr>
        <w:t>philosophy</w:t>
      </w:r>
      <w:r w:rsidR="002479B0" w:rsidRPr="00735740">
        <w:rPr>
          <w:rFonts w:ascii="Garamond" w:hAnsi="Garamond"/>
          <w:color w:val="000000" w:themeColor="text1"/>
          <w:sz w:val="24"/>
          <w:szCs w:val="24"/>
        </w:rPr>
        <w:t xml:space="preserve">, </w:t>
      </w:r>
      <w:r w:rsidR="005F01DB" w:rsidRPr="00735740">
        <w:rPr>
          <w:rFonts w:ascii="Garamond" w:hAnsi="Garamond"/>
          <w:color w:val="000000" w:themeColor="text1"/>
          <w:sz w:val="24"/>
          <w:szCs w:val="24"/>
        </w:rPr>
        <w:t xml:space="preserve">anthropology, </w:t>
      </w:r>
      <w:r w:rsidR="002479B0" w:rsidRPr="00735740">
        <w:rPr>
          <w:rFonts w:ascii="Garamond" w:hAnsi="Garamond"/>
          <w:color w:val="000000" w:themeColor="text1"/>
          <w:sz w:val="24"/>
          <w:szCs w:val="24"/>
        </w:rPr>
        <w:t>post-colonial studies</w:t>
      </w:r>
      <w:r w:rsidR="007C5EA8" w:rsidRPr="00735740">
        <w:rPr>
          <w:rFonts w:ascii="Garamond" w:hAnsi="Garamond"/>
          <w:color w:val="000000" w:themeColor="text1"/>
          <w:sz w:val="24"/>
          <w:szCs w:val="24"/>
        </w:rPr>
        <w:t>, IR</w:t>
      </w:r>
      <w:r w:rsidR="00D9015B" w:rsidRPr="00735740">
        <w:rPr>
          <w:rFonts w:ascii="Garamond" w:hAnsi="Garamond"/>
          <w:color w:val="000000" w:themeColor="text1"/>
          <w:sz w:val="24"/>
          <w:szCs w:val="24"/>
        </w:rPr>
        <w:t xml:space="preserve"> and</w:t>
      </w:r>
      <w:r w:rsidRPr="00735740">
        <w:rPr>
          <w:rFonts w:ascii="Garamond" w:hAnsi="Garamond"/>
          <w:color w:val="000000" w:themeColor="text1"/>
          <w:sz w:val="24"/>
          <w:szCs w:val="24"/>
        </w:rPr>
        <w:t xml:space="preserve"> </w:t>
      </w:r>
      <w:r w:rsidR="002479B0" w:rsidRPr="00735740">
        <w:rPr>
          <w:rFonts w:ascii="Garamond" w:hAnsi="Garamond"/>
          <w:color w:val="000000" w:themeColor="text1"/>
          <w:sz w:val="24"/>
          <w:szCs w:val="24"/>
        </w:rPr>
        <w:t>archival science</w:t>
      </w:r>
      <w:r w:rsidR="003C4DDC" w:rsidRPr="00735740">
        <w:rPr>
          <w:rFonts w:ascii="Garamond" w:hAnsi="Garamond"/>
          <w:color w:val="000000" w:themeColor="text1"/>
          <w:sz w:val="24"/>
          <w:szCs w:val="24"/>
        </w:rPr>
        <w:t>,</w:t>
      </w:r>
      <w:r w:rsidR="001F1417" w:rsidRPr="00735740">
        <w:rPr>
          <w:rFonts w:ascii="Garamond" w:hAnsi="Garamond"/>
          <w:color w:val="000000" w:themeColor="text1"/>
          <w:sz w:val="24"/>
          <w:szCs w:val="24"/>
        </w:rPr>
        <w:t xml:space="preserve"> it develops a </w:t>
      </w:r>
      <w:r w:rsidR="005F01DB" w:rsidRPr="00735740">
        <w:rPr>
          <w:rFonts w:ascii="Garamond" w:hAnsi="Garamond"/>
          <w:color w:val="000000" w:themeColor="text1"/>
          <w:sz w:val="24"/>
          <w:szCs w:val="24"/>
        </w:rPr>
        <w:t xml:space="preserve">framework through which </w:t>
      </w:r>
      <w:r w:rsidR="002F35DF" w:rsidRPr="00735740">
        <w:rPr>
          <w:rFonts w:ascii="Garamond" w:hAnsi="Garamond"/>
          <w:color w:val="000000" w:themeColor="text1"/>
          <w:sz w:val="24"/>
          <w:szCs w:val="24"/>
        </w:rPr>
        <w:t>the politics of the archive can be understood. Three key themes are identified here</w:t>
      </w:r>
      <w:r w:rsidR="005F01DB" w:rsidRPr="00735740">
        <w:rPr>
          <w:rFonts w:ascii="Garamond" w:hAnsi="Garamond"/>
          <w:color w:val="000000" w:themeColor="text1"/>
          <w:sz w:val="24"/>
          <w:szCs w:val="24"/>
        </w:rPr>
        <w:t xml:space="preserve">: </w:t>
      </w:r>
      <w:r w:rsidR="00B54BB9" w:rsidRPr="00735740">
        <w:rPr>
          <w:rFonts w:ascii="Garamond" w:hAnsi="Garamond"/>
          <w:color w:val="000000" w:themeColor="text1"/>
          <w:sz w:val="24"/>
          <w:szCs w:val="24"/>
        </w:rPr>
        <w:t>responsibility; identity; and voice</w:t>
      </w:r>
      <w:r w:rsidR="00EC6EEB" w:rsidRPr="00735740">
        <w:rPr>
          <w:rFonts w:ascii="Garamond" w:hAnsi="Garamond"/>
          <w:color w:val="000000" w:themeColor="text1"/>
          <w:sz w:val="24"/>
          <w:szCs w:val="24"/>
        </w:rPr>
        <w:t xml:space="preserve">. </w:t>
      </w:r>
      <w:r w:rsidR="004E495E" w:rsidRPr="00735740">
        <w:rPr>
          <w:rFonts w:ascii="Garamond" w:hAnsi="Garamond"/>
          <w:color w:val="000000" w:themeColor="text1"/>
          <w:sz w:val="24"/>
          <w:szCs w:val="24"/>
        </w:rPr>
        <w:t>It then</w:t>
      </w:r>
      <w:r w:rsidR="00D35606" w:rsidRPr="00735740">
        <w:rPr>
          <w:rFonts w:ascii="Garamond" w:hAnsi="Garamond"/>
          <w:color w:val="000000" w:themeColor="text1"/>
          <w:sz w:val="24"/>
          <w:szCs w:val="24"/>
        </w:rPr>
        <w:t xml:space="preserve"> </w:t>
      </w:r>
      <w:r w:rsidR="002479B0" w:rsidRPr="00735740">
        <w:rPr>
          <w:rFonts w:ascii="Garamond" w:hAnsi="Garamond"/>
          <w:color w:val="000000" w:themeColor="text1"/>
          <w:sz w:val="24"/>
          <w:szCs w:val="24"/>
        </w:rPr>
        <w:t>explores</w:t>
      </w:r>
      <w:r w:rsidR="00D35606" w:rsidRPr="00735740">
        <w:rPr>
          <w:rFonts w:ascii="Garamond" w:hAnsi="Garamond"/>
          <w:color w:val="000000" w:themeColor="text1"/>
          <w:sz w:val="24"/>
          <w:szCs w:val="24"/>
        </w:rPr>
        <w:t xml:space="preserve"> the </w:t>
      </w:r>
      <w:r w:rsidR="0061410B" w:rsidRPr="00735740">
        <w:rPr>
          <w:rFonts w:ascii="Garamond" w:hAnsi="Garamond"/>
          <w:color w:val="000000" w:themeColor="text1"/>
          <w:sz w:val="24"/>
          <w:szCs w:val="24"/>
        </w:rPr>
        <w:t xml:space="preserve">question of how to </w:t>
      </w:r>
      <w:r w:rsidR="00CF1F08" w:rsidRPr="00735740">
        <w:rPr>
          <w:rFonts w:ascii="Garamond" w:hAnsi="Garamond"/>
          <w:color w:val="000000" w:themeColor="text1"/>
          <w:sz w:val="24"/>
          <w:szCs w:val="24"/>
        </w:rPr>
        <w:t>analyse</w:t>
      </w:r>
      <w:r w:rsidR="0061410B" w:rsidRPr="00735740">
        <w:rPr>
          <w:rFonts w:ascii="Garamond" w:hAnsi="Garamond"/>
          <w:color w:val="000000" w:themeColor="text1"/>
          <w:sz w:val="24"/>
          <w:szCs w:val="24"/>
        </w:rPr>
        <w:t xml:space="preserve"> </w:t>
      </w:r>
      <w:r w:rsidR="00D35606" w:rsidRPr="00735740">
        <w:rPr>
          <w:rFonts w:ascii="Garamond" w:hAnsi="Garamond"/>
          <w:color w:val="000000" w:themeColor="text1"/>
          <w:sz w:val="24"/>
          <w:szCs w:val="24"/>
        </w:rPr>
        <w:t>archive</w:t>
      </w:r>
      <w:r w:rsidR="00816FD8" w:rsidRPr="00735740">
        <w:rPr>
          <w:rFonts w:ascii="Garamond" w:hAnsi="Garamond"/>
          <w:color w:val="000000" w:themeColor="text1"/>
          <w:sz w:val="24"/>
          <w:szCs w:val="24"/>
        </w:rPr>
        <w:t>s</w:t>
      </w:r>
      <w:r w:rsidR="00D35606" w:rsidRPr="00735740">
        <w:rPr>
          <w:rFonts w:ascii="Garamond" w:hAnsi="Garamond"/>
          <w:color w:val="000000" w:themeColor="text1"/>
          <w:sz w:val="24"/>
          <w:szCs w:val="24"/>
        </w:rPr>
        <w:t xml:space="preserve">, </w:t>
      </w:r>
      <w:r w:rsidR="002479B0" w:rsidRPr="00735740">
        <w:rPr>
          <w:rFonts w:ascii="Garamond" w:hAnsi="Garamond"/>
          <w:color w:val="000000" w:themeColor="text1"/>
          <w:sz w:val="24"/>
          <w:szCs w:val="24"/>
        </w:rPr>
        <w:t>drawing</w:t>
      </w:r>
      <w:r w:rsidR="00D35606" w:rsidRPr="00735740">
        <w:rPr>
          <w:rFonts w:ascii="Garamond" w:hAnsi="Garamond"/>
          <w:color w:val="000000" w:themeColor="text1"/>
          <w:sz w:val="24"/>
          <w:szCs w:val="24"/>
        </w:rPr>
        <w:t xml:space="preserve"> on </w:t>
      </w:r>
      <w:r w:rsidR="00A521DD" w:rsidRPr="00735740">
        <w:rPr>
          <w:rFonts w:ascii="Garamond" w:hAnsi="Garamond"/>
          <w:color w:val="000000" w:themeColor="text1"/>
          <w:sz w:val="24"/>
          <w:szCs w:val="24"/>
        </w:rPr>
        <w:t>the work of Anne Stoler</w:t>
      </w:r>
      <w:r w:rsidR="007C5EA8" w:rsidRPr="00735740">
        <w:rPr>
          <w:rFonts w:ascii="Garamond" w:hAnsi="Garamond"/>
          <w:color w:val="000000" w:themeColor="text1"/>
          <w:sz w:val="24"/>
          <w:szCs w:val="24"/>
        </w:rPr>
        <w:t xml:space="preserve"> and Michel Foucault</w:t>
      </w:r>
      <w:r w:rsidR="00E87DDB" w:rsidRPr="00735740">
        <w:rPr>
          <w:rFonts w:ascii="Garamond" w:hAnsi="Garamond"/>
          <w:color w:val="000000" w:themeColor="text1"/>
          <w:sz w:val="24"/>
          <w:szCs w:val="24"/>
        </w:rPr>
        <w:t xml:space="preserve">, </w:t>
      </w:r>
      <w:r w:rsidR="00D22219" w:rsidRPr="00735740">
        <w:rPr>
          <w:rFonts w:ascii="Garamond" w:hAnsi="Garamond"/>
          <w:color w:val="000000" w:themeColor="text1"/>
          <w:sz w:val="24"/>
          <w:szCs w:val="24"/>
        </w:rPr>
        <w:t xml:space="preserve">also </w:t>
      </w:r>
      <w:r w:rsidR="00E87DDB" w:rsidRPr="00735740">
        <w:rPr>
          <w:rFonts w:ascii="Garamond" w:hAnsi="Garamond"/>
          <w:color w:val="000000" w:themeColor="text1"/>
          <w:sz w:val="24"/>
          <w:szCs w:val="24"/>
        </w:rPr>
        <w:t xml:space="preserve">highlighting the importance of the </w:t>
      </w:r>
      <w:r w:rsidR="008D751A" w:rsidRPr="00735740">
        <w:rPr>
          <w:rFonts w:ascii="Garamond" w:hAnsi="Garamond"/>
          <w:color w:val="000000" w:themeColor="text1"/>
          <w:sz w:val="24"/>
          <w:szCs w:val="24"/>
        </w:rPr>
        <w:t xml:space="preserve">materiality of the archive. </w:t>
      </w:r>
      <w:r w:rsidR="004E495E" w:rsidRPr="00735740">
        <w:rPr>
          <w:rFonts w:ascii="Garamond" w:hAnsi="Garamond"/>
          <w:color w:val="000000" w:themeColor="text1"/>
          <w:sz w:val="24"/>
          <w:szCs w:val="24"/>
        </w:rPr>
        <w:t xml:space="preserve">The second section provides </w:t>
      </w:r>
      <w:r w:rsidR="001F1417" w:rsidRPr="00735740">
        <w:rPr>
          <w:rFonts w:ascii="Garamond" w:hAnsi="Garamond"/>
          <w:color w:val="000000" w:themeColor="text1"/>
          <w:sz w:val="24"/>
          <w:szCs w:val="24"/>
        </w:rPr>
        <w:t>a reading of</w:t>
      </w:r>
      <w:r w:rsidR="008D0BD2" w:rsidRPr="00735740">
        <w:rPr>
          <w:rFonts w:ascii="Garamond" w:hAnsi="Garamond"/>
          <w:color w:val="000000" w:themeColor="text1"/>
          <w:sz w:val="24"/>
          <w:szCs w:val="24"/>
        </w:rPr>
        <w:t xml:space="preserve"> the </w:t>
      </w:r>
      <w:r w:rsidR="00C52DC7" w:rsidRPr="00735740">
        <w:rPr>
          <w:rFonts w:ascii="Garamond" w:hAnsi="Garamond"/>
          <w:color w:val="000000" w:themeColor="text1"/>
          <w:sz w:val="24"/>
          <w:szCs w:val="24"/>
        </w:rPr>
        <w:t>ICTR</w:t>
      </w:r>
      <w:r w:rsidR="008D0BD2" w:rsidRPr="00735740">
        <w:rPr>
          <w:rFonts w:ascii="Garamond" w:hAnsi="Garamond"/>
          <w:color w:val="000000" w:themeColor="text1"/>
          <w:sz w:val="24"/>
          <w:szCs w:val="24"/>
        </w:rPr>
        <w:t>’s</w:t>
      </w:r>
      <w:r w:rsidR="000B2C56" w:rsidRPr="00735740">
        <w:rPr>
          <w:rFonts w:ascii="Garamond" w:hAnsi="Garamond"/>
          <w:color w:val="000000" w:themeColor="text1"/>
          <w:sz w:val="24"/>
          <w:szCs w:val="24"/>
        </w:rPr>
        <w:t xml:space="preserve"> archive</w:t>
      </w:r>
      <w:r w:rsidR="00A521DD" w:rsidRPr="00735740">
        <w:rPr>
          <w:rFonts w:ascii="Garamond" w:hAnsi="Garamond"/>
          <w:color w:val="000000" w:themeColor="text1"/>
          <w:sz w:val="24"/>
          <w:szCs w:val="24"/>
        </w:rPr>
        <w:t>, which</w:t>
      </w:r>
      <w:r w:rsidR="00B54BB9" w:rsidRPr="00735740">
        <w:rPr>
          <w:rFonts w:ascii="Garamond" w:hAnsi="Garamond"/>
          <w:color w:val="000000" w:themeColor="text1"/>
          <w:sz w:val="24"/>
          <w:szCs w:val="24"/>
        </w:rPr>
        <w:t xml:space="preserve">, drawing on the framework constructed in the first section, </w:t>
      </w:r>
      <w:r w:rsidR="00E87DDB" w:rsidRPr="00735740">
        <w:rPr>
          <w:rFonts w:ascii="Garamond" w:hAnsi="Garamond"/>
          <w:color w:val="000000" w:themeColor="text1"/>
          <w:sz w:val="24"/>
          <w:szCs w:val="24"/>
        </w:rPr>
        <w:t xml:space="preserve">examines </w:t>
      </w:r>
      <w:r w:rsidR="00A521DD" w:rsidRPr="00735740">
        <w:rPr>
          <w:rFonts w:ascii="Garamond" w:hAnsi="Garamond"/>
          <w:color w:val="000000" w:themeColor="text1"/>
          <w:sz w:val="24"/>
          <w:szCs w:val="24"/>
        </w:rPr>
        <w:t xml:space="preserve">how knowledge is produced within the archive </w:t>
      </w:r>
      <w:r w:rsidR="002479B0" w:rsidRPr="00735740">
        <w:rPr>
          <w:rFonts w:ascii="Garamond" w:hAnsi="Garamond"/>
          <w:color w:val="000000" w:themeColor="text1"/>
          <w:sz w:val="24"/>
          <w:szCs w:val="24"/>
        </w:rPr>
        <w:t xml:space="preserve">and </w:t>
      </w:r>
      <w:r w:rsidR="00A521DD" w:rsidRPr="00735740">
        <w:rPr>
          <w:rFonts w:ascii="Garamond" w:hAnsi="Garamond"/>
          <w:color w:val="000000" w:themeColor="text1"/>
          <w:sz w:val="24"/>
          <w:szCs w:val="24"/>
        </w:rPr>
        <w:t xml:space="preserve">what understanding of community is projected as a result. </w:t>
      </w:r>
    </w:p>
    <w:p w14:paraId="0FD57C1F" w14:textId="55BF38BB" w:rsidR="00D50715" w:rsidRPr="00735740" w:rsidRDefault="007B7A4B" w:rsidP="00201640">
      <w:pPr>
        <w:pStyle w:val="Heading1"/>
        <w:spacing w:afterLines="160" w:after="384" w:line="360" w:lineRule="auto"/>
        <w:rPr>
          <w:rFonts w:ascii="Garamond" w:hAnsi="Garamond"/>
          <w:szCs w:val="36"/>
        </w:rPr>
      </w:pPr>
      <w:r w:rsidRPr="00735740">
        <w:rPr>
          <w:rFonts w:ascii="Garamond" w:hAnsi="Garamond"/>
          <w:szCs w:val="36"/>
        </w:rPr>
        <w:t xml:space="preserve">Archives </w:t>
      </w:r>
      <w:r w:rsidR="00182A22" w:rsidRPr="00735740">
        <w:rPr>
          <w:rFonts w:ascii="Garamond" w:hAnsi="Garamond"/>
          <w:szCs w:val="36"/>
        </w:rPr>
        <w:t>as instruments of</w:t>
      </w:r>
      <w:r w:rsidRPr="00735740">
        <w:rPr>
          <w:rFonts w:ascii="Garamond" w:hAnsi="Garamond"/>
          <w:szCs w:val="36"/>
        </w:rPr>
        <w:t xml:space="preserve"> </w:t>
      </w:r>
      <w:r w:rsidR="00182A22" w:rsidRPr="00735740">
        <w:rPr>
          <w:rFonts w:ascii="Garamond" w:hAnsi="Garamond"/>
          <w:szCs w:val="36"/>
        </w:rPr>
        <w:t>g</w:t>
      </w:r>
      <w:r w:rsidRPr="00735740">
        <w:rPr>
          <w:rFonts w:ascii="Garamond" w:hAnsi="Garamond"/>
          <w:szCs w:val="36"/>
        </w:rPr>
        <w:t>overnance</w:t>
      </w:r>
      <w:r w:rsidR="004E495E" w:rsidRPr="00735740">
        <w:rPr>
          <w:rFonts w:ascii="Garamond" w:hAnsi="Garamond"/>
          <w:szCs w:val="36"/>
        </w:rPr>
        <w:t xml:space="preserve"> and method</w:t>
      </w:r>
    </w:p>
    <w:p w14:paraId="0E796C8F" w14:textId="05DDE6EB" w:rsidR="00907821" w:rsidRPr="00735740" w:rsidRDefault="00907821" w:rsidP="00735740">
      <w:pPr>
        <w:pStyle w:val="Heading2"/>
      </w:pPr>
      <w:r w:rsidRPr="00735740">
        <w:t xml:space="preserve">Archives </w:t>
      </w:r>
      <w:r w:rsidR="003418F3" w:rsidRPr="00735740">
        <w:t>as</w:t>
      </w:r>
      <w:r w:rsidRPr="00735740">
        <w:t xml:space="preserve"> governance</w:t>
      </w:r>
    </w:p>
    <w:p w14:paraId="40FA18E3" w14:textId="51A05212" w:rsidR="001F1417" w:rsidRPr="00735740" w:rsidRDefault="00D35606" w:rsidP="00201640">
      <w:pPr>
        <w:spacing w:afterLines="160" w:after="384" w:line="360" w:lineRule="auto"/>
        <w:rPr>
          <w:rFonts w:ascii="Garamond" w:hAnsi="Garamond"/>
          <w:color w:val="000000" w:themeColor="text1"/>
          <w:sz w:val="24"/>
          <w:szCs w:val="24"/>
          <w:lang w:val="en-US"/>
        </w:rPr>
      </w:pPr>
      <w:r w:rsidRPr="00735740">
        <w:rPr>
          <w:rFonts w:ascii="Garamond" w:hAnsi="Garamond"/>
          <w:color w:val="000000" w:themeColor="text1"/>
          <w:sz w:val="24"/>
          <w:szCs w:val="24"/>
        </w:rPr>
        <w:t xml:space="preserve">Archives have always been </w:t>
      </w:r>
      <w:r w:rsidR="00EC6EEB" w:rsidRPr="00735740">
        <w:rPr>
          <w:rFonts w:ascii="Garamond" w:hAnsi="Garamond"/>
          <w:color w:val="000000" w:themeColor="text1"/>
          <w:sz w:val="24"/>
          <w:szCs w:val="24"/>
        </w:rPr>
        <w:t xml:space="preserve">linked </w:t>
      </w:r>
      <w:r w:rsidR="002479B0" w:rsidRPr="00735740">
        <w:rPr>
          <w:rFonts w:ascii="Garamond" w:hAnsi="Garamond"/>
          <w:color w:val="000000" w:themeColor="text1"/>
          <w:sz w:val="24"/>
          <w:szCs w:val="24"/>
        </w:rPr>
        <w:t>to questions of</w:t>
      </w:r>
      <w:r w:rsidR="00EF3B57" w:rsidRPr="00735740">
        <w:rPr>
          <w:rFonts w:ascii="Garamond" w:hAnsi="Garamond"/>
          <w:color w:val="000000" w:themeColor="text1"/>
          <w:sz w:val="24"/>
          <w:szCs w:val="24"/>
        </w:rPr>
        <w:t xml:space="preserve"> governance</w:t>
      </w:r>
      <w:r w:rsidR="001F1417" w:rsidRPr="00735740">
        <w:rPr>
          <w:rFonts w:ascii="Garamond" w:hAnsi="Garamond"/>
          <w:color w:val="000000" w:themeColor="text1"/>
          <w:sz w:val="24"/>
          <w:szCs w:val="24"/>
        </w:rPr>
        <w:t>.</w:t>
      </w:r>
      <w:r w:rsidR="009350FC" w:rsidRPr="00735740">
        <w:rPr>
          <w:rStyle w:val="FootnoteReference"/>
          <w:rFonts w:ascii="Garamond" w:hAnsi="Garamond"/>
          <w:color w:val="000000" w:themeColor="text1"/>
          <w:sz w:val="24"/>
          <w:szCs w:val="24"/>
        </w:rPr>
        <w:footnoteReference w:id="5"/>
      </w:r>
      <w:r w:rsidR="001F1417" w:rsidRPr="00735740">
        <w:rPr>
          <w:rFonts w:ascii="Garamond" w:hAnsi="Garamond"/>
          <w:color w:val="000000" w:themeColor="text1"/>
          <w:sz w:val="24"/>
          <w:szCs w:val="24"/>
        </w:rPr>
        <w:t xml:space="preserve">  </w:t>
      </w:r>
      <w:r w:rsidR="00D839F8" w:rsidRPr="00735740">
        <w:rPr>
          <w:rFonts w:ascii="Garamond" w:hAnsi="Garamond"/>
          <w:color w:val="000000" w:themeColor="text1"/>
          <w:sz w:val="24"/>
          <w:szCs w:val="24"/>
        </w:rPr>
        <w:t>The word</w:t>
      </w:r>
      <w:r w:rsidR="001F1417" w:rsidRPr="00735740">
        <w:rPr>
          <w:rFonts w:ascii="Garamond" w:hAnsi="Garamond"/>
          <w:color w:val="000000" w:themeColor="text1"/>
          <w:sz w:val="24"/>
          <w:szCs w:val="24"/>
          <w:lang w:val="en-US"/>
        </w:rPr>
        <w:t xml:space="preserve"> ‘</w:t>
      </w:r>
      <w:r w:rsidR="00D839F8" w:rsidRPr="00735740">
        <w:rPr>
          <w:rFonts w:ascii="Garamond" w:hAnsi="Garamond"/>
          <w:color w:val="000000" w:themeColor="text1"/>
          <w:sz w:val="24"/>
          <w:szCs w:val="24"/>
          <w:lang w:val="en-US"/>
        </w:rPr>
        <w:t>a</w:t>
      </w:r>
      <w:r w:rsidR="001F1417" w:rsidRPr="00735740">
        <w:rPr>
          <w:rFonts w:ascii="Garamond" w:hAnsi="Garamond"/>
          <w:color w:val="000000" w:themeColor="text1"/>
          <w:sz w:val="24"/>
          <w:szCs w:val="24"/>
          <w:lang w:val="en-US"/>
        </w:rPr>
        <w:t xml:space="preserve">rchive’ </w:t>
      </w:r>
      <w:r w:rsidR="000B4823" w:rsidRPr="00735740">
        <w:rPr>
          <w:rFonts w:ascii="Garamond" w:hAnsi="Garamond"/>
          <w:color w:val="000000" w:themeColor="text1"/>
          <w:sz w:val="24"/>
          <w:szCs w:val="24"/>
          <w:lang w:val="en-US"/>
        </w:rPr>
        <w:t>first appeared in</w:t>
      </w:r>
      <w:r w:rsidR="001F1417" w:rsidRPr="00735740">
        <w:rPr>
          <w:rFonts w:ascii="Garamond" w:hAnsi="Garamond"/>
          <w:color w:val="000000" w:themeColor="text1"/>
          <w:sz w:val="24"/>
          <w:szCs w:val="24"/>
          <w:lang w:val="en-US"/>
        </w:rPr>
        <w:t xml:space="preserve"> relation to the </w:t>
      </w:r>
      <w:r w:rsidR="001F1417" w:rsidRPr="00735740">
        <w:rPr>
          <w:rFonts w:ascii="Garamond" w:hAnsi="Garamond"/>
          <w:i/>
          <w:color w:val="000000" w:themeColor="text1"/>
          <w:sz w:val="24"/>
          <w:szCs w:val="24"/>
          <w:lang w:val="en-US"/>
        </w:rPr>
        <w:t>archons</w:t>
      </w:r>
      <w:r w:rsidR="001F1417" w:rsidRPr="00735740">
        <w:rPr>
          <w:rFonts w:ascii="Garamond" w:hAnsi="Garamond"/>
          <w:color w:val="000000" w:themeColor="text1"/>
          <w:sz w:val="24"/>
          <w:szCs w:val="24"/>
          <w:lang w:val="en-US"/>
        </w:rPr>
        <w:t xml:space="preserve"> (the magistrates) of ancient Greece: the archon’s house (the archive, or </w:t>
      </w:r>
      <w:r w:rsidR="001F1417" w:rsidRPr="00735740">
        <w:rPr>
          <w:rFonts w:ascii="Garamond" w:hAnsi="Garamond"/>
          <w:i/>
          <w:color w:val="000000" w:themeColor="text1"/>
          <w:sz w:val="24"/>
          <w:szCs w:val="24"/>
          <w:lang w:val="en-US"/>
        </w:rPr>
        <w:t>arkeion</w:t>
      </w:r>
      <w:r w:rsidR="001F1417" w:rsidRPr="00735740">
        <w:rPr>
          <w:rFonts w:ascii="Garamond" w:hAnsi="Garamond"/>
          <w:color w:val="000000" w:themeColor="text1"/>
          <w:sz w:val="24"/>
          <w:szCs w:val="24"/>
          <w:lang w:val="en-US"/>
        </w:rPr>
        <w:t>) was the place where records were kept</w:t>
      </w:r>
      <w:r w:rsidR="006C1559" w:rsidRPr="00735740">
        <w:rPr>
          <w:rFonts w:ascii="Garamond" w:hAnsi="Garamond"/>
          <w:color w:val="000000" w:themeColor="text1"/>
          <w:sz w:val="24"/>
          <w:szCs w:val="24"/>
          <w:lang w:val="en-US"/>
        </w:rPr>
        <w:t>, separated from the rest of society</w:t>
      </w:r>
      <w:r w:rsidR="001F1417" w:rsidRPr="00735740">
        <w:rPr>
          <w:rFonts w:ascii="Garamond" w:hAnsi="Garamond"/>
          <w:color w:val="000000" w:themeColor="text1"/>
          <w:sz w:val="24"/>
          <w:szCs w:val="24"/>
          <w:lang w:val="en-US"/>
        </w:rPr>
        <w:t xml:space="preserve">. The magistrate was given the responsibility and authority to protect and interpret the records and therefore </w:t>
      </w:r>
      <w:r w:rsidR="001F1417" w:rsidRPr="00735740">
        <w:rPr>
          <w:rFonts w:ascii="Garamond" w:hAnsi="Garamond"/>
          <w:color w:val="000000" w:themeColor="text1"/>
          <w:sz w:val="24"/>
          <w:szCs w:val="24"/>
          <w:lang w:val="en-US"/>
        </w:rPr>
        <w:lastRenderedPageBreak/>
        <w:t>create law.</w:t>
      </w:r>
      <w:r w:rsidR="009350FC" w:rsidRPr="00735740">
        <w:rPr>
          <w:rStyle w:val="FootnoteReference"/>
          <w:rFonts w:ascii="Garamond" w:hAnsi="Garamond"/>
          <w:color w:val="000000" w:themeColor="text1"/>
          <w:sz w:val="24"/>
          <w:szCs w:val="24"/>
          <w:lang w:val="en-US"/>
        </w:rPr>
        <w:footnoteReference w:id="6"/>
      </w:r>
      <w:r w:rsidR="001F1417" w:rsidRPr="00735740">
        <w:rPr>
          <w:rFonts w:ascii="Garamond" w:hAnsi="Garamond"/>
          <w:color w:val="000000" w:themeColor="text1"/>
          <w:sz w:val="24"/>
          <w:szCs w:val="24"/>
          <w:lang w:val="en-US"/>
        </w:rPr>
        <w:t xml:space="preserve"> </w:t>
      </w:r>
      <w:r w:rsidR="000F4D3F" w:rsidRPr="00735740">
        <w:rPr>
          <w:rFonts w:ascii="Garamond" w:hAnsi="Garamond"/>
          <w:color w:val="000000" w:themeColor="text1"/>
          <w:sz w:val="24"/>
          <w:szCs w:val="24"/>
          <w:lang w:val="en-US"/>
        </w:rPr>
        <w:t>Thus a</w:t>
      </w:r>
      <w:r w:rsidR="003C4DDC" w:rsidRPr="00735740">
        <w:rPr>
          <w:rFonts w:ascii="Garamond" w:hAnsi="Garamond"/>
          <w:color w:val="000000" w:themeColor="text1"/>
          <w:sz w:val="24"/>
          <w:szCs w:val="24"/>
          <w:lang w:val="en-US"/>
        </w:rPr>
        <w:t>t the very birth of the archive a</w:t>
      </w:r>
      <w:r w:rsidR="001F1417" w:rsidRPr="00735740">
        <w:rPr>
          <w:rFonts w:ascii="Garamond" w:hAnsi="Garamond"/>
          <w:color w:val="000000" w:themeColor="text1"/>
          <w:sz w:val="24"/>
          <w:szCs w:val="24"/>
          <w:lang w:val="en-US"/>
        </w:rPr>
        <w:t xml:space="preserve"> clear link</w:t>
      </w:r>
      <w:r w:rsidR="007F2618" w:rsidRPr="00735740">
        <w:rPr>
          <w:rFonts w:ascii="Garamond" w:hAnsi="Garamond"/>
          <w:color w:val="000000" w:themeColor="text1"/>
          <w:sz w:val="24"/>
          <w:szCs w:val="24"/>
          <w:lang w:val="en-US"/>
        </w:rPr>
        <w:t xml:space="preserve"> is visible</w:t>
      </w:r>
      <w:r w:rsidR="001F1417" w:rsidRPr="00735740">
        <w:rPr>
          <w:rFonts w:ascii="Garamond" w:hAnsi="Garamond"/>
          <w:color w:val="000000" w:themeColor="text1"/>
          <w:sz w:val="24"/>
          <w:szCs w:val="24"/>
          <w:lang w:val="en-US"/>
        </w:rPr>
        <w:t xml:space="preserve"> between archives, law and governance</w:t>
      </w:r>
      <w:r w:rsidR="003C4DDC" w:rsidRPr="00735740">
        <w:rPr>
          <w:rFonts w:ascii="Garamond" w:hAnsi="Garamond"/>
          <w:color w:val="000000" w:themeColor="text1"/>
          <w:sz w:val="24"/>
          <w:szCs w:val="24"/>
          <w:lang w:val="en-US"/>
        </w:rPr>
        <w:t>.</w:t>
      </w:r>
      <w:r w:rsidR="001E2795" w:rsidRPr="00735740">
        <w:rPr>
          <w:rFonts w:ascii="Garamond" w:hAnsi="Garamond"/>
          <w:color w:val="000000" w:themeColor="text1"/>
          <w:sz w:val="24"/>
          <w:szCs w:val="24"/>
          <w:lang w:val="en-US"/>
        </w:rPr>
        <w:t xml:space="preserve"> </w:t>
      </w:r>
      <w:r w:rsidR="003C4DDC" w:rsidRPr="00735740">
        <w:rPr>
          <w:rFonts w:ascii="Garamond" w:hAnsi="Garamond"/>
          <w:color w:val="000000" w:themeColor="text1"/>
          <w:sz w:val="24"/>
          <w:szCs w:val="24"/>
          <w:lang w:val="en-US"/>
        </w:rPr>
        <w:t>T</w:t>
      </w:r>
      <w:r w:rsidR="001F1417" w:rsidRPr="00735740">
        <w:rPr>
          <w:rFonts w:ascii="Garamond" w:hAnsi="Garamond"/>
          <w:color w:val="000000" w:themeColor="text1"/>
          <w:sz w:val="24"/>
          <w:szCs w:val="24"/>
          <w:lang w:val="en-US"/>
        </w:rPr>
        <w:t>he archive, as Derrida notes, functioned as a site of commencement</w:t>
      </w:r>
      <w:r w:rsidR="000F4D3F" w:rsidRPr="00735740">
        <w:rPr>
          <w:rFonts w:ascii="Garamond" w:hAnsi="Garamond"/>
          <w:color w:val="000000" w:themeColor="text1"/>
          <w:sz w:val="24"/>
          <w:szCs w:val="24"/>
          <w:lang w:val="en-US"/>
        </w:rPr>
        <w:t>;</w:t>
      </w:r>
      <w:r w:rsidR="001F1417" w:rsidRPr="00735740">
        <w:rPr>
          <w:rFonts w:ascii="Garamond" w:hAnsi="Garamond"/>
          <w:color w:val="000000" w:themeColor="text1"/>
          <w:sz w:val="24"/>
          <w:szCs w:val="24"/>
          <w:lang w:val="en-US"/>
        </w:rPr>
        <w:t xml:space="preserve"> as an ontology and history were created as real; and commandment, as the law was created and then declared so.</w:t>
      </w:r>
      <w:r w:rsidR="009350FC" w:rsidRPr="00735740">
        <w:rPr>
          <w:rStyle w:val="FootnoteReference"/>
          <w:rFonts w:ascii="Garamond" w:hAnsi="Garamond"/>
          <w:color w:val="000000" w:themeColor="text1"/>
          <w:sz w:val="24"/>
          <w:szCs w:val="24"/>
          <w:lang w:val="en-US"/>
        </w:rPr>
        <w:footnoteReference w:id="7"/>
      </w:r>
      <w:r w:rsidR="001F1417" w:rsidRPr="00735740">
        <w:rPr>
          <w:rFonts w:ascii="Garamond" w:hAnsi="Garamond"/>
          <w:color w:val="000000" w:themeColor="text1"/>
          <w:sz w:val="24"/>
          <w:szCs w:val="24"/>
          <w:lang w:val="en-US"/>
        </w:rPr>
        <w:t xml:space="preserve"> </w:t>
      </w:r>
    </w:p>
    <w:p w14:paraId="1F9E9CBF" w14:textId="29A2C5D6" w:rsidR="00EF3B57" w:rsidRPr="00735740" w:rsidRDefault="00EF3B57" w:rsidP="00201640">
      <w:pPr>
        <w:spacing w:afterLines="160" w:after="384" w:line="360" w:lineRule="auto"/>
        <w:rPr>
          <w:rFonts w:ascii="Garamond" w:hAnsi="Garamond"/>
          <w:color w:val="000000" w:themeColor="text1"/>
          <w:sz w:val="24"/>
          <w:szCs w:val="24"/>
          <w:lang w:val="en-US"/>
        </w:rPr>
      </w:pPr>
      <w:r w:rsidRPr="00735740">
        <w:rPr>
          <w:rFonts w:ascii="Garamond" w:hAnsi="Garamond"/>
          <w:color w:val="000000" w:themeColor="text1"/>
          <w:sz w:val="24"/>
          <w:szCs w:val="24"/>
          <w:lang w:val="en-US"/>
        </w:rPr>
        <w:t xml:space="preserve">This link between archives and </w:t>
      </w:r>
      <w:r w:rsidR="00D22219" w:rsidRPr="00735740">
        <w:rPr>
          <w:rFonts w:ascii="Garamond" w:hAnsi="Garamond"/>
          <w:color w:val="000000" w:themeColor="text1"/>
          <w:sz w:val="24"/>
          <w:szCs w:val="24"/>
          <w:lang w:val="en-US"/>
        </w:rPr>
        <w:t>governance</w:t>
      </w:r>
      <w:r w:rsidRPr="00735740">
        <w:rPr>
          <w:rFonts w:ascii="Garamond" w:hAnsi="Garamond"/>
          <w:color w:val="000000" w:themeColor="text1"/>
          <w:sz w:val="24"/>
          <w:szCs w:val="24"/>
          <w:lang w:val="en-US"/>
        </w:rPr>
        <w:t xml:space="preserve"> continued </w:t>
      </w:r>
      <w:r w:rsidR="003C4DDC" w:rsidRPr="00735740">
        <w:rPr>
          <w:rFonts w:ascii="Garamond" w:hAnsi="Garamond"/>
          <w:color w:val="000000" w:themeColor="text1"/>
          <w:sz w:val="24"/>
          <w:szCs w:val="24"/>
          <w:lang w:val="en-US"/>
        </w:rPr>
        <w:t>into</w:t>
      </w:r>
      <w:r w:rsidRPr="00735740">
        <w:rPr>
          <w:rFonts w:ascii="Garamond" w:hAnsi="Garamond"/>
          <w:color w:val="000000" w:themeColor="text1"/>
          <w:sz w:val="24"/>
          <w:szCs w:val="24"/>
          <w:lang w:val="en-US"/>
        </w:rPr>
        <w:t xml:space="preserve"> the eighteenth century</w:t>
      </w:r>
      <w:r w:rsidR="003C4DDC" w:rsidRPr="00735740">
        <w:rPr>
          <w:rFonts w:ascii="Garamond" w:hAnsi="Garamond"/>
          <w:color w:val="000000" w:themeColor="text1"/>
          <w:sz w:val="24"/>
          <w:szCs w:val="24"/>
          <w:lang w:val="en-US"/>
        </w:rPr>
        <w:t>, where</w:t>
      </w:r>
      <w:r w:rsidRPr="00735740">
        <w:rPr>
          <w:rFonts w:ascii="Garamond" w:hAnsi="Garamond"/>
          <w:color w:val="000000" w:themeColor="text1"/>
          <w:sz w:val="24"/>
          <w:szCs w:val="24"/>
          <w:lang w:val="en-US"/>
        </w:rPr>
        <w:t xml:space="preserve"> archives </w:t>
      </w:r>
      <w:r w:rsidR="00D92DA5" w:rsidRPr="00735740">
        <w:rPr>
          <w:rFonts w:ascii="Garamond" w:hAnsi="Garamond"/>
          <w:color w:val="000000" w:themeColor="text1"/>
          <w:sz w:val="24"/>
          <w:szCs w:val="24"/>
          <w:lang w:val="en-US"/>
        </w:rPr>
        <w:t xml:space="preserve">helped render </w:t>
      </w:r>
      <w:r w:rsidRPr="00735740">
        <w:rPr>
          <w:rFonts w:ascii="Garamond" w:hAnsi="Garamond"/>
          <w:color w:val="000000" w:themeColor="text1"/>
          <w:sz w:val="24"/>
          <w:szCs w:val="24"/>
          <w:lang w:val="en-US"/>
        </w:rPr>
        <w:t>populations governable</w:t>
      </w:r>
      <w:r w:rsidR="00CA5E20" w:rsidRPr="00735740">
        <w:rPr>
          <w:rFonts w:ascii="Garamond" w:hAnsi="Garamond"/>
          <w:color w:val="000000" w:themeColor="text1"/>
          <w:sz w:val="24"/>
          <w:szCs w:val="24"/>
          <w:lang w:val="en-US"/>
        </w:rPr>
        <w:t xml:space="preserve">, </w:t>
      </w:r>
      <w:r w:rsidRPr="00735740">
        <w:rPr>
          <w:rFonts w:ascii="Garamond" w:hAnsi="Garamond"/>
          <w:color w:val="000000" w:themeColor="text1"/>
          <w:sz w:val="24"/>
          <w:szCs w:val="24"/>
          <w:lang w:val="en-US"/>
        </w:rPr>
        <w:t xml:space="preserve">and </w:t>
      </w:r>
      <w:r w:rsidR="002F35DF" w:rsidRPr="00735740">
        <w:rPr>
          <w:rFonts w:ascii="Garamond" w:hAnsi="Garamond"/>
          <w:color w:val="000000" w:themeColor="text1"/>
          <w:sz w:val="24"/>
          <w:szCs w:val="24"/>
          <w:lang w:val="en-US"/>
        </w:rPr>
        <w:t>produce</w:t>
      </w:r>
      <w:r w:rsidR="00D92DA5" w:rsidRPr="00735740">
        <w:rPr>
          <w:rFonts w:ascii="Garamond" w:hAnsi="Garamond"/>
          <w:color w:val="000000" w:themeColor="text1"/>
          <w:sz w:val="24"/>
          <w:szCs w:val="24"/>
          <w:lang w:val="en-US"/>
        </w:rPr>
        <w:t>d</w:t>
      </w:r>
      <w:r w:rsidRPr="00735740">
        <w:rPr>
          <w:rFonts w:ascii="Garamond" w:hAnsi="Garamond"/>
          <w:color w:val="000000" w:themeColor="text1"/>
          <w:sz w:val="24"/>
          <w:szCs w:val="24"/>
          <w:lang w:val="en-US"/>
        </w:rPr>
        <w:t xml:space="preserve"> identities and norms of the individual, collective and nation.</w:t>
      </w:r>
      <w:r w:rsidRPr="00735740">
        <w:rPr>
          <w:rStyle w:val="FootnoteReference"/>
          <w:rFonts w:ascii="Garamond" w:hAnsi="Garamond"/>
          <w:color w:val="000000" w:themeColor="text1"/>
          <w:sz w:val="24"/>
          <w:szCs w:val="24"/>
          <w:lang w:val="en-US"/>
        </w:rPr>
        <w:footnoteReference w:id="8"/>
      </w:r>
      <w:r w:rsidRPr="00735740">
        <w:rPr>
          <w:rFonts w:ascii="Garamond" w:hAnsi="Garamond"/>
          <w:color w:val="000000" w:themeColor="text1"/>
          <w:sz w:val="24"/>
          <w:szCs w:val="24"/>
          <w:lang w:val="en-US"/>
        </w:rPr>
        <w:t xml:space="preserve"> One of the </w:t>
      </w:r>
      <w:r w:rsidR="003C4DDC" w:rsidRPr="00735740">
        <w:rPr>
          <w:rFonts w:ascii="Garamond" w:hAnsi="Garamond"/>
          <w:color w:val="000000" w:themeColor="text1"/>
          <w:sz w:val="24"/>
          <w:szCs w:val="24"/>
          <w:lang w:val="en-US"/>
        </w:rPr>
        <w:t>questions troubling</w:t>
      </w:r>
      <w:r w:rsidRPr="00735740">
        <w:rPr>
          <w:rFonts w:ascii="Garamond" w:hAnsi="Garamond"/>
          <w:color w:val="000000" w:themeColor="text1"/>
          <w:sz w:val="24"/>
          <w:szCs w:val="24"/>
          <w:lang w:val="en-US"/>
        </w:rPr>
        <w:t xml:space="preserve"> the modern </w:t>
      </w:r>
      <w:r w:rsidR="0061410B" w:rsidRPr="00735740">
        <w:rPr>
          <w:rFonts w:ascii="Garamond" w:hAnsi="Garamond"/>
          <w:color w:val="000000" w:themeColor="text1"/>
          <w:sz w:val="24"/>
          <w:szCs w:val="24"/>
          <w:lang w:val="en-US"/>
        </w:rPr>
        <w:t xml:space="preserve">European </w:t>
      </w:r>
      <w:r w:rsidRPr="00735740">
        <w:rPr>
          <w:rFonts w:ascii="Garamond" w:hAnsi="Garamond"/>
          <w:color w:val="000000" w:themeColor="text1"/>
          <w:sz w:val="24"/>
          <w:szCs w:val="24"/>
          <w:lang w:val="en-US"/>
        </w:rPr>
        <w:t xml:space="preserve">state </w:t>
      </w:r>
      <w:r w:rsidR="00F0561D" w:rsidRPr="00735740">
        <w:rPr>
          <w:rFonts w:ascii="Garamond" w:hAnsi="Garamond"/>
          <w:color w:val="000000" w:themeColor="text1"/>
          <w:sz w:val="24"/>
          <w:szCs w:val="24"/>
          <w:lang w:val="en-US"/>
        </w:rPr>
        <w:t xml:space="preserve">at this moment </w:t>
      </w:r>
      <w:r w:rsidRPr="00735740">
        <w:rPr>
          <w:rFonts w:ascii="Garamond" w:hAnsi="Garamond"/>
          <w:color w:val="000000" w:themeColor="text1"/>
          <w:sz w:val="24"/>
          <w:szCs w:val="24"/>
          <w:lang w:val="en-US"/>
        </w:rPr>
        <w:t>was how to control an ever-growing population in an increasingly connected yet secular society</w:t>
      </w:r>
      <w:r w:rsidR="003C4DDC" w:rsidRPr="00735740">
        <w:rPr>
          <w:rFonts w:ascii="Garamond" w:hAnsi="Garamond"/>
          <w:color w:val="000000" w:themeColor="text1"/>
          <w:sz w:val="24"/>
          <w:szCs w:val="24"/>
          <w:lang w:val="en-US"/>
        </w:rPr>
        <w:t xml:space="preserve"> </w:t>
      </w:r>
      <w:r w:rsidRPr="00735740">
        <w:rPr>
          <w:rFonts w:ascii="Garamond" w:hAnsi="Garamond"/>
          <w:color w:val="000000" w:themeColor="text1"/>
          <w:sz w:val="24"/>
          <w:szCs w:val="24"/>
          <w:lang w:val="en-US"/>
        </w:rPr>
        <w:t>–</w:t>
      </w:r>
      <w:r w:rsidR="003C4DDC" w:rsidRPr="00735740">
        <w:rPr>
          <w:rFonts w:ascii="Garamond" w:hAnsi="Garamond"/>
          <w:color w:val="000000" w:themeColor="text1"/>
          <w:sz w:val="24"/>
          <w:szCs w:val="24"/>
          <w:lang w:val="en-US"/>
        </w:rPr>
        <w:t xml:space="preserve"> </w:t>
      </w:r>
      <w:r w:rsidRPr="00735740">
        <w:rPr>
          <w:rFonts w:ascii="Garamond" w:hAnsi="Garamond"/>
          <w:color w:val="000000" w:themeColor="text1"/>
          <w:sz w:val="24"/>
          <w:szCs w:val="24"/>
          <w:lang w:val="en-US"/>
        </w:rPr>
        <w:t xml:space="preserve">where </w:t>
      </w:r>
      <w:r w:rsidR="000B4823" w:rsidRPr="00735740">
        <w:rPr>
          <w:rFonts w:ascii="Garamond" w:hAnsi="Garamond"/>
          <w:color w:val="000000" w:themeColor="text1"/>
          <w:sz w:val="24"/>
          <w:szCs w:val="24"/>
          <w:lang w:val="en-US"/>
        </w:rPr>
        <w:t>a</w:t>
      </w:r>
      <w:r w:rsidR="00EC6EEB" w:rsidRPr="00735740">
        <w:rPr>
          <w:rFonts w:ascii="Garamond" w:hAnsi="Garamond"/>
          <w:color w:val="000000" w:themeColor="text1"/>
          <w:sz w:val="24"/>
          <w:szCs w:val="24"/>
          <w:lang w:val="en-US"/>
        </w:rPr>
        <w:t xml:space="preserve"> sovereign’</w:t>
      </w:r>
      <w:r w:rsidR="000B4823" w:rsidRPr="00735740">
        <w:rPr>
          <w:rFonts w:ascii="Garamond" w:hAnsi="Garamond"/>
          <w:color w:val="000000" w:themeColor="text1"/>
          <w:sz w:val="24"/>
          <w:szCs w:val="24"/>
          <w:lang w:val="en-US"/>
        </w:rPr>
        <w:t>s</w:t>
      </w:r>
      <w:r w:rsidRPr="00735740">
        <w:rPr>
          <w:rFonts w:ascii="Garamond" w:hAnsi="Garamond"/>
          <w:color w:val="000000" w:themeColor="text1"/>
          <w:sz w:val="24"/>
          <w:szCs w:val="24"/>
          <w:lang w:val="en-US"/>
        </w:rPr>
        <w:t xml:space="preserve"> divinity no longer meant automatic loyalty to the state. Nationalism was an important technique in this</w:t>
      </w:r>
      <w:r w:rsidR="00D839F8" w:rsidRPr="00735740">
        <w:rPr>
          <w:rFonts w:ascii="Garamond" w:hAnsi="Garamond"/>
          <w:color w:val="000000" w:themeColor="text1"/>
          <w:sz w:val="24"/>
          <w:szCs w:val="24"/>
          <w:lang w:val="en-US"/>
        </w:rPr>
        <w:t xml:space="preserve"> respect</w:t>
      </w:r>
      <w:r w:rsidRPr="00735740">
        <w:rPr>
          <w:rFonts w:ascii="Garamond" w:hAnsi="Garamond"/>
          <w:color w:val="000000" w:themeColor="text1"/>
          <w:sz w:val="24"/>
          <w:szCs w:val="24"/>
          <w:lang w:val="en-US"/>
        </w:rPr>
        <w:t xml:space="preserve">, and archives played a central role in constructing a shared identity through the collection and consignation of objects that </w:t>
      </w:r>
      <w:r w:rsidR="00F2552B" w:rsidRPr="00735740">
        <w:rPr>
          <w:rFonts w:ascii="Garamond" w:hAnsi="Garamond"/>
          <w:color w:val="000000" w:themeColor="text1"/>
          <w:sz w:val="24"/>
          <w:szCs w:val="24"/>
          <w:lang w:val="en-US"/>
        </w:rPr>
        <w:t>produced</w:t>
      </w:r>
      <w:r w:rsidRPr="00735740">
        <w:rPr>
          <w:rFonts w:ascii="Garamond" w:hAnsi="Garamond"/>
          <w:color w:val="000000" w:themeColor="text1"/>
          <w:sz w:val="24"/>
          <w:szCs w:val="24"/>
          <w:lang w:val="en-US"/>
        </w:rPr>
        <w:t xml:space="preserve"> a sense of the nation’s past</w:t>
      </w:r>
      <w:r w:rsidR="003C4DDC" w:rsidRPr="00735740">
        <w:rPr>
          <w:rFonts w:ascii="Garamond" w:hAnsi="Garamond"/>
          <w:color w:val="000000" w:themeColor="text1"/>
          <w:sz w:val="24"/>
          <w:szCs w:val="24"/>
          <w:lang w:val="en-US"/>
        </w:rPr>
        <w:t xml:space="preserve"> </w:t>
      </w:r>
      <w:r w:rsidR="00D22219" w:rsidRPr="00735740">
        <w:rPr>
          <w:rFonts w:ascii="Garamond" w:hAnsi="Garamond"/>
          <w:color w:val="000000" w:themeColor="text1"/>
          <w:sz w:val="24"/>
          <w:szCs w:val="24"/>
          <w:lang w:val="en-US"/>
        </w:rPr>
        <w:t>–</w:t>
      </w:r>
      <w:r w:rsidR="003C4DDC" w:rsidRPr="00735740">
        <w:rPr>
          <w:rFonts w:ascii="Garamond" w:hAnsi="Garamond"/>
          <w:color w:val="000000" w:themeColor="text1"/>
          <w:sz w:val="24"/>
          <w:szCs w:val="24"/>
          <w:lang w:val="en-US"/>
        </w:rPr>
        <w:t xml:space="preserve"> </w:t>
      </w:r>
      <w:r w:rsidRPr="00735740">
        <w:rPr>
          <w:rFonts w:ascii="Garamond" w:hAnsi="Garamond"/>
          <w:color w:val="000000" w:themeColor="text1"/>
          <w:sz w:val="24"/>
          <w:szCs w:val="24"/>
          <w:lang w:val="en-US"/>
        </w:rPr>
        <w:t xml:space="preserve">its </w:t>
      </w:r>
      <w:r w:rsidR="00D92DA5" w:rsidRPr="00735740">
        <w:rPr>
          <w:rFonts w:ascii="Garamond" w:hAnsi="Garamond"/>
          <w:color w:val="000000" w:themeColor="text1"/>
          <w:sz w:val="24"/>
          <w:szCs w:val="24"/>
          <w:lang w:val="en-US"/>
        </w:rPr>
        <w:t xml:space="preserve">collective </w:t>
      </w:r>
      <w:r w:rsidRPr="00735740">
        <w:rPr>
          <w:rFonts w:ascii="Garamond" w:hAnsi="Garamond"/>
          <w:color w:val="000000" w:themeColor="text1"/>
          <w:sz w:val="24"/>
          <w:szCs w:val="24"/>
          <w:lang w:val="en-US"/>
        </w:rPr>
        <w:t>identity.</w:t>
      </w:r>
      <w:r w:rsidRPr="00735740">
        <w:rPr>
          <w:rFonts w:ascii="Garamond" w:hAnsi="Garamond"/>
          <w:color w:val="000000" w:themeColor="text1"/>
          <w:sz w:val="24"/>
          <w:szCs w:val="24"/>
          <w:vertAlign w:val="superscript"/>
          <w:lang w:val="en-US"/>
        </w:rPr>
        <w:footnoteReference w:id="9"/>
      </w:r>
      <w:r w:rsidRPr="00735740">
        <w:rPr>
          <w:rFonts w:ascii="Garamond" w:hAnsi="Garamond"/>
          <w:color w:val="000000" w:themeColor="text1"/>
          <w:sz w:val="24"/>
          <w:szCs w:val="24"/>
          <w:lang w:val="en-US"/>
        </w:rPr>
        <w:t xml:space="preserve"> </w:t>
      </w:r>
      <w:r w:rsidR="00EC6EEB" w:rsidRPr="00735740">
        <w:rPr>
          <w:rFonts w:ascii="Garamond" w:hAnsi="Garamond"/>
          <w:color w:val="000000" w:themeColor="text1"/>
          <w:sz w:val="24"/>
          <w:szCs w:val="24"/>
          <w:lang w:val="en-US"/>
        </w:rPr>
        <w:t>T</w:t>
      </w:r>
      <w:r w:rsidRPr="00735740">
        <w:rPr>
          <w:rFonts w:ascii="Garamond" w:hAnsi="Garamond"/>
          <w:color w:val="000000" w:themeColor="text1"/>
          <w:sz w:val="24"/>
          <w:szCs w:val="24"/>
          <w:lang w:val="en-US"/>
        </w:rPr>
        <w:t xml:space="preserve">he archival </w:t>
      </w:r>
      <w:r w:rsidR="00EC6EEB" w:rsidRPr="00735740">
        <w:rPr>
          <w:rFonts w:ascii="Garamond" w:hAnsi="Garamond"/>
          <w:color w:val="000000" w:themeColor="text1"/>
          <w:sz w:val="24"/>
          <w:szCs w:val="24"/>
          <w:lang w:val="en-US"/>
        </w:rPr>
        <w:t>drive</w:t>
      </w:r>
      <w:r w:rsidRPr="00735740">
        <w:rPr>
          <w:rFonts w:ascii="Garamond" w:hAnsi="Garamond"/>
          <w:color w:val="000000" w:themeColor="text1"/>
          <w:sz w:val="24"/>
          <w:szCs w:val="24"/>
          <w:lang w:val="en-US"/>
        </w:rPr>
        <w:t xml:space="preserve"> is very much predicated on this </w:t>
      </w:r>
      <w:r w:rsidR="00EC6EEB" w:rsidRPr="00735740">
        <w:rPr>
          <w:rFonts w:ascii="Garamond" w:hAnsi="Garamond"/>
          <w:color w:val="000000" w:themeColor="text1"/>
          <w:sz w:val="24"/>
          <w:szCs w:val="24"/>
          <w:lang w:val="en-US"/>
        </w:rPr>
        <w:t>attempt at</w:t>
      </w:r>
      <w:r w:rsidRPr="00735740">
        <w:rPr>
          <w:rFonts w:ascii="Garamond" w:hAnsi="Garamond"/>
          <w:color w:val="000000" w:themeColor="text1"/>
          <w:sz w:val="24"/>
          <w:szCs w:val="24"/>
          <w:lang w:val="en-US"/>
        </w:rPr>
        <w:t xml:space="preserve"> </w:t>
      </w:r>
      <w:r w:rsidR="000B4823" w:rsidRPr="00735740">
        <w:rPr>
          <w:rFonts w:ascii="Garamond" w:hAnsi="Garamond"/>
          <w:color w:val="000000" w:themeColor="text1"/>
          <w:sz w:val="24"/>
          <w:szCs w:val="24"/>
          <w:lang w:val="en-US"/>
        </w:rPr>
        <w:t xml:space="preserve">a </w:t>
      </w:r>
      <w:r w:rsidRPr="00735740">
        <w:rPr>
          <w:rFonts w:ascii="Garamond" w:hAnsi="Garamond"/>
          <w:color w:val="000000" w:themeColor="text1"/>
          <w:sz w:val="24"/>
          <w:szCs w:val="24"/>
          <w:lang w:val="en-US"/>
        </w:rPr>
        <w:t>totali</w:t>
      </w:r>
      <w:r w:rsidR="003C4DDC" w:rsidRPr="00735740">
        <w:rPr>
          <w:rFonts w:ascii="Garamond" w:hAnsi="Garamond"/>
          <w:color w:val="000000" w:themeColor="text1"/>
          <w:sz w:val="24"/>
          <w:szCs w:val="24"/>
          <w:lang w:val="en-US"/>
        </w:rPr>
        <w:t>s</w:t>
      </w:r>
      <w:r w:rsidRPr="00735740">
        <w:rPr>
          <w:rFonts w:ascii="Garamond" w:hAnsi="Garamond"/>
          <w:color w:val="000000" w:themeColor="text1"/>
          <w:sz w:val="24"/>
          <w:szCs w:val="24"/>
          <w:lang w:val="en-US"/>
        </w:rPr>
        <w:t>ing (and exclusionary), pure and truthful depiction of the past.</w:t>
      </w:r>
      <w:r w:rsidRPr="00735740">
        <w:rPr>
          <w:rStyle w:val="FootnoteReference"/>
          <w:rFonts w:ascii="Garamond" w:hAnsi="Garamond"/>
          <w:color w:val="000000" w:themeColor="text1"/>
          <w:sz w:val="24"/>
          <w:szCs w:val="24"/>
          <w:lang w:val="en-US"/>
        </w:rPr>
        <w:footnoteReference w:id="10"/>
      </w:r>
      <w:r w:rsidRPr="00735740">
        <w:rPr>
          <w:rFonts w:ascii="Garamond" w:hAnsi="Garamond"/>
          <w:color w:val="000000" w:themeColor="text1"/>
          <w:sz w:val="24"/>
          <w:szCs w:val="24"/>
          <w:lang w:val="en-US"/>
        </w:rPr>
        <w:t xml:space="preserve"> </w:t>
      </w:r>
      <w:r w:rsidR="003C4DDC" w:rsidRPr="00735740">
        <w:rPr>
          <w:rFonts w:ascii="Garamond" w:hAnsi="Garamond"/>
          <w:color w:val="000000" w:themeColor="text1"/>
          <w:sz w:val="24"/>
          <w:szCs w:val="24"/>
          <w:lang w:val="en-US"/>
        </w:rPr>
        <w:t>This is also why,</w:t>
      </w:r>
      <w:r w:rsidRPr="00735740">
        <w:rPr>
          <w:rFonts w:ascii="Garamond" w:hAnsi="Garamond"/>
          <w:color w:val="000000" w:themeColor="text1"/>
          <w:sz w:val="24"/>
          <w:szCs w:val="24"/>
          <w:lang w:val="en-US"/>
        </w:rPr>
        <w:t xml:space="preserve"> for Derrida</w:t>
      </w:r>
      <w:r w:rsidR="003C4DDC" w:rsidRPr="00735740">
        <w:rPr>
          <w:rFonts w:ascii="Garamond" w:hAnsi="Garamond"/>
          <w:color w:val="000000" w:themeColor="text1"/>
          <w:sz w:val="24"/>
          <w:szCs w:val="24"/>
          <w:lang w:val="en-US"/>
        </w:rPr>
        <w:t>,</w:t>
      </w:r>
      <w:r w:rsidRPr="00735740">
        <w:rPr>
          <w:rFonts w:ascii="Garamond" w:hAnsi="Garamond"/>
          <w:color w:val="000000" w:themeColor="text1"/>
          <w:sz w:val="24"/>
          <w:szCs w:val="24"/>
          <w:lang w:val="en-US"/>
        </w:rPr>
        <w:t xml:space="preserve"> there is a sickness </w:t>
      </w:r>
      <w:r w:rsidR="00C01C45" w:rsidRPr="00735740">
        <w:rPr>
          <w:rFonts w:ascii="Garamond" w:hAnsi="Garamond"/>
          <w:color w:val="000000" w:themeColor="text1"/>
          <w:sz w:val="24"/>
          <w:szCs w:val="24"/>
          <w:lang w:val="en-US"/>
        </w:rPr>
        <w:t>(</w:t>
      </w:r>
      <w:r w:rsidR="00C01C45" w:rsidRPr="00735740">
        <w:rPr>
          <w:rFonts w:ascii="Garamond" w:hAnsi="Garamond"/>
          <w:i/>
          <w:iCs/>
          <w:color w:val="000000" w:themeColor="text1"/>
          <w:sz w:val="24"/>
          <w:szCs w:val="24"/>
          <w:lang w:val="en-US"/>
        </w:rPr>
        <w:t>mal</w:t>
      </w:r>
      <w:r w:rsidR="00C01C45" w:rsidRPr="00735740">
        <w:rPr>
          <w:rFonts w:ascii="Garamond" w:hAnsi="Garamond"/>
          <w:color w:val="000000" w:themeColor="text1"/>
          <w:sz w:val="24"/>
          <w:szCs w:val="24"/>
          <w:lang w:val="en-US"/>
        </w:rPr>
        <w:t>)</w:t>
      </w:r>
      <w:r w:rsidR="00C01C45" w:rsidRPr="00735740">
        <w:rPr>
          <w:rFonts w:ascii="Garamond" w:hAnsi="Garamond"/>
          <w:i/>
          <w:iCs/>
          <w:color w:val="000000" w:themeColor="text1"/>
          <w:sz w:val="24"/>
          <w:szCs w:val="24"/>
          <w:lang w:val="en-US"/>
        </w:rPr>
        <w:t xml:space="preserve"> </w:t>
      </w:r>
      <w:r w:rsidRPr="00735740">
        <w:rPr>
          <w:rFonts w:ascii="Garamond" w:hAnsi="Garamond"/>
          <w:color w:val="000000" w:themeColor="text1"/>
          <w:sz w:val="24"/>
          <w:szCs w:val="24"/>
          <w:lang w:val="en-US"/>
        </w:rPr>
        <w:t xml:space="preserve">imbedded within the archive.  </w:t>
      </w:r>
    </w:p>
    <w:p w14:paraId="6C7FDD2B" w14:textId="1A78C74E" w:rsidR="00DA7160" w:rsidRPr="00735740" w:rsidRDefault="00EF3B57" w:rsidP="00201640">
      <w:pPr>
        <w:spacing w:afterLines="160" w:after="384" w:line="360" w:lineRule="auto"/>
        <w:rPr>
          <w:rFonts w:ascii="Garamond" w:hAnsi="Garamond"/>
          <w:color w:val="000000" w:themeColor="text1"/>
          <w:sz w:val="24"/>
          <w:szCs w:val="24"/>
          <w:lang w:val="en-US"/>
        </w:rPr>
      </w:pPr>
      <w:r w:rsidRPr="00735740">
        <w:rPr>
          <w:rFonts w:ascii="Garamond" w:hAnsi="Garamond"/>
          <w:color w:val="000000" w:themeColor="text1"/>
          <w:sz w:val="24"/>
          <w:szCs w:val="24"/>
          <w:lang w:val="en-US"/>
        </w:rPr>
        <w:t xml:space="preserve">This pattern continued </w:t>
      </w:r>
      <w:r w:rsidR="00EC6EEB" w:rsidRPr="00735740">
        <w:rPr>
          <w:rFonts w:ascii="Garamond" w:hAnsi="Garamond"/>
          <w:color w:val="000000" w:themeColor="text1"/>
          <w:sz w:val="24"/>
          <w:szCs w:val="24"/>
          <w:lang w:val="en-US"/>
        </w:rPr>
        <w:t>during</w:t>
      </w:r>
      <w:r w:rsidRPr="00735740">
        <w:rPr>
          <w:rFonts w:ascii="Garamond" w:hAnsi="Garamond"/>
          <w:color w:val="000000" w:themeColor="text1"/>
          <w:sz w:val="24"/>
          <w:szCs w:val="24"/>
          <w:lang w:val="en-US"/>
        </w:rPr>
        <w:t xml:space="preserve"> </w:t>
      </w:r>
      <w:r w:rsidR="001F1417" w:rsidRPr="00735740">
        <w:rPr>
          <w:rFonts w:ascii="Garamond" w:hAnsi="Garamond"/>
          <w:color w:val="000000" w:themeColor="text1"/>
          <w:sz w:val="24"/>
          <w:szCs w:val="24"/>
          <w:lang w:val="en-US"/>
        </w:rPr>
        <w:t>colonial</w:t>
      </w:r>
      <w:r w:rsidR="004E495E" w:rsidRPr="00735740">
        <w:rPr>
          <w:rFonts w:ascii="Garamond" w:hAnsi="Garamond"/>
          <w:color w:val="000000" w:themeColor="text1"/>
          <w:sz w:val="24"/>
          <w:szCs w:val="24"/>
          <w:lang w:val="en-US"/>
        </w:rPr>
        <w:t>ism</w:t>
      </w:r>
      <w:r w:rsidR="003C4DDC" w:rsidRPr="00735740">
        <w:rPr>
          <w:rFonts w:ascii="Garamond" w:hAnsi="Garamond"/>
          <w:color w:val="000000" w:themeColor="text1"/>
          <w:sz w:val="24"/>
          <w:szCs w:val="24"/>
          <w:lang w:val="en-US"/>
        </w:rPr>
        <w:t>,</w:t>
      </w:r>
      <w:r w:rsidRPr="00735740">
        <w:rPr>
          <w:rFonts w:ascii="Garamond" w:hAnsi="Garamond"/>
          <w:color w:val="000000" w:themeColor="text1"/>
          <w:sz w:val="24"/>
          <w:szCs w:val="24"/>
          <w:lang w:val="en-US"/>
        </w:rPr>
        <w:t xml:space="preserve"> as </w:t>
      </w:r>
      <w:r w:rsidR="00EC6EEB" w:rsidRPr="00735740">
        <w:rPr>
          <w:rFonts w:ascii="Garamond" w:hAnsi="Garamond"/>
          <w:color w:val="000000" w:themeColor="text1"/>
          <w:sz w:val="24"/>
          <w:szCs w:val="24"/>
          <w:lang w:val="en-US"/>
        </w:rPr>
        <w:t>archives</w:t>
      </w:r>
      <w:r w:rsidRPr="00735740">
        <w:rPr>
          <w:rFonts w:ascii="Garamond" w:hAnsi="Garamond"/>
          <w:color w:val="000000" w:themeColor="text1"/>
          <w:sz w:val="24"/>
          <w:szCs w:val="24"/>
          <w:lang w:val="en-US"/>
        </w:rPr>
        <w:t xml:space="preserve"> </w:t>
      </w:r>
      <w:r w:rsidR="001F1417" w:rsidRPr="00735740">
        <w:rPr>
          <w:rFonts w:ascii="Garamond" w:hAnsi="Garamond"/>
          <w:color w:val="000000" w:themeColor="text1"/>
          <w:sz w:val="24"/>
          <w:szCs w:val="24"/>
          <w:lang w:val="en-US"/>
        </w:rPr>
        <w:t>helped</w:t>
      </w:r>
      <w:r w:rsidR="002124FF" w:rsidRPr="00735740">
        <w:rPr>
          <w:rFonts w:ascii="Garamond" w:hAnsi="Garamond"/>
          <w:color w:val="000000" w:themeColor="text1"/>
          <w:sz w:val="24"/>
          <w:szCs w:val="24"/>
          <w:lang w:val="en-US"/>
        </w:rPr>
        <w:t xml:space="preserve"> produce the colonial state as a particular reality and</w:t>
      </w:r>
      <w:r w:rsidR="001F1417" w:rsidRPr="00735740">
        <w:rPr>
          <w:rFonts w:ascii="Garamond" w:hAnsi="Garamond"/>
          <w:color w:val="000000" w:themeColor="text1"/>
          <w:sz w:val="24"/>
          <w:szCs w:val="24"/>
          <w:lang w:val="en-US"/>
        </w:rPr>
        <w:t xml:space="preserve"> render</w:t>
      </w:r>
      <w:r w:rsidR="00B54BB9" w:rsidRPr="00735740">
        <w:rPr>
          <w:rFonts w:ascii="Garamond" w:hAnsi="Garamond"/>
          <w:color w:val="000000" w:themeColor="text1"/>
          <w:sz w:val="24"/>
          <w:szCs w:val="24"/>
          <w:lang w:val="en-US"/>
        </w:rPr>
        <w:t>ed</w:t>
      </w:r>
      <w:r w:rsidR="001F1417" w:rsidRPr="00735740">
        <w:rPr>
          <w:rFonts w:ascii="Garamond" w:hAnsi="Garamond"/>
          <w:color w:val="000000" w:themeColor="text1"/>
          <w:sz w:val="24"/>
          <w:szCs w:val="24"/>
          <w:lang w:val="en-US"/>
        </w:rPr>
        <w:t xml:space="preserve"> </w:t>
      </w:r>
      <w:r w:rsidR="00270254" w:rsidRPr="00735740">
        <w:rPr>
          <w:rFonts w:ascii="Garamond" w:hAnsi="Garamond"/>
          <w:color w:val="000000" w:themeColor="text1"/>
          <w:sz w:val="24"/>
          <w:szCs w:val="24"/>
          <w:lang w:val="en-US"/>
        </w:rPr>
        <w:t>thos</w:t>
      </w:r>
      <w:r w:rsidR="001F1417" w:rsidRPr="00735740">
        <w:rPr>
          <w:rFonts w:ascii="Garamond" w:hAnsi="Garamond"/>
          <w:color w:val="000000" w:themeColor="text1"/>
          <w:sz w:val="24"/>
          <w:szCs w:val="24"/>
          <w:lang w:val="en-US"/>
        </w:rPr>
        <w:t xml:space="preserve">e that the </w:t>
      </w:r>
      <w:r w:rsidR="001F1417" w:rsidRPr="00735740">
        <w:rPr>
          <w:rFonts w:ascii="Garamond" w:hAnsi="Garamond"/>
          <w:color w:val="000000" w:themeColor="text1"/>
          <w:sz w:val="24"/>
          <w:szCs w:val="24"/>
        </w:rPr>
        <w:t>colonisers</w:t>
      </w:r>
      <w:r w:rsidR="001F1417" w:rsidRPr="00735740">
        <w:rPr>
          <w:rFonts w:ascii="Garamond" w:hAnsi="Garamond"/>
          <w:color w:val="000000" w:themeColor="text1"/>
          <w:sz w:val="24"/>
          <w:szCs w:val="24"/>
          <w:lang w:val="en-US"/>
        </w:rPr>
        <w:t xml:space="preserve"> ‘encountered’ as knowable and governable subjects</w:t>
      </w:r>
      <w:r w:rsidR="001F1417" w:rsidRPr="00735740">
        <w:rPr>
          <w:rFonts w:ascii="Garamond" w:hAnsi="Garamond"/>
          <w:i/>
          <w:color w:val="000000" w:themeColor="text1"/>
          <w:sz w:val="24"/>
          <w:szCs w:val="24"/>
          <w:lang w:val="en-US"/>
        </w:rPr>
        <w:t>.</w:t>
      </w:r>
      <w:r w:rsidR="001F1417" w:rsidRPr="00735740">
        <w:rPr>
          <w:rFonts w:ascii="Garamond" w:hAnsi="Garamond"/>
          <w:color w:val="000000" w:themeColor="text1"/>
          <w:sz w:val="24"/>
          <w:szCs w:val="24"/>
          <w:vertAlign w:val="superscript"/>
          <w:lang w:val="en-US"/>
        </w:rPr>
        <w:footnoteReference w:id="11"/>
      </w:r>
      <w:r w:rsidR="00F2552B" w:rsidRPr="00735740">
        <w:rPr>
          <w:rFonts w:ascii="Garamond" w:hAnsi="Garamond"/>
          <w:i/>
          <w:color w:val="000000" w:themeColor="text1"/>
          <w:sz w:val="24"/>
          <w:szCs w:val="24"/>
          <w:lang w:val="en-US"/>
        </w:rPr>
        <w:t xml:space="preserve"> </w:t>
      </w:r>
      <w:r w:rsidR="001F1417" w:rsidRPr="00735740">
        <w:rPr>
          <w:rFonts w:ascii="Garamond" w:hAnsi="Garamond"/>
          <w:color w:val="000000" w:themeColor="text1"/>
          <w:sz w:val="24"/>
          <w:szCs w:val="24"/>
          <w:lang w:val="en-US"/>
        </w:rPr>
        <w:t xml:space="preserve">Benedict Anderson </w:t>
      </w:r>
      <w:r w:rsidR="00F2552B" w:rsidRPr="00735740">
        <w:rPr>
          <w:rFonts w:ascii="Garamond" w:hAnsi="Garamond"/>
          <w:color w:val="000000" w:themeColor="text1"/>
          <w:sz w:val="24"/>
          <w:szCs w:val="24"/>
          <w:lang w:val="en-US"/>
        </w:rPr>
        <w:t xml:space="preserve">shows how </w:t>
      </w:r>
      <w:r w:rsidR="001F1417" w:rsidRPr="00735740">
        <w:rPr>
          <w:rFonts w:ascii="Garamond" w:hAnsi="Garamond"/>
          <w:color w:val="000000" w:themeColor="text1"/>
          <w:sz w:val="24"/>
          <w:szCs w:val="24"/>
          <w:lang w:val="en-US"/>
        </w:rPr>
        <w:t>colonisers invented sub-sections of colonial societies with specific ‘objectively’ identifiable identities</w:t>
      </w:r>
      <w:r w:rsidR="00F2552B" w:rsidRPr="00735740">
        <w:rPr>
          <w:rFonts w:ascii="Garamond" w:hAnsi="Garamond"/>
          <w:color w:val="000000" w:themeColor="text1"/>
          <w:sz w:val="24"/>
          <w:szCs w:val="24"/>
          <w:lang w:val="en-US"/>
        </w:rPr>
        <w:t xml:space="preserve"> through record keeping</w:t>
      </w:r>
      <w:r w:rsidR="001F1417" w:rsidRPr="00735740">
        <w:rPr>
          <w:rFonts w:ascii="Garamond" w:hAnsi="Garamond"/>
          <w:color w:val="000000" w:themeColor="text1"/>
          <w:sz w:val="24"/>
          <w:szCs w:val="24"/>
          <w:lang w:val="en-US"/>
        </w:rPr>
        <w:t xml:space="preserve">. </w:t>
      </w:r>
      <w:r w:rsidR="003C2796" w:rsidRPr="00735740">
        <w:rPr>
          <w:rFonts w:ascii="Garamond" w:hAnsi="Garamond"/>
          <w:color w:val="000000" w:themeColor="text1"/>
          <w:sz w:val="24"/>
          <w:szCs w:val="24"/>
          <w:lang w:val="en-US"/>
        </w:rPr>
        <w:t xml:space="preserve">Here the </w:t>
      </w:r>
      <w:r w:rsidR="00F2552B" w:rsidRPr="00735740">
        <w:rPr>
          <w:rFonts w:ascii="Garamond" w:hAnsi="Garamond"/>
          <w:color w:val="000000" w:themeColor="text1"/>
          <w:sz w:val="24"/>
          <w:szCs w:val="24"/>
          <w:lang w:val="en-US"/>
        </w:rPr>
        <w:t xml:space="preserve">coloniser’s </w:t>
      </w:r>
      <w:r w:rsidR="003C2796" w:rsidRPr="00735740">
        <w:rPr>
          <w:rFonts w:ascii="Garamond" w:hAnsi="Garamond"/>
          <w:color w:val="000000" w:themeColor="text1"/>
          <w:sz w:val="24"/>
          <w:szCs w:val="24"/>
          <w:lang w:val="en-US"/>
        </w:rPr>
        <w:t>sentimentalities and lived</w:t>
      </w:r>
      <w:r w:rsidR="003C4DDC" w:rsidRPr="00735740">
        <w:rPr>
          <w:rFonts w:ascii="Garamond" w:hAnsi="Garamond"/>
          <w:color w:val="000000" w:themeColor="text1"/>
          <w:sz w:val="24"/>
          <w:szCs w:val="24"/>
          <w:lang w:val="en-US"/>
        </w:rPr>
        <w:t>-</w:t>
      </w:r>
      <w:r w:rsidR="003C2796" w:rsidRPr="00735740">
        <w:rPr>
          <w:rFonts w:ascii="Garamond" w:hAnsi="Garamond"/>
          <w:color w:val="000000" w:themeColor="text1"/>
          <w:sz w:val="24"/>
          <w:szCs w:val="24"/>
          <w:lang w:val="en-US"/>
        </w:rPr>
        <w:t>experiences shaped these categories</w:t>
      </w:r>
      <w:r w:rsidR="00270254" w:rsidRPr="00735740">
        <w:rPr>
          <w:rFonts w:ascii="Garamond" w:hAnsi="Garamond"/>
          <w:color w:val="000000" w:themeColor="text1"/>
          <w:sz w:val="24"/>
          <w:szCs w:val="24"/>
          <w:lang w:val="en-US"/>
        </w:rPr>
        <w:t>, whilst the lived</w:t>
      </w:r>
      <w:r w:rsidR="00B73173" w:rsidRPr="00735740">
        <w:rPr>
          <w:rFonts w:ascii="Garamond" w:hAnsi="Garamond"/>
          <w:color w:val="000000" w:themeColor="text1"/>
          <w:sz w:val="24"/>
          <w:szCs w:val="24"/>
          <w:lang w:val="en-US"/>
        </w:rPr>
        <w:t>-</w:t>
      </w:r>
      <w:r w:rsidR="00270254" w:rsidRPr="00735740">
        <w:rPr>
          <w:rFonts w:ascii="Garamond" w:hAnsi="Garamond"/>
          <w:color w:val="000000" w:themeColor="text1"/>
          <w:sz w:val="24"/>
          <w:szCs w:val="24"/>
          <w:lang w:val="en-US"/>
        </w:rPr>
        <w:t>experiences of the local populations were ignored</w:t>
      </w:r>
      <w:r w:rsidR="003C2796" w:rsidRPr="00735740">
        <w:rPr>
          <w:rFonts w:ascii="Garamond" w:hAnsi="Garamond"/>
          <w:color w:val="000000" w:themeColor="text1"/>
          <w:sz w:val="24"/>
          <w:szCs w:val="24"/>
          <w:lang w:val="en-US"/>
        </w:rPr>
        <w:t>.</w:t>
      </w:r>
      <w:r w:rsidR="00B14CE0" w:rsidRPr="00735740">
        <w:rPr>
          <w:rFonts w:ascii="Garamond" w:hAnsi="Garamond"/>
          <w:color w:val="000000" w:themeColor="text1"/>
          <w:sz w:val="24"/>
          <w:szCs w:val="24"/>
          <w:lang w:val="en-US"/>
        </w:rPr>
        <w:t xml:space="preserve"> For example,</w:t>
      </w:r>
      <w:r w:rsidR="003C2796" w:rsidRPr="00735740">
        <w:rPr>
          <w:rFonts w:ascii="Garamond" w:hAnsi="Garamond"/>
          <w:color w:val="000000" w:themeColor="text1"/>
          <w:sz w:val="24"/>
          <w:szCs w:val="24"/>
          <w:lang w:val="en-US"/>
        </w:rPr>
        <w:t xml:space="preserve"> </w:t>
      </w:r>
      <w:r w:rsidR="00B14CE0" w:rsidRPr="00735740">
        <w:rPr>
          <w:rFonts w:ascii="Garamond" w:hAnsi="Garamond"/>
          <w:color w:val="000000" w:themeColor="text1"/>
          <w:sz w:val="24"/>
          <w:szCs w:val="24"/>
          <w:lang w:val="en-US"/>
        </w:rPr>
        <w:t>w</w:t>
      </w:r>
      <w:r w:rsidR="003C2796" w:rsidRPr="00735740">
        <w:rPr>
          <w:rFonts w:ascii="Garamond" w:hAnsi="Garamond"/>
          <w:color w:val="000000" w:themeColor="text1"/>
          <w:sz w:val="24"/>
          <w:szCs w:val="24"/>
          <w:lang w:val="en-US"/>
        </w:rPr>
        <w:t>hereas the Philippine</w:t>
      </w:r>
      <w:r w:rsidR="000B4823" w:rsidRPr="00735740">
        <w:rPr>
          <w:rFonts w:ascii="Garamond" w:hAnsi="Garamond"/>
          <w:color w:val="000000" w:themeColor="text1"/>
          <w:sz w:val="24"/>
          <w:szCs w:val="24"/>
          <w:lang w:val="en-US"/>
        </w:rPr>
        <w:t>’</w:t>
      </w:r>
      <w:r w:rsidR="003C2796" w:rsidRPr="00735740">
        <w:rPr>
          <w:rFonts w:ascii="Garamond" w:hAnsi="Garamond"/>
          <w:color w:val="000000" w:themeColor="text1"/>
          <w:sz w:val="24"/>
          <w:szCs w:val="24"/>
          <w:lang w:val="en-US"/>
        </w:rPr>
        <w:t xml:space="preserve">s census </w:t>
      </w:r>
      <w:r w:rsidR="003C2796" w:rsidRPr="00735740">
        <w:rPr>
          <w:rFonts w:ascii="Garamond" w:hAnsi="Garamond"/>
          <w:color w:val="000000" w:themeColor="text1"/>
          <w:sz w:val="24"/>
          <w:szCs w:val="24"/>
          <w:lang w:val="en-US"/>
        </w:rPr>
        <w:lastRenderedPageBreak/>
        <w:t>records were fixated around class</w:t>
      </w:r>
      <w:r w:rsidR="00D839F8" w:rsidRPr="00735740">
        <w:rPr>
          <w:rFonts w:ascii="Garamond" w:hAnsi="Garamond"/>
          <w:color w:val="000000" w:themeColor="text1"/>
          <w:sz w:val="24"/>
          <w:szCs w:val="24"/>
          <w:lang w:val="en-US"/>
        </w:rPr>
        <w:t>-</w:t>
      </w:r>
      <w:r w:rsidR="003C2796" w:rsidRPr="00735740">
        <w:rPr>
          <w:rFonts w:ascii="Garamond" w:hAnsi="Garamond"/>
          <w:color w:val="000000" w:themeColor="text1"/>
          <w:sz w:val="24"/>
          <w:szCs w:val="24"/>
          <w:lang w:val="en-US"/>
        </w:rPr>
        <w:t>based</w:t>
      </w:r>
      <w:r w:rsidR="00351C54" w:rsidRPr="00735740">
        <w:rPr>
          <w:rFonts w:ascii="Garamond" w:hAnsi="Garamond"/>
          <w:color w:val="000000" w:themeColor="text1"/>
          <w:sz w:val="24"/>
          <w:szCs w:val="24"/>
          <w:lang w:val="en-US"/>
        </w:rPr>
        <w:t xml:space="preserve"> </w:t>
      </w:r>
      <w:r w:rsidR="003C2796" w:rsidRPr="00735740">
        <w:rPr>
          <w:rFonts w:ascii="Garamond" w:hAnsi="Garamond"/>
          <w:color w:val="000000" w:themeColor="text1"/>
          <w:sz w:val="24"/>
          <w:szCs w:val="24"/>
          <w:lang w:val="en-US"/>
        </w:rPr>
        <w:t>labels</w:t>
      </w:r>
      <w:r w:rsidR="007D25B2" w:rsidRPr="00735740">
        <w:rPr>
          <w:rFonts w:ascii="Garamond" w:hAnsi="Garamond"/>
          <w:color w:val="000000" w:themeColor="text1"/>
          <w:sz w:val="24"/>
          <w:szCs w:val="24"/>
          <w:lang w:val="en-US"/>
        </w:rPr>
        <w:t xml:space="preserve"> (</w:t>
      </w:r>
      <w:r w:rsidR="00654A69" w:rsidRPr="00735740">
        <w:rPr>
          <w:rFonts w:ascii="Garamond" w:hAnsi="Garamond"/>
          <w:color w:val="000000" w:themeColor="text1"/>
          <w:sz w:val="24"/>
          <w:szCs w:val="24"/>
          <w:lang w:val="en-US"/>
        </w:rPr>
        <w:t xml:space="preserve">e.g. </w:t>
      </w:r>
      <w:r w:rsidR="004F7D9F" w:rsidRPr="00735740">
        <w:rPr>
          <w:rFonts w:ascii="Garamond" w:hAnsi="Garamond"/>
          <w:color w:val="000000" w:themeColor="text1"/>
          <w:sz w:val="24"/>
          <w:szCs w:val="24"/>
          <w:lang w:val="en-US"/>
        </w:rPr>
        <w:t>noblemen</w:t>
      </w:r>
      <w:r w:rsidR="007D25B2" w:rsidRPr="00735740">
        <w:rPr>
          <w:rFonts w:ascii="Garamond" w:hAnsi="Garamond"/>
          <w:color w:val="000000" w:themeColor="text1"/>
          <w:sz w:val="24"/>
          <w:szCs w:val="24"/>
          <w:lang w:val="en-US"/>
        </w:rPr>
        <w:t xml:space="preserve">) </w:t>
      </w:r>
      <w:r w:rsidR="00E756D5" w:rsidRPr="00735740">
        <w:rPr>
          <w:rFonts w:ascii="Garamond" w:hAnsi="Garamond"/>
          <w:color w:val="000000" w:themeColor="text1"/>
          <w:sz w:val="24"/>
          <w:szCs w:val="24"/>
          <w:lang w:val="en-US"/>
        </w:rPr>
        <w:t xml:space="preserve">which </w:t>
      </w:r>
      <w:r w:rsidR="003C2796" w:rsidRPr="00735740">
        <w:rPr>
          <w:rFonts w:ascii="Garamond" w:hAnsi="Garamond"/>
          <w:color w:val="000000" w:themeColor="text1"/>
          <w:sz w:val="24"/>
          <w:szCs w:val="24"/>
          <w:lang w:val="en-US"/>
        </w:rPr>
        <w:t>the Spanish conquistadors mobili</w:t>
      </w:r>
      <w:r w:rsidR="003C4DDC" w:rsidRPr="00735740">
        <w:rPr>
          <w:rFonts w:ascii="Garamond" w:hAnsi="Garamond"/>
          <w:color w:val="000000" w:themeColor="text1"/>
          <w:sz w:val="24"/>
          <w:szCs w:val="24"/>
          <w:lang w:val="en-US"/>
        </w:rPr>
        <w:t>s</w:t>
      </w:r>
      <w:r w:rsidR="003C2796" w:rsidRPr="00735740">
        <w:rPr>
          <w:rFonts w:ascii="Garamond" w:hAnsi="Garamond"/>
          <w:color w:val="000000" w:themeColor="text1"/>
          <w:sz w:val="24"/>
          <w:szCs w:val="24"/>
          <w:lang w:val="en-US"/>
        </w:rPr>
        <w:t xml:space="preserve">ed </w:t>
      </w:r>
      <w:r w:rsidR="00814BCD" w:rsidRPr="00735740">
        <w:rPr>
          <w:rFonts w:ascii="Garamond" w:hAnsi="Garamond"/>
          <w:color w:val="000000" w:themeColor="text1"/>
          <w:sz w:val="24"/>
          <w:szCs w:val="24"/>
          <w:lang w:val="en-US"/>
        </w:rPr>
        <w:t>wherever</w:t>
      </w:r>
      <w:r w:rsidR="003C2796" w:rsidRPr="00735740">
        <w:rPr>
          <w:rFonts w:ascii="Garamond" w:hAnsi="Garamond"/>
          <w:color w:val="000000" w:themeColor="text1"/>
          <w:sz w:val="24"/>
          <w:szCs w:val="24"/>
          <w:lang w:val="en-US"/>
        </w:rPr>
        <w:t xml:space="preserve"> they</w:t>
      </w:r>
      <w:r w:rsidR="00351C54" w:rsidRPr="00735740">
        <w:rPr>
          <w:rFonts w:ascii="Garamond" w:hAnsi="Garamond"/>
          <w:color w:val="000000" w:themeColor="text1"/>
          <w:sz w:val="24"/>
          <w:szCs w:val="24"/>
          <w:lang w:val="en-US"/>
        </w:rPr>
        <w:t xml:space="preserve"> landed</w:t>
      </w:r>
      <w:r w:rsidR="003C2796" w:rsidRPr="00735740">
        <w:rPr>
          <w:rFonts w:ascii="Garamond" w:hAnsi="Garamond"/>
          <w:color w:val="000000" w:themeColor="text1"/>
          <w:sz w:val="24"/>
          <w:szCs w:val="24"/>
          <w:lang w:val="en-US"/>
        </w:rPr>
        <w:t xml:space="preserve">, </w:t>
      </w:r>
      <w:r w:rsidR="006A1DEB" w:rsidRPr="00735740">
        <w:rPr>
          <w:rFonts w:ascii="Garamond" w:hAnsi="Garamond"/>
          <w:color w:val="000000" w:themeColor="text1"/>
          <w:sz w:val="24"/>
          <w:szCs w:val="24"/>
          <w:lang w:val="en-US"/>
        </w:rPr>
        <w:t xml:space="preserve">in the </w:t>
      </w:r>
      <w:r w:rsidR="003C2796" w:rsidRPr="00735740">
        <w:rPr>
          <w:rFonts w:ascii="Garamond" w:hAnsi="Garamond"/>
          <w:color w:val="000000" w:themeColor="text1"/>
          <w:sz w:val="24"/>
          <w:szCs w:val="24"/>
          <w:lang w:val="en-US"/>
        </w:rPr>
        <w:t xml:space="preserve">Indonesian </w:t>
      </w:r>
      <w:r w:rsidR="004F7D9F" w:rsidRPr="00735740">
        <w:rPr>
          <w:rFonts w:ascii="Garamond" w:hAnsi="Garamond"/>
          <w:color w:val="000000" w:themeColor="text1"/>
          <w:sz w:val="24"/>
          <w:szCs w:val="24"/>
          <w:lang w:val="en-US"/>
        </w:rPr>
        <w:t>archipelago</w:t>
      </w:r>
      <w:r w:rsidR="00D8166A" w:rsidRPr="00735740">
        <w:rPr>
          <w:rFonts w:ascii="Garamond" w:hAnsi="Garamond"/>
          <w:color w:val="000000" w:themeColor="text1"/>
          <w:sz w:val="24"/>
          <w:szCs w:val="24"/>
          <w:lang w:val="en-US"/>
        </w:rPr>
        <w:t xml:space="preserve"> </w:t>
      </w:r>
      <w:r w:rsidR="003C2796" w:rsidRPr="00735740">
        <w:rPr>
          <w:rFonts w:ascii="Garamond" w:hAnsi="Garamond"/>
          <w:color w:val="000000" w:themeColor="text1"/>
          <w:sz w:val="24"/>
          <w:szCs w:val="24"/>
          <w:lang w:val="en-US"/>
        </w:rPr>
        <w:t>the Dutch</w:t>
      </w:r>
      <w:r w:rsidR="00107A24" w:rsidRPr="00735740">
        <w:rPr>
          <w:rFonts w:ascii="Garamond" w:hAnsi="Garamond"/>
          <w:color w:val="000000" w:themeColor="text1"/>
          <w:sz w:val="24"/>
          <w:szCs w:val="24"/>
          <w:lang w:val="en-US"/>
        </w:rPr>
        <w:t xml:space="preserve"> coloniser</w:t>
      </w:r>
      <w:r w:rsidR="003C2796" w:rsidRPr="00735740">
        <w:rPr>
          <w:rFonts w:ascii="Garamond" w:hAnsi="Garamond"/>
          <w:color w:val="000000" w:themeColor="text1"/>
          <w:sz w:val="24"/>
          <w:szCs w:val="24"/>
          <w:lang w:val="en-US"/>
        </w:rPr>
        <w:t xml:space="preserve">’s greater trading networks throughout Asia led </w:t>
      </w:r>
      <w:r w:rsidR="00816FD8" w:rsidRPr="00735740">
        <w:rPr>
          <w:rFonts w:ascii="Garamond" w:hAnsi="Garamond"/>
          <w:color w:val="000000" w:themeColor="text1"/>
          <w:sz w:val="24"/>
          <w:szCs w:val="24"/>
          <w:lang w:val="en-US"/>
        </w:rPr>
        <w:t>them to introduce</w:t>
      </w:r>
      <w:r w:rsidR="003C2796" w:rsidRPr="00735740">
        <w:rPr>
          <w:rFonts w:ascii="Garamond" w:hAnsi="Garamond"/>
          <w:color w:val="000000" w:themeColor="text1"/>
          <w:sz w:val="24"/>
          <w:szCs w:val="24"/>
          <w:lang w:val="en-US"/>
        </w:rPr>
        <w:t xml:space="preserve"> more</w:t>
      </w:r>
      <w:r w:rsidR="006A1DEB" w:rsidRPr="00735740">
        <w:rPr>
          <w:rFonts w:ascii="Garamond" w:hAnsi="Garamond"/>
          <w:color w:val="000000" w:themeColor="text1"/>
          <w:sz w:val="24"/>
          <w:szCs w:val="24"/>
          <w:lang w:val="en-US"/>
        </w:rPr>
        <w:t xml:space="preserve"> regional</w:t>
      </w:r>
      <w:r w:rsidR="00CB38D5" w:rsidRPr="00735740">
        <w:rPr>
          <w:rFonts w:ascii="Garamond" w:hAnsi="Garamond"/>
          <w:color w:val="000000" w:themeColor="text1"/>
          <w:sz w:val="24"/>
          <w:szCs w:val="24"/>
          <w:lang w:val="en-US"/>
        </w:rPr>
        <w:t>ly</w:t>
      </w:r>
      <w:r w:rsidR="003C2796" w:rsidRPr="00735740">
        <w:rPr>
          <w:rFonts w:ascii="Garamond" w:hAnsi="Garamond"/>
          <w:color w:val="000000" w:themeColor="text1"/>
          <w:sz w:val="24"/>
          <w:szCs w:val="24"/>
          <w:lang w:val="en-US"/>
        </w:rPr>
        <w:t xml:space="preserve"> specific, yet highly </w:t>
      </w:r>
      <w:r w:rsidR="00351C54" w:rsidRPr="00735740">
        <w:rPr>
          <w:rFonts w:ascii="Garamond" w:hAnsi="Garamond"/>
          <w:color w:val="000000" w:themeColor="text1"/>
          <w:sz w:val="24"/>
          <w:szCs w:val="24"/>
          <w:lang w:val="en-US"/>
        </w:rPr>
        <w:t>raciali</w:t>
      </w:r>
      <w:r w:rsidR="00874B3C" w:rsidRPr="00735740">
        <w:rPr>
          <w:rFonts w:ascii="Garamond" w:hAnsi="Garamond"/>
          <w:color w:val="000000" w:themeColor="text1"/>
          <w:sz w:val="24"/>
          <w:szCs w:val="24"/>
          <w:lang w:val="en-US"/>
        </w:rPr>
        <w:t>s</w:t>
      </w:r>
      <w:r w:rsidR="00351C54" w:rsidRPr="00735740">
        <w:rPr>
          <w:rFonts w:ascii="Garamond" w:hAnsi="Garamond"/>
          <w:color w:val="000000" w:themeColor="text1"/>
          <w:sz w:val="24"/>
          <w:szCs w:val="24"/>
          <w:lang w:val="en-US"/>
        </w:rPr>
        <w:t>ed</w:t>
      </w:r>
      <w:r w:rsidR="009C2772" w:rsidRPr="00735740">
        <w:rPr>
          <w:rFonts w:ascii="Garamond" w:hAnsi="Garamond"/>
          <w:color w:val="000000" w:themeColor="text1"/>
          <w:sz w:val="24"/>
          <w:szCs w:val="24"/>
          <w:lang w:val="en-US"/>
        </w:rPr>
        <w:t xml:space="preserve">, </w:t>
      </w:r>
      <w:r w:rsidR="00351C54" w:rsidRPr="00735740">
        <w:rPr>
          <w:rFonts w:ascii="Garamond" w:hAnsi="Garamond"/>
          <w:color w:val="000000" w:themeColor="text1"/>
          <w:sz w:val="24"/>
          <w:szCs w:val="24"/>
          <w:lang w:val="en-US"/>
        </w:rPr>
        <w:t>cat</w:t>
      </w:r>
      <w:r w:rsidR="00D8166A" w:rsidRPr="00735740">
        <w:rPr>
          <w:rFonts w:ascii="Garamond" w:hAnsi="Garamond"/>
          <w:color w:val="000000" w:themeColor="text1"/>
          <w:sz w:val="24"/>
          <w:szCs w:val="24"/>
          <w:lang w:val="en-US"/>
        </w:rPr>
        <w:t>e</w:t>
      </w:r>
      <w:r w:rsidR="00351C54" w:rsidRPr="00735740">
        <w:rPr>
          <w:rFonts w:ascii="Garamond" w:hAnsi="Garamond"/>
          <w:color w:val="000000" w:themeColor="text1"/>
          <w:sz w:val="24"/>
          <w:szCs w:val="24"/>
          <w:lang w:val="en-US"/>
        </w:rPr>
        <w:t>gories</w:t>
      </w:r>
      <w:r w:rsidR="007D25B2" w:rsidRPr="00735740">
        <w:rPr>
          <w:rFonts w:ascii="Garamond" w:hAnsi="Garamond"/>
          <w:color w:val="000000" w:themeColor="text1"/>
          <w:sz w:val="24"/>
          <w:szCs w:val="24"/>
          <w:lang w:val="en-US"/>
        </w:rPr>
        <w:t xml:space="preserve"> (e.g. Chine</w:t>
      </w:r>
      <w:r w:rsidR="00D8166A" w:rsidRPr="00735740">
        <w:rPr>
          <w:rFonts w:ascii="Garamond" w:hAnsi="Garamond"/>
          <w:color w:val="000000" w:themeColor="text1"/>
          <w:sz w:val="24"/>
          <w:szCs w:val="24"/>
          <w:lang w:val="en-US"/>
        </w:rPr>
        <w:t>e</w:t>
      </w:r>
      <w:r w:rsidR="00B14CE0" w:rsidRPr="00735740">
        <w:rPr>
          <w:rFonts w:ascii="Garamond" w:hAnsi="Garamond"/>
          <w:color w:val="000000" w:themeColor="text1"/>
          <w:sz w:val="24"/>
          <w:szCs w:val="24"/>
          <w:lang w:val="en-US"/>
        </w:rPr>
        <w:t>s</w:t>
      </w:r>
      <w:r w:rsidR="007D25B2" w:rsidRPr="00735740">
        <w:rPr>
          <w:rFonts w:ascii="Garamond" w:hAnsi="Garamond"/>
          <w:color w:val="000000" w:themeColor="text1"/>
          <w:sz w:val="24"/>
          <w:szCs w:val="24"/>
          <w:lang w:val="en-US"/>
        </w:rPr>
        <w:t>)</w:t>
      </w:r>
      <w:r w:rsidR="003C2796" w:rsidRPr="00735740">
        <w:rPr>
          <w:rFonts w:ascii="Garamond" w:hAnsi="Garamond"/>
          <w:color w:val="000000" w:themeColor="text1"/>
          <w:sz w:val="24"/>
          <w:szCs w:val="24"/>
          <w:lang w:val="en-US"/>
        </w:rPr>
        <w:t>.</w:t>
      </w:r>
      <w:r w:rsidR="009350FC" w:rsidRPr="00735740">
        <w:rPr>
          <w:rStyle w:val="FootnoteReference"/>
          <w:rFonts w:ascii="Garamond" w:hAnsi="Garamond"/>
          <w:color w:val="000000" w:themeColor="text1"/>
          <w:sz w:val="24"/>
          <w:szCs w:val="24"/>
          <w:lang w:val="en-US"/>
        </w:rPr>
        <w:footnoteReference w:id="12"/>
      </w:r>
      <w:r w:rsidR="00422060" w:rsidRPr="00735740">
        <w:rPr>
          <w:rFonts w:ascii="Garamond" w:hAnsi="Garamond"/>
          <w:color w:val="000000" w:themeColor="text1"/>
          <w:sz w:val="24"/>
          <w:szCs w:val="24"/>
          <w:lang w:val="en-US"/>
        </w:rPr>
        <w:t xml:space="preserve"> </w:t>
      </w:r>
      <w:r w:rsidR="003C2796" w:rsidRPr="00735740">
        <w:rPr>
          <w:rFonts w:ascii="Garamond" w:hAnsi="Garamond"/>
          <w:color w:val="000000" w:themeColor="text1"/>
          <w:sz w:val="24"/>
          <w:szCs w:val="24"/>
          <w:lang w:val="en-US"/>
        </w:rPr>
        <w:t xml:space="preserve">Through the attempts to qualify and quantify these </w:t>
      </w:r>
      <w:r w:rsidR="00814BCD" w:rsidRPr="00735740">
        <w:rPr>
          <w:rFonts w:ascii="Garamond" w:hAnsi="Garamond"/>
          <w:color w:val="000000" w:themeColor="text1"/>
          <w:sz w:val="24"/>
          <w:szCs w:val="24"/>
          <w:lang w:val="en-US"/>
        </w:rPr>
        <w:t>categori</w:t>
      </w:r>
      <w:r w:rsidR="00874B3C" w:rsidRPr="00735740">
        <w:rPr>
          <w:rFonts w:ascii="Garamond" w:hAnsi="Garamond"/>
          <w:color w:val="000000" w:themeColor="text1"/>
          <w:sz w:val="24"/>
          <w:szCs w:val="24"/>
          <w:lang w:val="en-US"/>
        </w:rPr>
        <w:t>s</w:t>
      </w:r>
      <w:r w:rsidR="00814BCD" w:rsidRPr="00735740">
        <w:rPr>
          <w:rFonts w:ascii="Garamond" w:hAnsi="Garamond"/>
          <w:color w:val="000000" w:themeColor="text1"/>
          <w:sz w:val="24"/>
          <w:szCs w:val="24"/>
          <w:lang w:val="en-US"/>
        </w:rPr>
        <w:t>ations</w:t>
      </w:r>
      <w:r w:rsidR="003C2796" w:rsidRPr="00735740">
        <w:rPr>
          <w:rFonts w:ascii="Garamond" w:hAnsi="Garamond"/>
          <w:color w:val="000000" w:themeColor="text1"/>
          <w:sz w:val="24"/>
          <w:szCs w:val="24"/>
          <w:lang w:val="en-US"/>
        </w:rPr>
        <w:t xml:space="preserve">, different subjects were funneled through different institutions and given different opportunities and </w:t>
      </w:r>
      <w:r w:rsidR="00107A24" w:rsidRPr="00735740">
        <w:rPr>
          <w:rFonts w:ascii="Garamond" w:hAnsi="Garamond"/>
          <w:color w:val="000000" w:themeColor="text1"/>
          <w:sz w:val="24"/>
          <w:szCs w:val="24"/>
          <w:lang w:val="en-US"/>
        </w:rPr>
        <w:t>standings</w:t>
      </w:r>
      <w:r w:rsidR="003C2796" w:rsidRPr="00735740">
        <w:rPr>
          <w:rFonts w:ascii="Garamond" w:hAnsi="Garamond"/>
          <w:color w:val="000000" w:themeColor="text1"/>
          <w:sz w:val="24"/>
          <w:szCs w:val="24"/>
          <w:lang w:val="en-US"/>
        </w:rPr>
        <w:t xml:space="preserve">.  </w:t>
      </w:r>
      <w:r w:rsidR="00654A69" w:rsidRPr="00735740">
        <w:rPr>
          <w:rFonts w:ascii="Garamond" w:hAnsi="Garamond"/>
          <w:color w:val="000000" w:themeColor="text1"/>
          <w:sz w:val="24"/>
          <w:szCs w:val="24"/>
          <w:lang w:val="en-US"/>
        </w:rPr>
        <w:t>T</w:t>
      </w:r>
      <w:r w:rsidR="00351C54" w:rsidRPr="00735740">
        <w:rPr>
          <w:rFonts w:ascii="Garamond" w:hAnsi="Garamond"/>
          <w:color w:val="000000" w:themeColor="text1"/>
          <w:sz w:val="24"/>
          <w:szCs w:val="24"/>
          <w:lang w:val="en-US"/>
        </w:rPr>
        <w:t>his created</w:t>
      </w:r>
      <w:r w:rsidR="003C2796" w:rsidRPr="00735740">
        <w:rPr>
          <w:rFonts w:ascii="Garamond" w:hAnsi="Garamond"/>
          <w:color w:val="000000" w:themeColor="text1"/>
          <w:sz w:val="24"/>
          <w:szCs w:val="24"/>
          <w:lang w:val="en-US"/>
        </w:rPr>
        <w:t xml:space="preserve"> ‘traffic-habits which in time gave real social life to the state’s earlier fantasies</w:t>
      </w:r>
      <w:r w:rsidR="00422060" w:rsidRPr="00735740">
        <w:rPr>
          <w:rFonts w:ascii="Garamond" w:hAnsi="Garamond"/>
          <w:color w:val="000000" w:themeColor="text1"/>
          <w:sz w:val="24"/>
          <w:szCs w:val="24"/>
          <w:lang w:val="en-US"/>
        </w:rPr>
        <w:t>’</w:t>
      </w:r>
      <w:r w:rsidR="00422060" w:rsidRPr="00735740">
        <w:rPr>
          <w:rFonts w:ascii="Garamond" w:hAnsi="Garamond"/>
          <w:i/>
          <w:color w:val="000000" w:themeColor="text1"/>
          <w:sz w:val="24"/>
          <w:szCs w:val="24"/>
          <w:lang w:val="en-US"/>
        </w:rPr>
        <w:t>.</w:t>
      </w:r>
      <w:r w:rsidR="009350FC" w:rsidRPr="00735740">
        <w:rPr>
          <w:rStyle w:val="FootnoteReference"/>
          <w:rFonts w:ascii="Garamond" w:hAnsi="Garamond"/>
          <w:color w:val="000000" w:themeColor="text1"/>
          <w:sz w:val="24"/>
          <w:szCs w:val="24"/>
          <w:lang w:val="en-US"/>
        </w:rPr>
        <w:footnoteReference w:id="13"/>
      </w:r>
      <w:r w:rsidR="00422060" w:rsidRPr="00735740">
        <w:rPr>
          <w:rFonts w:ascii="Garamond" w:hAnsi="Garamond"/>
          <w:color w:val="000000" w:themeColor="text1"/>
          <w:sz w:val="24"/>
          <w:szCs w:val="24"/>
          <w:lang w:val="en-US"/>
        </w:rPr>
        <w:t xml:space="preserve"> </w:t>
      </w:r>
      <w:r w:rsidR="00EC6EEB" w:rsidRPr="00735740">
        <w:rPr>
          <w:rFonts w:ascii="Garamond" w:hAnsi="Garamond"/>
          <w:color w:val="000000" w:themeColor="text1"/>
          <w:sz w:val="24"/>
          <w:szCs w:val="24"/>
          <w:lang w:val="en-US"/>
        </w:rPr>
        <w:t>Accordingly, a</w:t>
      </w:r>
      <w:r w:rsidR="00DA7160" w:rsidRPr="00735740">
        <w:rPr>
          <w:rFonts w:ascii="Garamond" w:hAnsi="Garamond"/>
          <w:color w:val="000000" w:themeColor="text1"/>
          <w:sz w:val="24"/>
          <w:szCs w:val="24"/>
          <w:lang w:val="en-US"/>
        </w:rPr>
        <w:t xml:space="preserve">s Stoler </w:t>
      </w:r>
      <w:r w:rsidR="00D839F8" w:rsidRPr="00735740">
        <w:rPr>
          <w:rFonts w:ascii="Garamond" w:hAnsi="Garamond"/>
          <w:color w:val="000000" w:themeColor="text1"/>
          <w:sz w:val="24"/>
          <w:szCs w:val="24"/>
          <w:lang w:val="en-US"/>
        </w:rPr>
        <w:t>argues</w:t>
      </w:r>
      <w:r w:rsidR="00DA7160" w:rsidRPr="00735740">
        <w:rPr>
          <w:rFonts w:ascii="Garamond" w:hAnsi="Garamond"/>
          <w:color w:val="000000" w:themeColor="text1"/>
          <w:sz w:val="24"/>
          <w:szCs w:val="24"/>
          <w:lang w:val="en-US"/>
        </w:rPr>
        <w:t xml:space="preserve">, a concern with </w:t>
      </w:r>
      <w:r w:rsidR="00EC6EEB" w:rsidRPr="00735740">
        <w:rPr>
          <w:rFonts w:ascii="Garamond" w:hAnsi="Garamond"/>
          <w:color w:val="000000" w:themeColor="text1"/>
          <w:sz w:val="24"/>
          <w:szCs w:val="24"/>
          <w:lang w:val="en-US"/>
        </w:rPr>
        <w:t xml:space="preserve">colonial </w:t>
      </w:r>
      <w:r w:rsidR="00DA7160" w:rsidRPr="00735740">
        <w:rPr>
          <w:rFonts w:ascii="Garamond" w:hAnsi="Garamond"/>
          <w:color w:val="000000" w:themeColor="text1"/>
          <w:sz w:val="24"/>
          <w:szCs w:val="24"/>
          <w:lang w:val="en-US"/>
        </w:rPr>
        <w:t>archive</w:t>
      </w:r>
      <w:r w:rsidR="00816FD8" w:rsidRPr="00735740">
        <w:rPr>
          <w:rFonts w:ascii="Garamond" w:hAnsi="Garamond"/>
          <w:color w:val="000000" w:themeColor="text1"/>
          <w:sz w:val="24"/>
          <w:szCs w:val="24"/>
          <w:lang w:val="en-US"/>
        </w:rPr>
        <w:t>s</w:t>
      </w:r>
      <w:r w:rsidR="00DA7160" w:rsidRPr="00735740">
        <w:rPr>
          <w:rFonts w:ascii="Garamond" w:hAnsi="Garamond"/>
          <w:color w:val="000000" w:themeColor="text1"/>
          <w:sz w:val="24"/>
          <w:szCs w:val="24"/>
          <w:lang w:val="en-US"/>
        </w:rPr>
        <w:t xml:space="preserve"> i</w:t>
      </w:r>
      <w:r w:rsidR="002479B0" w:rsidRPr="00735740">
        <w:rPr>
          <w:rFonts w:ascii="Garamond" w:hAnsi="Garamond"/>
          <w:color w:val="000000" w:themeColor="text1"/>
          <w:sz w:val="24"/>
          <w:szCs w:val="24"/>
          <w:lang w:val="en-US"/>
        </w:rPr>
        <w:t>s</w:t>
      </w:r>
      <w:r w:rsidR="00EC6EEB" w:rsidRPr="00735740">
        <w:rPr>
          <w:rFonts w:ascii="Garamond" w:hAnsi="Garamond"/>
          <w:color w:val="000000" w:themeColor="text1"/>
          <w:sz w:val="24"/>
          <w:szCs w:val="24"/>
          <w:lang w:val="en-US"/>
        </w:rPr>
        <w:t xml:space="preserve"> </w:t>
      </w:r>
      <w:r w:rsidR="00DA7160" w:rsidRPr="00735740">
        <w:rPr>
          <w:rFonts w:ascii="Garamond" w:hAnsi="Garamond"/>
          <w:color w:val="000000" w:themeColor="text1"/>
          <w:sz w:val="24"/>
          <w:szCs w:val="24"/>
          <w:lang w:val="en-US"/>
        </w:rPr>
        <w:t>with:</w:t>
      </w:r>
    </w:p>
    <w:p w14:paraId="4D4545C3" w14:textId="756E328B" w:rsidR="00DA7160" w:rsidRPr="00735740" w:rsidRDefault="00E8605F" w:rsidP="00201640">
      <w:pPr>
        <w:spacing w:afterLines="160" w:after="384" w:line="360" w:lineRule="auto"/>
        <w:ind w:left="851"/>
        <w:rPr>
          <w:rFonts w:ascii="Garamond" w:hAnsi="Garamond"/>
          <w:color w:val="000000" w:themeColor="text1"/>
          <w:sz w:val="24"/>
          <w:szCs w:val="24"/>
          <w:lang w:val="en-US"/>
        </w:rPr>
      </w:pPr>
      <w:r w:rsidRPr="00735740">
        <w:rPr>
          <w:rFonts w:ascii="Garamond" w:hAnsi="Garamond"/>
          <w:color w:val="000000" w:themeColor="text1"/>
          <w:sz w:val="24"/>
          <w:szCs w:val="24"/>
          <w:lang w:val="en-US"/>
        </w:rPr>
        <w:t>t</w:t>
      </w:r>
      <w:r w:rsidR="00DA7160" w:rsidRPr="00735740">
        <w:rPr>
          <w:rFonts w:ascii="Garamond" w:hAnsi="Garamond"/>
          <w:color w:val="000000" w:themeColor="text1"/>
          <w:sz w:val="24"/>
          <w:szCs w:val="24"/>
          <w:lang w:val="en-US"/>
        </w:rPr>
        <w:t>he force of writing and the feel of documents, about lettered governance and written traces of colonial lives. It is about the commitment to paper, and the political and personal work that such inscriptions perform. Not least about the colonial archive as sites of the expectant and conjured – about dreams of comforting futures and foreboding future failures.</w:t>
      </w:r>
      <w:r w:rsidR="00DA7160" w:rsidRPr="00735740">
        <w:rPr>
          <w:rStyle w:val="FootnoteReference"/>
          <w:rFonts w:ascii="Garamond" w:hAnsi="Garamond"/>
          <w:color w:val="000000" w:themeColor="text1"/>
          <w:sz w:val="24"/>
          <w:szCs w:val="24"/>
          <w:lang w:val="en-US"/>
        </w:rPr>
        <w:footnoteReference w:id="14"/>
      </w:r>
      <w:r w:rsidR="00AE1110" w:rsidRPr="00735740">
        <w:rPr>
          <w:rStyle w:val="FootnoteReference"/>
          <w:rFonts w:ascii="Garamond" w:hAnsi="Garamond"/>
          <w:color w:val="000000" w:themeColor="text1"/>
          <w:sz w:val="24"/>
          <w:szCs w:val="24"/>
        </w:rPr>
        <w:t xml:space="preserve"> </w:t>
      </w:r>
    </w:p>
    <w:p w14:paraId="1B8B2B27" w14:textId="1BCF09CF" w:rsidR="005F16A8" w:rsidRPr="00735740" w:rsidRDefault="00DA7160" w:rsidP="00201640">
      <w:pPr>
        <w:spacing w:afterLines="160" w:after="384" w:line="360" w:lineRule="auto"/>
        <w:rPr>
          <w:rFonts w:ascii="Garamond" w:hAnsi="Garamond"/>
          <w:color w:val="000000" w:themeColor="text1"/>
          <w:sz w:val="24"/>
          <w:szCs w:val="24"/>
        </w:rPr>
      </w:pPr>
      <w:r w:rsidRPr="00735740">
        <w:rPr>
          <w:rFonts w:ascii="Garamond" w:hAnsi="Garamond"/>
          <w:color w:val="000000" w:themeColor="text1"/>
          <w:sz w:val="24"/>
          <w:szCs w:val="24"/>
          <w:lang w:val="en-US"/>
        </w:rPr>
        <w:t>The archive is</w:t>
      </w:r>
      <w:r w:rsidR="002479B0" w:rsidRPr="00735740">
        <w:rPr>
          <w:rFonts w:ascii="Garamond" w:hAnsi="Garamond"/>
          <w:color w:val="000000" w:themeColor="text1"/>
          <w:sz w:val="24"/>
          <w:szCs w:val="24"/>
          <w:lang w:val="en-US"/>
        </w:rPr>
        <w:t xml:space="preserve"> </w:t>
      </w:r>
      <w:r w:rsidRPr="00735740">
        <w:rPr>
          <w:rFonts w:ascii="Garamond" w:hAnsi="Garamond"/>
          <w:color w:val="000000" w:themeColor="text1"/>
          <w:sz w:val="24"/>
          <w:szCs w:val="24"/>
          <w:lang w:val="en-US"/>
        </w:rPr>
        <w:t>a space of imagination and creation.</w:t>
      </w:r>
      <w:r w:rsidR="00B557E5" w:rsidRPr="00735740">
        <w:rPr>
          <w:rStyle w:val="FootnoteReference"/>
          <w:rFonts w:ascii="Garamond" w:hAnsi="Garamond"/>
          <w:color w:val="000000" w:themeColor="text1"/>
          <w:sz w:val="24"/>
          <w:szCs w:val="24"/>
          <w:lang w:val="en-US"/>
        </w:rPr>
        <w:footnoteReference w:id="15"/>
      </w:r>
      <w:r w:rsidRPr="00735740">
        <w:rPr>
          <w:rFonts w:ascii="Garamond" w:hAnsi="Garamond"/>
          <w:color w:val="000000" w:themeColor="text1"/>
          <w:sz w:val="24"/>
          <w:szCs w:val="24"/>
          <w:lang w:val="en-US"/>
        </w:rPr>
        <w:t xml:space="preserve"> </w:t>
      </w:r>
      <w:r w:rsidR="003025DB" w:rsidRPr="00735740">
        <w:rPr>
          <w:rFonts w:ascii="Garamond" w:hAnsi="Garamond"/>
          <w:color w:val="000000" w:themeColor="text1"/>
          <w:sz w:val="24"/>
          <w:szCs w:val="24"/>
          <w:lang w:val="en-US"/>
        </w:rPr>
        <w:t xml:space="preserve">As the quote suggests, moreover, the rules of the archive </w:t>
      </w:r>
      <w:r w:rsidR="00E8605F" w:rsidRPr="00735740">
        <w:rPr>
          <w:rFonts w:ascii="Garamond" w:hAnsi="Garamond"/>
          <w:color w:val="000000" w:themeColor="text1"/>
          <w:sz w:val="24"/>
          <w:szCs w:val="24"/>
          <w:lang w:val="en-US"/>
        </w:rPr>
        <w:t>are</w:t>
      </w:r>
      <w:r w:rsidR="003025DB" w:rsidRPr="00735740">
        <w:rPr>
          <w:rFonts w:ascii="Garamond" w:hAnsi="Garamond"/>
          <w:color w:val="000000" w:themeColor="text1"/>
          <w:sz w:val="24"/>
          <w:szCs w:val="24"/>
          <w:lang w:val="en-US"/>
        </w:rPr>
        <w:t xml:space="preserve"> not fixed, but represent</w:t>
      </w:r>
      <w:r w:rsidR="00E8605F" w:rsidRPr="00735740">
        <w:rPr>
          <w:rFonts w:ascii="Garamond" w:hAnsi="Garamond"/>
          <w:color w:val="000000" w:themeColor="text1"/>
          <w:sz w:val="24"/>
          <w:szCs w:val="24"/>
          <w:lang w:val="en-US"/>
        </w:rPr>
        <w:t xml:space="preserve"> </w:t>
      </w:r>
      <w:r w:rsidR="003025DB" w:rsidRPr="00735740">
        <w:rPr>
          <w:rFonts w:ascii="Garamond" w:hAnsi="Garamond"/>
          <w:color w:val="000000" w:themeColor="text1"/>
          <w:sz w:val="24"/>
          <w:szCs w:val="24"/>
          <w:lang w:val="en-US"/>
        </w:rPr>
        <w:t>the anxiety of the</w:t>
      </w:r>
      <w:r w:rsidR="00E8605F" w:rsidRPr="00735740">
        <w:rPr>
          <w:rFonts w:ascii="Garamond" w:hAnsi="Garamond"/>
          <w:color w:val="000000" w:themeColor="text1"/>
          <w:sz w:val="24"/>
          <w:szCs w:val="24"/>
          <w:lang w:val="en-US"/>
        </w:rPr>
        <w:t xml:space="preserve"> records’</w:t>
      </w:r>
      <w:r w:rsidR="003025DB" w:rsidRPr="00735740">
        <w:rPr>
          <w:rFonts w:ascii="Garamond" w:hAnsi="Garamond"/>
          <w:color w:val="000000" w:themeColor="text1"/>
          <w:sz w:val="24"/>
          <w:szCs w:val="24"/>
          <w:lang w:val="en-US"/>
        </w:rPr>
        <w:t xml:space="preserve"> producers </w:t>
      </w:r>
      <w:r w:rsidR="00E8605F" w:rsidRPr="00735740">
        <w:rPr>
          <w:rFonts w:ascii="Garamond" w:hAnsi="Garamond"/>
          <w:color w:val="000000" w:themeColor="text1"/>
          <w:sz w:val="24"/>
          <w:szCs w:val="24"/>
          <w:lang w:val="en-US"/>
        </w:rPr>
        <w:t>as they try</w:t>
      </w:r>
      <w:r w:rsidR="003025DB" w:rsidRPr="00735740">
        <w:rPr>
          <w:rFonts w:ascii="Garamond" w:hAnsi="Garamond"/>
          <w:color w:val="000000" w:themeColor="text1"/>
          <w:sz w:val="24"/>
          <w:szCs w:val="24"/>
          <w:lang w:val="en-US"/>
        </w:rPr>
        <w:t xml:space="preserve"> to bring order into existence, </w:t>
      </w:r>
      <w:r w:rsidR="00D839F8" w:rsidRPr="00735740">
        <w:rPr>
          <w:rFonts w:ascii="Garamond" w:hAnsi="Garamond"/>
          <w:color w:val="000000" w:themeColor="text1"/>
          <w:sz w:val="24"/>
          <w:szCs w:val="24"/>
          <w:lang w:val="en-US"/>
        </w:rPr>
        <w:t xml:space="preserve">and </w:t>
      </w:r>
      <w:r w:rsidR="000B4823" w:rsidRPr="00735740">
        <w:rPr>
          <w:rFonts w:ascii="Garamond" w:hAnsi="Garamond"/>
          <w:color w:val="000000" w:themeColor="text1"/>
          <w:sz w:val="24"/>
          <w:szCs w:val="24"/>
          <w:lang w:val="en-US"/>
        </w:rPr>
        <w:t>archive</w:t>
      </w:r>
      <w:r w:rsidR="00181C93" w:rsidRPr="00735740">
        <w:rPr>
          <w:rFonts w:ascii="Garamond" w:hAnsi="Garamond"/>
          <w:color w:val="000000" w:themeColor="text1"/>
          <w:sz w:val="24"/>
          <w:szCs w:val="24"/>
          <w:lang w:val="en-US"/>
        </w:rPr>
        <w:t xml:space="preserve"> (and produce) new objects</w:t>
      </w:r>
      <w:r w:rsidR="003025DB" w:rsidRPr="00735740">
        <w:rPr>
          <w:rFonts w:ascii="Garamond" w:hAnsi="Garamond"/>
          <w:color w:val="000000" w:themeColor="text1"/>
          <w:sz w:val="24"/>
          <w:szCs w:val="24"/>
          <w:lang w:val="en-US"/>
        </w:rPr>
        <w:t>.</w:t>
      </w:r>
      <w:r w:rsidR="003025DB" w:rsidRPr="00735740">
        <w:rPr>
          <w:rStyle w:val="FootnoteReference"/>
          <w:rFonts w:ascii="Garamond" w:hAnsi="Garamond"/>
          <w:color w:val="000000" w:themeColor="text1"/>
          <w:sz w:val="24"/>
          <w:szCs w:val="24"/>
          <w:lang w:val="en-US"/>
        </w:rPr>
        <w:footnoteReference w:id="16"/>
      </w:r>
      <w:r w:rsidR="002A73D8" w:rsidRPr="00735740">
        <w:rPr>
          <w:rFonts w:ascii="Garamond" w:hAnsi="Garamond"/>
          <w:color w:val="000000" w:themeColor="text1"/>
          <w:sz w:val="24"/>
          <w:szCs w:val="24"/>
          <w:lang w:val="en-US"/>
        </w:rPr>
        <w:t xml:space="preserve"> </w:t>
      </w:r>
      <w:r w:rsidR="00FF787B" w:rsidRPr="00735740">
        <w:rPr>
          <w:rFonts w:ascii="Garamond" w:hAnsi="Garamond"/>
          <w:color w:val="000000" w:themeColor="text1"/>
          <w:sz w:val="24"/>
          <w:szCs w:val="24"/>
          <w:lang w:val="en-US"/>
        </w:rPr>
        <w:t>A</w:t>
      </w:r>
      <w:r w:rsidR="006C5D9E" w:rsidRPr="00735740">
        <w:rPr>
          <w:rFonts w:ascii="Garamond" w:hAnsi="Garamond"/>
          <w:color w:val="000000" w:themeColor="text1"/>
          <w:sz w:val="24"/>
          <w:szCs w:val="24"/>
          <w:lang w:val="en-US"/>
        </w:rPr>
        <w:t>s</w:t>
      </w:r>
      <w:r w:rsidR="00FF787B" w:rsidRPr="00735740">
        <w:rPr>
          <w:rFonts w:ascii="Garamond" w:hAnsi="Garamond"/>
          <w:color w:val="000000" w:themeColor="text1"/>
          <w:sz w:val="24"/>
          <w:szCs w:val="24"/>
          <w:lang w:val="en-US"/>
        </w:rPr>
        <w:t xml:space="preserve"> this also suggests, there is an interesting and unstable relationship between community and archive. Discussed more below, neither </w:t>
      </w:r>
      <w:r w:rsidR="00E55F30" w:rsidRPr="00735740">
        <w:rPr>
          <w:rFonts w:ascii="Garamond" w:hAnsi="Garamond"/>
          <w:color w:val="000000" w:themeColor="text1"/>
          <w:sz w:val="24"/>
          <w:szCs w:val="24"/>
          <w:lang w:val="en-US"/>
        </w:rPr>
        <w:t xml:space="preserve">community nor archive </w:t>
      </w:r>
      <w:r w:rsidR="00FF787B" w:rsidRPr="00735740">
        <w:rPr>
          <w:rFonts w:ascii="Garamond" w:hAnsi="Garamond"/>
          <w:color w:val="000000" w:themeColor="text1"/>
          <w:sz w:val="24"/>
          <w:szCs w:val="24"/>
          <w:lang w:val="en-US"/>
        </w:rPr>
        <w:t xml:space="preserve">should be seen as </w:t>
      </w:r>
      <w:r w:rsidR="002F35DF" w:rsidRPr="00735740">
        <w:rPr>
          <w:rFonts w:ascii="Garamond" w:hAnsi="Garamond"/>
          <w:color w:val="000000" w:themeColor="text1"/>
          <w:sz w:val="24"/>
          <w:szCs w:val="24"/>
          <w:lang w:val="en-US"/>
        </w:rPr>
        <w:t>ontologically stable entities</w:t>
      </w:r>
      <w:r w:rsidR="00E55F30" w:rsidRPr="00735740">
        <w:rPr>
          <w:rFonts w:ascii="Garamond" w:hAnsi="Garamond"/>
          <w:color w:val="000000" w:themeColor="text1"/>
          <w:sz w:val="24"/>
          <w:szCs w:val="24"/>
          <w:lang w:val="en-US"/>
        </w:rPr>
        <w:t>.</w:t>
      </w:r>
      <w:r w:rsidR="00B73173" w:rsidRPr="00735740">
        <w:rPr>
          <w:rFonts w:ascii="Garamond" w:hAnsi="Garamond"/>
          <w:color w:val="000000" w:themeColor="text1"/>
          <w:sz w:val="24"/>
          <w:szCs w:val="24"/>
          <w:lang w:val="en-US"/>
        </w:rPr>
        <w:t xml:space="preserve"> </w:t>
      </w:r>
      <w:r w:rsidR="00E55F30" w:rsidRPr="00735740">
        <w:rPr>
          <w:rFonts w:ascii="Garamond" w:hAnsi="Garamond"/>
          <w:color w:val="000000" w:themeColor="text1"/>
          <w:sz w:val="24"/>
          <w:szCs w:val="24"/>
          <w:lang w:val="en-US"/>
        </w:rPr>
        <w:t xml:space="preserve">Instead, </w:t>
      </w:r>
      <w:r w:rsidR="002F35DF" w:rsidRPr="00735740">
        <w:rPr>
          <w:rFonts w:ascii="Garamond" w:hAnsi="Garamond"/>
          <w:color w:val="000000" w:themeColor="text1"/>
          <w:sz w:val="24"/>
          <w:szCs w:val="24"/>
          <w:lang w:val="en-US"/>
        </w:rPr>
        <w:t>the archivist</w:t>
      </w:r>
      <w:r w:rsidR="00874B3C" w:rsidRPr="00735740">
        <w:rPr>
          <w:rFonts w:ascii="Garamond" w:hAnsi="Garamond"/>
          <w:color w:val="000000" w:themeColor="text1"/>
          <w:sz w:val="24"/>
          <w:szCs w:val="24"/>
          <w:lang w:val="en-US"/>
        </w:rPr>
        <w:t>s’</w:t>
      </w:r>
      <w:r w:rsidR="002F35DF" w:rsidRPr="00735740">
        <w:rPr>
          <w:rFonts w:ascii="Garamond" w:hAnsi="Garamond"/>
          <w:color w:val="000000" w:themeColor="text1"/>
          <w:sz w:val="24"/>
          <w:szCs w:val="24"/>
          <w:lang w:val="en-US"/>
        </w:rPr>
        <w:t xml:space="preserve"> </w:t>
      </w:r>
      <w:r w:rsidR="00FF787B" w:rsidRPr="00735740">
        <w:rPr>
          <w:rFonts w:ascii="Garamond" w:hAnsi="Garamond"/>
          <w:color w:val="000000" w:themeColor="text1"/>
          <w:sz w:val="24"/>
          <w:szCs w:val="24"/>
          <w:lang w:val="en-US"/>
        </w:rPr>
        <w:t>emergent views of community</w:t>
      </w:r>
      <w:r w:rsidR="002F35DF" w:rsidRPr="00735740">
        <w:rPr>
          <w:rFonts w:ascii="Garamond" w:hAnsi="Garamond"/>
          <w:color w:val="000000" w:themeColor="text1"/>
          <w:sz w:val="24"/>
          <w:szCs w:val="24"/>
          <w:lang w:val="en-US"/>
        </w:rPr>
        <w:t xml:space="preserve"> </w:t>
      </w:r>
      <w:r w:rsidR="00874B3C" w:rsidRPr="00735740">
        <w:rPr>
          <w:rFonts w:ascii="Garamond" w:hAnsi="Garamond"/>
          <w:color w:val="000000" w:themeColor="text1"/>
          <w:sz w:val="24"/>
          <w:szCs w:val="24"/>
          <w:lang w:val="en-US"/>
        </w:rPr>
        <w:t xml:space="preserve">became </w:t>
      </w:r>
      <w:r w:rsidR="00FF787B" w:rsidRPr="00735740">
        <w:rPr>
          <w:rFonts w:ascii="Garamond" w:hAnsi="Garamond"/>
          <w:color w:val="000000" w:themeColor="text1"/>
          <w:sz w:val="24"/>
          <w:szCs w:val="24"/>
          <w:lang w:val="en-US"/>
        </w:rPr>
        <w:t xml:space="preserve">reflected in the records of the archive, which in turn </w:t>
      </w:r>
      <w:r w:rsidR="002F35DF" w:rsidRPr="00735740">
        <w:rPr>
          <w:rFonts w:ascii="Garamond" w:hAnsi="Garamond"/>
          <w:color w:val="000000" w:themeColor="text1"/>
          <w:sz w:val="24"/>
          <w:szCs w:val="24"/>
          <w:lang w:val="en-US"/>
        </w:rPr>
        <w:t>helped</w:t>
      </w:r>
      <w:r w:rsidR="00FF787B" w:rsidRPr="00735740">
        <w:rPr>
          <w:rFonts w:ascii="Garamond" w:hAnsi="Garamond"/>
          <w:color w:val="000000" w:themeColor="text1"/>
          <w:sz w:val="24"/>
          <w:szCs w:val="24"/>
          <w:lang w:val="en-US"/>
        </w:rPr>
        <w:t xml:space="preserve"> constitute the community in particular ways</w:t>
      </w:r>
      <w:r w:rsidR="00874B3C" w:rsidRPr="00735740">
        <w:rPr>
          <w:rFonts w:ascii="Garamond" w:hAnsi="Garamond"/>
          <w:color w:val="000000" w:themeColor="text1"/>
          <w:sz w:val="24"/>
          <w:szCs w:val="24"/>
          <w:lang w:val="en-US"/>
        </w:rPr>
        <w:t xml:space="preserve"> -</w:t>
      </w:r>
      <w:r w:rsidR="002F35DF" w:rsidRPr="00735740">
        <w:rPr>
          <w:rFonts w:ascii="Garamond" w:hAnsi="Garamond"/>
          <w:color w:val="000000" w:themeColor="text1"/>
          <w:sz w:val="24"/>
          <w:szCs w:val="24"/>
          <w:lang w:val="en-US"/>
        </w:rPr>
        <w:t>at times with a</w:t>
      </w:r>
      <w:r w:rsidR="006C5D9E" w:rsidRPr="00735740">
        <w:rPr>
          <w:rFonts w:ascii="Garamond" w:hAnsi="Garamond"/>
          <w:color w:val="000000" w:themeColor="text1"/>
          <w:sz w:val="24"/>
          <w:szCs w:val="24"/>
          <w:lang w:val="en-US"/>
        </w:rPr>
        <w:t>n</w:t>
      </w:r>
      <w:r w:rsidR="002F35DF" w:rsidRPr="00735740">
        <w:rPr>
          <w:rFonts w:ascii="Garamond" w:hAnsi="Garamond"/>
          <w:color w:val="000000" w:themeColor="text1"/>
          <w:sz w:val="24"/>
          <w:szCs w:val="24"/>
          <w:lang w:val="en-US"/>
        </w:rPr>
        <w:t xml:space="preserve"> excess or unpredictability that </w:t>
      </w:r>
      <w:r w:rsidR="006C5D9E" w:rsidRPr="00735740">
        <w:rPr>
          <w:rFonts w:ascii="Garamond" w:hAnsi="Garamond"/>
          <w:color w:val="000000" w:themeColor="text1"/>
          <w:sz w:val="24"/>
          <w:szCs w:val="24"/>
          <w:lang w:val="en-US"/>
        </w:rPr>
        <w:t>defied</w:t>
      </w:r>
      <w:r w:rsidR="002F35DF" w:rsidRPr="00735740">
        <w:rPr>
          <w:rFonts w:ascii="Garamond" w:hAnsi="Garamond"/>
          <w:color w:val="000000" w:themeColor="text1"/>
          <w:sz w:val="24"/>
          <w:szCs w:val="24"/>
          <w:lang w:val="en-US"/>
        </w:rPr>
        <w:t xml:space="preserve"> the archivists</w:t>
      </w:r>
      <w:r w:rsidR="00874B3C" w:rsidRPr="00735740">
        <w:rPr>
          <w:rFonts w:ascii="Garamond" w:hAnsi="Garamond"/>
          <w:color w:val="000000" w:themeColor="text1"/>
          <w:sz w:val="24"/>
          <w:szCs w:val="24"/>
          <w:lang w:val="en-US"/>
        </w:rPr>
        <w:t>’</w:t>
      </w:r>
      <w:r w:rsidR="002F35DF" w:rsidRPr="00735740">
        <w:rPr>
          <w:rFonts w:ascii="Garamond" w:hAnsi="Garamond"/>
          <w:color w:val="000000" w:themeColor="text1"/>
          <w:sz w:val="24"/>
          <w:szCs w:val="24"/>
          <w:lang w:val="en-US"/>
        </w:rPr>
        <w:t xml:space="preserve"> attempts to capture the world ‘as is’</w:t>
      </w:r>
      <w:r w:rsidR="00FF787B" w:rsidRPr="00735740">
        <w:rPr>
          <w:rFonts w:ascii="Garamond" w:hAnsi="Garamond"/>
          <w:color w:val="000000" w:themeColor="text1"/>
          <w:sz w:val="24"/>
          <w:szCs w:val="24"/>
          <w:lang w:val="en-US"/>
        </w:rPr>
        <w:t>.</w:t>
      </w:r>
      <w:r w:rsidR="002F35DF" w:rsidRPr="00735740">
        <w:rPr>
          <w:rStyle w:val="FootnoteReference"/>
          <w:rFonts w:ascii="Garamond" w:hAnsi="Garamond"/>
          <w:color w:val="000000" w:themeColor="text1"/>
          <w:sz w:val="24"/>
          <w:szCs w:val="24"/>
          <w:lang w:val="en-US"/>
        </w:rPr>
        <w:footnoteReference w:id="17"/>
      </w:r>
      <w:r w:rsidR="00FF787B" w:rsidRPr="00735740">
        <w:rPr>
          <w:rFonts w:ascii="Garamond" w:hAnsi="Garamond"/>
          <w:color w:val="000000" w:themeColor="text1"/>
          <w:sz w:val="24"/>
          <w:szCs w:val="24"/>
          <w:lang w:val="en-US"/>
        </w:rPr>
        <w:t xml:space="preserve"> </w:t>
      </w:r>
    </w:p>
    <w:p w14:paraId="230A84BC" w14:textId="31E4F613" w:rsidR="00141FD1" w:rsidRPr="00735740" w:rsidRDefault="0061410B" w:rsidP="00201640">
      <w:pPr>
        <w:spacing w:afterLines="160" w:after="384" w:line="360" w:lineRule="auto"/>
        <w:rPr>
          <w:rFonts w:ascii="Garamond" w:hAnsi="Garamond"/>
          <w:color w:val="000000" w:themeColor="text1"/>
          <w:sz w:val="24"/>
          <w:szCs w:val="24"/>
          <w:lang w:val="en-US"/>
        </w:rPr>
      </w:pPr>
      <w:r w:rsidRPr="00735740">
        <w:rPr>
          <w:rFonts w:ascii="Garamond" w:hAnsi="Garamond"/>
          <w:color w:val="000000" w:themeColor="text1"/>
          <w:sz w:val="24"/>
          <w:szCs w:val="24"/>
          <w:lang w:val="en-US"/>
        </w:rPr>
        <w:t xml:space="preserve">The potential </w:t>
      </w:r>
      <w:r w:rsidR="001F1417" w:rsidRPr="00735740">
        <w:rPr>
          <w:rFonts w:ascii="Garamond" w:hAnsi="Garamond"/>
          <w:color w:val="000000" w:themeColor="text1"/>
          <w:sz w:val="24"/>
          <w:szCs w:val="24"/>
          <w:lang w:val="en-US"/>
        </w:rPr>
        <w:t>effect</w:t>
      </w:r>
      <w:r w:rsidRPr="00735740">
        <w:rPr>
          <w:rFonts w:ascii="Garamond" w:hAnsi="Garamond"/>
          <w:color w:val="000000" w:themeColor="text1"/>
          <w:sz w:val="24"/>
          <w:szCs w:val="24"/>
          <w:lang w:val="en-US"/>
        </w:rPr>
        <w:t xml:space="preserve"> of this archival power </w:t>
      </w:r>
      <w:r w:rsidR="001F1417" w:rsidRPr="00735740">
        <w:rPr>
          <w:rFonts w:ascii="Garamond" w:hAnsi="Garamond"/>
          <w:color w:val="000000" w:themeColor="text1"/>
          <w:sz w:val="24"/>
          <w:szCs w:val="24"/>
          <w:lang w:val="en-US"/>
        </w:rPr>
        <w:t>continue</w:t>
      </w:r>
      <w:r w:rsidR="0031497A" w:rsidRPr="00735740">
        <w:rPr>
          <w:rFonts w:ascii="Garamond" w:hAnsi="Garamond"/>
          <w:color w:val="000000" w:themeColor="text1"/>
          <w:sz w:val="24"/>
          <w:szCs w:val="24"/>
          <w:lang w:val="en-US"/>
        </w:rPr>
        <w:t>s</w:t>
      </w:r>
      <w:r w:rsidR="001F1417" w:rsidRPr="00735740">
        <w:rPr>
          <w:rFonts w:ascii="Garamond" w:hAnsi="Garamond"/>
          <w:color w:val="000000" w:themeColor="text1"/>
          <w:sz w:val="24"/>
          <w:szCs w:val="24"/>
          <w:lang w:val="en-US"/>
        </w:rPr>
        <w:t xml:space="preserve"> well beyond </w:t>
      </w:r>
      <w:r w:rsidR="00DA2203" w:rsidRPr="00735740">
        <w:rPr>
          <w:rFonts w:ascii="Garamond" w:hAnsi="Garamond"/>
          <w:color w:val="000000" w:themeColor="text1"/>
          <w:sz w:val="24"/>
          <w:szCs w:val="24"/>
          <w:lang w:val="en-US"/>
        </w:rPr>
        <w:t xml:space="preserve">the </w:t>
      </w:r>
      <w:r w:rsidR="00EB239E" w:rsidRPr="00735740">
        <w:rPr>
          <w:rFonts w:ascii="Garamond" w:hAnsi="Garamond"/>
          <w:color w:val="000000" w:themeColor="text1"/>
          <w:sz w:val="24"/>
          <w:szCs w:val="24"/>
          <w:lang w:val="en-US"/>
        </w:rPr>
        <w:t>archive’s</w:t>
      </w:r>
      <w:r w:rsidR="00DA2203" w:rsidRPr="00735740">
        <w:rPr>
          <w:rFonts w:ascii="Garamond" w:hAnsi="Garamond"/>
          <w:color w:val="000000" w:themeColor="text1"/>
          <w:sz w:val="24"/>
          <w:szCs w:val="24"/>
          <w:lang w:val="en-US"/>
        </w:rPr>
        <w:t xml:space="preserve"> </w:t>
      </w:r>
      <w:r w:rsidR="001F1417" w:rsidRPr="00735740">
        <w:rPr>
          <w:rFonts w:ascii="Garamond" w:hAnsi="Garamond"/>
          <w:color w:val="000000" w:themeColor="text1"/>
          <w:sz w:val="24"/>
          <w:szCs w:val="24"/>
          <w:lang w:val="en-US"/>
        </w:rPr>
        <w:t>original creation.  Consider some of the scholarship that has uncritically drawn upon colonial archives in Australia</w:t>
      </w:r>
      <w:r w:rsidR="00A61A57" w:rsidRPr="00735740">
        <w:rPr>
          <w:rFonts w:ascii="Garamond" w:hAnsi="Garamond"/>
          <w:color w:val="000000" w:themeColor="text1"/>
          <w:sz w:val="24"/>
          <w:szCs w:val="24"/>
          <w:lang w:val="en-US"/>
        </w:rPr>
        <w:t>.</w:t>
      </w:r>
      <w:r w:rsidR="001F1417" w:rsidRPr="00735740">
        <w:rPr>
          <w:rFonts w:ascii="Garamond" w:hAnsi="Garamond"/>
          <w:color w:val="000000" w:themeColor="text1"/>
          <w:sz w:val="24"/>
          <w:szCs w:val="24"/>
          <w:lang w:val="en-US"/>
        </w:rPr>
        <w:t xml:space="preserve"> </w:t>
      </w:r>
      <w:r w:rsidR="00270254" w:rsidRPr="00735740">
        <w:rPr>
          <w:rFonts w:ascii="Garamond" w:hAnsi="Garamond"/>
          <w:color w:val="000000" w:themeColor="text1"/>
          <w:sz w:val="24"/>
          <w:szCs w:val="24"/>
          <w:lang w:val="en-US"/>
        </w:rPr>
        <w:t xml:space="preserve">By </w:t>
      </w:r>
      <w:r w:rsidR="001F1417" w:rsidRPr="00735740">
        <w:rPr>
          <w:rFonts w:ascii="Garamond" w:hAnsi="Garamond"/>
          <w:color w:val="000000" w:themeColor="text1"/>
          <w:sz w:val="24"/>
          <w:szCs w:val="24"/>
          <w:lang w:val="en-US"/>
        </w:rPr>
        <w:t>replicating the archives</w:t>
      </w:r>
      <w:r w:rsidR="003612DD" w:rsidRPr="00735740">
        <w:rPr>
          <w:rFonts w:ascii="Garamond" w:hAnsi="Garamond"/>
          <w:color w:val="000000" w:themeColor="text1"/>
          <w:sz w:val="24"/>
          <w:szCs w:val="24"/>
          <w:lang w:val="en-US"/>
        </w:rPr>
        <w:t>’</w:t>
      </w:r>
      <w:r w:rsidR="001F1417" w:rsidRPr="00735740">
        <w:rPr>
          <w:rFonts w:ascii="Garamond" w:hAnsi="Garamond"/>
          <w:color w:val="000000" w:themeColor="text1"/>
          <w:sz w:val="24"/>
          <w:szCs w:val="24"/>
          <w:lang w:val="en-US"/>
        </w:rPr>
        <w:t xml:space="preserve"> exclusion of the indigenous perspective of the ‘frontier wars’</w:t>
      </w:r>
      <w:r w:rsidR="00E55F30" w:rsidRPr="00735740">
        <w:rPr>
          <w:rFonts w:ascii="Garamond" w:hAnsi="Garamond"/>
          <w:color w:val="000000" w:themeColor="text1"/>
          <w:sz w:val="24"/>
          <w:szCs w:val="24"/>
          <w:lang w:val="en-US"/>
        </w:rPr>
        <w:t xml:space="preserve"> - </w:t>
      </w:r>
      <w:r w:rsidR="007E49DE" w:rsidRPr="00735740">
        <w:rPr>
          <w:rFonts w:ascii="Garamond" w:hAnsi="Garamond"/>
          <w:color w:val="000000" w:themeColor="text1"/>
          <w:sz w:val="24"/>
          <w:szCs w:val="24"/>
          <w:lang w:val="en-US"/>
        </w:rPr>
        <w:t xml:space="preserve">and in the process silencing much of the violence and the colonial administration’s responsibility for </w:t>
      </w:r>
      <w:r w:rsidR="007E49DE" w:rsidRPr="00735740">
        <w:rPr>
          <w:rFonts w:ascii="Garamond" w:hAnsi="Garamond"/>
          <w:color w:val="000000" w:themeColor="text1"/>
          <w:sz w:val="24"/>
          <w:szCs w:val="24"/>
          <w:lang w:val="en-US"/>
        </w:rPr>
        <w:lastRenderedPageBreak/>
        <w:t>that violence</w:t>
      </w:r>
      <w:r w:rsidR="00E55F30" w:rsidRPr="00735740">
        <w:rPr>
          <w:rFonts w:ascii="Garamond" w:hAnsi="Garamond"/>
          <w:color w:val="000000" w:themeColor="text1"/>
          <w:sz w:val="24"/>
          <w:szCs w:val="24"/>
          <w:lang w:val="en-US"/>
        </w:rPr>
        <w:t xml:space="preserve"> - </w:t>
      </w:r>
      <w:r w:rsidR="00270254" w:rsidRPr="00735740">
        <w:rPr>
          <w:rFonts w:ascii="Garamond" w:hAnsi="Garamond"/>
          <w:color w:val="000000" w:themeColor="text1"/>
          <w:sz w:val="24"/>
          <w:szCs w:val="24"/>
          <w:lang w:val="en-US"/>
        </w:rPr>
        <w:t xml:space="preserve"> these</w:t>
      </w:r>
      <w:r w:rsidR="001F1417" w:rsidRPr="00735740">
        <w:rPr>
          <w:rFonts w:ascii="Garamond" w:hAnsi="Garamond"/>
          <w:color w:val="000000" w:themeColor="text1"/>
          <w:sz w:val="24"/>
          <w:szCs w:val="24"/>
          <w:lang w:val="en-US"/>
        </w:rPr>
        <w:t xml:space="preserve"> reproduced discourses </w:t>
      </w:r>
      <w:r w:rsidR="00E55F30" w:rsidRPr="00735740">
        <w:rPr>
          <w:rFonts w:ascii="Garamond" w:hAnsi="Garamond"/>
          <w:color w:val="000000" w:themeColor="text1"/>
          <w:sz w:val="24"/>
          <w:szCs w:val="24"/>
          <w:lang w:val="en-US"/>
        </w:rPr>
        <w:t>(re)</w:t>
      </w:r>
      <w:r w:rsidR="001F1417" w:rsidRPr="00735740">
        <w:rPr>
          <w:rFonts w:ascii="Garamond" w:hAnsi="Garamond"/>
          <w:color w:val="000000" w:themeColor="text1"/>
          <w:sz w:val="24"/>
          <w:szCs w:val="24"/>
          <w:lang w:val="en-US"/>
        </w:rPr>
        <w:t>denied the</w:t>
      </w:r>
      <w:r w:rsidR="000B4823" w:rsidRPr="00735740">
        <w:rPr>
          <w:rFonts w:ascii="Garamond" w:hAnsi="Garamond"/>
          <w:color w:val="000000" w:themeColor="text1"/>
          <w:sz w:val="24"/>
          <w:szCs w:val="24"/>
          <w:lang w:val="en-US"/>
        </w:rPr>
        <w:t xml:space="preserve"> indigenous population’s</w:t>
      </w:r>
      <w:r w:rsidR="001F1417" w:rsidRPr="00735740">
        <w:rPr>
          <w:rFonts w:ascii="Garamond" w:hAnsi="Garamond"/>
          <w:color w:val="000000" w:themeColor="text1"/>
          <w:sz w:val="24"/>
          <w:szCs w:val="24"/>
          <w:lang w:val="en-US"/>
        </w:rPr>
        <w:t xml:space="preserve"> legitimacy.</w:t>
      </w:r>
      <w:r w:rsidR="009350FC" w:rsidRPr="00735740">
        <w:rPr>
          <w:rStyle w:val="FootnoteReference"/>
          <w:rFonts w:ascii="Garamond" w:hAnsi="Garamond"/>
          <w:color w:val="000000" w:themeColor="text1"/>
          <w:sz w:val="24"/>
          <w:szCs w:val="24"/>
          <w:lang w:val="en-US"/>
        </w:rPr>
        <w:footnoteReference w:id="18"/>
      </w:r>
      <w:r w:rsidR="004F7D9F" w:rsidRPr="00735740">
        <w:rPr>
          <w:rFonts w:ascii="Garamond" w:hAnsi="Garamond"/>
          <w:color w:val="000000" w:themeColor="text1"/>
          <w:sz w:val="24"/>
          <w:szCs w:val="24"/>
          <w:lang w:val="en-US"/>
        </w:rPr>
        <w:t xml:space="preserve"> </w:t>
      </w:r>
      <w:r w:rsidR="00D839F8" w:rsidRPr="00735740">
        <w:rPr>
          <w:rFonts w:ascii="Garamond" w:hAnsi="Garamond"/>
          <w:color w:val="000000" w:themeColor="text1"/>
          <w:sz w:val="24"/>
          <w:szCs w:val="24"/>
          <w:lang w:val="en-US"/>
        </w:rPr>
        <w:t>The</w:t>
      </w:r>
      <w:r w:rsidR="004F7D9F" w:rsidRPr="00735740">
        <w:rPr>
          <w:rFonts w:ascii="Garamond" w:hAnsi="Garamond"/>
          <w:color w:val="000000" w:themeColor="text1"/>
          <w:sz w:val="24"/>
          <w:szCs w:val="24"/>
          <w:lang w:val="en-US"/>
        </w:rPr>
        <w:t xml:space="preserve"> </w:t>
      </w:r>
      <w:r w:rsidR="00107A24" w:rsidRPr="00735740">
        <w:rPr>
          <w:rFonts w:ascii="Garamond" w:hAnsi="Garamond"/>
          <w:color w:val="000000" w:themeColor="text1"/>
          <w:sz w:val="24"/>
          <w:szCs w:val="24"/>
          <w:lang w:val="en-US"/>
        </w:rPr>
        <w:t>most famous contemporary historian</w:t>
      </w:r>
      <w:r w:rsidR="00270254" w:rsidRPr="00735740">
        <w:rPr>
          <w:rFonts w:ascii="Garamond" w:hAnsi="Garamond"/>
          <w:color w:val="000000" w:themeColor="text1"/>
          <w:sz w:val="24"/>
          <w:szCs w:val="24"/>
          <w:lang w:val="en-US"/>
        </w:rPr>
        <w:t xml:space="preserve"> of this ilk </w:t>
      </w:r>
      <w:r w:rsidR="004F7D9F" w:rsidRPr="00735740">
        <w:rPr>
          <w:rFonts w:ascii="Garamond" w:hAnsi="Garamond"/>
          <w:color w:val="000000" w:themeColor="text1"/>
          <w:sz w:val="24"/>
          <w:szCs w:val="24"/>
          <w:lang w:val="en-US"/>
        </w:rPr>
        <w:t xml:space="preserve">is </w:t>
      </w:r>
      <w:r w:rsidR="00B93299" w:rsidRPr="00735740">
        <w:rPr>
          <w:rFonts w:ascii="Garamond" w:hAnsi="Garamond"/>
          <w:color w:val="000000" w:themeColor="text1"/>
          <w:sz w:val="24"/>
          <w:szCs w:val="24"/>
          <w:lang w:val="en-US"/>
        </w:rPr>
        <w:t>Keith</w:t>
      </w:r>
      <w:r w:rsidR="004F7D9F" w:rsidRPr="00735740">
        <w:rPr>
          <w:rFonts w:ascii="Garamond" w:hAnsi="Garamond"/>
          <w:color w:val="000000" w:themeColor="text1"/>
          <w:sz w:val="24"/>
          <w:szCs w:val="24"/>
          <w:lang w:val="en-US"/>
        </w:rPr>
        <w:t xml:space="preserve"> Windshuttle, who</w:t>
      </w:r>
      <w:r w:rsidR="00B93299" w:rsidRPr="00735740">
        <w:rPr>
          <w:rFonts w:ascii="Garamond" w:hAnsi="Garamond"/>
          <w:color w:val="000000" w:themeColor="text1"/>
          <w:sz w:val="24"/>
          <w:szCs w:val="24"/>
          <w:lang w:val="en-US"/>
        </w:rPr>
        <w:t xml:space="preserve"> </w:t>
      </w:r>
      <w:r w:rsidR="004E495E" w:rsidRPr="00735740">
        <w:rPr>
          <w:rFonts w:ascii="Garamond" w:hAnsi="Garamond"/>
          <w:color w:val="000000" w:themeColor="text1"/>
          <w:sz w:val="24"/>
          <w:szCs w:val="24"/>
          <w:lang w:val="en-US"/>
        </w:rPr>
        <w:t>has</w:t>
      </w:r>
      <w:r w:rsidR="004F7D9F" w:rsidRPr="00735740">
        <w:rPr>
          <w:rFonts w:ascii="Garamond" w:hAnsi="Garamond"/>
          <w:color w:val="000000" w:themeColor="text1"/>
          <w:sz w:val="24"/>
          <w:szCs w:val="24"/>
          <w:lang w:val="en-US"/>
        </w:rPr>
        <w:t xml:space="preserve"> challenge</w:t>
      </w:r>
      <w:r w:rsidR="004E495E" w:rsidRPr="00735740">
        <w:rPr>
          <w:rFonts w:ascii="Garamond" w:hAnsi="Garamond"/>
          <w:color w:val="000000" w:themeColor="text1"/>
          <w:sz w:val="24"/>
          <w:szCs w:val="24"/>
          <w:lang w:val="en-US"/>
        </w:rPr>
        <w:t>d</w:t>
      </w:r>
      <w:r w:rsidR="004F7D9F" w:rsidRPr="00735740">
        <w:rPr>
          <w:rFonts w:ascii="Garamond" w:hAnsi="Garamond"/>
          <w:color w:val="000000" w:themeColor="text1"/>
          <w:sz w:val="24"/>
          <w:szCs w:val="24"/>
          <w:lang w:val="en-US"/>
        </w:rPr>
        <w:t xml:space="preserve"> the claimed number of </w:t>
      </w:r>
      <w:r w:rsidR="00E55F30" w:rsidRPr="00735740">
        <w:rPr>
          <w:rFonts w:ascii="Garamond" w:hAnsi="Garamond"/>
          <w:color w:val="000000" w:themeColor="text1"/>
          <w:sz w:val="24"/>
          <w:szCs w:val="24"/>
          <w:lang w:val="en-US"/>
        </w:rPr>
        <w:t xml:space="preserve">victims in </w:t>
      </w:r>
      <w:r w:rsidR="006C1559" w:rsidRPr="00735740">
        <w:rPr>
          <w:rFonts w:ascii="Garamond" w:hAnsi="Garamond"/>
          <w:color w:val="000000" w:themeColor="text1"/>
          <w:sz w:val="24"/>
          <w:szCs w:val="24"/>
          <w:lang w:val="en-US"/>
        </w:rPr>
        <w:t>the frontier wars</w:t>
      </w:r>
      <w:r w:rsidR="00394C71" w:rsidRPr="00735740">
        <w:rPr>
          <w:rFonts w:ascii="Garamond" w:hAnsi="Garamond"/>
          <w:color w:val="000000" w:themeColor="text1"/>
          <w:sz w:val="24"/>
          <w:szCs w:val="24"/>
          <w:lang w:val="en-US"/>
        </w:rPr>
        <w:t xml:space="preserve"> </w:t>
      </w:r>
      <w:r w:rsidR="004F7D9F" w:rsidRPr="00735740">
        <w:rPr>
          <w:rFonts w:ascii="Garamond" w:hAnsi="Garamond"/>
          <w:color w:val="000000" w:themeColor="text1"/>
          <w:sz w:val="24"/>
          <w:szCs w:val="24"/>
          <w:lang w:val="en-US"/>
        </w:rPr>
        <w:t xml:space="preserve">by pointing to the absence of </w:t>
      </w:r>
      <w:r w:rsidR="006A1DEB" w:rsidRPr="00735740">
        <w:rPr>
          <w:rFonts w:ascii="Garamond" w:hAnsi="Garamond"/>
          <w:color w:val="000000" w:themeColor="text1"/>
          <w:sz w:val="24"/>
          <w:szCs w:val="24"/>
          <w:lang w:val="en-US"/>
        </w:rPr>
        <w:t xml:space="preserve">‘official’ </w:t>
      </w:r>
      <w:r w:rsidR="004F7D9F" w:rsidRPr="00735740">
        <w:rPr>
          <w:rFonts w:ascii="Garamond" w:hAnsi="Garamond"/>
          <w:color w:val="000000" w:themeColor="text1"/>
          <w:sz w:val="24"/>
          <w:szCs w:val="24"/>
          <w:lang w:val="en-US"/>
        </w:rPr>
        <w:t xml:space="preserve">records of that violence. </w:t>
      </w:r>
      <w:r w:rsidR="00107A24" w:rsidRPr="00735740">
        <w:rPr>
          <w:rFonts w:ascii="Garamond" w:hAnsi="Garamond"/>
          <w:color w:val="000000" w:themeColor="text1"/>
          <w:sz w:val="24"/>
          <w:szCs w:val="24"/>
          <w:lang w:val="en-US"/>
        </w:rPr>
        <w:t>He argues that</w:t>
      </w:r>
      <w:r w:rsidR="00B93299" w:rsidRPr="00735740">
        <w:rPr>
          <w:rFonts w:ascii="Garamond" w:hAnsi="Garamond"/>
          <w:color w:val="000000" w:themeColor="text1"/>
          <w:sz w:val="24"/>
          <w:szCs w:val="24"/>
          <w:lang w:val="en-US"/>
        </w:rPr>
        <w:t xml:space="preserve"> the widely accepted </w:t>
      </w:r>
      <w:r w:rsidR="00D839F8" w:rsidRPr="00735740">
        <w:rPr>
          <w:rFonts w:ascii="Garamond" w:hAnsi="Garamond"/>
          <w:color w:val="000000" w:themeColor="text1"/>
          <w:sz w:val="24"/>
          <w:szCs w:val="24"/>
          <w:lang w:val="en-US"/>
        </w:rPr>
        <w:t>(</w:t>
      </w:r>
      <w:r w:rsidR="00B93299" w:rsidRPr="00735740">
        <w:rPr>
          <w:rFonts w:ascii="Garamond" w:hAnsi="Garamond"/>
          <w:color w:val="000000" w:themeColor="text1"/>
          <w:sz w:val="24"/>
          <w:szCs w:val="24"/>
          <w:lang w:val="en-US"/>
        </w:rPr>
        <w:t xml:space="preserve">though </w:t>
      </w:r>
      <w:r w:rsidR="006A1DEB" w:rsidRPr="00735740">
        <w:rPr>
          <w:rFonts w:ascii="Garamond" w:hAnsi="Garamond"/>
          <w:color w:val="000000" w:themeColor="text1"/>
          <w:sz w:val="24"/>
          <w:szCs w:val="24"/>
          <w:lang w:val="en-US"/>
        </w:rPr>
        <w:t>likely conservative</w:t>
      </w:r>
      <w:r w:rsidR="00D839F8" w:rsidRPr="00735740">
        <w:rPr>
          <w:rFonts w:ascii="Garamond" w:hAnsi="Garamond"/>
          <w:color w:val="000000" w:themeColor="text1"/>
          <w:sz w:val="24"/>
          <w:szCs w:val="24"/>
          <w:lang w:val="en-US"/>
        </w:rPr>
        <w:t xml:space="preserve">) </w:t>
      </w:r>
      <w:r w:rsidR="00107A24" w:rsidRPr="00735740">
        <w:rPr>
          <w:rFonts w:ascii="Garamond" w:hAnsi="Garamond"/>
          <w:color w:val="000000" w:themeColor="text1"/>
          <w:sz w:val="24"/>
          <w:szCs w:val="24"/>
          <w:lang w:val="en-US"/>
        </w:rPr>
        <w:t>figure</w:t>
      </w:r>
      <w:r w:rsidR="006A1DEB" w:rsidRPr="00735740">
        <w:rPr>
          <w:rFonts w:ascii="Garamond" w:hAnsi="Garamond"/>
          <w:color w:val="000000" w:themeColor="text1"/>
          <w:sz w:val="24"/>
          <w:szCs w:val="24"/>
          <w:lang w:val="en-US"/>
        </w:rPr>
        <w:t xml:space="preserve"> </w:t>
      </w:r>
      <w:r w:rsidR="00107A24" w:rsidRPr="00735740">
        <w:rPr>
          <w:rFonts w:ascii="Garamond" w:hAnsi="Garamond"/>
          <w:color w:val="000000" w:themeColor="text1"/>
          <w:sz w:val="24"/>
          <w:szCs w:val="24"/>
          <w:lang w:val="en-US"/>
        </w:rPr>
        <w:t xml:space="preserve">of </w:t>
      </w:r>
      <w:r w:rsidR="006A1DEB" w:rsidRPr="00735740">
        <w:rPr>
          <w:rFonts w:ascii="Garamond" w:hAnsi="Garamond"/>
          <w:color w:val="000000" w:themeColor="text1"/>
          <w:sz w:val="24"/>
          <w:szCs w:val="24"/>
          <w:lang w:val="en-US"/>
        </w:rPr>
        <w:t xml:space="preserve">around 20,000 </w:t>
      </w:r>
      <w:r w:rsidR="007E49DE" w:rsidRPr="00735740">
        <w:rPr>
          <w:rFonts w:ascii="Garamond" w:hAnsi="Garamond"/>
          <w:color w:val="000000" w:themeColor="text1"/>
          <w:sz w:val="24"/>
          <w:szCs w:val="24"/>
          <w:lang w:val="en-US"/>
        </w:rPr>
        <w:t xml:space="preserve">indigenous </w:t>
      </w:r>
      <w:r w:rsidR="008679BE" w:rsidRPr="00735740">
        <w:rPr>
          <w:rFonts w:ascii="Garamond" w:hAnsi="Garamond"/>
          <w:color w:val="000000" w:themeColor="text1"/>
          <w:sz w:val="24"/>
          <w:szCs w:val="24"/>
          <w:lang w:val="en-US"/>
        </w:rPr>
        <w:t>deaths</w:t>
      </w:r>
      <w:r w:rsidR="00107A24" w:rsidRPr="00735740">
        <w:rPr>
          <w:rFonts w:ascii="Garamond" w:hAnsi="Garamond"/>
          <w:color w:val="000000" w:themeColor="text1"/>
          <w:sz w:val="24"/>
          <w:szCs w:val="24"/>
          <w:lang w:val="en-US"/>
        </w:rPr>
        <w:t xml:space="preserve"> </w:t>
      </w:r>
      <w:r w:rsidR="006A1DEB" w:rsidRPr="00735740">
        <w:rPr>
          <w:rFonts w:ascii="Garamond" w:hAnsi="Garamond"/>
          <w:color w:val="000000" w:themeColor="text1"/>
          <w:sz w:val="24"/>
          <w:szCs w:val="24"/>
          <w:lang w:val="en-US"/>
        </w:rPr>
        <w:t>has</w:t>
      </w:r>
      <w:r w:rsidR="00107A24" w:rsidRPr="00735740">
        <w:rPr>
          <w:rFonts w:ascii="Garamond" w:hAnsi="Garamond"/>
          <w:color w:val="000000" w:themeColor="text1"/>
          <w:sz w:val="24"/>
          <w:szCs w:val="24"/>
          <w:lang w:val="en-US"/>
        </w:rPr>
        <w:t xml:space="preserve"> been inflated </w:t>
      </w:r>
      <w:r w:rsidR="00D839F8" w:rsidRPr="00735740">
        <w:rPr>
          <w:rFonts w:ascii="Garamond" w:hAnsi="Garamond"/>
          <w:color w:val="000000" w:themeColor="text1"/>
          <w:sz w:val="24"/>
          <w:szCs w:val="24"/>
          <w:lang w:val="en-US"/>
        </w:rPr>
        <w:t xml:space="preserve">by </w:t>
      </w:r>
      <w:r w:rsidR="008679BE" w:rsidRPr="00735740">
        <w:rPr>
          <w:rFonts w:ascii="Garamond" w:hAnsi="Garamond"/>
          <w:color w:val="000000" w:themeColor="text1"/>
          <w:sz w:val="24"/>
          <w:szCs w:val="24"/>
          <w:lang w:val="en-US"/>
        </w:rPr>
        <w:t xml:space="preserve">scholars </w:t>
      </w:r>
      <w:r w:rsidR="00D839F8" w:rsidRPr="00735740">
        <w:rPr>
          <w:rFonts w:ascii="Garamond" w:hAnsi="Garamond"/>
          <w:color w:val="000000" w:themeColor="text1"/>
          <w:sz w:val="24"/>
          <w:szCs w:val="24"/>
          <w:lang w:val="en-US"/>
        </w:rPr>
        <w:t xml:space="preserve">that rely </w:t>
      </w:r>
      <w:r w:rsidR="00107A24" w:rsidRPr="00735740">
        <w:rPr>
          <w:rFonts w:ascii="Garamond" w:hAnsi="Garamond"/>
          <w:color w:val="000000" w:themeColor="text1"/>
          <w:sz w:val="24"/>
          <w:szCs w:val="24"/>
          <w:lang w:val="en-US"/>
        </w:rPr>
        <w:t>on oral history and other</w:t>
      </w:r>
      <w:r w:rsidR="00B14CE0" w:rsidRPr="00735740">
        <w:rPr>
          <w:rFonts w:ascii="Garamond" w:hAnsi="Garamond"/>
          <w:color w:val="000000" w:themeColor="text1"/>
          <w:sz w:val="24"/>
          <w:szCs w:val="24"/>
          <w:lang w:val="en-US"/>
        </w:rPr>
        <w:t xml:space="preserve"> </w:t>
      </w:r>
      <w:r w:rsidR="00107A24" w:rsidRPr="00735740">
        <w:rPr>
          <w:rFonts w:ascii="Garamond" w:hAnsi="Garamond"/>
          <w:color w:val="000000" w:themeColor="text1"/>
          <w:sz w:val="24"/>
          <w:szCs w:val="24"/>
          <w:lang w:val="en-US"/>
        </w:rPr>
        <w:t>‘untrustworthy’ sources, whereas the colonial archives show that violence was considerably less frequent</w:t>
      </w:r>
      <w:r w:rsidR="00FF242E" w:rsidRPr="00735740">
        <w:rPr>
          <w:rFonts w:ascii="Garamond" w:hAnsi="Garamond"/>
          <w:color w:val="000000" w:themeColor="text1"/>
          <w:sz w:val="24"/>
          <w:szCs w:val="24"/>
          <w:lang w:val="en-US"/>
        </w:rPr>
        <w:t>.</w:t>
      </w:r>
      <w:r w:rsidR="00D122F2" w:rsidRPr="00735740">
        <w:rPr>
          <w:rFonts w:ascii="Garamond" w:hAnsi="Garamond"/>
          <w:color w:val="000000" w:themeColor="text1"/>
          <w:sz w:val="24"/>
          <w:szCs w:val="24"/>
          <w:lang w:val="en-US"/>
        </w:rPr>
        <w:t xml:space="preserve"> </w:t>
      </w:r>
      <w:r w:rsidR="00CA5E20" w:rsidRPr="00735740">
        <w:rPr>
          <w:rFonts w:ascii="Garamond" w:hAnsi="Garamond"/>
          <w:color w:val="000000" w:themeColor="text1"/>
          <w:sz w:val="24"/>
          <w:szCs w:val="24"/>
          <w:lang w:val="en-US"/>
        </w:rPr>
        <w:t>As Michel-Rolph Trouillot argues, archives are filled with silences produced by the limits of the archivist’s epistemology,</w:t>
      </w:r>
      <w:r w:rsidR="00CA5E20" w:rsidRPr="00735740">
        <w:rPr>
          <w:rStyle w:val="FootnoteReference"/>
          <w:rFonts w:ascii="Garamond" w:hAnsi="Garamond"/>
          <w:color w:val="000000" w:themeColor="text1"/>
          <w:sz w:val="24"/>
          <w:szCs w:val="24"/>
          <w:lang w:val="en-US"/>
        </w:rPr>
        <w:footnoteReference w:id="19"/>
      </w:r>
      <w:r w:rsidR="00CA5E20" w:rsidRPr="00735740">
        <w:rPr>
          <w:rFonts w:ascii="Garamond" w:hAnsi="Garamond"/>
          <w:color w:val="000000" w:themeColor="text1"/>
          <w:sz w:val="24"/>
          <w:szCs w:val="24"/>
          <w:lang w:val="en-US"/>
        </w:rPr>
        <w:t xml:space="preserve"> and as the above shows, the </w:t>
      </w:r>
      <w:r w:rsidR="006C5D9E" w:rsidRPr="00735740">
        <w:rPr>
          <w:rFonts w:ascii="Garamond" w:hAnsi="Garamond"/>
          <w:color w:val="000000" w:themeColor="text1"/>
          <w:sz w:val="24"/>
          <w:szCs w:val="24"/>
          <w:lang w:val="en-US"/>
        </w:rPr>
        <w:t xml:space="preserve">(im)materiality of archival records play an important role in defining </w:t>
      </w:r>
      <w:r w:rsidR="006C5D9E" w:rsidRPr="00735740">
        <w:rPr>
          <w:rFonts w:ascii="Garamond" w:hAnsi="Garamond"/>
          <w:i/>
          <w:color w:val="000000" w:themeColor="text1"/>
          <w:sz w:val="24"/>
          <w:szCs w:val="24"/>
          <w:lang w:val="en-US"/>
        </w:rPr>
        <w:t xml:space="preserve">which </w:t>
      </w:r>
      <w:r w:rsidR="006C5D9E" w:rsidRPr="00735740">
        <w:rPr>
          <w:rFonts w:ascii="Garamond" w:hAnsi="Garamond"/>
          <w:color w:val="000000" w:themeColor="text1"/>
          <w:sz w:val="24"/>
          <w:szCs w:val="24"/>
          <w:lang w:val="en-US"/>
        </w:rPr>
        <w:t xml:space="preserve">histories </w:t>
      </w:r>
      <w:r w:rsidR="00394C71" w:rsidRPr="00735740">
        <w:rPr>
          <w:rFonts w:ascii="Garamond" w:hAnsi="Garamond"/>
          <w:color w:val="000000" w:themeColor="text1"/>
          <w:sz w:val="24"/>
          <w:szCs w:val="24"/>
          <w:lang w:val="en-US"/>
        </w:rPr>
        <w:t>are</w:t>
      </w:r>
      <w:r w:rsidR="006C5D9E" w:rsidRPr="00735740">
        <w:rPr>
          <w:rFonts w:ascii="Garamond" w:hAnsi="Garamond"/>
          <w:color w:val="000000" w:themeColor="text1"/>
          <w:sz w:val="24"/>
          <w:szCs w:val="24"/>
          <w:lang w:val="en-US"/>
        </w:rPr>
        <w:t xml:space="preserve"> told.</w:t>
      </w:r>
      <w:r w:rsidR="006C5D9E" w:rsidRPr="00735740">
        <w:rPr>
          <w:rStyle w:val="FootnoteReference"/>
          <w:rFonts w:ascii="Garamond" w:hAnsi="Garamond"/>
          <w:color w:val="000000" w:themeColor="text1"/>
          <w:sz w:val="24"/>
          <w:szCs w:val="24"/>
          <w:lang w:val="en-US"/>
        </w:rPr>
        <w:footnoteReference w:id="20"/>
      </w:r>
    </w:p>
    <w:p w14:paraId="065A2636" w14:textId="6CFFC561" w:rsidR="00141FD1" w:rsidRPr="00735740" w:rsidRDefault="00141FD1" w:rsidP="00201640">
      <w:pPr>
        <w:spacing w:afterLines="160" w:after="384" w:line="360" w:lineRule="auto"/>
        <w:rPr>
          <w:rFonts w:ascii="Garamond" w:hAnsi="Garamond"/>
          <w:color w:val="000000" w:themeColor="text1"/>
          <w:sz w:val="24"/>
          <w:szCs w:val="24"/>
          <w:lang w:val="en-US"/>
        </w:rPr>
      </w:pPr>
      <w:r w:rsidRPr="00735740">
        <w:rPr>
          <w:rFonts w:ascii="Garamond" w:hAnsi="Garamond"/>
          <w:color w:val="000000" w:themeColor="text1"/>
          <w:sz w:val="24"/>
          <w:szCs w:val="24"/>
          <w:lang w:val="en-US"/>
        </w:rPr>
        <w:t>The above demonstrates the relationship between archives</w:t>
      </w:r>
      <w:r w:rsidR="00B54BB9" w:rsidRPr="00735740">
        <w:rPr>
          <w:rFonts w:ascii="Garamond" w:hAnsi="Garamond"/>
          <w:color w:val="000000" w:themeColor="text1"/>
          <w:sz w:val="24"/>
          <w:szCs w:val="24"/>
          <w:lang w:val="en-US"/>
        </w:rPr>
        <w:t xml:space="preserve">, </w:t>
      </w:r>
      <w:r w:rsidRPr="00735740">
        <w:rPr>
          <w:rFonts w:ascii="Garamond" w:hAnsi="Garamond"/>
          <w:color w:val="000000" w:themeColor="text1"/>
          <w:sz w:val="24"/>
          <w:szCs w:val="24"/>
          <w:lang w:val="en-US"/>
        </w:rPr>
        <w:t>governance</w:t>
      </w:r>
      <w:r w:rsidR="00B54BB9" w:rsidRPr="00735740">
        <w:rPr>
          <w:rFonts w:ascii="Garamond" w:hAnsi="Garamond"/>
          <w:color w:val="000000" w:themeColor="text1"/>
          <w:sz w:val="24"/>
          <w:szCs w:val="24"/>
          <w:lang w:val="en-US"/>
        </w:rPr>
        <w:t xml:space="preserve"> and community</w:t>
      </w:r>
      <w:r w:rsidRPr="00735740">
        <w:rPr>
          <w:rFonts w:ascii="Garamond" w:hAnsi="Garamond"/>
          <w:color w:val="000000" w:themeColor="text1"/>
          <w:sz w:val="24"/>
          <w:szCs w:val="24"/>
          <w:lang w:val="en-US"/>
        </w:rPr>
        <w:t xml:space="preserve">, </w:t>
      </w:r>
      <w:r w:rsidR="00EC353B" w:rsidRPr="00735740">
        <w:rPr>
          <w:rFonts w:ascii="Garamond" w:hAnsi="Garamond"/>
          <w:color w:val="000000" w:themeColor="text1"/>
          <w:sz w:val="24"/>
          <w:szCs w:val="24"/>
          <w:lang w:val="en-US"/>
        </w:rPr>
        <w:t xml:space="preserve">and highlights </w:t>
      </w:r>
      <w:r w:rsidR="00D53FC2" w:rsidRPr="00735740">
        <w:rPr>
          <w:rFonts w:ascii="Garamond" w:hAnsi="Garamond"/>
          <w:color w:val="000000" w:themeColor="text1"/>
          <w:sz w:val="24"/>
          <w:szCs w:val="24"/>
          <w:lang w:val="en-US"/>
        </w:rPr>
        <w:t>three</w:t>
      </w:r>
      <w:r w:rsidR="00EC353B" w:rsidRPr="00735740">
        <w:rPr>
          <w:rFonts w:ascii="Garamond" w:hAnsi="Garamond"/>
          <w:color w:val="000000" w:themeColor="text1"/>
          <w:sz w:val="24"/>
          <w:szCs w:val="24"/>
          <w:lang w:val="en-US"/>
        </w:rPr>
        <w:t xml:space="preserve"> themes that </w:t>
      </w:r>
      <w:r w:rsidR="00D53FC2" w:rsidRPr="00735740">
        <w:rPr>
          <w:rFonts w:ascii="Garamond" w:hAnsi="Garamond"/>
          <w:color w:val="000000" w:themeColor="text1"/>
          <w:sz w:val="24"/>
          <w:szCs w:val="24"/>
          <w:lang w:val="en-US"/>
        </w:rPr>
        <w:t xml:space="preserve">need to be </w:t>
      </w:r>
      <w:r w:rsidR="004C338E" w:rsidRPr="00735740">
        <w:rPr>
          <w:rFonts w:ascii="Garamond" w:hAnsi="Garamond"/>
          <w:color w:val="000000" w:themeColor="text1"/>
          <w:sz w:val="24"/>
          <w:szCs w:val="24"/>
          <w:lang w:val="en-US"/>
        </w:rPr>
        <w:t xml:space="preserve">considered in this respect. </w:t>
      </w:r>
      <w:r w:rsidR="00204BD3" w:rsidRPr="00735740">
        <w:rPr>
          <w:rFonts w:ascii="Garamond" w:hAnsi="Garamond"/>
          <w:color w:val="000000" w:themeColor="text1"/>
          <w:sz w:val="24"/>
          <w:szCs w:val="24"/>
          <w:lang w:val="en-US"/>
        </w:rPr>
        <w:t xml:space="preserve">The first </w:t>
      </w:r>
      <w:r w:rsidR="006C1559" w:rsidRPr="00735740">
        <w:rPr>
          <w:rFonts w:ascii="Garamond" w:hAnsi="Garamond"/>
          <w:color w:val="000000" w:themeColor="text1"/>
          <w:sz w:val="24"/>
          <w:szCs w:val="24"/>
          <w:lang w:val="en-US"/>
        </w:rPr>
        <w:t>element that needs to be examined</w:t>
      </w:r>
      <w:r w:rsidR="00204BD3" w:rsidRPr="00735740">
        <w:rPr>
          <w:rFonts w:ascii="Garamond" w:hAnsi="Garamond"/>
          <w:color w:val="000000" w:themeColor="text1"/>
          <w:sz w:val="24"/>
          <w:szCs w:val="24"/>
          <w:lang w:val="en-US"/>
        </w:rPr>
        <w:t xml:space="preserve"> is responsibility. Windshuttle’s continued denial of colonial violence shows the importance of understanding how responsibility is (or isn’t) inscribed within the archive due to which types of violence are recorded</w:t>
      </w:r>
      <w:r w:rsidR="00750BCC" w:rsidRPr="00735740">
        <w:rPr>
          <w:rFonts w:ascii="Garamond" w:hAnsi="Garamond"/>
          <w:color w:val="000000" w:themeColor="text1"/>
          <w:sz w:val="24"/>
          <w:szCs w:val="24"/>
          <w:lang w:val="en-US"/>
        </w:rPr>
        <w:t xml:space="preserve"> within</w:t>
      </w:r>
      <w:r w:rsidR="00204BD3" w:rsidRPr="00735740">
        <w:rPr>
          <w:rFonts w:ascii="Garamond" w:hAnsi="Garamond"/>
          <w:color w:val="000000" w:themeColor="text1"/>
          <w:sz w:val="24"/>
          <w:szCs w:val="24"/>
          <w:lang w:val="en-US"/>
        </w:rPr>
        <w:t>, or excluded</w:t>
      </w:r>
      <w:r w:rsidR="00750BCC" w:rsidRPr="00735740">
        <w:rPr>
          <w:rFonts w:ascii="Garamond" w:hAnsi="Garamond"/>
          <w:color w:val="000000" w:themeColor="text1"/>
          <w:sz w:val="24"/>
          <w:szCs w:val="24"/>
          <w:lang w:val="en-US"/>
        </w:rPr>
        <w:t xml:space="preserve"> from</w:t>
      </w:r>
      <w:r w:rsidR="00D53FC2" w:rsidRPr="00735740">
        <w:rPr>
          <w:rFonts w:ascii="Garamond" w:hAnsi="Garamond"/>
          <w:color w:val="000000" w:themeColor="text1"/>
          <w:sz w:val="24"/>
          <w:szCs w:val="24"/>
          <w:lang w:val="en-US"/>
        </w:rPr>
        <w:t>, it’s records</w:t>
      </w:r>
      <w:r w:rsidR="00204BD3" w:rsidRPr="00735740">
        <w:rPr>
          <w:rFonts w:ascii="Garamond" w:hAnsi="Garamond"/>
          <w:color w:val="000000" w:themeColor="text1"/>
          <w:sz w:val="24"/>
          <w:szCs w:val="24"/>
          <w:lang w:val="en-US"/>
        </w:rPr>
        <w:t xml:space="preserve">. The second </w:t>
      </w:r>
      <w:r w:rsidR="006C1559" w:rsidRPr="00735740">
        <w:rPr>
          <w:rFonts w:ascii="Garamond" w:hAnsi="Garamond"/>
          <w:color w:val="000000" w:themeColor="text1"/>
          <w:sz w:val="24"/>
          <w:szCs w:val="24"/>
          <w:lang w:val="en-US"/>
        </w:rPr>
        <w:t>aspect</w:t>
      </w:r>
      <w:r w:rsidR="00204BD3" w:rsidRPr="00735740">
        <w:rPr>
          <w:rFonts w:ascii="Garamond" w:hAnsi="Garamond"/>
          <w:color w:val="000000" w:themeColor="text1"/>
          <w:sz w:val="24"/>
          <w:szCs w:val="24"/>
          <w:lang w:val="en-US"/>
        </w:rPr>
        <w:t xml:space="preserve"> is identity. </w:t>
      </w:r>
      <w:r w:rsidR="006C5D9E" w:rsidRPr="00735740">
        <w:rPr>
          <w:rFonts w:ascii="Garamond" w:hAnsi="Garamond"/>
          <w:color w:val="000000" w:themeColor="text1"/>
          <w:sz w:val="24"/>
          <w:szCs w:val="24"/>
          <w:lang w:val="en-US"/>
        </w:rPr>
        <w:t>As Anderson demonstrates</w:t>
      </w:r>
      <w:r w:rsidR="002162F1" w:rsidRPr="00735740">
        <w:rPr>
          <w:rFonts w:ascii="Garamond" w:hAnsi="Garamond"/>
          <w:color w:val="000000" w:themeColor="text1"/>
          <w:sz w:val="24"/>
          <w:szCs w:val="24"/>
          <w:lang w:val="en-US"/>
        </w:rPr>
        <w:t xml:space="preserve">, </w:t>
      </w:r>
      <w:r w:rsidR="00204BD3" w:rsidRPr="00735740">
        <w:rPr>
          <w:rFonts w:ascii="Garamond" w:hAnsi="Garamond"/>
          <w:color w:val="000000" w:themeColor="text1"/>
          <w:sz w:val="24"/>
          <w:szCs w:val="24"/>
          <w:lang w:val="en-US"/>
        </w:rPr>
        <w:t xml:space="preserve">the archive is central to the </w:t>
      </w:r>
      <w:r w:rsidR="003418F3" w:rsidRPr="00735740">
        <w:rPr>
          <w:rFonts w:ascii="Garamond" w:hAnsi="Garamond"/>
          <w:color w:val="000000" w:themeColor="text1"/>
          <w:sz w:val="24"/>
          <w:szCs w:val="24"/>
          <w:lang w:val="en-US"/>
        </w:rPr>
        <w:t>constitution</w:t>
      </w:r>
      <w:r w:rsidR="00204BD3" w:rsidRPr="00735740">
        <w:rPr>
          <w:rFonts w:ascii="Garamond" w:hAnsi="Garamond"/>
          <w:color w:val="000000" w:themeColor="text1"/>
          <w:sz w:val="24"/>
          <w:szCs w:val="24"/>
          <w:lang w:val="en-US"/>
        </w:rPr>
        <w:t xml:space="preserve"> of different types of subjects, and the question </w:t>
      </w:r>
      <w:r w:rsidR="00226683" w:rsidRPr="00735740">
        <w:rPr>
          <w:rFonts w:ascii="Garamond" w:hAnsi="Garamond"/>
          <w:color w:val="000000" w:themeColor="text1"/>
          <w:sz w:val="24"/>
          <w:szCs w:val="24"/>
          <w:lang w:val="en-US"/>
        </w:rPr>
        <w:t>is</w:t>
      </w:r>
      <w:r w:rsidR="00394C71" w:rsidRPr="00735740">
        <w:rPr>
          <w:rFonts w:ascii="Garamond" w:hAnsi="Garamond"/>
          <w:color w:val="000000" w:themeColor="text1"/>
          <w:sz w:val="24"/>
          <w:szCs w:val="24"/>
          <w:lang w:val="en-US"/>
        </w:rPr>
        <w:t xml:space="preserve"> how these subjects are constituted </w:t>
      </w:r>
      <w:r w:rsidR="00204BD3" w:rsidRPr="00735740">
        <w:rPr>
          <w:rFonts w:ascii="Garamond" w:hAnsi="Garamond"/>
          <w:color w:val="000000" w:themeColor="text1"/>
          <w:sz w:val="24"/>
          <w:szCs w:val="24"/>
          <w:lang w:val="en-US"/>
        </w:rPr>
        <w:t xml:space="preserve">within the archival records and with what effect. </w:t>
      </w:r>
      <w:r w:rsidRPr="00735740">
        <w:rPr>
          <w:rFonts w:ascii="Garamond" w:hAnsi="Garamond"/>
          <w:color w:val="000000" w:themeColor="text1"/>
          <w:sz w:val="24"/>
          <w:szCs w:val="24"/>
          <w:lang w:val="en-US"/>
        </w:rPr>
        <w:t xml:space="preserve">The </w:t>
      </w:r>
      <w:r w:rsidR="00204BD3" w:rsidRPr="00735740">
        <w:rPr>
          <w:rFonts w:ascii="Garamond" w:hAnsi="Garamond"/>
          <w:color w:val="000000" w:themeColor="text1"/>
          <w:sz w:val="24"/>
          <w:szCs w:val="24"/>
          <w:lang w:val="en-US"/>
        </w:rPr>
        <w:t>final</w:t>
      </w:r>
      <w:r w:rsidRPr="00735740">
        <w:rPr>
          <w:rFonts w:ascii="Garamond" w:hAnsi="Garamond"/>
          <w:color w:val="000000" w:themeColor="text1"/>
          <w:sz w:val="24"/>
          <w:szCs w:val="24"/>
          <w:lang w:val="en-US"/>
        </w:rPr>
        <w:t xml:space="preserve"> </w:t>
      </w:r>
      <w:r w:rsidR="00D9446C" w:rsidRPr="00735740">
        <w:rPr>
          <w:rFonts w:ascii="Garamond" w:hAnsi="Garamond"/>
          <w:color w:val="000000" w:themeColor="text1"/>
          <w:sz w:val="24"/>
          <w:szCs w:val="24"/>
          <w:lang w:val="en-US"/>
        </w:rPr>
        <w:t xml:space="preserve">element </w:t>
      </w:r>
      <w:r w:rsidRPr="00735740">
        <w:rPr>
          <w:rFonts w:ascii="Garamond" w:hAnsi="Garamond"/>
          <w:color w:val="000000" w:themeColor="text1"/>
          <w:sz w:val="24"/>
          <w:szCs w:val="24"/>
          <w:lang w:val="en-US"/>
        </w:rPr>
        <w:t>is voice</w:t>
      </w:r>
      <w:r w:rsidR="001D62D4" w:rsidRPr="00735740">
        <w:rPr>
          <w:rFonts w:ascii="Garamond" w:hAnsi="Garamond"/>
          <w:color w:val="000000" w:themeColor="text1"/>
          <w:sz w:val="24"/>
          <w:szCs w:val="24"/>
          <w:lang w:val="en-US"/>
        </w:rPr>
        <w:t xml:space="preserve">, and </w:t>
      </w:r>
      <w:r w:rsidRPr="00735740">
        <w:rPr>
          <w:rFonts w:ascii="Garamond" w:hAnsi="Garamond"/>
          <w:color w:val="000000" w:themeColor="text1"/>
          <w:sz w:val="24"/>
          <w:szCs w:val="24"/>
          <w:lang w:val="en-US"/>
        </w:rPr>
        <w:t>whose experiences</w:t>
      </w:r>
      <w:r w:rsidR="00285879" w:rsidRPr="00735740">
        <w:rPr>
          <w:rFonts w:ascii="Garamond" w:hAnsi="Garamond"/>
          <w:color w:val="000000" w:themeColor="text1"/>
          <w:sz w:val="24"/>
          <w:szCs w:val="24"/>
          <w:lang w:val="en-US"/>
        </w:rPr>
        <w:t xml:space="preserve"> </w:t>
      </w:r>
      <w:r w:rsidRPr="00735740">
        <w:rPr>
          <w:rFonts w:ascii="Garamond" w:hAnsi="Garamond"/>
          <w:color w:val="000000" w:themeColor="text1"/>
          <w:sz w:val="24"/>
          <w:szCs w:val="24"/>
          <w:lang w:val="en-US"/>
        </w:rPr>
        <w:t xml:space="preserve">and </w:t>
      </w:r>
      <w:r w:rsidR="001C74C2" w:rsidRPr="00735740">
        <w:rPr>
          <w:rFonts w:ascii="Garamond" w:hAnsi="Garamond"/>
          <w:color w:val="000000" w:themeColor="text1"/>
          <w:sz w:val="24"/>
          <w:szCs w:val="24"/>
          <w:lang w:val="en-US"/>
        </w:rPr>
        <w:t>which epistemologi</w:t>
      </w:r>
      <w:r w:rsidR="00285879" w:rsidRPr="00735740">
        <w:rPr>
          <w:rFonts w:ascii="Garamond" w:hAnsi="Garamond"/>
          <w:color w:val="000000" w:themeColor="text1"/>
          <w:sz w:val="24"/>
          <w:szCs w:val="24"/>
          <w:lang w:val="en-US"/>
        </w:rPr>
        <w:t xml:space="preserve">cal perspectives </w:t>
      </w:r>
      <w:r w:rsidR="001C74C2" w:rsidRPr="00735740">
        <w:rPr>
          <w:rFonts w:ascii="Garamond" w:hAnsi="Garamond"/>
          <w:color w:val="000000" w:themeColor="text1"/>
          <w:sz w:val="24"/>
          <w:szCs w:val="24"/>
          <w:lang w:val="en-US"/>
        </w:rPr>
        <w:t>underpin</w:t>
      </w:r>
      <w:r w:rsidR="00E35C64" w:rsidRPr="00735740">
        <w:rPr>
          <w:rFonts w:ascii="Garamond" w:hAnsi="Garamond"/>
          <w:color w:val="000000" w:themeColor="text1"/>
          <w:sz w:val="24"/>
          <w:szCs w:val="24"/>
          <w:lang w:val="en-US"/>
        </w:rPr>
        <w:t xml:space="preserve"> </w:t>
      </w:r>
      <w:r w:rsidR="001C74C2" w:rsidRPr="00735740">
        <w:rPr>
          <w:rFonts w:ascii="Garamond" w:hAnsi="Garamond"/>
          <w:color w:val="000000" w:themeColor="text1"/>
          <w:sz w:val="24"/>
          <w:szCs w:val="24"/>
          <w:lang w:val="en-US"/>
        </w:rPr>
        <w:t>the archive.</w:t>
      </w:r>
      <w:r w:rsidR="007E49DE" w:rsidRPr="00735740">
        <w:rPr>
          <w:rFonts w:ascii="Garamond" w:hAnsi="Garamond"/>
          <w:color w:val="000000" w:themeColor="text1"/>
          <w:sz w:val="24"/>
          <w:szCs w:val="24"/>
          <w:lang w:val="en-US"/>
        </w:rPr>
        <w:t xml:space="preserve"> It is notable </w:t>
      </w:r>
      <w:r w:rsidR="006C5D9E" w:rsidRPr="00735740">
        <w:rPr>
          <w:rFonts w:ascii="Garamond" w:hAnsi="Garamond"/>
          <w:color w:val="000000" w:themeColor="text1"/>
          <w:sz w:val="24"/>
          <w:szCs w:val="24"/>
          <w:lang w:val="en-US"/>
        </w:rPr>
        <w:t>that in the examples discussed,</w:t>
      </w:r>
      <w:r w:rsidR="007E49DE" w:rsidRPr="00735740">
        <w:rPr>
          <w:rFonts w:ascii="Garamond" w:hAnsi="Garamond"/>
          <w:color w:val="000000" w:themeColor="text1"/>
          <w:sz w:val="24"/>
          <w:szCs w:val="24"/>
          <w:lang w:val="en-US"/>
        </w:rPr>
        <w:t xml:space="preserve"> it </w:t>
      </w:r>
      <w:r w:rsidR="006C5D9E" w:rsidRPr="00735740">
        <w:rPr>
          <w:rFonts w:ascii="Garamond" w:hAnsi="Garamond"/>
          <w:color w:val="000000" w:themeColor="text1"/>
          <w:sz w:val="24"/>
          <w:szCs w:val="24"/>
          <w:lang w:val="en-US"/>
        </w:rPr>
        <w:t>wa</w:t>
      </w:r>
      <w:r w:rsidR="007E49DE" w:rsidRPr="00735740">
        <w:rPr>
          <w:rFonts w:ascii="Garamond" w:hAnsi="Garamond"/>
          <w:color w:val="000000" w:themeColor="text1"/>
          <w:sz w:val="24"/>
          <w:szCs w:val="24"/>
          <w:lang w:val="en-US"/>
        </w:rPr>
        <w:t>s the concerns and priorities of the colonial authorities</w:t>
      </w:r>
      <w:r w:rsidR="00D22219" w:rsidRPr="00735740">
        <w:rPr>
          <w:rFonts w:ascii="Garamond" w:hAnsi="Garamond"/>
          <w:color w:val="000000" w:themeColor="text1"/>
          <w:sz w:val="24"/>
          <w:szCs w:val="24"/>
          <w:lang w:val="en-US"/>
        </w:rPr>
        <w:t xml:space="preserve">, rather than local populations, </w:t>
      </w:r>
      <w:r w:rsidR="007E49DE" w:rsidRPr="00735740">
        <w:rPr>
          <w:rFonts w:ascii="Garamond" w:hAnsi="Garamond"/>
          <w:color w:val="000000" w:themeColor="text1"/>
          <w:sz w:val="24"/>
          <w:szCs w:val="24"/>
          <w:lang w:val="en-US"/>
        </w:rPr>
        <w:t>that shape</w:t>
      </w:r>
      <w:r w:rsidR="006C5D9E" w:rsidRPr="00735740">
        <w:rPr>
          <w:rFonts w:ascii="Garamond" w:hAnsi="Garamond"/>
          <w:color w:val="000000" w:themeColor="text1"/>
          <w:sz w:val="24"/>
          <w:szCs w:val="24"/>
          <w:lang w:val="en-US"/>
        </w:rPr>
        <w:t>d</w:t>
      </w:r>
      <w:r w:rsidR="007E49DE" w:rsidRPr="00735740">
        <w:rPr>
          <w:rFonts w:ascii="Garamond" w:hAnsi="Garamond"/>
          <w:color w:val="000000" w:themeColor="text1"/>
          <w:sz w:val="24"/>
          <w:szCs w:val="24"/>
          <w:lang w:val="en-US"/>
        </w:rPr>
        <w:t xml:space="preserve"> the records in particular ways.</w:t>
      </w:r>
      <w:r w:rsidR="001C74C2" w:rsidRPr="00735740">
        <w:rPr>
          <w:rFonts w:ascii="Garamond" w:hAnsi="Garamond"/>
          <w:color w:val="000000" w:themeColor="text1"/>
          <w:sz w:val="24"/>
          <w:szCs w:val="24"/>
          <w:lang w:val="en-US"/>
        </w:rPr>
        <w:t xml:space="preserve"> When taken together, these elements </w:t>
      </w:r>
      <w:r w:rsidR="00D748AA" w:rsidRPr="00735740">
        <w:rPr>
          <w:rFonts w:ascii="Garamond" w:hAnsi="Garamond"/>
          <w:color w:val="000000" w:themeColor="text1"/>
          <w:sz w:val="24"/>
          <w:szCs w:val="24"/>
          <w:lang w:val="en-US"/>
        </w:rPr>
        <w:t>build up a picture of the type of community constructed within the archive</w:t>
      </w:r>
      <w:r w:rsidR="00D9446C" w:rsidRPr="00735740">
        <w:rPr>
          <w:rFonts w:ascii="Garamond" w:hAnsi="Garamond"/>
          <w:color w:val="000000" w:themeColor="text1"/>
          <w:sz w:val="24"/>
          <w:szCs w:val="24"/>
          <w:lang w:val="en-US"/>
        </w:rPr>
        <w:t xml:space="preserve"> and the consequences of this imagining</w:t>
      </w:r>
      <w:r w:rsidR="00D748AA" w:rsidRPr="00735740">
        <w:rPr>
          <w:rFonts w:ascii="Garamond" w:hAnsi="Garamond"/>
          <w:color w:val="000000" w:themeColor="text1"/>
          <w:sz w:val="24"/>
          <w:szCs w:val="24"/>
          <w:lang w:val="en-US"/>
        </w:rPr>
        <w:t>.</w:t>
      </w:r>
      <w:r w:rsidR="001C74C2" w:rsidRPr="00735740">
        <w:rPr>
          <w:rFonts w:ascii="Garamond" w:hAnsi="Garamond"/>
          <w:color w:val="000000" w:themeColor="text1"/>
          <w:sz w:val="24"/>
          <w:szCs w:val="24"/>
          <w:lang w:val="en-US"/>
        </w:rPr>
        <w:t xml:space="preserve"> </w:t>
      </w:r>
    </w:p>
    <w:p w14:paraId="33AE6498" w14:textId="1B85C674" w:rsidR="00530663" w:rsidRPr="00735740" w:rsidRDefault="004E495E" w:rsidP="00735740">
      <w:pPr>
        <w:pStyle w:val="Heading2"/>
      </w:pPr>
      <w:r w:rsidRPr="00735740">
        <w:t xml:space="preserve">Archives </w:t>
      </w:r>
      <w:r w:rsidR="003418F3" w:rsidRPr="00735740">
        <w:t>as</w:t>
      </w:r>
      <w:r w:rsidRPr="00735740">
        <w:t xml:space="preserve"> method</w:t>
      </w:r>
    </w:p>
    <w:p w14:paraId="66A52AFA" w14:textId="587FA373" w:rsidR="00E61765" w:rsidRPr="00735740" w:rsidRDefault="001D62D4" w:rsidP="00385E53">
      <w:pPr>
        <w:spacing w:afterLines="160" w:after="384" w:line="360" w:lineRule="auto"/>
        <w:rPr>
          <w:rFonts w:ascii="Garamond" w:hAnsi="Garamond"/>
          <w:color w:val="000000" w:themeColor="text1"/>
          <w:sz w:val="24"/>
          <w:szCs w:val="24"/>
        </w:rPr>
      </w:pPr>
      <w:r w:rsidRPr="00735740">
        <w:rPr>
          <w:rFonts w:ascii="Garamond" w:hAnsi="Garamond"/>
          <w:color w:val="000000" w:themeColor="text1"/>
          <w:sz w:val="24"/>
          <w:szCs w:val="24"/>
        </w:rPr>
        <w:t xml:space="preserve">Yet </w:t>
      </w:r>
      <w:r w:rsidR="00141FD1" w:rsidRPr="00735740">
        <w:rPr>
          <w:rFonts w:ascii="Garamond" w:hAnsi="Garamond"/>
          <w:color w:val="000000" w:themeColor="text1"/>
          <w:sz w:val="24"/>
          <w:szCs w:val="24"/>
        </w:rPr>
        <w:t xml:space="preserve">how </w:t>
      </w:r>
      <w:r w:rsidR="006C5D9E" w:rsidRPr="00735740">
        <w:rPr>
          <w:rFonts w:ascii="Garamond" w:hAnsi="Garamond"/>
          <w:color w:val="000000" w:themeColor="text1"/>
          <w:sz w:val="24"/>
          <w:szCs w:val="24"/>
        </w:rPr>
        <w:t xml:space="preserve">to analyse </w:t>
      </w:r>
      <w:r w:rsidR="00141FD1" w:rsidRPr="00735740">
        <w:rPr>
          <w:rFonts w:ascii="Garamond" w:hAnsi="Garamond"/>
          <w:color w:val="000000" w:themeColor="text1"/>
          <w:sz w:val="24"/>
          <w:szCs w:val="24"/>
        </w:rPr>
        <w:t>the archive</w:t>
      </w:r>
      <w:r w:rsidRPr="00735740">
        <w:rPr>
          <w:rFonts w:ascii="Garamond" w:hAnsi="Garamond"/>
          <w:color w:val="000000" w:themeColor="text1"/>
          <w:sz w:val="24"/>
          <w:szCs w:val="24"/>
        </w:rPr>
        <w:t>?</w:t>
      </w:r>
      <w:r w:rsidR="00141FD1" w:rsidRPr="00735740">
        <w:rPr>
          <w:rFonts w:ascii="Garamond" w:hAnsi="Garamond"/>
          <w:color w:val="000000" w:themeColor="text1"/>
          <w:sz w:val="24"/>
          <w:szCs w:val="24"/>
        </w:rPr>
        <w:t xml:space="preserve"> </w:t>
      </w:r>
      <w:r w:rsidR="00140CA7" w:rsidRPr="00735740">
        <w:rPr>
          <w:rFonts w:ascii="Garamond" w:hAnsi="Garamond"/>
          <w:color w:val="000000" w:themeColor="text1"/>
          <w:sz w:val="24"/>
          <w:szCs w:val="24"/>
        </w:rPr>
        <w:t xml:space="preserve">Because of the colonial </w:t>
      </w:r>
      <w:r w:rsidR="00D839F8" w:rsidRPr="00735740">
        <w:rPr>
          <w:rFonts w:ascii="Garamond" w:hAnsi="Garamond"/>
          <w:color w:val="000000" w:themeColor="text1"/>
          <w:sz w:val="24"/>
          <w:szCs w:val="24"/>
        </w:rPr>
        <w:t>archives’</w:t>
      </w:r>
      <w:r w:rsidR="00140CA7" w:rsidRPr="00735740">
        <w:rPr>
          <w:rFonts w:ascii="Garamond" w:hAnsi="Garamond"/>
          <w:color w:val="000000" w:themeColor="text1"/>
          <w:sz w:val="24"/>
          <w:szCs w:val="24"/>
        </w:rPr>
        <w:t xml:space="preserve"> exclusionary logic,  post-colonial anthropology</w:t>
      </w:r>
      <w:r w:rsidR="00750BCC" w:rsidRPr="00735740">
        <w:rPr>
          <w:rFonts w:ascii="Garamond" w:hAnsi="Garamond"/>
          <w:color w:val="000000" w:themeColor="text1"/>
          <w:sz w:val="24"/>
          <w:szCs w:val="24"/>
        </w:rPr>
        <w:t xml:space="preserve"> </w:t>
      </w:r>
      <w:r w:rsidR="00140CA7" w:rsidRPr="00735740">
        <w:rPr>
          <w:rFonts w:ascii="Garamond" w:hAnsi="Garamond"/>
          <w:color w:val="000000" w:themeColor="text1"/>
          <w:sz w:val="24"/>
          <w:szCs w:val="24"/>
        </w:rPr>
        <w:t xml:space="preserve">turned to reading the archives </w:t>
      </w:r>
      <w:r w:rsidR="00140CA7" w:rsidRPr="00735740">
        <w:rPr>
          <w:rFonts w:ascii="Garamond" w:hAnsi="Garamond"/>
          <w:i/>
          <w:color w:val="000000" w:themeColor="text1"/>
          <w:sz w:val="24"/>
          <w:szCs w:val="24"/>
        </w:rPr>
        <w:t xml:space="preserve">against the grain </w:t>
      </w:r>
      <w:r w:rsidR="00750BCC" w:rsidRPr="00735740">
        <w:rPr>
          <w:rFonts w:ascii="Garamond" w:hAnsi="Garamond"/>
          <w:color w:val="000000" w:themeColor="text1"/>
          <w:sz w:val="24"/>
          <w:szCs w:val="24"/>
        </w:rPr>
        <w:t xml:space="preserve">throughout the 1980s and </w:t>
      </w:r>
      <w:r w:rsidR="00750BCC" w:rsidRPr="00735740">
        <w:rPr>
          <w:rFonts w:ascii="Garamond" w:hAnsi="Garamond"/>
          <w:color w:val="000000" w:themeColor="text1"/>
          <w:sz w:val="24"/>
          <w:szCs w:val="24"/>
        </w:rPr>
        <w:lastRenderedPageBreak/>
        <w:t xml:space="preserve">90s </w:t>
      </w:r>
      <w:r w:rsidR="00140CA7" w:rsidRPr="00735740">
        <w:rPr>
          <w:rFonts w:ascii="Garamond" w:hAnsi="Garamond"/>
          <w:color w:val="000000" w:themeColor="text1"/>
          <w:sz w:val="24"/>
          <w:szCs w:val="24"/>
        </w:rPr>
        <w:t>to recover the subaltern</w:t>
      </w:r>
      <w:r w:rsidR="00290694" w:rsidRPr="00735740">
        <w:rPr>
          <w:rFonts w:ascii="Garamond" w:hAnsi="Garamond"/>
          <w:color w:val="000000" w:themeColor="text1"/>
          <w:sz w:val="24"/>
          <w:szCs w:val="24"/>
        </w:rPr>
        <w:t>’s</w:t>
      </w:r>
      <w:r w:rsidR="00140CA7" w:rsidRPr="00735740">
        <w:rPr>
          <w:rFonts w:ascii="Garamond" w:hAnsi="Garamond"/>
          <w:color w:val="000000" w:themeColor="text1"/>
          <w:sz w:val="24"/>
          <w:szCs w:val="24"/>
        </w:rPr>
        <w:t xml:space="preserve"> voice.</w:t>
      </w:r>
      <w:r w:rsidR="00140CA7" w:rsidRPr="00735740">
        <w:rPr>
          <w:rStyle w:val="FootnoteReference"/>
          <w:rFonts w:ascii="Garamond" w:hAnsi="Garamond"/>
          <w:color w:val="000000" w:themeColor="text1"/>
          <w:sz w:val="24"/>
          <w:szCs w:val="24"/>
        </w:rPr>
        <w:footnoteReference w:id="21"/>
      </w:r>
      <w:r w:rsidR="00140CA7" w:rsidRPr="00735740">
        <w:rPr>
          <w:rFonts w:ascii="Garamond" w:hAnsi="Garamond"/>
          <w:color w:val="000000" w:themeColor="text1"/>
          <w:sz w:val="24"/>
          <w:szCs w:val="24"/>
        </w:rPr>
        <w:t xml:space="preserve"> However, </w:t>
      </w:r>
      <w:r w:rsidR="00E2643E" w:rsidRPr="00735740">
        <w:rPr>
          <w:rFonts w:ascii="Garamond" w:hAnsi="Garamond"/>
          <w:color w:val="000000" w:themeColor="text1"/>
          <w:sz w:val="24"/>
          <w:szCs w:val="24"/>
        </w:rPr>
        <w:t>Spivak</w:t>
      </w:r>
      <w:r w:rsidR="00D839F8" w:rsidRPr="00735740">
        <w:rPr>
          <w:rFonts w:ascii="Garamond" w:hAnsi="Garamond"/>
          <w:color w:val="000000" w:themeColor="text1"/>
          <w:sz w:val="24"/>
          <w:szCs w:val="24"/>
        </w:rPr>
        <w:t xml:space="preserve"> </w:t>
      </w:r>
      <w:r w:rsidR="0028205F" w:rsidRPr="00735740">
        <w:rPr>
          <w:rFonts w:ascii="Garamond" w:hAnsi="Garamond"/>
          <w:color w:val="000000" w:themeColor="text1"/>
          <w:sz w:val="24"/>
          <w:szCs w:val="24"/>
        </w:rPr>
        <w:t xml:space="preserve">questioned the </w:t>
      </w:r>
      <w:r w:rsidR="00140CA7" w:rsidRPr="00735740">
        <w:rPr>
          <w:rFonts w:ascii="Garamond" w:hAnsi="Garamond"/>
          <w:color w:val="000000" w:themeColor="text1"/>
          <w:sz w:val="24"/>
          <w:szCs w:val="24"/>
        </w:rPr>
        <w:t>validity of this approach</w:t>
      </w:r>
      <w:r w:rsidR="0028205F" w:rsidRPr="00735740">
        <w:rPr>
          <w:rFonts w:ascii="Garamond" w:hAnsi="Garamond"/>
          <w:color w:val="000000" w:themeColor="text1"/>
          <w:sz w:val="24"/>
          <w:szCs w:val="24"/>
        </w:rPr>
        <w:t xml:space="preserve">, arguing </w:t>
      </w:r>
      <w:r w:rsidR="00140CA7" w:rsidRPr="00735740">
        <w:rPr>
          <w:rFonts w:ascii="Garamond" w:hAnsi="Garamond"/>
          <w:color w:val="000000" w:themeColor="text1"/>
          <w:sz w:val="24"/>
          <w:szCs w:val="24"/>
        </w:rPr>
        <w:t xml:space="preserve">that the archival force was such that attempting to recover </w:t>
      </w:r>
      <w:r w:rsidR="0028205F" w:rsidRPr="00735740">
        <w:rPr>
          <w:rFonts w:ascii="Garamond" w:hAnsi="Garamond"/>
          <w:color w:val="000000" w:themeColor="text1"/>
          <w:sz w:val="24"/>
          <w:szCs w:val="24"/>
        </w:rPr>
        <w:t xml:space="preserve">the </w:t>
      </w:r>
      <w:r w:rsidR="00140CA7" w:rsidRPr="00735740">
        <w:rPr>
          <w:rFonts w:ascii="Garamond" w:hAnsi="Garamond"/>
          <w:color w:val="000000" w:themeColor="text1"/>
          <w:sz w:val="24"/>
          <w:szCs w:val="24"/>
        </w:rPr>
        <w:t xml:space="preserve">agency of those lives </w:t>
      </w:r>
      <w:r w:rsidR="0028205F" w:rsidRPr="00735740">
        <w:rPr>
          <w:rFonts w:ascii="Garamond" w:hAnsi="Garamond"/>
          <w:color w:val="000000" w:themeColor="text1"/>
          <w:sz w:val="24"/>
          <w:szCs w:val="24"/>
        </w:rPr>
        <w:t xml:space="preserve">recorded in the archive </w:t>
      </w:r>
      <w:r w:rsidR="00140CA7" w:rsidRPr="00735740">
        <w:rPr>
          <w:rFonts w:ascii="Garamond" w:hAnsi="Garamond"/>
          <w:color w:val="000000" w:themeColor="text1"/>
          <w:sz w:val="24"/>
          <w:szCs w:val="24"/>
        </w:rPr>
        <w:t>was futile.</w:t>
      </w:r>
      <w:r w:rsidR="00140CA7" w:rsidRPr="00735740">
        <w:rPr>
          <w:rStyle w:val="FootnoteReference"/>
          <w:rFonts w:ascii="Garamond" w:hAnsi="Garamond"/>
          <w:color w:val="000000" w:themeColor="text1"/>
          <w:sz w:val="24"/>
          <w:szCs w:val="24"/>
        </w:rPr>
        <w:footnoteReference w:id="22"/>
      </w:r>
      <w:r w:rsidR="00140CA7" w:rsidRPr="00735740">
        <w:rPr>
          <w:rFonts w:ascii="Garamond" w:hAnsi="Garamond"/>
          <w:color w:val="000000" w:themeColor="text1"/>
          <w:sz w:val="24"/>
          <w:szCs w:val="24"/>
        </w:rPr>
        <w:t xml:space="preserve"> </w:t>
      </w:r>
      <w:r w:rsidR="007D2D17" w:rsidRPr="00735740">
        <w:rPr>
          <w:rFonts w:ascii="Garamond" w:hAnsi="Garamond"/>
          <w:color w:val="000000" w:themeColor="text1"/>
          <w:sz w:val="24"/>
          <w:szCs w:val="24"/>
        </w:rPr>
        <w:t>This is not</w:t>
      </w:r>
      <w:r w:rsidR="00AF43C6" w:rsidRPr="00735740">
        <w:rPr>
          <w:rFonts w:ascii="Garamond" w:hAnsi="Garamond"/>
          <w:color w:val="000000" w:themeColor="text1"/>
          <w:sz w:val="24"/>
          <w:szCs w:val="24"/>
        </w:rPr>
        <w:t>, however,</w:t>
      </w:r>
      <w:r w:rsidR="007D2D17" w:rsidRPr="00735740">
        <w:rPr>
          <w:rFonts w:ascii="Garamond" w:hAnsi="Garamond"/>
          <w:color w:val="000000" w:themeColor="text1"/>
          <w:sz w:val="24"/>
          <w:szCs w:val="24"/>
        </w:rPr>
        <w:t xml:space="preserve"> to deny the </w:t>
      </w:r>
      <w:r w:rsidR="00E61765" w:rsidRPr="00735740">
        <w:rPr>
          <w:rFonts w:ascii="Garamond" w:hAnsi="Garamond"/>
          <w:color w:val="000000" w:themeColor="text1"/>
          <w:sz w:val="24"/>
          <w:szCs w:val="24"/>
        </w:rPr>
        <w:t>ability to access the subaltern</w:t>
      </w:r>
      <w:r w:rsidR="00DC6C89" w:rsidRPr="00735740">
        <w:rPr>
          <w:rFonts w:ascii="Garamond" w:hAnsi="Garamond"/>
          <w:color w:val="000000" w:themeColor="text1"/>
          <w:sz w:val="24"/>
          <w:szCs w:val="24"/>
        </w:rPr>
        <w:t>’s</w:t>
      </w:r>
      <w:r w:rsidR="00E61765" w:rsidRPr="00735740">
        <w:rPr>
          <w:rFonts w:ascii="Garamond" w:hAnsi="Garamond"/>
          <w:color w:val="000000" w:themeColor="text1"/>
          <w:sz w:val="24"/>
          <w:szCs w:val="24"/>
        </w:rPr>
        <w:t xml:space="preserve"> voice </w:t>
      </w:r>
      <w:r w:rsidR="00E61765" w:rsidRPr="00735740">
        <w:rPr>
          <w:rFonts w:ascii="Garamond" w:hAnsi="Garamond"/>
          <w:i/>
          <w:color w:val="000000" w:themeColor="text1"/>
          <w:sz w:val="24"/>
          <w:szCs w:val="24"/>
        </w:rPr>
        <w:t>per se</w:t>
      </w:r>
      <w:r w:rsidR="00385E53" w:rsidRPr="00735740">
        <w:rPr>
          <w:rFonts w:ascii="Garamond" w:hAnsi="Garamond"/>
          <w:color w:val="000000" w:themeColor="text1"/>
          <w:sz w:val="24"/>
          <w:szCs w:val="24"/>
        </w:rPr>
        <w:t xml:space="preserve">. </w:t>
      </w:r>
      <w:r w:rsidR="00BF0BBC" w:rsidRPr="00735740">
        <w:rPr>
          <w:rFonts w:ascii="Garamond" w:hAnsi="Garamond"/>
          <w:color w:val="000000" w:themeColor="text1"/>
          <w:sz w:val="24"/>
          <w:szCs w:val="24"/>
        </w:rPr>
        <w:t>Shiera el-Malik and Isaac Kamola’s recent volume on African Anti-Colonial archives shows</w:t>
      </w:r>
      <w:r w:rsidR="002B47EF" w:rsidRPr="00735740">
        <w:rPr>
          <w:rFonts w:ascii="Garamond" w:hAnsi="Garamond"/>
          <w:color w:val="000000" w:themeColor="text1"/>
          <w:sz w:val="24"/>
          <w:szCs w:val="24"/>
        </w:rPr>
        <w:t xml:space="preserve"> </w:t>
      </w:r>
      <w:r w:rsidR="00DC6C89" w:rsidRPr="00735740">
        <w:rPr>
          <w:rFonts w:ascii="Garamond" w:hAnsi="Garamond"/>
          <w:color w:val="000000" w:themeColor="text1"/>
          <w:sz w:val="24"/>
          <w:szCs w:val="24"/>
        </w:rPr>
        <w:t xml:space="preserve">the existence of </w:t>
      </w:r>
      <w:r w:rsidR="002B47EF" w:rsidRPr="00735740">
        <w:rPr>
          <w:rFonts w:ascii="Garamond" w:hAnsi="Garamond"/>
          <w:color w:val="000000" w:themeColor="text1"/>
          <w:sz w:val="24"/>
          <w:szCs w:val="24"/>
        </w:rPr>
        <w:t>archi</w:t>
      </w:r>
      <w:r w:rsidR="00DC6C89" w:rsidRPr="00735740">
        <w:rPr>
          <w:rFonts w:ascii="Garamond" w:hAnsi="Garamond"/>
          <w:color w:val="000000" w:themeColor="text1"/>
          <w:sz w:val="24"/>
          <w:szCs w:val="24"/>
        </w:rPr>
        <w:t xml:space="preserve">ves that capture the </w:t>
      </w:r>
      <w:r w:rsidR="00527AFD" w:rsidRPr="00735740">
        <w:rPr>
          <w:rFonts w:ascii="Garamond" w:hAnsi="Garamond"/>
          <w:color w:val="000000" w:themeColor="text1"/>
          <w:sz w:val="24"/>
          <w:szCs w:val="24"/>
        </w:rPr>
        <w:t xml:space="preserve">intellectual and cultural </w:t>
      </w:r>
      <w:r w:rsidR="00DC6C89" w:rsidRPr="00735740">
        <w:rPr>
          <w:rFonts w:ascii="Garamond" w:hAnsi="Garamond"/>
          <w:color w:val="000000" w:themeColor="text1"/>
          <w:sz w:val="24"/>
          <w:szCs w:val="24"/>
        </w:rPr>
        <w:t>project</w:t>
      </w:r>
      <w:r w:rsidR="00527AFD" w:rsidRPr="00735740">
        <w:rPr>
          <w:rFonts w:ascii="Garamond" w:hAnsi="Garamond"/>
          <w:color w:val="000000" w:themeColor="text1"/>
          <w:sz w:val="24"/>
          <w:szCs w:val="24"/>
        </w:rPr>
        <w:t xml:space="preserve"> </w:t>
      </w:r>
      <w:r w:rsidR="002B47EF" w:rsidRPr="00735740">
        <w:rPr>
          <w:rFonts w:ascii="Garamond" w:hAnsi="Garamond"/>
          <w:color w:val="000000" w:themeColor="text1"/>
          <w:sz w:val="24"/>
          <w:szCs w:val="24"/>
        </w:rPr>
        <w:t>of</w:t>
      </w:r>
      <w:r w:rsidR="00527AFD" w:rsidRPr="00735740">
        <w:rPr>
          <w:rFonts w:ascii="Garamond" w:hAnsi="Garamond"/>
          <w:color w:val="000000" w:themeColor="text1"/>
          <w:sz w:val="24"/>
          <w:szCs w:val="24"/>
        </w:rPr>
        <w:t xml:space="preserve"> </w:t>
      </w:r>
      <w:r w:rsidR="00DC6C89" w:rsidRPr="00735740">
        <w:rPr>
          <w:rFonts w:ascii="Garamond" w:hAnsi="Garamond"/>
          <w:color w:val="000000" w:themeColor="text1"/>
          <w:sz w:val="24"/>
          <w:szCs w:val="24"/>
        </w:rPr>
        <w:t xml:space="preserve">the subaltern’s </w:t>
      </w:r>
      <w:r w:rsidR="00385E53" w:rsidRPr="00735740">
        <w:rPr>
          <w:rFonts w:ascii="Garamond" w:hAnsi="Garamond"/>
          <w:color w:val="000000" w:themeColor="text1"/>
          <w:sz w:val="24"/>
          <w:szCs w:val="24"/>
        </w:rPr>
        <w:t>anti</w:t>
      </w:r>
      <w:r w:rsidR="00527AFD" w:rsidRPr="00735740">
        <w:rPr>
          <w:rFonts w:ascii="Garamond" w:hAnsi="Garamond"/>
          <w:color w:val="000000" w:themeColor="text1"/>
          <w:sz w:val="24"/>
          <w:szCs w:val="24"/>
        </w:rPr>
        <w:t>-colonial struggle</w:t>
      </w:r>
      <w:r w:rsidR="00385E53" w:rsidRPr="00735740">
        <w:rPr>
          <w:rFonts w:ascii="Garamond" w:hAnsi="Garamond"/>
          <w:color w:val="000000" w:themeColor="text1"/>
          <w:sz w:val="24"/>
          <w:szCs w:val="24"/>
        </w:rPr>
        <w:t>s</w:t>
      </w:r>
      <w:r w:rsidR="002B47EF" w:rsidRPr="00735740">
        <w:rPr>
          <w:rFonts w:ascii="Garamond" w:hAnsi="Garamond"/>
          <w:color w:val="000000" w:themeColor="text1"/>
          <w:sz w:val="24"/>
          <w:szCs w:val="24"/>
        </w:rPr>
        <w:t xml:space="preserve">, </w:t>
      </w:r>
      <w:r w:rsidR="00750BCC" w:rsidRPr="00735740">
        <w:rPr>
          <w:rFonts w:ascii="Garamond" w:hAnsi="Garamond"/>
          <w:color w:val="000000" w:themeColor="text1"/>
          <w:sz w:val="24"/>
          <w:szCs w:val="24"/>
        </w:rPr>
        <w:t xml:space="preserve">and </w:t>
      </w:r>
      <w:r w:rsidR="002B47EF" w:rsidRPr="00735740">
        <w:rPr>
          <w:rFonts w:ascii="Garamond" w:hAnsi="Garamond"/>
          <w:color w:val="000000" w:themeColor="text1"/>
          <w:sz w:val="24"/>
          <w:szCs w:val="24"/>
        </w:rPr>
        <w:t>demonstrat</w:t>
      </w:r>
      <w:r w:rsidR="00750BCC" w:rsidRPr="00735740">
        <w:rPr>
          <w:rFonts w:ascii="Garamond" w:hAnsi="Garamond"/>
          <w:color w:val="000000" w:themeColor="text1"/>
          <w:sz w:val="24"/>
          <w:szCs w:val="24"/>
        </w:rPr>
        <w:t>es</w:t>
      </w:r>
      <w:r w:rsidR="002B47EF" w:rsidRPr="00735740">
        <w:rPr>
          <w:rFonts w:ascii="Garamond" w:hAnsi="Garamond"/>
          <w:color w:val="000000" w:themeColor="text1"/>
          <w:sz w:val="24"/>
          <w:szCs w:val="24"/>
        </w:rPr>
        <w:t xml:space="preserve"> how this can be used to imagine</w:t>
      </w:r>
      <w:r w:rsidR="00574312" w:rsidRPr="00735740">
        <w:rPr>
          <w:rFonts w:ascii="Garamond" w:hAnsi="Garamond"/>
          <w:color w:val="000000" w:themeColor="text1"/>
          <w:sz w:val="24"/>
          <w:szCs w:val="24"/>
        </w:rPr>
        <w:t xml:space="preserve"> a new </w:t>
      </w:r>
      <w:r w:rsidR="002B47EF" w:rsidRPr="00735740">
        <w:rPr>
          <w:rFonts w:ascii="Garamond" w:hAnsi="Garamond"/>
          <w:color w:val="000000" w:themeColor="text1"/>
          <w:sz w:val="24"/>
          <w:szCs w:val="24"/>
        </w:rPr>
        <w:t>‘</w:t>
      </w:r>
      <w:r w:rsidR="00574312" w:rsidRPr="00735740">
        <w:rPr>
          <w:rFonts w:ascii="Garamond" w:hAnsi="Garamond"/>
          <w:color w:val="000000" w:themeColor="text1"/>
          <w:sz w:val="24"/>
          <w:szCs w:val="24"/>
        </w:rPr>
        <w:t>limit</w:t>
      </w:r>
      <w:r w:rsidR="002B47EF" w:rsidRPr="00735740">
        <w:rPr>
          <w:rFonts w:ascii="Garamond" w:hAnsi="Garamond"/>
          <w:color w:val="000000" w:themeColor="text1"/>
          <w:sz w:val="24"/>
          <w:szCs w:val="24"/>
        </w:rPr>
        <w:t>’ of the possible</w:t>
      </w:r>
      <w:r w:rsidR="00574312" w:rsidRPr="00735740">
        <w:rPr>
          <w:rFonts w:ascii="Garamond" w:hAnsi="Garamond"/>
          <w:color w:val="000000" w:themeColor="text1"/>
          <w:sz w:val="24"/>
          <w:szCs w:val="24"/>
        </w:rPr>
        <w:t>.</w:t>
      </w:r>
      <w:r w:rsidR="00574312" w:rsidRPr="00735740">
        <w:rPr>
          <w:rStyle w:val="FootnoteReference"/>
          <w:rFonts w:ascii="Garamond" w:hAnsi="Garamond"/>
          <w:color w:val="000000" w:themeColor="text1"/>
          <w:sz w:val="24"/>
          <w:szCs w:val="24"/>
        </w:rPr>
        <w:footnoteReference w:id="23"/>
      </w:r>
    </w:p>
    <w:p w14:paraId="5CCB6320" w14:textId="0F30E2B9" w:rsidR="00EF3B57" w:rsidRPr="00735740" w:rsidRDefault="00E61765" w:rsidP="00201640">
      <w:pPr>
        <w:spacing w:afterLines="160" w:after="384" w:line="360" w:lineRule="auto"/>
        <w:rPr>
          <w:rFonts w:ascii="Garamond" w:hAnsi="Garamond"/>
          <w:color w:val="000000" w:themeColor="text1"/>
          <w:sz w:val="24"/>
          <w:szCs w:val="24"/>
        </w:rPr>
      </w:pPr>
      <w:r w:rsidRPr="00735740">
        <w:rPr>
          <w:rFonts w:ascii="Garamond" w:hAnsi="Garamond"/>
          <w:color w:val="000000" w:themeColor="text1"/>
          <w:sz w:val="24"/>
          <w:szCs w:val="24"/>
          <w:lang w:val="en-US"/>
        </w:rPr>
        <w:t xml:space="preserve">These anti-colonial archives are </w:t>
      </w:r>
      <w:r w:rsidR="00385E53" w:rsidRPr="00735740">
        <w:rPr>
          <w:rFonts w:ascii="Garamond" w:hAnsi="Garamond"/>
          <w:color w:val="000000" w:themeColor="text1"/>
          <w:sz w:val="24"/>
          <w:szCs w:val="24"/>
          <w:lang w:val="en-US"/>
        </w:rPr>
        <w:t xml:space="preserve">important in </w:t>
      </w:r>
      <w:r w:rsidR="007D2D17" w:rsidRPr="00735740">
        <w:rPr>
          <w:rFonts w:ascii="Garamond" w:hAnsi="Garamond"/>
          <w:color w:val="000000" w:themeColor="text1"/>
          <w:sz w:val="24"/>
          <w:szCs w:val="24"/>
          <w:lang w:val="en-US"/>
        </w:rPr>
        <w:t>the attempt to ‘undo’ the coloniality of power that continues to pervade the international domain.</w:t>
      </w:r>
      <w:r w:rsidR="00385E53" w:rsidRPr="00735740">
        <w:rPr>
          <w:rStyle w:val="FootnoteReference"/>
          <w:rFonts w:ascii="Garamond" w:hAnsi="Garamond"/>
          <w:color w:val="000000" w:themeColor="text1"/>
          <w:sz w:val="24"/>
          <w:szCs w:val="24"/>
          <w:lang w:val="en-US"/>
        </w:rPr>
        <w:footnoteReference w:id="24"/>
      </w:r>
      <w:r w:rsidR="007D2D17" w:rsidRPr="00735740">
        <w:rPr>
          <w:rFonts w:ascii="Garamond" w:hAnsi="Garamond"/>
          <w:color w:val="000000" w:themeColor="text1"/>
          <w:sz w:val="24"/>
          <w:szCs w:val="24"/>
          <w:lang w:val="en-US"/>
        </w:rPr>
        <w:t xml:space="preserve"> But</w:t>
      </w:r>
      <w:r w:rsidR="00394C71" w:rsidRPr="00735740">
        <w:rPr>
          <w:rFonts w:ascii="Garamond" w:hAnsi="Garamond"/>
          <w:color w:val="000000" w:themeColor="text1"/>
          <w:sz w:val="24"/>
          <w:szCs w:val="24"/>
          <w:lang w:val="en-US"/>
        </w:rPr>
        <w:t xml:space="preserve"> </w:t>
      </w:r>
      <w:r w:rsidR="007D2D17" w:rsidRPr="00735740">
        <w:rPr>
          <w:rFonts w:ascii="Garamond" w:hAnsi="Garamond"/>
          <w:color w:val="000000" w:themeColor="text1"/>
          <w:sz w:val="24"/>
          <w:szCs w:val="24"/>
          <w:lang w:val="en-US"/>
        </w:rPr>
        <w:t xml:space="preserve">it </w:t>
      </w:r>
      <w:r w:rsidR="0027334A" w:rsidRPr="00735740">
        <w:rPr>
          <w:rFonts w:ascii="Garamond" w:hAnsi="Garamond"/>
          <w:color w:val="000000" w:themeColor="text1"/>
          <w:sz w:val="24"/>
          <w:szCs w:val="24"/>
          <w:lang w:val="en-US"/>
        </w:rPr>
        <w:t>remains</w:t>
      </w:r>
      <w:r w:rsidR="007D2D17" w:rsidRPr="00735740">
        <w:rPr>
          <w:rFonts w:ascii="Garamond" w:hAnsi="Garamond"/>
          <w:color w:val="000000" w:themeColor="text1"/>
          <w:sz w:val="24"/>
          <w:szCs w:val="24"/>
          <w:lang w:val="en-US"/>
        </w:rPr>
        <w:t xml:space="preserve"> </w:t>
      </w:r>
      <w:r w:rsidR="0027334A" w:rsidRPr="00735740">
        <w:rPr>
          <w:rFonts w:ascii="Garamond" w:hAnsi="Garamond"/>
          <w:color w:val="000000" w:themeColor="text1"/>
          <w:sz w:val="24"/>
          <w:szCs w:val="24"/>
          <w:lang w:val="en-US"/>
        </w:rPr>
        <w:t>vital</w:t>
      </w:r>
      <w:r w:rsidR="007D2D17" w:rsidRPr="00735740">
        <w:rPr>
          <w:rFonts w:ascii="Garamond" w:hAnsi="Garamond"/>
          <w:color w:val="000000" w:themeColor="text1"/>
          <w:sz w:val="24"/>
          <w:szCs w:val="24"/>
          <w:lang w:val="en-US"/>
        </w:rPr>
        <w:t xml:space="preserve"> to under</w:t>
      </w:r>
      <w:r w:rsidR="00385E53" w:rsidRPr="00735740">
        <w:rPr>
          <w:rFonts w:ascii="Garamond" w:hAnsi="Garamond"/>
          <w:color w:val="000000" w:themeColor="text1"/>
          <w:sz w:val="24"/>
          <w:szCs w:val="24"/>
          <w:lang w:val="en-US"/>
        </w:rPr>
        <w:t>stand</w:t>
      </w:r>
      <w:r w:rsidR="007D2D17" w:rsidRPr="00735740">
        <w:rPr>
          <w:rFonts w:ascii="Garamond" w:hAnsi="Garamond"/>
          <w:color w:val="000000" w:themeColor="text1"/>
          <w:sz w:val="24"/>
          <w:szCs w:val="24"/>
          <w:lang w:val="en-US"/>
        </w:rPr>
        <w:t xml:space="preserve"> how certain archives</w:t>
      </w:r>
      <w:r w:rsidR="002B47EF" w:rsidRPr="00735740">
        <w:rPr>
          <w:rFonts w:ascii="Garamond" w:hAnsi="Garamond"/>
          <w:color w:val="000000" w:themeColor="text1"/>
          <w:sz w:val="24"/>
          <w:szCs w:val="24"/>
          <w:lang w:val="en-US"/>
        </w:rPr>
        <w:t xml:space="preserve"> </w:t>
      </w:r>
      <w:r w:rsidR="007D2D17" w:rsidRPr="00735740">
        <w:rPr>
          <w:rFonts w:ascii="Garamond" w:hAnsi="Garamond"/>
          <w:color w:val="000000" w:themeColor="text1"/>
          <w:sz w:val="24"/>
          <w:szCs w:val="24"/>
          <w:lang w:val="en-US"/>
        </w:rPr>
        <w:t xml:space="preserve">also help </w:t>
      </w:r>
      <w:r w:rsidR="00385E53" w:rsidRPr="00735740">
        <w:rPr>
          <w:rFonts w:ascii="Garamond" w:hAnsi="Garamond"/>
          <w:color w:val="000000" w:themeColor="text1"/>
          <w:sz w:val="24"/>
          <w:szCs w:val="24"/>
          <w:lang w:val="en-US"/>
        </w:rPr>
        <w:t xml:space="preserve">reproduce </w:t>
      </w:r>
      <w:r w:rsidR="007D2D17" w:rsidRPr="00735740">
        <w:rPr>
          <w:rFonts w:ascii="Garamond" w:hAnsi="Garamond"/>
          <w:color w:val="000000" w:themeColor="text1"/>
          <w:sz w:val="24"/>
          <w:szCs w:val="24"/>
          <w:lang w:val="en-US"/>
        </w:rPr>
        <w:t xml:space="preserve">the </w:t>
      </w:r>
      <w:r w:rsidRPr="00735740">
        <w:rPr>
          <w:rFonts w:ascii="Garamond" w:hAnsi="Garamond"/>
          <w:color w:val="000000" w:themeColor="text1"/>
          <w:sz w:val="24"/>
          <w:szCs w:val="24"/>
          <w:lang w:val="en-US"/>
        </w:rPr>
        <w:t xml:space="preserve">current </w:t>
      </w:r>
      <w:r w:rsidR="007D2D17" w:rsidRPr="00735740">
        <w:rPr>
          <w:rFonts w:ascii="Garamond" w:hAnsi="Garamond"/>
          <w:color w:val="000000" w:themeColor="text1"/>
          <w:sz w:val="24"/>
          <w:szCs w:val="24"/>
          <w:lang w:val="en-US"/>
        </w:rPr>
        <w:t xml:space="preserve">limit </w:t>
      </w:r>
      <w:r w:rsidR="00394C71" w:rsidRPr="00735740">
        <w:rPr>
          <w:rFonts w:ascii="Garamond" w:hAnsi="Garamond"/>
          <w:color w:val="000000" w:themeColor="text1"/>
          <w:sz w:val="24"/>
          <w:szCs w:val="24"/>
          <w:lang w:val="en-US"/>
        </w:rPr>
        <w:t>of the possible within</w:t>
      </w:r>
      <w:r w:rsidR="007D2D17" w:rsidRPr="00735740">
        <w:rPr>
          <w:rFonts w:ascii="Garamond" w:hAnsi="Garamond"/>
          <w:color w:val="000000" w:themeColor="text1"/>
          <w:sz w:val="24"/>
          <w:szCs w:val="24"/>
          <w:lang w:val="en-US"/>
        </w:rPr>
        <w:t xml:space="preserve"> international society</w:t>
      </w:r>
      <w:r w:rsidR="00385E53" w:rsidRPr="00735740">
        <w:rPr>
          <w:rFonts w:ascii="Garamond" w:hAnsi="Garamond"/>
          <w:color w:val="000000" w:themeColor="text1"/>
          <w:sz w:val="24"/>
          <w:szCs w:val="24"/>
          <w:lang w:val="en-US"/>
        </w:rPr>
        <w:t xml:space="preserve"> underpinned by</w:t>
      </w:r>
      <w:r w:rsidRPr="00735740">
        <w:rPr>
          <w:rFonts w:ascii="Garamond" w:hAnsi="Garamond"/>
          <w:color w:val="000000" w:themeColor="text1"/>
          <w:sz w:val="24"/>
          <w:szCs w:val="24"/>
          <w:lang w:val="en-US"/>
        </w:rPr>
        <w:t xml:space="preserve"> a continuation in</w:t>
      </w:r>
      <w:r w:rsidR="00385E53" w:rsidRPr="00735740">
        <w:rPr>
          <w:rFonts w:ascii="Garamond" w:hAnsi="Garamond"/>
          <w:color w:val="000000" w:themeColor="text1"/>
          <w:sz w:val="24"/>
          <w:szCs w:val="24"/>
          <w:lang w:val="en-US"/>
        </w:rPr>
        <w:t xml:space="preserve"> </w:t>
      </w:r>
      <w:r w:rsidR="002B47EF" w:rsidRPr="00735740">
        <w:rPr>
          <w:rFonts w:ascii="Garamond" w:hAnsi="Garamond"/>
          <w:color w:val="000000" w:themeColor="text1"/>
          <w:sz w:val="24"/>
          <w:szCs w:val="24"/>
          <w:lang w:val="en-US"/>
        </w:rPr>
        <w:t>the</w:t>
      </w:r>
      <w:r w:rsidR="00637821" w:rsidRPr="00735740">
        <w:rPr>
          <w:rFonts w:ascii="Garamond" w:hAnsi="Garamond"/>
          <w:color w:val="000000" w:themeColor="text1"/>
          <w:sz w:val="24"/>
          <w:szCs w:val="24"/>
          <w:lang w:val="en-US"/>
        </w:rPr>
        <w:t xml:space="preserve"> coloniality</w:t>
      </w:r>
      <w:r w:rsidR="00385E53" w:rsidRPr="00735740">
        <w:rPr>
          <w:rFonts w:ascii="Garamond" w:hAnsi="Garamond"/>
          <w:color w:val="000000" w:themeColor="text1"/>
          <w:sz w:val="24"/>
          <w:szCs w:val="24"/>
          <w:lang w:val="en-US"/>
        </w:rPr>
        <w:t xml:space="preserve"> of power.</w:t>
      </w:r>
      <w:r w:rsidR="007D2D17" w:rsidRPr="00735740">
        <w:rPr>
          <w:rStyle w:val="FootnoteReference"/>
          <w:rFonts w:ascii="Garamond" w:hAnsi="Garamond"/>
          <w:color w:val="000000" w:themeColor="text1"/>
          <w:sz w:val="24"/>
          <w:szCs w:val="24"/>
          <w:lang w:val="en-US"/>
        </w:rPr>
        <w:footnoteReference w:id="25"/>
      </w:r>
      <w:r w:rsidR="007D2D17" w:rsidRPr="00735740">
        <w:rPr>
          <w:rFonts w:ascii="Garamond" w:hAnsi="Garamond"/>
          <w:color w:val="000000" w:themeColor="text1"/>
          <w:sz w:val="24"/>
          <w:szCs w:val="24"/>
          <w:lang w:val="en-US"/>
        </w:rPr>
        <w:t xml:space="preserve"> Spivak and Stoler</w:t>
      </w:r>
      <w:r w:rsidR="00750BCC" w:rsidRPr="00735740">
        <w:rPr>
          <w:rFonts w:ascii="Garamond" w:hAnsi="Garamond"/>
          <w:color w:val="000000" w:themeColor="text1"/>
          <w:sz w:val="24"/>
          <w:szCs w:val="24"/>
          <w:lang w:val="en-US"/>
        </w:rPr>
        <w:t xml:space="preserve"> suggest that</w:t>
      </w:r>
      <w:r w:rsidR="00394C71" w:rsidRPr="00735740">
        <w:rPr>
          <w:rFonts w:ascii="Garamond" w:hAnsi="Garamond"/>
          <w:color w:val="000000" w:themeColor="text1"/>
          <w:sz w:val="24"/>
          <w:szCs w:val="24"/>
          <w:lang w:val="en-US"/>
        </w:rPr>
        <w:t xml:space="preserve"> </w:t>
      </w:r>
      <w:r w:rsidR="00385E53" w:rsidRPr="00735740">
        <w:rPr>
          <w:rFonts w:ascii="Garamond" w:hAnsi="Garamond"/>
          <w:color w:val="000000" w:themeColor="text1"/>
          <w:sz w:val="24"/>
          <w:szCs w:val="24"/>
          <w:lang w:val="en-US"/>
        </w:rPr>
        <w:t xml:space="preserve">when </w:t>
      </w:r>
      <w:r w:rsidR="0027334A" w:rsidRPr="00735740">
        <w:rPr>
          <w:rFonts w:ascii="Garamond" w:hAnsi="Garamond"/>
          <w:color w:val="000000" w:themeColor="text1"/>
          <w:sz w:val="24"/>
          <w:szCs w:val="24"/>
          <w:lang w:val="en-US"/>
        </w:rPr>
        <w:t xml:space="preserve">analysing </w:t>
      </w:r>
      <w:r w:rsidR="002B47EF" w:rsidRPr="00735740">
        <w:rPr>
          <w:rFonts w:ascii="Garamond" w:hAnsi="Garamond"/>
          <w:color w:val="000000" w:themeColor="text1"/>
          <w:sz w:val="24"/>
          <w:szCs w:val="24"/>
          <w:lang w:val="en-US"/>
        </w:rPr>
        <w:t>these</w:t>
      </w:r>
      <w:r w:rsidR="00385E53" w:rsidRPr="00735740">
        <w:rPr>
          <w:rFonts w:ascii="Garamond" w:hAnsi="Garamond"/>
          <w:color w:val="000000" w:themeColor="text1"/>
          <w:sz w:val="24"/>
          <w:szCs w:val="24"/>
          <w:lang w:val="en-US"/>
        </w:rPr>
        <w:t xml:space="preserve"> ‘hegemonic archives</w:t>
      </w:r>
      <w:r w:rsidRPr="00735740">
        <w:rPr>
          <w:rFonts w:ascii="Garamond" w:hAnsi="Garamond"/>
          <w:color w:val="000000" w:themeColor="text1"/>
          <w:sz w:val="24"/>
          <w:szCs w:val="24"/>
          <w:lang w:val="en-US"/>
        </w:rPr>
        <w:t>’</w:t>
      </w:r>
      <w:r w:rsidR="00385E53" w:rsidRPr="00735740">
        <w:rPr>
          <w:rFonts w:ascii="Garamond" w:hAnsi="Garamond"/>
          <w:color w:val="000000" w:themeColor="text1"/>
          <w:sz w:val="24"/>
          <w:szCs w:val="24"/>
          <w:lang w:val="en-US"/>
        </w:rPr>
        <w:t>,</w:t>
      </w:r>
      <w:r w:rsidR="007D2D17" w:rsidRPr="00735740">
        <w:rPr>
          <w:rFonts w:ascii="Garamond" w:hAnsi="Garamond"/>
          <w:color w:val="000000" w:themeColor="text1"/>
          <w:sz w:val="24"/>
          <w:szCs w:val="24"/>
          <w:lang w:val="en-US"/>
        </w:rPr>
        <w:t xml:space="preserve"> the archive must  </w:t>
      </w:r>
      <w:r w:rsidR="00140CA7" w:rsidRPr="00735740">
        <w:rPr>
          <w:rFonts w:ascii="Garamond" w:hAnsi="Garamond"/>
          <w:color w:val="000000" w:themeColor="text1"/>
          <w:sz w:val="24"/>
          <w:szCs w:val="24"/>
          <w:lang w:val="en-US"/>
        </w:rPr>
        <w:t xml:space="preserve">be read </w:t>
      </w:r>
      <w:r w:rsidR="00140CA7" w:rsidRPr="00735740">
        <w:rPr>
          <w:rFonts w:ascii="Garamond" w:hAnsi="Garamond"/>
          <w:i/>
          <w:color w:val="000000" w:themeColor="text1"/>
          <w:sz w:val="24"/>
          <w:szCs w:val="24"/>
          <w:lang w:val="en-US"/>
        </w:rPr>
        <w:t>along the grain</w:t>
      </w:r>
      <w:r w:rsidR="0028205F" w:rsidRPr="00735740">
        <w:rPr>
          <w:rFonts w:ascii="Garamond" w:hAnsi="Garamond"/>
          <w:color w:val="000000" w:themeColor="text1"/>
          <w:sz w:val="24"/>
          <w:szCs w:val="24"/>
          <w:lang w:val="en-US"/>
        </w:rPr>
        <w:t>;</w:t>
      </w:r>
      <w:r w:rsidR="00140CA7" w:rsidRPr="00735740">
        <w:rPr>
          <w:rFonts w:ascii="Garamond" w:hAnsi="Garamond"/>
          <w:color w:val="000000" w:themeColor="text1"/>
          <w:sz w:val="24"/>
          <w:szCs w:val="24"/>
          <w:lang w:val="en-US"/>
        </w:rPr>
        <w:t xml:space="preserve"> analysed </w:t>
      </w:r>
      <w:r w:rsidR="00DA7160" w:rsidRPr="00735740">
        <w:rPr>
          <w:rFonts w:ascii="Garamond" w:hAnsi="Garamond"/>
          <w:color w:val="000000" w:themeColor="text1"/>
          <w:sz w:val="24"/>
          <w:szCs w:val="24"/>
          <w:lang w:val="en-US"/>
        </w:rPr>
        <w:t xml:space="preserve">from an ethnographic perspective that </w:t>
      </w:r>
      <w:r w:rsidR="0027334A" w:rsidRPr="00735740">
        <w:rPr>
          <w:rFonts w:ascii="Garamond" w:hAnsi="Garamond"/>
          <w:color w:val="000000" w:themeColor="text1"/>
          <w:sz w:val="24"/>
          <w:szCs w:val="24"/>
          <w:lang w:val="en-US"/>
        </w:rPr>
        <w:t xml:space="preserve">details </w:t>
      </w:r>
      <w:r w:rsidR="00DA7160" w:rsidRPr="00735740">
        <w:rPr>
          <w:rFonts w:ascii="Garamond" w:hAnsi="Garamond"/>
          <w:color w:val="000000" w:themeColor="text1"/>
          <w:sz w:val="24"/>
          <w:szCs w:val="24"/>
          <w:lang w:val="en-US"/>
        </w:rPr>
        <w:t xml:space="preserve">the processes and politics through which ‘credible’ knowledge is produced and the effects that this </w:t>
      </w:r>
      <w:r w:rsidR="000B4823" w:rsidRPr="00735740">
        <w:rPr>
          <w:rFonts w:ascii="Garamond" w:hAnsi="Garamond"/>
          <w:color w:val="000000" w:themeColor="text1"/>
          <w:sz w:val="24"/>
          <w:szCs w:val="24"/>
          <w:lang w:val="en-US"/>
        </w:rPr>
        <w:t xml:space="preserve">has </w:t>
      </w:r>
      <w:r w:rsidR="00DA7160" w:rsidRPr="00735740">
        <w:rPr>
          <w:rFonts w:ascii="Garamond" w:hAnsi="Garamond"/>
          <w:color w:val="000000" w:themeColor="text1"/>
          <w:sz w:val="24"/>
          <w:szCs w:val="24"/>
          <w:lang w:val="en-US"/>
        </w:rPr>
        <w:t>within particular societies</w:t>
      </w:r>
      <w:r w:rsidR="00DA7160" w:rsidRPr="00735740">
        <w:rPr>
          <w:rFonts w:ascii="Garamond" w:hAnsi="Garamond"/>
          <w:noProof/>
          <w:color w:val="000000" w:themeColor="text1"/>
          <w:sz w:val="24"/>
          <w:szCs w:val="24"/>
        </w:rPr>
        <w:t>.</w:t>
      </w:r>
      <w:r w:rsidR="00DA7160" w:rsidRPr="00735740">
        <w:rPr>
          <w:rStyle w:val="FootnoteReference"/>
          <w:rFonts w:ascii="Garamond" w:hAnsi="Garamond"/>
          <w:noProof/>
          <w:color w:val="000000" w:themeColor="text1"/>
          <w:sz w:val="24"/>
          <w:szCs w:val="24"/>
        </w:rPr>
        <w:footnoteReference w:id="26"/>
      </w:r>
      <w:r w:rsidR="00DA7160" w:rsidRPr="00735740">
        <w:rPr>
          <w:rFonts w:ascii="Garamond" w:hAnsi="Garamond"/>
          <w:color w:val="000000" w:themeColor="text1"/>
          <w:sz w:val="24"/>
          <w:szCs w:val="24"/>
          <w:lang w:val="en-US"/>
        </w:rPr>
        <w:t xml:space="preserve"> </w:t>
      </w:r>
      <w:r w:rsidR="0028205F" w:rsidRPr="00735740">
        <w:rPr>
          <w:rFonts w:ascii="Garamond" w:hAnsi="Garamond"/>
          <w:color w:val="000000" w:themeColor="text1"/>
          <w:sz w:val="24"/>
          <w:szCs w:val="24"/>
          <w:lang w:val="en-US"/>
        </w:rPr>
        <w:t xml:space="preserve">This </w:t>
      </w:r>
      <w:r w:rsidRPr="00735740">
        <w:rPr>
          <w:rFonts w:ascii="Garamond" w:hAnsi="Garamond"/>
          <w:color w:val="000000" w:themeColor="text1"/>
          <w:sz w:val="24"/>
          <w:szCs w:val="24"/>
          <w:lang w:val="en-US"/>
        </w:rPr>
        <w:t xml:space="preserve">approach </w:t>
      </w:r>
      <w:r w:rsidR="0027334A" w:rsidRPr="00735740">
        <w:rPr>
          <w:rFonts w:ascii="Garamond" w:hAnsi="Garamond"/>
          <w:color w:val="000000" w:themeColor="text1"/>
          <w:sz w:val="24"/>
          <w:szCs w:val="24"/>
          <w:lang w:val="en-US"/>
        </w:rPr>
        <w:t xml:space="preserve">also </w:t>
      </w:r>
      <w:r w:rsidR="0028205F" w:rsidRPr="00735740">
        <w:rPr>
          <w:rFonts w:ascii="Garamond" w:hAnsi="Garamond"/>
          <w:color w:val="000000" w:themeColor="text1"/>
          <w:sz w:val="24"/>
          <w:szCs w:val="24"/>
          <w:lang w:val="en-US"/>
        </w:rPr>
        <w:t xml:space="preserve">resonates </w:t>
      </w:r>
      <w:r w:rsidR="00EF3B57" w:rsidRPr="00735740">
        <w:rPr>
          <w:rFonts w:ascii="Garamond" w:hAnsi="Garamond"/>
          <w:color w:val="000000" w:themeColor="text1"/>
          <w:sz w:val="24"/>
          <w:szCs w:val="24"/>
          <w:lang w:val="en-US"/>
        </w:rPr>
        <w:t xml:space="preserve">with Foucault’s description of the </w:t>
      </w:r>
      <w:r w:rsidR="00EF3B57" w:rsidRPr="00735740">
        <w:rPr>
          <w:rFonts w:ascii="Garamond" w:hAnsi="Garamond"/>
          <w:color w:val="000000" w:themeColor="text1"/>
          <w:sz w:val="24"/>
          <w:szCs w:val="24"/>
        </w:rPr>
        <w:t xml:space="preserve">archive as </w:t>
      </w:r>
      <w:r w:rsidR="0061410B" w:rsidRPr="00735740">
        <w:rPr>
          <w:rFonts w:ascii="Garamond" w:hAnsi="Garamond"/>
          <w:color w:val="000000" w:themeColor="text1"/>
          <w:sz w:val="24"/>
          <w:szCs w:val="24"/>
        </w:rPr>
        <w:t>part of his archaeological methodology</w:t>
      </w:r>
      <w:r w:rsidR="0028205F" w:rsidRPr="00735740">
        <w:rPr>
          <w:rFonts w:ascii="Garamond" w:hAnsi="Garamond"/>
          <w:color w:val="000000" w:themeColor="text1"/>
          <w:sz w:val="24"/>
          <w:szCs w:val="24"/>
        </w:rPr>
        <w:t>,</w:t>
      </w:r>
      <w:r w:rsidR="00EF3B57" w:rsidRPr="00735740">
        <w:rPr>
          <w:rStyle w:val="FootnoteReference"/>
          <w:rFonts w:ascii="Garamond" w:hAnsi="Garamond"/>
          <w:color w:val="000000" w:themeColor="text1"/>
          <w:sz w:val="24"/>
          <w:szCs w:val="24"/>
        </w:rPr>
        <w:footnoteReference w:id="27"/>
      </w:r>
      <w:r w:rsidR="000B4823" w:rsidRPr="00735740">
        <w:rPr>
          <w:rFonts w:ascii="Garamond" w:hAnsi="Garamond"/>
          <w:color w:val="000000" w:themeColor="text1"/>
          <w:sz w:val="24"/>
          <w:szCs w:val="24"/>
        </w:rPr>
        <w:t xml:space="preserve"> </w:t>
      </w:r>
      <w:r w:rsidR="0028205F" w:rsidRPr="00735740">
        <w:rPr>
          <w:rFonts w:ascii="Garamond" w:hAnsi="Garamond"/>
          <w:color w:val="000000" w:themeColor="text1"/>
          <w:sz w:val="24"/>
          <w:szCs w:val="24"/>
        </w:rPr>
        <w:t>which</w:t>
      </w:r>
      <w:r w:rsidR="00EF3B57" w:rsidRPr="00735740">
        <w:rPr>
          <w:rFonts w:ascii="Garamond" w:hAnsi="Garamond"/>
          <w:color w:val="000000" w:themeColor="text1"/>
          <w:sz w:val="24"/>
          <w:szCs w:val="24"/>
        </w:rPr>
        <w:t xml:space="preserve"> Colin Gordon </w:t>
      </w:r>
      <w:r w:rsidR="0028205F" w:rsidRPr="00735740">
        <w:rPr>
          <w:rFonts w:ascii="Garamond" w:hAnsi="Garamond"/>
          <w:color w:val="000000" w:themeColor="text1"/>
          <w:sz w:val="24"/>
          <w:szCs w:val="24"/>
        </w:rPr>
        <w:t>describes</w:t>
      </w:r>
      <w:r w:rsidR="00EF3B57" w:rsidRPr="00735740">
        <w:rPr>
          <w:rFonts w:ascii="Garamond" w:hAnsi="Garamond"/>
          <w:color w:val="000000" w:themeColor="text1"/>
          <w:sz w:val="24"/>
          <w:szCs w:val="24"/>
        </w:rPr>
        <w:t xml:space="preserve"> as:</w:t>
      </w:r>
    </w:p>
    <w:p w14:paraId="01A6B5CB" w14:textId="0763858C" w:rsidR="00EF3B57" w:rsidRPr="00735740" w:rsidRDefault="00EF3B57" w:rsidP="00201640">
      <w:pPr>
        <w:spacing w:afterLines="160" w:after="384" w:line="360" w:lineRule="auto"/>
        <w:ind w:left="850"/>
        <w:rPr>
          <w:rFonts w:ascii="Garamond" w:hAnsi="Garamond"/>
          <w:color w:val="000000" w:themeColor="text1"/>
          <w:sz w:val="24"/>
          <w:szCs w:val="24"/>
        </w:rPr>
      </w:pPr>
      <w:r w:rsidRPr="00735740">
        <w:rPr>
          <w:rFonts w:ascii="Garamond" w:hAnsi="Garamond"/>
          <w:color w:val="000000" w:themeColor="text1"/>
          <w:sz w:val="24"/>
          <w:szCs w:val="24"/>
        </w:rPr>
        <w:lastRenderedPageBreak/>
        <w:t xml:space="preserve">(…) the study of forms of knowledge and rationality at the level of their </w:t>
      </w:r>
      <w:r w:rsidRPr="00735740">
        <w:rPr>
          <w:rFonts w:ascii="Garamond" w:hAnsi="Garamond"/>
          <w:i/>
          <w:color w:val="000000" w:themeColor="text1"/>
          <w:sz w:val="24"/>
          <w:szCs w:val="24"/>
        </w:rPr>
        <w:t>material manifestation</w:t>
      </w:r>
      <w:r w:rsidRPr="00735740">
        <w:rPr>
          <w:rFonts w:ascii="Garamond" w:hAnsi="Garamond"/>
          <w:color w:val="000000" w:themeColor="text1"/>
          <w:sz w:val="24"/>
          <w:szCs w:val="24"/>
        </w:rPr>
        <w:t xml:space="preserve"> as bodies of discourse composed of finite sets of oral or written utterances</w:t>
      </w:r>
      <w:r w:rsidR="00080176" w:rsidRPr="00735740">
        <w:rPr>
          <w:rFonts w:ascii="Times New Roman" w:hAnsi="Times New Roman" w:cs="Times New Roman"/>
          <w:color w:val="000000" w:themeColor="text1"/>
        </w:rPr>
        <w:t xml:space="preserve">, </w:t>
      </w:r>
      <w:r w:rsidR="00E46F33" w:rsidRPr="00735740">
        <w:rPr>
          <w:rFonts w:ascii="Times New Roman" w:hAnsi="Times New Roman" w:cs="Times New Roman"/>
          <w:color w:val="000000" w:themeColor="text1"/>
        </w:rPr>
        <w:t>i</w:t>
      </w:r>
      <w:r w:rsidRPr="00735740">
        <w:rPr>
          <w:rFonts w:ascii="Garamond" w:hAnsi="Garamond"/>
          <w:color w:val="000000" w:themeColor="text1"/>
          <w:sz w:val="24"/>
          <w:szCs w:val="24"/>
        </w:rPr>
        <w:t xml:space="preserve">s to render these discourses accessible to description and analysis as constituting a specific order of historical reality </w:t>
      </w:r>
      <w:r w:rsidR="00D946C6" w:rsidRPr="00735740">
        <w:rPr>
          <w:rFonts w:ascii="Garamond" w:hAnsi="Garamond"/>
          <w:color w:val="000000" w:themeColor="text1"/>
          <w:sz w:val="24"/>
          <w:szCs w:val="24"/>
        </w:rPr>
        <w:t>[.</w:t>
      </w:r>
      <w:r w:rsidRPr="00735740">
        <w:rPr>
          <w:rFonts w:ascii="Garamond" w:hAnsi="Garamond"/>
          <w:color w:val="000000" w:themeColor="text1"/>
          <w:sz w:val="24"/>
          <w:szCs w:val="24"/>
        </w:rPr>
        <w:t>..</w:t>
      </w:r>
      <w:r w:rsidR="00D946C6" w:rsidRPr="00735740">
        <w:rPr>
          <w:rFonts w:ascii="Garamond" w:hAnsi="Garamond"/>
          <w:color w:val="000000" w:themeColor="text1"/>
          <w:sz w:val="24"/>
          <w:szCs w:val="24"/>
        </w:rPr>
        <w:t>]</w:t>
      </w:r>
      <w:r w:rsidRPr="00735740">
        <w:rPr>
          <w:rFonts w:ascii="Garamond" w:hAnsi="Garamond"/>
          <w:color w:val="000000" w:themeColor="text1"/>
          <w:sz w:val="24"/>
          <w:szCs w:val="24"/>
        </w:rPr>
        <w:t xml:space="preserve"> (</w:t>
      </w:r>
      <w:r w:rsidR="00D946C6" w:rsidRPr="00735740">
        <w:rPr>
          <w:rFonts w:ascii="Garamond" w:hAnsi="Garamond"/>
          <w:color w:val="000000" w:themeColor="text1"/>
          <w:sz w:val="24"/>
          <w:szCs w:val="24"/>
        </w:rPr>
        <w:t>e</w:t>
      </w:r>
      <w:r w:rsidRPr="00735740">
        <w:rPr>
          <w:rFonts w:ascii="Garamond" w:hAnsi="Garamond"/>
          <w:color w:val="000000" w:themeColor="text1"/>
          <w:sz w:val="24"/>
          <w:szCs w:val="24"/>
        </w:rPr>
        <w:t>mphasis added).</w:t>
      </w:r>
      <w:r w:rsidRPr="00735740">
        <w:rPr>
          <w:rStyle w:val="FootnoteReference"/>
          <w:rFonts w:ascii="Garamond" w:hAnsi="Garamond"/>
          <w:color w:val="000000" w:themeColor="text1"/>
          <w:sz w:val="24"/>
          <w:szCs w:val="24"/>
        </w:rPr>
        <w:footnoteReference w:id="28"/>
      </w:r>
    </w:p>
    <w:p w14:paraId="00E855D9" w14:textId="2F72CDF7" w:rsidR="001C74C2" w:rsidRPr="00735740" w:rsidRDefault="00EF3B57" w:rsidP="00201640">
      <w:pPr>
        <w:spacing w:afterLines="160" w:after="384" w:line="360" w:lineRule="auto"/>
        <w:rPr>
          <w:rFonts w:ascii="Garamond" w:hAnsi="Garamond"/>
          <w:color w:val="000000" w:themeColor="text1"/>
          <w:sz w:val="24"/>
          <w:szCs w:val="24"/>
        </w:rPr>
      </w:pPr>
      <w:r w:rsidRPr="00735740">
        <w:rPr>
          <w:rFonts w:ascii="Garamond" w:hAnsi="Garamond"/>
          <w:color w:val="000000" w:themeColor="text1"/>
          <w:sz w:val="24"/>
          <w:szCs w:val="24"/>
        </w:rPr>
        <w:t xml:space="preserve">The task of </w:t>
      </w:r>
      <w:r w:rsidR="00E8605F" w:rsidRPr="00735740">
        <w:rPr>
          <w:rFonts w:ascii="Garamond" w:hAnsi="Garamond"/>
          <w:color w:val="000000" w:themeColor="text1"/>
          <w:sz w:val="24"/>
          <w:szCs w:val="24"/>
        </w:rPr>
        <w:t>understanding the politics of</w:t>
      </w:r>
      <w:r w:rsidRPr="00735740">
        <w:rPr>
          <w:rFonts w:ascii="Garamond" w:hAnsi="Garamond"/>
          <w:color w:val="000000" w:themeColor="text1"/>
          <w:sz w:val="24"/>
          <w:szCs w:val="24"/>
        </w:rPr>
        <w:t xml:space="preserve"> the archive is to determine </w:t>
      </w:r>
      <w:r w:rsidR="00E46F33" w:rsidRPr="00735740">
        <w:rPr>
          <w:rFonts w:ascii="Garamond" w:hAnsi="Garamond"/>
          <w:color w:val="000000" w:themeColor="text1"/>
          <w:sz w:val="24"/>
          <w:szCs w:val="24"/>
        </w:rPr>
        <w:t xml:space="preserve">which </w:t>
      </w:r>
      <w:r w:rsidRPr="00735740">
        <w:rPr>
          <w:rFonts w:ascii="Garamond" w:hAnsi="Garamond"/>
          <w:color w:val="000000" w:themeColor="text1"/>
          <w:sz w:val="24"/>
          <w:szCs w:val="24"/>
        </w:rPr>
        <w:t xml:space="preserve">rules (the rules of formation) </w:t>
      </w:r>
      <w:r w:rsidR="0061410B" w:rsidRPr="00735740">
        <w:rPr>
          <w:rFonts w:ascii="Garamond" w:hAnsi="Garamond"/>
          <w:color w:val="000000" w:themeColor="text1"/>
          <w:sz w:val="24"/>
          <w:szCs w:val="24"/>
        </w:rPr>
        <w:t>underpin the production of knowledge</w:t>
      </w:r>
      <w:r w:rsidR="000B4823" w:rsidRPr="00735740">
        <w:rPr>
          <w:rFonts w:ascii="Garamond" w:hAnsi="Garamond"/>
          <w:color w:val="000000" w:themeColor="text1"/>
          <w:sz w:val="24"/>
          <w:szCs w:val="24"/>
        </w:rPr>
        <w:t>.</w:t>
      </w:r>
      <w:r w:rsidRPr="00735740">
        <w:rPr>
          <w:rStyle w:val="FootnoteReference"/>
          <w:rFonts w:ascii="Garamond" w:hAnsi="Garamond"/>
          <w:color w:val="000000" w:themeColor="text1"/>
          <w:sz w:val="24"/>
          <w:szCs w:val="24"/>
        </w:rPr>
        <w:footnoteReference w:id="29"/>
      </w:r>
      <w:r w:rsidR="000B4823" w:rsidRPr="00735740">
        <w:rPr>
          <w:rFonts w:ascii="Garamond" w:hAnsi="Garamond"/>
          <w:color w:val="000000" w:themeColor="text1"/>
          <w:sz w:val="24"/>
          <w:szCs w:val="24"/>
        </w:rPr>
        <w:t xml:space="preserve"> For Foucault</w:t>
      </w:r>
      <w:r w:rsidR="00E46F33" w:rsidRPr="00735740">
        <w:rPr>
          <w:rFonts w:ascii="Garamond" w:hAnsi="Garamond"/>
          <w:color w:val="000000" w:themeColor="text1"/>
          <w:sz w:val="24"/>
          <w:szCs w:val="24"/>
        </w:rPr>
        <w:t>,</w:t>
      </w:r>
      <w:r w:rsidR="000B4823" w:rsidRPr="00735740">
        <w:rPr>
          <w:rFonts w:ascii="Garamond" w:hAnsi="Garamond"/>
          <w:color w:val="000000" w:themeColor="text1"/>
          <w:sz w:val="24"/>
          <w:szCs w:val="24"/>
        </w:rPr>
        <w:t xml:space="preserve"> this is achieved</w:t>
      </w:r>
      <w:r w:rsidRPr="00735740">
        <w:rPr>
          <w:rFonts w:ascii="Garamond" w:hAnsi="Garamond"/>
          <w:color w:val="000000" w:themeColor="text1"/>
          <w:sz w:val="24"/>
          <w:szCs w:val="24"/>
        </w:rPr>
        <w:t xml:space="preserve"> by analysing the regularity with which statements and records are made for (and excluded from) the archive, and how they relate to each other; structuring, ordering, restricting and </w:t>
      </w:r>
      <w:r w:rsidRPr="00735740">
        <w:rPr>
          <w:rFonts w:ascii="Garamond" w:hAnsi="Garamond"/>
          <w:i/>
          <w:color w:val="000000" w:themeColor="text1"/>
          <w:sz w:val="24"/>
          <w:szCs w:val="24"/>
        </w:rPr>
        <w:t>enabling</w:t>
      </w:r>
      <w:r w:rsidRPr="00735740">
        <w:rPr>
          <w:rFonts w:ascii="Garamond" w:hAnsi="Garamond"/>
          <w:color w:val="000000" w:themeColor="text1"/>
          <w:sz w:val="24"/>
          <w:szCs w:val="24"/>
        </w:rPr>
        <w:t xml:space="preserve"> discourse.</w:t>
      </w:r>
      <w:r w:rsidRPr="00735740">
        <w:rPr>
          <w:rStyle w:val="FootnoteReference"/>
          <w:rFonts w:ascii="Garamond" w:hAnsi="Garamond"/>
          <w:color w:val="000000" w:themeColor="text1"/>
          <w:sz w:val="24"/>
          <w:szCs w:val="24"/>
        </w:rPr>
        <w:footnoteReference w:id="30"/>
      </w:r>
      <w:r w:rsidRPr="00735740">
        <w:rPr>
          <w:rFonts w:ascii="Garamond" w:hAnsi="Garamond"/>
          <w:color w:val="000000" w:themeColor="text1"/>
          <w:sz w:val="24"/>
          <w:szCs w:val="24"/>
        </w:rPr>
        <w:t xml:space="preserve">  </w:t>
      </w:r>
    </w:p>
    <w:p w14:paraId="27A70274" w14:textId="76D39E74" w:rsidR="001C74C2" w:rsidRPr="00735740" w:rsidRDefault="00094A22" w:rsidP="00201640">
      <w:pPr>
        <w:spacing w:afterLines="160" w:after="384" w:line="360" w:lineRule="auto"/>
        <w:rPr>
          <w:rFonts w:ascii="Garamond" w:hAnsi="Garamond"/>
          <w:color w:val="000000" w:themeColor="text1"/>
          <w:sz w:val="24"/>
          <w:szCs w:val="24"/>
        </w:rPr>
      </w:pPr>
      <w:r w:rsidRPr="00735740">
        <w:rPr>
          <w:rFonts w:ascii="Garamond" w:hAnsi="Garamond"/>
          <w:color w:val="000000" w:themeColor="text1"/>
          <w:sz w:val="24"/>
          <w:szCs w:val="24"/>
        </w:rPr>
        <w:t>Stoler and Foucault’s</w:t>
      </w:r>
      <w:r w:rsidR="001C74C2" w:rsidRPr="00735740">
        <w:rPr>
          <w:rFonts w:ascii="Garamond" w:hAnsi="Garamond"/>
          <w:color w:val="000000" w:themeColor="text1"/>
          <w:sz w:val="24"/>
          <w:szCs w:val="24"/>
        </w:rPr>
        <w:t xml:space="preserve"> conceptions of the archive </w:t>
      </w:r>
      <w:r w:rsidR="00EA1CAD" w:rsidRPr="00735740">
        <w:rPr>
          <w:rFonts w:ascii="Garamond" w:hAnsi="Garamond"/>
          <w:color w:val="000000" w:themeColor="text1"/>
          <w:sz w:val="24"/>
          <w:szCs w:val="24"/>
        </w:rPr>
        <w:t xml:space="preserve">also </w:t>
      </w:r>
      <w:r w:rsidRPr="00735740">
        <w:rPr>
          <w:rFonts w:ascii="Garamond" w:hAnsi="Garamond"/>
          <w:color w:val="000000" w:themeColor="text1"/>
          <w:sz w:val="24"/>
          <w:szCs w:val="24"/>
        </w:rPr>
        <w:t xml:space="preserve">emphasise </w:t>
      </w:r>
      <w:r w:rsidR="001C74C2" w:rsidRPr="00735740">
        <w:rPr>
          <w:rFonts w:ascii="Garamond" w:hAnsi="Garamond"/>
          <w:color w:val="000000" w:themeColor="text1"/>
          <w:sz w:val="24"/>
          <w:szCs w:val="24"/>
        </w:rPr>
        <w:t xml:space="preserve">the </w:t>
      </w:r>
      <w:r w:rsidR="006E0CF1" w:rsidRPr="00735740">
        <w:rPr>
          <w:rFonts w:ascii="Garamond" w:hAnsi="Garamond"/>
          <w:color w:val="000000" w:themeColor="text1"/>
          <w:sz w:val="24"/>
          <w:szCs w:val="24"/>
        </w:rPr>
        <w:t>entangled</w:t>
      </w:r>
      <w:r w:rsidR="001C74C2" w:rsidRPr="00735740">
        <w:rPr>
          <w:rFonts w:ascii="Garamond" w:hAnsi="Garamond"/>
          <w:color w:val="000000" w:themeColor="text1"/>
          <w:sz w:val="24"/>
          <w:szCs w:val="24"/>
        </w:rPr>
        <w:t xml:space="preserve"> relationship between archival records, the </w:t>
      </w:r>
      <w:r w:rsidRPr="00735740">
        <w:rPr>
          <w:rFonts w:ascii="Garamond" w:hAnsi="Garamond"/>
          <w:color w:val="000000" w:themeColor="text1"/>
          <w:sz w:val="24"/>
          <w:szCs w:val="24"/>
        </w:rPr>
        <w:t>archivist</w:t>
      </w:r>
      <w:r w:rsidR="001C74C2" w:rsidRPr="00735740">
        <w:rPr>
          <w:rFonts w:ascii="Garamond" w:hAnsi="Garamond"/>
          <w:color w:val="000000" w:themeColor="text1"/>
          <w:sz w:val="24"/>
          <w:szCs w:val="24"/>
        </w:rPr>
        <w:t xml:space="preserve"> and </w:t>
      </w:r>
      <w:r w:rsidRPr="00735740">
        <w:rPr>
          <w:rFonts w:ascii="Garamond" w:hAnsi="Garamond"/>
          <w:color w:val="000000" w:themeColor="text1"/>
          <w:sz w:val="24"/>
          <w:szCs w:val="24"/>
        </w:rPr>
        <w:t>community</w:t>
      </w:r>
      <w:r w:rsidR="001C74C2" w:rsidRPr="00735740">
        <w:rPr>
          <w:rFonts w:ascii="Garamond" w:hAnsi="Garamond"/>
          <w:color w:val="000000" w:themeColor="text1"/>
          <w:sz w:val="24"/>
          <w:szCs w:val="24"/>
        </w:rPr>
        <w:t>. In Stoler’s work</w:t>
      </w:r>
      <w:r w:rsidR="004D11D0" w:rsidRPr="00735740">
        <w:rPr>
          <w:rFonts w:ascii="Garamond" w:hAnsi="Garamond"/>
          <w:color w:val="000000" w:themeColor="text1"/>
          <w:sz w:val="24"/>
          <w:szCs w:val="24"/>
        </w:rPr>
        <w:t xml:space="preserve">, it is </w:t>
      </w:r>
      <w:r w:rsidRPr="00735740">
        <w:rPr>
          <w:rFonts w:ascii="Garamond" w:hAnsi="Garamond"/>
          <w:color w:val="000000" w:themeColor="text1"/>
          <w:sz w:val="24"/>
          <w:szCs w:val="24"/>
        </w:rPr>
        <w:t>archivists</w:t>
      </w:r>
      <w:r w:rsidR="00226683" w:rsidRPr="00735740">
        <w:rPr>
          <w:rFonts w:ascii="Garamond" w:hAnsi="Garamond"/>
          <w:color w:val="000000" w:themeColor="text1"/>
          <w:sz w:val="24"/>
          <w:szCs w:val="24"/>
        </w:rPr>
        <w:t>’</w:t>
      </w:r>
      <w:r w:rsidR="001D62D4" w:rsidRPr="00735740">
        <w:rPr>
          <w:rFonts w:ascii="Garamond" w:hAnsi="Garamond"/>
          <w:color w:val="000000" w:themeColor="text1"/>
          <w:sz w:val="24"/>
          <w:szCs w:val="24"/>
        </w:rPr>
        <w:t xml:space="preserve"> </w:t>
      </w:r>
      <w:r w:rsidR="006E0CF1" w:rsidRPr="00735740">
        <w:rPr>
          <w:rFonts w:ascii="Garamond" w:hAnsi="Garamond"/>
          <w:color w:val="000000" w:themeColor="text1"/>
          <w:sz w:val="24"/>
          <w:szCs w:val="24"/>
        </w:rPr>
        <w:t>epistemologi</w:t>
      </w:r>
      <w:r w:rsidR="00285879" w:rsidRPr="00735740">
        <w:rPr>
          <w:rFonts w:ascii="Garamond" w:hAnsi="Garamond"/>
          <w:color w:val="000000" w:themeColor="text1"/>
          <w:sz w:val="24"/>
          <w:szCs w:val="24"/>
        </w:rPr>
        <w:t>es</w:t>
      </w:r>
      <w:r w:rsidR="001C74C2" w:rsidRPr="00735740">
        <w:rPr>
          <w:rFonts w:ascii="Garamond" w:hAnsi="Garamond"/>
          <w:color w:val="000000" w:themeColor="text1"/>
          <w:sz w:val="24"/>
          <w:szCs w:val="24"/>
        </w:rPr>
        <w:t xml:space="preserve"> </w:t>
      </w:r>
      <w:r w:rsidR="00007C43" w:rsidRPr="00735740">
        <w:rPr>
          <w:rFonts w:ascii="Garamond" w:hAnsi="Garamond"/>
          <w:color w:val="000000" w:themeColor="text1"/>
          <w:sz w:val="24"/>
          <w:szCs w:val="24"/>
        </w:rPr>
        <w:t xml:space="preserve">that are </w:t>
      </w:r>
      <w:r w:rsidR="006E0CF1" w:rsidRPr="00735740">
        <w:rPr>
          <w:rFonts w:ascii="Garamond" w:hAnsi="Garamond"/>
          <w:color w:val="000000" w:themeColor="text1"/>
          <w:sz w:val="24"/>
          <w:szCs w:val="24"/>
        </w:rPr>
        <w:t>prioritised</w:t>
      </w:r>
      <w:r w:rsidR="001C74C2" w:rsidRPr="00735740">
        <w:rPr>
          <w:rFonts w:ascii="Garamond" w:hAnsi="Garamond"/>
          <w:color w:val="000000" w:themeColor="text1"/>
          <w:sz w:val="24"/>
          <w:szCs w:val="24"/>
        </w:rPr>
        <w:t xml:space="preserve"> </w:t>
      </w:r>
      <w:r w:rsidR="00007C43" w:rsidRPr="00735740">
        <w:rPr>
          <w:rFonts w:ascii="Garamond" w:hAnsi="Garamond"/>
          <w:color w:val="000000" w:themeColor="text1"/>
          <w:sz w:val="24"/>
          <w:szCs w:val="24"/>
        </w:rPr>
        <w:t xml:space="preserve">in building the archive, </w:t>
      </w:r>
      <w:r w:rsidR="001C74C2" w:rsidRPr="00735740">
        <w:rPr>
          <w:rFonts w:ascii="Garamond" w:hAnsi="Garamond"/>
          <w:color w:val="000000" w:themeColor="text1"/>
          <w:sz w:val="24"/>
          <w:szCs w:val="24"/>
        </w:rPr>
        <w:t xml:space="preserve">which </w:t>
      </w:r>
      <w:r w:rsidR="006E0CF1" w:rsidRPr="00735740">
        <w:rPr>
          <w:rFonts w:ascii="Garamond" w:hAnsi="Garamond"/>
          <w:color w:val="000000" w:themeColor="text1"/>
          <w:sz w:val="24"/>
          <w:szCs w:val="24"/>
        </w:rPr>
        <w:t>work</w:t>
      </w:r>
      <w:r w:rsidR="00226683" w:rsidRPr="00735740">
        <w:rPr>
          <w:rFonts w:ascii="Garamond" w:hAnsi="Garamond"/>
          <w:color w:val="000000" w:themeColor="text1"/>
          <w:sz w:val="24"/>
          <w:szCs w:val="24"/>
        </w:rPr>
        <w:t xml:space="preserve"> </w:t>
      </w:r>
      <w:r w:rsidR="006E0CF1" w:rsidRPr="00735740">
        <w:rPr>
          <w:rFonts w:ascii="Garamond" w:hAnsi="Garamond"/>
          <w:color w:val="000000" w:themeColor="text1"/>
          <w:sz w:val="24"/>
          <w:szCs w:val="24"/>
        </w:rPr>
        <w:t xml:space="preserve">to </w:t>
      </w:r>
      <w:r w:rsidR="00285879" w:rsidRPr="00735740">
        <w:rPr>
          <w:rFonts w:ascii="Garamond" w:hAnsi="Garamond"/>
          <w:color w:val="000000" w:themeColor="text1"/>
          <w:sz w:val="24"/>
          <w:szCs w:val="24"/>
        </w:rPr>
        <w:t>turn</w:t>
      </w:r>
      <w:r w:rsidR="006E0CF1" w:rsidRPr="00735740">
        <w:rPr>
          <w:rFonts w:ascii="Garamond" w:hAnsi="Garamond"/>
          <w:color w:val="000000" w:themeColor="text1"/>
          <w:sz w:val="24"/>
          <w:szCs w:val="24"/>
        </w:rPr>
        <w:t xml:space="preserve"> </w:t>
      </w:r>
      <w:r w:rsidR="00007C43" w:rsidRPr="00735740">
        <w:rPr>
          <w:rFonts w:ascii="Garamond" w:hAnsi="Garamond"/>
          <w:color w:val="000000" w:themeColor="text1"/>
          <w:sz w:val="24"/>
          <w:szCs w:val="24"/>
        </w:rPr>
        <w:t>their</w:t>
      </w:r>
      <w:r w:rsidR="006E0CF1" w:rsidRPr="00735740">
        <w:rPr>
          <w:rFonts w:ascii="Garamond" w:hAnsi="Garamond"/>
          <w:color w:val="000000" w:themeColor="text1"/>
          <w:sz w:val="24"/>
          <w:szCs w:val="24"/>
        </w:rPr>
        <w:t xml:space="preserve"> ‘</w:t>
      </w:r>
      <w:r w:rsidR="00E35C64" w:rsidRPr="00735740">
        <w:rPr>
          <w:rFonts w:ascii="Garamond" w:hAnsi="Garamond"/>
          <w:color w:val="000000" w:themeColor="text1"/>
          <w:sz w:val="24"/>
          <w:szCs w:val="24"/>
        </w:rPr>
        <w:t>fantasies</w:t>
      </w:r>
      <w:r w:rsidR="006E0CF1" w:rsidRPr="00735740">
        <w:rPr>
          <w:rFonts w:ascii="Garamond" w:hAnsi="Garamond"/>
          <w:color w:val="000000" w:themeColor="text1"/>
          <w:sz w:val="24"/>
          <w:szCs w:val="24"/>
        </w:rPr>
        <w:t xml:space="preserve">’ into </w:t>
      </w:r>
      <w:r w:rsidR="00007C43" w:rsidRPr="00735740">
        <w:rPr>
          <w:rFonts w:ascii="Garamond" w:hAnsi="Garamond"/>
          <w:color w:val="000000" w:themeColor="text1"/>
          <w:sz w:val="24"/>
          <w:szCs w:val="24"/>
        </w:rPr>
        <w:t xml:space="preserve">lived </w:t>
      </w:r>
      <w:r w:rsidR="00E35C64" w:rsidRPr="00735740">
        <w:rPr>
          <w:rFonts w:ascii="Garamond" w:hAnsi="Garamond"/>
          <w:color w:val="000000" w:themeColor="text1"/>
          <w:sz w:val="24"/>
          <w:szCs w:val="24"/>
        </w:rPr>
        <w:t>realit</w:t>
      </w:r>
      <w:r w:rsidR="00007C43" w:rsidRPr="00735740">
        <w:rPr>
          <w:rFonts w:ascii="Garamond" w:hAnsi="Garamond"/>
          <w:color w:val="000000" w:themeColor="text1"/>
          <w:sz w:val="24"/>
          <w:szCs w:val="24"/>
        </w:rPr>
        <w:t>ies</w:t>
      </w:r>
      <w:r w:rsidR="006E0CF1" w:rsidRPr="00735740">
        <w:rPr>
          <w:rFonts w:ascii="Garamond" w:hAnsi="Garamond"/>
          <w:color w:val="000000" w:themeColor="text1"/>
          <w:sz w:val="24"/>
          <w:szCs w:val="24"/>
        </w:rPr>
        <w:t>.</w:t>
      </w:r>
      <w:r w:rsidR="00B4601C" w:rsidRPr="00735740">
        <w:rPr>
          <w:rStyle w:val="FootnoteReference"/>
          <w:rFonts w:ascii="Garamond" w:hAnsi="Garamond"/>
          <w:color w:val="000000" w:themeColor="text1"/>
          <w:sz w:val="24"/>
          <w:szCs w:val="24"/>
        </w:rPr>
        <w:footnoteReference w:id="31"/>
      </w:r>
      <w:r w:rsidR="006E0CF1" w:rsidRPr="00735740">
        <w:rPr>
          <w:rFonts w:ascii="Garamond" w:hAnsi="Garamond"/>
          <w:color w:val="000000" w:themeColor="text1"/>
          <w:sz w:val="24"/>
          <w:szCs w:val="24"/>
        </w:rPr>
        <w:t xml:space="preserve"> </w:t>
      </w:r>
      <w:r w:rsidR="00007C43" w:rsidRPr="00735740">
        <w:rPr>
          <w:rFonts w:ascii="Garamond" w:hAnsi="Garamond"/>
          <w:color w:val="000000" w:themeColor="text1"/>
          <w:sz w:val="24"/>
          <w:szCs w:val="24"/>
        </w:rPr>
        <w:t xml:space="preserve">Similarly, Foucault </w:t>
      </w:r>
      <w:r w:rsidR="001D62D4" w:rsidRPr="00735740">
        <w:rPr>
          <w:rFonts w:ascii="Garamond" w:hAnsi="Garamond"/>
          <w:color w:val="000000" w:themeColor="text1"/>
          <w:sz w:val="24"/>
          <w:szCs w:val="24"/>
        </w:rPr>
        <w:t xml:space="preserve">focuses on </w:t>
      </w:r>
      <w:r w:rsidR="006E0CF1" w:rsidRPr="00735740">
        <w:rPr>
          <w:rFonts w:ascii="Garamond" w:hAnsi="Garamond"/>
          <w:color w:val="000000" w:themeColor="text1"/>
          <w:sz w:val="24"/>
          <w:szCs w:val="24"/>
        </w:rPr>
        <w:t>the interrelationship between different subject positions (what he terms enunciative modalities)</w:t>
      </w:r>
      <w:r w:rsidR="00133C7F" w:rsidRPr="00735740">
        <w:rPr>
          <w:rFonts w:ascii="Garamond" w:hAnsi="Garamond"/>
          <w:color w:val="000000" w:themeColor="text1"/>
          <w:sz w:val="24"/>
          <w:szCs w:val="24"/>
        </w:rPr>
        <w:t xml:space="preserve"> in determining an archive</w:t>
      </w:r>
      <w:r w:rsidR="00BF4A44" w:rsidRPr="00735740">
        <w:rPr>
          <w:rFonts w:ascii="Garamond" w:hAnsi="Garamond"/>
          <w:color w:val="000000" w:themeColor="text1"/>
          <w:sz w:val="24"/>
          <w:szCs w:val="24"/>
        </w:rPr>
        <w:t>’</w:t>
      </w:r>
      <w:r w:rsidR="00133C7F" w:rsidRPr="00735740">
        <w:rPr>
          <w:rFonts w:ascii="Garamond" w:hAnsi="Garamond"/>
          <w:color w:val="000000" w:themeColor="text1"/>
          <w:sz w:val="24"/>
          <w:szCs w:val="24"/>
        </w:rPr>
        <w:t>s rules</w:t>
      </w:r>
      <w:r w:rsidR="00007C43" w:rsidRPr="00735740">
        <w:rPr>
          <w:rFonts w:ascii="Garamond" w:hAnsi="Garamond"/>
          <w:color w:val="000000" w:themeColor="text1"/>
          <w:sz w:val="24"/>
          <w:szCs w:val="24"/>
        </w:rPr>
        <w:t>. Foucault describes the importance of how these subject positions relate to objects (such as archival records), concepts (such as responsibility) and strategies (such as governance)</w:t>
      </w:r>
      <w:r w:rsidR="00133C7F" w:rsidRPr="00735740">
        <w:rPr>
          <w:rFonts w:ascii="Garamond" w:hAnsi="Garamond"/>
          <w:color w:val="000000" w:themeColor="text1"/>
          <w:sz w:val="24"/>
          <w:szCs w:val="24"/>
        </w:rPr>
        <w:t>,</w:t>
      </w:r>
      <w:r w:rsidR="00007C43" w:rsidRPr="00735740">
        <w:rPr>
          <w:rFonts w:ascii="Garamond" w:hAnsi="Garamond"/>
          <w:color w:val="000000" w:themeColor="text1"/>
          <w:sz w:val="24"/>
          <w:szCs w:val="24"/>
        </w:rPr>
        <w:t xml:space="preserve"> in producing the rules that determine the contours of legitimate knowledge within the archive</w:t>
      </w:r>
      <w:r w:rsidR="006E0CF1" w:rsidRPr="00735740">
        <w:rPr>
          <w:rFonts w:ascii="Garamond" w:hAnsi="Garamond"/>
          <w:color w:val="000000" w:themeColor="text1"/>
          <w:sz w:val="24"/>
          <w:szCs w:val="24"/>
        </w:rPr>
        <w:t>.</w:t>
      </w:r>
      <w:r w:rsidR="00007C43" w:rsidRPr="00735740">
        <w:rPr>
          <w:rStyle w:val="FootnoteReference"/>
          <w:rFonts w:ascii="Garamond" w:hAnsi="Garamond"/>
          <w:color w:val="000000" w:themeColor="text1"/>
          <w:sz w:val="24"/>
          <w:szCs w:val="24"/>
        </w:rPr>
        <w:t xml:space="preserve"> </w:t>
      </w:r>
      <w:r w:rsidR="00007C43" w:rsidRPr="00735740">
        <w:rPr>
          <w:rStyle w:val="FootnoteReference"/>
          <w:rFonts w:ascii="Garamond" w:hAnsi="Garamond"/>
          <w:color w:val="000000" w:themeColor="text1"/>
          <w:sz w:val="24"/>
          <w:szCs w:val="24"/>
        </w:rPr>
        <w:footnoteReference w:id="32"/>
      </w:r>
      <w:r w:rsidR="00007C43" w:rsidRPr="00735740">
        <w:rPr>
          <w:rFonts w:ascii="Garamond" w:hAnsi="Garamond"/>
          <w:color w:val="000000" w:themeColor="text1"/>
          <w:sz w:val="24"/>
          <w:szCs w:val="24"/>
        </w:rPr>
        <w:t xml:space="preserve"> </w:t>
      </w:r>
      <w:r w:rsidR="00EA1CAD" w:rsidRPr="00735740">
        <w:rPr>
          <w:rFonts w:ascii="Garamond" w:hAnsi="Garamond"/>
          <w:color w:val="000000" w:themeColor="text1"/>
          <w:sz w:val="24"/>
          <w:szCs w:val="24"/>
        </w:rPr>
        <w:t xml:space="preserve"> </w:t>
      </w:r>
      <w:r w:rsidR="00EA2F33" w:rsidRPr="00735740">
        <w:rPr>
          <w:rFonts w:ascii="Garamond" w:hAnsi="Garamond"/>
          <w:color w:val="000000" w:themeColor="text1"/>
          <w:sz w:val="24"/>
          <w:szCs w:val="24"/>
        </w:rPr>
        <w:t xml:space="preserve">Yet, as </w:t>
      </w:r>
      <w:r w:rsidR="004D11D0" w:rsidRPr="00735740">
        <w:rPr>
          <w:rFonts w:ascii="Garamond" w:hAnsi="Garamond"/>
          <w:color w:val="000000" w:themeColor="text1"/>
          <w:sz w:val="24"/>
          <w:szCs w:val="24"/>
        </w:rPr>
        <w:t xml:space="preserve">previously </w:t>
      </w:r>
      <w:r w:rsidR="00EA2F33" w:rsidRPr="00735740">
        <w:rPr>
          <w:rFonts w:ascii="Garamond" w:hAnsi="Garamond"/>
          <w:color w:val="000000" w:themeColor="text1"/>
          <w:sz w:val="24"/>
          <w:szCs w:val="24"/>
        </w:rPr>
        <w:t xml:space="preserve">discussed, </w:t>
      </w:r>
      <w:r w:rsidR="00A410CF" w:rsidRPr="00735740">
        <w:rPr>
          <w:rFonts w:ascii="Garamond" w:hAnsi="Garamond"/>
          <w:color w:val="000000" w:themeColor="text1"/>
          <w:sz w:val="24"/>
          <w:szCs w:val="24"/>
        </w:rPr>
        <w:t>these</w:t>
      </w:r>
      <w:r w:rsidR="00EA2F33" w:rsidRPr="00735740">
        <w:rPr>
          <w:rFonts w:ascii="Garamond" w:hAnsi="Garamond"/>
          <w:color w:val="000000" w:themeColor="text1"/>
          <w:sz w:val="24"/>
          <w:szCs w:val="24"/>
        </w:rPr>
        <w:t xml:space="preserve"> relationship</w:t>
      </w:r>
      <w:r w:rsidR="00A410CF" w:rsidRPr="00735740">
        <w:rPr>
          <w:rFonts w:ascii="Garamond" w:hAnsi="Garamond"/>
          <w:color w:val="000000" w:themeColor="text1"/>
          <w:sz w:val="24"/>
          <w:szCs w:val="24"/>
        </w:rPr>
        <w:t>s are un</w:t>
      </w:r>
      <w:r w:rsidR="00EA2F33" w:rsidRPr="00735740">
        <w:rPr>
          <w:rFonts w:ascii="Garamond" w:hAnsi="Garamond"/>
          <w:color w:val="000000" w:themeColor="text1"/>
          <w:sz w:val="24"/>
          <w:szCs w:val="24"/>
        </w:rPr>
        <w:t xml:space="preserve">stable. As both Stoler and Foucault argue, </w:t>
      </w:r>
      <w:r w:rsidR="00A410CF" w:rsidRPr="00735740">
        <w:rPr>
          <w:rFonts w:ascii="Garamond" w:hAnsi="Garamond"/>
          <w:color w:val="000000" w:themeColor="text1"/>
          <w:sz w:val="24"/>
          <w:szCs w:val="24"/>
        </w:rPr>
        <w:t>the archivist</w:t>
      </w:r>
      <w:r w:rsidR="004D11D0" w:rsidRPr="00735740">
        <w:rPr>
          <w:rFonts w:ascii="Garamond" w:hAnsi="Garamond"/>
          <w:color w:val="000000" w:themeColor="text1"/>
          <w:sz w:val="24"/>
          <w:szCs w:val="24"/>
        </w:rPr>
        <w:t>’</w:t>
      </w:r>
      <w:r w:rsidR="00A410CF" w:rsidRPr="00735740">
        <w:rPr>
          <w:rFonts w:ascii="Garamond" w:hAnsi="Garamond"/>
          <w:color w:val="000000" w:themeColor="text1"/>
          <w:sz w:val="24"/>
          <w:szCs w:val="24"/>
        </w:rPr>
        <w:t xml:space="preserve">s attempts to bring order </w:t>
      </w:r>
      <w:r w:rsidR="004D11D0" w:rsidRPr="00735740">
        <w:rPr>
          <w:rFonts w:ascii="Garamond" w:hAnsi="Garamond"/>
          <w:color w:val="000000" w:themeColor="text1"/>
          <w:sz w:val="24"/>
          <w:szCs w:val="24"/>
        </w:rPr>
        <w:t>is</w:t>
      </w:r>
      <w:r w:rsidR="00A410CF" w:rsidRPr="00735740">
        <w:rPr>
          <w:rFonts w:ascii="Garamond" w:hAnsi="Garamond"/>
          <w:color w:val="000000" w:themeColor="text1"/>
          <w:sz w:val="24"/>
          <w:szCs w:val="24"/>
        </w:rPr>
        <w:t xml:space="preserve"> only ever partially successful, and as such </w:t>
      </w:r>
      <w:r w:rsidR="00EA2F33" w:rsidRPr="00735740">
        <w:rPr>
          <w:rFonts w:ascii="Garamond" w:hAnsi="Garamond"/>
          <w:color w:val="000000" w:themeColor="text1"/>
          <w:sz w:val="24"/>
          <w:szCs w:val="24"/>
        </w:rPr>
        <w:t>there is always already an excess</w:t>
      </w:r>
      <w:r w:rsidR="00394C71" w:rsidRPr="00735740">
        <w:rPr>
          <w:rFonts w:ascii="Garamond" w:hAnsi="Garamond"/>
          <w:color w:val="000000" w:themeColor="text1"/>
          <w:sz w:val="24"/>
          <w:szCs w:val="24"/>
        </w:rPr>
        <w:t xml:space="preserve"> of meaning</w:t>
      </w:r>
      <w:r w:rsidR="00EA2F33" w:rsidRPr="00735740">
        <w:rPr>
          <w:rFonts w:ascii="Garamond" w:hAnsi="Garamond"/>
          <w:color w:val="000000" w:themeColor="text1"/>
          <w:sz w:val="24"/>
          <w:szCs w:val="24"/>
        </w:rPr>
        <w:t xml:space="preserve"> within the archive</w:t>
      </w:r>
      <w:r w:rsidR="00394C71" w:rsidRPr="00735740">
        <w:rPr>
          <w:rFonts w:ascii="Garamond" w:hAnsi="Garamond"/>
          <w:color w:val="000000" w:themeColor="text1"/>
          <w:sz w:val="24"/>
          <w:szCs w:val="24"/>
        </w:rPr>
        <w:t xml:space="preserve"> that goes beyond the archivist’s vision and w</w:t>
      </w:r>
      <w:r w:rsidR="00EA2F33" w:rsidRPr="00735740">
        <w:rPr>
          <w:rFonts w:ascii="Garamond" w:hAnsi="Garamond"/>
          <w:color w:val="000000" w:themeColor="text1"/>
          <w:sz w:val="24"/>
          <w:szCs w:val="24"/>
        </w:rPr>
        <w:t>hich</w:t>
      </w:r>
      <w:r w:rsidR="00394C71" w:rsidRPr="00735740">
        <w:rPr>
          <w:rFonts w:ascii="Garamond" w:hAnsi="Garamond"/>
          <w:color w:val="000000" w:themeColor="text1"/>
          <w:sz w:val="24"/>
          <w:szCs w:val="24"/>
        </w:rPr>
        <w:t>, in turn,</w:t>
      </w:r>
      <w:r w:rsidR="004D11D0" w:rsidRPr="00735740">
        <w:rPr>
          <w:rFonts w:ascii="Garamond" w:hAnsi="Garamond"/>
          <w:color w:val="000000" w:themeColor="text1"/>
          <w:sz w:val="24"/>
          <w:szCs w:val="24"/>
        </w:rPr>
        <w:t xml:space="preserve"> </w:t>
      </w:r>
      <w:r w:rsidR="00EA2F33" w:rsidRPr="00735740">
        <w:rPr>
          <w:rFonts w:ascii="Garamond" w:hAnsi="Garamond"/>
          <w:color w:val="000000" w:themeColor="text1"/>
          <w:sz w:val="24"/>
          <w:szCs w:val="24"/>
        </w:rPr>
        <w:t xml:space="preserve">has a bearing on </w:t>
      </w:r>
      <w:r w:rsidR="00A410CF" w:rsidRPr="00735740">
        <w:rPr>
          <w:rFonts w:ascii="Garamond" w:hAnsi="Garamond"/>
          <w:color w:val="000000" w:themeColor="text1"/>
          <w:sz w:val="24"/>
          <w:szCs w:val="24"/>
        </w:rPr>
        <w:t xml:space="preserve">how </w:t>
      </w:r>
      <w:r w:rsidR="00EA2F33" w:rsidRPr="00735740">
        <w:rPr>
          <w:rFonts w:ascii="Garamond" w:hAnsi="Garamond"/>
          <w:color w:val="000000" w:themeColor="text1"/>
          <w:sz w:val="24"/>
          <w:szCs w:val="24"/>
        </w:rPr>
        <w:t xml:space="preserve">community </w:t>
      </w:r>
      <w:r w:rsidR="00A410CF" w:rsidRPr="00735740">
        <w:rPr>
          <w:rFonts w:ascii="Garamond" w:hAnsi="Garamond"/>
          <w:color w:val="000000" w:themeColor="text1"/>
          <w:sz w:val="24"/>
          <w:szCs w:val="24"/>
        </w:rPr>
        <w:t xml:space="preserve">is </w:t>
      </w:r>
      <w:r w:rsidR="00EA2F33" w:rsidRPr="00735740">
        <w:rPr>
          <w:rFonts w:ascii="Garamond" w:hAnsi="Garamond"/>
          <w:color w:val="000000" w:themeColor="text1"/>
          <w:sz w:val="24"/>
          <w:szCs w:val="24"/>
        </w:rPr>
        <w:t>imagined.</w:t>
      </w:r>
      <w:r w:rsidR="00A410CF" w:rsidRPr="00735740">
        <w:rPr>
          <w:rStyle w:val="FootnoteReference"/>
          <w:rFonts w:ascii="Garamond" w:hAnsi="Garamond"/>
          <w:color w:val="000000" w:themeColor="text1"/>
          <w:sz w:val="24"/>
          <w:szCs w:val="24"/>
        </w:rPr>
        <w:footnoteReference w:id="33"/>
      </w:r>
      <w:r w:rsidR="00EA2F33" w:rsidRPr="00735740">
        <w:rPr>
          <w:rFonts w:ascii="Garamond" w:hAnsi="Garamond"/>
          <w:color w:val="000000" w:themeColor="text1"/>
          <w:sz w:val="24"/>
          <w:szCs w:val="24"/>
        </w:rPr>
        <w:t xml:space="preserve"> The</w:t>
      </w:r>
      <w:r w:rsidR="00007C43" w:rsidRPr="00735740">
        <w:rPr>
          <w:rFonts w:ascii="Garamond" w:hAnsi="Garamond"/>
          <w:color w:val="000000" w:themeColor="text1"/>
          <w:sz w:val="24"/>
          <w:szCs w:val="24"/>
        </w:rPr>
        <w:t xml:space="preserve"> archive, archivist and community exist in an interdependent</w:t>
      </w:r>
      <w:r w:rsidR="00937DC3" w:rsidRPr="00735740">
        <w:rPr>
          <w:rFonts w:ascii="Garamond" w:hAnsi="Garamond"/>
          <w:color w:val="000000" w:themeColor="text1"/>
          <w:sz w:val="24"/>
          <w:szCs w:val="24"/>
        </w:rPr>
        <w:t xml:space="preserve"> </w:t>
      </w:r>
      <w:r w:rsidR="00007C43" w:rsidRPr="00735740">
        <w:rPr>
          <w:rFonts w:ascii="Garamond" w:hAnsi="Garamond"/>
          <w:color w:val="000000" w:themeColor="text1"/>
          <w:sz w:val="24"/>
          <w:szCs w:val="24"/>
        </w:rPr>
        <w:t>and co-</w:t>
      </w:r>
      <w:r w:rsidR="001060A1" w:rsidRPr="00735740">
        <w:rPr>
          <w:rFonts w:ascii="Garamond" w:hAnsi="Garamond"/>
          <w:color w:val="000000" w:themeColor="text1"/>
          <w:sz w:val="24"/>
          <w:szCs w:val="24"/>
        </w:rPr>
        <w:t>constitutive</w:t>
      </w:r>
      <w:r w:rsidR="00007C43" w:rsidRPr="00735740">
        <w:rPr>
          <w:rFonts w:ascii="Garamond" w:hAnsi="Garamond"/>
          <w:color w:val="000000" w:themeColor="text1"/>
          <w:sz w:val="24"/>
          <w:szCs w:val="24"/>
        </w:rPr>
        <w:t xml:space="preserve">, </w:t>
      </w:r>
      <w:r w:rsidR="00A410CF" w:rsidRPr="00735740">
        <w:rPr>
          <w:rFonts w:ascii="Garamond" w:hAnsi="Garamond"/>
          <w:color w:val="000000" w:themeColor="text1"/>
          <w:sz w:val="24"/>
          <w:szCs w:val="24"/>
        </w:rPr>
        <w:t xml:space="preserve">if not volatile, </w:t>
      </w:r>
      <w:r w:rsidR="00007C43" w:rsidRPr="00735740">
        <w:rPr>
          <w:rFonts w:ascii="Garamond" w:hAnsi="Garamond"/>
          <w:color w:val="000000" w:themeColor="text1"/>
          <w:sz w:val="24"/>
          <w:szCs w:val="24"/>
        </w:rPr>
        <w:t xml:space="preserve">relationship. </w:t>
      </w:r>
    </w:p>
    <w:p w14:paraId="3251082F" w14:textId="10ADCE64" w:rsidR="003C50CE" w:rsidRPr="00735740" w:rsidRDefault="00B4601C" w:rsidP="00201640">
      <w:pPr>
        <w:spacing w:afterLines="160" w:after="384" w:line="360" w:lineRule="auto"/>
        <w:rPr>
          <w:rFonts w:ascii="Garamond" w:hAnsi="Garamond"/>
          <w:color w:val="000000" w:themeColor="text1"/>
          <w:sz w:val="24"/>
          <w:szCs w:val="24"/>
        </w:rPr>
      </w:pPr>
      <w:r w:rsidRPr="00735740">
        <w:rPr>
          <w:rFonts w:ascii="Garamond" w:hAnsi="Garamond"/>
          <w:color w:val="000000" w:themeColor="text1"/>
          <w:sz w:val="24"/>
          <w:szCs w:val="24"/>
        </w:rPr>
        <w:t>Both Stoler</w:t>
      </w:r>
      <w:r w:rsidR="0077307A" w:rsidRPr="00735740">
        <w:rPr>
          <w:rFonts w:ascii="Garamond" w:hAnsi="Garamond"/>
          <w:color w:val="000000" w:themeColor="text1"/>
          <w:sz w:val="24"/>
          <w:szCs w:val="24"/>
        </w:rPr>
        <w:t xml:space="preserve"> and Foucault</w:t>
      </w:r>
      <w:r w:rsidR="00D839F8" w:rsidRPr="00735740">
        <w:rPr>
          <w:rFonts w:ascii="Garamond" w:hAnsi="Garamond"/>
          <w:color w:val="000000" w:themeColor="text1"/>
          <w:sz w:val="24"/>
          <w:szCs w:val="24"/>
        </w:rPr>
        <w:t xml:space="preserve"> </w:t>
      </w:r>
      <w:r w:rsidR="00EA1CAD" w:rsidRPr="00735740">
        <w:rPr>
          <w:rFonts w:ascii="Garamond" w:hAnsi="Garamond"/>
          <w:color w:val="000000" w:themeColor="text1"/>
          <w:sz w:val="24"/>
          <w:szCs w:val="24"/>
        </w:rPr>
        <w:t>further</w:t>
      </w:r>
      <w:r w:rsidR="000B4823" w:rsidRPr="00735740">
        <w:rPr>
          <w:rFonts w:ascii="Garamond" w:hAnsi="Garamond"/>
          <w:color w:val="000000" w:themeColor="text1"/>
          <w:sz w:val="24"/>
          <w:szCs w:val="24"/>
        </w:rPr>
        <w:t xml:space="preserve"> </w:t>
      </w:r>
      <w:r w:rsidR="0028205F" w:rsidRPr="00735740">
        <w:rPr>
          <w:rFonts w:ascii="Garamond" w:hAnsi="Garamond"/>
          <w:color w:val="000000" w:themeColor="text1"/>
          <w:sz w:val="24"/>
          <w:szCs w:val="24"/>
        </w:rPr>
        <w:t xml:space="preserve">encourage analysis to </w:t>
      </w:r>
      <w:r w:rsidR="007A5359" w:rsidRPr="00735740">
        <w:rPr>
          <w:rFonts w:ascii="Garamond" w:hAnsi="Garamond"/>
          <w:color w:val="000000" w:themeColor="text1"/>
          <w:sz w:val="24"/>
          <w:szCs w:val="24"/>
        </w:rPr>
        <w:t>move</w:t>
      </w:r>
      <w:r w:rsidR="0028205F" w:rsidRPr="00735740">
        <w:rPr>
          <w:rFonts w:ascii="Garamond" w:hAnsi="Garamond"/>
          <w:color w:val="000000" w:themeColor="text1"/>
          <w:sz w:val="24"/>
          <w:szCs w:val="24"/>
        </w:rPr>
        <w:t xml:space="preserve"> </w:t>
      </w:r>
      <w:r w:rsidR="007A5359" w:rsidRPr="00735740">
        <w:rPr>
          <w:rFonts w:ascii="Garamond" w:hAnsi="Garamond"/>
          <w:color w:val="000000" w:themeColor="text1"/>
          <w:sz w:val="24"/>
          <w:szCs w:val="24"/>
        </w:rPr>
        <w:t xml:space="preserve">beyond a focus on the discursive. </w:t>
      </w:r>
      <w:r w:rsidR="002818A5" w:rsidRPr="00735740">
        <w:rPr>
          <w:rFonts w:ascii="Garamond" w:hAnsi="Garamond"/>
          <w:color w:val="000000" w:themeColor="text1"/>
          <w:sz w:val="24"/>
          <w:szCs w:val="24"/>
        </w:rPr>
        <w:t>As</w:t>
      </w:r>
      <w:r w:rsidR="00285879" w:rsidRPr="00735740">
        <w:rPr>
          <w:rFonts w:ascii="Garamond" w:hAnsi="Garamond"/>
          <w:color w:val="000000" w:themeColor="text1"/>
          <w:sz w:val="24"/>
          <w:szCs w:val="24"/>
        </w:rPr>
        <w:t xml:space="preserve"> the quote from Gordon suggests, </w:t>
      </w:r>
      <w:r w:rsidR="007A5359" w:rsidRPr="00735740">
        <w:rPr>
          <w:rFonts w:ascii="Garamond" w:hAnsi="Garamond"/>
          <w:color w:val="000000" w:themeColor="text1"/>
          <w:sz w:val="24"/>
          <w:szCs w:val="24"/>
        </w:rPr>
        <w:t xml:space="preserve">the archive is </w:t>
      </w:r>
      <w:r w:rsidR="0028205F" w:rsidRPr="00735740">
        <w:rPr>
          <w:rFonts w:ascii="Garamond" w:hAnsi="Garamond"/>
          <w:color w:val="000000" w:themeColor="text1"/>
          <w:sz w:val="24"/>
          <w:szCs w:val="24"/>
        </w:rPr>
        <w:t>a</w:t>
      </w:r>
      <w:r w:rsidR="00CB61A2" w:rsidRPr="00735740">
        <w:rPr>
          <w:rFonts w:ascii="Garamond" w:hAnsi="Garamond"/>
          <w:color w:val="000000" w:themeColor="text1"/>
          <w:sz w:val="24"/>
          <w:szCs w:val="24"/>
        </w:rPr>
        <w:t xml:space="preserve"> </w:t>
      </w:r>
      <w:r w:rsidR="007A5359" w:rsidRPr="00735740">
        <w:rPr>
          <w:rFonts w:ascii="Garamond" w:hAnsi="Garamond"/>
          <w:color w:val="000000" w:themeColor="text1"/>
          <w:sz w:val="24"/>
          <w:szCs w:val="24"/>
        </w:rPr>
        <w:t>sit</w:t>
      </w:r>
      <w:r w:rsidR="00CB61A2" w:rsidRPr="00735740">
        <w:rPr>
          <w:rFonts w:ascii="Garamond" w:hAnsi="Garamond"/>
          <w:color w:val="000000" w:themeColor="text1"/>
          <w:sz w:val="24"/>
          <w:szCs w:val="24"/>
        </w:rPr>
        <w:t>e</w:t>
      </w:r>
      <w:r w:rsidR="007A5359" w:rsidRPr="00735740">
        <w:rPr>
          <w:rFonts w:ascii="Garamond" w:hAnsi="Garamond"/>
          <w:color w:val="000000" w:themeColor="text1"/>
          <w:sz w:val="24"/>
          <w:szCs w:val="24"/>
        </w:rPr>
        <w:t xml:space="preserve"> where </w:t>
      </w:r>
      <w:r w:rsidR="0028205F" w:rsidRPr="00735740">
        <w:rPr>
          <w:rFonts w:ascii="Garamond" w:hAnsi="Garamond"/>
          <w:color w:val="000000" w:themeColor="text1"/>
          <w:sz w:val="24"/>
          <w:szCs w:val="24"/>
        </w:rPr>
        <w:t>the materiality o</w:t>
      </w:r>
      <w:r w:rsidR="00D839F8" w:rsidRPr="00735740">
        <w:rPr>
          <w:rFonts w:ascii="Garamond" w:hAnsi="Garamond"/>
          <w:color w:val="000000" w:themeColor="text1"/>
          <w:sz w:val="24"/>
          <w:szCs w:val="24"/>
        </w:rPr>
        <w:t xml:space="preserve">f </w:t>
      </w:r>
      <w:r w:rsidR="00AE1110" w:rsidRPr="00735740">
        <w:rPr>
          <w:rFonts w:ascii="Garamond" w:hAnsi="Garamond"/>
          <w:color w:val="000000" w:themeColor="text1"/>
          <w:sz w:val="24"/>
          <w:szCs w:val="24"/>
        </w:rPr>
        <w:t xml:space="preserve">a </w:t>
      </w:r>
      <w:r w:rsidR="007A5359" w:rsidRPr="00735740">
        <w:rPr>
          <w:rFonts w:ascii="Garamond" w:hAnsi="Garamond"/>
          <w:color w:val="000000" w:themeColor="text1"/>
          <w:sz w:val="24"/>
          <w:szCs w:val="24"/>
        </w:rPr>
        <w:t>discourse</w:t>
      </w:r>
      <w:r w:rsidR="00AE1110" w:rsidRPr="00735740">
        <w:rPr>
          <w:rFonts w:ascii="Garamond" w:hAnsi="Garamond"/>
          <w:color w:val="000000" w:themeColor="text1"/>
          <w:sz w:val="24"/>
          <w:szCs w:val="24"/>
        </w:rPr>
        <w:t xml:space="preserve"> </w:t>
      </w:r>
      <w:r w:rsidR="007A5359" w:rsidRPr="00735740">
        <w:rPr>
          <w:rFonts w:ascii="Garamond" w:hAnsi="Garamond"/>
          <w:color w:val="000000" w:themeColor="text1"/>
          <w:sz w:val="24"/>
          <w:szCs w:val="24"/>
        </w:rPr>
        <w:t>manifests</w:t>
      </w:r>
      <w:r w:rsidR="000B4823" w:rsidRPr="00735740">
        <w:rPr>
          <w:rFonts w:ascii="Garamond" w:hAnsi="Garamond"/>
          <w:color w:val="000000" w:themeColor="text1"/>
          <w:sz w:val="24"/>
          <w:szCs w:val="24"/>
        </w:rPr>
        <w:t>;</w:t>
      </w:r>
      <w:r w:rsidR="00D839F8" w:rsidRPr="00735740">
        <w:rPr>
          <w:rFonts w:ascii="Garamond" w:hAnsi="Garamond"/>
          <w:color w:val="000000" w:themeColor="text1"/>
          <w:sz w:val="24"/>
          <w:szCs w:val="24"/>
        </w:rPr>
        <w:t xml:space="preserve"> the archive renders</w:t>
      </w:r>
      <w:r w:rsidR="007A5359" w:rsidRPr="00735740">
        <w:rPr>
          <w:rFonts w:ascii="Garamond" w:hAnsi="Garamond"/>
          <w:color w:val="000000" w:themeColor="text1"/>
          <w:sz w:val="24"/>
          <w:szCs w:val="24"/>
        </w:rPr>
        <w:t xml:space="preserve"> </w:t>
      </w:r>
      <w:r w:rsidR="00E8605F" w:rsidRPr="00735740">
        <w:rPr>
          <w:rFonts w:ascii="Garamond" w:hAnsi="Garamond"/>
          <w:color w:val="000000" w:themeColor="text1"/>
          <w:sz w:val="24"/>
          <w:szCs w:val="24"/>
        </w:rPr>
        <w:t xml:space="preserve">material artefacts and records in a particular way </w:t>
      </w:r>
      <w:r w:rsidR="00D839F8" w:rsidRPr="00735740">
        <w:rPr>
          <w:rFonts w:ascii="Garamond" w:hAnsi="Garamond"/>
          <w:color w:val="000000" w:themeColor="text1"/>
          <w:sz w:val="24"/>
          <w:szCs w:val="24"/>
        </w:rPr>
        <w:t>due to</w:t>
      </w:r>
      <w:r w:rsidR="00E8605F" w:rsidRPr="00735740">
        <w:rPr>
          <w:rFonts w:ascii="Garamond" w:hAnsi="Garamond"/>
          <w:color w:val="000000" w:themeColor="text1"/>
          <w:sz w:val="24"/>
          <w:szCs w:val="24"/>
        </w:rPr>
        <w:t xml:space="preserve"> the</w:t>
      </w:r>
      <w:r w:rsidR="007A5359" w:rsidRPr="00735740">
        <w:rPr>
          <w:rFonts w:ascii="Garamond" w:hAnsi="Garamond"/>
          <w:color w:val="000000" w:themeColor="text1"/>
          <w:sz w:val="24"/>
          <w:szCs w:val="24"/>
        </w:rPr>
        <w:t xml:space="preserve"> </w:t>
      </w:r>
      <w:r w:rsidR="00141FD1" w:rsidRPr="00735740">
        <w:rPr>
          <w:rFonts w:ascii="Garamond" w:hAnsi="Garamond"/>
          <w:color w:val="000000" w:themeColor="text1"/>
          <w:sz w:val="24"/>
          <w:szCs w:val="24"/>
        </w:rPr>
        <w:lastRenderedPageBreak/>
        <w:t xml:space="preserve">discursive </w:t>
      </w:r>
      <w:r w:rsidR="007A5359" w:rsidRPr="00735740">
        <w:rPr>
          <w:rFonts w:ascii="Garamond" w:hAnsi="Garamond"/>
          <w:color w:val="000000" w:themeColor="text1"/>
          <w:sz w:val="24"/>
          <w:szCs w:val="24"/>
        </w:rPr>
        <w:t>rules</w:t>
      </w:r>
      <w:r w:rsidR="00E8605F" w:rsidRPr="00735740">
        <w:rPr>
          <w:rFonts w:ascii="Garamond" w:hAnsi="Garamond"/>
          <w:color w:val="000000" w:themeColor="text1"/>
          <w:sz w:val="24"/>
          <w:szCs w:val="24"/>
        </w:rPr>
        <w:t xml:space="preserve"> that</w:t>
      </w:r>
      <w:r w:rsidR="007A5359" w:rsidRPr="00735740">
        <w:rPr>
          <w:rFonts w:ascii="Garamond" w:hAnsi="Garamond"/>
          <w:color w:val="000000" w:themeColor="text1"/>
          <w:sz w:val="24"/>
          <w:szCs w:val="24"/>
        </w:rPr>
        <w:t xml:space="preserve"> determine the contours of </w:t>
      </w:r>
      <w:r w:rsidR="00E8605F" w:rsidRPr="00735740">
        <w:rPr>
          <w:rFonts w:ascii="Garamond" w:hAnsi="Garamond"/>
          <w:color w:val="000000" w:themeColor="text1"/>
          <w:sz w:val="24"/>
          <w:szCs w:val="24"/>
        </w:rPr>
        <w:t>legitimate</w:t>
      </w:r>
      <w:r w:rsidR="007A5359" w:rsidRPr="00735740">
        <w:rPr>
          <w:rFonts w:ascii="Garamond" w:hAnsi="Garamond"/>
          <w:color w:val="000000" w:themeColor="text1"/>
          <w:sz w:val="24"/>
          <w:szCs w:val="24"/>
        </w:rPr>
        <w:t xml:space="preserve"> knowledge. </w:t>
      </w:r>
      <w:r w:rsidR="001C3373" w:rsidRPr="00735740">
        <w:rPr>
          <w:rFonts w:ascii="Garamond" w:hAnsi="Garamond"/>
          <w:color w:val="000000" w:themeColor="text1"/>
          <w:sz w:val="24"/>
          <w:szCs w:val="24"/>
        </w:rPr>
        <w:t>As Stoler argues, archives should be seen ‘as monuments of states as well as sites of state ethnography’</w:t>
      </w:r>
      <w:r w:rsidR="00D2335B" w:rsidRPr="00735740">
        <w:rPr>
          <w:rFonts w:ascii="Garamond" w:hAnsi="Garamond"/>
          <w:color w:val="000000" w:themeColor="text1"/>
          <w:sz w:val="24"/>
          <w:szCs w:val="24"/>
        </w:rPr>
        <w:t>.</w:t>
      </w:r>
      <w:r w:rsidR="00B27276" w:rsidRPr="00735740">
        <w:rPr>
          <w:rStyle w:val="FootnoteReference"/>
          <w:rFonts w:ascii="Garamond" w:hAnsi="Garamond"/>
          <w:color w:val="000000" w:themeColor="text1"/>
          <w:sz w:val="24"/>
          <w:szCs w:val="24"/>
        </w:rPr>
        <w:footnoteReference w:id="34"/>
      </w:r>
      <w:r w:rsidR="001C3373" w:rsidRPr="00735740">
        <w:rPr>
          <w:rFonts w:ascii="Garamond" w:hAnsi="Garamond"/>
          <w:color w:val="000000" w:themeColor="text1"/>
          <w:sz w:val="24"/>
          <w:szCs w:val="24"/>
        </w:rPr>
        <w:t xml:space="preserve"> </w:t>
      </w:r>
      <w:r w:rsidRPr="00735740">
        <w:rPr>
          <w:rFonts w:ascii="Garamond" w:hAnsi="Garamond"/>
          <w:color w:val="000000" w:themeColor="text1"/>
          <w:sz w:val="24"/>
          <w:szCs w:val="24"/>
        </w:rPr>
        <w:t>As such,</w:t>
      </w:r>
      <w:r w:rsidR="001D62D4" w:rsidRPr="00735740">
        <w:rPr>
          <w:rFonts w:ascii="Garamond" w:hAnsi="Garamond"/>
          <w:color w:val="000000" w:themeColor="text1"/>
          <w:sz w:val="24"/>
          <w:szCs w:val="24"/>
        </w:rPr>
        <w:t xml:space="preserve"> within the archive</w:t>
      </w:r>
      <w:r w:rsidRPr="00735740">
        <w:rPr>
          <w:rFonts w:ascii="Garamond" w:hAnsi="Garamond"/>
          <w:color w:val="000000" w:themeColor="text1"/>
          <w:sz w:val="24"/>
          <w:szCs w:val="24"/>
        </w:rPr>
        <w:t xml:space="preserve"> there</w:t>
      </w:r>
      <w:r w:rsidR="00141FD1" w:rsidRPr="00735740">
        <w:rPr>
          <w:rFonts w:ascii="Garamond" w:hAnsi="Garamond"/>
          <w:color w:val="000000" w:themeColor="text1"/>
          <w:sz w:val="24"/>
          <w:szCs w:val="24"/>
        </w:rPr>
        <w:t xml:space="preserve"> is a sense of the co-</w:t>
      </w:r>
      <w:r w:rsidRPr="00735740">
        <w:rPr>
          <w:rFonts w:ascii="Garamond" w:hAnsi="Garamond"/>
          <w:color w:val="000000" w:themeColor="text1"/>
          <w:sz w:val="24"/>
          <w:szCs w:val="24"/>
        </w:rPr>
        <w:t>constitutive</w:t>
      </w:r>
      <w:r w:rsidR="00141FD1" w:rsidRPr="00735740">
        <w:rPr>
          <w:rFonts w:ascii="Garamond" w:hAnsi="Garamond"/>
          <w:color w:val="000000" w:themeColor="text1"/>
          <w:sz w:val="24"/>
          <w:szCs w:val="24"/>
        </w:rPr>
        <w:t xml:space="preserve"> </w:t>
      </w:r>
      <w:r w:rsidRPr="00735740">
        <w:rPr>
          <w:rFonts w:ascii="Garamond" w:hAnsi="Garamond"/>
          <w:color w:val="000000" w:themeColor="text1"/>
          <w:sz w:val="24"/>
          <w:szCs w:val="24"/>
        </w:rPr>
        <w:t>nature of the</w:t>
      </w:r>
      <w:r w:rsidR="00141FD1" w:rsidRPr="00735740">
        <w:rPr>
          <w:rFonts w:ascii="Garamond" w:hAnsi="Garamond"/>
          <w:color w:val="000000" w:themeColor="text1"/>
          <w:sz w:val="24"/>
          <w:szCs w:val="24"/>
        </w:rPr>
        <w:t xml:space="preserve"> material and the discursive</w:t>
      </w:r>
      <w:r w:rsidR="00BF4A44" w:rsidRPr="00735740">
        <w:rPr>
          <w:rFonts w:ascii="Garamond" w:hAnsi="Garamond"/>
          <w:color w:val="000000" w:themeColor="text1"/>
          <w:sz w:val="24"/>
          <w:szCs w:val="24"/>
        </w:rPr>
        <w:t xml:space="preserve">. </w:t>
      </w:r>
      <w:r w:rsidR="002818A5" w:rsidRPr="00735740">
        <w:rPr>
          <w:rFonts w:ascii="Garamond" w:hAnsi="Garamond"/>
          <w:color w:val="000000" w:themeColor="text1"/>
          <w:sz w:val="24"/>
          <w:szCs w:val="24"/>
        </w:rPr>
        <w:t xml:space="preserve">Two other points can be made here. First, as the example of the Australian colonial archives demonstrates, it is also important to consider what is </w:t>
      </w:r>
      <w:r w:rsidR="002818A5" w:rsidRPr="00735740">
        <w:rPr>
          <w:rFonts w:ascii="Garamond" w:hAnsi="Garamond"/>
          <w:i/>
          <w:iCs/>
          <w:color w:val="000000" w:themeColor="text1"/>
          <w:sz w:val="24"/>
          <w:szCs w:val="24"/>
        </w:rPr>
        <w:t>excluded</w:t>
      </w:r>
      <w:r w:rsidR="002818A5" w:rsidRPr="00735740">
        <w:rPr>
          <w:rFonts w:ascii="Garamond" w:hAnsi="Garamond"/>
          <w:color w:val="000000" w:themeColor="text1"/>
          <w:sz w:val="24"/>
          <w:szCs w:val="24"/>
        </w:rPr>
        <w:t xml:space="preserve"> from the archive and rendered immaterial. The absence of particular records can</w:t>
      </w:r>
      <w:r w:rsidR="00394C71" w:rsidRPr="00735740">
        <w:rPr>
          <w:rFonts w:ascii="Garamond" w:hAnsi="Garamond"/>
          <w:color w:val="000000" w:themeColor="text1"/>
          <w:sz w:val="24"/>
          <w:szCs w:val="24"/>
        </w:rPr>
        <w:t xml:space="preserve"> </w:t>
      </w:r>
      <w:r w:rsidR="002818A5" w:rsidRPr="00735740">
        <w:rPr>
          <w:rFonts w:ascii="Garamond" w:hAnsi="Garamond"/>
          <w:color w:val="000000" w:themeColor="text1"/>
          <w:sz w:val="24"/>
          <w:szCs w:val="24"/>
        </w:rPr>
        <w:t>have significant and ongoing consequences for the governance and legitimacy of different communities. Second</w:t>
      </w:r>
      <w:r w:rsidR="000A4C77" w:rsidRPr="00735740">
        <w:rPr>
          <w:rFonts w:ascii="Garamond" w:hAnsi="Garamond"/>
          <w:color w:val="000000" w:themeColor="text1"/>
          <w:sz w:val="24"/>
          <w:szCs w:val="24"/>
        </w:rPr>
        <w:t xml:space="preserve">, if </w:t>
      </w:r>
      <w:r w:rsidR="002818A5" w:rsidRPr="00735740">
        <w:rPr>
          <w:rFonts w:ascii="Garamond" w:hAnsi="Garamond"/>
          <w:color w:val="000000" w:themeColor="text1"/>
          <w:sz w:val="24"/>
          <w:szCs w:val="24"/>
        </w:rPr>
        <w:t xml:space="preserve">the </w:t>
      </w:r>
      <w:r w:rsidR="0077307A" w:rsidRPr="00735740">
        <w:rPr>
          <w:rFonts w:ascii="Garamond" w:hAnsi="Garamond"/>
          <w:color w:val="000000" w:themeColor="text1"/>
          <w:sz w:val="24"/>
          <w:szCs w:val="24"/>
        </w:rPr>
        <w:t>aforementioned</w:t>
      </w:r>
      <w:r w:rsidR="00792308" w:rsidRPr="00735740">
        <w:rPr>
          <w:rFonts w:ascii="Garamond" w:hAnsi="Garamond"/>
          <w:color w:val="000000" w:themeColor="text1"/>
          <w:sz w:val="24"/>
          <w:szCs w:val="24"/>
        </w:rPr>
        <w:t xml:space="preserve"> ‘</w:t>
      </w:r>
      <w:r w:rsidR="002818A5" w:rsidRPr="00735740">
        <w:rPr>
          <w:rFonts w:ascii="Garamond" w:hAnsi="Garamond"/>
          <w:color w:val="000000" w:themeColor="text1"/>
          <w:sz w:val="24"/>
          <w:szCs w:val="24"/>
        </w:rPr>
        <w:t>excess</w:t>
      </w:r>
      <w:r w:rsidR="00792308" w:rsidRPr="00735740">
        <w:rPr>
          <w:rFonts w:ascii="Garamond" w:hAnsi="Garamond"/>
          <w:color w:val="000000" w:themeColor="text1"/>
          <w:sz w:val="24"/>
          <w:szCs w:val="24"/>
        </w:rPr>
        <w:t>’</w:t>
      </w:r>
      <w:r w:rsidR="002818A5" w:rsidRPr="00735740">
        <w:rPr>
          <w:rFonts w:ascii="Garamond" w:hAnsi="Garamond"/>
          <w:color w:val="000000" w:themeColor="text1"/>
          <w:sz w:val="24"/>
          <w:szCs w:val="24"/>
        </w:rPr>
        <w:t xml:space="preserve"> of the archive is taken into consideration</w:t>
      </w:r>
      <w:r w:rsidR="00F66691" w:rsidRPr="00735740">
        <w:rPr>
          <w:rFonts w:ascii="Garamond" w:hAnsi="Garamond"/>
          <w:color w:val="000000" w:themeColor="text1"/>
          <w:sz w:val="24"/>
          <w:szCs w:val="24"/>
        </w:rPr>
        <w:t xml:space="preserve">, </w:t>
      </w:r>
      <w:r w:rsidR="00394C71" w:rsidRPr="00735740">
        <w:rPr>
          <w:rFonts w:ascii="Garamond" w:hAnsi="Garamond"/>
          <w:color w:val="000000" w:themeColor="text1"/>
          <w:sz w:val="24"/>
          <w:szCs w:val="24"/>
        </w:rPr>
        <w:t xml:space="preserve">there is the </w:t>
      </w:r>
      <w:r w:rsidR="00792308" w:rsidRPr="00735740">
        <w:rPr>
          <w:rFonts w:ascii="Garamond" w:hAnsi="Garamond"/>
          <w:color w:val="000000" w:themeColor="text1"/>
          <w:sz w:val="24"/>
          <w:szCs w:val="24"/>
        </w:rPr>
        <w:t xml:space="preserve">potential that some </w:t>
      </w:r>
      <w:r w:rsidR="00394C71" w:rsidRPr="00735740">
        <w:rPr>
          <w:rFonts w:ascii="Garamond" w:hAnsi="Garamond"/>
          <w:color w:val="000000" w:themeColor="text1"/>
          <w:sz w:val="24"/>
          <w:szCs w:val="24"/>
        </w:rPr>
        <w:t>material fragments within the archive</w:t>
      </w:r>
      <w:r w:rsidR="00671A27" w:rsidRPr="00735740">
        <w:rPr>
          <w:rFonts w:ascii="Garamond" w:hAnsi="Garamond"/>
          <w:color w:val="000000" w:themeColor="text1"/>
          <w:sz w:val="24"/>
          <w:szCs w:val="24"/>
        </w:rPr>
        <w:t xml:space="preserve"> exist in a state</w:t>
      </w:r>
      <w:r w:rsidR="00792308" w:rsidRPr="00735740">
        <w:rPr>
          <w:rFonts w:ascii="Garamond" w:hAnsi="Garamond"/>
          <w:color w:val="000000" w:themeColor="text1"/>
          <w:sz w:val="24"/>
          <w:szCs w:val="24"/>
        </w:rPr>
        <w:t xml:space="preserve"> of relative tension with </w:t>
      </w:r>
      <w:r w:rsidR="00671A27" w:rsidRPr="00735740">
        <w:rPr>
          <w:rFonts w:ascii="Garamond" w:hAnsi="Garamond"/>
          <w:color w:val="000000" w:themeColor="text1"/>
          <w:sz w:val="24"/>
          <w:szCs w:val="24"/>
        </w:rPr>
        <w:t>the archive’s rules of formation</w:t>
      </w:r>
      <w:r w:rsidR="00792308" w:rsidRPr="00735740">
        <w:rPr>
          <w:rFonts w:ascii="Garamond" w:hAnsi="Garamond"/>
          <w:color w:val="000000" w:themeColor="text1"/>
          <w:sz w:val="24"/>
          <w:szCs w:val="24"/>
        </w:rPr>
        <w:t>, as their form and content do not fully succumb to those rules</w:t>
      </w:r>
      <w:r w:rsidR="00671A27" w:rsidRPr="00735740">
        <w:rPr>
          <w:rFonts w:ascii="Garamond" w:hAnsi="Garamond"/>
          <w:color w:val="000000" w:themeColor="text1"/>
          <w:sz w:val="24"/>
          <w:szCs w:val="24"/>
        </w:rPr>
        <w:t xml:space="preserve">. </w:t>
      </w:r>
      <w:r w:rsidR="007D2E10" w:rsidRPr="00735740">
        <w:rPr>
          <w:rFonts w:ascii="Garamond" w:hAnsi="Garamond"/>
          <w:color w:val="000000" w:themeColor="text1"/>
          <w:sz w:val="24"/>
          <w:szCs w:val="24"/>
        </w:rPr>
        <w:t>A disruptive potential exists w</w:t>
      </w:r>
      <w:r w:rsidR="00671A27" w:rsidRPr="00735740">
        <w:rPr>
          <w:rFonts w:ascii="Garamond" w:hAnsi="Garamond"/>
          <w:color w:val="000000" w:themeColor="text1"/>
          <w:sz w:val="24"/>
          <w:szCs w:val="24"/>
        </w:rPr>
        <w:t xml:space="preserve">ithin these fragments. </w:t>
      </w:r>
    </w:p>
    <w:p w14:paraId="5901B1E1" w14:textId="3AE08770" w:rsidR="00220328" w:rsidRPr="00735740" w:rsidRDefault="00220328" w:rsidP="00201640">
      <w:pPr>
        <w:spacing w:afterLines="160" w:after="384" w:line="360" w:lineRule="auto"/>
        <w:rPr>
          <w:rFonts w:ascii="Garamond" w:hAnsi="Garamond"/>
          <w:color w:val="000000" w:themeColor="text1"/>
          <w:sz w:val="24"/>
          <w:szCs w:val="24"/>
        </w:rPr>
      </w:pPr>
      <w:r w:rsidRPr="00735740">
        <w:rPr>
          <w:rFonts w:ascii="Garamond" w:hAnsi="Garamond"/>
          <w:color w:val="000000" w:themeColor="text1"/>
          <w:sz w:val="24"/>
          <w:szCs w:val="24"/>
        </w:rPr>
        <w:t xml:space="preserve">This analytical approach can be situated within </w:t>
      </w:r>
      <w:r w:rsidR="00094A22" w:rsidRPr="00735740">
        <w:rPr>
          <w:rFonts w:ascii="Garamond" w:hAnsi="Garamond"/>
          <w:color w:val="000000" w:themeColor="text1"/>
          <w:sz w:val="24"/>
          <w:szCs w:val="24"/>
        </w:rPr>
        <w:t xml:space="preserve">critical IR’s </w:t>
      </w:r>
      <w:r w:rsidR="00685857" w:rsidRPr="00735740">
        <w:rPr>
          <w:rFonts w:ascii="Garamond" w:hAnsi="Garamond"/>
          <w:color w:val="000000" w:themeColor="text1"/>
          <w:sz w:val="24"/>
          <w:szCs w:val="24"/>
        </w:rPr>
        <w:t xml:space="preserve">concern </w:t>
      </w:r>
      <w:r w:rsidR="00094A22" w:rsidRPr="00735740">
        <w:rPr>
          <w:rFonts w:ascii="Garamond" w:hAnsi="Garamond"/>
          <w:color w:val="000000" w:themeColor="text1"/>
          <w:sz w:val="24"/>
          <w:szCs w:val="24"/>
        </w:rPr>
        <w:t>with the interrelationship between the production of knowledge and modes of governance.</w:t>
      </w:r>
      <w:r w:rsidRPr="00735740">
        <w:rPr>
          <w:rStyle w:val="FootnoteReference"/>
          <w:rFonts w:ascii="Garamond" w:hAnsi="Garamond"/>
          <w:color w:val="000000" w:themeColor="text1"/>
          <w:sz w:val="24"/>
          <w:szCs w:val="24"/>
        </w:rPr>
        <w:footnoteReference w:id="35"/>
      </w:r>
      <w:r w:rsidRPr="00735740">
        <w:rPr>
          <w:rFonts w:ascii="Garamond" w:hAnsi="Garamond"/>
          <w:color w:val="000000" w:themeColor="text1"/>
          <w:sz w:val="24"/>
          <w:szCs w:val="24"/>
        </w:rPr>
        <w:t xml:space="preserve"> </w:t>
      </w:r>
      <w:r w:rsidRPr="00735740">
        <w:rPr>
          <w:rStyle w:val="FootnoteReference"/>
          <w:rFonts w:ascii="Garamond" w:hAnsi="Garamond"/>
          <w:color w:val="000000" w:themeColor="text1"/>
          <w:sz w:val="24"/>
          <w:szCs w:val="24"/>
        </w:rPr>
        <w:t xml:space="preserve"> </w:t>
      </w:r>
      <w:r w:rsidRPr="00735740">
        <w:rPr>
          <w:rFonts w:ascii="Garamond" w:hAnsi="Garamond"/>
          <w:color w:val="000000" w:themeColor="text1"/>
          <w:sz w:val="24"/>
          <w:szCs w:val="24"/>
        </w:rPr>
        <w:t xml:space="preserve">To this end the </w:t>
      </w:r>
      <w:r w:rsidR="00BF4A44" w:rsidRPr="00735740">
        <w:rPr>
          <w:rFonts w:ascii="Garamond" w:hAnsi="Garamond"/>
          <w:color w:val="000000" w:themeColor="text1"/>
          <w:sz w:val="24"/>
          <w:szCs w:val="24"/>
        </w:rPr>
        <w:t>article</w:t>
      </w:r>
      <w:r w:rsidRPr="00735740">
        <w:rPr>
          <w:rFonts w:ascii="Garamond" w:hAnsi="Garamond"/>
          <w:color w:val="000000" w:themeColor="text1"/>
          <w:sz w:val="24"/>
          <w:szCs w:val="24"/>
        </w:rPr>
        <w:t xml:space="preserve"> draws inspiration from Claudia Aradau and Jef Huysmans’</w:t>
      </w:r>
      <w:r w:rsidRPr="00735740">
        <w:rPr>
          <w:rFonts w:ascii="Garamond" w:hAnsi="Garamond"/>
          <w:i/>
          <w:color w:val="000000" w:themeColor="text1"/>
          <w:sz w:val="24"/>
          <w:szCs w:val="24"/>
        </w:rPr>
        <w:t xml:space="preserve"> </w:t>
      </w:r>
      <w:r w:rsidRPr="00735740">
        <w:rPr>
          <w:rFonts w:ascii="Garamond" w:hAnsi="Garamond"/>
          <w:color w:val="000000" w:themeColor="text1"/>
          <w:sz w:val="24"/>
          <w:szCs w:val="24"/>
        </w:rPr>
        <w:t xml:space="preserve">call for scholars to explore the politics of methods, and how certain methods </w:t>
      </w:r>
      <w:r w:rsidRPr="00735740">
        <w:rPr>
          <w:rFonts w:ascii="Garamond" w:hAnsi="Garamond"/>
          <w:i/>
          <w:color w:val="000000" w:themeColor="text1"/>
          <w:sz w:val="24"/>
          <w:szCs w:val="24"/>
        </w:rPr>
        <w:t>produce</w:t>
      </w:r>
      <w:r w:rsidRPr="00735740">
        <w:rPr>
          <w:rFonts w:ascii="Garamond" w:hAnsi="Garamond"/>
          <w:color w:val="000000" w:themeColor="text1"/>
          <w:sz w:val="24"/>
          <w:szCs w:val="24"/>
        </w:rPr>
        <w:t xml:space="preserve"> the object of analysis in particular ways, and ‘enact worlds’ with particular effects.</w:t>
      </w:r>
      <w:r w:rsidRPr="00735740">
        <w:rPr>
          <w:rStyle w:val="FootnoteReference"/>
          <w:rFonts w:ascii="Garamond" w:hAnsi="Garamond"/>
          <w:color w:val="000000" w:themeColor="text1"/>
          <w:sz w:val="24"/>
          <w:szCs w:val="24"/>
        </w:rPr>
        <w:footnoteReference w:id="36"/>
      </w:r>
      <w:r w:rsidRPr="00735740">
        <w:rPr>
          <w:rFonts w:ascii="Garamond" w:hAnsi="Garamond"/>
          <w:color w:val="000000" w:themeColor="text1"/>
          <w:sz w:val="24"/>
          <w:szCs w:val="24"/>
        </w:rPr>
        <w:t xml:space="preserve"> Whilst Aradau and Huysman explore this in relation to the production of ideas of security within IR, this approach is equally valid when discussing how particular methods, and determinations about how legitimate knowledge is to be produced, underpins the construction the archive.</w:t>
      </w:r>
      <w:r w:rsidRPr="00735740">
        <w:rPr>
          <w:rStyle w:val="FootnoteReference"/>
          <w:rFonts w:ascii="Garamond" w:hAnsi="Garamond"/>
          <w:color w:val="000000" w:themeColor="text1"/>
          <w:sz w:val="24"/>
          <w:szCs w:val="24"/>
        </w:rPr>
        <w:footnoteReference w:id="37"/>
      </w:r>
      <w:r w:rsidRPr="00735740">
        <w:rPr>
          <w:rFonts w:ascii="Garamond" w:hAnsi="Garamond"/>
          <w:color w:val="000000" w:themeColor="text1"/>
          <w:sz w:val="24"/>
          <w:szCs w:val="24"/>
        </w:rPr>
        <w:t xml:space="preserve"> Mirroring Stoler’s concern with the </w:t>
      </w:r>
      <w:r w:rsidRPr="00735740">
        <w:rPr>
          <w:rFonts w:ascii="Garamond" w:hAnsi="Garamond"/>
          <w:iCs/>
          <w:color w:val="000000" w:themeColor="text1"/>
          <w:sz w:val="24"/>
          <w:szCs w:val="24"/>
        </w:rPr>
        <w:t>failures</w:t>
      </w:r>
      <w:r w:rsidRPr="00735740">
        <w:rPr>
          <w:rFonts w:ascii="Garamond" w:hAnsi="Garamond"/>
          <w:color w:val="000000" w:themeColor="text1"/>
          <w:sz w:val="24"/>
          <w:szCs w:val="24"/>
        </w:rPr>
        <w:t xml:space="preserve"> or ‘false starts’ of the archive,</w:t>
      </w:r>
      <w:r w:rsidRPr="00735740">
        <w:rPr>
          <w:rStyle w:val="FootnoteReference"/>
          <w:rFonts w:ascii="Garamond" w:hAnsi="Garamond"/>
          <w:color w:val="000000" w:themeColor="text1"/>
          <w:sz w:val="24"/>
          <w:szCs w:val="24"/>
        </w:rPr>
        <w:footnoteReference w:id="38"/>
      </w:r>
      <w:r w:rsidRPr="00735740">
        <w:rPr>
          <w:rFonts w:ascii="Garamond" w:hAnsi="Garamond"/>
          <w:color w:val="000000" w:themeColor="text1"/>
          <w:sz w:val="24"/>
          <w:szCs w:val="24"/>
        </w:rPr>
        <w:t xml:space="preserve"> </w:t>
      </w:r>
      <w:r w:rsidR="00094A22" w:rsidRPr="00735740">
        <w:rPr>
          <w:rFonts w:ascii="Garamond" w:hAnsi="Garamond"/>
          <w:color w:val="000000" w:themeColor="text1"/>
          <w:sz w:val="24"/>
          <w:szCs w:val="24"/>
        </w:rPr>
        <w:t xml:space="preserve">the approach adopted </w:t>
      </w:r>
      <w:r w:rsidR="00687D78" w:rsidRPr="00735740">
        <w:rPr>
          <w:rFonts w:ascii="Garamond" w:hAnsi="Garamond"/>
          <w:color w:val="000000" w:themeColor="text1"/>
          <w:sz w:val="24"/>
          <w:szCs w:val="24"/>
        </w:rPr>
        <w:t xml:space="preserve">in this article </w:t>
      </w:r>
      <w:r w:rsidRPr="00735740">
        <w:rPr>
          <w:rFonts w:ascii="Garamond" w:hAnsi="Garamond"/>
          <w:color w:val="000000" w:themeColor="text1"/>
          <w:sz w:val="24"/>
          <w:szCs w:val="24"/>
        </w:rPr>
        <w:t xml:space="preserve">is also concerned with showing the </w:t>
      </w:r>
      <w:r w:rsidRPr="00735740">
        <w:rPr>
          <w:rFonts w:ascii="Garamond" w:hAnsi="Garamond"/>
          <w:iCs/>
          <w:color w:val="000000" w:themeColor="text1"/>
          <w:sz w:val="24"/>
          <w:szCs w:val="24"/>
        </w:rPr>
        <w:t>instability</w:t>
      </w:r>
      <w:r w:rsidRPr="00735740">
        <w:rPr>
          <w:rFonts w:ascii="Garamond" w:hAnsi="Garamond"/>
          <w:color w:val="000000" w:themeColor="text1"/>
          <w:sz w:val="24"/>
          <w:szCs w:val="24"/>
        </w:rPr>
        <w:t xml:space="preserve"> of these discourses and ways of knowing. The analysis further draws inspiration from Joanna Tidy’s notion of </w:t>
      </w:r>
      <w:r w:rsidRPr="00735740">
        <w:rPr>
          <w:rFonts w:ascii="Garamond" w:hAnsi="Garamond"/>
          <w:i/>
          <w:color w:val="000000" w:themeColor="text1"/>
          <w:sz w:val="24"/>
          <w:szCs w:val="24"/>
        </w:rPr>
        <w:t xml:space="preserve">making </w:t>
      </w:r>
      <w:r w:rsidRPr="00735740">
        <w:rPr>
          <w:rFonts w:ascii="Garamond" w:hAnsi="Garamond"/>
          <w:color w:val="000000" w:themeColor="text1"/>
          <w:sz w:val="24"/>
          <w:szCs w:val="24"/>
        </w:rPr>
        <w:t>security. Tidy focuses on the material practices of making</w:t>
      </w:r>
      <w:r w:rsidR="00A26B79" w:rsidRPr="00735740">
        <w:rPr>
          <w:rFonts w:ascii="Garamond" w:hAnsi="Garamond"/>
          <w:color w:val="000000" w:themeColor="text1"/>
          <w:sz w:val="24"/>
          <w:szCs w:val="24"/>
        </w:rPr>
        <w:t xml:space="preserve"> security</w:t>
      </w:r>
      <w:r w:rsidRPr="00735740">
        <w:rPr>
          <w:rFonts w:ascii="Garamond" w:hAnsi="Garamond"/>
          <w:color w:val="000000" w:themeColor="text1"/>
          <w:sz w:val="24"/>
          <w:szCs w:val="24"/>
        </w:rPr>
        <w:t xml:space="preserve"> objects </w:t>
      </w:r>
      <w:r w:rsidR="00A26B79" w:rsidRPr="00735740">
        <w:rPr>
          <w:rFonts w:ascii="Garamond" w:hAnsi="Garamond"/>
          <w:color w:val="000000" w:themeColor="text1"/>
          <w:sz w:val="24"/>
          <w:szCs w:val="24"/>
        </w:rPr>
        <w:t>t</w:t>
      </w:r>
      <w:r w:rsidRPr="00735740">
        <w:rPr>
          <w:rFonts w:ascii="Garamond" w:hAnsi="Garamond"/>
          <w:color w:val="000000" w:themeColor="text1"/>
          <w:sz w:val="24"/>
          <w:szCs w:val="24"/>
        </w:rPr>
        <w:t>o reveal the tacit knowledges (and politics) that underpin the process.</w:t>
      </w:r>
      <w:r w:rsidRPr="00735740">
        <w:rPr>
          <w:rStyle w:val="FootnoteReference"/>
          <w:rFonts w:ascii="Garamond" w:hAnsi="Garamond"/>
          <w:color w:val="000000" w:themeColor="text1"/>
          <w:sz w:val="24"/>
          <w:szCs w:val="24"/>
        </w:rPr>
        <w:footnoteReference w:id="39"/>
      </w:r>
      <w:r w:rsidRPr="00735740">
        <w:rPr>
          <w:rFonts w:ascii="Garamond" w:hAnsi="Garamond"/>
          <w:color w:val="000000" w:themeColor="text1"/>
          <w:sz w:val="24"/>
          <w:szCs w:val="24"/>
        </w:rPr>
        <w:t xml:space="preserve"> Here, then, the question is what assumptions underpin the </w:t>
      </w:r>
      <w:r w:rsidRPr="00735740">
        <w:rPr>
          <w:rFonts w:ascii="Garamond" w:hAnsi="Garamond"/>
          <w:i/>
          <w:color w:val="000000" w:themeColor="text1"/>
          <w:sz w:val="24"/>
          <w:szCs w:val="24"/>
        </w:rPr>
        <w:t xml:space="preserve">making </w:t>
      </w:r>
      <w:r w:rsidRPr="00735740">
        <w:rPr>
          <w:rFonts w:ascii="Garamond" w:hAnsi="Garamond"/>
          <w:color w:val="000000" w:themeColor="text1"/>
          <w:sz w:val="24"/>
          <w:szCs w:val="24"/>
        </w:rPr>
        <w:t xml:space="preserve">of the records for the archive. </w:t>
      </w:r>
      <w:r w:rsidR="00992A58" w:rsidRPr="00735740">
        <w:rPr>
          <w:rFonts w:ascii="Garamond" w:hAnsi="Garamond"/>
          <w:color w:val="000000" w:themeColor="text1"/>
          <w:sz w:val="24"/>
          <w:szCs w:val="24"/>
        </w:rPr>
        <w:t xml:space="preserve">Finally, by </w:t>
      </w:r>
      <w:r w:rsidR="00992A58" w:rsidRPr="00735740">
        <w:rPr>
          <w:rFonts w:ascii="Garamond" w:hAnsi="Garamond"/>
          <w:color w:val="000000" w:themeColor="text1"/>
          <w:sz w:val="24"/>
          <w:szCs w:val="24"/>
        </w:rPr>
        <w:lastRenderedPageBreak/>
        <w:t>explicitly treating these archives as sites of international politics, this builds on the burgeoning debates in IR that have turned to memorial and heritage sites</w:t>
      </w:r>
      <w:r w:rsidR="00687D78" w:rsidRPr="00735740">
        <w:rPr>
          <w:rFonts w:ascii="Garamond" w:hAnsi="Garamond"/>
          <w:color w:val="000000" w:themeColor="text1"/>
          <w:sz w:val="24"/>
          <w:szCs w:val="24"/>
        </w:rPr>
        <w:t xml:space="preserve"> </w:t>
      </w:r>
      <w:r w:rsidR="00992A58" w:rsidRPr="00735740">
        <w:rPr>
          <w:rFonts w:ascii="Garamond" w:hAnsi="Garamond"/>
          <w:color w:val="000000" w:themeColor="text1"/>
          <w:sz w:val="24"/>
          <w:szCs w:val="24"/>
        </w:rPr>
        <w:t>to examine how power-relations within global politics are fixed and contested through the curation of particular narratives within these spaces.</w:t>
      </w:r>
      <w:r w:rsidR="00992A58" w:rsidRPr="00735740">
        <w:rPr>
          <w:rStyle w:val="FootnoteReference"/>
          <w:rFonts w:ascii="Garamond" w:hAnsi="Garamond"/>
          <w:color w:val="000000" w:themeColor="text1"/>
          <w:sz w:val="24"/>
          <w:szCs w:val="24"/>
        </w:rPr>
        <w:footnoteReference w:id="40"/>
      </w:r>
      <w:r w:rsidR="00992A58" w:rsidRPr="00735740">
        <w:rPr>
          <w:rFonts w:ascii="Garamond" w:hAnsi="Garamond"/>
          <w:color w:val="000000" w:themeColor="text1"/>
          <w:sz w:val="24"/>
          <w:szCs w:val="24"/>
        </w:rPr>
        <w:t xml:space="preserve"> It does so here to understand how these archives help constitute and regulate imaginings of the international community.</w:t>
      </w:r>
    </w:p>
    <w:p w14:paraId="7DC3B776" w14:textId="37A18194" w:rsidR="00687D78" w:rsidRPr="00735740" w:rsidRDefault="00B77956" w:rsidP="00201640">
      <w:pPr>
        <w:spacing w:afterLines="160" w:after="384" w:line="360" w:lineRule="auto"/>
        <w:rPr>
          <w:rFonts w:ascii="Garamond" w:hAnsi="Garamond"/>
          <w:color w:val="000000" w:themeColor="text1"/>
          <w:sz w:val="24"/>
          <w:szCs w:val="24"/>
        </w:rPr>
      </w:pPr>
      <w:r w:rsidRPr="00735740">
        <w:rPr>
          <w:rFonts w:ascii="Garamond" w:hAnsi="Garamond"/>
          <w:color w:val="000000" w:themeColor="text1"/>
          <w:sz w:val="24"/>
          <w:szCs w:val="24"/>
        </w:rPr>
        <w:t xml:space="preserve">As discussed, scholars have </w:t>
      </w:r>
      <w:r w:rsidR="005C6637" w:rsidRPr="00735740">
        <w:rPr>
          <w:rFonts w:ascii="Garamond" w:hAnsi="Garamond"/>
          <w:color w:val="000000" w:themeColor="text1"/>
          <w:sz w:val="24"/>
          <w:szCs w:val="24"/>
        </w:rPr>
        <w:t xml:space="preserve">so far </w:t>
      </w:r>
      <w:r w:rsidRPr="00735740">
        <w:rPr>
          <w:rFonts w:ascii="Garamond" w:hAnsi="Garamond"/>
          <w:color w:val="000000" w:themeColor="text1"/>
          <w:sz w:val="24"/>
          <w:szCs w:val="24"/>
        </w:rPr>
        <w:t xml:space="preserve">explored the </w:t>
      </w:r>
      <w:r w:rsidR="00E452AA" w:rsidRPr="00735740">
        <w:rPr>
          <w:rFonts w:ascii="Garamond" w:hAnsi="Garamond"/>
          <w:color w:val="000000" w:themeColor="text1"/>
          <w:sz w:val="24"/>
          <w:szCs w:val="24"/>
        </w:rPr>
        <w:t xml:space="preserve">connection </w:t>
      </w:r>
      <w:r w:rsidRPr="00735740">
        <w:rPr>
          <w:rFonts w:ascii="Garamond" w:hAnsi="Garamond"/>
          <w:color w:val="000000" w:themeColor="text1"/>
          <w:sz w:val="24"/>
          <w:szCs w:val="24"/>
        </w:rPr>
        <w:t>between archives and community in relation to</w:t>
      </w:r>
      <w:r w:rsidRPr="00735740">
        <w:rPr>
          <w:rFonts w:ascii="Garamond" w:hAnsi="Garamond"/>
          <w:color w:val="000000" w:themeColor="text1"/>
          <w:sz w:val="24"/>
          <w:szCs w:val="24"/>
          <w:lang w:val="en-US"/>
        </w:rPr>
        <w:t xml:space="preserve"> colonial archives</w:t>
      </w:r>
      <w:r w:rsidR="00423E94" w:rsidRPr="00735740">
        <w:rPr>
          <w:rFonts w:ascii="Garamond" w:hAnsi="Garamond"/>
          <w:color w:val="000000" w:themeColor="text1"/>
          <w:sz w:val="24"/>
          <w:szCs w:val="24"/>
          <w:lang w:val="en-US"/>
        </w:rPr>
        <w:t>.</w:t>
      </w:r>
      <w:r w:rsidRPr="00735740">
        <w:rPr>
          <w:rStyle w:val="FootnoteReference"/>
          <w:rFonts w:ascii="Garamond" w:hAnsi="Garamond"/>
          <w:color w:val="000000" w:themeColor="text1"/>
          <w:sz w:val="24"/>
          <w:szCs w:val="24"/>
          <w:lang w:val="en-US"/>
        </w:rPr>
        <w:footnoteReference w:id="41"/>
      </w:r>
      <w:r w:rsidR="00937DC3" w:rsidRPr="00735740">
        <w:rPr>
          <w:rFonts w:ascii="Garamond" w:hAnsi="Garamond"/>
          <w:color w:val="000000" w:themeColor="text1"/>
          <w:sz w:val="24"/>
          <w:szCs w:val="24"/>
          <w:lang w:val="en-US"/>
        </w:rPr>
        <w:t xml:space="preserve"> </w:t>
      </w:r>
      <w:r w:rsidRPr="00735740">
        <w:rPr>
          <w:rFonts w:ascii="Garamond" w:hAnsi="Garamond"/>
          <w:color w:val="000000" w:themeColor="text1"/>
          <w:sz w:val="24"/>
          <w:szCs w:val="24"/>
          <w:lang w:val="en-US"/>
        </w:rPr>
        <w:t>Zahir Kolia has similarly offered an analysis of how the South African Truth and Reconciliation Commission’s archive helped constitute the post-apartheid state.</w:t>
      </w:r>
      <w:r w:rsidRPr="00735740">
        <w:rPr>
          <w:rStyle w:val="FootnoteReference"/>
          <w:rFonts w:ascii="Garamond" w:hAnsi="Garamond"/>
          <w:color w:val="000000" w:themeColor="text1"/>
          <w:sz w:val="24"/>
          <w:szCs w:val="24"/>
          <w:lang w:val="en-US"/>
        </w:rPr>
        <w:footnoteReference w:id="42"/>
      </w:r>
      <w:r w:rsidRPr="00735740">
        <w:rPr>
          <w:rFonts w:ascii="Garamond" w:hAnsi="Garamond"/>
          <w:color w:val="000000" w:themeColor="text1"/>
          <w:sz w:val="24"/>
          <w:szCs w:val="24"/>
          <w:lang w:val="en-US"/>
        </w:rPr>
        <w:t xml:space="preserve"> This article builds on these ideas as it explores how </w:t>
      </w:r>
      <w:r w:rsidRPr="00735740">
        <w:rPr>
          <w:rFonts w:ascii="Garamond" w:hAnsi="Garamond"/>
          <w:color w:val="000000" w:themeColor="text1"/>
          <w:sz w:val="24"/>
          <w:szCs w:val="24"/>
        </w:rPr>
        <w:t xml:space="preserve">archives within the international domain help constitute the ‘international community’. </w:t>
      </w:r>
      <w:r w:rsidR="00687D78" w:rsidRPr="00735740">
        <w:rPr>
          <w:rFonts w:ascii="Garamond" w:hAnsi="Garamond"/>
          <w:color w:val="000000" w:themeColor="text1"/>
          <w:sz w:val="24"/>
          <w:szCs w:val="24"/>
        </w:rPr>
        <w:t xml:space="preserve">Following Vivienne Jabri, the international community is understood as  ‘a distinct juridical-political space’ where the constitution of, and relations between, different subjects are defined and regulated by an ever-changing, and unevenly applied, set of rules and norms. </w:t>
      </w:r>
      <w:r w:rsidR="00423E94" w:rsidRPr="00735740">
        <w:rPr>
          <w:rFonts w:ascii="Garamond" w:hAnsi="Garamond"/>
          <w:color w:val="000000" w:themeColor="text1"/>
          <w:sz w:val="24"/>
          <w:szCs w:val="24"/>
        </w:rPr>
        <w:t>As discussed further below, t</w:t>
      </w:r>
      <w:r w:rsidR="00687D78" w:rsidRPr="00735740">
        <w:rPr>
          <w:rFonts w:ascii="Garamond" w:hAnsi="Garamond"/>
          <w:color w:val="000000" w:themeColor="text1"/>
          <w:sz w:val="24"/>
          <w:szCs w:val="24"/>
        </w:rPr>
        <w:t>he international community is not, then, ontologically stable, but</w:t>
      </w:r>
      <w:r w:rsidR="00937DC3" w:rsidRPr="00735740">
        <w:rPr>
          <w:rFonts w:ascii="Garamond" w:hAnsi="Garamond"/>
          <w:color w:val="000000" w:themeColor="text1"/>
          <w:sz w:val="24"/>
          <w:szCs w:val="24"/>
        </w:rPr>
        <w:t xml:space="preserve"> </w:t>
      </w:r>
      <w:r w:rsidR="00687D78" w:rsidRPr="00735740">
        <w:rPr>
          <w:rFonts w:ascii="Garamond" w:hAnsi="Garamond"/>
          <w:color w:val="000000" w:themeColor="text1"/>
          <w:sz w:val="24"/>
          <w:szCs w:val="24"/>
        </w:rPr>
        <w:t>is constantly reformulated as it encounters new problems and subjects.</w:t>
      </w:r>
      <w:r w:rsidR="00687D78" w:rsidRPr="00735740">
        <w:rPr>
          <w:rStyle w:val="FootnoteReference"/>
          <w:rFonts w:ascii="Garamond" w:hAnsi="Garamond"/>
          <w:color w:val="000000" w:themeColor="text1"/>
          <w:sz w:val="24"/>
          <w:szCs w:val="24"/>
        </w:rPr>
        <w:footnoteReference w:id="43"/>
      </w:r>
      <w:r w:rsidR="00687D78" w:rsidRPr="00735740">
        <w:rPr>
          <w:rFonts w:ascii="Garamond" w:hAnsi="Garamond"/>
          <w:color w:val="000000" w:themeColor="text1"/>
          <w:sz w:val="24"/>
          <w:szCs w:val="24"/>
        </w:rPr>
        <w:t xml:space="preserve"> The </w:t>
      </w:r>
      <w:r w:rsidR="00423E94" w:rsidRPr="00735740">
        <w:rPr>
          <w:rFonts w:ascii="Garamond" w:hAnsi="Garamond"/>
          <w:color w:val="000000" w:themeColor="text1"/>
          <w:sz w:val="24"/>
          <w:szCs w:val="24"/>
        </w:rPr>
        <w:t xml:space="preserve">rules of the </w:t>
      </w:r>
      <w:r w:rsidR="00687D78" w:rsidRPr="00735740">
        <w:rPr>
          <w:rFonts w:ascii="Garamond" w:hAnsi="Garamond"/>
          <w:color w:val="000000" w:themeColor="text1"/>
          <w:sz w:val="24"/>
          <w:szCs w:val="24"/>
        </w:rPr>
        <w:t>community</w:t>
      </w:r>
      <w:r w:rsidR="00423E94" w:rsidRPr="00735740">
        <w:rPr>
          <w:rFonts w:ascii="Garamond" w:hAnsi="Garamond"/>
          <w:color w:val="000000" w:themeColor="text1"/>
          <w:sz w:val="24"/>
          <w:szCs w:val="24"/>
        </w:rPr>
        <w:t xml:space="preserve"> are directed at </w:t>
      </w:r>
      <w:r w:rsidR="00687D78" w:rsidRPr="00735740">
        <w:rPr>
          <w:rFonts w:ascii="Garamond" w:hAnsi="Garamond"/>
          <w:color w:val="000000" w:themeColor="text1"/>
          <w:sz w:val="24"/>
          <w:szCs w:val="24"/>
        </w:rPr>
        <w:t>more than</w:t>
      </w:r>
      <w:r w:rsidR="00423E94" w:rsidRPr="00735740">
        <w:rPr>
          <w:rFonts w:ascii="Garamond" w:hAnsi="Garamond"/>
          <w:color w:val="000000" w:themeColor="text1"/>
          <w:sz w:val="24"/>
          <w:szCs w:val="24"/>
        </w:rPr>
        <w:t xml:space="preserve"> inter-state</w:t>
      </w:r>
      <w:r w:rsidR="00687D78" w:rsidRPr="00735740">
        <w:rPr>
          <w:rFonts w:ascii="Garamond" w:hAnsi="Garamond"/>
          <w:color w:val="000000" w:themeColor="text1"/>
          <w:sz w:val="24"/>
          <w:szCs w:val="24"/>
        </w:rPr>
        <w:t xml:space="preserve"> relations. </w:t>
      </w:r>
      <w:r w:rsidR="00E452AA" w:rsidRPr="00735740">
        <w:rPr>
          <w:rFonts w:ascii="Garamond" w:hAnsi="Garamond"/>
          <w:color w:val="000000" w:themeColor="text1"/>
          <w:sz w:val="24"/>
          <w:szCs w:val="24"/>
        </w:rPr>
        <w:t>Under the auspicious of defending the norms of the international community, t</w:t>
      </w:r>
      <w:r w:rsidR="00687D78" w:rsidRPr="00735740">
        <w:rPr>
          <w:rFonts w:ascii="Garamond" w:hAnsi="Garamond"/>
          <w:color w:val="000000" w:themeColor="text1"/>
          <w:sz w:val="24"/>
          <w:szCs w:val="24"/>
        </w:rPr>
        <w:t>he internal workings of states</w:t>
      </w:r>
      <w:r w:rsidR="00423E94" w:rsidRPr="00735740">
        <w:rPr>
          <w:rFonts w:ascii="Garamond" w:hAnsi="Garamond"/>
          <w:color w:val="000000" w:themeColor="text1"/>
          <w:sz w:val="24"/>
          <w:szCs w:val="24"/>
        </w:rPr>
        <w:t>,</w:t>
      </w:r>
      <w:r w:rsidR="00E452AA" w:rsidRPr="00735740">
        <w:rPr>
          <w:rFonts w:ascii="Garamond" w:hAnsi="Garamond"/>
          <w:color w:val="000000" w:themeColor="text1"/>
          <w:sz w:val="24"/>
          <w:szCs w:val="24"/>
        </w:rPr>
        <w:t xml:space="preserve"> and</w:t>
      </w:r>
      <w:r w:rsidR="00687D78" w:rsidRPr="00735740">
        <w:rPr>
          <w:rFonts w:ascii="Garamond" w:hAnsi="Garamond"/>
          <w:color w:val="000000" w:themeColor="text1"/>
          <w:sz w:val="24"/>
          <w:szCs w:val="24"/>
        </w:rPr>
        <w:t xml:space="preserve"> </w:t>
      </w:r>
      <w:r w:rsidR="00423E94" w:rsidRPr="00735740">
        <w:rPr>
          <w:rFonts w:ascii="Garamond" w:hAnsi="Garamond"/>
          <w:color w:val="000000" w:themeColor="text1"/>
          <w:sz w:val="24"/>
          <w:szCs w:val="24"/>
        </w:rPr>
        <w:t xml:space="preserve">the </w:t>
      </w:r>
      <w:r w:rsidR="00687D78" w:rsidRPr="00735740">
        <w:rPr>
          <w:rFonts w:ascii="Garamond" w:hAnsi="Garamond"/>
          <w:color w:val="000000" w:themeColor="text1"/>
          <w:sz w:val="24"/>
          <w:szCs w:val="24"/>
        </w:rPr>
        <w:t xml:space="preserve">relationship </w:t>
      </w:r>
      <w:r w:rsidR="00423E94" w:rsidRPr="00735740">
        <w:rPr>
          <w:rFonts w:ascii="Garamond" w:hAnsi="Garamond"/>
          <w:color w:val="000000" w:themeColor="text1"/>
          <w:sz w:val="24"/>
          <w:szCs w:val="24"/>
        </w:rPr>
        <w:t xml:space="preserve">between a state and its </w:t>
      </w:r>
      <w:r w:rsidR="00687D78" w:rsidRPr="00735740">
        <w:rPr>
          <w:rFonts w:ascii="Garamond" w:hAnsi="Garamond"/>
          <w:color w:val="000000" w:themeColor="text1"/>
          <w:sz w:val="24"/>
          <w:szCs w:val="24"/>
        </w:rPr>
        <w:t>citizens</w:t>
      </w:r>
      <w:r w:rsidR="00423E94" w:rsidRPr="00735740">
        <w:rPr>
          <w:rFonts w:ascii="Garamond" w:hAnsi="Garamond"/>
          <w:color w:val="000000" w:themeColor="text1"/>
          <w:sz w:val="24"/>
          <w:szCs w:val="24"/>
        </w:rPr>
        <w:t xml:space="preserve">, </w:t>
      </w:r>
      <w:r w:rsidR="00E452AA" w:rsidRPr="00735740">
        <w:rPr>
          <w:rFonts w:ascii="Garamond" w:hAnsi="Garamond"/>
          <w:color w:val="000000" w:themeColor="text1"/>
          <w:sz w:val="24"/>
          <w:szCs w:val="24"/>
        </w:rPr>
        <w:t xml:space="preserve">have regularly </w:t>
      </w:r>
      <w:r w:rsidR="00687D78" w:rsidRPr="00735740">
        <w:rPr>
          <w:rFonts w:ascii="Garamond" w:hAnsi="Garamond"/>
          <w:color w:val="000000" w:themeColor="text1"/>
          <w:sz w:val="24"/>
          <w:szCs w:val="24"/>
        </w:rPr>
        <w:t>become the concern of ‘external’ actor</w:t>
      </w:r>
      <w:r w:rsidR="00E452AA" w:rsidRPr="00735740">
        <w:rPr>
          <w:rFonts w:ascii="Garamond" w:hAnsi="Garamond"/>
          <w:color w:val="000000" w:themeColor="text1"/>
          <w:sz w:val="24"/>
          <w:szCs w:val="24"/>
        </w:rPr>
        <w:t xml:space="preserve">s </w:t>
      </w:r>
      <w:r w:rsidR="00687D78" w:rsidRPr="00735740">
        <w:rPr>
          <w:rFonts w:ascii="Garamond" w:hAnsi="Garamond"/>
          <w:color w:val="000000" w:themeColor="text1"/>
          <w:sz w:val="24"/>
          <w:szCs w:val="24"/>
        </w:rPr>
        <w:t xml:space="preserve">- whether large international organisations, such as the UN, other national states, </w:t>
      </w:r>
      <w:r w:rsidR="0077307A" w:rsidRPr="00735740">
        <w:rPr>
          <w:rFonts w:ascii="Garamond" w:hAnsi="Garamond"/>
          <w:color w:val="000000" w:themeColor="text1"/>
          <w:sz w:val="24"/>
          <w:szCs w:val="24"/>
        </w:rPr>
        <w:t xml:space="preserve">(I)NGOs </w:t>
      </w:r>
      <w:r w:rsidR="00120FB5" w:rsidRPr="00735740">
        <w:rPr>
          <w:rFonts w:ascii="Garamond" w:hAnsi="Garamond"/>
          <w:color w:val="000000" w:themeColor="text1"/>
          <w:sz w:val="24"/>
          <w:szCs w:val="24"/>
        </w:rPr>
        <w:t>or</w:t>
      </w:r>
      <w:r w:rsidR="00687D78" w:rsidRPr="00735740">
        <w:rPr>
          <w:rFonts w:ascii="Garamond" w:hAnsi="Garamond"/>
          <w:color w:val="000000" w:themeColor="text1"/>
          <w:sz w:val="24"/>
          <w:szCs w:val="24"/>
        </w:rPr>
        <w:t xml:space="preserve"> private corporations.</w:t>
      </w:r>
      <w:r w:rsidR="00E452AA" w:rsidRPr="00735740">
        <w:rPr>
          <w:rStyle w:val="FootnoteReference"/>
          <w:rFonts w:ascii="Garamond" w:hAnsi="Garamond"/>
          <w:color w:val="000000" w:themeColor="text1"/>
          <w:sz w:val="24"/>
          <w:szCs w:val="24"/>
        </w:rPr>
        <w:footnoteReference w:id="44"/>
      </w:r>
      <w:r w:rsidR="00E452AA" w:rsidRPr="00735740">
        <w:rPr>
          <w:rFonts w:ascii="Garamond" w:hAnsi="Garamond"/>
          <w:color w:val="000000" w:themeColor="text1"/>
          <w:sz w:val="24"/>
          <w:szCs w:val="24"/>
        </w:rPr>
        <w:t xml:space="preserve"> </w:t>
      </w:r>
    </w:p>
    <w:p w14:paraId="14755B7C" w14:textId="48EBC4C1" w:rsidR="00B125A3" w:rsidRPr="00735740" w:rsidRDefault="00685857" w:rsidP="00201640">
      <w:pPr>
        <w:spacing w:afterLines="160" w:after="384" w:line="360" w:lineRule="auto"/>
        <w:rPr>
          <w:rFonts w:ascii="Garamond" w:hAnsi="Garamond"/>
          <w:color w:val="000000" w:themeColor="text1"/>
          <w:sz w:val="24"/>
          <w:szCs w:val="24"/>
        </w:rPr>
      </w:pPr>
      <w:r w:rsidRPr="00735740">
        <w:rPr>
          <w:rFonts w:ascii="Garamond" w:hAnsi="Garamond"/>
          <w:color w:val="000000" w:themeColor="text1"/>
          <w:sz w:val="24"/>
          <w:szCs w:val="24"/>
        </w:rPr>
        <w:t xml:space="preserve">In </w:t>
      </w:r>
      <w:r w:rsidR="00AF2AA3" w:rsidRPr="00735740">
        <w:rPr>
          <w:rFonts w:ascii="Garamond" w:hAnsi="Garamond"/>
          <w:color w:val="000000" w:themeColor="text1"/>
          <w:sz w:val="24"/>
          <w:szCs w:val="24"/>
        </w:rPr>
        <w:t>contrast</w:t>
      </w:r>
      <w:r w:rsidRPr="00735740">
        <w:rPr>
          <w:rFonts w:ascii="Garamond" w:hAnsi="Garamond"/>
          <w:color w:val="000000" w:themeColor="text1"/>
          <w:sz w:val="24"/>
          <w:szCs w:val="24"/>
        </w:rPr>
        <w:t xml:space="preserve"> to those important</w:t>
      </w:r>
      <w:r w:rsidR="00311ACF" w:rsidRPr="00735740">
        <w:rPr>
          <w:rFonts w:ascii="Garamond" w:hAnsi="Garamond"/>
          <w:color w:val="000000" w:themeColor="text1"/>
          <w:sz w:val="24"/>
          <w:szCs w:val="24"/>
        </w:rPr>
        <w:t xml:space="preserve"> IR</w:t>
      </w:r>
      <w:r w:rsidRPr="00735740">
        <w:rPr>
          <w:rFonts w:ascii="Garamond" w:hAnsi="Garamond"/>
          <w:color w:val="000000" w:themeColor="text1"/>
          <w:sz w:val="24"/>
          <w:szCs w:val="24"/>
        </w:rPr>
        <w:t xml:space="preserve"> studies that look for how anti-colonial archives produce counter-</w:t>
      </w:r>
      <w:r w:rsidR="00992A58" w:rsidRPr="00735740">
        <w:rPr>
          <w:rFonts w:ascii="Garamond" w:hAnsi="Garamond"/>
          <w:color w:val="000000" w:themeColor="text1"/>
          <w:sz w:val="24"/>
          <w:szCs w:val="24"/>
        </w:rPr>
        <w:t xml:space="preserve">hegemonic forms of </w:t>
      </w:r>
      <w:r w:rsidR="00094A22" w:rsidRPr="00735740">
        <w:rPr>
          <w:rFonts w:ascii="Garamond" w:hAnsi="Garamond"/>
          <w:color w:val="000000" w:themeColor="text1"/>
          <w:sz w:val="24"/>
          <w:szCs w:val="24"/>
        </w:rPr>
        <w:t>knowledge</w:t>
      </w:r>
      <w:r w:rsidR="003941B9" w:rsidRPr="00735740">
        <w:rPr>
          <w:rFonts w:ascii="Garamond" w:hAnsi="Garamond"/>
          <w:color w:val="000000" w:themeColor="text1"/>
          <w:sz w:val="24"/>
          <w:szCs w:val="24"/>
        </w:rPr>
        <w:t xml:space="preserve"> with relation to </w:t>
      </w:r>
      <w:r w:rsidR="00252602" w:rsidRPr="00735740">
        <w:rPr>
          <w:rFonts w:ascii="Garamond" w:hAnsi="Garamond"/>
          <w:color w:val="000000" w:themeColor="text1"/>
          <w:sz w:val="24"/>
          <w:szCs w:val="24"/>
        </w:rPr>
        <w:t xml:space="preserve">the </w:t>
      </w:r>
      <w:r w:rsidR="003941B9" w:rsidRPr="00735740">
        <w:rPr>
          <w:rFonts w:ascii="Garamond" w:hAnsi="Garamond"/>
          <w:color w:val="000000" w:themeColor="text1"/>
          <w:sz w:val="24"/>
          <w:szCs w:val="24"/>
        </w:rPr>
        <w:t>international order</w:t>
      </w:r>
      <w:r w:rsidR="00992A58" w:rsidRPr="00735740">
        <w:rPr>
          <w:rFonts w:ascii="Garamond" w:hAnsi="Garamond"/>
          <w:color w:val="000000" w:themeColor="text1"/>
          <w:sz w:val="24"/>
          <w:szCs w:val="24"/>
        </w:rPr>
        <w:t xml:space="preserve">, </w:t>
      </w:r>
      <w:r w:rsidR="00094A22" w:rsidRPr="00735740">
        <w:rPr>
          <w:rFonts w:ascii="Garamond" w:hAnsi="Garamond"/>
          <w:color w:val="000000" w:themeColor="text1"/>
          <w:sz w:val="24"/>
          <w:szCs w:val="24"/>
        </w:rPr>
        <w:t>this</w:t>
      </w:r>
      <w:r w:rsidR="00992A58" w:rsidRPr="00735740">
        <w:rPr>
          <w:rFonts w:ascii="Garamond" w:hAnsi="Garamond"/>
          <w:color w:val="000000" w:themeColor="text1"/>
          <w:sz w:val="24"/>
          <w:szCs w:val="24"/>
        </w:rPr>
        <w:t xml:space="preserve"> </w:t>
      </w:r>
      <w:r w:rsidR="00646D89" w:rsidRPr="00735740">
        <w:rPr>
          <w:rFonts w:ascii="Garamond" w:hAnsi="Garamond"/>
          <w:color w:val="000000" w:themeColor="text1"/>
          <w:sz w:val="24"/>
          <w:szCs w:val="24"/>
        </w:rPr>
        <w:t xml:space="preserve">article </w:t>
      </w:r>
      <w:r w:rsidR="00992A58" w:rsidRPr="00735740">
        <w:rPr>
          <w:rFonts w:ascii="Garamond" w:hAnsi="Garamond"/>
          <w:color w:val="000000" w:themeColor="text1"/>
          <w:sz w:val="24"/>
          <w:szCs w:val="24"/>
        </w:rPr>
        <w:t>examines a</w:t>
      </w:r>
      <w:r w:rsidR="007D2E10" w:rsidRPr="00735740">
        <w:rPr>
          <w:rFonts w:ascii="Garamond" w:hAnsi="Garamond"/>
          <w:color w:val="000000" w:themeColor="text1"/>
          <w:sz w:val="24"/>
          <w:szCs w:val="24"/>
        </w:rPr>
        <w:t xml:space="preserve"> type of</w:t>
      </w:r>
      <w:r w:rsidR="00992A58" w:rsidRPr="00735740">
        <w:rPr>
          <w:rFonts w:ascii="Garamond" w:hAnsi="Garamond"/>
          <w:color w:val="000000" w:themeColor="text1"/>
          <w:sz w:val="24"/>
          <w:szCs w:val="24"/>
        </w:rPr>
        <w:t xml:space="preserve"> archive that arguably sits at the heart of the international</w:t>
      </w:r>
      <w:r w:rsidR="007A120D" w:rsidRPr="00735740">
        <w:rPr>
          <w:rFonts w:ascii="Garamond" w:hAnsi="Garamond"/>
          <w:color w:val="000000" w:themeColor="text1"/>
          <w:sz w:val="24"/>
          <w:szCs w:val="24"/>
        </w:rPr>
        <w:t xml:space="preserve"> community and plays an important role in generating the norms and conditions of possibility that </w:t>
      </w:r>
      <w:r w:rsidR="00C21EF1" w:rsidRPr="00735740">
        <w:rPr>
          <w:rFonts w:ascii="Garamond" w:hAnsi="Garamond"/>
          <w:color w:val="000000" w:themeColor="text1"/>
          <w:sz w:val="24"/>
          <w:szCs w:val="24"/>
        </w:rPr>
        <w:t>govern it</w:t>
      </w:r>
      <w:r w:rsidR="007D2E10" w:rsidRPr="00735740">
        <w:rPr>
          <w:rFonts w:ascii="Garamond" w:hAnsi="Garamond"/>
          <w:color w:val="000000" w:themeColor="text1"/>
          <w:sz w:val="24"/>
          <w:szCs w:val="24"/>
        </w:rPr>
        <w:t xml:space="preserve">: </w:t>
      </w:r>
      <w:r w:rsidR="007D2E10" w:rsidRPr="00735740">
        <w:rPr>
          <w:rFonts w:ascii="Garamond" w:hAnsi="Garamond"/>
          <w:color w:val="000000" w:themeColor="text1"/>
          <w:sz w:val="24"/>
          <w:szCs w:val="24"/>
        </w:rPr>
        <w:lastRenderedPageBreak/>
        <w:t>international legal archives</w:t>
      </w:r>
      <w:r w:rsidR="00992A58" w:rsidRPr="00735740">
        <w:rPr>
          <w:rFonts w:ascii="Garamond" w:hAnsi="Garamond"/>
          <w:color w:val="000000" w:themeColor="text1"/>
          <w:sz w:val="24"/>
          <w:szCs w:val="24"/>
        </w:rPr>
        <w:t xml:space="preserve">. </w:t>
      </w:r>
      <w:r w:rsidR="007D2E10" w:rsidRPr="00735740">
        <w:rPr>
          <w:rFonts w:ascii="Garamond" w:hAnsi="Garamond"/>
          <w:color w:val="000000" w:themeColor="text1"/>
          <w:sz w:val="24"/>
          <w:szCs w:val="24"/>
        </w:rPr>
        <w:t xml:space="preserve">These </w:t>
      </w:r>
      <w:r w:rsidR="00992A58" w:rsidRPr="00735740">
        <w:rPr>
          <w:rFonts w:ascii="Garamond" w:hAnsi="Garamond"/>
          <w:color w:val="000000" w:themeColor="text1"/>
          <w:sz w:val="24"/>
          <w:szCs w:val="24"/>
        </w:rPr>
        <w:t>archives</w:t>
      </w:r>
      <w:r w:rsidR="0077307A" w:rsidRPr="00735740">
        <w:rPr>
          <w:rFonts w:ascii="Garamond" w:hAnsi="Garamond"/>
          <w:color w:val="000000" w:themeColor="text1"/>
          <w:sz w:val="24"/>
          <w:szCs w:val="24"/>
        </w:rPr>
        <w:t>, such as those of the ICTR,</w:t>
      </w:r>
      <w:r w:rsidR="00992A58" w:rsidRPr="00735740">
        <w:rPr>
          <w:rFonts w:ascii="Garamond" w:hAnsi="Garamond"/>
          <w:color w:val="000000" w:themeColor="text1"/>
          <w:sz w:val="24"/>
          <w:szCs w:val="24"/>
        </w:rPr>
        <w:t xml:space="preserve"> are particularly important sites</w:t>
      </w:r>
      <w:r w:rsidR="00646D89" w:rsidRPr="00735740">
        <w:rPr>
          <w:rFonts w:ascii="Garamond" w:hAnsi="Garamond"/>
          <w:color w:val="000000" w:themeColor="text1"/>
          <w:sz w:val="24"/>
          <w:szCs w:val="24"/>
        </w:rPr>
        <w:t xml:space="preserve"> in this respect</w:t>
      </w:r>
      <w:r w:rsidR="00992A58" w:rsidRPr="00735740">
        <w:rPr>
          <w:rFonts w:ascii="Garamond" w:hAnsi="Garamond"/>
          <w:color w:val="000000" w:themeColor="text1"/>
          <w:sz w:val="24"/>
          <w:szCs w:val="24"/>
        </w:rPr>
        <w:t xml:space="preserve"> because they </w:t>
      </w:r>
      <w:r w:rsidR="00646D89" w:rsidRPr="00735740">
        <w:rPr>
          <w:rFonts w:ascii="Garamond" w:hAnsi="Garamond"/>
          <w:color w:val="000000" w:themeColor="text1"/>
          <w:sz w:val="24"/>
          <w:szCs w:val="24"/>
        </w:rPr>
        <w:t xml:space="preserve">remain widely </w:t>
      </w:r>
      <w:r w:rsidR="00992A58" w:rsidRPr="00735740">
        <w:rPr>
          <w:rFonts w:ascii="Garamond" w:hAnsi="Garamond"/>
          <w:color w:val="000000" w:themeColor="text1"/>
          <w:sz w:val="24"/>
          <w:szCs w:val="24"/>
        </w:rPr>
        <w:t xml:space="preserve">seen as </w:t>
      </w:r>
      <w:r w:rsidR="00391D36" w:rsidRPr="00735740">
        <w:rPr>
          <w:rFonts w:ascii="Garamond" w:hAnsi="Garamond"/>
          <w:color w:val="000000" w:themeColor="text1"/>
          <w:sz w:val="24"/>
          <w:szCs w:val="24"/>
        </w:rPr>
        <w:t>sites</w:t>
      </w:r>
      <w:r w:rsidR="003C65DD" w:rsidRPr="00735740">
        <w:rPr>
          <w:rFonts w:ascii="Garamond" w:hAnsi="Garamond"/>
          <w:color w:val="000000" w:themeColor="text1"/>
          <w:sz w:val="24"/>
          <w:szCs w:val="24"/>
        </w:rPr>
        <w:t xml:space="preserve"> of </w:t>
      </w:r>
      <w:r w:rsidR="00391D36" w:rsidRPr="00735740">
        <w:rPr>
          <w:rFonts w:ascii="Garamond" w:hAnsi="Garamond"/>
          <w:color w:val="000000" w:themeColor="text1"/>
          <w:sz w:val="24"/>
          <w:szCs w:val="24"/>
        </w:rPr>
        <w:t>‘</w:t>
      </w:r>
      <w:r w:rsidR="00992A58" w:rsidRPr="00735740">
        <w:rPr>
          <w:rFonts w:ascii="Garamond" w:hAnsi="Garamond"/>
          <w:color w:val="000000" w:themeColor="text1"/>
          <w:sz w:val="24"/>
          <w:szCs w:val="24"/>
        </w:rPr>
        <w:t>truth</w:t>
      </w:r>
      <w:r w:rsidR="00391D36" w:rsidRPr="00735740">
        <w:rPr>
          <w:rFonts w:ascii="Garamond" w:hAnsi="Garamond"/>
          <w:color w:val="000000" w:themeColor="text1"/>
          <w:sz w:val="24"/>
          <w:szCs w:val="24"/>
        </w:rPr>
        <w:t xml:space="preserve">’ and representative of </w:t>
      </w:r>
      <w:r w:rsidR="00992A58" w:rsidRPr="00735740">
        <w:rPr>
          <w:rFonts w:ascii="Garamond" w:hAnsi="Garamond"/>
          <w:color w:val="000000" w:themeColor="text1"/>
          <w:sz w:val="24"/>
          <w:szCs w:val="24"/>
        </w:rPr>
        <w:t>the norms and conscience of the international community.</w:t>
      </w:r>
      <w:r w:rsidR="005450F2" w:rsidRPr="00735740">
        <w:rPr>
          <w:rStyle w:val="FootnoteReference"/>
          <w:rFonts w:ascii="Garamond" w:hAnsi="Garamond"/>
          <w:color w:val="000000" w:themeColor="text1"/>
          <w:sz w:val="24"/>
          <w:szCs w:val="24"/>
        </w:rPr>
        <w:footnoteReference w:id="45"/>
      </w:r>
      <w:r w:rsidR="00280647" w:rsidRPr="00735740">
        <w:rPr>
          <w:rFonts w:ascii="Garamond" w:hAnsi="Garamond"/>
          <w:color w:val="000000" w:themeColor="text1"/>
          <w:sz w:val="24"/>
          <w:szCs w:val="24"/>
        </w:rPr>
        <w:t xml:space="preserve"> Building on the framework set out above,</w:t>
      </w:r>
      <w:r w:rsidR="005450F2" w:rsidRPr="00735740">
        <w:rPr>
          <w:rFonts w:ascii="Garamond" w:hAnsi="Garamond"/>
          <w:color w:val="000000" w:themeColor="text1"/>
          <w:sz w:val="24"/>
          <w:szCs w:val="24"/>
        </w:rPr>
        <w:t xml:space="preserve"> </w:t>
      </w:r>
      <w:r w:rsidR="00280647" w:rsidRPr="00735740">
        <w:rPr>
          <w:rFonts w:ascii="Garamond" w:hAnsi="Garamond"/>
          <w:color w:val="000000" w:themeColor="text1"/>
          <w:sz w:val="24"/>
          <w:szCs w:val="24"/>
        </w:rPr>
        <w:t>t</w:t>
      </w:r>
      <w:r w:rsidR="0077307A" w:rsidRPr="00735740">
        <w:rPr>
          <w:rFonts w:ascii="Garamond" w:hAnsi="Garamond"/>
          <w:color w:val="000000" w:themeColor="text1"/>
          <w:sz w:val="24"/>
          <w:szCs w:val="24"/>
        </w:rPr>
        <w:t xml:space="preserve">he remainder of the article offers a reading of the ICTR’s archive and </w:t>
      </w:r>
      <w:r w:rsidR="0037366F" w:rsidRPr="00735740">
        <w:rPr>
          <w:rFonts w:ascii="Garamond" w:hAnsi="Garamond"/>
          <w:color w:val="000000" w:themeColor="text1"/>
          <w:sz w:val="24"/>
          <w:szCs w:val="24"/>
        </w:rPr>
        <w:t>asks</w:t>
      </w:r>
      <w:r w:rsidR="005C4B9E" w:rsidRPr="00735740">
        <w:rPr>
          <w:rFonts w:ascii="Garamond" w:hAnsi="Garamond"/>
          <w:color w:val="000000" w:themeColor="text1"/>
          <w:sz w:val="24"/>
          <w:szCs w:val="24"/>
        </w:rPr>
        <w:t xml:space="preserve">: </w:t>
      </w:r>
      <w:r w:rsidR="00D529F8" w:rsidRPr="00735740">
        <w:rPr>
          <w:rFonts w:ascii="Garamond" w:hAnsi="Garamond"/>
          <w:color w:val="000000" w:themeColor="text1"/>
          <w:sz w:val="24"/>
          <w:szCs w:val="24"/>
        </w:rPr>
        <w:t>w</w:t>
      </w:r>
      <w:r w:rsidR="00B125A3" w:rsidRPr="00735740">
        <w:rPr>
          <w:rFonts w:ascii="Garamond" w:hAnsi="Garamond"/>
          <w:color w:val="000000" w:themeColor="text1"/>
          <w:sz w:val="24"/>
          <w:szCs w:val="24"/>
        </w:rPr>
        <w:t xml:space="preserve">hat rules underpin the </w:t>
      </w:r>
      <w:r w:rsidR="0077307A" w:rsidRPr="00735740">
        <w:rPr>
          <w:rFonts w:ascii="Garamond" w:hAnsi="Garamond"/>
          <w:color w:val="000000" w:themeColor="text1"/>
          <w:sz w:val="24"/>
          <w:szCs w:val="24"/>
        </w:rPr>
        <w:t xml:space="preserve">ICTR’s </w:t>
      </w:r>
      <w:r w:rsidR="00B125A3" w:rsidRPr="00735740">
        <w:rPr>
          <w:rFonts w:ascii="Garamond" w:hAnsi="Garamond"/>
          <w:color w:val="000000" w:themeColor="text1"/>
          <w:sz w:val="24"/>
          <w:szCs w:val="24"/>
        </w:rPr>
        <w:t xml:space="preserve">archive, </w:t>
      </w:r>
      <w:r w:rsidR="00B125A3" w:rsidRPr="00735740">
        <w:rPr>
          <w:rFonts w:ascii="Garamond" w:hAnsi="Garamond"/>
          <w:color w:val="000000" w:themeColor="text1"/>
          <w:sz w:val="24"/>
          <w:szCs w:val="24"/>
          <w:lang w:val="en-US"/>
        </w:rPr>
        <w:t>who</w:t>
      </w:r>
      <w:r w:rsidR="00B125A3" w:rsidRPr="00735740">
        <w:rPr>
          <w:rFonts w:ascii="Garamond" w:hAnsi="Garamond"/>
          <w:i/>
          <w:color w:val="000000" w:themeColor="text1"/>
          <w:sz w:val="24"/>
          <w:szCs w:val="24"/>
          <w:lang w:val="en-US"/>
        </w:rPr>
        <w:t xml:space="preserve"> </w:t>
      </w:r>
      <w:r w:rsidR="00B125A3" w:rsidRPr="00735740">
        <w:rPr>
          <w:rFonts w:ascii="Garamond" w:hAnsi="Garamond"/>
          <w:color w:val="000000" w:themeColor="text1"/>
          <w:sz w:val="24"/>
          <w:szCs w:val="24"/>
          <w:lang w:val="en-US"/>
        </w:rPr>
        <w:t xml:space="preserve">is responsible for what records are produced, and how </w:t>
      </w:r>
      <w:r w:rsidR="00BF4A44" w:rsidRPr="00735740">
        <w:rPr>
          <w:rFonts w:ascii="Garamond" w:hAnsi="Garamond"/>
          <w:color w:val="000000" w:themeColor="text1"/>
          <w:sz w:val="24"/>
          <w:szCs w:val="24"/>
          <w:lang w:val="en-US"/>
        </w:rPr>
        <w:t xml:space="preserve">does this lead to particular </w:t>
      </w:r>
      <w:r w:rsidR="00B125A3" w:rsidRPr="00735740">
        <w:rPr>
          <w:rFonts w:ascii="Garamond" w:hAnsi="Garamond"/>
          <w:color w:val="000000" w:themeColor="text1"/>
          <w:sz w:val="24"/>
          <w:szCs w:val="24"/>
          <w:lang w:val="en-US"/>
        </w:rPr>
        <w:t>imagining</w:t>
      </w:r>
      <w:r w:rsidR="00BF4A44" w:rsidRPr="00735740">
        <w:rPr>
          <w:rFonts w:ascii="Garamond" w:hAnsi="Garamond"/>
          <w:color w:val="000000" w:themeColor="text1"/>
          <w:sz w:val="24"/>
          <w:szCs w:val="24"/>
          <w:lang w:val="en-US"/>
        </w:rPr>
        <w:t>s</w:t>
      </w:r>
      <w:r w:rsidR="00B125A3" w:rsidRPr="00735740">
        <w:rPr>
          <w:rFonts w:ascii="Garamond" w:hAnsi="Garamond"/>
          <w:color w:val="000000" w:themeColor="text1"/>
          <w:sz w:val="24"/>
          <w:szCs w:val="24"/>
          <w:lang w:val="en-US"/>
        </w:rPr>
        <w:t xml:space="preserve"> of </w:t>
      </w:r>
      <w:r w:rsidR="00BF4A44" w:rsidRPr="00735740">
        <w:rPr>
          <w:rFonts w:ascii="Garamond" w:hAnsi="Garamond"/>
          <w:color w:val="000000" w:themeColor="text1"/>
          <w:sz w:val="24"/>
          <w:szCs w:val="24"/>
          <w:lang w:val="en-US"/>
        </w:rPr>
        <w:t xml:space="preserve">the international </w:t>
      </w:r>
      <w:r w:rsidR="00B125A3" w:rsidRPr="00735740">
        <w:rPr>
          <w:rFonts w:ascii="Garamond" w:hAnsi="Garamond"/>
          <w:color w:val="000000" w:themeColor="text1"/>
          <w:sz w:val="24"/>
          <w:szCs w:val="24"/>
          <w:lang w:val="en-US"/>
        </w:rPr>
        <w:t>community?</w:t>
      </w:r>
      <w:r w:rsidR="00B125A3" w:rsidRPr="00735740">
        <w:rPr>
          <w:rFonts w:ascii="Garamond" w:hAnsi="Garamond"/>
          <w:color w:val="000000" w:themeColor="text1"/>
          <w:sz w:val="24"/>
          <w:szCs w:val="24"/>
        </w:rPr>
        <w:t xml:space="preserve"> </w:t>
      </w:r>
    </w:p>
    <w:p w14:paraId="3574E130" w14:textId="75762AB7" w:rsidR="00B460D2" w:rsidRPr="00735740" w:rsidRDefault="00A31EF2" w:rsidP="00201640">
      <w:pPr>
        <w:pStyle w:val="Heading1"/>
        <w:spacing w:afterLines="160" w:after="384" w:line="360" w:lineRule="auto"/>
        <w:rPr>
          <w:rFonts w:ascii="Garamond" w:hAnsi="Garamond"/>
          <w:szCs w:val="36"/>
        </w:rPr>
      </w:pPr>
      <w:r w:rsidRPr="00735740">
        <w:rPr>
          <w:rFonts w:ascii="Garamond" w:hAnsi="Garamond"/>
          <w:szCs w:val="36"/>
        </w:rPr>
        <w:t xml:space="preserve">The ICTR’s </w:t>
      </w:r>
      <w:r w:rsidR="00BF4098" w:rsidRPr="00735740">
        <w:rPr>
          <w:rFonts w:ascii="Garamond" w:hAnsi="Garamond"/>
          <w:szCs w:val="36"/>
        </w:rPr>
        <w:t>a</w:t>
      </w:r>
      <w:r w:rsidRPr="00735740">
        <w:rPr>
          <w:rFonts w:ascii="Garamond" w:hAnsi="Garamond"/>
          <w:szCs w:val="36"/>
        </w:rPr>
        <w:t>rchive</w:t>
      </w:r>
    </w:p>
    <w:p w14:paraId="60D27016" w14:textId="21699987" w:rsidR="00920188" w:rsidRPr="00735740" w:rsidRDefault="00652CFB" w:rsidP="00201640">
      <w:pPr>
        <w:spacing w:afterLines="160" w:after="384" w:line="360" w:lineRule="auto"/>
        <w:rPr>
          <w:rFonts w:ascii="Garamond" w:hAnsi="Garamond"/>
          <w:color w:val="000000" w:themeColor="text1"/>
          <w:sz w:val="24"/>
          <w:szCs w:val="24"/>
        </w:rPr>
      </w:pPr>
      <w:r w:rsidRPr="00735740">
        <w:rPr>
          <w:rFonts w:ascii="Garamond" w:hAnsi="Garamond"/>
          <w:color w:val="000000" w:themeColor="text1"/>
          <w:sz w:val="24"/>
          <w:szCs w:val="24"/>
        </w:rPr>
        <w:t>International courts produce an overwhelming volume of information. The ICTR’s archive</w:t>
      </w:r>
      <w:r w:rsidR="00D529F8" w:rsidRPr="00735740">
        <w:rPr>
          <w:rFonts w:ascii="Garamond" w:hAnsi="Garamond"/>
          <w:color w:val="000000" w:themeColor="text1"/>
          <w:sz w:val="24"/>
          <w:szCs w:val="24"/>
        </w:rPr>
        <w:t xml:space="preserve"> - </w:t>
      </w:r>
      <w:r w:rsidR="00B95AE5" w:rsidRPr="00735740">
        <w:rPr>
          <w:rFonts w:ascii="Garamond" w:hAnsi="Garamond"/>
          <w:color w:val="000000" w:themeColor="text1"/>
          <w:sz w:val="24"/>
          <w:szCs w:val="24"/>
        </w:rPr>
        <w:t>located in Arusha, Tanzania</w:t>
      </w:r>
      <w:r w:rsidR="00D529F8" w:rsidRPr="00735740">
        <w:rPr>
          <w:rFonts w:ascii="Garamond" w:hAnsi="Garamond"/>
          <w:color w:val="000000" w:themeColor="text1"/>
          <w:sz w:val="24"/>
          <w:szCs w:val="24"/>
        </w:rPr>
        <w:t xml:space="preserve"> -</w:t>
      </w:r>
      <w:r w:rsidR="00B95AE5" w:rsidRPr="00735740">
        <w:rPr>
          <w:rFonts w:ascii="Garamond" w:hAnsi="Garamond"/>
          <w:color w:val="000000" w:themeColor="text1"/>
          <w:sz w:val="24"/>
          <w:szCs w:val="24"/>
        </w:rPr>
        <w:t xml:space="preserve"> </w:t>
      </w:r>
      <w:r w:rsidRPr="00735740">
        <w:rPr>
          <w:rFonts w:ascii="Garamond" w:hAnsi="Garamond"/>
          <w:color w:val="000000" w:themeColor="text1"/>
          <w:sz w:val="24"/>
          <w:szCs w:val="24"/>
        </w:rPr>
        <w:t xml:space="preserve">contains over </w:t>
      </w:r>
      <w:r w:rsidR="006663B1" w:rsidRPr="00735740">
        <w:rPr>
          <w:rFonts w:ascii="Garamond" w:hAnsi="Garamond"/>
          <w:color w:val="000000" w:themeColor="text1"/>
          <w:sz w:val="24"/>
          <w:szCs w:val="24"/>
        </w:rPr>
        <w:t>4</w:t>
      </w:r>
      <w:r w:rsidR="00ED4A89" w:rsidRPr="00735740">
        <w:rPr>
          <w:rFonts w:ascii="Garamond" w:hAnsi="Garamond"/>
          <w:color w:val="000000" w:themeColor="text1"/>
          <w:sz w:val="24"/>
          <w:szCs w:val="24"/>
        </w:rPr>
        <w:t>km</w:t>
      </w:r>
      <w:r w:rsidRPr="00735740">
        <w:rPr>
          <w:rFonts w:ascii="Garamond" w:hAnsi="Garamond"/>
          <w:color w:val="000000" w:themeColor="text1"/>
          <w:sz w:val="24"/>
          <w:szCs w:val="24"/>
        </w:rPr>
        <w:t xml:space="preserve"> of records</w:t>
      </w:r>
      <w:r w:rsidR="00CB3FDE" w:rsidRPr="00735740">
        <w:rPr>
          <w:rFonts w:ascii="Garamond" w:hAnsi="Garamond"/>
          <w:color w:val="000000" w:themeColor="text1"/>
          <w:sz w:val="24"/>
          <w:szCs w:val="24"/>
        </w:rPr>
        <w:t xml:space="preserve"> </w:t>
      </w:r>
      <w:r w:rsidR="00ED4A89" w:rsidRPr="00735740">
        <w:rPr>
          <w:rFonts w:ascii="Garamond" w:hAnsi="Garamond"/>
          <w:color w:val="000000" w:themeColor="text1"/>
          <w:sz w:val="24"/>
          <w:szCs w:val="24"/>
        </w:rPr>
        <w:t xml:space="preserve">(including </w:t>
      </w:r>
      <w:r w:rsidR="006663B1" w:rsidRPr="00735740">
        <w:rPr>
          <w:rFonts w:ascii="Garamond" w:hAnsi="Garamond"/>
          <w:color w:val="000000" w:themeColor="text1"/>
          <w:sz w:val="24"/>
          <w:szCs w:val="24"/>
        </w:rPr>
        <w:t>the testimony of 3,200 witnesses)</w:t>
      </w:r>
      <w:r w:rsidRPr="00735740">
        <w:rPr>
          <w:rFonts w:ascii="Garamond" w:hAnsi="Garamond"/>
          <w:color w:val="000000" w:themeColor="text1"/>
          <w:sz w:val="24"/>
          <w:szCs w:val="24"/>
        </w:rPr>
        <w:t xml:space="preserve">, pertaining to the </w:t>
      </w:r>
      <w:r w:rsidR="00F07B80" w:rsidRPr="00735740">
        <w:rPr>
          <w:rFonts w:ascii="Garamond" w:hAnsi="Garamond"/>
          <w:color w:val="000000" w:themeColor="text1"/>
          <w:sz w:val="24"/>
          <w:szCs w:val="24"/>
        </w:rPr>
        <w:t xml:space="preserve">1994 </w:t>
      </w:r>
      <w:r w:rsidRPr="00735740">
        <w:rPr>
          <w:rFonts w:ascii="Garamond" w:hAnsi="Garamond"/>
          <w:color w:val="000000" w:themeColor="text1"/>
          <w:sz w:val="24"/>
          <w:szCs w:val="24"/>
        </w:rPr>
        <w:t>Rwandan genocide</w:t>
      </w:r>
      <w:r w:rsidR="007F6D64" w:rsidRPr="00735740">
        <w:rPr>
          <w:rFonts w:ascii="Garamond" w:hAnsi="Garamond"/>
          <w:color w:val="000000" w:themeColor="text1"/>
          <w:sz w:val="24"/>
          <w:szCs w:val="24"/>
        </w:rPr>
        <w:t>,</w:t>
      </w:r>
      <w:r w:rsidR="00F7164B" w:rsidRPr="00735740">
        <w:rPr>
          <w:rFonts w:ascii="Garamond" w:hAnsi="Garamond"/>
          <w:color w:val="000000" w:themeColor="text1"/>
          <w:sz w:val="24"/>
          <w:szCs w:val="24"/>
        </w:rPr>
        <w:t xml:space="preserve"> </w:t>
      </w:r>
      <w:r w:rsidR="00D529F8" w:rsidRPr="00735740">
        <w:rPr>
          <w:rFonts w:ascii="Garamond" w:hAnsi="Garamond"/>
          <w:color w:val="000000" w:themeColor="text1"/>
          <w:sz w:val="24"/>
          <w:szCs w:val="24"/>
        </w:rPr>
        <w:t>during which</w:t>
      </w:r>
      <w:r w:rsidR="00F7164B" w:rsidRPr="00735740">
        <w:rPr>
          <w:rFonts w:ascii="Garamond" w:hAnsi="Garamond"/>
          <w:color w:val="000000" w:themeColor="text1"/>
          <w:sz w:val="24"/>
          <w:szCs w:val="24"/>
        </w:rPr>
        <w:t xml:space="preserve"> nearly 1 million Tutsis and ‘moderate</w:t>
      </w:r>
      <w:r w:rsidR="00D529F8" w:rsidRPr="00735740">
        <w:rPr>
          <w:rFonts w:ascii="Garamond" w:hAnsi="Garamond"/>
          <w:color w:val="000000" w:themeColor="text1"/>
          <w:sz w:val="24"/>
          <w:szCs w:val="24"/>
        </w:rPr>
        <w:t>’</w:t>
      </w:r>
      <w:r w:rsidR="00F7164B" w:rsidRPr="00735740">
        <w:rPr>
          <w:rFonts w:ascii="Garamond" w:hAnsi="Garamond"/>
          <w:color w:val="000000" w:themeColor="text1"/>
          <w:sz w:val="24"/>
          <w:szCs w:val="24"/>
        </w:rPr>
        <w:t xml:space="preserve"> Hutus were killed</w:t>
      </w:r>
      <w:r w:rsidR="00BF4A44" w:rsidRPr="00735740">
        <w:rPr>
          <w:rFonts w:ascii="Garamond" w:hAnsi="Garamond"/>
          <w:color w:val="000000" w:themeColor="text1"/>
          <w:sz w:val="24"/>
          <w:szCs w:val="24"/>
        </w:rPr>
        <w:t xml:space="preserve"> by the Hutu extremist led ‘interim government</w:t>
      </w:r>
      <w:r w:rsidR="00F64E58" w:rsidRPr="00735740">
        <w:rPr>
          <w:rFonts w:ascii="Garamond" w:hAnsi="Garamond"/>
          <w:color w:val="000000" w:themeColor="text1"/>
          <w:sz w:val="24"/>
          <w:szCs w:val="24"/>
        </w:rPr>
        <w:t>.</w:t>
      </w:r>
      <w:r w:rsidR="00BF4A44" w:rsidRPr="00735740">
        <w:rPr>
          <w:rFonts w:ascii="Garamond" w:hAnsi="Garamond"/>
          <w:color w:val="000000" w:themeColor="text1"/>
          <w:sz w:val="24"/>
          <w:szCs w:val="24"/>
        </w:rPr>
        <w:t>’</w:t>
      </w:r>
      <w:r w:rsidR="00232EE0" w:rsidRPr="00735740">
        <w:rPr>
          <w:rFonts w:ascii="Garamond" w:hAnsi="Garamond"/>
          <w:color w:val="000000" w:themeColor="text1"/>
          <w:sz w:val="24"/>
          <w:szCs w:val="24"/>
          <w:vertAlign w:val="superscript"/>
        </w:rPr>
        <w:footnoteReference w:id="46"/>
      </w:r>
      <w:r w:rsidR="002513FA" w:rsidRPr="00735740">
        <w:rPr>
          <w:rStyle w:val="FootnoteReference"/>
          <w:rFonts w:ascii="Garamond" w:hAnsi="Garamond"/>
          <w:color w:val="000000" w:themeColor="text1"/>
          <w:sz w:val="24"/>
          <w:szCs w:val="24"/>
        </w:rPr>
        <w:t xml:space="preserve"> </w:t>
      </w:r>
      <w:r w:rsidR="00B74077" w:rsidRPr="00735740">
        <w:rPr>
          <w:rFonts w:ascii="Garamond" w:hAnsi="Garamond"/>
          <w:color w:val="000000" w:themeColor="text1"/>
          <w:sz w:val="24"/>
          <w:szCs w:val="24"/>
        </w:rPr>
        <w:t>The archive’s</w:t>
      </w:r>
      <w:r w:rsidR="002513FA" w:rsidRPr="00735740">
        <w:rPr>
          <w:rFonts w:ascii="Garamond" w:hAnsi="Garamond"/>
          <w:color w:val="000000" w:themeColor="text1"/>
          <w:sz w:val="24"/>
          <w:szCs w:val="24"/>
        </w:rPr>
        <w:t xml:space="preserve"> importance </w:t>
      </w:r>
      <w:r w:rsidR="00D529F8" w:rsidRPr="00735740">
        <w:rPr>
          <w:rFonts w:ascii="Garamond" w:hAnsi="Garamond"/>
          <w:color w:val="000000" w:themeColor="text1"/>
          <w:sz w:val="24"/>
          <w:szCs w:val="24"/>
        </w:rPr>
        <w:t xml:space="preserve">– which </w:t>
      </w:r>
      <w:r w:rsidR="002513FA" w:rsidRPr="00735740">
        <w:rPr>
          <w:rFonts w:ascii="Garamond" w:hAnsi="Garamond"/>
          <w:color w:val="000000" w:themeColor="text1"/>
          <w:sz w:val="24"/>
          <w:szCs w:val="24"/>
        </w:rPr>
        <w:t xml:space="preserve">exceeds </w:t>
      </w:r>
      <w:r w:rsidR="00B44795" w:rsidRPr="00735740">
        <w:rPr>
          <w:rFonts w:ascii="Garamond" w:hAnsi="Garamond"/>
          <w:color w:val="000000" w:themeColor="text1"/>
          <w:sz w:val="24"/>
          <w:szCs w:val="24"/>
        </w:rPr>
        <w:t>its</w:t>
      </w:r>
      <w:r w:rsidR="00013AE2" w:rsidRPr="00735740">
        <w:rPr>
          <w:rFonts w:ascii="Garamond" w:hAnsi="Garamond"/>
          <w:color w:val="000000" w:themeColor="text1"/>
          <w:sz w:val="24"/>
          <w:szCs w:val="24"/>
        </w:rPr>
        <w:t xml:space="preserve"> </w:t>
      </w:r>
      <w:r w:rsidR="002513FA" w:rsidRPr="00735740">
        <w:rPr>
          <w:rFonts w:ascii="Garamond" w:hAnsi="Garamond"/>
          <w:color w:val="000000" w:themeColor="text1"/>
          <w:sz w:val="24"/>
          <w:szCs w:val="24"/>
        </w:rPr>
        <w:t>sheer scale</w:t>
      </w:r>
      <w:r w:rsidR="00D529F8" w:rsidRPr="00735740">
        <w:rPr>
          <w:rFonts w:ascii="Garamond" w:hAnsi="Garamond"/>
          <w:color w:val="000000" w:themeColor="text1"/>
          <w:sz w:val="24"/>
          <w:szCs w:val="24"/>
        </w:rPr>
        <w:t xml:space="preserve"> -</w:t>
      </w:r>
      <w:r w:rsidR="002513FA" w:rsidRPr="00735740">
        <w:rPr>
          <w:rFonts w:ascii="Garamond" w:hAnsi="Garamond"/>
          <w:color w:val="000000" w:themeColor="text1"/>
          <w:sz w:val="24"/>
          <w:szCs w:val="24"/>
        </w:rPr>
        <w:t xml:space="preserve"> </w:t>
      </w:r>
      <w:r w:rsidR="00B93299" w:rsidRPr="00735740">
        <w:rPr>
          <w:rFonts w:ascii="Garamond" w:hAnsi="Garamond"/>
          <w:color w:val="000000" w:themeColor="text1"/>
          <w:sz w:val="24"/>
          <w:szCs w:val="24"/>
        </w:rPr>
        <w:t>results from</w:t>
      </w:r>
      <w:r w:rsidR="002513FA" w:rsidRPr="00735740">
        <w:rPr>
          <w:rFonts w:ascii="Garamond" w:hAnsi="Garamond"/>
          <w:color w:val="000000" w:themeColor="text1"/>
          <w:sz w:val="24"/>
          <w:szCs w:val="24"/>
        </w:rPr>
        <w:t xml:space="preserve"> </w:t>
      </w:r>
      <w:r w:rsidR="00937DC3" w:rsidRPr="00735740">
        <w:rPr>
          <w:rFonts w:ascii="Garamond" w:hAnsi="Garamond"/>
          <w:color w:val="000000" w:themeColor="text1"/>
          <w:sz w:val="24"/>
          <w:szCs w:val="24"/>
        </w:rPr>
        <w:t>its</w:t>
      </w:r>
      <w:r w:rsidR="00D529F8" w:rsidRPr="00735740">
        <w:rPr>
          <w:rFonts w:ascii="Garamond" w:hAnsi="Garamond"/>
          <w:color w:val="000000" w:themeColor="text1"/>
          <w:sz w:val="24"/>
          <w:szCs w:val="24"/>
        </w:rPr>
        <w:t xml:space="preserve"> purpose </w:t>
      </w:r>
      <w:r w:rsidR="00B93299" w:rsidRPr="00735740">
        <w:rPr>
          <w:rFonts w:ascii="Garamond" w:hAnsi="Garamond"/>
          <w:color w:val="000000" w:themeColor="text1"/>
          <w:sz w:val="24"/>
          <w:szCs w:val="24"/>
        </w:rPr>
        <w:t>as a response to the genocide</w:t>
      </w:r>
      <w:r w:rsidR="002513FA" w:rsidRPr="00735740">
        <w:rPr>
          <w:rFonts w:ascii="Garamond" w:hAnsi="Garamond"/>
          <w:color w:val="000000" w:themeColor="text1"/>
          <w:sz w:val="24"/>
          <w:szCs w:val="24"/>
        </w:rPr>
        <w:t xml:space="preserve">. Whilst the </w:t>
      </w:r>
      <w:r w:rsidR="00CB3FDE" w:rsidRPr="00735740">
        <w:rPr>
          <w:rFonts w:ascii="Garamond" w:hAnsi="Garamond"/>
          <w:color w:val="000000" w:themeColor="text1"/>
          <w:sz w:val="24"/>
          <w:szCs w:val="24"/>
        </w:rPr>
        <w:t>tribunal’s</w:t>
      </w:r>
      <w:r w:rsidR="005D4581" w:rsidRPr="00735740">
        <w:rPr>
          <w:rFonts w:ascii="Garamond" w:hAnsi="Garamond"/>
          <w:color w:val="000000" w:themeColor="text1"/>
          <w:sz w:val="24"/>
          <w:szCs w:val="24"/>
        </w:rPr>
        <w:t xml:space="preserve"> focus</w:t>
      </w:r>
      <w:r w:rsidR="002513FA" w:rsidRPr="00735740">
        <w:rPr>
          <w:rFonts w:ascii="Garamond" w:hAnsi="Garamond"/>
          <w:color w:val="000000" w:themeColor="text1"/>
          <w:sz w:val="24"/>
          <w:szCs w:val="24"/>
        </w:rPr>
        <w:t xml:space="preserve"> was very much on the production of legal verdicts</w:t>
      </w:r>
      <w:r w:rsidR="00D529F8" w:rsidRPr="00735740">
        <w:rPr>
          <w:rFonts w:ascii="Garamond" w:hAnsi="Garamond"/>
          <w:color w:val="000000" w:themeColor="text1"/>
          <w:sz w:val="24"/>
          <w:szCs w:val="24"/>
        </w:rPr>
        <w:t xml:space="preserve"> -</w:t>
      </w:r>
      <w:r w:rsidR="002513FA" w:rsidRPr="00735740">
        <w:rPr>
          <w:rFonts w:ascii="Garamond" w:hAnsi="Garamond"/>
          <w:color w:val="000000" w:themeColor="text1"/>
          <w:sz w:val="24"/>
          <w:szCs w:val="24"/>
        </w:rPr>
        <w:t xml:space="preserve"> and whereas the archive’s primary function was supporting </w:t>
      </w:r>
      <w:r w:rsidR="00FD6695" w:rsidRPr="00735740">
        <w:rPr>
          <w:rFonts w:ascii="Garamond" w:hAnsi="Garamond"/>
          <w:color w:val="000000" w:themeColor="text1"/>
          <w:sz w:val="24"/>
          <w:szCs w:val="24"/>
        </w:rPr>
        <w:t>this</w:t>
      </w:r>
      <w:r w:rsidR="00D529F8" w:rsidRPr="00735740">
        <w:rPr>
          <w:rFonts w:ascii="Garamond" w:hAnsi="Garamond"/>
          <w:color w:val="000000" w:themeColor="text1"/>
          <w:sz w:val="24"/>
          <w:szCs w:val="24"/>
        </w:rPr>
        <w:t xml:space="preserve"> -</w:t>
      </w:r>
      <w:r w:rsidR="002513FA" w:rsidRPr="00735740">
        <w:rPr>
          <w:rFonts w:ascii="Garamond" w:hAnsi="Garamond"/>
          <w:color w:val="000000" w:themeColor="text1"/>
          <w:sz w:val="24"/>
          <w:szCs w:val="24"/>
        </w:rPr>
        <w:t xml:space="preserve"> the </w:t>
      </w:r>
      <w:r w:rsidR="00F02A2B" w:rsidRPr="00735740">
        <w:rPr>
          <w:rFonts w:ascii="Garamond" w:hAnsi="Garamond"/>
          <w:color w:val="000000" w:themeColor="text1"/>
          <w:sz w:val="24"/>
          <w:szCs w:val="24"/>
        </w:rPr>
        <w:t>tribunal</w:t>
      </w:r>
      <w:r w:rsidR="002513FA" w:rsidRPr="00735740">
        <w:rPr>
          <w:rFonts w:ascii="Garamond" w:hAnsi="Garamond"/>
          <w:color w:val="000000" w:themeColor="text1"/>
          <w:sz w:val="24"/>
          <w:szCs w:val="24"/>
        </w:rPr>
        <w:t xml:space="preserve"> and archive became associated with</w:t>
      </w:r>
      <w:r w:rsidR="00FD6695" w:rsidRPr="00735740">
        <w:rPr>
          <w:rFonts w:ascii="Garamond" w:hAnsi="Garamond"/>
          <w:color w:val="000000" w:themeColor="text1"/>
          <w:sz w:val="24"/>
          <w:szCs w:val="24"/>
        </w:rPr>
        <w:t xml:space="preserve"> a number </w:t>
      </w:r>
      <w:r w:rsidR="00232EE0" w:rsidRPr="00735740">
        <w:rPr>
          <w:rFonts w:ascii="Garamond" w:hAnsi="Garamond"/>
          <w:color w:val="000000" w:themeColor="text1"/>
          <w:sz w:val="24"/>
          <w:szCs w:val="24"/>
        </w:rPr>
        <w:t>of parallel</w:t>
      </w:r>
      <w:r w:rsidR="00CF1F08" w:rsidRPr="00735740">
        <w:rPr>
          <w:rFonts w:ascii="Garamond" w:hAnsi="Garamond"/>
          <w:color w:val="000000" w:themeColor="text1"/>
          <w:sz w:val="24"/>
          <w:szCs w:val="24"/>
        </w:rPr>
        <w:t xml:space="preserve"> </w:t>
      </w:r>
      <w:r w:rsidR="002513FA" w:rsidRPr="00735740">
        <w:rPr>
          <w:rFonts w:ascii="Garamond" w:hAnsi="Garamond"/>
          <w:color w:val="000000" w:themeColor="text1"/>
          <w:sz w:val="24"/>
          <w:szCs w:val="24"/>
        </w:rPr>
        <w:t>goals</w:t>
      </w:r>
      <w:r w:rsidR="00FD6695" w:rsidRPr="00735740">
        <w:rPr>
          <w:rFonts w:ascii="Garamond" w:hAnsi="Garamond"/>
          <w:color w:val="000000" w:themeColor="text1"/>
          <w:sz w:val="24"/>
          <w:szCs w:val="24"/>
        </w:rPr>
        <w:t xml:space="preserve">. </w:t>
      </w:r>
      <w:r w:rsidR="00280647" w:rsidRPr="00735740">
        <w:rPr>
          <w:rFonts w:ascii="Garamond" w:hAnsi="Garamond"/>
          <w:color w:val="000000" w:themeColor="text1"/>
          <w:sz w:val="24"/>
          <w:szCs w:val="24"/>
        </w:rPr>
        <w:t xml:space="preserve">The tribunal would, it was hoped, establish </w:t>
      </w:r>
      <w:r w:rsidR="002513FA" w:rsidRPr="00735740">
        <w:rPr>
          <w:rFonts w:ascii="Garamond" w:hAnsi="Garamond"/>
          <w:color w:val="000000" w:themeColor="text1"/>
          <w:sz w:val="24"/>
          <w:szCs w:val="24"/>
        </w:rPr>
        <w:t>a verified account of</w:t>
      </w:r>
      <w:r w:rsidR="00280647" w:rsidRPr="00735740">
        <w:rPr>
          <w:rFonts w:ascii="Garamond" w:hAnsi="Garamond"/>
          <w:color w:val="000000" w:themeColor="text1"/>
          <w:sz w:val="24"/>
          <w:szCs w:val="24"/>
        </w:rPr>
        <w:t xml:space="preserve"> the genocide</w:t>
      </w:r>
      <w:r w:rsidR="00232EE0" w:rsidRPr="00735740">
        <w:rPr>
          <w:rFonts w:ascii="Garamond" w:hAnsi="Garamond"/>
          <w:color w:val="000000" w:themeColor="text1"/>
          <w:sz w:val="24"/>
          <w:szCs w:val="24"/>
        </w:rPr>
        <w:t xml:space="preserve"> </w:t>
      </w:r>
      <w:r w:rsidR="00FD6695" w:rsidRPr="00735740">
        <w:rPr>
          <w:rFonts w:ascii="Garamond" w:hAnsi="Garamond"/>
          <w:color w:val="000000" w:themeColor="text1"/>
          <w:sz w:val="24"/>
          <w:szCs w:val="24"/>
        </w:rPr>
        <w:t>and</w:t>
      </w:r>
      <w:r w:rsidR="00937DC3" w:rsidRPr="00735740">
        <w:rPr>
          <w:rFonts w:ascii="Garamond" w:hAnsi="Garamond"/>
          <w:color w:val="000000" w:themeColor="text1"/>
          <w:sz w:val="24"/>
          <w:szCs w:val="24"/>
        </w:rPr>
        <w:t xml:space="preserve"> contribute to reconciliation in Rwanda</w:t>
      </w:r>
      <w:r w:rsidR="00280647" w:rsidRPr="00735740">
        <w:rPr>
          <w:rFonts w:ascii="Garamond" w:hAnsi="Garamond"/>
          <w:color w:val="000000" w:themeColor="text1"/>
          <w:sz w:val="24"/>
          <w:szCs w:val="24"/>
        </w:rPr>
        <w:t xml:space="preserve"> </w:t>
      </w:r>
      <w:r w:rsidR="00FD6695" w:rsidRPr="00735740">
        <w:rPr>
          <w:rFonts w:ascii="Garamond" w:hAnsi="Garamond"/>
          <w:color w:val="000000" w:themeColor="text1"/>
          <w:sz w:val="24"/>
          <w:szCs w:val="24"/>
        </w:rPr>
        <w:t xml:space="preserve">by </w:t>
      </w:r>
      <w:r w:rsidR="00280647" w:rsidRPr="00735740">
        <w:rPr>
          <w:rFonts w:ascii="Garamond" w:hAnsi="Garamond"/>
          <w:color w:val="000000" w:themeColor="text1"/>
          <w:sz w:val="24"/>
          <w:szCs w:val="24"/>
        </w:rPr>
        <w:t xml:space="preserve">delivering justice and </w:t>
      </w:r>
      <w:r w:rsidR="006539DB" w:rsidRPr="00735740">
        <w:rPr>
          <w:rFonts w:ascii="Garamond" w:hAnsi="Garamond"/>
          <w:color w:val="000000" w:themeColor="text1"/>
          <w:sz w:val="24"/>
          <w:szCs w:val="24"/>
        </w:rPr>
        <w:t>providing witnesses with a space to testify</w:t>
      </w:r>
      <w:r w:rsidR="000E6BBA" w:rsidRPr="00735740">
        <w:rPr>
          <w:rFonts w:ascii="Garamond" w:hAnsi="Garamond"/>
          <w:color w:val="000000" w:themeColor="text1"/>
          <w:sz w:val="24"/>
          <w:szCs w:val="24"/>
        </w:rPr>
        <w:t>.</w:t>
      </w:r>
      <w:r w:rsidR="00F44602" w:rsidRPr="00735740">
        <w:rPr>
          <w:rStyle w:val="FootnoteReference"/>
          <w:rFonts w:ascii="Garamond" w:hAnsi="Garamond"/>
          <w:color w:val="000000" w:themeColor="text1"/>
          <w:sz w:val="24"/>
          <w:szCs w:val="24"/>
        </w:rPr>
        <w:footnoteReference w:id="47"/>
      </w:r>
      <w:r w:rsidR="000E6BBA" w:rsidRPr="00735740">
        <w:rPr>
          <w:rFonts w:ascii="Garamond" w:hAnsi="Garamond"/>
          <w:color w:val="000000" w:themeColor="text1"/>
          <w:sz w:val="24"/>
          <w:szCs w:val="24"/>
        </w:rPr>
        <w:t xml:space="preserve"> </w:t>
      </w:r>
      <w:r w:rsidR="00E91BEC" w:rsidRPr="00735740">
        <w:rPr>
          <w:rFonts w:ascii="Garamond" w:hAnsi="Garamond"/>
          <w:color w:val="000000" w:themeColor="text1"/>
          <w:sz w:val="24"/>
          <w:szCs w:val="24"/>
        </w:rPr>
        <w:t>Moreover,</w:t>
      </w:r>
      <w:r w:rsidR="002513FA" w:rsidRPr="00735740">
        <w:rPr>
          <w:rFonts w:ascii="Garamond" w:hAnsi="Garamond"/>
          <w:color w:val="000000" w:themeColor="text1"/>
          <w:sz w:val="24"/>
          <w:szCs w:val="24"/>
        </w:rPr>
        <w:t xml:space="preserve"> </w:t>
      </w:r>
      <w:r w:rsidR="00B93299" w:rsidRPr="00735740">
        <w:rPr>
          <w:rFonts w:ascii="Garamond" w:hAnsi="Garamond"/>
          <w:color w:val="000000" w:themeColor="text1"/>
          <w:sz w:val="24"/>
          <w:szCs w:val="24"/>
        </w:rPr>
        <w:t xml:space="preserve">as </w:t>
      </w:r>
      <w:r w:rsidR="00D529F8" w:rsidRPr="00735740">
        <w:rPr>
          <w:rFonts w:ascii="Garamond" w:hAnsi="Garamond"/>
          <w:color w:val="000000" w:themeColor="text1"/>
          <w:sz w:val="24"/>
          <w:szCs w:val="24"/>
        </w:rPr>
        <w:t xml:space="preserve">stated in </w:t>
      </w:r>
      <w:r w:rsidR="005D4581" w:rsidRPr="00735740">
        <w:rPr>
          <w:rFonts w:ascii="Garamond" w:hAnsi="Garamond"/>
          <w:color w:val="000000" w:themeColor="text1"/>
          <w:sz w:val="24"/>
          <w:szCs w:val="24"/>
        </w:rPr>
        <w:t>UNSC</w:t>
      </w:r>
      <w:r w:rsidR="002513FA" w:rsidRPr="00735740">
        <w:rPr>
          <w:rFonts w:ascii="Garamond" w:hAnsi="Garamond"/>
          <w:color w:val="000000" w:themeColor="text1"/>
          <w:sz w:val="24"/>
          <w:szCs w:val="24"/>
        </w:rPr>
        <w:t xml:space="preserve"> resolution 955</w:t>
      </w:r>
      <w:r w:rsidR="00D529F8" w:rsidRPr="00735740">
        <w:rPr>
          <w:rFonts w:ascii="Garamond" w:hAnsi="Garamond"/>
          <w:color w:val="000000" w:themeColor="text1"/>
          <w:sz w:val="24"/>
          <w:szCs w:val="24"/>
        </w:rPr>
        <w:t xml:space="preserve"> -</w:t>
      </w:r>
      <w:r w:rsidR="00050C30" w:rsidRPr="00735740">
        <w:rPr>
          <w:rFonts w:ascii="Garamond" w:hAnsi="Garamond"/>
          <w:color w:val="000000" w:themeColor="text1"/>
          <w:sz w:val="24"/>
          <w:szCs w:val="24"/>
        </w:rPr>
        <w:t xml:space="preserve"> which </w:t>
      </w:r>
      <w:r w:rsidR="002513FA" w:rsidRPr="00735740">
        <w:rPr>
          <w:rFonts w:ascii="Garamond" w:hAnsi="Garamond"/>
          <w:color w:val="000000" w:themeColor="text1"/>
          <w:sz w:val="24"/>
          <w:szCs w:val="24"/>
        </w:rPr>
        <w:t xml:space="preserve">brought the </w:t>
      </w:r>
      <w:r w:rsidR="00050C30" w:rsidRPr="00735740">
        <w:rPr>
          <w:rFonts w:ascii="Garamond" w:hAnsi="Garamond"/>
          <w:color w:val="000000" w:themeColor="text1"/>
          <w:sz w:val="24"/>
          <w:szCs w:val="24"/>
        </w:rPr>
        <w:t>ICTR</w:t>
      </w:r>
      <w:r w:rsidR="002513FA" w:rsidRPr="00735740">
        <w:rPr>
          <w:rFonts w:ascii="Garamond" w:hAnsi="Garamond"/>
          <w:color w:val="000000" w:themeColor="text1"/>
          <w:sz w:val="24"/>
          <w:szCs w:val="24"/>
        </w:rPr>
        <w:t xml:space="preserve"> into existence</w:t>
      </w:r>
      <w:r w:rsidR="00D529F8" w:rsidRPr="00735740">
        <w:rPr>
          <w:rFonts w:ascii="Garamond" w:hAnsi="Garamond"/>
          <w:color w:val="000000" w:themeColor="text1"/>
          <w:sz w:val="24"/>
          <w:szCs w:val="24"/>
        </w:rPr>
        <w:t xml:space="preserve"> - </w:t>
      </w:r>
      <w:r w:rsidR="00B93299" w:rsidRPr="00735740">
        <w:rPr>
          <w:rFonts w:ascii="Garamond" w:hAnsi="Garamond"/>
          <w:color w:val="000000" w:themeColor="text1"/>
          <w:sz w:val="24"/>
          <w:szCs w:val="24"/>
        </w:rPr>
        <w:t xml:space="preserve"> </w:t>
      </w:r>
      <w:r w:rsidR="000E6BBA" w:rsidRPr="00735740">
        <w:rPr>
          <w:rFonts w:ascii="Garamond" w:hAnsi="Garamond"/>
          <w:color w:val="000000" w:themeColor="text1"/>
          <w:sz w:val="24"/>
          <w:szCs w:val="24"/>
        </w:rPr>
        <w:t xml:space="preserve">the </w:t>
      </w:r>
      <w:r w:rsidR="00391D36" w:rsidRPr="00735740">
        <w:rPr>
          <w:rFonts w:ascii="Garamond" w:hAnsi="Garamond"/>
          <w:color w:val="000000" w:themeColor="text1"/>
          <w:sz w:val="24"/>
          <w:szCs w:val="24"/>
        </w:rPr>
        <w:t>tribunal</w:t>
      </w:r>
      <w:r w:rsidR="000E6BBA" w:rsidRPr="00735740">
        <w:rPr>
          <w:rFonts w:ascii="Garamond" w:hAnsi="Garamond"/>
          <w:color w:val="000000" w:themeColor="text1"/>
          <w:sz w:val="24"/>
          <w:szCs w:val="24"/>
        </w:rPr>
        <w:t xml:space="preserve"> would help </w:t>
      </w:r>
      <w:r w:rsidR="002513FA" w:rsidRPr="00735740">
        <w:rPr>
          <w:rFonts w:ascii="Garamond" w:hAnsi="Garamond"/>
          <w:color w:val="000000" w:themeColor="text1"/>
          <w:sz w:val="24"/>
          <w:szCs w:val="24"/>
        </w:rPr>
        <w:t xml:space="preserve">restore </w:t>
      </w:r>
      <w:r w:rsidR="000E6BBA" w:rsidRPr="00735740">
        <w:rPr>
          <w:rFonts w:ascii="Garamond" w:hAnsi="Garamond"/>
          <w:i/>
          <w:color w:val="000000" w:themeColor="text1"/>
          <w:sz w:val="24"/>
          <w:szCs w:val="24"/>
        </w:rPr>
        <w:t>international</w:t>
      </w:r>
      <w:r w:rsidR="002513FA" w:rsidRPr="00735740">
        <w:rPr>
          <w:rFonts w:ascii="Garamond" w:hAnsi="Garamond"/>
          <w:color w:val="000000" w:themeColor="text1"/>
          <w:sz w:val="24"/>
          <w:szCs w:val="24"/>
        </w:rPr>
        <w:t xml:space="preserve"> peace and security.</w:t>
      </w:r>
      <w:r w:rsidR="00232EE0" w:rsidRPr="00735740">
        <w:rPr>
          <w:rStyle w:val="FootnoteReference"/>
          <w:rFonts w:ascii="Garamond" w:hAnsi="Garamond"/>
          <w:color w:val="000000" w:themeColor="text1"/>
          <w:sz w:val="24"/>
          <w:szCs w:val="24"/>
        </w:rPr>
        <w:footnoteReference w:id="48"/>
      </w:r>
      <w:r w:rsidR="002513FA" w:rsidRPr="00735740">
        <w:rPr>
          <w:rFonts w:ascii="Garamond" w:hAnsi="Garamond"/>
          <w:color w:val="000000" w:themeColor="text1"/>
          <w:sz w:val="24"/>
          <w:szCs w:val="24"/>
        </w:rPr>
        <w:t xml:space="preserve"> </w:t>
      </w:r>
      <w:r w:rsidR="000E6BBA" w:rsidRPr="00735740">
        <w:rPr>
          <w:rFonts w:ascii="Garamond" w:hAnsi="Garamond"/>
          <w:color w:val="000000" w:themeColor="text1"/>
          <w:sz w:val="24"/>
          <w:szCs w:val="24"/>
        </w:rPr>
        <w:t>In the face of the international communit</w:t>
      </w:r>
      <w:r w:rsidR="00056A41" w:rsidRPr="00735740">
        <w:rPr>
          <w:rFonts w:ascii="Garamond" w:hAnsi="Garamond"/>
          <w:color w:val="000000" w:themeColor="text1"/>
          <w:sz w:val="24"/>
          <w:szCs w:val="24"/>
        </w:rPr>
        <w:t>y’s</w:t>
      </w:r>
      <w:r w:rsidR="000E6BBA" w:rsidRPr="00735740">
        <w:rPr>
          <w:rFonts w:ascii="Garamond" w:hAnsi="Garamond"/>
          <w:color w:val="000000" w:themeColor="text1"/>
          <w:sz w:val="24"/>
          <w:szCs w:val="24"/>
        </w:rPr>
        <w:t xml:space="preserve"> failure</w:t>
      </w:r>
      <w:r w:rsidR="005D4581" w:rsidRPr="00735740">
        <w:rPr>
          <w:rFonts w:ascii="Garamond" w:hAnsi="Garamond"/>
          <w:color w:val="000000" w:themeColor="text1"/>
          <w:sz w:val="24"/>
          <w:szCs w:val="24"/>
        </w:rPr>
        <w:t xml:space="preserve"> </w:t>
      </w:r>
      <w:r w:rsidR="000E6BBA" w:rsidRPr="00735740">
        <w:rPr>
          <w:rFonts w:ascii="Garamond" w:hAnsi="Garamond"/>
          <w:color w:val="000000" w:themeColor="text1"/>
          <w:sz w:val="24"/>
          <w:szCs w:val="24"/>
        </w:rPr>
        <w:t xml:space="preserve">to </w:t>
      </w:r>
      <w:r w:rsidR="00920188" w:rsidRPr="00735740">
        <w:rPr>
          <w:rFonts w:ascii="Garamond" w:hAnsi="Garamond"/>
          <w:color w:val="000000" w:themeColor="text1"/>
          <w:sz w:val="24"/>
          <w:szCs w:val="24"/>
        </w:rPr>
        <w:t xml:space="preserve">help </w:t>
      </w:r>
      <w:r w:rsidR="000E6BBA" w:rsidRPr="00735740">
        <w:rPr>
          <w:rFonts w:ascii="Garamond" w:hAnsi="Garamond"/>
          <w:color w:val="000000" w:themeColor="text1"/>
          <w:sz w:val="24"/>
          <w:szCs w:val="24"/>
        </w:rPr>
        <w:t>stop the genocide</w:t>
      </w:r>
      <w:r w:rsidR="00920188" w:rsidRPr="00735740">
        <w:rPr>
          <w:rFonts w:ascii="Garamond" w:hAnsi="Garamond"/>
          <w:color w:val="000000" w:themeColor="text1"/>
          <w:sz w:val="24"/>
          <w:szCs w:val="24"/>
        </w:rPr>
        <w:t xml:space="preserve"> – and indeed, as discussed below, the complicity of </w:t>
      </w:r>
      <w:r w:rsidR="003C65DD" w:rsidRPr="00735740">
        <w:rPr>
          <w:rFonts w:ascii="Garamond" w:hAnsi="Garamond"/>
          <w:color w:val="000000" w:themeColor="text1"/>
          <w:sz w:val="24"/>
          <w:szCs w:val="24"/>
        </w:rPr>
        <w:t>international</w:t>
      </w:r>
      <w:r w:rsidR="007639E6" w:rsidRPr="00735740">
        <w:rPr>
          <w:rFonts w:ascii="Garamond" w:hAnsi="Garamond"/>
          <w:color w:val="000000" w:themeColor="text1"/>
          <w:sz w:val="24"/>
          <w:szCs w:val="24"/>
        </w:rPr>
        <w:t xml:space="preserve"> actors </w:t>
      </w:r>
      <w:r w:rsidR="00920188" w:rsidRPr="00735740">
        <w:rPr>
          <w:rFonts w:ascii="Garamond" w:hAnsi="Garamond"/>
          <w:color w:val="000000" w:themeColor="text1"/>
          <w:sz w:val="24"/>
          <w:szCs w:val="24"/>
        </w:rPr>
        <w:t>in the genocide -</w:t>
      </w:r>
      <w:r w:rsidR="000E6BBA" w:rsidRPr="00735740">
        <w:rPr>
          <w:rFonts w:ascii="Garamond" w:hAnsi="Garamond"/>
          <w:color w:val="000000" w:themeColor="text1"/>
          <w:sz w:val="24"/>
          <w:szCs w:val="24"/>
        </w:rPr>
        <w:t xml:space="preserve"> the </w:t>
      </w:r>
      <w:r w:rsidR="00CB3FDE" w:rsidRPr="00735740">
        <w:rPr>
          <w:rFonts w:ascii="Garamond" w:hAnsi="Garamond"/>
          <w:color w:val="000000" w:themeColor="text1"/>
          <w:sz w:val="24"/>
          <w:szCs w:val="24"/>
        </w:rPr>
        <w:t xml:space="preserve">tribunal </w:t>
      </w:r>
      <w:r w:rsidR="000E6BBA" w:rsidRPr="00735740">
        <w:rPr>
          <w:rFonts w:ascii="Garamond" w:hAnsi="Garamond"/>
          <w:color w:val="000000" w:themeColor="text1"/>
          <w:sz w:val="24"/>
          <w:szCs w:val="24"/>
        </w:rPr>
        <w:t>became a means to rebuild trust in the international communit</w:t>
      </w:r>
      <w:r w:rsidR="005D4581" w:rsidRPr="00735740">
        <w:rPr>
          <w:rFonts w:ascii="Garamond" w:hAnsi="Garamond"/>
          <w:color w:val="000000" w:themeColor="text1"/>
          <w:sz w:val="24"/>
          <w:szCs w:val="24"/>
        </w:rPr>
        <w:t>y</w:t>
      </w:r>
      <w:r w:rsidR="00E91BEC" w:rsidRPr="00735740">
        <w:rPr>
          <w:rFonts w:ascii="Garamond" w:hAnsi="Garamond"/>
          <w:color w:val="000000" w:themeColor="text1"/>
          <w:sz w:val="24"/>
          <w:szCs w:val="24"/>
        </w:rPr>
        <w:t xml:space="preserve"> and re</w:t>
      </w:r>
      <w:r w:rsidR="000E6BBA" w:rsidRPr="00735740">
        <w:rPr>
          <w:rFonts w:ascii="Garamond" w:hAnsi="Garamond"/>
          <w:color w:val="000000" w:themeColor="text1"/>
          <w:sz w:val="24"/>
          <w:szCs w:val="24"/>
        </w:rPr>
        <w:t xml:space="preserve">-establish the </w:t>
      </w:r>
      <w:r w:rsidR="005F16A8" w:rsidRPr="00735740">
        <w:rPr>
          <w:rFonts w:ascii="Garamond" w:hAnsi="Garamond"/>
          <w:color w:val="000000" w:themeColor="text1"/>
          <w:sz w:val="24"/>
          <w:szCs w:val="24"/>
        </w:rPr>
        <w:t>‘consciousness [of] mankind’.</w:t>
      </w:r>
      <w:r w:rsidR="005F16A8" w:rsidRPr="00735740">
        <w:rPr>
          <w:rStyle w:val="FootnoteReference"/>
          <w:rFonts w:ascii="Garamond" w:hAnsi="Garamond"/>
          <w:color w:val="000000" w:themeColor="text1"/>
          <w:sz w:val="24"/>
          <w:szCs w:val="24"/>
        </w:rPr>
        <w:footnoteReference w:id="49"/>
      </w:r>
      <w:r w:rsidR="006539DB" w:rsidRPr="00735740">
        <w:rPr>
          <w:rFonts w:ascii="Garamond" w:hAnsi="Garamond"/>
          <w:color w:val="000000" w:themeColor="text1"/>
          <w:sz w:val="24"/>
          <w:szCs w:val="24"/>
        </w:rPr>
        <w:t xml:space="preserve"> </w:t>
      </w:r>
    </w:p>
    <w:p w14:paraId="0D0A8C7C" w14:textId="281633EA" w:rsidR="007639E6" w:rsidRPr="00735740" w:rsidRDefault="00F158A4">
      <w:pPr>
        <w:spacing w:afterLines="160" w:after="384" w:line="360" w:lineRule="auto"/>
        <w:rPr>
          <w:rFonts w:ascii="Garamond" w:hAnsi="Garamond"/>
          <w:color w:val="000000" w:themeColor="text1"/>
          <w:sz w:val="24"/>
          <w:szCs w:val="24"/>
        </w:rPr>
      </w:pPr>
      <w:r w:rsidRPr="00735740">
        <w:rPr>
          <w:rFonts w:ascii="Garamond" w:hAnsi="Garamond"/>
          <w:color w:val="000000" w:themeColor="text1"/>
          <w:sz w:val="24"/>
          <w:szCs w:val="24"/>
        </w:rPr>
        <w:lastRenderedPageBreak/>
        <w:t>International</w:t>
      </w:r>
      <w:r w:rsidR="00920188" w:rsidRPr="00735740">
        <w:rPr>
          <w:rFonts w:ascii="Garamond" w:hAnsi="Garamond"/>
          <w:color w:val="000000" w:themeColor="text1"/>
          <w:sz w:val="24"/>
          <w:szCs w:val="24"/>
        </w:rPr>
        <w:t xml:space="preserve"> </w:t>
      </w:r>
      <w:r w:rsidR="003C65DD" w:rsidRPr="00735740">
        <w:rPr>
          <w:rFonts w:ascii="Garamond" w:hAnsi="Garamond"/>
          <w:color w:val="000000" w:themeColor="text1"/>
          <w:sz w:val="24"/>
          <w:szCs w:val="24"/>
        </w:rPr>
        <w:t>institutions</w:t>
      </w:r>
      <w:r w:rsidR="00423E94" w:rsidRPr="00735740">
        <w:rPr>
          <w:rFonts w:ascii="Garamond" w:hAnsi="Garamond"/>
          <w:color w:val="000000" w:themeColor="text1"/>
          <w:sz w:val="24"/>
          <w:szCs w:val="24"/>
        </w:rPr>
        <w:t xml:space="preserve">, such as </w:t>
      </w:r>
      <w:r w:rsidR="009D4B36" w:rsidRPr="00735740">
        <w:rPr>
          <w:rFonts w:ascii="Garamond" w:hAnsi="Garamond"/>
          <w:color w:val="000000" w:themeColor="text1"/>
          <w:sz w:val="24"/>
          <w:szCs w:val="24"/>
        </w:rPr>
        <w:t>these courts</w:t>
      </w:r>
      <w:r w:rsidR="00423E94" w:rsidRPr="00735740">
        <w:rPr>
          <w:rFonts w:ascii="Garamond" w:hAnsi="Garamond"/>
          <w:color w:val="000000" w:themeColor="text1"/>
          <w:sz w:val="24"/>
          <w:szCs w:val="24"/>
        </w:rPr>
        <w:t xml:space="preserve">, </w:t>
      </w:r>
      <w:r w:rsidRPr="00735740">
        <w:rPr>
          <w:rFonts w:ascii="Garamond" w:hAnsi="Garamond"/>
          <w:color w:val="000000" w:themeColor="text1"/>
          <w:sz w:val="24"/>
          <w:szCs w:val="24"/>
        </w:rPr>
        <w:t xml:space="preserve">perform </w:t>
      </w:r>
      <w:r w:rsidR="00920188" w:rsidRPr="00735740">
        <w:rPr>
          <w:rFonts w:ascii="Garamond" w:hAnsi="Garamond"/>
          <w:color w:val="000000" w:themeColor="text1"/>
          <w:sz w:val="24"/>
          <w:szCs w:val="24"/>
        </w:rPr>
        <w:t>a</w:t>
      </w:r>
      <w:r w:rsidRPr="00735740">
        <w:rPr>
          <w:rFonts w:ascii="Garamond" w:hAnsi="Garamond"/>
          <w:color w:val="000000" w:themeColor="text1"/>
          <w:sz w:val="24"/>
          <w:szCs w:val="24"/>
        </w:rPr>
        <w:t xml:space="preserve">n </w:t>
      </w:r>
      <w:r w:rsidR="003C65DD" w:rsidRPr="00735740">
        <w:rPr>
          <w:rFonts w:ascii="Garamond" w:hAnsi="Garamond"/>
          <w:color w:val="000000" w:themeColor="text1"/>
          <w:sz w:val="24"/>
          <w:szCs w:val="24"/>
        </w:rPr>
        <w:t>important</w:t>
      </w:r>
      <w:r w:rsidRPr="00735740">
        <w:rPr>
          <w:rFonts w:ascii="Garamond" w:hAnsi="Garamond"/>
          <w:color w:val="000000" w:themeColor="text1"/>
          <w:sz w:val="24"/>
          <w:szCs w:val="24"/>
        </w:rPr>
        <w:t xml:space="preserve"> role in giving the international community an appearance of ontological stability</w:t>
      </w:r>
      <w:r w:rsidR="00937DC3" w:rsidRPr="00735740">
        <w:rPr>
          <w:rFonts w:ascii="Garamond" w:hAnsi="Garamond"/>
          <w:color w:val="000000" w:themeColor="text1"/>
          <w:sz w:val="24"/>
          <w:szCs w:val="24"/>
        </w:rPr>
        <w:t xml:space="preserve">, as they determine the </w:t>
      </w:r>
      <w:r w:rsidR="00920188" w:rsidRPr="00735740">
        <w:rPr>
          <w:rFonts w:ascii="Garamond" w:hAnsi="Garamond"/>
          <w:color w:val="000000" w:themeColor="text1"/>
          <w:sz w:val="24"/>
          <w:szCs w:val="24"/>
        </w:rPr>
        <w:t>rules and norms</w:t>
      </w:r>
      <w:r w:rsidR="00937DC3" w:rsidRPr="00735740">
        <w:rPr>
          <w:rFonts w:ascii="Garamond" w:hAnsi="Garamond"/>
          <w:color w:val="000000" w:themeColor="text1"/>
          <w:sz w:val="24"/>
          <w:szCs w:val="24"/>
        </w:rPr>
        <w:t xml:space="preserve"> that</w:t>
      </w:r>
      <w:r w:rsidR="00E15AD9" w:rsidRPr="00735740">
        <w:rPr>
          <w:rFonts w:ascii="Garamond" w:hAnsi="Garamond"/>
          <w:color w:val="000000" w:themeColor="text1"/>
          <w:sz w:val="24"/>
          <w:szCs w:val="24"/>
        </w:rPr>
        <w:t xml:space="preserve"> </w:t>
      </w:r>
      <w:r w:rsidR="00937DC3" w:rsidRPr="00735740">
        <w:rPr>
          <w:rFonts w:ascii="Garamond" w:hAnsi="Garamond"/>
          <w:color w:val="000000" w:themeColor="text1"/>
          <w:sz w:val="24"/>
          <w:szCs w:val="24"/>
        </w:rPr>
        <w:t xml:space="preserve">govern its members. </w:t>
      </w:r>
      <w:r w:rsidR="00920188" w:rsidRPr="00735740">
        <w:rPr>
          <w:rFonts w:ascii="Garamond" w:hAnsi="Garamond"/>
          <w:color w:val="000000" w:themeColor="text1"/>
          <w:sz w:val="24"/>
          <w:szCs w:val="24"/>
        </w:rPr>
        <w:t>The</w:t>
      </w:r>
      <w:r w:rsidR="00E15AD9" w:rsidRPr="00735740">
        <w:rPr>
          <w:rFonts w:ascii="Garamond" w:hAnsi="Garamond"/>
          <w:color w:val="000000" w:themeColor="text1"/>
          <w:sz w:val="24"/>
          <w:szCs w:val="24"/>
        </w:rPr>
        <w:t xml:space="preserve"> </w:t>
      </w:r>
      <w:r w:rsidR="007639E6" w:rsidRPr="00735740">
        <w:rPr>
          <w:rFonts w:ascii="Garamond" w:hAnsi="Garamond"/>
          <w:color w:val="000000" w:themeColor="text1"/>
          <w:sz w:val="24"/>
          <w:szCs w:val="24"/>
        </w:rPr>
        <w:t>rules and norms</w:t>
      </w:r>
      <w:r w:rsidR="00920188" w:rsidRPr="00735740">
        <w:rPr>
          <w:rFonts w:ascii="Garamond" w:hAnsi="Garamond"/>
          <w:color w:val="000000" w:themeColor="text1"/>
          <w:sz w:val="24"/>
          <w:szCs w:val="24"/>
        </w:rPr>
        <w:t xml:space="preserve"> </w:t>
      </w:r>
      <w:r w:rsidR="00391D36" w:rsidRPr="00735740">
        <w:rPr>
          <w:rFonts w:ascii="Garamond" w:hAnsi="Garamond"/>
          <w:color w:val="000000" w:themeColor="text1"/>
          <w:sz w:val="24"/>
          <w:szCs w:val="24"/>
        </w:rPr>
        <w:t>up</w:t>
      </w:r>
      <w:r w:rsidR="00920188" w:rsidRPr="00735740">
        <w:rPr>
          <w:rFonts w:ascii="Garamond" w:hAnsi="Garamond"/>
          <w:color w:val="000000" w:themeColor="text1"/>
          <w:sz w:val="24"/>
          <w:szCs w:val="24"/>
        </w:rPr>
        <w:t>hel</w:t>
      </w:r>
      <w:r w:rsidR="00391D36" w:rsidRPr="00735740">
        <w:rPr>
          <w:rFonts w:ascii="Garamond" w:hAnsi="Garamond"/>
          <w:color w:val="000000" w:themeColor="text1"/>
          <w:sz w:val="24"/>
          <w:szCs w:val="24"/>
        </w:rPr>
        <w:t>d</w:t>
      </w:r>
      <w:r w:rsidR="00920188" w:rsidRPr="00735740">
        <w:rPr>
          <w:rFonts w:ascii="Garamond" w:hAnsi="Garamond"/>
          <w:color w:val="000000" w:themeColor="text1"/>
          <w:sz w:val="24"/>
          <w:szCs w:val="24"/>
        </w:rPr>
        <w:t xml:space="preserve"> by courts </w:t>
      </w:r>
      <w:r w:rsidR="00937DC3" w:rsidRPr="00735740">
        <w:rPr>
          <w:rFonts w:ascii="Garamond" w:hAnsi="Garamond"/>
          <w:color w:val="000000" w:themeColor="text1"/>
          <w:sz w:val="24"/>
          <w:szCs w:val="24"/>
        </w:rPr>
        <w:t xml:space="preserve">like the ICTR </w:t>
      </w:r>
      <w:r w:rsidR="00920188" w:rsidRPr="00735740">
        <w:rPr>
          <w:rFonts w:ascii="Garamond" w:hAnsi="Garamond"/>
          <w:color w:val="000000" w:themeColor="text1"/>
          <w:sz w:val="24"/>
          <w:szCs w:val="24"/>
        </w:rPr>
        <w:t>ar</w:t>
      </w:r>
      <w:r w:rsidR="007639E6" w:rsidRPr="00735740">
        <w:rPr>
          <w:rFonts w:ascii="Garamond" w:hAnsi="Garamond"/>
          <w:color w:val="000000" w:themeColor="text1"/>
          <w:sz w:val="24"/>
          <w:szCs w:val="24"/>
        </w:rPr>
        <w:t>e presented</w:t>
      </w:r>
      <w:r w:rsidR="00920188" w:rsidRPr="00735740">
        <w:rPr>
          <w:rFonts w:ascii="Garamond" w:hAnsi="Garamond"/>
          <w:color w:val="000000" w:themeColor="text1"/>
          <w:sz w:val="24"/>
          <w:szCs w:val="24"/>
        </w:rPr>
        <w:t xml:space="preserve"> as non-derogable and so </w:t>
      </w:r>
      <w:r w:rsidR="006A089D" w:rsidRPr="00735740">
        <w:rPr>
          <w:rFonts w:ascii="Garamond" w:hAnsi="Garamond"/>
          <w:color w:val="000000" w:themeColor="text1"/>
          <w:sz w:val="24"/>
          <w:szCs w:val="24"/>
        </w:rPr>
        <w:t xml:space="preserve">even </w:t>
      </w:r>
      <w:r w:rsidR="00920188" w:rsidRPr="00735740">
        <w:rPr>
          <w:rFonts w:ascii="Garamond" w:hAnsi="Garamond"/>
          <w:color w:val="000000" w:themeColor="text1"/>
          <w:sz w:val="24"/>
          <w:szCs w:val="24"/>
        </w:rPr>
        <w:t>govern those states and actors that do not recognise the legitimacy of these institutions or the rules of the community.</w:t>
      </w:r>
      <w:r w:rsidR="00920188" w:rsidRPr="00735740">
        <w:rPr>
          <w:rStyle w:val="FootnoteReference"/>
          <w:rFonts w:ascii="Garamond" w:hAnsi="Garamond"/>
          <w:color w:val="000000" w:themeColor="text1"/>
          <w:sz w:val="24"/>
          <w:szCs w:val="24"/>
        </w:rPr>
        <w:footnoteReference w:id="50"/>
      </w:r>
      <w:r w:rsidR="00920188" w:rsidRPr="00735740">
        <w:rPr>
          <w:rFonts w:ascii="Garamond" w:hAnsi="Garamond"/>
          <w:color w:val="000000" w:themeColor="text1"/>
          <w:sz w:val="24"/>
          <w:szCs w:val="24"/>
        </w:rPr>
        <w:t xml:space="preserve"> The claims to universality</w:t>
      </w:r>
      <w:r w:rsidR="007639E6" w:rsidRPr="00735740">
        <w:rPr>
          <w:rFonts w:ascii="Garamond" w:hAnsi="Garamond"/>
          <w:color w:val="000000" w:themeColor="text1"/>
          <w:sz w:val="24"/>
          <w:szCs w:val="24"/>
        </w:rPr>
        <w:t xml:space="preserve">, however, </w:t>
      </w:r>
      <w:r w:rsidR="00920188" w:rsidRPr="00735740">
        <w:rPr>
          <w:rFonts w:ascii="Garamond" w:hAnsi="Garamond"/>
          <w:color w:val="000000" w:themeColor="text1"/>
          <w:sz w:val="24"/>
          <w:szCs w:val="24"/>
        </w:rPr>
        <w:t xml:space="preserve">conceal what is the </w:t>
      </w:r>
      <w:r w:rsidR="00391D36" w:rsidRPr="00735740">
        <w:rPr>
          <w:rFonts w:ascii="Garamond" w:hAnsi="Garamond"/>
          <w:color w:val="000000" w:themeColor="text1"/>
          <w:sz w:val="24"/>
          <w:szCs w:val="24"/>
        </w:rPr>
        <w:t>selective nature</w:t>
      </w:r>
      <w:r w:rsidR="00920188" w:rsidRPr="00735740">
        <w:rPr>
          <w:rFonts w:ascii="Garamond" w:hAnsi="Garamond"/>
          <w:color w:val="000000" w:themeColor="text1"/>
          <w:sz w:val="24"/>
          <w:szCs w:val="24"/>
        </w:rPr>
        <w:t xml:space="preserve"> with which these rules are applied</w:t>
      </w:r>
      <w:r w:rsidR="00EF6AA4" w:rsidRPr="00735740">
        <w:rPr>
          <w:rFonts w:ascii="Garamond" w:hAnsi="Garamond"/>
          <w:color w:val="000000" w:themeColor="text1"/>
          <w:sz w:val="24"/>
          <w:szCs w:val="24"/>
        </w:rPr>
        <w:t xml:space="preserve">, and, as explored below, the dynamic and even changing nature of what it means to belong to </w:t>
      </w:r>
      <w:r w:rsidR="00423E94" w:rsidRPr="00735740">
        <w:rPr>
          <w:rFonts w:ascii="Garamond" w:hAnsi="Garamond"/>
          <w:color w:val="000000" w:themeColor="text1"/>
          <w:sz w:val="24"/>
          <w:szCs w:val="24"/>
        </w:rPr>
        <w:t>the</w:t>
      </w:r>
      <w:r w:rsidR="00EF6AA4" w:rsidRPr="00735740">
        <w:rPr>
          <w:rFonts w:ascii="Garamond" w:hAnsi="Garamond"/>
          <w:color w:val="000000" w:themeColor="text1"/>
          <w:sz w:val="24"/>
          <w:szCs w:val="24"/>
        </w:rPr>
        <w:t xml:space="preserve"> community.</w:t>
      </w:r>
      <w:r w:rsidR="000B520F" w:rsidRPr="00735740">
        <w:rPr>
          <w:rStyle w:val="FootnoteReference"/>
          <w:rFonts w:ascii="Garamond" w:hAnsi="Garamond"/>
          <w:color w:val="000000" w:themeColor="text1"/>
          <w:sz w:val="24"/>
          <w:szCs w:val="24"/>
        </w:rPr>
        <w:footnoteReference w:id="51"/>
      </w:r>
      <w:r w:rsidR="00EF6AA4" w:rsidRPr="00735740">
        <w:rPr>
          <w:rFonts w:ascii="Garamond" w:hAnsi="Garamond"/>
          <w:color w:val="000000" w:themeColor="text1"/>
          <w:sz w:val="24"/>
          <w:szCs w:val="24"/>
        </w:rPr>
        <w:t xml:space="preserve"> </w:t>
      </w:r>
      <w:r w:rsidR="00D325E7" w:rsidRPr="00735740">
        <w:rPr>
          <w:rFonts w:ascii="Garamond" w:hAnsi="Garamond"/>
          <w:color w:val="000000" w:themeColor="text1"/>
          <w:sz w:val="24"/>
          <w:szCs w:val="24"/>
        </w:rPr>
        <w:t xml:space="preserve">Indeed, </w:t>
      </w:r>
      <w:r w:rsidR="006A089D" w:rsidRPr="00735740">
        <w:rPr>
          <w:rFonts w:ascii="Garamond" w:hAnsi="Garamond"/>
          <w:color w:val="000000" w:themeColor="text1"/>
          <w:sz w:val="24"/>
          <w:szCs w:val="24"/>
        </w:rPr>
        <w:t xml:space="preserve">international courts have almost entirely been focused on </w:t>
      </w:r>
      <w:r w:rsidR="003C65DD" w:rsidRPr="00735740">
        <w:rPr>
          <w:rFonts w:ascii="Garamond" w:hAnsi="Garamond"/>
          <w:color w:val="000000" w:themeColor="text1"/>
          <w:sz w:val="24"/>
          <w:szCs w:val="24"/>
        </w:rPr>
        <w:t>Africa</w:t>
      </w:r>
      <w:r w:rsidR="00391D36" w:rsidRPr="00735740">
        <w:rPr>
          <w:rFonts w:ascii="Garamond" w:hAnsi="Garamond"/>
          <w:color w:val="000000" w:themeColor="text1"/>
          <w:sz w:val="24"/>
          <w:szCs w:val="24"/>
        </w:rPr>
        <w:t>n subjects</w:t>
      </w:r>
      <w:r w:rsidR="00D325E7" w:rsidRPr="00735740">
        <w:rPr>
          <w:rFonts w:ascii="Garamond" w:hAnsi="Garamond"/>
          <w:color w:val="000000" w:themeColor="text1"/>
          <w:sz w:val="24"/>
          <w:szCs w:val="24"/>
        </w:rPr>
        <w:t>.</w:t>
      </w:r>
      <w:r w:rsidR="00666399" w:rsidRPr="00735740">
        <w:rPr>
          <w:rStyle w:val="FootnoteReference"/>
          <w:rFonts w:ascii="Garamond" w:hAnsi="Garamond"/>
          <w:color w:val="000000" w:themeColor="text1"/>
          <w:sz w:val="24"/>
          <w:szCs w:val="24"/>
        </w:rPr>
        <w:footnoteReference w:id="52"/>
      </w:r>
      <w:r w:rsidR="007639E6" w:rsidRPr="00735740">
        <w:rPr>
          <w:rFonts w:ascii="Garamond" w:hAnsi="Garamond"/>
          <w:color w:val="000000" w:themeColor="text1"/>
          <w:sz w:val="24"/>
          <w:szCs w:val="24"/>
        </w:rPr>
        <w:t xml:space="preserve"> </w:t>
      </w:r>
      <w:r w:rsidR="00D325E7" w:rsidRPr="00735740">
        <w:rPr>
          <w:rFonts w:ascii="Garamond" w:hAnsi="Garamond"/>
          <w:color w:val="000000" w:themeColor="text1"/>
          <w:sz w:val="24"/>
          <w:szCs w:val="24"/>
        </w:rPr>
        <w:t xml:space="preserve">When this is considered alongside </w:t>
      </w:r>
      <w:r w:rsidR="00AF5396" w:rsidRPr="00735740">
        <w:rPr>
          <w:rFonts w:ascii="Garamond" w:hAnsi="Garamond"/>
          <w:color w:val="000000" w:themeColor="text1"/>
          <w:sz w:val="24"/>
          <w:szCs w:val="24"/>
        </w:rPr>
        <w:t>Jessica Whyte’s</w:t>
      </w:r>
      <w:r w:rsidR="00D325E7" w:rsidRPr="00735740">
        <w:rPr>
          <w:rFonts w:ascii="Garamond" w:hAnsi="Garamond"/>
          <w:color w:val="000000" w:themeColor="text1"/>
          <w:sz w:val="24"/>
          <w:szCs w:val="24"/>
        </w:rPr>
        <w:t xml:space="preserve"> argument </w:t>
      </w:r>
      <w:r w:rsidR="00391D36" w:rsidRPr="00735740">
        <w:rPr>
          <w:rFonts w:ascii="Garamond" w:hAnsi="Garamond"/>
          <w:color w:val="000000" w:themeColor="text1"/>
          <w:sz w:val="24"/>
          <w:szCs w:val="24"/>
        </w:rPr>
        <w:t>regarding</w:t>
      </w:r>
      <w:r w:rsidR="00D325E7" w:rsidRPr="00735740">
        <w:rPr>
          <w:rFonts w:ascii="Garamond" w:hAnsi="Garamond"/>
          <w:color w:val="000000" w:themeColor="text1"/>
          <w:sz w:val="24"/>
          <w:szCs w:val="24"/>
        </w:rPr>
        <w:t xml:space="preserve"> </w:t>
      </w:r>
      <w:r w:rsidR="003C65DD" w:rsidRPr="00735740">
        <w:rPr>
          <w:rFonts w:ascii="Garamond" w:hAnsi="Garamond"/>
          <w:color w:val="000000" w:themeColor="text1"/>
          <w:sz w:val="24"/>
          <w:szCs w:val="24"/>
        </w:rPr>
        <w:t xml:space="preserve">the </w:t>
      </w:r>
      <w:r w:rsidR="00EF6AA4" w:rsidRPr="00735740">
        <w:rPr>
          <w:rFonts w:ascii="Garamond" w:hAnsi="Garamond"/>
          <w:color w:val="000000" w:themeColor="text1"/>
          <w:sz w:val="24"/>
          <w:szCs w:val="24"/>
        </w:rPr>
        <w:t>coloniality of</w:t>
      </w:r>
      <w:r w:rsidR="00AF5396" w:rsidRPr="00735740">
        <w:rPr>
          <w:rFonts w:ascii="Garamond" w:hAnsi="Garamond"/>
          <w:color w:val="000000" w:themeColor="text1"/>
          <w:sz w:val="24"/>
          <w:szCs w:val="24"/>
        </w:rPr>
        <w:t xml:space="preserve"> these </w:t>
      </w:r>
      <w:r w:rsidR="007639E6" w:rsidRPr="00735740">
        <w:rPr>
          <w:rFonts w:ascii="Garamond" w:hAnsi="Garamond"/>
          <w:color w:val="000000" w:themeColor="text1"/>
          <w:sz w:val="24"/>
          <w:szCs w:val="24"/>
        </w:rPr>
        <w:t xml:space="preserve">international </w:t>
      </w:r>
      <w:r w:rsidR="00EF6AA4" w:rsidRPr="00735740">
        <w:rPr>
          <w:rFonts w:ascii="Garamond" w:hAnsi="Garamond"/>
          <w:color w:val="000000" w:themeColor="text1"/>
          <w:sz w:val="24"/>
          <w:szCs w:val="24"/>
        </w:rPr>
        <w:t>intervention</w:t>
      </w:r>
      <w:r w:rsidR="00AF5396" w:rsidRPr="00735740">
        <w:rPr>
          <w:rFonts w:ascii="Garamond" w:hAnsi="Garamond"/>
          <w:color w:val="000000" w:themeColor="text1"/>
          <w:sz w:val="24"/>
          <w:szCs w:val="24"/>
        </w:rPr>
        <w:t>’</w:t>
      </w:r>
      <w:r w:rsidR="007639E6" w:rsidRPr="00735740">
        <w:rPr>
          <w:rFonts w:ascii="Garamond" w:hAnsi="Garamond"/>
          <w:color w:val="000000" w:themeColor="text1"/>
          <w:sz w:val="24"/>
          <w:szCs w:val="24"/>
        </w:rPr>
        <w:t>s</w:t>
      </w:r>
      <w:r w:rsidR="00D325E7" w:rsidRPr="00735740">
        <w:rPr>
          <w:rFonts w:ascii="Garamond" w:hAnsi="Garamond"/>
          <w:color w:val="000000" w:themeColor="text1"/>
          <w:sz w:val="24"/>
          <w:szCs w:val="24"/>
        </w:rPr>
        <w:t xml:space="preserve"> more generally</w:t>
      </w:r>
      <w:r w:rsidR="00EF6AA4" w:rsidRPr="00735740">
        <w:rPr>
          <w:rFonts w:ascii="Garamond" w:hAnsi="Garamond"/>
          <w:color w:val="000000" w:themeColor="text1"/>
          <w:sz w:val="24"/>
          <w:szCs w:val="24"/>
        </w:rPr>
        <w:t>,</w:t>
      </w:r>
      <w:r w:rsidR="00EF6AA4" w:rsidRPr="00735740">
        <w:rPr>
          <w:rStyle w:val="FootnoteReference"/>
          <w:rFonts w:ascii="Garamond" w:hAnsi="Garamond"/>
          <w:color w:val="000000" w:themeColor="text1"/>
          <w:sz w:val="24"/>
          <w:szCs w:val="24"/>
        </w:rPr>
        <w:footnoteReference w:id="53"/>
      </w:r>
      <w:r w:rsidR="00EF6AA4" w:rsidRPr="00735740">
        <w:rPr>
          <w:rFonts w:ascii="Garamond" w:hAnsi="Garamond"/>
          <w:color w:val="000000" w:themeColor="text1"/>
          <w:sz w:val="24"/>
          <w:szCs w:val="24"/>
        </w:rPr>
        <w:t xml:space="preserve"> </w:t>
      </w:r>
      <w:r w:rsidR="00D325E7" w:rsidRPr="00735740">
        <w:rPr>
          <w:rFonts w:ascii="Garamond" w:hAnsi="Garamond"/>
          <w:color w:val="000000" w:themeColor="text1"/>
          <w:sz w:val="24"/>
          <w:szCs w:val="24"/>
        </w:rPr>
        <w:t>institutions</w:t>
      </w:r>
      <w:r w:rsidR="00EF6AA4" w:rsidRPr="00735740">
        <w:rPr>
          <w:rFonts w:ascii="Garamond" w:hAnsi="Garamond"/>
          <w:color w:val="000000" w:themeColor="text1"/>
          <w:sz w:val="24"/>
          <w:szCs w:val="24"/>
        </w:rPr>
        <w:t xml:space="preserve"> </w:t>
      </w:r>
      <w:r w:rsidR="007639E6" w:rsidRPr="00735740">
        <w:rPr>
          <w:rFonts w:ascii="Garamond" w:hAnsi="Garamond"/>
          <w:color w:val="000000" w:themeColor="text1"/>
          <w:sz w:val="24"/>
          <w:szCs w:val="24"/>
        </w:rPr>
        <w:t xml:space="preserve">such as the ICTR </w:t>
      </w:r>
      <w:r w:rsidR="00EF6AA4" w:rsidRPr="00735740">
        <w:rPr>
          <w:rFonts w:ascii="Garamond" w:hAnsi="Garamond"/>
          <w:color w:val="000000" w:themeColor="text1"/>
          <w:sz w:val="24"/>
          <w:szCs w:val="24"/>
        </w:rPr>
        <w:t xml:space="preserve">become about </w:t>
      </w:r>
      <w:r w:rsidR="007639E6" w:rsidRPr="00735740">
        <w:rPr>
          <w:rFonts w:ascii="Garamond" w:hAnsi="Garamond"/>
          <w:color w:val="000000" w:themeColor="text1"/>
          <w:sz w:val="24"/>
          <w:szCs w:val="24"/>
        </w:rPr>
        <w:t xml:space="preserve">both </w:t>
      </w:r>
      <w:r w:rsidR="00C54AA5" w:rsidRPr="00735740">
        <w:rPr>
          <w:rFonts w:ascii="Garamond" w:hAnsi="Garamond"/>
          <w:color w:val="000000" w:themeColor="text1"/>
          <w:sz w:val="24"/>
          <w:szCs w:val="24"/>
        </w:rPr>
        <w:t>‘the normative construction of the international’</w:t>
      </w:r>
      <w:r w:rsidR="00196FB1" w:rsidRPr="00735740">
        <w:rPr>
          <w:rFonts w:ascii="Garamond" w:hAnsi="Garamond"/>
          <w:color w:val="000000" w:themeColor="text1"/>
          <w:sz w:val="24"/>
          <w:szCs w:val="24"/>
        </w:rPr>
        <w:t xml:space="preserve"> </w:t>
      </w:r>
      <w:r w:rsidR="003324EC" w:rsidRPr="00735740">
        <w:rPr>
          <w:rFonts w:ascii="Garamond" w:hAnsi="Garamond"/>
          <w:color w:val="000000" w:themeColor="text1"/>
          <w:sz w:val="24"/>
          <w:szCs w:val="24"/>
        </w:rPr>
        <w:t>and</w:t>
      </w:r>
      <w:r w:rsidR="00196FB1" w:rsidRPr="00735740">
        <w:rPr>
          <w:rFonts w:ascii="Garamond" w:hAnsi="Garamond"/>
          <w:color w:val="000000" w:themeColor="text1"/>
          <w:sz w:val="24"/>
          <w:szCs w:val="24"/>
        </w:rPr>
        <w:t xml:space="preserve"> </w:t>
      </w:r>
      <w:r w:rsidR="008A5641" w:rsidRPr="00735740">
        <w:rPr>
          <w:rFonts w:ascii="Garamond" w:hAnsi="Garamond"/>
          <w:color w:val="000000" w:themeColor="text1"/>
          <w:sz w:val="24"/>
          <w:szCs w:val="24"/>
        </w:rPr>
        <w:t xml:space="preserve">the </w:t>
      </w:r>
      <w:r w:rsidR="00013AE2" w:rsidRPr="00735740">
        <w:rPr>
          <w:rFonts w:ascii="Garamond" w:hAnsi="Garamond"/>
          <w:color w:val="000000" w:themeColor="text1"/>
          <w:sz w:val="24"/>
          <w:szCs w:val="24"/>
        </w:rPr>
        <w:t>disciplin</w:t>
      </w:r>
      <w:r w:rsidR="008A5641" w:rsidRPr="00735740">
        <w:rPr>
          <w:rFonts w:ascii="Garamond" w:hAnsi="Garamond"/>
          <w:color w:val="000000" w:themeColor="text1"/>
          <w:sz w:val="24"/>
          <w:szCs w:val="24"/>
        </w:rPr>
        <w:t>ing</w:t>
      </w:r>
      <w:r w:rsidR="00A26FEC" w:rsidRPr="00735740">
        <w:rPr>
          <w:rFonts w:ascii="Garamond" w:hAnsi="Garamond"/>
          <w:color w:val="000000" w:themeColor="text1"/>
          <w:sz w:val="24"/>
          <w:szCs w:val="24"/>
        </w:rPr>
        <w:t xml:space="preserve"> of</w:t>
      </w:r>
      <w:r w:rsidR="00196FB1" w:rsidRPr="00735740">
        <w:rPr>
          <w:rFonts w:ascii="Garamond" w:hAnsi="Garamond"/>
          <w:color w:val="000000" w:themeColor="text1"/>
          <w:sz w:val="24"/>
          <w:szCs w:val="24"/>
        </w:rPr>
        <w:t xml:space="preserve"> post-colonial states</w:t>
      </w:r>
      <w:r w:rsidR="008A5641" w:rsidRPr="00735740">
        <w:rPr>
          <w:rFonts w:ascii="Garamond" w:hAnsi="Garamond"/>
          <w:color w:val="000000" w:themeColor="text1"/>
          <w:sz w:val="24"/>
          <w:szCs w:val="24"/>
        </w:rPr>
        <w:t>, such as Rwanda,</w:t>
      </w:r>
      <w:r w:rsidR="00196FB1" w:rsidRPr="00735740">
        <w:rPr>
          <w:rFonts w:ascii="Garamond" w:hAnsi="Garamond"/>
          <w:color w:val="000000" w:themeColor="text1"/>
          <w:sz w:val="24"/>
          <w:szCs w:val="24"/>
        </w:rPr>
        <w:t xml:space="preserve"> </w:t>
      </w:r>
      <w:r w:rsidR="00013AE2" w:rsidRPr="00735740">
        <w:rPr>
          <w:rFonts w:ascii="Garamond" w:hAnsi="Garamond"/>
          <w:color w:val="000000" w:themeColor="text1"/>
          <w:sz w:val="24"/>
          <w:szCs w:val="24"/>
        </w:rPr>
        <w:t>to conform</w:t>
      </w:r>
      <w:r w:rsidR="00196FB1" w:rsidRPr="00735740">
        <w:rPr>
          <w:rFonts w:ascii="Garamond" w:hAnsi="Garamond"/>
          <w:color w:val="000000" w:themeColor="text1"/>
          <w:sz w:val="24"/>
          <w:szCs w:val="24"/>
        </w:rPr>
        <w:t xml:space="preserve"> with </w:t>
      </w:r>
      <w:r w:rsidR="00530663" w:rsidRPr="00735740">
        <w:rPr>
          <w:rFonts w:ascii="Garamond" w:hAnsi="Garamond"/>
          <w:color w:val="000000" w:themeColor="text1"/>
          <w:sz w:val="24"/>
          <w:szCs w:val="24"/>
        </w:rPr>
        <w:t>the community’s</w:t>
      </w:r>
      <w:r w:rsidR="00196FB1" w:rsidRPr="00735740">
        <w:rPr>
          <w:rFonts w:ascii="Garamond" w:hAnsi="Garamond"/>
          <w:color w:val="000000" w:themeColor="text1"/>
          <w:sz w:val="24"/>
          <w:szCs w:val="24"/>
        </w:rPr>
        <w:t xml:space="preserve"> rules.</w:t>
      </w:r>
      <w:r w:rsidR="00C54AA5" w:rsidRPr="00735740">
        <w:rPr>
          <w:rStyle w:val="FootnoteReference"/>
          <w:rFonts w:ascii="Garamond" w:hAnsi="Garamond"/>
          <w:color w:val="000000" w:themeColor="text1"/>
          <w:sz w:val="24"/>
          <w:szCs w:val="24"/>
        </w:rPr>
        <w:footnoteReference w:id="54"/>
      </w:r>
      <w:r w:rsidR="00666399" w:rsidRPr="00735740">
        <w:rPr>
          <w:rFonts w:ascii="Garamond" w:hAnsi="Garamond"/>
          <w:color w:val="000000" w:themeColor="text1"/>
          <w:sz w:val="24"/>
          <w:szCs w:val="24"/>
        </w:rPr>
        <w:t xml:space="preserve"> </w:t>
      </w:r>
      <w:r w:rsidR="00646D89" w:rsidRPr="00735740">
        <w:rPr>
          <w:rFonts w:ascii="Garamond" w:hAnsi="Garamond"/>
          <w:color w:val="000000" w:themeColor="text1"/>
          <w:sz w:val="24"/>
          <w:szCs w:val="24"/>
        </w:rPr>
        <w:t xml:space="preserve">Analysing the ICTR’s archive, as such, offers a way of </w:t>
      </w:r>
      <w:r w:rsidR="00D325E7" w:rsidRPr="00735740">
        <w:rPr>
          <w:rFonts w:ascii="Garamond" w:hAnsi="Garamond"/>
          <w:color w:val="000000" w:themeColor="text1"/>
          <w:sz w:val="24"/>
          <w:szCs w:val="24"/>
        </w:rPr>
        <w:t>interrogating these (post)colonial dynamics, and shed</w:t>
      </w:r>
      <w:r w:rsidR="00A26FEC" w:rsidRPr="00735740">
        <w:rPr>
          <w:rFonts w:ascii="Garamond" w:hAnsi="Garamond"/>
          <w:color w:val="000000" w:themeColor="text1"/>
          <w:sz w:val="24"/>
          <w:szCs w:val="24"/>
        </w:rPr>
        <w:t>s</w:t>
      </w:r>
      <w:r w:rsidR="00D325E7" w:rsidRPr="00735740">
        <w:rPr>
          <w:rFonts w:ascii="Garamond" w:hAnsi="Garamond"/>
          <w:color w:val="000000" w:themeColor="text1"/>
          <w:sz w:val="24"/>
          <w:szCs w:val="24"/>
        </w:rPr>
        <w:t xml:space="preserve"> </w:t>
      </w:r>
      <w:r w:rsidR="00646D89" w:rsidRPr="00735740">
        <w:rPr>
          <w:rFonts w:ascii="Garamond" w:hAnsi="Garamond"/>
          <w:color w:val="000000" w:themeColor="text1"/>
          <w:sz w:val="24"/>
          <w:szCs w:val="24"/>
        </w:rPr>
        <w:t>light on what type of international community</w:t>
      </w:r>
      <w:r w:rsidR="00530663" w:rsidRPr="00735740">
        <w:rPr>
          <w:rFonts w:ascii="Garamond" w:hAnsi="Garamond"/>
          <w:color w:val="000000" w:themeColor="text1"/>
          <w:sz w:val="24"/>
          <w:szCs w:val="24"/>
        </w:rPr>
        <w:t xml:space="preserve"> </w:t>
      </w:r>
      <w:r w:rsidR="00646D89" w:rsidRPr="00735740">
        <w:rPr>
          <w:rFonts w:ascii="Garamond" w:hAnsi="Garamond"/>
          <w:color w:val="000000" w:themeColor="text1"/>
          <w:sz w:val="24"/>
          <w:szCs w:val="24"/>
        </w:rPr>
        <w:t xml:space="preserve">was constituted by the court, and what rules and </w:t>
      </w:r>
      <w:r w:rsidR="00D325E7" w:rsidRPr="00735740">
        <w:rPr>
          <w:rFonts w:ascii="Garamond" w:hAnsi="Garamond"/>
          <w:color w:val="000000" w:themeColor="text1"/>
          <w:sz w:val="24"/>
          <w:szCs w:val="24"/>
        </w:rPr>
        <w:t>norms</w:t>
      </w:r>
      <w:r w:rsidR="00646D89" w:rsidRPr="00735740">
        <w:rPr>
          <w:rFonts w:ascii="Garamond" w:hAnsi="Garamond"/>
          <w:color w:val="000000" w:themeColor="text1"/>
          <w:sz w:val="24"/>
          <w:szCs w:val="24"/>
        </w:rPr>
        <w:t xml:space="preserve"> </w:t>
      </w:r>
      <w:r w:rsidR="00530663" w:rsidRPr="00735740">
        <w:rPr>
          <w:rFonts w:ascii="Garamond" w:hAnsi="Garamond"/>
          <w:color w:val="000000" w:themeColor="text1"/>
          <w:sz w:val="24"/>
          <w:szCs w:val="24"/>
        </w:rPr>
        <w:t>governed</w:t>
      </w:r>
      <w:r w:rsidR="00646D89" w:rsidRPr="00735740">
        <w:rPr>
          <w:rFonts w:ascii="Garamond" w:hAnsi="Garamond"/>
          <w:color w:val="000000" w:themeColor="text1"/>
          <w:sz w:val="24"/>
          <w:szCs w:val="24"/>
        </w:rPr>
        <w:t xml:space="preserve"> </w:t>
      </w:r>
      <w:r w:rsidR="00D325E7" w:rsidRPr="00735740">
        <w:rPr>
          <w:rFonts w:ascii="Garamond" w:hAnsi="Garamond"/>
          <w:color w:val="000000" w:themeColor="text1"/>
          <w:sz w:val="24"/>
          <w:szCs w:val="24"/>
        </w:rPr>
        <w:t>it</w:t>
      </w:r>
      <w:r w:rsidR="00646D89" w:rsidRPr="00735740">
        <w:rPr>
          <w:rFonts w:ascii="Garamond" w:hAnsi="Garamond"/>
          <w:color w:val="000000" w:themeColor="text1"/>
          <w:sz w:val="24"/>
          <w:szCs w:val="24"/>
        </w:rPr>
        <w:t>.</w:t>
      </w:r>
    </w:p>
    <w:p w14:paraId="6AF958CE" w14:textId="6FCBDE55" w:rsidR="002513FA" w:rsidRPr="00735740" w:rsidRDefault="00196FB1" w:rsidP="008A5641">
      <w:pPr>
        <w:spacing w:afterLines="160" w:after="384" w:line="360" w:lineRule="auto"/>
        <w:rPr>
          <w:rFonts w:ascii="Garamond" w:hAnsi="Garamond"/>
          <w:color w:val="000000" w:themeColor="text1"/>
          <w:sz w:val="24"/>
          <w:szCs w:val="24"/>
        </w:rPr>
      </w:pPr>
      <w:r w:rsidRPr="00735740">
        <w:rPr>
          <w:rFonts w:ascii="Garamond" w:hAnsi="Garamond"/>
          <w:color w:val="000000" w:themeColor="text1"/>
          <w:sz w:val="24"/>
          <w:szCs w:val="24"/>
        </w:rPr>
        <w:t>This is not to draw an artificial line between the</w:t>
      </w:r>
      <w:r w:rsidR="008A5641" w:rsidRPr="00735740">
        <w:rPr>
          <w:rFonts w:ascii="Garamond" w:hAnsi="Garamond"/>
          <w:color w:val="000000" w:themeColor="text1"/>
          <w:sz w:val="24"/>
          <w:szCs w:val="24"/>
        </w:rPr>
        <w:t xml:space="preserve">se international actors and institutions, such as the </w:t>
      </w:r>
      <w:r w:rsidR="00D325E7" w:rsidRPr="00735740">
        <w:rPr>
          <w:rFonts w:ascii="Garamond" w:hAnsi="Garamond"/>
          <w:color w:val="000000" w:themeColor="text1"/>
          <w:sz w:val="24"/>
          <w:szCs w:val="24"/>
        </w:rPr>
        <w:t>ICTR</w:t>
      </w:r>
      <w:r w:rsidR="008A5641" w:rsidRPr="00735740">
        <w:rPr>
          <w:rFonts w:ascii="Garamond" w:hAnsi="Garamond"/>
          <w:color w:val="000000" w:themeColor="text1"/>
          <w:sz w:val="24"/>
          <w:szCs w:val="24"/>
        </w:rPr>
        <w:t xml:space="preserve">, </w:t>
      </w:r>
      <w:r w:rsidRPr="00735740">
        <w:rPr>
          <w:rFonts w:ascii="Garamond" w:hAnsi="Garamond"/>
          <w:color w:val="000000" w:themeColor="text1"/>
          <w:sz w:val="24"/>
          <w:szCs w:val="24"/>
        </w:rPr>
        <w:t>and local or post-colonial subject</w:t>
      </w:r>
      <w:r w:rsidR="00A26FEC" w:rsidRPr="00735740">
        <w:rPr>
          <w:rFonts w:ascii="Garamond" w:hAnsi="Garamond"/>
          <w:color w:val="000000" w:themeColor="text1"/>
          <w:sz w:val="24"/>
          <w:szCs w:val="24"/>
        </w:rPr>
        <w:t>s</w:t>
      </w:r>
      <w:r w:rsidR="00013AE2" w:rsidRPr="00735740">
        <w:rPr>
          <w:rFonts w:ascii="Garamond" w:hAnsi="Garamond"/>
          <w:color w:val="000000" w:themeColor="text1"/>
          <w:sz w:val="24"/>
          <w:szCs w:val="24"/>
        </w:rPr>
        <w:t xml:space="preserve">; </w:t>
      </w:r>
      <w:r w:rsidR="00137C54" w:rsidRPr="00735740">
        <w:rPr>
          <w:rFonts w:ascii="Garamond" w:hAnsi="Garamond"/>
          <w:color w:val="000000" w:themeColor="text1"/>
          <w:sz w:val="24"/>
          <w:szCs w:val="24"/>
        </w:rPr>
        <w:t xml:space="preserve">as Jabri argues, these should be seen as </w:t>
      </w:r>
      <w:r w:rsidRPr="00735740">
        <w:rPr>
          <w:rFonts w:ascii="Garamond" w:hAnsi="Garamond"/>
          <w:color w:val="000000" w:themeColor="text1"/>
          <w:sz w:val="24"/>
          <w:szCs w:val="24"/>
        </w:rPr>
        <w:t>‘hybrid’</w:t>
      </w:r>
      <w:r w:rsidR="00137C54" w:rsidRPr="00735740">
        <w:rPr>
          <w:rFonts w:ascii="Garamond" w:hAnsi="Garamond"/>
          <w:color w:val="000000" w:themeColor="text1"/>
          <w:sz w:val="24"/>
          <w:szCs w:val="24"/>
        </w:rPr>
        <w:t xml:space="preserve"> </w:t>
      </w:r>
      <w:r w:rsidR="00EC471B" w:rsidRPr="00735740">
        <w:rPr>
          <w:rFonts w:ascii="Garamond" w:hAnsi="Garamond"/>
          <w:color w:val="000000" w:themeColor="text1"/>
          <w:sz w:val="24"/>
          <w:szCs w:val="24"/>
        </w:rPr>
        <w:t xml:space="preserve">sites and </w:t>
      </w:r>
      <w:r w:rsidR="00137C54" w:rsidRPr="00735740">
        <w:rPr>
          <w:rFonts w:ascii="Garamond" w:hAnsi="Garamond"/>
          <w:color w:val="000000" w:themeColor="text1"/>
          <w:sz w:val="24"/>
          <w:szCs w:val="24"/>
        </w:rPr>
        <w:t>subjectivities</w:t>
      </w:r>
      <w:r w:rsidRPr="00735740">
        <w:rPr>
          <w:rFonts w:ascii="Garamond" w:hAnsi="Garamond"/>
          <w:color w:val="000000" w:themeColor="text1"/>
          <w:sz w:val="24"/>
          <w:szCs w:val="24"/>
        </w:rPr>
        <w:t>.</w:t>
      </w:r>
      <w:r w:rsidR="00592683" w:rsidRPr="00735740">
        <w:rPr>
          <w:rStyle w:val="FootnoteReference"/>
          <w:rFonts w:ascii="Garamond" w:hAnsi="Garamond"/>
          <w:color w:val="000000" w:themeColor="text1"/>
          <w:sz w:val="24"/>
          <w:szCs w:val="24"/>
        </w:rPr>
        <w:footnoteReference w:id="55"/>
      </w:r>
      <w:r w:rsidR="00137C54" w:rsidRPr="00735740">
        <w:rPr>
          <w:rFonts w:ascii="Garamond" w:hAnsi="Garamond"/>
          <w:color w:val="000000" w:themeColor="text1"/>
          <w:sz w:val="24"/>
          <w:szCs w:val="24"/>
        </w:rPr>
        <w:t xml:space="preserve"> However, as will be explored throughout this article</w:t>
      </w:r>
      <w:r w:rsidR="00013AE2" w:rsidRPr="00735740">
        <w:rPr>
          <w:rFonts w:ascii="Garamond" w:hAnsi="Garamond"/>
          <w:color w:val="000000" w:themeColor="text1"/>
          <w:sz w:val="24"/>
          <w:szCs w:val="24"/>
        </w:rPr>
        <w:t>,</w:t>
      </w:r>
      <w:r w:rsidR="00137C54" w:rsidRPr="00735740">
        <w:rPr>
          <w:rFonts w:ascii="Garamond" w:hAnsi="Garamond"/>
          <w:color w:val="000000" w:themeColor="text1"/>
          <w:sz w:val="24"/>
          <w:szCs w:val="24"/>
        </w:rPr>
        <w:t xml:space="preserve"> </w:t>
      </w:r>
      <w:r w:rsidR="008A5641" w:rsidRPr="00735740">
        <w:rPr>
          <w:rFonts w:ascii="Garamond" w:hAnsi="Garamond"/>
          <w:color w:val="000000" w:themeColor="text1"/>
          <w:sz w:val="24"/>
          <w:szCs w:val="24"/>
        </w:rPr>
        <w:t xml:space="preserve"> </w:t>
      </w:r>
      <w:r w:rsidR="00D325E7" w:rsidRPr="00735740">
        <w:rPr>
          <w:rFonts w:ascii="Garamond" w:hAnsi="Garamond"/>
          <w:color w:val="000000" w:themeColor="text1"/>
          <w:sz w:val="24"/>
          <w:szCs w:val="24"/>
        </w:rPr>
        <w:t xml:space="preserve">the international </w:t>
      </w:r>
      <w:r w:rsidR="008A5641" w:rsidRPr="00735740">
        <w:rPr>
          <w:rFonts w:ascii="Garamond" w:hAnsi="Garamond"/>
          <w:color w:val="000000" w:themeColor="text1"/>
          <w:sz w:val="24"/>
          <w:szCs w:val="24"/>
        </w:rPr>
        <w:t>community is frequently divided</w:t>
      </w:r>
      <w:r w:rsidR="00D325E7" w:rsidRPr="00735740">
        <w:rPr>
          <w:rFonts w:ascii="Garamond" w:hAnsi="Garamond"/>
          <w:color w:val="000000" w:themeColor="text1"/>
          <w:sz w:val="24"/>
          <w:szCs w:val="24"/>
        </w:rPr>
        <w:t xml:space="preserve"> into t</w:t>
      </w:r>
      <w:r w:rsidR="008A5641" w:rsidRPr="00735740">
        <w:rPr>
          <w:rFonts w:ascii="Garamond" w:hAnsi="Garamond"/>
          <w:color w:val="000000" w:themeColor="text1"/>
          <w:sz w:val="24"/>
          <w:szCs w:val="24"/>
        </w:rPr>
        <w:t xml:space="preserve">he peaceful ‘international’ and the barbarous ‘local’, and </w:t>
      </w:r>
      <w:r w:rsidR="00137C54" w:rsidRPr="00735740">
        <w:rPr>
          <w:rFonts w:ascii="Garamond" w:hAnsi="Garamond"/>
          <w:color w:val="000000" w:themeColor="text1"/>
          <w:sz w:val="24"/>
          <w:szCs w:val="24"/>
        </w:rPr>
        <w:lastRenderedPageBreak/>
        <w:t xml:space="preserve">the </w:t>
      </w:r>
      <w:r w:rsidR="00013AE2" w:rsidRPr="00735740">
        <w:rPr>
          <w:rFonts w:ascii="Garamond" w:hAnsi="Garamond"/>
          <w:color w:val="000000" w:themeColor="text1"/>
          <w:sz w:val="24"/>
          <w:szCs w:val="24"/>
        </w:rPr>
        <w:t>uneven distribution of power</w:t>
      </w:r>
      <w:r w:rsidR="00137C54" w:rsidRPr="00735740">
        <w:rPr>
          <w:rFonts w:ascii="Garamond" w:hAnsi="Garamond"/>
          <w:color w:val="000000" w:themeColor="text1"/>
          <w:sz w:val="24"/>
          <w:szCs w:val="24"/>
        </w:rPr>
        <w:t xml:space="preserve"> between </w:t>
      </w:r>
      <w:r w:rsidR="008A5641" w:rsidRPr="00735740">
        <w:rPr>
          <w:rFonts w:ascii="Garamond" w:hAnsi="Garamond"/>
          <w:color w:val="000000" w:themeColor="text1"/>
          <w:sz w:val="24"/>
          <w:szCs w:val="24"/>
        </w:rPr>
        <w:t>these spheres</w:t>
      </w:r>
      <w:r w:rsidR="00137C54" w:rsidRPr="00735740">
        <w:rPr>
          <w:rFonts w:ascii="Garamond" w:hAnsi="Garamond"/>
          <w:color w:val="000000" w:themeColor="text1"/>
          <w:sz w:val="24"/>
          <w:szCs w:val="24"/>
        </w:rPr>
        <w:t xml:space="preserve"> was </w:t>
      </w:r>
      <w:r w:rsidR="00013AE2" w:rsidRPr="00735740">
        <w:rPr>
          <w:rFonts w:ascii="Garamond" w:hAnsi="Garamond"/>
          <w:color w:val="000000" w:themeColor="text1"/>
          <w:sz w:val="24"/>
          <w:szCs w:val="24"/>
        </w:rPr>
        <w:t>central</w:t>
      </w:r>
      <w:r w:rsidR="00137C54" w:rsidRPr="00735740">
        <w:rPr>
          <w:rFonts w:ascii="Garamond" w:hAnsi="Garamond"/>
          <w:color w:val="000000" w:themeColor="text1"/>
          <w:sz w:val="24"/>
          <w:szCs w:val="24"/>
        </w:rPr>
        <w:t xml:space="preserve"> in determining the way in which the archive</w:t>
      </w:r>
      <w:r w:rsidR="003324EC" w:rsidRPr="00735740">
        <w:rPr>
          <w:rFonts w:ascii="Garamond" w:hAnsi="Garamond"/>
          <w:color w:val="000000" w:themeColor="text1"/>
          <w:sz w:val="24"/>
          <w:szCs w:val="24"/>
        </w:rPr>
        <w:t xml:space="preserve"> and the international community were </w:t>
      </w:r>
      <w:r w:rsidR="00137C54" w:rsidRPr="00735740">
        <w:rPr>
          <w:rFonts w:ascii="Garamond" w:hAnsi="Garamond"/>
          <w:color w:val="000000" w:themeColor="text1"/>
          <w:sz w:val="24"/>
          <w:szCs w:val="24"/>
        </w:rPr>
        <w:t>constituted</w:t>
      </w:r>
      <w:r w:rsidR="00280647" w:rsidRPr="00735740">
        <w:rPr>
          <w:rFonts w:ascii="Garamond" w:hAnsi="Garamond"/>
          <w:color w:val="000000" w:themeColor="text1"/>
          <w:sz w:val="24"/>
          <w:szCs w:val="24"/>
        </w:rPr>
        <w:t xml:space="preserve"> and governed</w:t>
      </w:r>
      <w:r w:rsidR="00800BAE" w:rsidRPr="00735740">
        <w:rPr>
          <w:rFonts w:ascii="Garamond" w:hAnsi="Garamond"/>
          <w:color w:val="000000" w:themeColor="text1"/>
          <w:sz w:val="24"/>
          <w:szCs w:val="24"/>
        </w:rPr>
        <w:t>.</w:t>
      </w:r>
      <w:r w:rsidR="004B5903" w:rsidRPr="00735740">
        <w:rPr>
          <w:rStyle w:val="FootnoteReference"/>
          <w:rFonts w:ascii="Garamond" w:hAnsi="Garamond"/>
          <w:color w:val="000000" w:themeColor="text1"/>
          <w:sz w:val="24"/>
          <w:szCs w:val="24"/>
        </w:rPr>
        <w:footnoteReference w:id="56"/>
      </w:r>
      <w:r w:rsidR="005E5524" w:rsidRPr="00735740">
        <w:rPr>
          <w:rFonts w:ascii="Garamond" w:hAnsi="Garamond"/>
          <w:color w:val="000000" w:themeColor="text1"/>
          <w:sz w:val="24"/>
          <w:szCs w:val="24"/>
        </w:rPr>
        <w:t xml:space="preserve"> </w:t>
      </w:r>
    </w:p>
    <w:p w14:paraId="3719574D" w14:textId="77777777" w:rsidR="00A24F41" w:rsidRPr="00735740" w:rsidRDefault="00210AB7" w:rsidP="00201640">
      <w:pPr>
        <w:spacing w:line="360" w:lineRule="auto"/>
        <w:rPr>
          <w:rFonts w:ascii="Garamond" w:hAnsi="Garamond"/>
          <w:color w:val="000000" w:themeColor="text1"/>
          <w:sz w:val="24"/>
          <w:szCs w:val="24"/>
        </w:rPr>
      </w:pPr>
      <w:r w:rsidRPr="00735740">
        <w:rPr>
          <w:rFonts w:ascii="Garamond" w:hAnsi="Garamond"/>
          <w:color w:val="000000" w:themeColor="text1"/>
          <w:sz w:val="24"/>
          <w:szCs w:val="24"/>
        </w:rPr>
        <w:t xml:space="preserve">Though still small in number, </w:t>
      </w:r>
      <w:r w:rsidR="00133C7F" w:rsidRPr="00735740">
        <w:rPr>
          <w:rFonts w:ascii="Garamond" w:hAnsi="Garamond"/>
          <w:color w:val="000000" w:themeColor="text1"/>
          <w:sz w:val="24"/>
          <w:szCs w:val="24"/>
        </w:rPr>
        <w:t>several</w:t>
      </w:r>
      <w:r w:rsidR="00D14383" w:rsidRPr="00735740">
        <w:rPr>
          <w:rFonts w:ascii="Garamond" w:hAnsi="Garamond"/>
          <w:color w:val="000000" w:themeColor="text1"/>
          <w:sz w:val="24"/>
          <w:szCs w:val="24"/>
        </w:rPr>
        <w:t xml:space="preserve"> legal and archival studies</w:t>
      </w:r>
      <w:r w:rsidR="00204BD3" w:rsidRPr="00735740">
        <w:rPr>
          <w:rFonts w:ascii="Garamond" w:hAnsi="Garamond"/>
          <w:color w:val="000000" w:themeColor="text1"/>
          <w:sz w:val="24"/>
          <w:szCs w:val="24"/>
        </w:rPr>
        <w:t xml:space="preserve"> scholars</w:t>
      </w:r>
      <w:r w:rsidR="00D14383" w:rsidRPr="00735740">
        <w:rPr>
          <w:rFonts w:ascii="Garamond" w:hAnsi="Garamond"/>
          <w:color w:val="000000" w:themeColor="text1"/>
          <w:sz w:val="24"/>
          <w:szCs w:val="24"/>
        </w:rPr>
        <w:t xml:space="preserve"> have started to </w:t>
      </w:r>
      <w:r w:rsidRPr="00735740">
        <w:rPr>
          <w:rFonts w:ascii="Garamond" w:hAnsi="Garamond"/>
          <w:color w:val="000000" w:themeColor="text1"/>
          <w:sz w:val="24"/>
          <w:szCs w:val="24"/>
        </w:rPr>
        <w:t>explore</w:t>
      </w:r>
      <w:r w:rsidR="00D14383" w:rsidRPr="00735740">
        <w:rPr>
          <w:rFonts w:ascii="Garamond" w:hAnsi="Garamond"/>
          <w:color w:val="000000" w:themeColor="text1"/>
          <w:sz w:val="24"/>
          <w:szCs w:val="24"/>
        </w:rPr>
        <w:t xml:space="preserve"> the significan</w:t>
      </w:r>
      <w:r w:rsidRPr="00735740">
        <w:rPr>
          <w:rFonts w:ascii="Garamond" w:hAnsi="Garamond"/>
          <w:color w:val="000000" w:themeColor="text1"/>
          <w:sz w:val="24"/>
          <w:szCs w:val="24"/>
        </w:rPr>
        <w:t>ce</w:t>
      </w:r>
      <w:r w:rsidR="00D14383" w:rsidRPr="00735740">
        <w:rPr>
          <w:rFonts w:ascii="Garamond" w:hAnsi="Garamond"/>
          <w:color w:val="000000" w:themeColor="text1"/>
          <w:sz w:val="24"/>
          <w:szCs w:val="24"/>
        </w:rPr>
        <w:t xml:space="preserve"> of</w:t>
      </w:r>
      <w:r w:rsidR="00C51698" w:rsidRPr="00735740">
        <w:rPr>
          <w:rFonts w:ascii="Garamond" w:hAnsi="Garamond"/>
          <w:color w:val="000000" w:themeColor="text1"/>
          <w:sz w:val="24"/>
          <w:szCs w:val="24"/>
        </w:rPr>
        <w:t xml:space="preserve"> these</w:t>
      </w:r>
      <w:r w:rsidR="00D14383" w:rsidRPr="00735740">
        <w:rPr>
          <w:rFonts w:ascii="Garamond" w:hAnsi="Garamond"/>
          <w:color w:val="000000" w:themeColor="text1"/>
          <w:sz w:val="24"/>
          <w:szCs w:val="24"/>
        </w:rPr>
        <w:t xml:space="preserve"> international legal archives</w:t>
      </w:r>
      <w:r w:rsidR="00187FA4" w:rsidRPr="00735740">
        <w:rPr>
          <w:rFonts w:ascii="Garamond" w:hAnsi="Garamond"/>
          <w:color w:val="000000" w:themeColor="text1"/>
          <w:sz w:val="24"/>
          <w:szCs w:val="24"/>
        </w:rPr>
        <w:t xml:space="preserve">. </w:t>
      </w:r>
      <w:r w:rsidR="00652CFB" w:rsidRPr="00735740">
        <w:rPr>
          <w:rFonts w:ascii="Garamond" w:hAnsi="Garamond"/>
          <w:color w:val="000000" w:themeColor="text1"/>
          <w:sz w:val="24"/>
          <w:szCs w:val="24"/>
        </w:rPr>
        <w:t xml:space="preserve">Tom Adami </w:t>
      </w:r>
      <w:r w:rsidR="00331F1B" w:rsidRPr="00735740">
        <w:rPr>
          <w:rFonts w:ascii="Garamond" w:hAnsi="Garamond"/>
          <w:color w:val="000000" w:themeColor="text1"/>
          <w:sz w:val="24"/>
          <w:szCs w:val="24"/>
        </w:rPr>
        <w:t>and Martha Hunt</w:t>
      </w:r>
      <w:r w:rsidR="00187FA4" w:rsidRPr="00735740">
        <w:rPr>
          <w:rFonts w:ascii="Garamond" w:hAnsi="Garamond"/>
          <w:color w:val="000000" w:themeColor="text1"/>
          <w:sz w:val="24"/>
          <w:szCs w:val="24"/>
        </w:rPr>
        <w:t xml:space="preserve"> </w:t>
      </w:r>
      <w:r w:rsidR="00204BD3" w:rsidRPr="00735740">
        <w:rPr>
          <w:rFonts w:ascii="Garamond" w:hAnsi="Garamond"/>
          <w:color w:val="000000" w:themeColor="text1"/>
          <w:sz w:val="24"/>
          <w:szCs w:val="24"/>
        </w:rPr>
        <w:t xml:space="preserve">(both ICTR archivists) </w:t>
      </w:r>
      <w:r w:rsidR="00187FA4" w:rsidRPr="00735740">
        <w:rPr>
          <w:rFonts w:ascii="Garamond" w:hAnsi="Garamond"/>
          <w:color w:val="000000" w:themeColor="text1"/>
          <w:sz w:val="24"/>
          <w:szCs w:val="24"/>
        </w:rPr>
        <w:t xml:space="preserve">have </w:t>
      </w:r>
      <w:r w:rsidRPr="00735740">
        <w:rPr>
          <w:rFonts w:ascii="Garamond" w:hAnsi="Garamond"/>
          <w:color w:val="000000" w:themeColor="text1"/>
          <w:sz w:val="24"/>
          <w:szCs w:val="24"/>
        </w:rPr>
        <w:t>looked at</w:t>
      </w:r>
      <w:r w:rsidR="00232EE0" w:rsidRPr="00735740">
        <w:rPr>
          <w:rFonts w:ascii="Garamond" w:hAnsi="Garamond"/>
          <w:color w:val="000000" w:themeColor="text1"/>
          <w:sz w:val="24"/>
          <w:szCs w:val="24"/>
        </w:rPr>
        <w:t xml:space="preserve"> how</w:t>
      </w:r>
      <w:r w:rsidR="00331F1B" w:rsidRPr="00735740">
        <w:rPr>
          <w:rFonts w:ascii="Garamond" w:hAnsi="Garamond"/>
          <w:color w:val="000000" w:themeColor="text1"/>
          <w:sz w:val="24"/>
          <w:szCs w:val="24"/>
        </w:rPr>
        <w:t xml:space="preserve"> the</w:t>
      </w:r>
      <w:r w:rsidR="00F07B80" w:rsidRPr="00735740">
        <w:rPr>
          <w:rFonts w:ascii="Garamond" w:hAnsi="Garamond"/>
          <w:color w:val="000000" w:themeColor="text1"/>
          <w:sz w:val="24"/>
          <w:szCs w:val="24"/>
        </w:rPr>
        <w:t xml:space="preserve"> ICTR’s</w:t>
      </w:r>
      <w:r w:rsidR="00331F1B" w:rsidRPr="00735740">
        <w:rPr>
          <w:rFonts w:ascii="Garamond" w:hAnsi="Garamond"/>
          <w:color w:val="000000" w:themeColor="text1"/>
          <w:sz w:val="24"/>
          <w:szCs w:val="24"/>
        </w:rPr>
        <w:t xml:space="preserve"> archive </w:t>
      </w:r>
      <w:r w:rsidR="00232EE0" w:rsidRPr="00735740">
        <w:rPr>
          <w:rFonts w:ascii="Garamond" w:hAnsi="Garamond"/>
          <w:color w:val="000000" w:themeColor="text1"/>
          <w:sz w:val="24"/>
          <w:szCs w:val="24"/>
        </w:rPr>
        <w:t>supported the</w:t>
      </w:r>
      <w:r w:rsidR="00331F1B" w:rsidRPr="00735740">
        <w:rPr>
          <w:rFonts w:ascii="Garamond" w:hAnsi="Garamond"/>
          <w:color w:val="000000" w:themeColor="text1"/>
          <w:sz w:val="24"/>
          <w:szCs w:val="24"/>
        </w:rPr>
        <w:t xml:space="preserve"> legal</w:t>
      </w:r>
      <w:r w:rsidR="005D4581" w:rsidRPr="00735740">
        <w:rPr>
          <w:rFonts w:ascii="Garamond" w:hAnsi="Garamond"/>
          <w:color w:val="000000" w:themeColor="text1"/>
          <w:sz w:val="24"/>
          <w:szCs w:val="24"/>
        </w:rPr>
        <w:t xml:space="preserve"> and bureaucratic</w:t>
      </w:r>
      <w:r w:rsidR="00331F1B" w:rsidRPr="00735740">
        <w:rPr>
          <w:rFonts w:ascii="Garamond" w:hAnsi="Garamond"/>
          <w:color w:val="000000" w:themeColor="text1"/>
          <w:sz w:val="24"/>
          <w:szCs w:val="24"/>
        </w:rPr>
        <w:t xml:space="preserve"> function of the </w:t>
      </w:r>
      <w:r w:rsidR="00F02A2B" w:rsidRPr="00735740">
        <w:rPr>
          <w:rFonts w:ascii="Garamond" w:hAnsi="Garamond"/>
          <w:color w:val="000000" w:themeColor="text1"/>
          <w:sz w:val="24"/>
          <w:szCs w:val="24"/>
        </w:rPr>
        <w:t>tribunal</w:t>
      </w:r>
      <w:r w:rsidR="005D4581" w:rsidRPr="00735740">
        <w:rPr>
          <w:rFonts w:ascii="Garamond" w:hAnsi="Garamond"/>
          <w:color w:val="000000" w:themeColor="text1"/>
          <w:sz w:val="24"/>
          <w:szCs w:val="24"/>
        </w:rPr>
        <w:t xml:space="preserve"> </w:t>
      </w:r>
      <w:r w:rsidR="00331F1B" w:rsidRPr="00735740">
        <w:rPr>
          <w:rFonts w:ascii="Garamond" w:hAnsi="Garamond"/>
          <w:color w:val="000000" w:themeColor="text1"/>
          <w:sz w:val="24"/>
          <w:szCs w:val="24"/>
        </w:rPr>
        <w:t xml:space="preserve">and </w:t>
      </w:r>
      <w:r w:rsidR="00232EE0" w:rsidRPr="00735740">
        <w:rPr>
          <w:rFonts w:ascii="Garamond" w:hAnsi="Garamond"/>
          <w:color w:val="000000" w:themeColor="text1"/>
          <w:sz w:val="24"/>
          <w:szCs w:val="24"/>
        </w:rPr>
        <w:t xml:space="preserve">acted </w:t>
      </w:r>
      <w:r w:rsidR="00331F1B" w:rsidRPr="00735740">
        <w:rPr>
          <w:rFonts w:ascii="Garamond" w:hAnsi="Garamond"/>
          <w:color w:val="000000" w:themeColor="text1"/>
          <w:sz w:val="24"/>
          <w:szCs w:val="24"/>
        </w:rPr>
        <w:t>as a site of</w:t>
      </w:r>
      <w:r w:rsidR="005D4581" w:rsidRPr="00735740">
        <w:rPr>
          <w:rFonts w:ascii="Garamond" w:hAnsi="Garamond"/>
          <w:color w:val="000000" w:themeColor="text1"/>
          <w:sz w:val="24"/>
          <w:szCs w:val="24"/>
        </w:rPr>
        <w:t xml:space="preserve"> truth,</w:t>
      </w:r>
      <w:r w:rsidR="00331F1B" w:rsidRPr="00735740">
        <w:rPr>
          <w:rFonts w:ascii="Garamond" w:hAnsi="Garamond"/>
          <w:color w:val="000000" w:themeColor="text1"/>
          <w:sz w:val="24"/>
          <w:szCs w:val="24"/>
        </w:rPr>
        <w:t xml:space="preserve"> memory and catharsis</w:t>
      </w:r>
      <w:r w:rsidR="005D4581" w:rsidRPr="00735740">
        <w:rPr>
          <w:rFonts w:ascii="Garamond" w:hAnsi="Garamond"/>
          <w:color w:val="000000" w:themeColor="text1"/>
          <w:sz w:val="24"/>
          <w:szCs w:val="24"/>
        </w:rPr>
        <w:t>, due to the prominence of victim testimony within the archive</w:t>
      </w:r>
      <w:r w:rsidR="00331F1B" w:rsidRPr="00735740">
        <w:rPr>
          <w:rFonts w:ascii="Garamond" w:hAnsi="Garamond"/>
          <w:color w:val="000000" w:themeColor="text1"/>
          <w:sz w:val="24"/>
          <w:szCs w:val="24"/>
        </w:rPr>
        <w:t>.</w:t>
      </w:r>
      <w:r w:rsidR="00331F1B" w:rsidRPr="00735740">
        <w:rPr>
          <w:rStyle w:val="FootnoteReference"/>
          <w:rFonts w:ascii="Garamond" w:hAnsi="Garamond"/>
          <w:color w:val="000000" w:themeColor="text1"/>
          <w:sz w:val="24"/>
          <w:szCs w:val="24"/>
        </w:rPr>
        <w:footnoteReference w:id="57"/>
      </w:r>
      <w:r w:rsidR="00331F1B" w:rsidRPr="00735740">
        <w:rPr>
          <w:rFonts w:ascii="Garamond" w:hAnsi="Garamond"/>
          <w:color w:val="000000" w:themeColor="text1"/>
          <w:sz w:val="24"/>
          <w:szCs w:val="24"/>
        </w:rPr>
        <w:t xml:space="preserve"> </w:t>
      </w:r>
      <w:r w:rsidR="00652CFB" w:rsidRPr="00735740">
        <w:rPr>
          <w:rFonts w:ascii="Garamond" w:hAnsi="Garamond"/>
          <w:color w:val="000000" w:themeColor="text1"/>
          <w:sz w:val="24"/>
          <w:szCs w:val="24"/>
        </w:rPr>
        <w:t>Eric Ketlaar</w:t>
      </w:r>
      <w:r w:rsidR="00E91BEC" w:rsidRPr="00735740">
        <w:rPr>
          <w:rFonts w:ascii="Garamond" w:hAnsi="Garamond"/>
          <w:color w:val="000000" w:themeColor="text1"/>
          <w:sz w:val="24"/>
          <w:szCs w:val="24"/>
        </w:rPr>
        <w:t xml:space="preserve">, writing about </w:t>
      </w:r>
      <w:r w:rsidR="00652CFB" w:rsidRPr="00735740">
        <w:rPr>
          <w:rFonts w:ascii="Garamond" w:hAnsi="Garamond"/>
          <w:color w:val="000000" w:themeColor="text1"/>
          <w:sz w:val="24"/>
          <w:szCs w:val="24"/>
        </w:rPr>
        <w:t xml:space="preserve">the </w:t>
      </w:r>
      <w:r w:rsidR="005D4581" w:rsidRPr="00735740">
        <w:rPr>
          <w:rFonts w:ascii="Garamond" w:hAnsi="Garamond"/>
          <w:color w:val="000000" w:themeColor="text1"/>
          <w:sz w:val="24"/>
          <w:szCs w:val="24"/>
        </w:rPr>
        <w:t xml:space="preserve">International </w:t>
      </w:r>
      <w:r w:rsidR="00F07B80" w:rsidRPr="00735740">
        <w:rPr>
          <w:rFonts w:ascii="Garamond" w:hAnsi="Garamond"/>
          <w:color w:val="000000" w:themeColor="text1"/>
          <w:sz w:val="24"/>
          <w:szCs w:val="24"/>
        </w:rPr>
        <w:t>Criminal</w:t>
      </w:r>
      <w:r w:rsidR="005D4581" w:rsidRPr="00735740">
        <w:rPr>
          <w:rFonts w:ascii="Garamond" w:hAnsi="Garamond"/>
          <w:color w:val="000000" w:themeColor="text1"/>
          <w:sz w:val="24"/>
          <w:szCs w:val="24"/>
        </w:rPr>
        <w:t xml:space="preserve"> Tribunal for the Former Yugoslavia’s (</w:t>
      </w:r>
      <w:r w:rsidR="00652CFB" w:rsidRPr="00735740">
        <w:rPr>
          <w:rFonts w:ascii="Garamond" w:hAnsi="Garamond"/>
          <w:color w:val="000000" w:themeColor="text1"/>
          <w:sz w:val="24"/>
          <w:szCs w:val="24"/>
        </w:rPr>
        <w:t>ICT</w:t>
      </w:r>
      <w:r w:rsidR="005D4581" w:rsidRPr="00735740">
        <w:rPr>
          <w:rFonts w:ascii="Garamond" w:hAnsi="Garamond"/>
          <w:color w:val="000000" w:themeColor="text1"/>
          <w:sz w:val="24"/>
          <w:szCs w:val="24"/>
        </w:rPr>
        <w:t>Y)</w:t>
      </w:r>
      <w:r w:rsidR="00652CFB" w:rsidRPr="00735740">
        <w:rPr>
          <w:rFonts w:ascii="Garamond" w:hAnsi="Garamond"/>
          <w:color w:val="000000" w:themeColor="text1"/>
          <w:sz w:val="24"/>
          <w:szCs w:val="24"/>
        </w:rPr>
        <w:t xml:space="preserve"> archive</w:t>
      </w:r>
      <w:r w:rsidR="00E91BEC" w:rsidRPr="00735740">
        <w:rPr>
          <w:rFonts w:ascii="Garamond" w:hAnsi="Garamond"/>
          <w:color w:val="000000" w:themeColor="text1"/>
          <w:sz w:val="24"/>
          <w:szCs w:val="24"/>
        </w:rPr>
        <w:t xml:space="preserve">, </w:t>
      </w:r>
      <w:r w:rsidR="00652CFB" w:rsidRPr="00735740">
        <w:rPr>
          <w:rFonts w:ascii="Garamond" w:hAnsi="Garamond"/>
          <w:color w:val="000000" w:themeColor="text1"/>
          <w:sz w:val="24"/>
          <w:szCs w:val="24"/>
        </w:rPr>
        <w:t xml:space="preserve">has </w:t>
      </w:r>
      <w:r w:rsidR="00E91BEC" w:rsidRPr="00735740">
        <w:rPr>
          <w:rFonts w:ascii="Garamond" w:hAnsi="Garamond"/>
          <w:color w:val="000000" w:themeColor="text1"/>
          <w:sz w:val="24"/>
          <w:szCs w:val="24"/>
        </w:rPr>
        <w:t>argued that</w:t>
      </w:r>
      <w:r w:rsidR="00F44602" w:rsidRPr="00735740">
        <w:rPr>
          <w:rFonts w:ascii="Garamond" w:hAnsi="Garamond"/>
          <w:color w:val="000000" w:themeColor="text1"/>
          <w:sz w:val="24"/>
          <w:szCs w:val="24"/>
        </w:rPr>
        <w:t xml:space="preserve"> whilst the archive contains </w:t>
      </w:r>
      <w:r w:rsidR="0032576D" w:rsidRPr="00735740">
        <w:rPr>
          <w:rFonts w:ascii="Garamond" w:hAnsi="Garamond"/>
          <w:color w:val="000000" w:themeColor="text1"/>
          <w:sz w:val="24"/>
          <w:szCs w:val="24"/>
        </w:rPr>
        <w:t xml:space="preserve">a </w:t>
      </w:r>
      <w:r w:rsidR="00204BD3" w:rsidRPr="00735740">
        <w:rPr>
          <w:rFonts w:ascii="Garamond" w:hAnsi="Garamond"/>
          <w:color w:val="000000" w:themeColor="text1"/>
          <w:sz w:val="24"/>
          <w:szCs w:val="24"/>
        </w:rPr>
        <w:t xml:space="preserve">more </w:t>
      </w:r>
      <w:r w:rsidR="00F44602" w:rsidRPr="00735740">
        <w:rPr>
          <w:rFonts w:ascii="Garamond" w:hAnsi="Garamond"/>
          <w:color w:val="000000" w:themeColor="text1"/>
          <w:sz w:val="24"/>
          <w:szCs w:val="24"/>
        </w:rPr>
        <w:t>limited</w:t>
      </w:r>
      <w:r w:rsidR="00204BD3" w:rsidRPr="00735740">
        <w:rPr>
          <w:rFonts w:ascii="Garamond" w:hAnsi="Garamond"/>
          <w:color w:val="000000" w:themeColor="text1"/>
          <w:sz w:val="24"/>
          <w:szCs w:val="24"/>
        </w:rPr>
        <w:t xml:space="preserve"> ‘</w:t>
      </w:r>
      <w:r w:rsidR="00F44602" w:rsidRPr="00735740">
        <w:rPr>
          <w:rFonts w:ascii="Garamond" w:hAnsi="Garamond"/>
          <w:color w:val="000000" w:themeColor="text1"/>
          <w:sz w:val="24"/>
          <w:szCs w:val="24"/>
        </w:rPr>
        <w:t>forensic</w:t>
      </w:r>
      <w:r w:rsidR="00F44602" w:rsidRPr="00735740">
        <w:rPr>
          <w:rFonts w:ascii="Garamond" w:hAnsi="Garamond"/>
          <w:i/>
          <w:color w:val="000000" w:themeColor="text1"/>
          <w:sz w:val="24"/>
          <w:szCs w:val="24"/>
        </w:rPr>
        <w:t xml:space="preserve"> </w:t>
      </w:r>
      <w:r w:rsidR="00F44602" w:rsidRPr="00735740">
        <w:rPr>
          <w:rFonts w:ascii="Garamond" w:hAnsi="Garamond"/>
          <w:color w:val="000000" w:themeColor="text1"/>
          <w:sz w:val="24"/>
          <w:szCs w:val="24"/>
        </w:rPr>
        <w:t>truth</w:t>
      </w:r>
      <w:r w:rsidR="00204BD3" w:rsidRPr="00735740">
        <w:rPr>
          <w:rFonts w:ascii="Garamond" w:hAnsi="Garamond"/>
          <w:color w:val="000000" w:themeColor="text1"/>
          <w:sz w:val="24"/>
          <w:szCs w:val="24"/>
        </w:rPr>
        <w:t>’</w:t>
      </w:r>
      <w:r w:rsidR="00F44602" w:rsidRPr="00735740">
        <w:rPr>
          <w:rFonts w:ascii="Garamond" w:hAnsi="Garamond"/>
          <w:color w:val="000000" w:themeColor="text1"/>
          <w:sz w:val="24"/>
          <w:szCs w:val="24"/>
        </w:rPr>
        <w:t xml:space="preserve"> (as opposed to what he calls a ‘nar</w:t>
      </w:r>
      <w:r w:rsidR="00E91BEC" w:rsidRPr="00735740">
        <w:rPr>
          <w:rFonts w:ascii="Garamond" w:hAnsi="Garamond"/>
          <w:color w:val="000000" w:themeColor="text1"/>
          <w:sz w:val="24"/>
          <w:szCs w:val="24"/>
        </w:rPr>
        <w:t>r</w:t>
      </w:r>
      <w:r w:rsidR="00F44602" w:rsidRPr="00735740">
        <w:rPr>
          <w:rFonts w:ascii="Garamond" w:hAnsi="Garamond"/>
          <w:color w:val="000000" w:themeColor="text1"/>
          <w:sz w:val="24"/>
          <w:szCs w:val="24"/>
        </w:rPr>
        <w:t xml:space="preserve">ative truth’) </w:t>
      </w:r>
      <w:r w:rsidR="00F07B80" w:rsidRPr="00735740">
        <w:rPr>
          <w:rFonts w:ascii="Garamond" w:hAnsi="Garamond"/>
          <w:color w:val="000000" w:themeColor="text1"/>
          <w:sz w:val="24"/>
          <w:szCs w:val="24"/>
        </w:rPr>
        <w:t>the archive</w:t>
      </w:r>
      <w:r w:rsidR="00CB3FDE" w:rsidRPr="00735740">
        <w:rPr>
          <w:rFonts w:ascii="Garamond" w:hAnsi="Garamond"/>
          <w:color w:val="000000" w:themeColor="text1"/>
          <w:sz w:val="24"/>
          <w:szCs w:val="24"/>
        </w:rPr>
        <w:t>’s</w:t>
      </w:r>
      <w:r w:rsidR="00E91BEC" w:rsidRPr="00735740">
        <w:rPr>
          <w:rFonts w:ascii="Garamond" w:hAnsi="Garamond"/>
          <w:color w:val="000000" w:themeColor="text1"/>
          <w:sz w:val="24"/>
          <w:szCs w:val="24"/>
        </w:rPr>
        <w:t xml:space="preserve"> </w:t>
      </w:r>
      <w:r w:rsidR="00CB3FDE" w:rsidRPr="00735740">
        <w:rPr>
          <w:rFonts w:ascii="Garamond" w:hAnsi="Garamond"/>
          <w:color w:val="000000" w:themeColor="text1"/>
          <w:sz w:val="24"/>
          <w:szCs w:val="24"/>
        </w:rPr>
        <w:t xml:space="preserve">account of the violence in the Western Balkans </w:t>
      </w:r>
      <w:r w:rsidR="00232EE0" w:rsidRPr="00735740">
        <w:rPr>
          <w:rFonts w:ascii="Garamond" w:hAnsi="Garamond"/>
          <w:color w:val="000000" w:themeColor="text1"/>
          <w:sz w:val="24"/>
          <w:szCs w:val="24"/>
        </w:rPr>
        <w:t>could</w:t>
      </w:r>
      <w:r w:rsidR="00E91BEC" w:rsidRPr="00735740">
        <w:rPr>
          <w:rFonts w:ascii="Garamond" w:hAnsi="Garamond"/>
          <w:color w:val="000000" w:themeColor="text1"/>
          <w:sz w:val="24"/>
          <w:szCs w:val="24"/>
        </w:rPr>
        <w:t xml:space="preserve">, </w:t>
      </w:r>
      <w:r w:rsidR="00F44602" w:rsidRPr="00735740">
        <w:rPr>
          <w:rFonts w:ascii="Garamond" w:hAnsi="Garamond"/>
          <w:color w:val="000000" w:themeColor="text1"/>
          <w:sz w:val="24"/>
          <w:szCs w:val="24"/>
        </w:rPr>
        <w:t>nonetheles</w:t>
      </w:r>
      <w:r w:rsidR="00331F1B" w:rsidRPr="00735740">
        <w:rPr>
          <w:rFonts w:ascii="Garamond" w:hAnsi="Garamond"/>
          <w:color w:val="000000" w:themeColor="text1"/>
          <w:sz w:val="24"/>
          <w:szCs w:val="24"/>
        </w:rPr>
        <w:t xml:space="preserve">s, </w:t>
      </w:r>
      <w:r w:rsidR="00232EE0" w:rsidRPr="00735740">
        <w:rPr>
          <w:rFonts w:ascii="Garamond" w:hAnsi="Garamond"/>
          <w:color w:val="000000" w:themeColor="text1"/>
          <w:sz w:val="24"/>
          <w:szCs w:val="24"/>
        </w:rPr>
        <w:t xml:space="preserve">help </w:t>
      </w:r>
      <w:r w:rsidR="007F6D64" w:rsidRPr="00735740">
        <w:rPr>
          <w:rFonts w:ascii="Garamond" w:hAnsi="Garamond"/>
          <w:color w:val="000000" w:themeColor="text1"/>
          <w:sz w:val="24"/>
          <w:szCs w:val="24"/>
        </w:rPr>
        <w:t>to rebuild the</w:t>
      </w:r>
      <w:r w:rsidR="00CB3FDE" w:rsidRPr="00735740">
        <w:rPr>
          <w:rFonts w:ascii="Garamond" w:hAnsi="Garamond"/>
          <w:color w:val="000000" w:themeColor="text1"/>
          <w:sz w:val="24"/>
          <w:szCs w:val="24"/>
        </w:rPr>
        <w:t xml:space="preserve"> region</w:t>
      </w:r>
      <w:r w:rsidR="00D0338A" w:rsidRPr="00735740">
        <w:rPr>
          <w:rFonts w:ascii="Garamond" w:hAnsi="Garamond"/>
          <w:color w:val="000000" w:themeColor="text1"/>
          <w:sz w:val="24"/>
          <w:szCs w:val="24"/>
        </w:rPr>
        <w:t>.</w:t>
      </w:r>
      <w:r w:rsidR="00D0338A" w:rsidRPr="00735740">
        <w:rPr>
          <w:rStyle w:val="FootnoteReference"/>
          <w:rFonts w:ascii="Garamond" w:hAnsi="Garamond"/>
          <w:color w:val="000000" w:themeColor="text1"/>
          <w:sz w:val="24"/>
          <w:szCs w:val="24"/>
        </w:rPr>
        <w:footnoteReference w:id="58"/>
      </w:r>
      <w:r w:rsidR="00D0338A" w:rsidRPr="00735740">
        <w:rPr>
          <w:rFonts w:ascii="Garamond" w:hAnsi="Garamond"/>
          <w:color w:val="000000" w:themeColor="text1"/>
          <w:sz w:val="24"/>
          <w:szCs w:val="24"/>
        </w:rPr>
        <w:t xml:space="preserve"> </w:t>
      </w:r>
    </w:p>
    <w:p w14:paraId="1B37585C" w14:textId="2B4FFFE9" w:rsidR="00F55F87" w:rsidRPr="00735740" w:rsidRDefault="00A24F41" w:rsidP="00201640">
      <w:pPr>
        <w:spacing w:line="360" w:lineRule="auto"/>
        <w:rPr>
          <w:rFonts w:ascii="Garamond" w:hAnsi="Garamond"/>
          <w:color w:val="000000" w:themeColor="text1"/>
          <w:sz w:val="24"/>
          <w:szCs w:val="24"/>
        </w:rPr>
      </w:pPr>
      <w:r w:rsidRPr="00735740">
        <w:rPr>
          <w:rFonts w:ascii="Garamond" w:hAnsi="Garamond"/>
          <w:color w:val="000000" w:themeColor="text1"/>
          <w:sz w:val="24"/>
          <w:szCs w:val="24"/>
        </w:rPr>
        <w:t>Whilst t</w:t>
      </w:r>
      <w:r w:rsidR="00652CFB" w:rsidRPr="00735740">
        <w:rPr>
          <w:rFonts w:ascii="Garamond" w:hAnsi="Garamond"/>
          <w:color w:val="000000" w:themeColor="text1"/>
          <w:sz w:val="24"/>
          <w:szCs w:val="24"/>
        </w:rPr>
        <w:t xml:space="preserve">hese </w:t>
      </w:r>
      <w:r w:rsidR="0032576D" w:rsidRPr="00735740">
        <w:rPr>
          <w:rFonts w:ascii="Garamond" w:hAnsi="Garamond"/>
          <w:color w:val="000000" w:themeColor="text1"/>
          <w:sz w:val="24"/>
          <w:szCs w:val="24"/>
        </w:rPr>
        <w:t xml:space="preserve">studies </w:t>
      </w:r>
      <w:r w:rsidR="00331F1B" w:rsidRPr="00735740">
        <w:rPr>
          <w:rFonts w:ascii="Garamond" w:hAnsi="Garamond"/>
          <w:color w:val="000000" w:themeColor="text1"/>
          <w:sz w:val="24"/>
          <w:szCs w:val="24"/>
        </w:rPr>
        <w:t xml:space="preserve">tend to gloss </w:t>
      </w:r>
      <w:r w:rsidR="00232EE0" w:rsidRPr="00735740">
        <w:rPr>
          <w:rFonts w:ascii="Garamond" w:hAnsi="Garamond"/>
          <w:color w:val="000000" w:themeColor="text1"/>
          <w:sz w:val="24"/>
          <w:szCs w:val="24"/>
        </w:rPr>
        <w:t>over</w:t>
      </w:r>
      <w:r w:rsidR="00331F1B" w:rsidRPr="00735740">
        <w:rPr>
          <w:rFonts w:ascii="Garamond" w:hAnsi="Garamond"/>
          <w:color w:val="000000" w:themeColor="text1"/>
          <w:sz w:val="24"/>
          <w:szCs w:val="24"/>
        </w:rPr>
        <w:t xml:space="preserve"> the political nature of archive</w:t>
      </w:r>
      <w:r w:rsidR="00B072E0" w:rsidRPr="00735740">
        <w:rPr>
          <w:rFonts w:ascii="Garamond" w:hAnsi="Garamond"/>
          <w:color w:val="000000" w:themeColor="text1"/>
          <w:sz w:val="24"/>
          <w:szCs w:val="24"/>
        </w:rPr>
        <w:t>s</w:t>
      </w:r>
      <w:r w:rsidR="00050C30" w:rsidRPr="00735740">
        <w:rPr>
          <w:rFonts w:ascii="Garamond" w:hAnsi="Garamond"/>
          <w:color w:val="000000" w:themeColor="text1"/>
          <w:sz w:val="24"/>
          <w:szCs w:val="24"/>
        </w:rPr>
        <w:t xml:space="preserve">, </w:t>
      </w:r>
      <w:r w:rsidR="00652CFB" w:rsidRPr="00735740">
        <w:rPr>
          <w:rFonts w:ascii="Garamond" w:hAnsi="Garamond"/>
          <w:color w:val="000000" w:themeColor="text1"/>
          <w:sz w:val="24"/>
          <w:szCs w:val="24"/>
        </w:rPr>
        <w:t xml:space="preserve">Kirsten Campbell’s </w:t>
      </w:r>
      <w:r w:rsidR="00E91BEC" w:rsidRPr="00735740">
        <w:rPr>
          <w:rFonts w:ascii="Garamond" w:hAnsi="Garamond"/>
          <w:color w:val="000000" w:themeColor="text1"/>
          <w:sz w:val="24"/>
          <w:szCs w:val="24"/>
        </w:rPr>
        <w:t>work</w:t>
      </w:r>
      <w:r w:rsidR="00652CFB" w:rsidRPr="00735740">
        <w:rPr>
          <w:rFonts w:ascii="Garamond" w:hAnsi="Garamond"/>
          <w:color w:val="000000" w:themeColor="text1"/>
          <w:sz w:val="24"/>
          <w:szCs w:val="24"/>
        </w:rPr>
        <w:t xml:space="preserve"> on the ICTY</w:t>
      </w:r>
      <w:r w:rsidR="004032B8" w:rsidRPr="00735740">
        <w:rPr>
          <w:rFonts w:ascii="Garamond" w:hAnsi="Garamond"/>
          <w:color w:val="000000" w:themeColor="text1"/>
          <w:sz w:val="24"/>
          <w:szCs w:val="24"/>
        </w:rPr>
        <w:t xml:space="preserve">’s archive </w:t>
      </w:r>
      <w:r w:rsidR="00050C30" w:rsidRPr="00735740">
        <w:rPr>
          <w:rFonts w:ascii="Garamond" w:hAnsi="Garamond"/>
          <w:color w:val="000000" w:themeColor="text1"/>
          <w:sz w:val="24"/>
          <w:szCs w:val="24"/>
        </w:rPr>
        <w:t xml:space="preserve">begins to </w:t>
      </w:r>
      <w:r w:rsidR="00232EE0" w:rsidRPr="00735740">
        <w:rPr>
          <w:rFonts w:ascii="Garamond" w:hAnsi="Garamond"/>
          <w:color w:val="000000" w:themeColor="text1"/>
          <w:sz w:val="24"/>
          <w:szCs w:val="24"/>
        </w:rPr>
        <w:t>point to</w:t>
      </w:r>
      <w:r w:rsidR="00050C30" w:rsidRPr="00735740">
        <w:rPr>
          <w:rFonts w:ascii="Garamond" w:hAnsi="Garamond"/>
          <w:color w:val="000000" w:themeColor="text1"/>
          <w:sz w:val="24"/>
          <w:szCs w:val="24"/>
        </w:rPr>
        <w:t xml:space="preserve"> this</w:t>
      </w:r>
      <w:r w:rsidR="00F55F87" w:rsidRPr="00735740">
        <w:rPr>
          <w:rFonts w:ascii="Garamond" w:hAnsi="Garamond"/>
          <w:color w:val="000000" w:themeColor="text1"/>
          <w:sz w:val="24"/>
          <w:szCs w:val="24"/>
        </w:rPr>
        <w:t xml:space="preserve">. </w:t>
      </w:r>
      <w:r w:rsidR="00232EE0" w:rsidRPr="00735740">
        <w:rPr>
          <w:rFonts w:ascii="Garamond" w:hAnsi="Garamond"/>
          <w:color w:val="000000" w:themeColor="text1"/>
          <w:sz w:val="24"/>
          <w:szCs w:val="24"/>
        </w:rPr>
        <w:t xml:space="preserve">Campbell highlights several frameworks surrounding the </w:t>
      </w:r>
      <w:r w:rsidR="00F02A2B" w:rsidRPr="00735740">
        <w:rPr>
          <w:rFonts w:ascii="Garamond" w:hAnsi="Garamond"/>
          <w:color w:val="000000" w:themeColor="text1"/>
          <w:sz w:val="24"/>
          <w:szCs w:val="24"/>
        </w:rPr>
        <w:t>tribunal</w:t>
      </w:r>
      <w:r w:rsidR="00232EE0" w:rsidRPr="00735740">
        <w:rPr>
          <w:rFonts w:ascii="Garamond" w:hAnsi="Garamond"/>
          <w:color w:val="000000" w:themeColor="text1"/>
          <w:sz w:val="24"/>
          <w:szCs w:val="24"/>
        </w:rPr>
        <w:t xml:space="preserve"> that </w:t>
      </w:r>
      <w:r w:rsidR="00912678" w:rsidRPr="00735740">
        <w:rPr>
          <w:rFonts w:ascii="Garamond" w:hAnsi="Garamond"/>
          <w:color w:val="000000" w:themeColor="text1"/>
          <w:sz w:val="24"/>
          <w:szCs w:val="24"/>
        </w:rPr>
        <w:t>shaped the archive</w:t>
      </w:r>
      <w:r w:rsidR="00232EE0" w:rsidRPr="00735740">
        <w:rPr>
          <w:rFonts w:ascii="Garamond" w:hAnsi="Garamond"/>
          <w:color w:val="000000" w:themeColor="text1"/>
          <w:sz w:val="24"/>
          <w:szCs w:val="24"/>
        </w:rPr>
        <w:t xml:space="preserve">, including the </w:t>
      </w:r>
      <w:r w:rsidR="00F02A2B" w:rsidRPr="00735740">
        <w:rPr>
          <w:rFonts w:ascii="Garamond" w:hAnsi="Garamond"/>
          <w:color w:val="000000" w:themeColor="text1"/>
          <w:sz w:val="24"/>
          <w:szCs w:val="24"/>
        </w:rPr>
        <w:t>tribunal</w:t>
      </w:r>
      <w:r w:rsidR="00232EE0" w:rsidRPr="00735740">
        <w:rPr>
          <w:rFonts w:ascii="Garamond" w:hAnsi="Garamond"/>
          <w:color w:val="000000" w:themeColor="text1"/>
          <w:sz w:val="24"/>
          <w:szCs w:val="24"/>
        </w:rPr>
        <w:t xml:space="preserve">’s </w:t>
      </w:r>
      <w:r w:rsidR="00490476" w:rsidRPr="00735740">
        <w:rPr>
          <w:rFonts w:ascii="Garamond" w:hAnsi="Garamond"/>
          <w:color w:val="000000" w:themeColor="text1"/>
          <w:sz w:val="24"/>
          <w:szCs w:val="24"/>
        </w:rPr>
        <w:t>mandate to determine a legal judgement</w:t>
      </w:r>
      <w:r w:rsidR="00DF63C1" w:rsidRPr="00735740">
        <w:rPr>
          <w:rFonts w:ascii="Garamond" w:hAnsi="Garamond"/>
          <w:color w:val="000000" w:themeColor="text1"/>
          <w:sz w:val="24"/>
          <w:szCs w:val="24"/>
        </w:rPr>
        <w:t xml:space="preserve">; </w:t>
      </w:r>
      <w:r w:rsidR="00232EE0" w:rsidRPr="00735740">
        <w:rPr>
          <w:rFonts w:ascii="Garamond" w:hAnsi="Garamond"/>
          <w:color w:val="000000" w:themeColor="text1"/>
          <w:sz w:val="24"/>
          <w:szCs w:val="24"/>
        </w:rPr>
        <w:t>its role in representing</w:t>
      </w:r>
      <w:r w:rsidR="00DF63C1" w:rsidRPr="00735740">
        <w:rPr>
          <w:rFonts w:ascii="Garamond" w:hAnsi="Garamond"/>
          <w:color w:val="000000" w:themeColor="text1"/>
          <w:sz w:val="24"/>
          <w:szCs w:val="24"/>
        </w:rPr>
        <w:t xml:space="preserve"> the international community’s norms; </w:t>
      </w:r>
      <w:r w:rsidR="00490476" w:rsidRPr="00735740">
        <w:rPr>
          <w:rFonts w:ascii="Garamond" w:hAnsi="Garamond"/>
          <w:color w:val="000000" w:themeColor="text1"/>
          <w:sz w:val="24"/>
          <w:szCs w:val="24"/>
        </w:rPr>
        <w:t xml:space="preserve">and </w:t>
      </w:r>
      <w:r w:rsidR="00232EE0" w:rsidRPr="00735740">
        <w:rPr>
          <w:rFonts w:ascii="Garamond" w:hAnsi="Garamond"/>
          <w:color w:val="000000" w:themeColor="text1"/>
          <w:sz w:val="24"/>
          <w:szCs w:val="24"/>
        </w:rPr>
        <w:t xml:space="preserve">its contribution to </w:t>
      </w:r>
      <w:r w:rsidR="00DF63C1" w:rsidRPr="00735740">
        <w:rPr>
          <w:rFonts w:ascii="Garamond" w:hAnsi="Garamond"/>
          <w:color w:val="000000" w:themeColor="text1"/>
          <w:sz w:val="24"/>
          <w:szCs w:val="24"/>
        </w:rPr>
        <w:t>the Western Balkans</w:t>
      </w:r>
      <w:r w:rsidR="00F07B80" w:rsidRPr="00735740">
        <w:rPr>
          <w:rFonts w:ascii="Garamond" w:hAnsi="Garamond"/>
          <w:color w:val="000000" w:themeColor="text1"/>
          <w:sz w:val="24"/>
          <w:szCs w:val="24"/>
        </w:rPr>
        <w:t>’</w:t>
      </w:r>
      <w:r w:rsidR="00DF63C1" w:rsidRPr="00735740">
        <w:rPr>
          <w:rFonts w:ascii="Garamond" w:hAnsi="Garamond"/>
          <w:color w:val="000000" w:themeColor="text1"/>
          <w:sz w:val="24"/>
          <w:szCs w:val="24"/>
        </w:rPr>
        <w:t xml:space="preserve"> transition </w:t>
      </w:r>
      <w:r w:rsidR="00F07B80" w:rsidRPr="00735740">
        <w:rPr>
          <w:rFonts w:ascii="Garamond" w:hAnsi="Garamond"/>
          <w:color w:val="000000" w:themeColor="text1"/>
          <w:sz w:val="24"/>
          <w:szCs w:val="24"/>
        </w:rPr>
        <w:t xml:space="preserve">to </w:t>
      </w:r>
      <w:r w:rsidR="00DF63C1" w:rsidRPr="00735740">
        <w:rPr>
          <w:rFonts w:ascii="Garamond" w:hAnsi="Garamond"/>
          <w:color w:val="000000" w:themeColor="text1"/>
          <w:sz w:val="24"/>
          <w:szCs w:val="24"/>
        </w:rPr>
        <w:t>peace</w:t>
      </w:r>
      <w:r w:rsidR="00232EE0" w:rsidRPr="00735740">
        <w:rPr>
          <w:rFonts w:ascii="Garamond" w:hAnsi="Garamond"/>
          <w:color w:val="000000" w:themeColor="text1"/>
          <w:sz w:val="24"/>
          <w:szCs w:val="24"/>
        </w:rPr>
        <w:t xml:space="preserve">. As such, </w:t>
      </w:r>
      <w:r w:rsidR="00F55F87" w:rsidRPr="00735740">
        <w:rPr>
          <w:rFonts w:ascii="Garamond" w:hAnsi="Garamond"/>
          <w:color w:val="000000" w:themeColor="text1"/>
          <w:sz w:val="24"/>
          <w:szCs w:val="24"/>
        </w:rPr>
        <w:t>Campbell</w:t>
      </w:r>
      <w:r w:rsidR="00232EE0" w:rsidRPr="00735740">
        <w:rPr>
          <w:rFonts w:ascii="Garamond" w:hAnsi="Garamond"/>
          <w:color w:val="000000" w:themeColor="text1"/>
          <w:sz w:val="24"/>
          <w:szCs w:val="24"/>
        </w:rPr>
        <w:t xml:space="preserve"> shows how </w:t>
      </w:r>
      <w:r w:rsidR="00490476" w:rsidRPr="00735740">
        <w:rPr>
          <w:rFonts w:ascii="Garamond" w:hAnsi="Garamond"/>
          <w:color w:val="000000" w:themeColor="text1"/>
          <w:sz w:val="24"/>
          <w:szCs w:val="24"/>
        </w:rPr>
        <w:t xml:space="preserve">the archive’s records, and hence the memory of the violence, is </w:t>
      </w:r>
      <w:r w:rsidR="00490476" w:rsidRPr="00735740">
        <w:rPr>
          <w:rFonts w:ascii="Garamond" w:hAnsi="Garamond"/>
          <w:i/>
          <w:color w:val="000000" w:themeColor="text1"/>
          <w:sz w:val="24"/>
          <w:szCs w:val="24"/>
        </w:rPr>
        <w:t xml:space="preserve">constructed </w:t>
      </w:r>
      <w:r w:rsidR="00490476" w:rsidRPr="00735740">
        <w:rPr>
          <w:rFonts w:ascii="Garamond" w:hAnsi="Garamond"/>
          <w:color w:val="000000" w:themeColor="text1"/>
          <w:sz w:val="24"/>
          <w:szCs w:val="24"/>
        </w:rPr>
        <w:t>rather than found</w:t>
      </w:r>
      <w:r w:rsidR="00232EE0" w:rsidRPr="00735740">
        <w:rPr>
          <w:rFonts w:ascii="Garamond" w:hAnsi="Garamond"/>
          <w:color w:val="000000" w:themeColor="text1"/>
          <w:sz w:val="24"/>
          <w:szCs w:val="24"/>
        </w:rPr>
        <w:t xml:space="preserve"> and </w:t>
      </w:r>
      <w:r w:rsidR="00210AB7" w:rsidRPr="00735740">
        <w:rPr>
          <w:rFonts w:ascii="Garamond" w:hAnsi="Garamond"/>
          <w:color w:val="000000" w:themeColor="text1"/>
          <w:sz w:val="24"/>
          <w:szCs w:val="24"/>
        </w:rPr>
        <w:t xml:space="preserve">can </w:t>
      </w:r>
      <w:r w:rsidR="00B74077" w:rsidRPr="00735740">
        <w:rPr>
          <w:rFonts w:ascii="Garamond" w:hAnsi="Garamond"/>
          <w:color w:val="000000" w:themeColor="text1"/>
          <w:sz w:val="24"/>
          <w:szCs w:val="24"/>
        </w:rPr>
        <w:t>therefore</w:t>
      </w:r>
      <w:r w:rsidR="00232EE0" w:rsidRPr="00735740">
        <w:rPr>
          <w:rFonts w:ascii="Garamond" w:hAnsi="Garamond"/>
          <w:color w:val="000000" w:themeColor="text1"/>
          <w:sz w:val="24"/>
          <w:szCs w:val="24"/>
        </w:rPr>
        <w:t xml:space="preserve"> </w:t>
      </w:r>
      <w:r w:rsidR="00210AB7" w:rsidRPr="00735740">
        <w:rPr>
          <w:rFonts w:ascii="Garamond" w:hAnsi="Garamond"/>
          <w:color w:val="000000" w:themeColor="text1"/>
          <w:sz w:val="24"/>
          <w:szCs w:val="24"/>
        </w:rPr>
        <w:t xml:space="preserve">be seen as </w:t>
      </w:r>
      <w:r w:rsidR="00B74077" w:rsidRPr="00735740">
        <w:rPr>
          <w:rFonts w:ascii="Garamond" w:hAnsi="Garamond"/>
          <w:color w:val="000000" w:themeColor="text1"/>
          <w:sz w:val="24"/>
          <w:szCs w:val="24"/>
        </w:rPr>
        <w:t>politically charged</w:t>
      </w:r>
      <w:r w:rsidR="00490476" w:rsidRPr="00735740">
        <w:rPr>
          <w:rFonts w:ascii="Garamond" w:hAnsi="Garamond"/>
          <w:color w:val="000000" w:themeColor="text1"/>
          <w:sz w:val="24"/>
          <w:szCs w:val="24"/>
        </w:rPr>
        <w:t>.</w:t>
      </w:r>
      <w:r w:rsidR="00DF63C1" w:rsidRPr="00735740">
        <w:rPr>
          <w:rStyle w:val="FootnoteReference"/>
          <w:rFonts w:ascii="Garamond" w:hAnsi="Garamond"/>
          <w:color w:val="000000" w:themeColor="text1"/>
          <w:sz w:val="24"/>
          <w:szCs w:val="24"/>
        </w:rPr>
        <w:footnoteReference w:id="59"/>
      </w:r>
      <w:r w:rsidR="005F16A8" w:rsidRPr="00735740">
        <w:rPr>
          <w:rFonts w:ascii="Garamond" w:hAnsi="Garamond"/>
          <w:color w:val="000000" w:themeColor="text1"/>
          <w:sz w:val="24"/>
          <w:szCs w:val="24"/>
        </w:rPr>
        <w:t xml:space="preserve"> </w:t>
      </w:r>
    </w:p>
    <w:p w14:paraId="017281EB" w14:textId="5C774399" w:rsidR="00652CFB" w:rsidRPr="00735740" w:rsidRDefault="00F55F87" w:rsidP="00201640">
      <w:pPr>
        <w:spacing w:line="360" w:lineRule="auto"/>
        <w:rPr>
          <w:rFonts w:ascii="Garamond" w:hAnsi="Garamond"/>
          <w:color w:val="000000" w:themeColor="text1"/>
          <w:sz w:val="24"/>
          <w:szCs w:val="24"/>
        </w:rPr>
      </w:pPr>
      <w:r w:rsidRPr="00735740">
        <w:rPr>
          <w:rFonts w:ascii="Garamond" w:hAnsi="Garamond"/>
          <w:color w:val="000000" w:themeColor="text1"/>
          <w:sz w:val="24"/>
          <w:szCs w:val="24"/>
        </w:rPr>
        <w:t xml:space="preserve">The </w:t>
      </w:r>
      <w:r w:rsidR="00490476" w:rsidRPr="00735740">
        <w:rPr>
          <w:rFonts w:ascii="Garamond" w:hAnsi="Garamond"/>
          <w:color w:val="000000" w:themeColor="text1"/>
          <w:sz w:val="24"/>
          <w:szCs w:val="24"/>
        </w:rPr>
        <w:t xml:space="preserve">following </w:t>
      </w:r>
      <w:r w:rsidR="00056A41" w:rsidRPr="00735740">
        <w:rPr>
          <w:rFonts w:ascii="Garamond" w:hAnsi="Garamond"/>
          <w:color w:val="000000" w:themeColor="text1"/>
          <w:sz w:val="24"/>
          <w:szCs w:val="24"/>
        </w:rPr>
        <w:t>reading of the ICTR’s archive</w:t>
      </w:r>
      <w:r w:rsidR="005F16A8" w:rsidRPr="00735740">
        <w:rPr>
          <w:rFonts w:ascii="Garamond" w:hAnsi="Garamond"/>
          <w:color w:val="000000" w:themeColor="text1"/>
          <w:sz w:val="24"/>
          <w:szCs w:val="24"/>
        </w:rPr>
        <w:t xml:space="preserve"> build</w:t>
      </w:r>
      <w:r w:rsidR="0032576D" w:rsidRPr="00735740">
        <w:rPr>
          <w:rFonts w:ascii="Garamond" w:hAnsi="Garamond"/>
          <w:color w:val="000000" w:themeColor="text1"/>
          <w:sz w:val="24"/>
          <w:szCs w:val="24"/>
        </w:rPr>
        <w:t>s</w:t>
      </w:r>
      <w:r w:rsidR="005F16A8" w:rsidRPr="00735740">
        <w:rPr>
          <w:rFonts w:ascii="Garamond" w:hAnsi="Garamond"/>
          <w:color w:val="000000" w:themeColor="text1"/>
          <w:sz w:val="24"/>
          <w:szCs w:val="24"/>
        </w:rPr>
        <w:t xml:space="preserve"> on </w:t>
      </w:r>
      <w:r w:rsidR="0032576D" w:rsidRPr="00735740">
        <w:rPr>
          <w:rFonts w:ascii="Garamond" w:hAnsi="Garamond"/>
          <w:color w:val="000000" w:themeColor="text1"/>
          <w:sz w:val="24"/>
          <w:szCs w:val="24"/>
        </w:rPr>
        <w:t>Campbel</w:t>
      </w:r>
      <w:r w:rsidR="00F07B80" w:rsidRPr="00735740">
        <w:rPr>
          <w:rFonts w:ascii="Garamond" w:hAnsi="Garamond"/>
          <w:color w:val="000000" w:themeColor="text1"/>
          <w:sz w:val="24"/>
          <w:szCs w:val="24"/>
        </w:rPr>
        <w:t>l</w:t>
      </w:r>
      <w:r w:rsidR="0032576D" w:rsidRPr="00735740">
        <w:rPr>
          <w:rFonts w:ascii="Garamond" w:hAnsi="Garamond"/>
          <w:color w:val="000000" w:themeColor="text1"/>
          <w:sz w:val="24"/>
          <w:szCs w:val="24"/>
        </w:rPr>
        <w:t xml:space="preserve">’s </w:t>
      </w:r>
      <w:r w:rsidR="004032B8" w:rsidRPr="00735740">
        <w:rPr>
          <w:rFonts w:ascii="Garamond" w:hAnsi="Garamond"/>
          <w:color w:val="000000" w:themeColor="text1"/>
          <w:sz w:val="24"/>
          <w:szCs w:val="24"/>
        </w:rPr>
        <w:t>analysis</w:t>
      </w:r>
      <w:r w:rsidR="005F16A8" w:rsidRPr="00735740">
        <w:rPr>
          <w:rFonts w:ascii="Garamond" w:hAnsi="Garamond"/>
          <w:color w:val="000000" w:themeColor="text1"/>
          <w:sz w:val="24"/>
          <w:szCs w:val="24"/>
        </w:rPr>
        <w:t xml:space="preserve">. </w:t>
      </w:r>
      <w:r w:rsidR="00490476" w:rsidRPr="00735740">
        <w:rPr>
          <w:rFonts w:ascii="Garamond" w:hAnsi="Garamond"/>
          <w:color w:val="000000" w:themeColor="text1"/>
          <w:sz w:val="24"/>
          <w:szCs w:val="24"/>
        </w:rPr>
        <w:t xml:space="preserve">First, </w:t>
      </w:r>
      <w:r w:rsidR="004032B8" w:rsidRPr="00735740">
        <w:rPr>
          <w:rFonts w:ascii="Garamond" w:hAnsi="Garamond"/>
          <w:color w:val="000000" w:themeColor="text1"/>
          <w:sz w:val="24"/>
          <w:szCs w:val="24"/>
        </w:rPr>
        <w:t>rather than seeing the structures that existed around the archive as inevitably producing particular records, the article presents a more detailed exploration of how records are produced, which, following Stoler, draws greater attention to who</w:t>
      </w:r>
      <w:r w:rsidR="004032B8" w:rsidRPr="00735740">
        <w:rPr>
          <w:rFonts w:ascii="Garamond" w:hAnsi="Garamond"/>
          <w:i/>
          <w:color w:val="000000" w:themeColor="text1"/>
          <w:sz w:val="24"/>
          <w:szCs w:val="24"/>
        </w:rPr>
        <w:t xml:space="preserve"> </w:t>
      </w:r>
      <w:r w:rsidR="004032B8" w:rsidRPr="00735740">
        <w:rPr>
          <w:rFonts w:ascii="Garamond" w:hAnsi="Garamond"/>
          <w:color w:val="000000" w:themeColor="text1"/>
          <w:sz w:val="24"/>
          <w:szCs w:val="24"/>
        </w:rPr>
        <w:t>has the right to construct the archive.</w:t>
      </w:r>
      <w:r w:rsidR="004032B8" w:rsidRPr="00735740">
        <w:rPr>
          <w:rStyle w:val="FootnoteReference"/>
          <w:rFonts w:ascii="Garamond" w:hAnsi="Garamond"/>
          <w:color w:val="000000" w:themeColor="text1"/>
          <w:sz w:val="24"/>
          <w:szCs w:val="24"/>
        </w:rPr>
        <w:footnoteReference w:id="60"/>
      </w:r>
      <w:r w:rsidR="004032B8" w:rsidRPr="00735740">
        <w:rPr>
          <w:rFonts w:ascii="Garamond" w:hAnsi="Garamond"/>
          <w:color w:val="000000" w:themeColor="text1"/>
          <w:sz w:val="24"/>
          <w:szCs w:val="24"/>
        </w:rPr>
        <w:t xml:space="preserve"> </w:t>
      </w:r>
      <w:r w:rsidR="00B9752D" w:rsidRPr="00735740">
        <w:rPr>
          <w:rFonts w:ascii="Garamond" w:hAnsi="Garamond"/>
          <w:color w:val="000000" w:themeColor="text1"/>
          <w:sz w:val="24"/>
          <w:szCs w:val="24"/>
        </w:rPr>
        <w:t>In the context of the ICTR’s archive</w:t>
      </w:r>
      <w:r w:rsidR="00642138" w:rsidRPr="00735740">
        <w:rPr>
          <w:rFonts w:ascii="Garamond" w:hAnsi="Garamond"/>
          <w:color w:val="000000" w:themeColor="text1"/>
          <w:sz w:val="24"/>
          <w:szCs w:val="24"/>
        </w:rPr>
        <w:t xml:space="preserve">, </w:t>
      </w:r>
      <w:r w:rsidR="00B9752D" w:rsidRPr="00735740">
        <w:rPr>
          <w:rFonts w:ascii="Garamond" w:hAnsi="Garamond"/>
          <w:color w:val="000000" w:themeColor="text1"/>
          <w:sz w:val="24"/>
          <w:szCs w:val="24"/>
        </w:rPr>
        <w:t xml:space="preserve">which was </w:t>
      </w:r>
      <w:r w:rsidR="00C51698" w:rsidRPr="00735740">
        <w:rPr>
          <w:rFonts w:ascii="Garamond" w:hAnsi="Garamond"/>
          <w:color w:val="000000" w:themeColor="text1"/>
          <w:sz w:val="24"/>
          <w:szCs w:val="24"/>
        </w:rPr>
        <w:t>primarily</w:t>
      </w:r>
      <w:r w:rsidR="00B9752D" w:rsidRPr="00735740">
        <w:rPr>
          <w:rFonts w:ascii="Garamond" w:hAnsi="Garamond"/>
          <w:color w:val="000000" w:themeColor="text1"/>
          <w:sz w:val="24"/>
          <w:szCs w:val="24"/>
        </w:rPr>
        <w:t xml:space="preserve"> constructed </w:t>
      </w:r>
      <w:r w:rsidR="00C51698" w:rsidRPr="00735740">
        <w:rPr>
          <w:rFonts w:ascii="Garamond" w:hAnsi="Garamond"/>
          <w:color w:val="000000" w:themeColor="text1"/>
          <w:sz w:val="24"/>
          <w:szCs w:val="24"/>
        </w:rPr>
        <w:t>through</w:t>
      </w:r>
      <w:r w:rsidR="00B9752D" w:rsidRPr="00735740">
        <w:rPr>
          <w:rFonts w:ascii="Garamond" w:hAnsi="Garamond"/>
          <w:color w:val="000000" w:themeColor="text1"/>
          <w:sz w:val="24"/>
          <w:szCs w:val="24"/>
        </w:rPr>
        <w:t xml:space="preserve"> witness testimony, </w:t>
      </w:r>
      <w:r w:rsidR="00C51698" w:rsidRPr="00735740">
        <w:rPr>
          <w:rFonts w:ascii="Garamond" w:hAnsi="Garamond"/>
          <w:color w:val="000000" w:themeColor="text1"/>
          <w:sz w:val="24"/>
          <w:szCs w:val="24"/>
        </w:rPr>
        <w:t>the analysis</w:t>
      </w:r>
      <w:r w:rsidR="00B9752D" w:rsidRPr="00735740">
        <w:rPr>
          <w:rFonts w:ascii="Garamond" w:hAnsi="Garamond"/>
          <w:color w:val="000000" w:themeColor="text1"/>
          <w:sz w:val="24"/>
          <w:szCs w:val="24"/>
        </w:rPr>
        <w:t xml:space="preserve"> brings to light how </w:t>
      </w:r>
      <w:r w:rsidR="00642138" w:rsidRPr="00735740">
        <w:rPr>
          <w:rFonts w:ascii="Garamond" w:hAnsi="Garamond"/>
          <w:color w:val="000000" w:themeColor="text1"/>
          <w:sz w:val="24"/>
          <w:szCs w:val="24"/>
        </w:rPr>
        <w:t>witness</w:t>
      </w:r>
      <w:r w:rsidR="00B9752D" w:rsidRPr="00735740">
        <w:rPr>
          <w:rFonts w:ascii="Garamond" w:hAnsi="Garamond"/>
          <w:color w:val="000000" w:themeColor="text1"/>
          <w:sz w:val="24"/>
          <w:szCs w:val="24"/>
        </w:rPr>
        <w:t xml:space="preserve"> testimonies were marshalled to </w:t>
      </w:r>
      <w:r w:rsidR="00137C54" w:rsidRPr="00735740">
        <w:rPr>
          <w:rFonts w:ascii="Garamond" w:hAnsi="Garamond"/>
          <w:color w:val="000000" w:themeColor="text1"/>
          <w:sz w:val="24"/>
          <w:szCs w:val="24"/>
        </w:rPr>
        <w:t>conform</w:t>
      </w:r>
      <w:r w:rsidR="00B9752D" w:rsidRPr="00735740">
        <w:rPr>
          <w:rFonts w:ascii="Garamond" w:hAnsi="Garamond"/>
          <w:color w:val="000000" w:themeColor="text1"/>
          <w:sz w:val="24"/>
          <w:szCs w:val="24"/>
        </w:rPr>
        <w:t xml:space="preserve"> with the archive</w:t>
      </w:r>
      <w:r w:rsidR="00642138" w:rsidRPr="00735740">
        <w:rPr>
          <w:rFonts w:ascii="Garamond" w:hAnsi="Garamond"/>
          <w:color w:val="000000" w:themeColor="text1"/>
          <w:sz w:val="24"/>
          <w:szCs w:val="24"/>
        </w:rPr>
        <w:t>’</w:t>
      </w:r>
      <w:r w:rsidR="00B9752D" w:rsidRPr="00735740">
        <w:rPr>
          <w:rFonts w:ascii="Garamond" w:hAnsi="Garamond"/>
          <w:color w:val="000000" w:themeColor="text1"/>
          <w:sz w:val="24"/>
          <w:szCs w:val="24"/>
        </w:rPr>
        <w:t>s rules.</w:t>
      </w:r>
      <w:r w:rsidR="00B9752D" w:rsidRPr="00735740">
        <w:rPr>
          <w:rStyle w:val="FootnoteReference"/>
          <w:rFonts w:ascii="Garamond" w:hAnsi="Garamond"/>
          <w:color w:val="000000" w:themeColor="text1"/>
          <w:sz w:val="24"/>
          <w:szCs w:val="24"/>
        </w:rPr>
        <w:footnoteReference w:id="61"/>
      </w:r>
      <w:r w:rsidR="00B9752D" w:rsidRPr="00735740">
        <w:rPr>
          <w:rFonts w:ascii="Garamond" w:hAnsi="Garamond"/>
          <w:color w:val="000000" w:themeColor="text1"/>
          <w:sz w:val="24"/>
          <w:szCs w:val="24"/>
        </w:rPr>
        <w:t xml:space="preserve"> </w:t>
      </w:r>
      <w:r w:rsidR="004032B8" w:rsidRPr="00735740">
        <w:rPr>
          <w:rFonts w:ascii="Garamond" w:hAnsi="Garamond"/>
          <w:color w:val="000000" w:themeColor="text1"/>
          <w:sz w:val="24"/>
          <w:szCs w:val="24"/>
        </w:rPr>
        <w:t xml:space="preserve">This also brings greater </w:t>
      </w:r>
      <w:r w:rsidR="00F02A2B" w:rsidRPr="00735740">
        <w:rPr>
          <w:rFonts w:ascii="Garamond" w:hAnsi="Garamond"/>
          <w:color w:val="000000" w:themeColor="text1"/>
          <w:sz w:val="24"/>
          <w:szCs w:val="24"/>
        </w:rPr>
        <w:t>focus</w:t>
      </w:r>
      <w:r w:rsidR="004032B8" w:rsidRPr="00735740">
        <w:rPr>
          <w:rFonts w:ascii="Garamond" w:hAnsi="Garamond"/>
          <w:color w:val="000000" w:themeColor="text1"/>
          <w:sz w:val="24"/>
          <w:szCs w:val="24"/>
        </w:rPr>
        <w:t xml:space="preserve"> to how these processes are contested. Whilst, it examines how the </w:t>
      </w:r>
      <w:r w:rsidR="004032B8" w:rsidRPr="00735740">
        <w:rPr>
          <w:rFonts w:ascii="Garamond" w:hAnsi="Garamond"/>
          <w:color w:val="000000" w:themeColor="text1"/>
          <w:sz w:val="24"/>
          <w:szCs w:val="24"/>
        </w:rPr>
        <w:lastRenderedPageBreak/>
        <w:t xml:space="preserve">archive contributes to what Huysmans and Joao Pontes Nogueira refer to as ‘boundary making’, it also looks at practices that might </w:t>
      </w:r>
      <w:r w:rsidR="004032B8" w:rsidRPr="00735740">
        <w:rPr>
          <w:rFonts w:ascii="Garamond" w:hAnsi="Garamond"/>
          <w:i/>
          <w:color w:val="000000" w:themeColor="text1"/>
          <w:sz w:val="24"/>
          <w:szCs w:val="24"/>
        </w:rPr>
        <w:t>fracture</w:t>
      </w:r>
      <w:r w:rsidR="004032B8" w:rsidRPr="00735740">
        <w:rPr>
          <w:rFonts w:ascii="Garamond" w:hAnsi="Garamond"/>
          <w:color w:val="000000" w:themeColor="text1"/>
          <w:sz w:val="24"/>
          <w:szCs w:val="24"/>
        </w:rPr>
        <w:t xml:space="preserve"> or disrupt these boundaries</w:t>
      </w:r>
      <w:r w:rsidR="00C51698" w:rsidRPr="00735740">
        <w:rPr>
          <w:rFonts w:ascii="Garamond" w:hAnsi="Garamond"/>
          <w:color w:val="000000" w:themeColor="text1"/>
          <w:sz w:val="24"/>
          <w:szCs w:val="24"/>
        </w:rPr>
        <w:t>, or limits</w:t>
      </w:r>
      <w:r w:rsidR="004032B8" w:rsidRPr="00735740">
        <w:rPr>
          <w:rFonts w:ascii="Garamond" w:hAnsi="Garamond"/>
          <w:color w:val="000000" w:themeColor="text1"/>
          <w:sz w:val="24"/>
          <w:szCs w:val="24"/>
        </w:rPr>
        <w:t>.</w:t>
      </w:r>
      <w:r w:rsidR="004032B8" w:rsidRPr="00735740">
        <w:rPr>
          <w:rStyle w:val="FootnoteReference"/>
          <w:rFonts w:ascii="Garamond" w:hAnsi="Garamond"/>
          <w:color w:val="000000" w:themeColor="text1"/>
          <w:sz w:val="24"/>
          <w:szCs w:val="24"/>
        </w:rPr>
        <w:footnoteReference w:id="62"/>
      </w:r>
      <w:r w:rsidR="004032B8" w:rsidRPr="00735740">
        <w:rPr>
          <w:rFonts w:ascii="Garamond" w:hAnsi="Garamond"/>
          <w:color w:val="000000" w:themeColor="text1"/>
          <w:sz w:val="24"/>
          <w:szCs w:val="24"/>
        </w:rPr>
        <w:t xml:space="preserve"> Second, </w:t>
      </w:r>
      <w:r w:rsidR="00CB3FDE" w:rsidRPr="00735740">
        <w:rPr>
          <w:rFonts w:ascii="Garamond" w:hAnsi="Garamond"/>
          <w:color w:val="000000" w:themeColor="text1"/>
          <w:sz w:val="24"/>
          <w:szCs w:val="24"/>
        </w:rPr>
        <w:t>w</w:t>
      </w:r>
      <w:r w:rsidR="005B27DF" w:rsidRPr="00735740">
        <w:rPr>
          <w:rFonts w:ascii="Garamond" w:hAnsi="Garamond"/>
          <w:color w:val="000000" w:themeColor="text1"/>
          <w:sz w:val="24"/>
          <w:szCs w:val="24"/>
        </w:rPr>
        <w:t>hilst Campbell</w:t>
      </w:r>
      <w:r w:rsidR="00CB3FDE" w:rsidRPr="00735740">
        <w:rPr>
          <w:rFonts w:ascii="Garamond" w:hAnsi="Garamond"/>
          <w:color w:val="000000" w:themeColor="text1"/>
          <w:sz w:val="24"/>
          <w:szCs w:val="24"/>
        </w:rPr>
        <w:t xml:space="preserve"> </w:t>
      </w:r>
      <w:r w:rsidR="005B27DF" w:rsidRPr="00735740">
        <w:rPr>
          <w:rFonts w:ascii="Garamond" w:hAnsi="Garamond"/>
          <w:color w:val="000000" w:themeColor="text1"/>
          <w:sz w:val="24"/>
          <w:szCs w:val="24"/>
        </w:rPr>
        <w:t>points to the archive as a site of norm project</w:t>
      </w:r>
      <w:r w:rsidR="00CB3FDE" w:rsidRPr="00735740">
        <w:rPr>
          <w:rFonts w:ascii="Garamond" w:hAnsi="Garamond"/>
          <w:color w:val="000000" w:themeColor="text1"/>
          <w:sz w:val="24"/>
          <w:szCs w:val="24"/>
        </w:rPr>
        <w:t>ion</w:t>
      </w:r>
      <w:r w:rsidR="005B27DF" w:rsidRPr="00735740">
        <w:rPr>
          <w:rFonts w:ascii="Garamond" w:hAnsi="Garamond"/>
          <w:color w:val="000000" w:themeColor="text1"/>
          <w:sz w:val="24"/>
          <w:szCs w:val="24"/>
        </w:rPr>
        <w:t xml:space="preserve">, in ascertaining the </w:t>
      </w:r>
      <w:r w:rsidR="00ED4A89" w:rsidRPr="00735740">
        <w:rPr>
          <w:rFonts w:ascii="Garamond" w:hAnsi="Garamond"/>
          <w:color w:val="000000" w:themeColor="text1"/>
          <w:sz w:val="24"/>
          <w:szCs w:val="24"/>
        </w:rPr>
        <w:t>archive’s rules</w:t>
      </w:r>
      <w:r w:rsidR="005B27DF" w:rsidRPr="00735740">
        <w:rPr>
          <w:rFonts w:ascii="Garamond" w:hAnsi="Garamond"/>
          <w:color w:val="000000" w:themeColor="text1"/>
          <w:sz w:val="24"/>
          <w:szCs w:val="24"/>
        </w:rPr>
        <w:t xml:space="preserve">, this analysis offers a more detailed reading of what these rules and norms </w:t>
      </w:r>
      <w:r w:rsidR="00ED4A89" w:rsidRPr="00735740">
        <w:rPr>
          <w:rFonts w:ascii="Garamond" w:hAnsi="Garamond"/>
          <w:color w:val="000000" w:themeColor="text1"/>
          <w:sz w:val="24"/>
          <w:szCs w:val="24"/>
        </w:rPr>
        <w:t>are</w:t>
      </w:r>
      <w:r w:rsidR="00CB3FDE" w:rsidRPr="00735740">
        <w:rPr>
          <w:rFonts w:ascii="Garamond" w:hAnsi="Garamond"/>
          <w:color w:val="000000" w:themeColor="text1"/>
          <w:sz w:val="24"/>
          <w:szCs w:val="24"/>
        </w:rPr>
        <w:t xml:space="preserve"> and how these relate to particular notions of community</w:t>
      </w:r>
      <w:r w:rsidR="005F16A8" w:rsidRPr="00735740">
        <w:rPr>
          <w:rFonts w:ascii="Garamond" w:hAnsi="Garamond"/>
          <w:color w:val="000000" w:themeColor="text1"/>
          <w:sz w:val="24"/>
          <w:szCs w:val="24"/>
        </w:rPr>
        <w:t>.</w:t>
      </w:r>
      <w:r w:rsidR="004032B8" w:rsidRPr="00735740">
        <w:rPr>
          <w:rFonts w:ascii="Garamond" w:hAnsi="Garamond"/>
          <w:color w:val="000000" w:themeColor="text1"/>
          <w:sz w:val="24"/>
          <w:szCs w:val="24"/>
        </w:rPr>
        <w:t xml:space="preserve"> </w:t>
      </w:r>
      <w:r w:rsidR="005F16A8" w:rsidRPr="00735740">
        <w:rPr>
          <w:rFonts w:ascii="Garamond" w:hAnsi="Garamond"/>
          <w:color w:val="000000" w:themeColor="text1"/>
          <w:sz w:val="24"/>
          <w:szCs w:val="24"/>
        </w:rPr>
        <w:t xml:space="preserve">Finally, </w:t>
      </w:r>
      <w:r w:rsidRPr="00735740">
        <w:rPr>
          <w:rFonts w:ascii="Garamond" w:hAnsi="Garamond"/>
          <w:color w:val="000000" w:themeColor="text1"/>
          <w:sz w:val="24"/>
          <w:szCs w:val="24"/>
        </w:rPr>
        <w:t>the approach adopted</w:t>
      </w:r>
      <w:r w:rsidR="005F16A8" w:rsidRPr="00735740">
        <w:rPr>
          <w:rFonts w:ascii="Garamond" w:hAnsi="Garamond"/>
          <w:color w:val="000000" w:themeColor="text1"/>
          <w:sz w:val="24"/>
          <w:szCs w:val="24"/>
        </w:rPr>
        <w:t xml:space="preserve"> leads to a deeper exploration of the very contents of the archive, </w:t>
      </w:r>
      <w:r w:rsidR="00490476" w:rsidRPr="00735740">
        <w:rPr>
          <w:rFonts w:ascii="Garamond" w:hAnsi="Garamond"/>
          <w:color w:val="000000" w:themeColor="text1"/>
          <w:sz w:val="24"/>
          <w:szCs w:val="24"/>
        </w:rPr>
        <w:t>and determines which</w:t>
      </w:r>
      <w:r w:rsidR="005F16A8" w:rsidRPr="00735740">
        <w:rPr>
          <w:rFonts w:ascii="Garamond" w:hAnsi="Garamond"/>
          <w:color w:val="000000" w:themeColor="text1"/>
          <w:sz w:val="24"/>
          <w:szCs w:val="24"/>
        </w:rPr>
        <w:t xml:space="preserve"> material traces of the </w:t>
      </w:r>
      <w:r w:rsidR="00F02A2B" w:rsidRPr="00735740">
        <w:rPr>
          <w:rFonts w:ascii="Garamond" w:hAnsi="Garamond"/>
          <w:color w:val="000000" w:themeColor="text1"/>
          <w:sz w:val="24"/>
          <w:szCs w:val="24"/>
        </w:rPr>
        <w:t>tribunal’</w:t>
      </w:r>
      <w:r w:rsidR="005F16A8" w:rsidRPr="00735740">
        <w:rPr>
          <w:rFonts w:ascii="Garamond" w:hAnsi="Garamond"/>
          <w:color w:val="000000" w:themeColor="text1"/>
          <w:sz w:val="24"/>
          <w:szCs w:val="24"/>
        </w:rPr>
        <w:t>s existence and the genocide</w:t>
      </w:r>
      <w:r w:rsidR="0032576D" w:rsidRPr="00735740">
        <w:rPr>
          <w:rFonts w:ascii="Garamond" w:hAnsi="Garamond"/>
          <w:color w:val="000000" w:themeColor="text1"/>
          <w:sz w:val="24"/>
          <w:szCs w:val="24"/>
        </w:rPr>
        <w:t xml:space="preserve"> </w:t>
      </w:r>
      <w:r w:rsidR="005F16A8" w:rsidRPr="00735740">
        <w:rPr>
          <w:rFonts w:ascii="Garamond" w:hAnsi="Garamond"/>
          <w:color w:val="000000" w:themeColor="text1"/>
          <w:sz w:val="24"/>
          <w:szCs w:val="24"/>
        </w:rPr>
        <w:t xml:space="preserve">have been deemed worthy of protection and </w:t>
      </w:r>
      <w:r w:rsidRPr="00735740">
        <w:rPr>
          <w:rFonts w:ascii="Garamond" w:hAnsi="Garamond"/>
          <w:color w:val="000000" w:themeColor="text1"/>
          <w:sz w:val="24"/>
          <w:szCs w:val="24"/>
        </w:rPr>
        <w:t>preservation</w:t>
      </w:r>
      <w:r w:rsidR="005F16A8" w:rsidRPr="00735740">
        <w:rPr>
          <w:rFonts w:ascii="Garamond" w:hAnsi="Garamond"/>
          <w:color w:val="000000" w:themeColor="text1"/>
          <w:sz w:val="24"/>
          <w:szCs w:val="24"/>
        </w:rPr>
        <w:t xml:space="preserve"> for future use</w:t>
      </w:r>
      <w:r w:rsidR="00490476" w:rsidRPr="00735740">
        <w:rPr>
          <w:rFonts w:ascii="Garamond" w:hAnsi="Garamond"/>
          <w:color w:val="000000" w:themeColor="text1"/>
          <w:sz w:val="24"/>
          <w:szCs w:val="24"/>
        </w:rPr>
        <w:t>, and what this tells us about the politics of the archive.</w:t>
      </w:r>
      <w:r w:rsidR="005F16A8" w:rsidRPr="00735740">
        <w:rPr>
          <w:rFonts w:ascii="Garamond" w:hAnsi="Garamond"/>
          <w:color w:val="000000" w:themeColor="text1"/>
          <w:sz w:val="24"/>
          <w:szCs w:val="24"/>
        </w:rPr>
        <w:t xml:space="preserve"> </w:t>
      </w:r>
    </w:p>
    <w:p w14:paraId="4F970492" w14:textId="10122D23" w:rsidR="00DA3C84" w:rsidRPr="00735740" w:rsidRDefault="00A24F41" w:rsidP="00201640">
      <w:pPr>
        <w:spacing w:afterLines="160" w:after="384" w:line="360" w:lineRule="auto"/>
        <w:rPr>
          <w:rFonts w:ascii="Garamond" w:hAnsi="Garamond"/>
          <w:color w:val="000000" w:themeColor="text1"/>
          <w:sz w:val="24"/>
          <w:szCs w:val="24"/>
        </w:rPr>
      </w:pPr>
      <w:r w:rsidRPr="00735740">
        <w:rPr>
          <w:rFonts w:ascii="Garamond" w:hAnsi="Garamond"/>
          <w:color w:val="000000" w:themeColor="text1"/>
          <w:sz w:val="24"/>
          <w:szCs w:val="24"/>
        </w:rPr>
        <w:t>My</w:t>
      </w:r>
      <w:r w:rsidR="00FA724A" w:rsidRPr="00735740">
        <w:rPr>
          <w:rFonts w:ascii="Garamond" w:hAnsi="Garamond"/>
          <w:color w:val="000000" w:themeColor="text1"/>
          <w:sz w:val="24"/>
          <w:szCs w:val="24"/>
        </w:rPr>
        <w:t xml:space="preserve"> analysis of the ICTR</w:t>
      </w:r>
      <w:r w:rsidRPr="00735740">
        <w:rPr>
          <w:rFonts w:ascii="Garamond" w:hAnsi="Garamond"/>
          <w:color w:val="000000" w:themeColor="text1"/>
          <w:sz w:val="24"/>
          <w:szCs w:val="24"/>
        </w:rPr>
        <w:t>’s</w:t>
      </w:r>
      <w:r w:rsidR="00FA724A" w:rsidRPr="00735740">
        <w:rPr>
          <w:rFonts w:ascii="Garamond" w:hAnsi="Garamond"/>
          <w:color w:val="000000" w:themeColor="text1"/>
          <w:sz w:val="24"/>
          <w:szCs w:val="24"/>
        </w:rPr>
        <w:t xml:space="preserve"> archive considered it as a whole, but particularly focused </w:t>
      </w:r>
      <w:r w:rsidR="00DA3C84" w:rsidRPr="00735740">
        <w:rPr>
          <w:rFonts w:ascii="Garamond" w:hAnsi="Garamond"/>
          <w:color w:val="000000" w:themeColor="text1"/>
          <w:sz w:val="24"/>
          <w:szCs w:val="24"/>
        </w:rPr>
        <w:t xml:space="preserve">on </w:t>
      </w:r>
      <w:r w:rsidR="0032576D" w:rsidRPr="00735740">
        <w:rPr>
          <w:rFonts w:ascii="Garamond" w:hAnsi="Garamond"/>
          <w:color w:val="000000" w:themeColor="text1"/>
          <w:sz w:val="24"/>
          <w:szCs w:val="24"/>
        </w:rPr>
        <w:t xml:space="preserve">the records produced by </w:t>
      </w:r>
      <w:r w:rsidR="00DA3C84" w:rsidRPr="00735740">
        <w:rPr>
          <w:rFonts w:ascii="Garamond" w:hAnsi="Garamond"/>
          <w:color w:val="000000" w:themeColor="text1"/>
          <w:sz w:val="24"/>
          <w:szCs w:val="24"/>
        </w:rPr>
        <w:t>three trial</w:t>
      </w:r>
      <w:r w:rsidR="00C0316C" w:rsidRPr="00735740">
        <w:rPr>
          <w:rFonts w:ascii="Garamond" w:hAnsi="Garamond"/>
          <w:color w:val="000000" w:themeColor="text1"/>
          <w:sz w:val="24"/>
          <w:szCs w:val="24"/>
        </w:rPr>
        <w:t>s</w:t>
      </w:r>
      <w:r w:rsidR="00DA3C84" w:rsidRPr="00735740">
        <w:rPr>
          <w:rFonts w:ascii="Garamond" w:hAnsi="Garamond"/>
          <w:color w:val="000000" w:themeColor="text1"/>
          <w:sz w:val="24"/>
          <w:szCs w:val="24"/>
        </w:rPr>
        <w:t xml:space="preserve"> to </w:t>
      </w:r>
      <w:r w:rsidR="005A4550" w:rsidRPr="00735740">
        <w:rPr>
          <w:rFonts w:ascii="Garamond" w:hAnsi="Garamond"/>
          <w:color w:val="000000" w:themeColor="text1"/>
          <w:sz w:val="24"/>
          <w:szCs w:val="24"/>
        </w:rPr>
        <w:t xml:space="preserve">develop </w:t>
      </w:r>
      <w:r w:rsidR="00DA3C84" w:rsidRPr="00735740">
        <w:rPr>
          <w:rFonts w:ascii="Garamond" w:hAnsi="Garamond"/>
          <w:color w:val="000000" w:themeColor="text1"/>
          <w:sz w:val="24"/>
          <w:szCs w:val="24"/>
        </w:rPr>
        <w:t>an in-depth understanding of the processes and conditions through which records were produced. This</w:t>
      </w:r>
      <w:r w:rsidR="007532D4" w:rsidRPr="00735740">
        <w:rPr>
          <w:rFonts w:ascii="Garamond" w:hAnsi="Garamond"/>
          <w:color w:val="000000" w:themeColor="text1"/>
          <w:sz w:val="24"/>
          <w:szCs w:val="24"/>
        </w:rPr>
        <w:t xml:space="preserve"> </w:t>
      </w:r>
      <w:r w:rsidR="00DA3C84" w:rsidRPr="00735740">
        <w:rPr>
          <w:rFonts w:ascii="Garamond" w:hAnsi="Garamond"/>
          <w:color w:val="000000" w:themeColor="text1"/>
          <w:sz w:val="24"/>
          <w:szCs w:val="24"/>
        </w:rPr>
        <w:t xml:space="preserve">allowed for a close analysis of the way that </w:t>
      </w:r>
      <w:r w:rsidR="00ED4A89" w:rsidRPr="00735740">
        <w:rPr>
          <w:rFonts w:ascii="Garamond" w:hAnsi="Garamond"/>
          <w:color w:val="000000" w:themeColor="text1"/>
          <w:sz w:val="24"/>
          <w:szCs w:val="24"/>
        </w:rPr>
        <w:t xml:space="preserve">the </w:t>
      </w:r>
      <w:r w:rsidR="00DA3C84" w:rsidRPr="00735740">
        <w:rPr>
          <w:rFonts w:ascii="Garamond" w:hAnsi="Garamond"/>
          <w:color w:val="000000" w:themeColor="text1"/>
          <w:sz w:val="24"/>
          <w:szCs w:val="24"/>
        </w:rPr>
        <w:t>records were constructed</w:t>
      </w:r>
      <w:r w:rsidR="00056A41" w:rsidRPr="00735740">
        <w:rPr>
          <w:rFonts w:ascii="Garamond" w:hAnsi="Garamond"/>
          <w:color w:val="000000" w:themeColor="text1"/>
          <w:sz w:val="24"/>
          <w:szCs w:val="24"/>
        </w:rPr>
        <w:t>, and in particular how the rules of the archive shaped the witnesses’ testimony</w:t>
      </w:r>
      <w:r w:rsidR="00967F11" w:rsidRPr="00735740">
        <w:rPr>
          <w:rFonts w:ascii="Garamond" w:hAnsi="Garamond"/>
          <w:color w:val="000000" w:themeColor="text1"/>
          <w:sz w:val="24"/>
          <w:szCs w:val="24"/>
        </w:rPr>
        <w:t xml:space="preserve"> during the trials</w:t>
      </w:r>
      <w:r w:rsidR="00056A41" w:rsidRPr="00735740">
        <w:rPr>
          <w:rFonts w:ascii="Garamond" w:hAnsi="Garamond"/>
          <w:color w:val="000000" w:themeColor="text1"/>
          <w:sz w:val="24"/>
          <w:szCs w:val="24"/>
        </w:rPr>
        <w:t>–which</w:t>
      </w:r>
      <w:r w:rsidR="001060A1" w:rsidRPr="00735740">
        <w:rPr>
          <w:rFonts w:ascii="Garamond" w:hAnsi="Garamond"/>
          <w:color w:val="000000" w:themeColor="text1"/>
          <w:sz w:val="24"/>
          <w:szCs w:val="24"/>
        </w:rPr>
        <w:t xml:space="preserve"> was</w:t>
      </w:r>
      <w:r w:rsidR="00967F11" w:rsidRPr="00735740">
        <w:rPr>
          <w:rFonts w:ascii="Garamond" w:hAnsi="Garamond"/>
          <w:color w:val="000000" w:themeColor="text1"/>
          <w:sz w:val="24"/>
          <w:szCs w:val="24"/>
        </w:rPr>
        <w:t xml:space="preserve"> the</w:t>
      </w:r>
      <w:r w:rsidR="00056A41" w:rsidRPr="00735740">
        <w:rPr>
          <w:rFonts w:ascii="Garamond" w:hAnsi="Garamond"/>
          <w:color w:val="000000" w:themeColor="text1"/>
          <w:sz w:val="24"/>
          <w:szCs w:val="24"/>
        </w:rPr>
        <w:t xml:space="preserve"> primary means through which the archive’s account of violence was </w:t>
      </w:r>
      <w:r w:rsidR="001060A1" w:rsidRPr="00735740">
        <w:rPr>
          <w:rFonts w:ascii="Garamond" w:hAnsi="Garamond"/>
          <w:color w:val="000000" w:themeColor="text1"/>
          <w:sz w:val="24"/>
          <w:szCs w:val="24"/>
        </w:rPr>
        <w:t>constructed</w:t>
      </w:r>
      <w:r w:rsidR="00056A41" w:rsidRPr="00735740">
        <w:rPr>
          <w:rFonts w:ascii="Garamond" w:hAnsi="Garamond"/>
          <w:color w:val="000000" w:themeColor="text1"/>
          <w:sz w:val="24"/>
          <w:szCs w:val="24"/>
        </w:rPr>
        <w:t xml:space="preserve">. </w:t>
      </w:r>
      <w:r w:rsidR="00DA3C84" w:rsidRPr="00735740">
        <w:rPr>
          <w:rFonts w:ascii="Garamond" w:hAnsi="Garamond"/>
          <w:color w:val="000000" w:themeColor="text1"/>
          <w:sz w:val="24"/>
          <w:szCs w:val="24"/>
        </w:rPr>
        <w:t>The three trials were Jean</w:t>
      </w:r>
      <w:r w:rsidR="0032576D" w:rsidRPr="00735740">
        <w:rPr>
          <w:rFonts w:ascii="Garamond" w:hAnsi="Garamond"/>
          <w:color w:val="000000" w:themeColor="text1"/>
          <w:sz w:val="24"/>
          <w:szCs w:val="24"/>
        </w:rPr>
        <w:t>-</w:t>
      </w:r>
      <w:r w:rsidR="00DA3C84" w:rsidRPr="00735740">
        <w:rPr>
          <w:rFonts w:ascii="Garamond" w:hAnsi="Garamond"/>
          <w:color w:val="000000" w:themeColor="text1"/>
          <w:sz w:val="24"/>
          <w:szCs w:val="24"/>
        </w:rPr>
        <w:t xml:space="preserve">Paul Akayesu, </w:t>
      </w:r>
      <w:r w:rsidR="00D337A9" w:rsidRPr="00735740">
        <w:rPr>
          <w:rFonts w:ascii="Garamond" w:hAnsi="Garamond"/>
          <w:color w:val="000000" w:themeColor="text1"/>
          <w:sz w:val="24"/>
          <w:szCs w:val="24"/>
        </w:rPr>
        <w:t>‘</w:t>
      </w:r>
      <w:r w:rsidR="00DA3C84" w:rsidRPr="00735740">
        <w:rPr>
          <w:rFonts w:ascii="Garamond" w:hAnsi="Garamond"/>
          <w:color w:val="000000" w:themeColor="text1"/>
          <w:sz w:val="24"/>
          <w:szCs w:val="24"/>
        </w:rPr>
        <w:t xml:space="preserve">Cyangugu’ (the trial of: Andre Ntagerura; Emmanuel Bagambiki; and Samuel Imanishimwe) and Jean-Baptiste Gatete. These were selected because </w:t>
      </w:r>
      <w:r w:rsidR="00217165" w:rsidRPr="00735740">
        <w:rPr>
          <w:rFonts w:ascii="Garamond" w:hAnsi="Garamond"/>
          <w:color w:val="000000" w:themeColor="text1"/>
          <w:sz w:val="24"/>
          <w:szCs w:val="24"/>
        </w:rPr>
        <w:t>the</w:t>
      </w:r>
      <w:r w:rsidR="00C0316C" w:rsidRPr="00735740">
        <w:rPr>
          <w:rFonts w:ascii="Garamond" w:hAnsi="Garamond"/>
          <w:color w:val="000000" w:themeColor="text1"/>
          <w:sz w:val="24"/>
          <w:szCs w:val="24"/>
        </w:rPr>
        <w:t xml:space="preserve">y </w:t>
      </w:r>
      <w:r w:rsidR="00665D20" w:rsidRPr="00735740">
        <w:rPr>
          <w:rFonts w:ascii="Garamond" w:hAnsi="Garamond"/>
          <w:color w:val="000000" w:themeColor="text1"/>
          <w:sz w:val="24"/>
          <w:szCs w:val="24"/>
        </w:rPr>
        <w:t xml:space="preserve">dealt with: prosecutions spread over the tribunal’s history; </w:t>
      </w:r>
      <w:r w:rsidR="00DA3C84" w:rsidRPr="00735740">
        <w:rPr>
          <w:rFonts w:ascii="Garamond" w:hAnsi="Garamond"/>
          <w:color w:val="000000" w:themeColor="text1"/>
          <w:sz w:val="24"/>
          <w:szCs w:val="24"/>
        </w:rPr>
        <w:t xml:space="preserve">relatively similar subject matter (making it possible to identify the </w:t>
      </w:r>
      <w:r w:rsidR="00741205" w:rsidRPr="00735740">
        <w:rPr>
          <w:rFonts w:ascii="Garamond" w:hAnsi="Garamond"/>
          <w:color w:val="000000" w:themeColor="text1"/>
          <w:sz w:val="24"/>
          <w:szCs w:val="24"/>
        </w:rPr>
        <w:t>(dis)</w:t>
      </w:r>
      <w:r w:rsidR="00DA3C84" w:rsidRPr="00735740">
        <w:rPr>
          <w:rFonts w:ascii="Garamond" w:hAnsi="Garamond"/>
          <w:color w:val="000000" w:themeColor="text1"/>
          <w:sz w:val="24"/>
          <w:szCs w:val="24"/>
        </w:rPr>
        <w:t>similarities with which these subjects were treated)</w:t>
      </w:r>
      <w:r w:rsidR="00665D20" w:rsidRPr="00735740">
        <w:rPr>
          <w:rFonts w:ascii="Garamond" w:hAnsi="Garamond"/>
          <w:color w:val="000000" w:themeColor="text1"/>
          <w:sz w:val="24"/>
          <w:szCs w:val="24"/>
        </w:rPr>
        <w:t>;</w:t>
      </w:r>
      <w:r w:rsidR="00DA3C84" w:rsidRPr="00735740">
        <w:rPr>
          <w:rFonts w:ascii="Garamond" w:hAnsi="Garamond"/>
          <w:color w:val="000000" w:themeColor="text1"/>
          <w:sz w:val="24"/>
          <w:szCs w:val="24"/>
        </w:rPr>
        <w:t xml:space="preserve"> and instances of prosecutorial success (</w:t>
      </w:r>
      <w:r w:rsidR="00DA3C84" w:rsidRPr="00735740">
        <w:rPr>
          <w:rFonts w:ascii="Garamond" w:hAnsi="Garamond"/>
          <w:i/>
          <w:color w:val="000000" w:themeColor="text1"/>
          <w:sz w:val="24"/>
          <w:szCs w:val="24"/>
        </w:rPr>
        <w:t>Akayesu</w:t>
      </w:r>
      <w:r w:rsidR="00DA3C84" w:rsidRPr="00735740">
        <w:rPr>
          <w:rFonts w:ascii="Garamond" w:hAnsi="Garamond"/>
          <w:color w:val="000000" w:themeColor="text1"/>
          <w:sz w:val="24"/>
          <w:szCs w:val="24"/>
        </w:rPr>
        <w:t xml:space="preserve"> and </w:t>
      </w:r>
      <w:r w:rsidR="00DA3C84" w:rsidRPr="00735740">
        <w:rPr>
          <w:rFonts w:ascii="Garamond" w:hAnsi="Garamond"/>
          <w:i/>
          <w:color w:val="000000" w:themeColor="text1"/>
          <w:sz w:val="24"/>
          <w:szCs w:val="24"/>
        </w:rPr>
        <w:t>Gatete</w:t>
      </w:r>
      <w:r w:rsidR="00DA3C84" w:rsidRPr="00735740">
        <w:rPr>
          <w:rFonts w:ascii="Garamond" w:hAnsi="Garamond"/>
          <w:color w:val="000000" w:themeColor="text1"/>
          <w:sz w:val="24"/>
          <w:szCs w:val="24"/>
        </w:rPr>
        <w:t>) and failure (</w:t>
      </w:r>
      <w:r w:rsidR="00DA3C84" w:rsidRPr="00735740">
        <w:rPr>
          <w:rFonts w:ascii="Garamond" w:hAnsi="Garamond"/>
          <w:i/>
          <w:color w:val="000000" w:themeColor="text1"/>
          <w:sz w:val="24"/>
          <w:szCs w:val="24"/>
        </w:rPr>
        <w:t>Cyangugu</w:t>
      </w:r>
      <w:r w:rsidR="00DA3C84" w:rsidRPr="00735740">
        <w:rPr>
          <w:rFonts w:ascii="Garamond" w:hAnsi="Garamond"/>
          <w:color w:val="000000" w:themeColor="text1"/>
          <w:sz w:val="24"/>
          <w:szCs w:val="24"/>
        </w:rPr>
        <w:t>). Whilst not</w:t>
      </w:r>
      <w:r w:rsidR="00B74077" w:rsidRPr="00735740">
        <w:rPr>
          <w:rFonts w:ascii="Garamond" w:hAnsi="Garamond"/>
          <w:color w:val="000000" w:themeColor="text1"/>
          <w:sz w:val="24"/>
          <w:szCs w:val="24"/>
        </w:rPr>
        <w:t xml:space="preserve"> </w:t>
      </w:r>
      <w:r w:rsidR="00DA3C84" w:rsidRPr="00735740">
        <w:rPr>
          <w:rFonts w:ascii="Garamond" w:hAnsi="Garamond"/>
          <w:color w:val="000000" w:themeColor="text1"/>
          <w:sz w:val="24"/>
          <w:szCs w:val="24"/>
        </w:rPr>
        <w:t xml:space="preserve">representative of </w:t>
      </w:r>
      <w:r w:rsidR="00F02A2B" w:rsidRPr="00735740">
        <w:rPr>
          <w:rFonts w:ascii="Garamond" w:hAnsi="Garamond"/>
          <w:iCs/>
          <w:color w:val="000000" w:themeColor="text1"/>
          <w:sz w:val="24"/>
          <w:szCs w:val="24"/>
        </w:rPr>
        <w:t>all</w:t>
      </w:r>
      <w:r w:rsidR="00F02A2B" w:rsidRPr="00735740">
        <w:rPr>
          <w:rFonts w:ascii="Garamond" w:hAnsi="Garamond"/>
          <w:i/>
          <w:iCs/>
          <w:color w:val="000000" w:themeColor="text1"/>
          <w:sz w:val="24"/>
          <w:szCs w:val="24"/>
        </w:rPr>
        <w:t xml:space="preserve"> </w:t>
      </w:r>
      <w:r w:rsidR="00F02A2B" w:rsidRPr="00735740">
        <w:rPr>
          <w:rFonts w:ascii="Garamond" w:hAnsi="Garamond"/>
          <w:color w:val="000000" w:themeColor="text1"/>
          <w:sz w:val="24"/>
          <w:szCs w:val="24"/>
        </w:rPr>
        <w:t>ICTR</w:t>
      </w:r>
      <w:r w:rsidR="00DA3C84" w:rsidRPr="00735740">
        <w:rPr>
          <w:rFonts w:ascii="Garamond" w:hAnsi="Garamond"/>
          <w:color w:val="000000" w:themeColor="text1"/>
          <w:sz w:val="24"/>
          <w:szCs w:val="24"/>
        </w:rPr>
        <w:t xml:space="preserve"> trials, these offer</w:t>
      </w:r>
      <w:r w:rsidR="00B73173" w:rsidRPr="00735740">
        <w:rPr>
          <w:rFonts w:ascii="Garamond" w:hAnsi="Garamond"/>
          <w:color w:val="000000" w:themeColor="text1"/>
          <w:sz w:val="24"/>
          <w:szCs w:val="24"/>
        </w:rPr>
        <w:t>ed</w:t>
      </w:r>
      <w:r w:rsidR="00DA3C84" w:rsidRPr="00735740">
        <w:rPr>
          <w:rFonts w:ascii="Garamond" w:hAnsi="Garamond"/>
          <w:color w:val="000000" w:themeColor="text1"/>
          <w:sz w:val="24"/>
          <w:szCs w:val="24"/>
        </w:rPr>
        <w:t xml:space="preserve"> a way to systematically analyse how records were constructed for the archive, and how differing contexts (e.g. </w:t>
      </w:r>
      <w:r w:rsidR="00967F11" w:rsidRPr="00735740">
        <w:rPr>
          <w:rFonts w:ascii="Garamond" w:hAnsi="Garamond"/>
          <w:color w:val="000000" w:themeColor="text1"/>
          <w:sz w:val="24"/>
          <w:szCs w:val="24"/>
        </w:rPr>
        <w:t>when the trial took place</w:t>
      </w:r>
      <w:r w:rsidR="00DA3C84" w:rsidRPr="00735740">
        <w:rPr>
          <w:rFonts w:ascii="Garamond" w:hAnsi="Garamond"/>
          <w:color w:val="000000" w:themeColor="text1"/>
          <w:sz w:val="24"/>
          <w:szCs w:val="24"/>
        </w:rPr>
        <w:t xml:space="preserve">) effected this process.  </w:t>
      </w:r>
      <w:r w:rsidR="0096343F" w:rsidRPr="00735740">
        <w:rPr>
          <w:rFonts w:ascii="Garamond" w:hAnsi="Garamond"/>
          <w:color w:val="000000" w:themeColor="text1"/>
          <w:sz w:val="24"/>
          <w:szCs w:val="24"/>
        </w:rPr>
        <w:t xml:space="preserve">In </w:t>
      </w:r>
      <w:r w:rsidR="00D96057" w:rsidRPr="00735740">
        <w:rPr>
          <w:rFonts w:ascii="Garamond" w:hAnsi="Garamond"/>
          <w:color w:val="000000" w:themeColor="text1"/>
          <w:sz w:val="24"/>
          <w:szCs w:val="24"/>
        </w:rPr>
        <w:t>addition,</w:t>
      </w:r>
      <w:r w:rsidR="0096343F" w:rsidRPr="00735740">
        <w:rPr>
          <w:rFonts w:ascii="Garamond" w:hAnsi="Garamond"/>
          <w:color w:val="000000" w:themeColor="text1"/>
          <w:sz w:val="24"/>
          <w:szCs w:val="24"/>
        </w:rPr>
        <w:t xml:space="preserve"> </w:t>
      </w:r>
      <w:r w:rsidR="0017296B" w:rsidRPr="00735740">
        <w:rPr>
          <w:rFonts w:ascii="Garamond" w:hAnsi="Garamond"/>
          <w:color w:val="000000" w:themeColor="text1"/>
          <w:sz w:val="24"/>
          <w:szCs w:val="24"/>
        </w:rPr>
        <w:t xml:space="preserve">I </w:t>
      </w:r>
      <w:r w:rsidR="00056A41" w:rsidRPr="00735740">
        <w:rPr>
          <w:rFonts w:ascii="Garamond" w:hAnsi="Garamond"/>
          <w:color w:val="000000" w:themeColor="text1"/>
          <w:sz w:val="24"/>
          <w:szCs w:val="24"/>
        </w:rPr>
        <w:t>drew</w:t>
      </w:r>
      <w:r w:rsidR="0096343F" w:rsidRPr="00735740">
        <w:rPr>
          <w:rFonts w:ascii="Garamond" w:hAnsi="Garamond"/>
          <w:color w:val="000000" w:themeColor="text1"/>
          <w:sz w:val="24"/>
          <w:szCs w:val="24"/>
        </w:rPr>
        <w:t xml:space="preserve"> on </w:t>
      </w:r>
      <w:r w:rsidR="007532D4" w:rsidRPr="00735740">
        <w:rPr>
          <w:rFonts w:ascii="Garamond" w:hAnsi="Garamond"/>
          <w:color w:val="000000" w:themeColor="text1"/>
          <w:sz w:val="24"/>
          <w:szCs w:val="24"/>
        </w:rPr>
        <w:t>UN doc</w:t>
      </w:r>
      <w:r w:rsidR="00210AB7" w:rsidRPr="00735740">
        <w:rPr>
          <w:rFonts w:ascii="Garamond" w:hAnsi="Garamond"/>
          <w:color w:val="000000" w:themeColor="text1"/>
          <w:sz w:val="24"/>
          <w:szCs w:val="24"/>
        </w:rPr>
        <w:t>uments</w:t>
      </w:r>
      <w:r w:rsidR="007532D4" w:rsidRPr="00735740">
        <w:rPr>
          <w:rFonts w:ascii="Garamond" w:hAnsi="Garamond"/>
          <w:color w:val="000000" w:themeColor="text1"/>
          <w:sz w:val="24"/>
          <w:szCs w:val="24"/>
        </w:rPr>
        <w:t xml:space="preserve"> </w:t>
      </w:r>
      <w:r w:rsidR="00B73173" w:rsidRPr="00735740">
        <w:rPr>
          <w:rFonts w:ascii="Garamond" w:hAnsi="Garamond"/>
          <w:color w:val="000000" w:themeColor="text1"/>
          <w:sz w:val="24"/>
          <w:szCs w:val="24"/>
        </w:rPr>
        <w:t>that related</w:t>
      </w:r>
      <w:r w:rsidR="007532D4" w:rsidRPr="00735740">
        <w:rPr>
          <w:rFonts w:ascii="Garamond" w:hAnsi="Garamond"/>
          <w:color w:val="000000" w:themeColor="text1"/>
          <w:sz w:val="24"/>
          <w:szCs w:val="24"/>
        </w:rPr>
        <w:t xml:space="preserve"> to the tribunal’s governance</w:t>
      </w:r>
      <w:r w:rsidR="00056A41" w:rsidRPr="00735740">
        <w:rPr>
          <w:rFonts w:ascii="Garamond" w:hAnsi="Garamond"/>
          <w:color w:val="000000" w:themeColor="text1"/>
          <w:sz w:val="24"/>
          <w:szCs w:val="24"/>
        </w:rPr>
        <w:t>–such as the tribunal’s annual reports to the UNSC</w:t>
      </w:r>
      <w:r w:rsidR="00210AB7" w:rsidRPr="00735740">
        <w:rPr>
          <w:rFonts w:ascii="Garamond" w:hAnsi="Garamond"/>
          <w:color w:val="000000" w:themeColor="text1"/>
          <w:sz w:val="24"/>
          <w:szCs w:val="24"/>
        </w:rPr>
        <w:t>–</w:t>
      </w:r>
      <w:r w:rsidR="007532D4" w:rsidRPr="00735740">
        <w:rPr>
          <w:rFonts w:ascii="Garamond" w:hAnsi="Garamond"/>
          <w:color w:val="000000" w:themeColor="text1"/>
          <w:sz w:val="24"/>
          <w:szCs w:val="24"/>
        </w:rPr>
        <w:t xml:space="preserve">and </w:t>
      </w:r>
      <w:r w:rsidR="00A76470" w:rsidRPr="00735740">
        <w:rPr>
          <w:rFonts w:ascii="Garamond" w:hAnsi="Garamond"/>
          <w:color w:val="000000" w:themeColor="text1"/>
          <w:sz w:val="24"/>
          <w:szCs w:val="24"/>
        </w:rPr>
        <w:t xml:space="preserve">22 </w:t>
      </w:r>
      <w:r w:rsidR="0096343F" w:rsidRPr="00735740">
        <w:rPr>
          <w:rFonts w:ascii="Garamond" w:hAnsi="Garamond"/>
          <w:color w:val="000000" w:themeColor="text1"/>
          <w:sz w:val="24"/>
          <w:szCs w:val="24"/>
        </w:rPr>
        <w:t>semi-structured interviews with tribunal staff</w:t>
      </w:r>
      <w:r w:rsidR="00056A41" w:rsidRPr="00735740">
        <w:rPr>
          <w:rFonts w:ascii="Garamond" w:hAnsi="Garamond"/>
          <w:color w:val="000000" w:themeColor="text1"/>
          <w:sz w:val="24"/>
          <w:szCs w:val="24"/>
        </w:rPr>
        <w:t xml:space="preserve">, which </w:t>
      </w:r>
      <w:r w:rsidR="0096343F" w:rsidRPr="00735740">
        <w:rPr>
          <w:rFonts w:ascii="Garamond" w:hAnsi="Garamond"/>
          <w:color w:val="000000" w:themeColor="text1"/>
          <w:sz w:val="24"/>
          <w:szCs w:val="24"/>
        </w:rPr>
        <w:t>further help</w:t>
      </w:r>
      <w:r w:rsidR="00B73173" w:rsidRPr="00735740">
        <w:rPr>
          <w:rFonts w:ascii="Garamond" w:hAnsi="Garamond"/>
          <w:color w:val="000000" w:themeColor="text1"/>
          <w:sz w:val="24"/>
          <w:szCs w:val="24"/>
        </w:rPr>
        <w:t>ed</w:t>
      </w:r>
      <w:r w:rsidR="0017296B" w:rsidRPr="00735740">
        <w:rPr>
          <w:rFonts w:ascii="Garamond" w:hAnsi="Garamond"/>
          <w:color w:val="000000" w:themeColor="text1"/>
          <w:sz w:val="24"/>
          <w:szCs w:val="24"/>
        </w:rPr>
        <w:t xml:space="preserve"> </w:t>
      </w:r>
      <w:r w:rsidR="0096343F" w:rsidRPr="00735740">
        <w:rPr>
          <w:rFonts w:ascii="Garamond" w:hAnsi="Garamond"/>
          <w:color w:val="000000" w:themeColor="text1"/>
          <w:sz w:val="24"/>
          <w:szCs w:val="24"/>
        </w:rPr>
        <w:t xml:space="preserve">explicate the </w:t>
      </w:r>
      <w:r w:rsidR="0017296B" w:rsidRPr="00735740">
        <w:rPr>
          <w:rFonts w:ascii="Garamond" w:hAnsi="Garamond"/>
          <w:color w:val="000000" w:themeColor="text1"/>
          <w:sz w:val="24"/>
          <w:szCs w:val="24"/>
        </w:rPr>
        <w:t xml:space="preserve">archive’s </w:t>
      </w:r>
      <w:r w:rsidR="0096343F" w:rsidRPr="00735740">
        <w:rPr>
          <w:rFonts w:ascii="Garamond" w:hAnsi="Garamond"/>
          <w:color w:val="000000" w:themeColor="text1"/>
          <w:sz w:val="24"/>
          <w:szCs w:val="24"/>
        </w:rPr>
        <w:t>rules.</w:t>
      </w:r>
    </w:p>
    <w:p w14:paraId="51043B29" w14:textId="0A619906" w:rsidR="0088121D" w:rsidRPr="00735740" w:rsidRDefault="00DA3C84" w:rsidP="00C51EC9">
      <w:pPr>
        <w:spacing w:line="360" w:lineRule="auto"/>
        <w:rPr>
          <w:rFonts w:ascii="Garamond" w:hAnsi="Garamond"/>
          <w:color w:val="000000" w:themeColor="text1"/>
          <w:sz w:val="24"/>
          <w:szCs w:val="24"/>
        </w:rPr>
      </w:pPr>
      <w:r w:rsidRPr="00735740">
        <w:rPr>
          <w:rFonts w:ascii="Garamond" w:hAnsi="Garamond"/>
          <w:color w:val="000000" w:themeColor="text1"/>
          <w:sz w:val="24"/>
          <w:szCs w:val="24"/>
        </w:rPr>
        <w:t xml:space="preserve">The analysis is divided into </w:t>
      </w:r>
      <w:r w:rsidR="00187FA4" w:rsidRPr="00735740">
        <w:rPr>
          <w:rFonts w:ascii="Garamond" w:hAnsi="Garamond"/>
          <w:color w:val="000000" w:themeColor="text1"/>
          <w:sz w:val="24"/>
          <w:szCs w:val="24"/>
        </w:rPr>
        <w:t xml:space="preserve">three </w:t>
      </w:r>
      <w:r w:rsidRPr="00735740">
        <w:rPr>
          <w:rFonts w:ascii="Garamond" w:hAnsi="Garamond"/>
          <w:color w:val="000000" w:themeColor="text1"/>
          <w:sz w:val="24"/>
          <w:szCs w:val="24"/>
        </w:rPr>
        <w:t>parts</w:t>
      </w:r>
      <w:r w:rsidR="00187FA4" w:rsidRPr="00735740">
        <w:rPr>
          <w:rFonts w:ascii="Garamond" w:hAnsi="Garamond"/>
          <w:color w:val="000000" w:themeColor="text1"/>
          <w:sz w:val="24"/>
          <w:szCs w:val="24"/>
        </w:rPr>
        <w:t xml:space="preserve"> </w:t>
      </w:r>
      <w:r w:rsidR="00A76470" w:rsidRPr="00735740">
        <w:rPr>
          <w:rFonts w:ascii="Garamond" w:hAnsi="Garamond"/>
          <w:color w:val="000000" w:themeColor="text1"/>
          <w:sz w:val="24"/>
          <w:szCs w:val="24"/>
        </w:rPr>
        <w:t xml:space="preserve">and </w:t>
      </w:r>
      <w:r w:rsidR="00210AB7" w:rsidRPr="00735740">
        <w:rPr>
          <w:rFonts w:ascii="Garamond" w:hAnsi="Garamond"/>
          <w:color w:val="000000" w:themeColor="text1"/>
          <w:sz w:val="24"/>
          <w:szCs w:val="24"/>
        </w:rPr>
        <w:t xml:space="preserve">follows the </w:t>
      </w:r>
      <w:r w:rsidR="00EC353B" w:rsidRPr="00735740">
        <w:rPr>
          <w:rFonts w:ascii="Garamond" w:hAnsi="Garamond"/>
          <w:color w:val="000000" w:themeColor="text1"/>
          <w:sz w:val="24"/>
          <w:szCs w:val="24"/>
        </w:rPr>
        <w:t>themes</w:t>
      </w:r>
      <w:r w:rsidR="00210AB7" w:rsidRPr="00735740">
        <w:rPr>
          <w:rFonts w:ascii="Garamond" w:hAnsi="Garamond"/>
          <w:color w:val="000000" w:themeColor="text1"/>
          <w:sz w:val="24"/>
          <w:szCs w:val="24"/>
        </w:rPr>
        <w:t xml:space="preserve"> </w:t>
      </w:r>
      <w:r w:rsidR="00EC353B" w:rsidRPr="00735740">
        <w:rPr>
          <w:rFonts w:ascii="Garamond" w:hAnsi="Garamond"/>
          <w:color w:val="000000" w:themeColor="text1"/>
          <w:sz w:val="24"/>
          <w:szCs w:val="24"/>
        </w:rPr>
        <w:t xml:space="preserve">of </w:t>
      </w:r>
      <w:r w:rsidR="00204BD3" w:rsidRPr="00735740">
        <w:rPr>
          <w:rFonts w:ascii="Garamond" w:hAnsi="Garamond"/>
          <w:color w:val="000000" w:themeColor="text1"/>
          <w:sz w:val="24"/>
          <w:szCs w:val="24"/>
        </w:rPr>
        <w:t>responsibility, identity and voice</w:t>
      </w:r>
      <w:r w:rsidR="00EC353B" w:rsidRPr="00735740">
        <w:rPr>
          <w:rFonts w:ascii="Garamond" w:hAnsi="Garamond"/>
          <w:color w:val="000000" w:themeColor="text1"/>
          <w:sz w:val="24"/>
          <w:szCs w:val="24"/>
        </w:rPr>
        <w:t xml:space="preserve"> discussed above</w:t>
      </w:r>
      <w:r w:rsidR="00187FA4" w:rsidRPr="00735740">
        <w:rPr>
          <w:rFonts w:ascii="Garamond" w:hAnsi="Garamond"/>
          <w:color w:val="000000" w:themeColor="text1"/>
          <w:sz w:val="24"/>
          <w:szCs w:val="24"/>
        </w:rPr>
        <w:t xml:space="preserve">. </w:t>
      </w:r>
      <w:r w:rsidR="007532D4" w:rsidRPr="00735740">
        <w:rPr>
          <w:rFonts w:ascii="Garamond" w:hAnsi="Garamond"/>
          <w:color w:val="000000" w:themeColor="text1"/>
          <w:sz w:val="24"/>
          <w:szCs w:val="24"/>
        </w:rPr>
        <w:t xml:space="preserve">First, </w:t>
      </w:r>
      <w:r w:rsidR="00897B5B" w:rsidRPr="00735740">
        <w:rPr>
          <w:rFonts w:ascii="Garamond" w:hAnsi="Garamond"/>
          <w:color w:val="000000" w:themeColor="text1"/>
          <w:sz w:val="24"/>
          <w:szCs w:val="24"/>
        </w:rPr>
        <w:t xml:space="preserve">it examines </w:t>
      </w:r>
      <w:r w:rsidR="00187FA4" w:rsidRPr="00735740">
        <w:rPr>
          <w:rFonts w:ascii="Garamond" w:hAnsi="Garamond"/>
          <w:color w:val="000000" w:themeColor="text1"/>
          <w:sz w:val="24"/>
          <w:szCs w:val="24"/>
        </w:rPr>
        <w:t xml:space="preserve">how the archive limited </w:t>
      </w:r>
      <w:r w:rsidR="00187FA4" w:rsidRPr="00735740">
        <w:rPr>
          <w:rFonts w:ascii="Garamond" w:hAnsi="Garamond"/>
          <w:iCs/>
          <w:color w:val="000000" w:themeColor="text1"/>
          <w:sz w:val="24"/>
          <w:szCs w:val="24"/>
        </w:rPr>
        <w:t>who</w:t>
      </w:r>
      <w:r w:rsidR="00187FA4" w:rsidRPr="00735740">
        <w:rPr>
          <w:rFonts w:ascii="Garamond" w:hAnsi="Garamond"/>
          <w:i/>
          <w:iCs/>
          <w:color w:val="000000" w:themeColor="text1"/>
          <w:sz w:val="24"/>
          <w:szCs w:val="24"/>
        </w:rPr>
        <w:t xml:space="preserve"> </w:t>
      </w:r>
      <w:r w:rsidR="00187FA4" w:rsidRPr="00735740">
        <w:rPr>
          <w:rFonts w:ascii="Garamond" w:hAnsi="Garamond"/>
          <w:color w:val="000000" w:themeColor="text1"/>
          <w:sz w:val="24"/>
          <w:szCs w:val="24"/>
        </w:rPr>
        <w:t xml:space="preserve">could be considered responsible for the violence in Rwanda. </w:t>
      </w:r>
      <w:r w:rsidR="007532D4" w:rsidRPr="00735740">
        <w:rPr>
          <w:rFonts w:ascii="Garamond" w:hAnsi="Garamond"/>
          <w:color w:val="000000" w:themeColor="text1"/>
          <w:sz w:val="24"/>
          <w:szCs w:val="24"/>
        </w:rPr>
        <w:t>Second, it</w:t>
      </w:r>
      <w:r w:rsidR="00187FA4" w:rsidRPr="00735740">
        <w:rPr>
          <w:rFonts w:ascii="Garamond" w:hAnsi="Garamond"/>
          <w:color w:val="000000" w:themeColor="text1"/>
          <w:sz w:val="24"/>
          <w:szCs w:val="24"/>
        </w:rPr>
        <w:t xml:space="preserve"> </w:t>
      </w:r>
      <w:r w:rsidR="00897B5B" w:rsidRPr="00735740">
        <w:rPr>
          <w:rFonts w:ascii="Garamond" w:hAnsi="Garamond"/>
          <w:color w:val="000000" w:themeColor="text1"/>
          <w:sz w:val="24"/>
          <w:szCs w:val="24"/>
        </w:rPr>
        <w:t>explores</w:t>
      </w:r>
      <w:r w:rsidR="00187FA4" w:rsidRPr="00735740">
        <w:rPr>
          <w:rFonts w:ascii="Garamond" w:hAnsi="Garamond"/>
          <w:color w:val="000000" w:themeColor="text1"/>
          <w:sz w:val="24"/>
          <w:szCs w:val="24"/>
        </w:rPr>
        <w:t xml:space="preserve"> the question of identity</w:t>
      </w:r>
      <w:r w:rsidR="007532D4" w:rsidRPr="00735740">
        <w:rPr>
          <w:rFonts w:ascii="Garamond" w:hAnsi="Garamond"/>
          <w:color w:val="000000" w:themeColor="text1"/>
          <w:sz w:val="24"/>
          <w:szCs w:val="24"/>
        </w:rPr>
        <w:t xml:space="preserve"> through a gendered lens</w:t>
      </w:r>
      <w:r w:rsidR="00187FA4" w:rsidRPr="00735740">
        <w:rPr>
          <w:rFonts w:ascii="Garamond" w:hAnsi="Garamond"/>
          <w:color w:val="000000" w:themeColor="text1"/>
          <w:sz w:val="24"/>
          <w:szCs w:val="24"/>
        </w:rPr>
        <w:t xml:space="preserve">, and particularly how </w:t>
      </w:r>
      <w:r w:rsidR="00CB3ED4" w:rsidRPr="00735740">
        <w:rPr>
          <w:rFonts w:ascii="Garamond" w:hAnsi="Garamond"/>
          <w:color w:val="000000" w:themeColor="text1"/>
          <w:sz w:val="24"/>
          <w:szCs w:val="24"/>
        </w:rPr>
        <w:t>the archive</w:t>
      </w:r>
      <w:r w:rsidR="00187FA4" w:rsidRPr="00735740">
        <w:rPr>
          <w:rFonts w:ascii="Garamond" w:hAnsi="Garamond"/>
          <w:color w:val="000000" w:themeColor="text1"/>
          <w:sz w:val="24"/>
          <w:szCs w:val="24"/>
        </w:rPr>
        <w:t xml:space="preserve"> </w:t>
      </w:r>
      <w:r w:rsidR="00CB3ED4" w:rsidRPr="00735740">
        <w:rPr>
          <w:rFonts w:ascii="Garamond" w:hAnsi="Garamond"/>
          <w:color w:val="000000" w:themeColor="text1"/>
          <w:sz w:val="24"/>
          <w:szCs w:val="24"/>
        </w:rPr>
        <w:t>(</w:t>
      </w:r>
      <w:r w:rsidR="00187FA4" w:rsidRPr="00735740">
        <w:rPr>
          <w:rFonts w:ascii="Garamond" w:hAnsi="Garamond"/>
          <w:color w:val="000000" w:themeColor="text1"/>
          <w:sz w:val="24"/>
          <w:szCs w:val="24"/>
        </w:rPr>
        <w:t>re</w:t>
      </w:r>
      <w:r w:rsidR="00CB3ED4" w:rsidRPr="00735740">
        <w:rPr>
          <w:rFonts w:ascii="Garamond" w:hAnsi="Garamond"/>
          <w:color w:val="000000" w:themeColor="text1"/>
          <w:sz w:val="24"/>
          <w:szCs w:val="24"/>
        </w:rPr>
        <w:t>)</w:t>
      </w:r>
      <w:r w:rsidR="00187FA4" w:rsidRPr="00735740">
        <w:rPr>
          <w:rFonts w:ascii="Garamond" w:hAnsi="Garamond"/>
          <w:color w:val="000000" w:themeColor="text1"/>
          <w:sz w:val="24"/>
          <w:szCs w:val="24"/>
        </w:rPr>
        <w:t xml:space="preserve">produced a patriarchal notion of community. The final section </w:t>
      </w:r>
      <w:r w:rsidR="00897B5B" w:rsidRPr="00735740">
        <w:rPr>
          <w:rFonts w:ascii="Garamond" w:hAnsi="Garamond"/>
          <w:color w:val="000000" w:themeColor="text1"/>
          <w:sz w:val="24"/>
          <w:szCs w:val="24"/>
        </w:rPr>
        <w:t>considers</w:t>
      </w:r>
      <w:r w:rsidR="00187FA4" w:rsidRPr="00735740">
        <w:rPr>
          <w:rFonts w:ascii="Garamond" w:hAnsi="Garamond"/>
          <w:color w:val="000000" w:themeColor="text1"/>
          <w:sz w:val="24"/>
          <w:szCs w:val="24"/>
        </w:rPr>
        <w:t xml:space="preserve"> who had the right to shape the archive, drawing attention to the coloniality of the archive</w:t>
      </w:r>
      <w:r w:rsidR="007B6A34" w:rsidRPr="00735740">
        <w:rPr>
          <w:rFonts w:ascii="Garamond" w:hAnsi="Garamond"/>
          <w:color w:val="000000" w:themeColor="text1"/>
          <w:sz w:val="24"/>
          <w:szCs w:val="24"/>
        </w:rPr>
        <w:t>.</w:t>
      </w:r>
    </w:p>
    <w:p w14:paraId="685931F9" w14:textId="58063981" w:rsidR="00187FA4" w:rsidRPr="00735740" w:rsidRDefault="00E35C64" w:rsidP="00735740">
      <w:pPr>
        <w:pStyle w:val="Heading2"/>
      </w:pPr>
      <w:bookmarkStart w:id="2" w:name="_Toc491990254"/>
      <w:r w:rsidRPr="00735740">
        <w:lastRenderedPageBreak/>
        <w:t xml:space="preserve">Liberalism, </w:t>
      </w:r>
      <w:r w:rsidR="002F20CA" w:rsidRPr="00735740">
        <w:t>r</w:t>
      </w:r>
      <w:r w:rsidRPr="00735740">
        <w:t xml:space="preserve">esponsibility and the </w:t>
      </w:r>
      <w:r w:rsidR="002F20CA" w:rsidRPr="00735740">
        <w:t>a</w:t>
      </w:r>
      <w:r w:rsidRPr="00735740">
        <w:t>rchive</w:t>
      </w:r>
    </w:p>
    <w:p w14:paraId="6D2A341A" w14:textId="5089AA43" w:rsidR="00E35C64" w:rsidRPr="00735740" w:rsidRDefault="00187FA4" w:rsidP="00A27FB9">
      <w:pPr>
        <w:spacing w:line="360" w:lineRule="auto"/>
        <w:rPr>
          <w:rFonts w:ascii="Garamond" w:hAnsi="Garamond" w:cs="Times New Roman"/>
          <w:color w:val="000000" w:themeColor="text1"/>
          <w:sz w:val="24"/>
          <w:szCs w:val="24"/>
          <w:lang w:eastAsia="en-GB"/>
        </w:rPr>
      </w:pPr>
      <w:r w:rsidRPr="00735740">
        <w:rPr>
          <w:rFonts w:ascii="Garamond" w:hAnsi="Garamond"/>
          <w:color w:val="000000" w:themeColor="text1"/>
          <w:sz w:val="24"/>
          <w:szCs w:val="24"/>
        </w:rPr>
        <w:t>The</w:t>
      </w:r>
      <w:r w:rsidR="00E35C64" w:rsidRPr="00735740">
        <w:rPr>
          <w:rFonts w:ascii="Garamond" w:hAnsi="Garamond"/>
          <w:color w:val="000000" w:themeColor="text1"/>
          <w:sz w:val="24"/>
          <w:szCs w:val="24"/>
        </w:rPr>
        <w:t xml:space="preserve"> ICTR’s archive</w:t>
      </w:r>
      <w:r w:rsidRPr="00735740">
        <w:rPr>
          <w:rFonts w:ascii="Garamond" w:hAnsi="Garamond"/>
          <w:color w:val="000000" w:themeColor="text1"/>
          <w:sz w:val="24"/>
          <w:szCs w:val="24"/>
        </w:rPr>
        <w:t>, like international criminal justice more generally,</w:t>
      </w:r>
      <w:r w:rsidR="00E35C64" w:rsidRPr="00735740">
        <w:rPr>
          <w:rFonts w:ascii="Garamond" w:hAnsi="Garamond"/>
          <w:color w:val="000000" w:themeColor="text1"/>
          <w:sz w:val="24"/>
          <w:szCs w:val="24"/>
        </w:rPr>
        <w:t xml:space="preserve"> </w:t>
      </w:r>
      <w:r w:rsidR="00A27FB9" w:rsidRPr="00735740">
        <w:rPr>
          <w:rFonts w:ascii="Garamond" w:hAnsi="Garamond"/>
          <w:color w:val="000000" w:themeColor="text1"/>
          <w:sz w:val="24"/>
          <w:szCs w:val="24"/>
        </w:rPr>
        <w:t>is</w:t>
      </w:r>
      <w:r w:rsidR="00E35C64" w:rsidRPr="00735740">
        <w:rPr>
          <w:rFonts w:ascii="Garamond" w:hAnsi="Garamond"/>
          <w:color w:val="000000" w:themeColor="text1"/>
          <w:sz w:val="24"/>
          <w:szCs w:val="24"/>
        </w:rPr>
        <w:t xml:space="preserve"> rooted in an enlightenment world view.</w:t>
      </w:r>
      <w:r w:rsidR="00E35C64" w:rsidRPr="00735740">
        <w:rPr>
          <w:rStyle w:val="FootnoteReference"/>
          <w:rFonts w:ascii="Garamond" w:hAnsi="Garamond"/>
          <w:color w:val="000000" w:themeColor="text1"/>
          <w:sz w:val="24"/>
          <w:szCs w:val="24"/>
        </w:rPr>
        <w:footnoteReference w:id="63"/>
      </w:r>
      <w:r w:rsidR="00E35C64" w:rsidRPr="00735740">
        <w:rPr>
          <w:rFonts w:ascii="Garamond" w:hAnsi="Garamond"/>
          <w:color w:val="000000" w:themeColor="text1"/>
          <w:sz w:val="24"/>
          <w:szCs w:val="24"/>
        </w:rPr>
        <w:t xml:space="preserve"> </w:t>
      </w:r>
      <w:r w:rsidR="00FD2396" w:rsidRPr="00735740">
        <w:rPr>
          <w:rFonts w:ascii="Garamond" w:hAnsi="Garamond"/>
          <w:color w:val="000000" w:themeColor="text1"/>
          <w:sz w:val="24"/>
          <w:szCs w:val="24"/>
        </w:rPr>
        <w:t>The court</w:t>
      </w:r>
      <w:r w:rsidR="00877FF7" w:rsidRPr="00735740">
        <w:rPr>
          <w:rFonts w:ascii="Garamond" w:hAnsi="Garamond"/>
          <w:color w:val="000000" w:themeColor="text1"/>
          <w:sz w:val="24"/>
          <w:szCs w:val="24"/>
        </w:rPr>
        <w:t>’s</w:t>
      </w:r>
      <w:r w:rsidR="00FD2396" w:rsidRPr="00735740">
        <w:rPr>
          <w:rFonts w:ascii="Garamond" w:hAnsi="Garamond"/>
          <w:color w:val="000000" w:themeColor="text1"/>
          <w:sz w:val="24"/>
          <w:szCs w:val="24"/>
        </w:rPr>
        <w:t xml:space="preserve"> records were built on a faith in </w:t>
      </w:r>
      <w:r w:rsidR="001060A1" w:rsidRPr="00735740">
        <w:rPr>
          <w:rFonts w:ascii="Garamond" w:hAnsi="Garamond"/>
          <w:color w:val="000000" w:themeColor="text1"/>
          <w:sz w:val="24"/>
          <w:szCs w:val="24"/>
        </w:rPr>
        <w:t xml:space="preserve">a </w:t>
      </w:r>
      <w:r w:rsidRPr="00735740">
        <w:rPr>
          <w:rFonts w:ascii="Garamond" w:hAnsi="Garamond"/>
          <w:color w:val="000000" w:themeColor="text1"/>
          <w:sz w:val="24"/>
          <w:szCs w:val="24"/>
        </w:rPr>
        <w:t>scientific rationalism</w:t>
      </w:r>
      <w:r w:rsidR="00FD2396" w:rsidRPr="00735740">
        <w:rPr>
          <w:rFonts w:ascii="Garamond" w:hAnsi="Garamond"/>
          <w:color w:val="000000" w:themeColor="text1"/>
          <w:sz w:val="24"/>
          <w:szCs w:val="24"/>
        </w:rPr>
        <w:t xml:space="preserve">, which </w:t>
      </w:r>
      <w:r w:rsidR="00E35C64" w:rsidRPr="00735740">
        <w:rPr>
          <w:rFonts w:ascii="Garamond" w:hAnsi="Garamond"/>
          <w:color w:val="000000" w:themeColor="text1"/>
          <w:sz w:val="24"/>
          <w:szCs w:val="24"/>
        </w:rPr>
        <w:t>stressed the possibility of determining the</w:t>
      </w:r>
      <w:r w:rsidR="00E35C64" w:rsidRPr="00735740">
        <w:rPr>
          <w:rFonts w:ascii="Garamond" w:hAnsi="Garamond"/>
          <w:i/>
          <w:iCs/>
          <w:color w:val="000000" w:themeColor="text1"/>
          <w:sz w:val="24"/>
          <w:szCs w:val="24"/>
        </w:rPr>
        <w:t xml:space="preserve"> </w:t>
      </w:r>
      <w:r w:rsidR="00E35C64" w:rsidRPr="00735740">
        <w:rPr>
          <w:rFonts w:ascii="Garamond" w:hAnsi="Garamond"/>
          <w:color w:val="000000" w:themeColor="text1"/>
          <w:sz w:val="24"/>
          <w:szCs w:val="24"/>
        </w:rPr>
        <w:t xml:space="preserve">truth </w:t>
      </w:r>
      <w:r w:rsidR="00280647" w:rsidRPr="00735740">
        <w:rPr>
          <w:rFonts w:ascii="Garamond" w:hAnsi="Garamond"/>
          <w:color w:val="000000" w:themeColor="text1"/>
          <w:sz w:val="24"/>
          <w:szCs w:val="24"/>
        </w:rPr>
        <w:t>through</w:t>
      </w:r>
      <w:r w:rsidR="00E35C64" w:rsidRPr="00735740">
        <w:rPr>
          <w:rFonts w:ascii="Garamond" w:hAnsi="Garamond"/>
          <w:color w:val="000000" w:themeColor="text1"/>
          <w:sz w:val="24"/>
          <w:szCs w:val="24"/>
        </w:rPr>
        <w:t xml:space="preserve"> </w:t>
      </w:r>
      <w:r w:rsidR="00DB316E" w:rsidRPr="00735740">
        <w:rPr>
          <w:rFonts w:ascii="Garamond" w:hAnsi="Garamond"/>
          <w:color w:val="000000" w:themeColor="text1"/>
          <w:sz w:val="24"/>
          <w:szCs w:val="24"/>
        </w:rPr>
        <w:t xml:space="preserve">a </w:t>
      </w:r>
      <w:r w:rsidR="00E35C64" w:rsidRPr="00735740">
        <w:rPr>
          <w:rFonts w:ascii="Garamond" w:hAnsi="Garamond"/>
          <w:color w:val="000000" w:themeColor="text1"/>
          <w:sz w:val="24"/>
          <w:szCs w:val="24"/>
        </w:rPr>
        <w:t>process of controlled contestation of the evidence between two parties</w:t>
      </w:r>
      <w:r w:rsidRPr="00735740">
        <w:rPr>
          <w:rFonts w:ascii="Garamond" w:hAnsi="Garamond"/>
          <w:color w:val="000000" w:themeColor="text1"/>
          <w:sz w:val="24"/>
          <w:szCs w:val="24"/>
        </w:rPr>
        <w:t xml:space="preserve"> (the defence and prosecution)</w:t>
      </w:r>
      <w:r w:rsidR="00E35C64" w:rsidRPr="00735740">
        <w:rPr>
          <w:rFonts w:ascii="Garamond" w:hAnsi="Garamond"/>
          <w:color w:val="000000" w:themeColor="text1"/>
          <w:sz w:val="24"/>
          <w:szCs w:val="24"/>
        </w:rPr>
        <w:t xml:space="preserve">, and decided on by a neutral third party (the judges). It was </w:t>
      </w:r>
      <w:r w:rsidRPr="00735740">
        <w:rPr>
          <w:rFonts w:ascii="Garamond" w:hAnsi="Garamond"/>
          <w:color w:val="000000" w:themeColor="text1"/>
          <w:sz w:val="24"/>
          <w:szCs w:val="24"/>
        </w:rPr>
        <w:t xml:space="preserve">because of its ability to establish a verified account </w:t>
      </w:r>
      <w:r w:rsidR="00FD2396" w:rsidRPr="00735740">
        <w:rPr>
          <w:rFonts w:ascii="Garamond" w:hAnsi="Garamond"/>
          <w:color w:val="000000" w:themeColor="text1"/>
          <w:sz w:val="24"/>
          <w:szCs w:val="24"/>
        </w:rPr>
        <w:t>of past violence</w:t>
      </w:r>
      <w:r w:rsidR="0060064D" w:rsidRPr="00735740">
        <w:rPr>
          <w:rFonts w:ascii="Garamond" w:hAnsi="Garamond"/>
          <w:color w:val="000000" w:themeColor="text1"/>
          <w:sz w:val="24"/>
          <w:szCs w:val="24"/>
        </w:rPr>
        <w:t xml:space="preserve"> </w:t>
      </w:r>
      <w:r w:rsidR="00E35C64" w:rsidRPr="00735740">
        <w:rPr>
          <w:rFonts w:ascii="Garamond" w:hAnsi="Garamond"/>
          <w:color w:val="000000" w:themeColor="text1"/>
          <w:sz w:val="24"/>
          <w:szCs w:val="24"/>
        </w:rPr>
        <w:t xml:space="preserve">that </w:t>
      </w:r>
      <w:r w:rsidR="00877FF7" w:rsidRPr="00735740">
        <w:rPr>
          <w:rFonts w:ascii="Garamond" w:hAnsi="Garamond"/>
          <w:color w:val="000000" w:themeColor="text1"/>
          <w:sz w:val="24"/>
          <w:szCs w:val="24"/>
        </w:rPr>
        <w:t xml:space="preserve">advocates believed </w:t>
      </w:r>
      <w:r w:rsidR="00E35C64" w:rsidRPr="00735740">
        <w:rPr>
          <w:rFonts w:ascii="Garamond" w:hAnsi="Garamond"/>
          <w:color w:val="000000" w:themeColor="text1"/>
          <w:sz w:val="24"/>
          <w:szCs w:val="24"/>
        </w:rPr>
        <w:t xml:space="preserve">the ICTR </w:t>
      </w:r>
      <w:r w:rsidR="00877FF7" w:rsidRPr="00735740">
        <w:rPr>
          <w:rFonts w:ascii="Garamond" w:hAnsi="Garamond"/>
          <w:color w:val="000000" w:themeColor="text1"/>
          <w:sz w:val="24"/>
          <w:szCs w:val="24"/>
        </w:rPr>
        <w:t>could</w:t>
      </w:r>
      <w:r w:rsidR="00E35C64" w:rsidRPr="00735740">
        <w:rPr>
          <w:rFonts w:ascii="Garamond" w:hAnsi="Garamond"/>
          <w:color w:val="000000" w:themeColor="text1"/>
          <w:sz w:val="24"/>
          <w:szCs w:val="24"/>
        </w:rPr>
        <w:t xml:space="preserve"> help </w:t>
      </w:r>
      <w:r w:rsidR="00877FF7" w:rsidRPr="00735740">
        <w:rPr>
          <w:rFonts w:ascii="Garamond" w:hAnsi="Garamond"/>
          <w:color w:val="000000" w:themeColor="text1"/>
          <w:sz w:val="24"/>
          <w:szCs w:val="24"/>
        </w:rPr>
        <w:t>‘</w:t>
      </w:r>
      <w:r w:rsidR="00E35C64" w:rsidRPr="00735740">
        <w:rPr>
          <w:rFonts w:ascii="Garamond" w:hAnsi="Garamond"/>
          <w:color w:val="000000" w:themeColor="text1"/>
          <w:sz w:val="24"/>
          <w:szCs w:val="24"/>
        </w:rPr>
        <w:t>draw a line</w:t>
      </w:r>
      <w:r w:rsidR="00877FF7" w:rsidRPr="00735740">
        <w:rPr>
          <w:rFonts w:ascii="Garamond" w:hAnsi="Garamond"/>
          <w:color w:val="000000" w:themeColor="text1"/>
          <w:sz w:val="24"/>
          <w:szCs w:val="24"/>
        </w:rPr>
        <w:t>’</w:t>
      </w:r>
      <w:r w:rsidR="00E35C64" w:rsidRPr="00735740">
        <w:rPr>
          <w:rFonts w:ascii="Garamond" w:hAnsi="Garamond"/>
          <w:color w:val="000000" w:themeColor="text1"/>
          <w:sz w:val="24"/>
          <w:szCs w:val="24"/>
        </w:rPr>
        <w:t xml:space="preserve"> under the </w:t>
      </w:r>
      <w:r w:rsidRPr="00735740">
        <w:rPr>
          <w:rFonts w:ascii="Garamond" w:hAnsi="Garamond"/>
          <w:color w:val="000000" w:themeColor="text1"/>
          <w:sz w:val="24"/>
          <w:szCs w:val="24"/>
        </w:rPr>
        <w:t>genocide</w:t>
      </w:r>
      <w:r w:rsidR="00E35C64" w:rsidRPr="00735740">
        <w:rPr>
          <w:rFonts w:ascii="Garamond" w:hAnsi="Garamond"/>
          <w:color w:val="000000" w:themeColor="text1"/>
          <w:sz w:val="24"/>
          <w:szCs w:val="24"/>
        </w:rPr>
        <w:t>.</w:t>
      </w:r>
      <w:r w:rsidR="007532D4" w:rsidRPr="00735740">
        <w:rPr>
          <w:rStyle w:val="FootnoteReference"/>
          <w:rFonts w:ascii="Garamond" w:hAnsi="Garamond"/>
          <w:color w:val="000000" w:themeColor="text1"/>
          <w:sz w:val="24"/>
          <w:szCs w:val="24"/>
        </w:rPr>
        <w:footnoteReference w:id="64"/>
      </w:r>
      <w:r w:rsidR="00E35C64" w:rsidRPr="00735740">
        <w:rPr>
          <w:rFonts w:ascii="Garamond" w:hAnsi="Garamond"/>
          <w:color w:val="000000" w:themeColor="text1"/>
          <w:sz w:val="24"/>
          <w:szCs w:val="24"/>
        </w:rPr>
        <w:t xml:space="preserve"> Underpinning this system of thought was, moreover, a liberal understanding of community based on principles of universality, equality, progress and individualism.</w:t>
      </w:r>
      <w:r w:rsidR="002162F1" w:rsidRPr="00735740">
        <w:rPr>
          <w:rStyle w:val="FootnoteReference"/>
          <w:rFonts w:ascii="Garamond" w:hAnsi="Garamond"/>
          <w:color w:val="000000" w:themeColor="text1"/>
          <w:sz w:val="24"/>
          <w:szCs w:val="24"/>
        </w:rPr>
        <w:footnoteReference w:id="65"/>
      </w:r>
      <w:r w:rsidR="00E35C64" w:rsidRPr="00735740">
        <w:rPr>
          <w:rFonts w:ascii="Garamond" w:hAnsi="Garamond"/>
          <w:color w:val="000000" w:themeColor="text1"/>
          <w:sz w:val="24"/>
          <w:szCs w:val="24"/>
        </w:rPr>
        <w:t xml:space="preserve"> Universality and equality were explicitly embedded in the ICTR’s mandate through the application of universal jurisdiction and in the tribunal’s deliberate targeting of senior figures in </w:t>
      </w:r>
      <w:r w:rsidR="00FD2396" w:rsidRPr="00735740">
        <w:rPr>
          <w:rFonts w:ascii="Garamond" w:hAnsi="Garamond"/>
          <w:color w:val="000000" w:themeColor="text1"/>
          <w:sz w:val="24"/>
          <w:szCs w:val="24"/>
        </w:rPr>
        <w:t xml:space="preserve">the </w:t>
      </w:r>
      <w:r w:rsidR="00E35C64" w:rsidRPr="00735740">
        <w:rPr>
          <w:rFonts w:ascii="Garamond" w:hAnsi="Garamond"/>
          <w:color w:val="000000" w:themeColor="text1"/>
          <w:sz w:val="24"/>
          <w:szCs w:val="24"/>
        </w:rPr>
        <w:t>Rwandan</w:t>
      </w:r>
      <w:r w:rsidR="00FD2396" w:rsidRPr="00735740">
        <w:rPr>
          <w:rFonts w:ascii="Garamond" w:hAnsi="Garamond"/>
          <w:color w:val="000000" w:themeColor="text1"/>
          <w:sz w:val="24"/>
          <w:szCs w:val="24"/>
        </w:rPr>
        <w:t xml:space="preserve"> government and military</w:t>
      </w:r>
      <w:r w:rsidR="00E35C64" w:rsidRPr="00735740">
        <w:rPr>
          <w:rFonts w:ascii="Garamond" w:hAnsi="Garamond"/>
          <w:color w:val="000000" w:themeColor="text1"/>
          <w:sz w:val="24"/>
          <w:szCs w:val="24"/>
        </w:rPr>
        <w:t xml:space="preserve">, showing that no one was above the law. </w:t>
      </w:r>
      <w:r w:rsidRPr="00735740">
        <w:rPr>
          <w:rFonts w:ascii="Garamond" w:hAnsi="Garamond"/>
          <w:color w:val="000000" w:themeColor="text1"/>
          <w:sz w:val="24"/>
          <w:szCs w:val="24"/>
        </w:rPr>
        <w:t>T</w:t>
      </w:r>
      <w:r w:rsidR="00E35C64" w:rsidRPr="00735740">
        <w:rPr>
          <w:rFonts w:ascii="Garamond" w:hAnsi="Garamond"/>
          <w:color w:val="000000" w:themeColor="text1"/>
          <w:sz w:val="24"/>
          <w:szCs w:val="24"/>
        </w:rPr>
        <w:t xml:space="preserve">he idea of progress was also of central importance to the ICTR’s legitimacy, as </w:t>
      </w:r>
      <w:r w:rsidR="00F02042" w:rsidRPr="00735740">
        <w:rPr>
          <w:rFonts w:ascii="Garamond" w:hAnsi="Garamond"/>
          <w:color w:val="000000" w:themeColor="text1"/>
          <w:sz w:val="24"/>
          <w:szCs w:val="24"/>
        </w:rPr>
        <w:t xml:space="preserve">the UN believed that </w:t>
      </w:r>
      <w:r w:rsidR="00E35C64" w:rsidRPr="00735740">
        <w:rPr>
          <w:rFonts w:ascii="Garamond" w:hAnsi="Garamond"/>
          <w:color w:val="000000" w:themeColor="text1"/>
          <w:sz w:val="24"/>
          <w:szCs w:val="24"/>
        </w:rPr>
        <w:t xml:space="preserve">the development and application of international law </w:t>
      </w:r>
      <w:r w:rsidR="00F02042" w:rsidRPr="00735740">
        <w:rPr>
          <w:rFonts w:ascii="Garamond" w:hAnsi="Garamond"/>
          <w:color w:val="000000" w:themeColor="text1"/>
          <w:sz w:val="24"/>
          <w:szCs w:val="24"/>
        </w:rPr>
        <w:t xml:space="preserve">would </w:t>
      </w:r>
      <w:r w:rsidR="00E35C64" w:rsidRPr="00735740">
        <w:rPr>
          <w:rFonts w:ascii="Garamond" w:hAnsi="Garamond"/>
          <w:color w:val="000000" w:themeColor="text1"/>
          <w:sz w:val="24"/>
          <w:szCs w:val="24"/>
        </w:rPr>
        <w:t>help reduce violence within the international community.</w:t>
      </w:r>
      <w:r w:rsidR="003D03A8" w:rsidRPr="00735740">
        <w:rPr>
          <w:rFonts w:ascii="Garamond" w:hAnsi="Garamond" w:cs="Times New Roman"/>
          <w:color w:val="000000" w:themeColor="text1"/>
          <w:sz w:val="24"/>
          <w:szCs w:val="24"/>
          <w:vertAlign w:val="superscript"/>
        </w:rPr>
        <w:footnoteReference w:id="66"/>
      </w:r>
      <w:r w:rsidR="003D03A8" w:rsidRPr="00735740">
        <w:rPr>
          <w:rFonts w:ascii="Garamond" w:hAnsi="Garamond" w:cs="Times New Roman"/>
          <w:color w:val="000000" w:themeColor="text1"/>
          <w:sz w:val="24"/>
          <w:szCs w:val="24"/>
        </w:rPr>
        <w:t xml:space="preserve"> </w:t>
      </w:r>
    </w:p>
    <w:p w14:paraId="21BD11A1" w14:textId="4BA148AF" w:rsidR="00A27FB9" w:rsidRPr="00735740" w:rsidRDefault="00E35C64" w:rsidP="00A27FB9">
      <w:pPr>
        <w:spacing w:line="360" w:lineRule="auto"/>
        <w:rPr>
          <w:rFonts w:ascii="Garamond" w:hAnsi="Garamond"/>
          <w:color w:val="000000" w:themeColor="text1"/>
          <w:sz w:val="24"/>
          <w:szCs w:val="24"/>
        </w:rPr>
      </w:pPr>
      <w:r w:rsidRPr="00735740">
        <w:rPr>
          <w:rFonts w:ascii="Garamond" w:hAnsi="Garamond"/>
          <w:color w:val="000000" w:themeColor="text1"/>
          <w:sz w:val="24"/>
          <w:szCs w:val="24"/>
        </w:rPr>
        <w:t>Of particular importance for thinking about the link between the archive, community and governance was the archive’s focus on the individual.</w:t>
      </w:r>
      <w:r w:rsidR="00A071B2" w:rsidRPr="00735740">
        <w:rPr>
          <w:rStyle w:val="FootnoteReference"/>
          <w:rFonts w:ascii="Garamond" w:hAnsi="Garamond"/>
          <w:color w:val="000000" w:themeColor="text1"/>
          <w:sz w:val="24"/>
          <w:szCs w:val="24"/>
        </w:rPr>
        <w:footnoteReference w:id="67"/>
      </w:r>
      <w:r w:rsidRPr="00735740">
        <w:rPr>
          <w:rFonts w:ascii="Garamond" w:hAnsi="Garamond"/>
          <w:color w:val="000000" w:themeColor="text1"/>
          <w:sz w:val="24"/>
          <w:szCs w:val="24"/>
        </w:rPr>
        <w:t xml:space="preserve"> One of the supposed strengths of the tribunal was its ability to determine </w:t>
      </w:r>
      <w:r w:rsidRPr="00735740">
        <w:rPr>
          <w:rFonts w:ascii="Garamond" w:hAnsi="Garamond"/>
          <w:iCs/>
          <w:color w:val="000000" w:themeColor="text1"/>
          <w:sz w:val="24"/>
          <w:szCs w:val="24"/>
        </w:rPr>
        <w:t>individual</w:t>
      </w:r>
      <w:r w:rsidRPr="00735740">
        <w:rPr>
          <w:rFonts w:ascii="Garamond" w:hAnsi="Garamond"/>
          <w:i/>
          <w:iCs/>
          <w:color w:val="000000" w:themeColor="text1"/>
          <w:sz w:val="24"/>
          <w:szCs w:val="24"/>
        </w:rPr>
        <w:t xml:space="preserve"> </w:t>
      </w:r>
      <w:r w:rsidRPr="00735740">
        <w:rPr>
          <w:rFonts w:ascii="Garamond" w:hAnsi="Garamond"/>
          <w:color w:val="000000" w:themeColor="text1"/>
          <w:sz w:val="24"/>
          <w:szCs w:val="24"/>
        </w:rPr>
        <w:t>responsibility and sort the guilty from the innocent.</w:t>
      </w:r>
      <w:r w:rsidR="003D03A8" w:rsidRPr="00735740">
        <w:rPr>
          <w:rFonts w:ascii="Garamond" w:hAnsi="Garamond"/>
          <w:color w:val="000000" w:themeColor="text1"/>
          <w:sz w:val="24"/>
          <w:szCs w:val="24"/>
          <w:vertAlign w:val="superscript"/>
        </w:rPr>
        <w:t xml:space="preserve"> </w:t>
      </w:r>
      <w:r w:rsidR="003D03A8" w:rsidRPr="00735740">
        <w:rPr>
          <w:rFonts w:ascii="Garamond" w:hAnsi="Garamond"/>
          <w:color w:val="000000" w:themeColor="text1"/>
          <w:sz w:val="24"/>
          <w:szCs w:val="24"/>
          <w:vertAlign w:val="superscript"/>
        </w:rPr>
        <w:footnoteReference w:id="68"/>
      </w:r>
      <w:r w:rsidR="003D03A8" w:rsidRPr="00735740">
        <w:rPr>
          <w:rFonts w:ascii="Garamond" w:hAnsi="Garamond" w:cs="Times New Roman"/>
          <w:color w:val="000000" w:themeColor="text1"/>
          <w:sz w:val="24"/>
          <w:szCs w:val="24"/>
          <w:lang w:eastAsia="en-GB"/>
        </w:rPr>
        <w:t xml:space="preserve"> </w:t>
      </w:r>
      <w:r w:rsidRPr="00735740">
        <w:rPr>
          <w:rFonts w:ascii="Garamond" w:hAnsi="Garamond"/>
          <w:color w:val="000000" w:themeColor="text1"/>
          <w:sz w:val="24"/>
          <w:szCs w:val="24"/>
        </w:rPr>
        <w:t xml:space="preserve"> Again, influenced by enlightenment logic, this focused the archive around the actions of the conscious and rational perpetrator. </w:t>
      </w:r>
      <w:r w:rsidR="00FD2396" w:rsidRPr="00735740">
        <w:rPr>
          <w:rFonts w:ascii="Garamond" w:hAnsi="Garamond"/>
          <w:color w:val="000000" w:themeColor="text1"/>
          <w:sz w:val="24"/>
          <w:szCs w:val="24"/>
        </w:rPr>
        <w:t xml:space="preserve">During </w:t>
      </w:r>
      <w:r w:rsidR="00FD2396" w:rsidRPr="00735740">
        <w:rPr>
          <w:rFonts w:ascii="Garamond" w:hAnsi="Garamond"/>
          <w:i/>
          <w:color w:val="000000" w:themeColor="text1"/>
          <w:sz w:val="24"/>
          <w:szCs w:val="24"/>
        </w:rPr>
        <w:t xml:space="preserve">Akayesu </w:t>
      </w:r>
      <w:r w:rsidR="00FD2396" w:rsidRPr="00735740">
        <w:rPr>
          <w:rFonts w:ascii="Garamond" w:hAnsi="Garamond"/>
          <w:color w:val="000000" w:themeColor="text1"/>
          <w:sz w:val="24"/>
          <w:szCs w:val="24"/>
        </w:rPr>
        <w:t>the prosecution stressed that:</w:t>
      </w:r>
    </w:p>
    <w:p w14:paraId="5241E3A5" w14:textId="15E156D9" w:rsidR="00FD2396" w:rsidRPr="00735740" w:rsidRDefault="00FD2396" w:rsidP="00A27FB9">
      <w:pPr>
        <w:spacing w:line="360" w:lineRule="auto"/>
        <w:ind w:left="850"/>
        <w:rPr>
          <w:rFonts w:ascii="Garamond" w:hAnsi="Garamond"/>
          <w:color w:val="000000" w:themeColor="text1"/>
          <w:sz w:val="24"/>
          <w:szCs w:val="24"/>
        </w:rPr>
      </w:pPr>
      <w:r w:rsidRPr="00735740">
        <w:rPr>
          <w:rFonts w:ascii="Garamond" w:hAnsi="Garamond"/>
          <w:color w:val="000000" w:themeColor="text1"/>
          <w:sz w:val="24"/>
          <w:szCs w:val="24"/>
        </w:rPr>
        <w:t xml:space="preserve">Akayesu </w:t>
      </w:r>
      <w:r w:rsidRPr="00735740">
        <w:rPr>
          <w:rFonts w:ascii="Garamond" w:hAnsi="Garamond"/>
          <w:i/>
          <w:color w:val="000000" w:themeColor="text1"/>
          <w:sz w:val="24"/>
          <w:szCs w:val="24"/>
        </w:rPr>
        <w:t>consciously chose</w:t>
      </w:r>
      <w:r w:rsidRPr="00735740">
        <w:rPr>
          <w:rFonts w:ascii="Garamond" w:hAnsi="Garamond"/>
          <w:color w:val="000000" w:themeColor="text1"/>
          <w:sz w:val="24"/>
          <w:szCs w:val="24"/>
        </w:rPr>
        <w:t xml:space="preserve"> to participate in the systematic killings that followed in Taba. He publicly incited people to kill in Taba. He also ordered the killing of a number of persons some of whom were killed in his presence and he participated in the killings. He also cautioned and supported through his presence and acts, the rape of many women at the bureau communal. (Emphasis added.)</w:t>
      </w:r>
      <w:r w:rsidR="00A27FB9" w:rsidRPr="00735740">
        <w:rPr>
          <w:rFonts w:ascii="Garamond" w:hAnsi="Garamond"/>
          <w:color w:val="000000" w:themeColor="text1"/>
          <w:sz w:val="24"/>
          <w:szCs w:val="24"/>
        </w:rPr>
        <w:t>.</w:t>
      </w:r>
      <w:r w:rsidRPr="00735740">
        <w:rPr>
          <w:rFonts w:ascii="Garamond" w:hAnsi="Garamond"/>
          <w:color w:val="000000" w:themeColor="text1"/>
          <w:sz w:val="24"/>
          <w:szCs w:val="24"/>
          <w:vertAlign w:val="superscript"/>
        </w:rPr>
        <w:footnoteReference w:id="69"/>
      </w:r>
      <w:r w:rsidRPr="00735740">
        <w:rPr>
          <w:rFonts w:ascii="Garamond" w:hAnsi="Garamond"/>
          <w:color w:val="000000" w:themeColor="text1"/>
          <w:sz w:val="24"/>
          <w:szCs w:val="24"/>
          <w:vertAlign w:val="superscript"/>
        </w:rPr>
        <w:t xml:space="preserve"> </w:t>
      </w:r>
    </w:p>
    <w:p w14:paraId="5339CB8D" w14:textId="3B2871FD" w:rsidR="00D84905" w:rsidRPr="00735740" w:rsidRDefault="00E35C64" w:rsidP="00A27FB9">
      <w:pPr>
        <w:spacing w:line="360" w:lineRule="auto"/>
        <w:rPr>
          <w:rFonts w:ascii="Garamond" w:hAnsi="Garamond" w:cs="Times New Roman"/>
          <w:color w:val="000000" w:themeColor="text1"/>
          <w:sz w:val="24"/>
          <w:szCs w:val="24"/>
          <w:lang w:eastAsia="en-GB"/>
        </w:rPr>
      </w:pPr>
      <w:r w:rsidRPr="00735740">
        <w:rPr>
          <w:rFonts w:ascii="Garamond" w:hAnsi="Garamond"/>
          <w:color w:val="000000" w:themeColor="text1"/>
          <w:sz w:val="24"/>
          <w:szCs w:val="24"/>
        </w:rPr>
        <w:lastRenderedPageBreak/>
        <w:t>This produced accounts of violence</w:t>
      </w:r>
      <w:r w:rsidR="00C42B19" w:rsidRPr="00735740">
        <w:rPr>
          <w:rFonts w:ascii="Garamond" w:hAnsi="Garamond"/>
          <w:color w:val="000000" w:themeColor="text1"/>
          <w:sz w:val="24"/>
          <w:szCs w:val="24"/>
        </w:rPr>
        <w:t xml:space="preserve"> within the archive</w:t>
      </w:r>
      <w:r w:rsidRPr="00735740">
        <w:rPr>
          <w:rFonts w:ascii="Garamond" w:hAnsi="Garamond"/>
          <w:color w:val="000000" w:themeColor="text1"/>
          <w:sz w:val="24"/>
          <w:szCs w:val="24"/>
        </w:rPr>
        <w:t xml:space="preserve"> that were</w:t>
      </w:r>
      <w:r w:rsidR="001060A1" w:rsidRPr="00735740">
        <w:rPr>
          <w:rFonts w:ascii="Garamond" w:hAnsi="Garamond"/>
          <w:color w:val="000000" w:themeColor="text1"/>
          <w:sz w:val="24"/>
          <w:szCs w:val="24"/>
        </w:rPr>
        <w:t xml:space="preserve"> ordered, </w:t>
      </w:r>
      <w:r w:rsidRPr="00735740">
        <w:rPr>
          <w:rFonts w:ascii="Garamond" w:hAnsi="Garamond"/>
          <w:color w:val="000000" w:themeColor="text1"/>
          <w:sz w:val="24"/>
          <w:szCs w:val="24"/>
        </w:rPr>
        <w:t xml:space="preserve">neat and linear, where an </w:t>
      </w:r>
      <w:r w:rsidR="00DB316E" w:rsidRPr="00735740">
        <w:rPr>
          <w:rFonts w:ascii="Garamond" w:hAnsi="Garamond"/>
          <w:color w:val="000000" w:themeColor="text1"/>
          <w:sz w:val="24"/>
          <w:szCs w:val="24"/>
        </w:rPr>
        <w:t>individual’s</w:t>
      </w:r>
      <w:r w:rsidRPr="00735740">
        <w:rPr>
          <w:rFonts w:ascii="Garamond" w:hAnsi="Garamond"/>
          <w:color w:val="000000" w:themeColor="text1"/>
          <w:sz w:val="24"/>
          <w:szCs w:val="24"/>
        </w:rPr>
        <w:t xml:space="preserve"> discrete contribution </w:t>
      </w:r>
      <w:r w:rsidR="0060064D" w:rsidRPr="00735740">
        <w:rPr>
          <w:rFonts w:ascii="Garamond" w:hAnsi="Garamond"/>
          <w:color w:val="000000" w:themeColor="text1"/>
          <w:sz w:val="24"/>
          <w:szCs w:val="24"/>
        </w:rPr>
        <w:t xml:space="preserve">to </w:t>
      </w:r>
      <w:r w:rsidRPr="00735740">
        <w:rPr>
          <w:rFonts w:ascii="Garamond" w:hAnsi="Garamond"/>
          <w:color w:val="000000" w:themeColor="text1"/>
          <w:sz w:val="24"/>
          <w:szCs w:val="24"/>
        </w:rPr>
        <w:t>the crime was determined.</w:t>
      </w:r>
      <w:r w:rsidR="00C06235" w:rsidRPr="00735740">
        <w:rPr>
          <w:rFonts w:ascii="Garamond" w:hAnsi="Garamond"/>
          <w:color w:val="000000" w:themeColor="text1"/>
          <w:sz w:val="24"/>
          <w:szCs w:val="24"/>
          <w:vertAlign w:val="superscript"/>
        </w:rPr>
        <w:t xml:space="preserve"> </w:t>
      </w:r>
      <w:r w:rsidR="00C06235" w:rsidRPr="00735740">
        <w:rPr>
          <w:rFonts w:ascii="Garamond" w:hAnsi="Garamond"/>
          <w:color w:val="000000" w:themeColor="text1"/>
          <w:sz w:val="24"/>
          <w:szCs w:val="24"/>
          <w:vertAlign w:val="superscript"/>
        </w:rPr>
        <w:footnoteReference w:id="70"/>
      </w:r>
    </w:p>
    <w:p w14:paraId="1D495191" w14:textId="194C0BF2" w:rsidR="00E35C64" w:rsidRPr="00735740" w:rsidRDefault="00E35C64" w:rsidP="00A27FB9">
      <w:pPr>
        <w:spacing w:line="360" w:lineRule="auto"/>
        <w:rPr>
          <w:rFonts w:ascii="Garamond" w:hAnsi="Garamond"/>
          <w:color w:val="000000" w:themeColor="text1"/>
          <w:sz w:val="24"/>
          <w:szCs w:val="24"/>
        </w:rPr>
      </w:pPr>
      <w:r w:rsidRPr="00735740">
        <w:rPr>
          <w:rFonts w:ascii="Garamond" w:hAnsi="Garamond"/>
          <w:color w:val="000000" w:themeColor="text1"/>
          <w:sz w:val="24"/>
          <w:szCs w:val="24"/>
        </w:rPr>
        <w:t xml:space="preserve">Examining the ICTR’s </w:t>
      </w:r>
      <w:r w:rsidR="002B23EC" w:rsidRPr="00735740">
        <w:rPr>
          <w:rFonts w:ascii="Garamond" w:hAnsi="Garamond"/>
          <w:color w:val="000000" w:themeColor="text1"/>
          <w:sz w:val="24"/>
          <w:szCs w:val="24"/>
        </w:rPr>
        <w:t>records</w:t>
      </w:r>
      <w:r w:rsidRPr="00735740">
        <w:rPr>
          <w:rFonts w:ascii="Garamond" w:hAnsi="Garamond"/>
          <w:color w:val="000000" w:themeColor="text1"/>
          <w:sz w:val="24"/>
          <w:szCs w:val="24"/>
        </w:rPr>
        <w:t xml:space="preserve">, however, shows that this understanding of responsibility </w:t>
      </w:r>
      <w:r w:rsidR="00DB316E" w:rsidRPr="00735740">
        <w:rPr>
          <w:rFonts w:ascii="Garamond" w:hAnsi="Garamond"/>
          <w:color w:val="000000" w:themeColor="text1"/>
          <w:sz w:val="24"/>
          <w:szCs w:val="24"/>
        </w:rPr>
        <w:t xml:space="preserve">was </w:t>
      </w:r>
      <w:r w:rsidRPr="00735740">
        <w:rPr>
          <w:rFonts w:ascii="Garamond" w:hAnsi="Garamond"/>
          <w:color w:val="000000" w:themeColor="text1"/>
          <w:sz w:val="24"/>
          <w:szCs w:val="24"/>
        </w:rPr>
        <w:t>in a state of flux. During the early years of the ICTR there were changes in the archive’s rules that were directed at better</w:t>
      </w:r>
      <w:r w:rsidRPr="00735740">
        <w:rPr>
          <w:rFonts w:ascii="Garamond" w:hAnsi="Garamond"/>
          <w:i/>
          <w:iCs/>
          <w:color w:val="000000" w:themeColor="text1"/>
          <w:sz w:val="24"/>
          <w:szCs w:val="24"/>
        </w:rPr>
        <w:t xml:space="preserve"> </w:t>
      </w:r>
      <w:r w:rsidRPr="00735740">
        <w:rPr>
          <w:rFonts w:ascii="Garamond" w:hAnsi="Garamond"/>
          <w:color w:val="000000" w:themeColor="text1"/>
          <w:sz w:val="24"/>
          <w:szCs w:val="24"/>
        </w:rPr>
        <w:t>accounting for the collective nature of crimes such as genocide</w:t>
      </w:r>
      <w:r w:rsidR="00026135" w:rsidRPr="00735740">
        <w:rPr>
          <w:rFonts w:ascii="Garamond" w:hAnsi="Garamond"/>
          <w:color w:val="000000" w:themeColor="text1"/>
          <w:sz w:val="24"/>
          <w:szCs w:val="24"/>
        </w:rPr>
        <w:t>, and seemed to at least partially deflect focus away from the individual</w:t>
      </w:r>
      <w:r w:rsidRPr="00735740">
        <w:rPr>
          <w:rFonts w:ascii="Garamond" w:hAnsi="Garamond"/>
          <w:color w:val="000000" w:themeColor="text1"/>
          <w:sz w:val="24"/>
          <w:szCs w:val="24"/>
        </w:rPr>
        <w:t>. Important in this respect was the development of joint criminal enterprise (JCE)</w:t>
      </w:r>
      <w:r w:rsidR="00A90269" w:rsidRPr="00735740">
        <w:rPr>
          <w:rFonts w:ascii="Garamond" w:hAnsi="Garamond"/>
          <w:color w:val="000000" w:themeColor="text1"/>
          <w:sz w:val="24"/>
          <w:szCs w:val="24"/>
        </w:rPr>
        <w:t xml:space="preserve"> - a group that was alleged to possess a shared common</w:t>
      </w:r>
      <w:r w:rsidR="00711956" w:rsidRPr="00735740">
        <w:rPr>
          <w:rFonts w:ascii="Garamond" w:hAnsi="Garamond"/>
          <w:color w:val="000000" w:themeColor="text1"/>
          <w:sz w:val="24"/>
          <w:szCs w:val="24"/>
        </w:rPr>
        <w:t xml:space="preserve"> criminal</w:t>
      </w:r>
      <w:r w:rsidR="00A90269" w:rsidRPr="00735740">
        <w:rPr>
          <w:rFonts w:ascii="Garamond" w:hAnsi="Garamond"/>
          <w:color w:val="000000" w:themeColor="text1"/>
          <w:sz w:val="24"/>
          <w:szCs w:val="24"/>
        </w:rPr>
        <w:t xml:space="preserve"> plan or purpose - </w:t>
      </w:r>
      <w:r w:rsidRPr="00735740">
        <w:rPr>
          <w:rFonts w:ascii="Garamond" w:hAnsi="Garamond"/>
          <w:color w:val="000000" w:themeColor="text1"/>
          <w:sz w:val="24"/>
          <w:szCs w:val="24"/>
        </w:rPr>
        <w:t xml:space="preserve"> and command responsibility</w:t>
      </w:r>
      <w:r w:rsidR="00711956" w:rsidRPr="00735740">
        <w:rPr>
          <w:rFonts w:ascii="Garamond" w:hAnsi="Garamond"/>
          <w:color w:val="000000" w:themeColor="text1"/>
          <w:sz w:val="24"/>
          <w:szCs w:val="24"/>
        </w:rPr>
        <w:t xml:space="preserve"> – where superiors were held accountable</w:t>
      </w:r>
      <w:r w:rsidR="00590FEF" w:rsidRPr="00735740">
        <w:rPr>
          <w:rFonts w:ascii="Garamond" w:hAnsi="Garamond"/>
          <w:color w:val="000000" w:themeColor="text1"/>
          <w:sz w:val="24"/>
          <w:szCs w:val="24"/>
        </w:rPr>
        <w:t xml:space="preserve"> for the crimes of their subordinates -</w:t>
      </w:r>
      <w:r w:rsidRPr="00735740">
        <w:rPr>
          <w:rFonts w:ascii="Garamond" w:hAnsi="Garamond"/>
          <w:color w:val="000000" w:themeColor="text1"/>
          <w:sz w:val="24"/>
          <w:szCs w:val="24"/>
        </w:rPr>
        <w:t xml:space="preserve"> as modes of liability, which allowed the archive to capture the more amorphous forms of responsibility that </w:t>
      </w:r>
      <w:r w:rsidR="00590FEF" w:rsidRPr="00735740">
        <w:rPr>
          <w:rFonts w:ascii="Garamond" w:hAnsi="Garamond"/>
          <w:color w:val="000000" w:themeColor="text1"/>
          <w:sz w:val="24"/>
          <w:szCs w:val="24"/>
        </w:rPr>
        <w:t xml:space="preserve">occur </w:t>
      </w:r>
      <w:r w:rsidRPr="00735740">
        <w:rPr>
          <w:rFonts w:ascii="Garamond" w:hAnsi="Garamond"/>
          <w:color w:val="000000" w:themeColor="text1"/>
          <w:sz w:val="24"/>
          <w:szCs w:val="24"/>
        </w:rPr>
        <w:t>during genocide.</w:t>
      </w:r>
      <w:r w:rsidRPr="00735740">
        <w:rPr>
          <w:rStyle w:val="FootnoteReference"/>
          <w:rFonts w:ascii="Garamond" w:hAnsi="Garamond"/>
          <w:color w:val="000000" w:themeColor="text1"/>
          <w:sz w:val="24"/>
          <w:szCs w:val="24"/>
        </w:rPr>
        <w:footnoteReference w:id="71"/>
      </w:r>
      <w:r w:rsidRPr="00735740">
        <w:rPr>
          <w:rFonts w:ascii="Garamond" w:hAnsi="Garamond"/>
          <w:color w:val="000000" w:themeColor="text1"/>
          <w:sz w:val="24"/>
          <w:szCs w:val="24"/>
        </w:rPr>
        <w:t xml:space="preserve"> </w:t>
      </w:r>
    </w:p>
    <w:p w14:paraId="20CAF740" w14:textId="562EBDB8" w:rsidR="00E35C64" w:rsidRPr="00735740" w:rsidRDefault="00E35C64" w:rsidP="00201640">
      <w:pPr>
        <w:pStyle w:val="CommentText"/>
        <w:spacing w:line="360" w:lineRule="auto"/>
        <w:rPr>
          <w:rFonts w:ascii="Garamond" w:hAnsi="Garamond"/>
          <w:color w:val="000000" w:themeColor="text1"/>
          <w:sz w:val="24"/>
          <w:szCs w:val="24"/>
        </w:rPr>
      </w:pPr>
      <w:r w:rsidRPr="00735740">
        <w:rPr>
          <w:rFonts w:ascii="Garamond" w:hAnsi="Garamond"/>
          <w:color w:val="000000" w:themeColor="text1"/>
          <w:sz w:val="24"/>
          <w:szCs w:val="24"/>
        </w:rPr>
        <w:t>With time, however,</w:t>
      </w:r>
      <w:r w:rsidR="003B3A52" w:rsidRPr="00735740">
        <w:rPr>
          <w:rFonts w:ascii="Garamond" w:hAnsi="Garamond"/>
          <w:color w:val="000000" w:themeColor="text1"/>
          <w:sz w:val="24"/>
          <w:szCs w:val="24"/>
        </w:rPr>
        <w:t xml:space="preserve"> the</w:t>
      </w:r>
      <w:r w:rsidRPr="00735740">
        <w:rPr>
          <w:rFonts w:ascii="Garamond" w:hAnsi="Garamond"/>
          <w:color w:val="000000" w:themeColor="text1"/>
          <w:sz w:val="24"/>
          <w:szCs w:val="24"/>
        </w:rPr>
        <w:t xml:space="preserve"> archive refocused on the individual.</w:t>
      </w:r>
      <w:r w:rsidRPr="00735740">
        <w:rPr>
          <w:rStyle w:val="FootnoteReference"/>
          <w:rFonts w:ascii="Garamond" w:hAnsi="Garamond"/>
          <w:color w:val="000000" w:themeColor="text1"/>
          <w:sz w:val="24"/>
          <w:szCs w:val="24"/>
        </w:rPr>
        <w:footnoteReference w:id="72"/>
      </w:r>
      <w:r w:rsidRPr="00735740">
        <w:rPr>
          <w:rFonts w:ascii="Garamond" w:hAnsi="Garamond"/>
          <w:color w:val="000000" w:themeColor="text1"/>
          <w:sz w:val="24"/>
          <w:szCs w:val="24"/>
        </w:rPr>
        <w:t xml:space="preserve"> </w:t>
      </w:r>
      <w:r w:rsidR="000D24FC" w:rsidRPr="00735740">
        <w:rPr>
          <w:rFonts w:ascii="Garamond" w:hAnsi="Garamond"/>
          <w:color w:val="000000" w:themeColor="text1"/>
          <w:sz w:val="24"/>
          <w:szCs w:val="24"/>
        </w:rPr>
        <w:t>W</w:t>
      </w:r>
      <w:r w:rsidRPr="00735740">
        <w:rPr>
          <w:rFonts w:ascii="Garamond" w:hAnsi="Garamond"/>
          <w:color w:val="000000" w:themeColor="text1"/>
          <w:sz w:val="24"/>
          <w:szCs w:val="24"/>
        </w:rPr>
        <w:t xml:space="preserve">hilst the </w:t>
      </w:r>
      <w:r w:rsidR="007532D4" w:rsidRPr="00735740">
        <w:rPr>
          <w:rFonts w:ascii="Garamond" w:hAnsi="Garamond"/>
          <w:color w:val="000000" w:themeColor="text1"/>
          <w:sz w:val="24"/>
          <w:szCs w:val="24"/>
        </w:rPr>
        <w:t xml:space="preserve">legal </w:t>
      </w:r>
      <w:r w:rsidRPr="00735740">
        <w:rPr>
          <w:rFonts w:ascii="Garamond" w:hAnsi="Garamond"/>
          <w:color w:val="000000" w:themeColor="text1"/>
          <w:sz w:val="24"/>
          <w:szCs w:val="24"/>
        </w:rPr>
        <w:t>reasoning behind this is complex</w:t>
      </w:r>
      <w:r w:rsidR="00DB316E" w:rsidRPr="00735740">
        <w:rPr>
          <w:rFonts w:ascii="Garamond" w:hAnsi="Garamond"/>
          <w:color w:val="000000" w:themeColor="text1"/>
          <w:sz w:val="24"/>
          <w:szCs w:val="24"/>
        </w:rPr>
        <w:t xml:space="preserve"> and multifaceted</w:t>
      </w:r>
      <w:r w:rsidRPr="00735740">
        <w:rPr>
          <w:rFonts w:ascii="Garamond" w:hAnsi="Garamond"/>
          <w:color w:val="000000" w:themeColor="text1"/>
          <w:sz w:val="24"/>
          <w:szCs w:val="24"/>
        </w:rPr>
        <w:t xml:space="preserve">, in essence what changed was that the </w:t>
      </w:r>
      <w:r w:rsidR="00DB316E" w:rsidRPr="00735740">
        <w:rPr>
          <w:rFonts w:ascii="Garamond" w:hAnsi="Garamond"/>
          <w:color w:val="000000" w:themeColor="text1"/>
          <w:sz w:val="24"/>
          <w:szCs w:val="24"/>
        </w:rPr>
        <w:t xml:space="preserve">tribunal </w:t>
      </w:r>
      <w:r w:rsidRPr="00735740">
        <w:rPr>
          <w:rFonts w:ascii="Garamond" w:hAnsi="Garamond"/>
          <w:color w:val="000000" w:themeColor="text1"/>
          <w:sz w:val="24"/>
          <w:szCs w:val="24"/>
        </w:rPr>
        <w:t xml:space="preserve">began to impose far higher standards of proof for these </w:t>
      </w:r>
      <w:r w:rsidR="004F201E" w:rsidRPr="00735740">
        <w:rPr>
          <w:rFonts w:ascii="Garamond" w:hAnsi="Garamond"/>
          <w:color w:val="000000" w:themeColor="text1"/>
          <w:sz w:val="24"/>
          <w:szCs w:val="24"/>
        </w:rPr>
        <w:t xml:space="preserve">more </w:t>
      </w:r>
      <w:r w:rsidR="000D24FC" w:rsidRPr="00735740">
        <w:rPr>
          <w:rFonts w:ascii="Garamond" w:hAnsi="Garamond"/>
          <w:color w:val="000000" w:themeColor="text1"/>
          <w:sz w:val="24"/>
          <w:szCs w:val="24"/>
        </w:rPr>
        <w:t>amorphous</w:t>
      </w:r>
      <w:r w:rsidR="004F201E" w:rsidRPr="00735740">
        <w:rPr>
          <w:rFonts w:ascii="Garamond" w:hAnsi="Garamond"/>
          <w:color w:val="000000" w:themeColor="text1"/>
          <w:sz w:val="24"/>
          <w:szCs w:val="24"/>
        </w:rPr>
        <w:t xml:space="preserve"> </w:t>
      </w:r>
      <w:r w:rsidR="002B23EC" w:rsidRPr="00735740">
        <w:rPr>
          <w:rFonts w:ascii="Garamond" w:hAnsi="Garamond"/>
          <w:color w:val="000000" w:themeColor="text1"/>
          <w:sz w:val="24"/>
          <w:szCs w:val="24"/>
        </w:rPr>
        <w:t xml:space="preserve">and collective </w:t>
      </w:r>
      <w:r w:rsidR="004F201E" w:rsidRPr="00735740">
        <w:rPr>
          <w:rFonts w:ascii="Garamond" w:hAnsi="Garamond"/>
          <w:color w:val="000000" w:themeColor="text1"/>
          <w:sz w:val="24"/>
          <w:szCs w:val="24"/>
        </w:rPr>
        <w:t xml:space="preserve">forms </w:t>
      </w:r>
      <w:r w:rsidRPr="00735740">
        <w:rPr>
          <w:rFonts w:ascii="Garamond" w:hAnsi="Garamond"/>
          <w:color w:val="000000" w:themeColor="text1"/>
          <w:sz w:val="24"/>
          <w:szCs w:val="24"/>
        </w:rPr>
        <w:t>of liability</w:t>
      </w:r>
      <w:r w:rsidR="00DB316E" w:rsidRPr="00735740">
        <w:rPr>
          <w:rFonts w:ascii="Garamond" w:hAnsi="Garamond"/>
          <w:color w:val="000000" w:themeColor="text1"/>
          <w:sz w:val="24"/>
          <w:szCs w:val="24"/>
        </w:rPr>
        <w:t xml:space="preserve">, making </w:t>
      </w:r>
      <w:r w:rsidRPr="00735740">
        <w:rPr>
          <w:rFonts w:ascii="Garamond" w:hAnsi="Garamond"/>
          <w:color w:val="000000" w:themeColor="text1"/>
          <w:sz w:val="24"/>
          <w:szCs w:val="24"/>
        </w:rPr>
        <w:t xml:space="preserve">it substantially </w:t>
      </w:r>
      <w:r w:rsidR="00DB316E" w:rsidRPr="00735740">
        <w:rPr>
          <w:rFonts w:ascii="Garamond" w:hAnsi="Garamond"/>
          <w:color w:val="000000" w:themeColor="text1"/>
          <w:sz w:val="24"/>
          <w:szCs w:val="24"/>
        </w:rPr>
        <w:t>harder</w:t>
      </w:r>
      <w:r w:rsidR="004F201E" w:rsidRPr="00735740">
        <w:rPr>
          <w:rFonts w:ascii="Garamond" w:hAnsi="Garamond"/>
          <w:color w:val="000000" w:themeColor="text1"/>
          <w:sz w:val="24"/>
          <w:szCs w:val="24"/>
        </w:rPr>
        <w:t xml:space="preserve"> </w:t>
      </w:r>
      <w:r w:rsidRPr="00735740">
        <w:rPr>
          <w:rFonts w:ascii="Garamond" w:hAnsi="Garamond"/>
          <w:color w:val="000000" w:themeColor="text1"/>
          <w:sz w:val="24"/>
          <w:szCs w:val="24"/>
        </w:rPr>
        <w:t>to find defendants guilty.</w:t>
      </w:r>
      <w:r w:rsidRPr="00735740">
        <w:rPr>
          <w:rStyle w:val="FootnoteReference"/>
          <w:rFonts w:ascii="Garamond" w:hAnsi="Garamond"/>
          <w:color w:val="000000" w:themeColor="text1"/>
          <w:sz w:val="24"/>
          <w:szCs w:val="24"/>
        </w:rPr>
        <w:footnoteReference w:id="73"/>
      </w:r>
      <w:r w:rsidRPr="00735740">
        <w:rPr>
          <w:rFonts w:ascii="Garamond" w:hAnsi="Garamond"/>
          <w:color w:val="000000" w:themeColor="text1"/>
          <w:sz w:val="24"/>
          <w:szCs w:val="24"/>
        </w:rPr>
        <w:t xml:space="preserve"> The effects of this shift </w:t>
      </w:r>
      <w:r w:rsidR="00DB316E" w:rsidRPr="00735740">
        <w:rPr>
          <w:rFonts w:ascii="Garamond" w:hAnsi="Garamond"/>
          <w:color w:val="000000" w:themeColor="text1"/>
          <w:sz w:val="24"/>
          <w:szCs w:val="24"/>
        </w:rPr>
        <w:t xml:space="preserve">were </w:t>
      </w:r>
      <w:r w:rsidRPr="00735740">
        <w:rPr>
          <w:rFonts w:ascii="Garamond" w:hAnsi="Garamond"/>
          <w:color w:val="000000" w:themeColor="text1"/>
          <w:sz w:val="24"/>
          <w:szCs w:val="24"/>
        </w:rPr>
        <w:t xml:space="preserve">seen in the appeals judgement for </w:t>
      </w:r>
      <w:r w:rsidRPr="00735740">
        <w:rPr>
          <w:rFonts w:ascii="Garamond" w:hAnsi="Garamond"/>
          <w:i/>
          <w:color w:val="000000" w:themeColor="text1"/>
          <w:sz w:val="24"/>
          <w:szCs w:val="24"/>
        </w:rPr>
        <w:t>Military 1</w:t>
      </w:r>
      <w:r w:rsidRPr="00735740">
        <w:rPr>
          <w:rFonts w:ascii="Garamond" w:hAnsi="Garamond"/>
          <w:color w:val="000000" w:themeColor="text1"/>
          <w:sz w:val="24"/>
          <w:szCs w:val="24"/>
        </w:rPr>
        <w:t xml:space="preserve">, against Colonel Bagosora, Major Ntabakuze and Colonel Nsengiyumva, often seen as amongst the genocide’s chief-architects. In applying a more conservative reading of </w:t>
      </w:r>
      <w:r w:rsidR="00DB316E" w:rsidRPr="00735740">
        <w:rPr>
          <w:rFonts w:ascii="Garamond" w:hAnsi="Garamond"/>
          <w:color w:val="000000" w:themeColor="text1"/>
          <w:sz w:val="24"/>
          <w:szCs w:val="24"/>
        </w:rPr>
        <w:t>the law</w:t>
      </w:r>
      <w:r w:rsidRPr="00735740">
        <w:rPr>
          <w:rFonts w:ascii="Garamond" w:hAnsi="Garamond"/>
          <w:color w:val="000000" w:themeColor="text1"/>
          <w:sz w:val="24"/>
          <w:szCs w:val="24"/>
        </w:rPr>
        <w:t>, the appeals judgement overturned the trial chamber’s ruling regarding the defendants’ responsibility for crimes committed by their subordinates, resulting in a significant reduction in the accused’s sentences.</w:t>
      </w:r>
      <w:r w:rsidRPr="00735740">
        <w:rPr>
          <w:rStyle w:val="FootnoteReference"/>
          <w:rFonts w:ascii="Garamond" w:hAnsi="Garamond"/>
          <w:color w:val="000000" w:themeColor="text1"/>
          <w:sz w:val="24"/>
          <w:szCs w:val="24"/>
        </w:rPr>
        <w:footnoteReference w:id="74"/>
      </w:r>
      <w:r w:rsidRPr="00735740">
        <w:rPr>
          <w:rFonts w:ascii="Garamond" w:hAnsi="Garamond"/>
          <w:color w:val="000000" w:themeColor="text1"/>
          <w:sz w:val="24"/>
          <w:szCs w:val="24"/>
        </w:rPr>
        <w:t xml:space="preserve"> </w:t>
      </w:r>
    </w:p>
    <w:p w14:paraId="257C2858" w14:textId="6A25AC26" w:rsidR="00E35C64" w:rsidRPr="00735740" w:rsidRDefault="00A90269" w:rsidP="00201640">
      <w:pPr>
        <w:pStyle w:val="CommentText"/>
        <w:spacing w:line="360" w:lineRule="auto"/>
        <w:rPr>
          <w:rFonts w:ascii="Garamond" w:hAnsi="Garamond"/>
          <w:color w:val="000000" w:themeColor="text1"/>
          <w:sz w:val="24"/>
          <w:szCs w:val="24"/>
        </w:rPr>
      </w:pPr>
      <w:r w:rsidRPr="00735740">
        <w:rPr>
          <w:rFonts w:ascii="Garamond" w:hAnsi="Garamond"/>
          <w:color w:val="000000" w:themeColor="text1"/>
          <w:sz w:val="24"/>
          <w:szCs w:val="24"/>
        </w:rPr>
        <w:lastRenderedPageBreak/>
        <w:t xml:space="preserve">One </w:t>
      </w:r>
      <w:r w:rsidR="00E35C64" w:rsidRPr="00735740">
        <w:rPr>
          <w:rFonts w:ascii="Garamond" w:hAnsi="Garamond"/>
          <w:color w:val="000000" w:themeColor="text1"/>
          <w:sz w:val="24"/>
          <w:szCs w:val="24"/>
        </w:rPr>
        <w:t xml:space="preserve">explanation for this </w:t>
      </w:r>
      <w:r w:rsidR="004F201E" w:rsidRPr="00735740">
        <w:rPr>
          <w:rFonts w:ascii="Garamond" w:hAnsi="Garamond"/>
          <w:color w:val="000000" w:themeColor="text1"/>
          <w:sz w:val="24"/>
          <w:szCs w:val="24"/>
        </w:rPr>
        <w:t xml:space="preserve">shift was that it was </w:t>
      </w:r>
      <w:r w:rsidR="00026135" w:rsidRPr="00735740">
        <w:rPr>
          <w:rFonts w:ascii="Garamond" w:hAnsi="Garamond"/>
          <w:color w:val="000000" w:themeColor="text1"/>
          <w:sz w:val="24"/>
          <w:szCs w:val="24"/>
        </w:rPr>
        <w:t xml:space="preserve">the result of pressure exerted on the tribunal by </w:t>
      </w:r>
      <w:r w:rsidR="00E35C64" w:rsidRPr="00735740">
        <w:rPr>
          <w:rFonts w:ascii="Garamond" w:hAnsi="Garamond"/>
          <w:color w:val="000000" w:themeColor="text1"/>
          <w:sz w:val="24"/>
          <w:szCs w:val="24"/>
        </w:rPr>
        <w:t>power</w:t>
      </w:r>
      <w:r w:rsidR="004F201E" w:rsidRPr="00735740">
        <w:rPr>
          <w:rFonts w:ascii="Garamond" w:hAnsi="Garamond"/>
          <w:color w:val="000000" w:themeColor="text1"/>
          <w:sz w:val="24"/>
          <w:szCs w:val="24"/>
        </w:rPr>
        <w:t>ful</w:t>
      </w:r>
      <w:r w:rsidR="00E35C64" w:rsidRPr="00735740">
        <w:rPr>
          <w:rFonts w:ascii="Garamond" w:hAnsi="Garamond"/>
          <w:color w:val="000000" w:themeColor="text1"/>
          <w:sz w:val="24"/>
          <w:szCs w:val="24"/>
        </w:rPr>
        <w:t>-state actors.</w:t>
      </w:r>
      <w:r w:rsidR="00E35C64" w:rsidRPr="00735740">
        <w:rPr>
          <w:rStyle w:val="FootnoteReference"/>
          <w:rFonts w:ascii="Garamond" w:hAnsi="Garamond"/>
          <w:color w:val="000000" w:themeColor="text1"/>
          <w:sz w:val="24"/>
          <w:szCs w:val="24"/>
        </w:rPr>
        <w:footnoteReference w:id="75"/>
      </w:r>
      <w:r w:rsidR="00E35C64" w:rsidRPr="00735740">
        <w:rPr>
          <w:rFonts w:ascii="Garamond" w:hAnsi="Garamond"/>
          <w:color w:val="000000" w:themeColor="text1"/>
          <w:sz w:val="24"/>
          <w:szCs w:val="24"/>
        </w:rPr>
        <w:t xml:space="preserve"> Judge Harhoff, a former appeals judge at the tribunal, was dismissed after a private letter he wrote was leaked revealing his concern that the appeals chamber was imposing </w:t>
      </w:r>
      <w:r w:rsidR="00E04858" w:rsidRPr="00735740">
        <w:rPr>
          <w:rFonts w:ascii="Garamond" w:hAnsi="Garamond"/>
          <w:color w:val="000000" w:themeColor="text1"/>
          <w:sz w:val="24"/>
          <w:szCs w:val="24"/>
        </w:rPr>
        <w:t>more stringent</w:t>
      </w:r>
      <w:r w:rsidR="00E35C64" w:rsidRPr="00735740">
        <w:rPr>
          <w:rFonts w:ascii="Garamond" w:hAnsi="Garamond"/>
          <w:color w:val="000000" w:themeColor="text1"/>
          <w:sz w:val="24"/>
          <w:szCs w:val="24"/>
        </w:rPr>
        <w:t xml:space="preserve"> interpretation</w:t>
      </w:r>
      <w:r w:rsidR="00E04858" w:rsidRPr="00735740">
        <w:rPr>
          <w:rFonts w:ascii="Garamond" w:hAnsi="Garamond"/>
          <w:color w:val="000000" w:themeColor="text1"/>
          <w:sz w:val="24"/>
          <w:szCs w:val="24"/>
        </w:rPr>
        <w:t>s</w:t>
      </w:r>
      <w:r w:rsidR="00E35C64" w:rsidRPr="00735740">
        <w:rPr>
          <w:rFonts w:ascii="Garamond" w:hAnsi="Garamond"/>
          <w:color w:val="000000" w:themeColor="text1"/>
          <w:sz w:val="24"/>
          <w:szCs w:val="24"/>
        </w:rPr>
        <w:t xml:space="preserve"> of </w:t>
      </w:r>
      <w:r w:rsidR="002705A2" w:rsidRPr="00735740">
        <w:rPr>
          <w:rFonts w:ascii="Garamond" w:hAnsi="Garamond"/>
          <w:color w:val="000000" w:themeColor="text1"/>
          <w:sz w:val="24"/>
          <w:szCs w:val="24"/>
        </w:rPr>
        <w:t>JCE and command responsibility</w:t>
      </w:r>
      <w:r w:rsidR="00E35C64" w:rsidRPr="00735740">
        <w:rPr>
          <w:rFonts w:ascii="Garamond" w:hAnsi="Garamond"/>
          <w:color w:val="000000" w:themeColor="text1"/>
          <w:sz w:val="24"/>
          <w:szCs w:val="24"/>
        </w:rPr>
        <w:t>.</w:t>
      </w:r>
      <w:r w:rsidR="00E35C64" w:rsidRPr="00735740">
        <w:rPr>
          <w:rFonts w:ascii="Garamond" w:hAnsi="Garamond"/>
          <w:color w:val="000000" w:themeColor="text1"/>
          <w:sz w:val="24"/>
          <w:szCs w:val="24"/>
          <w:vertAlign w:val="superscript"/>
        </w:rPr>
        <w:footnoteReference w:id="76"/>
      </w:r>
      <w:r w:rsidR="00E35C64" w:rsidRPr="00735740">
        <w:rPr>
          <w:rFonts w:ascii="Garamond" w:hAnsi="Garamond"/>
          <w:color w:val="000000" w:themeColor="text1"/>
          <w:sz w:val="24"/>
          <w:szCs w:val="24"/>
        </w:rPr>
        <w:t xml:space="preserve"> According to Harhoff, </w:t>
      </w:r>
      <w:r w:rsidR="004F201E" w:rsidRPr="00735740">
        <w:rPr>
          <w:rFonts w:ascii="Garamond" w:hAnsi="Garamond"/>
          <w:color w:val="000000" w:themeColor="text1"/>
          <w:sz w:val="24"/>
          <w:szCs w:val="24"/>
        </w:rPr>
        <w:t xml:space="preserve">judges were being influenced by </w:t>
      </w:r>
      <w:r w:rsidR="00E35C64" w:rsidRPr="00735740">
        <w:rPr>
          <w:rFonts w:ascii="Garamond" w:hAnsi="Garamond"/>
          <w:color w:val="000000" w:themeColor="text1"/>
          <w:sz w:val="24"/>
          <w:szCs w:val="24"/>
        </w:rPr>
        <w:t xml:space="preserve">leading military powers (pointing </w:t>
      </w:r>
      <w:r w:rsidR="00CC21C2" w:rsidRPr="00735740">
        <w:rPr>
          <w:rFonts w:ascii="Garamond" w:hAnsi="Garamond"/>
          <w:color w:val="000000" w:themeColor="text1"/>
          <w:sz w:val="24"/>
          <w:szCs w:val="24"/>
        </w:rPr>
        <w:t xml:space="preserve">specifically </w:t>
      </w:r>
      <w:r w:rsidR="00E35C64" w:rsidRPr="00735740">
        <w:rPr>
          <w:rFonts w:ascii="Garamond" w:hAnsi="Garamond"/>
          <w:color w:val="000000" w:themeColor="text1"/>
          <w:sz w:val="24"/>
          <w:szCs w:val="24"/>
        </w:rPr>
        <w:t xml:space="preserve">to the US and Israel) who were concerned that the jurisprudence as it then stood had the potential to make it too easy to hold military commanders and heads of state to account for </w:t>
      </w:r>
      <w:r w:rsidR="00B11323" w:rsidRPr="00735740">
        <w:rPr>
          <w:rFonts w:ascii="Garamond" w:hAnsi="Garamond"/>
          <w:color w:val="000000" w:themeColor="text1"/>
          <w:sz w:val="24"/>
          <w:szCs w:val="24"/>
        </w:rPr>
        <w:t xml:space="preserve">their subordinates’ </w:t>
      </w:r>
      <w:r w:rsidR="00E35C64" w:rsidRPr="00735740">
        <w:rPr>
          <w:rFonts w:ascii="Garamond" w:hAnsi="Garamond"/>
          <w:color w:val="000000" w:themeColor="text1"/>
          <w:sz w:val="24"/>
          <w:szCs w:val="24"/>
        </w:rPr>
        <w:t>crimes. This, they feared, would overly restrict military operations as greater (and potentially unnecessary) caution would be used by commanders to ensure that they did not fall foul of the law if their subordinates used excess</w:t>
      </w:r>
      <w:r w:rsidR="00A93980" w:rsidRPr="00735740">
        <w:rPr>
          <w:rFonts w:ascii="Garamond" w:hAnsi="Garamond"/>
          <w:color w:val="000000" w:themeColor="text1"/>
          <w:sz w:val="24"/>
          <w:szCs w:val="24"/>
        </w:rPr>
        <w:t>ive levels of</w:t>
      </w:r>
      <w:r w:rsidR="00E35C64" w:rsidRPr="00735740">
        <w:rPr>
          <w:rFonts w:ascii="Garamond" w:hAnsi="Garamond"/>
          <w:color w:val="000000" w:themeColor="text1"/>
          <w:sz w:val="24"/>
          <w:szCs w:val="24"/>
        </w:rPr>
        <w:t xml:space="preserve"> violence.</w:t>
      </w:r>
      <w:r w:rsidR="00E35C64" w:rsidRPr="00735740">
        <w:rPr>
          <w:rFonts w:ascii="Garamond" w:hAnsi="Garamond"/>
          <w:color w:val="000000" w:themeColor="text1"/>
          <w:sz w:val="24"/>
          <w:szCs w:val="24"/>
          <w:vertAlign w:val="superscript"/>
        </w:rPr>
        <w:footnoteReference w:id="77"/>
      </w:r>
    </w:p>
    <w:p w14:paraId="2724867F" w14:textId="0211A583" w:rsidR="00E35C64" w:rsidRPr="00735740" w:rsidRDefault="00E35C64" w:rsidP="00201640">
      <w:pPr>
        <w:pStyle w:val="CommentText"/>
        <w:spacing w:line="360" w:lineRule="auto"/>
        <w:rPr>
          <w:rFonts w:ascii="Garamond" w:hAnsi="Garamond"/>
          <w:color w:val="000000" w:themeColor="text1"/>
          <w:sz w:val="24"/>
          <w:szCs w:val="24"/>
        </w:rPr>
      </w:pPr>
      <w:r w:rsidRPr="00735740">
        <w:rPr>
          <w:rFonts w:ascii="Garamond" w:hAnsi="Garamond"/>
          <w:color w:val="000000" w:themeColor="text1"/>
          <w:sz w:val="24"/>
          <w:szCs w:val="24"/>
        </w:rPr>
        <w:t xml:space="preserve">The tribunal has strongly denied </w:t>
      </w:r>
      <w:r w:rsidR="00DB316E" w:rsidRPr="00735740">
        <w:rPr>
          <w:rFonts w:ascii="Garamond" w:hAnsi="Garamond"/>
          <w:color w:val="000000" w:themeColor="text1"/>
          <w:sz w:val="24"/>
          <w:szCs w:val="24"/>
        </w:rPr>
        <w:t>Harhoff’s account</w:t>
      </w:r>
      <w:r w:rsidRPr="00735740">
        <w:rPr>
          <w:rFonts w:ascii="Garamond" w:hAnsi="Garamond"/>
          <w:color w:val="000000" w:themeColor="text1"/>
          <w:sz w:val="24"/>
          <w:szCs w:val="24"/>
        </w:rPr>
        <w:t>. What is interesting, however, is that whil</w:t>
      </w:r>
      <w:r w:rsidR="0020187C" w:rsidRPr="00735740">
        <w:rPr>
          <w:rFonts w:ascii="Garamond" w:hAnsi="Garamond"/>
          <w:color w:val="000000" w:themeColor="text1"/>
          <w:sz w:val="24"/>
          <w:szCs w:val="24"/>
        </w:rPr>
        <w:t>e denying external meddling,</w:t>
      </w:r>
      <w:r w:rsidR="0020187C" w:rsidRPr="00735740" w:rsidDel="0020187C">
        <w:rPr>
          <w:rFonts w:ascii="Garamond" w:hAnsi="Garamond"/>
          <w:color w:val="000000" w:themeColor="text1"/>
          <w:sz w:val="24"/>
          <w:szCs w:val="24"/>
        </w:rPr>
        <w:t xml:space="preserve"> </w:t>
      </w:r>
      <w:r w:rsidR="00A27FB9" w:rsidRPr="00735740">
        <w:rPr>
          <w:rFonts w:ascii="Garamond" w:hAnsi="Garamond"/>
          <w:color w:val="000000" w:themeColor="text1"/>
          <w:sz w:val="24"/>
          <w:szCs w:val="24"/>
        </w:rPr>
        <w:t xml:space="preserve">senior figures at the tribunal have publicly supported </w:t>
      </w:r>
      <w:r w:rsidR="004F201E" w:rsidRPr="00735740">
        <w:rPr>
          <w:rFonts w:ascii="Garamond" w:hAnsi="Garamond"/>
          <w:color w:val="000000" w:themeColor="text1"/>
          <w:sz w:val="24"/>
          <w:szCs w:val="24"/>
        </w:rPr>
        <w:t xml:space="preserve">the </w:t>
      </w:r>
      <w:r w:rsidRPr="00735740">
        <w:rPr>
          <w:rFonts w:ascii="Garamond" w:hAnsi="Garamond"/>
          <w:color w:val="000000" w:themeColor="text1"/>
          <w:sz w:val="24"/>
          <w:szCs w:val="24"/>
        </w:rPr>
        <w:t xml:space="preserve">underpinning logic that international </w:t>
      </w:r>
      <w:r w:rsidR="002705A2" w:rsidRPr="00735740">
        <w:rPr>
          <w:rFonts w:ascii="Garamond" w:hAnsi="Garamond"/>
          <w:color w:val="000000" w:themeColor="text1"/>
          <w:sz w:val="24"/>
          <w:szCs w:val="24"/>
        </w:rPr>
        <w:t>criminal law</w:t>
      </w:r>
      <w:r w:rsidRPr="00735740">
        <w:rPr>
          <w:rFonts w:ascii="Garamond" w:hAnsi="Garamond"/>
          <w:color w:val="000000" w:themeColor="text1"/>
          <w:sz w:val="24"/>
          <w:szCs w:val="24"/>
        </w:rPr>
        <w:t xml:space="preserve"> (I</w:t>
      </w:r>
      <w:r w:rsidR="002705A2" w:rsidRPr="00735740">
        <w:rPr>
          <w:rFonts w:ascii="Garamond" w:hAnsi="Garamond"/>
          <w:color w:val="000000" w:themeColor="text1"/>
          <w:sz w:val="24"/>
          <w:szCs w:val="24"/>
        </w:rPr>
        <w:t>C</w:t>
      </w:r>
      <w:r w:rsidRPr="00735740">
        <w:rPr>
          <w:rFonts w:ascii="Garamond" w:hAnsi="Garamond"/>
          <w:color w:val="000000" w:themeColor="text1"/>
          <w:sz w:val="24"/>
          <w:szCs w:val="24"/>
        </w:rPr>
        <w:t xml:space="preserve">L) should not </w:t>
      </w:r>
      <w:r w:rsidRPr="00735740">
        <w:rPr>
          <w:rFonts w:ascii="Garamond" w:hAnsi="Garamond"/>
          <w:i/>
          <w:iCs/>
          <w:color w:val="000000" w:themeColor="text1"/>
          <w:sz w:val="24"/>
          <w:szCs w:val="24"/>
        </w:rPr>
        <w:t xml:space="preserve">overly </w:t>
      </w:r>
      <w:r w:rsidRPr="00735740">
        <w:rPr>
          <w:rFonts w:ascii="Garamond" w:hAnsi="Garamond"/>
          <w:color w:val="000000" w:themeColor="text1"/>
          <w:sz w:val="24"/>
          <w:szCs w:val="24"/>
        </w:rPr>
        <w:t xml:space="preserve">restrict military operations. </w:t>
      </w:r>
      <w:r w:rsidR="00A27FB9" w:rsidRPr="00735740">
        <w:rPr>
          <w:rFonts w:ascii="Garamond" w:hAnsi="Garamond"/>
          <w:color w:val="000000" w:themeColor="text1"/>
          <w:sz w:val="24"/>
          <w:szCs w:val="24"/>
        </w:rPr>
        <w:t xml:space="preserve">The tribunal’s </w:t>
      </w:r>
      <w:r w:rsidRPr="00735740">
        <w:rPr>
          <w:rFonts w:ascii="Garamond" w:hAnsi="Garamond"/>
          <w:color w:val="000000" w:themeColor="text1"/>
          <w:sz w:val="24"/>
          <w:szCs w:val="24"/>
        </w:rPr>
        <w:t>President</w:t>
      </w:r>
      <w:r w:rsidR="00A27FB9" w:rsidRPr="00735740">
        <w:rPr>
          <w:rFonts w:ascii="Garamond" w:hAnsi="Garamond"/>
          <w:color w:val="000000" w:themeColor="text1"/>
          <w:sz w:val="24"/>
          <w:szCs w:val="24"/>
        </w:rPr>
        <w:t xml:space="preserve">, Theodor </w:t>
      </w:r>
      <w:r w:rsidRPr="00735740">
        <w:rPr>
          <w:rFonts w:ascii="Garamond" w:hAnsi="Garamond"/>
          <w:color w:val="000000" w:themeColor="text1"/>
          <w:sz w:val="24"/>
          <w:szCs w:val="24"/>
        </w:rPr>
        <w:t>Meron (</w:t>
      </w:r>
      <w:r w:rsidR="00A27FB9" w:rsidRPr="00735740">
        <w:rPr>
          <w:rFonts w:ascii="Garamond" w:hAnsi="Garamond"/>
          <w:color w:val="000000" w:themeColor="text1"/>
          <w:sz w:val="24"/>
          <w:szCs w:val="24"/>
        </w:rPr>
        <w:t>and</w:t>
      </w:r>
      <w:r w:rsidRPr="00735740">
        <w:rPr>
          <w:rFonts w:ascii="Garamond" w:hAnsi="Garamond"/>
          <w:color w:val="000000" w:themeColor="text1"/>
          <w:sz w:val="24"/>
          <w:szCs w:val="24"/>
        </w:rPr>
        <w:t xml:space="preserve"> presiding judge in </w:t>
      </w:r>
      <w:r w:rsidRPr="00735740">
        <w:rPr>
          <w:rFonts w:ascii="Garamond" w:hAnsi="Garamond"/>
          <w:i/>
          <w:iCs/>
          <w:color w:val="000000" w:themeColor="text1"/>
          <w:sz w:val="24"/>
          <w:szCs w:val="24"/>
        </w:rPr>
        <w:t>Military 1</w:t>
      </w:r>
      <w:r w:rsidRPr="00735740">
        <w:rPr>
          <w:rFonts w:ascii="Garamond" w:hAnsi="Garamond"/>
          <w:color w:val="000000" w:themeColor="text1"/>
          <w:sz w:val="24"/>
          <w:szCs w:val="24"/>
        </w:rPr>
        <w:t>) has</w:t>
      </w:r>
      <w:r w:rsidR="00A27FB9" w:rsidRPr="00735740">
        <w:rPr>
          <w:rFonts w:ascii="Garamond" w:hAnsi="Garamond"/>
          <w:color w:val="000000" w:themeColor="text1"/>
          <w:sz w:val="24"/>
          <w:szCs w:val="24"/>
        </w:rPr>
        <w:t>, for example, stressed</w:t>
      </w:r>
      <w:r w:rsidRPr="00735740">
        <w:rPr>
          <w:rFonts w:ascii="Garamond" w:hAnsi="Garamond"/>
          <w:color w:val="000000" w:themeColor="text1"/>
          <w:sz w:val="24"/>
          <w:szCs w:val="24"/>
        </w:rPr>
        <w:t xml:space="preserve"> that the purpose of I</w:t>
      </w:r>
      <w:r w:rsidR="002705A2" w:rsidRPr="00735740">
        <w:rPr>
          <w:rFonts w:ascii="Garamond" w:hAnsi="Garamond"/>
          <w:color w:val="000000" w:themeColor="text1"/>
          <w:sz w:val="24"/>
          <w:szCs w:val="24"/>
        </w:rPr>
        <w:t>C</w:t>
      </w:r>
      <w:r w:rsidRPr="00735740">
        <w:rPr>
          <w:rFonts w:ascii="Garamond" w:hAnsi="Garamond"/>
          <w:color w:val="000000" w:themeColor="text1"/>
          <w:sz w:val="24"/>
          <w:szCs w:val="24"/>
        </w:rPr>
        <w:t xml:space="preserve">L is to ‘diminish the evils of war, </w:t>
      </w:r>
      <w:r w:rsidRPr="00735740">
        <w:rPr>
          <w:rFonts w:ascii="Garamond" w:hAnsi="Garamond"/>
          <w:i/>
          <w:color w:val="000000" w:themeColor="text1"/>
          <w:sz w:val="24"/>
          <w:szCs w:val="24"/>
        </w:rPr>
        <w:t>as far as military requirements permit</w:t>
      </w:r>
      <w:r w:rsidRPr="00735740">
        <w:rPr>
          <w:rFonts w:ascii="Garamond" w:hAnsi="Garamond"/>
          <w:color w:val="000000" w:themeColor="text1"/>
          <w:sz w:val="24"/>
          <w:szCs w:val="24"/>
        </w:rPr>
        <w:t>’ (emphasis added).</w:t>
      </w:r>
      <w:r w:rsidRPr="00735740">
        <w:rPr>
          <w:rFonts w:ascii="Garamond" w:hAnsi="Garamond"/>
          <w:color w:val="000000" w:themeColor="text1"/>
          <w:sz w:val="24"/>
          <w:szCs w:val="24"/>
          <w:vertAlign w:val="superscript"/>
        </w:rPr>
        <w:footnoteReference w:id="78"/>
      </w:r>
      <w:r w:rsidRPr="00735740">
        <w:rPr>
          <w:rFonts w:ascii="Garamond" w:hAnsi="Garamond"/>
          <w:color w:val="000000" w:themeColor="text1"/>
          <w:sz w:val="24"/>
          <w:szCs w:val="24"/>
        </w:rPr>
        <w:t xml:space="preserve"> </w:t>
      </w:r>
    </w:p>
    <w:p w14:paraId="5A1965E9" w14:textId="31B74134" w:rsidR="00E35C64" w:rsidRPr="00735740" w:rsidRDefault="00DB316E" w:rsidP="006E74CF">
      <w:pPr>
        <w:spacing w:line="360" w:lineRule="auto"/>
        <w:rPr>
          <w:rFonts w:ascii="Garamond" w:hAnsi="Garamond"/>
          <w:color w:val="000000" w:themeColor="text1"/>
          <w:sz w:val="24"/>
          <w:szCs w:val="24"/>
        </w:rPr>
      </w:pPr>
      <w:r w:rsidRPr="00735740">
        <w:rPr>
          <w:rFonts w:ascii="Garamond" w:hAnsi="Garamond"/>
          <w:color w:val="000000" w:themeColor="text1"/>
          <w:sz w:val="24"/>
          <w:szCs w:val="24"/>
        </w:rPr>
        <w:t>Ultimately</w:t>
      </w:r>
      <w:r w:rsidR="00026135" w:rsidRPr="00735740">
        <w:rPr>
          <w:rFonts w:ascii="Garamond" w:hAnsi="Garamond"/>
          <w:color w:val="000000" w:themeColor="text1"/>
          <w:sz w:val="24"/>
          <w:szCs w:val="24"/>
        </w:rPr>
        <w:t xml:space="preserve">, </w:t>
      </w:r>
      <w:r w:rsidRPr="00735740">
        <w:rPr>
          <w:rFonts w:ascii="Garamond" w:hAnsi="Garamond"/>
          <w:color w:val="000000" w:themeColor="text1"/>
          <w:sz w:val="24"/>
          <w:szCs w:val="24"/>
        </w:rPr>
        <w:t>t</w:t>
      </w:r>
      <w:r w:rsidR="00E35C64" w:rsidRPr="00735740">
        <w:rPr>
          <w:rFonts w:ascii="Garamond" w:hAnsi="Garamond"/>
          <w:color w:val="000000" w:themeColor="text1"/>
          <w:sz w:val="24"/>
          <w:szCs w:val="24"/>
        </w:rPr>
        <w:t xml:space="preserve">he cause of this shift is less significant than what </w:t>
      </w:r>
      <w:r w:rsidR="00360923" w:rsidRPr="00735740">
        <w:rPr>
          <w:rFonts w:ascii="Garamond" w:hAnsi="Garamond"/>
          <w:color w:val="000000" w:themeColor="text1"/>
          <w:sz w:val="24"/>
          <w:szCs w:val="24"/>
        </w:rPr>
        <w:t>it</w:t>
      </w:r>
      <w:r w:rsidR="00E35C64" w:rsidRPr="00735740">
        <w:rPr>
          <w:rFonts w:ascii="Garamond" w:hAnsi="Garamond"/>
          <w:color w:val="000000" w:themeColor="text1"/>
          <w:sz w:val="24"/>
          <w:szCs w:val="24"/>
        </w:rPr>
        <w:t xml:space="preserve"> means for the politics of the archive. First, this </w:t>
      </w:r>
      <w:r w:rsidR="00A27FB9" w:rsidRPr="00735740">
        <w:rPr>
          <w:rFonts w:ascii="Garamond" w:hAnsi="Garamond"/>
          <w:color w:val="000000" w:themeColor="text1"/>
          <w:sz w:val="24"/>
          <w:szCs w:val="24"/>
        </w:rPr>
        <w:t xml:space="preserve">repositioned </w:t>
      </w:r>
      <w:r w:rsidR="00E35C64" w:rsidRPr="00735740">
        <w:rPr>
          <w:rFonts w:ascii="Garamond" w:hAnsi="Garamond"/>
          <w:color w:val="000000" w:themeColor="text1"/>
          <w:sz w:val="24"/>
          <w:szCs w:val="24"/>
        </w:rPr>
        <w:t xml:space="preserve">the knowing individual at the heart of the </w:t>
      </w:r>
      <w:r w:rsidR="00A27FB9" w:rsidRPr="00735740">
        <w:rPr>
          <w:rFonts w:ascii="Garamond" w:hAnsi="Garamond"/>
          <w:color w:val="000000" w:themeColor="text1"/>
          <w:sz w:val="24"/>
          <w:szCs w:val="24"/>
        </w:rPr>
        <w:t>trial process</w:t>
      </w:r>
      <w:r w:rsidR="00E35C64" w:rsidRPr="00735740">
        <w:rPr>
          <w:rFonts w:ascii="Garamond" w:hAnsi="Garamond"/>
          <w:color w:val="000000" w:themeColor="text1"/>
          <w:sz w:val="24"/>
          <w:szCs w:val="24"/>
        </w:rPr>
        <w:t xml:space="preserve"> and with this a liberal notion of community </w:t>
      </w:r>
      <w:r w:rsidR="004F201E" w:rsidRPr="00735740">
        <w:rPr>
          <w:rFonts w:ascii="Garamond" w:hAnsi="Garamond"/>
          <w:color w:val="000000" w:themeColor="text1"/>
          <w:sz w:val="24"/>
          <w:szCs w:val="24"/>
        </w:rPr>
        <w:t xml:space="preserve">was re-centred in the archive </w:t>
      </w:r>
      <w:r w:rsidR="00E35C64" w:rsidRPr="00735740">
        <w:rPr>
          <w:rFonts w:ascii="Garamond" w:hAnsi="Garamond"/>
          <w:color w:val="000000" w:themeColor="text1"/>
          <w:sz w:val="24"/>
          <w:szCs w:val="24"/>
        </w:rPr>
        <w:t>where each person takes responsibility for their own actions. But this also says something about</w:t>
      </w:r>
      <w:r w:rsidR="00360923" w:rsidRPr="00735740">
        <w:rPr>
          <w:rFonts w:ascii="Garamond" w:hAnsi="Garamond"/>
          <w:color w:val="000000" w:themeColor="text1"/>
          <w:sz w:val="24"/>
          <w:szCs w:val="24"/>
        </w:rPr>
        <w:t xml:space="preserve"> how</w:t>
      </w:r>
      <w:r w:rsidR="00E35C64" w:rsidRPr="00735740">
        <w:rPr>
          <w:rFonts w:ascii="Garamond" w:hAnsi="Garamond"/>
          <w:color w:val="000000" w:themeColor="text1"/>
          <w:sz w:val="24"/>
          <w:szCs w:val="24"/>
        </w:rPr>
        <w:t xml:space="preserve"> the </w:t>
      </w:r>
      <w:r w:rsidR="004F201E" w:rsidRPr="00735740">
        <w:rPr>
          <w:rFonts w:ascii="Garamond" w:hAnsi="Garamond"/>
          <w:color w:val="000000" w:themeColor="text1"/>
          <w:sz w:val="24"/>
          <w:szCs w:val="24"/>
        </w:rPr>
        <w:t xml:space="preserve">relationship between </w:t>
      </w:r>
      <w:r w:rsidR="00E35C64" w:rsidRPr="00735740">
        <w:rPr>
          <w:rFonts w:ascii="Garamond" w:hAnsi="Garamond"/>
          <w:color w:val="000000" w:themeColor="text1"/>
          <w:sz w:val="24"/>
          <w:szCs w:val="24"/>
        </w:rPr>
        <w:t>violence</w:t>
      </w:r>
      <w:r w:rsidR="00360923" w:rsidRPr="00735740">
        <w:rPr>
          <w:rFonts w:ascii="Garamond" w:hAnsi="Garamond"/>
          <w:color w:val="000000" w:themeColor="text1"/>
          <w:sz w:val="24"/>
          <w:szCs w:val="24"/>
        </w:rPr>
        <w:t xml:space="preserve">, </w:t>
      </w:r>
      <w:r w:rsidR="00E35C64" w:rsidRPr="00735740">
        <w:rPr>
          <w:rFonts w:ascii="Garamond" w:hAnsi="Garamond"/>
          <w:color w:val="000000" w:themeColor="text1"/>
          <w:sz w:val="24"/>
          <w:szCs w:val="24"/>
        </w:rPr>
        <w:t xml:space="preserve">responsibility </w:t>
      </w:r>
      <w:r w:rsidR="00360923" w:rsidRPr="00735740">
        <w:rPr>
          <w:rFonts w:ascii="Garamond" w:hAnsi="Garamond"/>
          <w:color w:val="000000" w:themeColor="text1"/>
          <w:sz w:val="24"/>
          <w:szCs w:val="24"/>
        </w:rPr>
        <w:t>and community were</w:t>
      </w:r>
      <w:r w:rsidR="00A27FB9" w:rsidRPr="00735740">
        <w:rPr>
          <w:rFonts w:ascii="Garamond" w:hAnsi="Garamond"/>
          <w:color w:val="000000" w:themeColor="text1"/>
          <w:sz w:val="24"/>
          <w:szCs w:val="24"/>
        </w:rPr>
        <w:t xml:space="preserve"> imagined within the archive</w:t>
      </w:r>
      <w:r w:rsidR="00CA4C7A" w:rsidRPr="00735740">
        <w:rPr>
          <w:rFonts w:ascii="Garamond" w:hAnsi="Garamond"/>
          <w:color w:val="000000" w:themeColor="text1"/>
          <w:sz w:val="24"/>
          <w:szCs w:val="24"/>
        </w:rPr>
        <w:t xml:space="preserve">. </w:t>
      </w:r>
      <w:r w:rsidR="00A93980" w:rsidRPr="00735740">
        <w:rPr>
          <w:rFonts w:ascii="Garamond" w:hAnsi="Garamond"/>
          <w:color w:val="000000" w:themeColor="text1"/>
          <w:sz w:val="24"/>
          <w:szCs w:val="24"/>
        </w:rPr>
        <w:t>Indeed, t</w:t>
      </w:r>
      <w:r w:rsidR="00CA4C7A" w:rsidRPr="00735740">
        <w:rPr>
          <w:rFonts w:ascii="Garamond" w:hAnsi="Garamond"/>
          <w:color w:val="000000" w:themeColor="text1"/>
          <w:sz w:val="24"/>
          <w:szCs w:val="24"/>
        </w:rPr>
        <w:t>his account</w:t>
      </w:r>
      <w:r w:rsidRPr="00735740">
        <w:rPr>
          <w:rFonts w:ascii="Garamond" w:hAnsi="Garamond"/>
          <w:color w:val="000000" w:themeColor="text1"/>
          <w:sz w:val="24"/>
          <w:szCs w:val="24"/>
        </w:rPr>
        <w:t xml:space="preserve"> </w:t>
      </w:r>
      <w:r w:rsidR="00E35C64" w:rsidRPr="00735740">
        <w:rPr>
          <w:rFonts w:ascii="Garamond" w:hAnsi="Garamond"/>
          <w:color w:val="000000" w:themeColor="text1"/>
          <w:sz w:val="24"/>
          <w:szCs w:val="24"/>
        </w:rPr>
        <w:t xml:space="preserve">resonates with Elizabeth Dauphinee’s argument that rather than seeking to </w:t>
      </w:r>
      <w:r w:rsidR="00E35C64" w:rsidRPr="00735740">
        <w:rPr>
          <w:rFonts w:ascii="Garamond" w:hAnsi="Garamond"/>
          <w:i/>
          <w:color w:val="000000" w:themeColor="text1"/>
          <w:sz w:val="24"/>
          <w:szCs w:val="24"/>
        </w:rPr>
        <w:t xml:space="preserve">eradicate </w:t>
      </w:r>
      <w:r w:rsidR="00E35C64" w:rsidRPr="00735740">
        <w:rPr>
          <w:rFonts w:ascii="Garamond" w:hAnsi="Garamond"/>
          <w:color w:val="000000" w:themeColor="text1"/>
          <w:sz w:val="24"/>
          <w:szCs w:val="24"/>
        </w:rPr>
        <w:t>violence from the international community, I</w:t>
      </w:r>
      <w:r w:rsidR="002705A2" w:rsidRPr="00735740">
        <w:rPr>
          <w:rFonts w:ascii="Garamond" w:hAnsi="Garamond"/>
          <w:color w:val="000000" w:themeColor="text1"/>
          <w:sz w:val="24"/>
          <w:szCs w:val="24"/>
        </w:rPr>
        <w:t>C</w:t>
      </w:r>
      <w:r w:rsidR="00E35C64" w:rsidRPr="00735740">
        <w:rPr>
          <w:rFonts w:ascii="Garamond" w:hAnsi="Garamond"/>
          <w:color w:val="000000" w:themeColor="text1"/>
          <w:sz w:val="24"/>
          <w:szCs w:val="24"/>
        </w:rPr>
        <w:t xml:space="preserve">L works to delegitimise </w:t>
      </w:r>
      <w:r w:rsidR="00E35C64" w:rsidRPr="00735740">
        <w:rPr>
          <w:rFonts w:ascii="Garamond" w:hAnsi="Garamond"/>
          <w:i/>
          <w:color w:val="000000" w:themeColor="text1"/>
          <w:sz w:val="24"/>
          <w:szCs w:val="24"/>
        </w:rPr>
        <w:t>certain</w:t>
      </w:r>
      <w:r w:rsidR="00E35C64" w:rsidRPr="00735740">
        <w:rPr>
          <w:rFonts w:ascii="Garamond" w:hAnsi="Garamond"/>
          <w:color w:val="000000" w:themeColor="text1"/>
          <w:sz w:val="24"/>
          <w:szCs w:val="24"/>
        </w:rPr>
        <w:t xml:space="preserve"> acts of violence and in the process legitimise others. Dauphinee argues that war and I</w:t>
      </w:r>
      <w:r w:rsidR="002705A2" w:rsidRPr="00735740">
        <w:rPr>
          <w:rFonts w:ascii="Garamond" w:hAnsi="Garamond"/>
          <w:color w:val="000000" w:themeColor="text1"/>
          <w:sz w:val="24"/>
          <w:szCs w:val="24"/>
        </w:rPr>
        <w:t>C</w:t>
      </w:r>
      <w:r w:rsidR="00E35C64" w:rsidRPr="00735740">
        <w:rPr>
          <w:rFonts w:ascii="Garamond" w:hAnsi="Garamond"/>
          <w:color w:val="000000" w:themeColor="text1"/>
          <w:sz w:val="24"/>
          <w:szCs w:val="24"/>
        </w:rPr>
        <w:t>L are dependent on each other: war needs I</w:t>
      </w:r>
      <w:r w:rsidR="002705A2" w:rsidRPr="00735740">
        <w:rPr>
          <w:rFonts w:ascii="Garamond" w:hAnsi="Garamond"/>
          <w:color w:val="000000" w:themeColor="text1"/>
          <w:sz w:val="24"/>
          <w:szCs w:val="24"/>
        </w:rPr>
        <w:t>C</w:t>
      </w:r>
      <w:r w:rsidR="00E35C64" w:rsidRPr="00735740">
        <w:rPr>
          <w:rFonts w:ascii="Garamond" w:hAnsi="Garamond"/>
          <w:color w:val="000000" w:themeColor="text1"/>
          <w:sz w:val="24"/>
          <w:szCs w:val="24"/>
        </w:rPr>
        <w:t xml:space="preserve">L to separate off a domain of violence that is illegal – therefore legitimising </w:t>
      </w:r>
      <w:r w:rsidR="00E35C64" w:rsidRPr="00735740">
        <w:rPr>
          <w:rFonts w:ascii="Garamond" w:hAnsi="Garamond"/>
          <w:color w:val="000000" w:themeColor="text1"/>
          <w:sz w:val="24"/>
          <w:szCs w:val="24"/>
        </w:rPr>
        <w:lastRenderedPageBreak/>
        <w:t>other forms of violence; I</w:t>
      </w:r>
      <w:r w:rsidR="002705A2" w:rsidRPr="00735740">
        <w:rPr>
          <w:rFonts w:ascii="Garamond" w:hAnsi="Garamond"/>
          <w:color w:val="000000" w:themeColor="text1"/>
          <w:sz w:val="24"/>
          <w:szCs w:val="24"/>
        </w:rPr>
        <w:t>C</w:t>
      </w:r>
      <w:r w:rsidR="00E35C64" w:rsidRPr="00735740">
        <w:rPr>
          <w:rFonts w:ascii="Garamond" w:hAnsi="Garamond"/>
          <w:color w:val="000000" w:themeColor="text1"/>
          <w:sz w:val="24"/>
          <w:szCs w:val="24"/>
        </w:rPr>
        <w:t>L needs some violence to be legitimate for it would have no function without drawing a line between illegitimate and legitimate acts.</w:t>
      </w:r>
      <w:r w:rsidR="00E35C64" w:rsidRPr="00735740">
        <w:rPr>
          <w:rFonts w:ascii="Garamond" w:hAnsi="Garamond"/>
          <w:color w:val="000000" w:themeColor="text1"/>
          <w:sz w:val="24"/>
          <w:szCs w:val="24"/>
          <w:vertAlign w:val="superscript"/>
        </w:rPr>
        <w:footnoteReference w:id="79"/>
      </w:r>
      <w:r w:rsidR="00E35C64" w:rsidRPr="00735740">
        <w:rPr>
          <w:rFonts w:ascii="Garamond" w:hAnsi="Garamond"/>
          <w:color w:val="000000" w:themeColor="text1"/>
          <w:sz w:val="24"/>
          <w:szCs w:val="24"/>
        </w:rPr>
        <w:t xml:space="preserve"> </w:t>
      </w:r>
    </w:p>
    <w:p w14:paraId="6AAB7EC4" w14:textId="5076D739" w:rsidR="00E35C64" w:rsidRPr="00735740" w:rsidRDefault="00E35C64">
      <w:pPr>
        <w:spacing w:line="360" w:lineRule="auto"/>
        <w:rPr>
          <w:rFonts w:ascii="Garamond" w:hAnsi="Garamond"/>
          <w:color w:val="000000" w:themeColor="text1"/>
          <w:sz w:val="24"/>
          <w:szCs w:val="24"/>
        </w:rPr>
      </w:pPr>
      <w:r w:rsidRPr="00735740">
        <w:rPr>
          <w:rFonts w:ascii="Garamond" w:hAnsi="Garamond"/>
          <w:color w:val="000000" w:themeColor="text1"/>
          <w:sz w:val="24"/>
          <w:szCs w:val="24"/>
        </w:rPr>
        <w:t xml:space="preserve">This is, then, about how ideas of </w:t>
      </w:r>
      <w:r w:rsidR="002705A2" w:rsidRPr="00735740">
        <w:rPr>
          <w:rFonts w:ascii="Garamond" w:hAnsi="Garamond"/>
          <w:color w:val="000000" w:themeColor="text1"/>
          <w:sz w:val="24"/>
          <w:szCs w:val="24"/>
        </w:rPr>
        <w:t xml:space="preserve">violence and </w:t>
      </w:r>
      <w:r w:rsidRPr="00735740">
        <w:rPr>
          <w:rFonts w:ascii="Garamond" w:hAnsi="Garamond"/>
          <w:color w:val="000000" w:themeColor="text1"/>
          <w:sz w:val="24"/>
          <w:szCs w:val="24"/>
        </w:rPr>
        <w:t>responsibility are structured and</w:t>
      </w:r>
      <w:r w:rsidR="008A00D9" w:rsidRPr="00735740">
        <w:rPr>
          <w:rFonts w:ascii="Garamond" w:hAnsi="Garamond"/>
          <w:color w:val="000000" w:themeColor="text1"/>
          <w:sz w:val="24"/>
          <w:szCs w:val="24"/>
        </w:rPr>
        <w:t xml:space="preserve"> </w:t>
      </w:r>
      <w:r w:rsidRPr="00735740">
        <w:rPr>
          <w:rFonts w:ascii="Garamond" w:hAnsi="Garamond"/>
          <w:color w:val="000000" w:themeColor="text1"/>
          <w:sz w:val="24"/>
          <w:szCs w:val="24"/>
        </w:rPr>
        <w:t xml:space="preserve">restricted within the archive. In this respect, another omission from the archive is important: the responsibility of international actors </w:t>
      </w:r>
      <w:r w:rsidR="00254AA3" w:rsidRPr="00735740">
        <w:rPr>
          <w:rFonts w:ascii="Garamond" w:hAnsi="Garamond"/>
          <w:color w:val="000000" w:themeColor="text1"/>
          <w:sz w:val="24"/>
          <w:szCs w:val="24"/>
        </w:rPr>
        <w:t>for</w:t>
      </w:r>
      <w:r w:rsidRPr="00735740">
        <w:rPr>
          <w:rFonts w:ascii="Garamond" w:hAnsi="Garamond"/>
          <w:color w:val="000000" w:themeColor="text1"/>
          <w:sz w:val="24"/>
          <w:szCs w:val="24"/>
        </w:rPr>
        <w:t xml:space="preserve"> the genocide</w:t>
      </w:r>
      <w:r w:rsidR="00DB316E" w:rsidRPr="00735740">
        <w:rPr>
          <w:rFonts w:ascii="Garamond" w:hAnsi="Garamond"/>
          <w:color w:val="000000" w:themeColor="text1"/>
          <w:sz w:val="24"/>
          <w:szCs w:val="24"/>
        </w:rPr>
        <w:t xml:space="preserve">, </w:t>
      </w:r>
      <w:r w:rsidRPr="00735740">
        <w:rPr>
          <w:rFonts w:ascii="Garamond" w:hAnsi="Garamond"/>
          <w:color w:val="000000" w:themeColor="text1"/>
          <w:sz w:val="24"/>
          <w:szCs w:val="24"/>
        </w:rPr>
        <w:t>whether in the form of the international arms trade (which by flooding Rwanda with cheap weapons significantly contributed to the violence) or</w:t>
      </w:r>
      <w:r w:rsidR="004F201E" w:rsidRPr="00735740">
        <w:rPr>
          <w:rFonts w:ascii="Garamond" w:hAnsi="Garamond"/>
          <w:color w:val="000000" w:themeColor="text1"/>
          <w:sz w:val="24"/>
          <w:szCs w:val="24"/>
        </w:rPr>
        <w:t xml:space="preserve"> </w:t>
      </w:r>
      <w:r w:rsidR="00026135" w:rsidRPr="00735740">
        <w:rPr>
          <w:rFonts w:ascii="Garamond" w:hAnsi="Garamond"/>
          <w:color w:val="000000" w:themeColor="text1"/>
          <w:sz w:val="24"/>
          <w:szCs w:val="24"/>
        </w:rPr>
        <w:t xml:space="preserve">the role of </w:t>
      </w:r>
      <w:r w:rsidR="00CA4C7A" w:rsidRPr="00735740">
        <w:rPr>
          <w:rFonts w:ascii="Garamond" w:hAnsi="Garamond"/>
          <w:color w:val="000000" w:themeColor="text1"/>
          <w:sz w:val="24"/>
          <w:szCs w:val="24"/>
        </w:rPr>
        <w:t>s</w:t>
      </w:r>
      <w:r w:rsidR="00026135" w:rsidRPr="00735740">
        <w:rPr>
          <w:rFonts w:ascii="Garamond" w:hAnsi="Garamond"/>
          <w:color w:val="000000" w:themeColor="text1"/>
          <w:sz w:val="24"/>
          <w:szCs w:val="24"/>
        </w:rPr>
        <w:t xml:space="preserve">tates in supporting conflict, such </w:t>
      </w:r>
      <w:r w:rsidR="004F201E" w:rsidRPr="00735740">
        <w:rPr>
          <w:rFonts w:ascii="Garamond" w:hAnsi="Garamond"/>
          <w:color w:val="000000" w:themeColor="text1"/>
          <w:sz w:val="24"/>
          <w:szCs w:val="24"/>
        </w:rPr>
        <w:t xml:space="preserve">as France’s role </w:t>
      </w:r>
      <w:r w:rsidRPr="00735740">
        <w:rPr>
          <w:rFonts w:ascii="Garamond" w:hAnsi="Garamond"/>
          <w:color w:val="000000" w:themeColor="text1"/>
          <w:sz w:val="24"/>
          <w:szCs w:val="24"/>
        </w:rPr>
        <w:t>in training, arming, and providing financial support to the genocidaires.</w:t>
      </w:r>
      <w:r w:rsidRPr="00735740">
        <w:rPr>
          <w:rFonts w:ascii="Garamond" w:hAnsi="Garamond"/>
          <w:color w:val="000000" w:themeColor="text1"/>
          <w:sz w:val="24"/>
          <w:szCs w:val="24"/>
          <w:vertAlign w:val="superscript"/>
        </w:rPr>
        <w:t xml:space="preserve"> </w:t>
      </w:r>
      <w:r w:rsidRPr="00735740">
        <w:rPr>
          <w:rFonts w:ascii="Garamond" w:hAnsi="Garamond"/>
          <w:color w:val="000000" w:themeColor="text1"/>
          <w:sz w:val="24"/>
          <w:szCs w:val="24"/>
          <w:vertAlign w:val="superscript"/>
        </w:rPr>
        <w:footnoteReference w:id="80"/>
      </w:r>
      <w:r w:rsidRPr="00735740">
        <w:rPr>
          <w:rFonts w:ascii="Garamond" w:hAnsi="Garamond"/>
          <w:color w:val="000000" w:themeColor="text1"/>
          <w:sz w:val="24"/>
          <w:szCs w:val="24"/>
        </w:rPr>
        <w:t xml:space="preserve"> Again, this omission is</w:t>
      </w:r>
      <w:r w:rsidR="00DB316E" w:rsidRPr="00735740">
        <w:rPr>
          <w:rFonts w:ascii="Garamond" w:hAnsi="Garamond"/>
          <w:color w:val="000000" w:themeColor="text1"/>
          <w:sz w:val="24"/>
          <w:szCs w:val="24"/>
        </w:rPr>
        <w:t xml:space="preserve"> partially due to</w:t>
      </w:r>
      <w:r w:rsidRPr="00735740">
        <w:rPr>
          <w:rFonts w:ascii="Garamond" w:hAnsi="Garamond"/>
          <w:color w:val="000000" w:themeColor="text1"/>
          <w:sz w:val="24"/>
          <w:szCs w:val="24"/>
        </w:rPr>
        <w:t xml:space="preserve"> the tribunal’s focus on individual responsibility. But importantly, the addition of records related to the international nature of the violence was </w:t>
      </w:r>
      <w:r w:rsidR="002705A2" w:rsidRPr="00735740">
        <w:rPr>
          <w:rFonts w:ascii="Garamond" w:hAnsi="Garamond"/>
          <w:color w:val="000000" w:themeColor="text1"/>
          <w:sz w:val="24"/>
          <w:szCs w:val="24"/>
        </w:rPr>
        <w:t xml:space="preserve">also </w:t>
      </w:r>
      <w:r w:rsidRPr="00735740">
        <w:rPr>
          <w:rFonts w:ascii="Garamond" w:hAnsi="Garamond"/>
          <w:color w:val="000000" w:themeColor="text1"/>
          <w:sz w:val="24"/>
          <w:szCs w:val="24"/>
        </w:rPr>
        <w:t xml:space="preserve">explicitly prohibited. During </w:t>
      </w:r>
      <w:r w:rsidR="00FB44AF" w:rsidRPr="00735740">
        <w:rPr>
          <w:rFonts w:ascii="Garamond" w:hAnsi="Garamond"/>
          <w:color w:val="000000" w:themeColor="text1"/>
          <w:sz w:val="24"/>
          <w:szCs w:val="24"/>
        </w:rPr>
        <w:t xml:space="preserve">both </w:t>
      </w:r>
      <w:r w:rsidR="00FB44AF" w:rsidRPr="00735740">
        <w:rPr>
          <w:rFonts w:ascii="Garamond" w:hAnsi="Garamond"/>
          <w:i/>
          <w:iCs/>
          <w:color w:val="000000" w:themeColor="text1"/>
          <w:sz w:val="24"/>
          <w:szCs w:val="24"/>
        </w:rPr>
        <w:t xml:space="preserve">Cyangugu </w:t>
      </w:r>
      <w:r w:rsidR="00FB44AF" w:rsidRPr="00735740">
        <w:rPr>
          <w:rFonts w:ascii="Garamond" w:hAnsi="Garamond"/>
          <w:color w:val="000000" w:themeColor="text1"/>
          <w:sz w:val="24"/>
          <w:szCs w:val="24"/>
        </w:rPr>
        <w:t xml:space="preserve">and </w:t>
      </w:r>
      <w:r w:rsidRPr="00735740">
        <w:rPr>
          <w:rFonts w:ascii="Garamond" w:hAnsi="Garamond"/>
          <w:i/>
          <w:color w:val="000000" w:themeColor="text1"/>
          <w:sz w:val="24"/>
          <w:szCs w:val="24"/>
        </w:rPr>
        <w:t>Gatete</w:t>
      </w:r>
      <w:r w:rsidR="00DB316E" w:rsidRPr="00735740">
        <w:rPr>
          <w:rFonts w:ascii="Garamond" w:hAnsi="Garamond"/>
          <w:iCs/>
          <w:color w:val="000000" w:themeColor="text1"/>
          <w:sz w:val="24"/>
          <w:szCs w:val="24"/>
        </w:rPr>
        <w:t xml:space="preserve"> </w:t>
      </w:r>
      <w:r w:rsidRPr="00735740">
        <w:rPr>
          <w:rFonts w:ascii="Garamond" w:hAnsi="Garamond"/>
          <w:color w:val="000000" w:themeColor="text1"/>
          <w:sz w:val="24"/>
          <w:szCs w:val="24"/>
        </w:rPr>
        <w:t xml:space="preserve">the judges took </w:t>
      </w:r>
      <w:r w:rsidR="00026135" w:rsidRPr="00735740">
        <w:rPr>
          <w:rFonts w:ascii="Garamond" w:hAnsi="Garamond"/>
          <w:color w:val="000000" w:themeColor="text1"/>
          <w:sz w:val="24"/>
          <w:szCs w:val="24"/>
        </w:rPr>
        <w:t xml:space="preserve">judicial </w:t>
      </w:r>
      <w:r w:rsidRPr="00735740">
        <w:rPr>
          <w:rFonts w:ascii="Garamond" w:hAnsi="Garamond"/>
          <w:color w:val="000000" w:themeColor="text1"/>
          <w:sz w:val="24"/>
          <w:szCs w:val="24"/>
        </w:rPr>
        <w:t xml:space="preserve">notice of the </w:t>
      </w:r>
      <w:r w:rsidRPr="00735740">
        <w:rPr>
          <w:rFonts w:ascii="Garamond" w:hAnsi="Garamond"/>
          <w:i/>
          <w:color w:val="000000" w:themeColor="text1"/>
          <w:sz w:val="24"/>
          <w:szCs w:val="24"/>
        </w:rPr>
        <w:t>non</w:t>
      </w:r>
      <w:r w:rsidRPr="00735740">
        <w:rPr>
          <w:rFonts w:ascii="Garamond" w:hAnsi="Garamond"/>
          <w:color w:val="000000" w:themeColor="text1"/>
          <w:sz w:val="24"/>
          <w:szCs w:val="24"/>
        </w:rPr>
        <w:t>-international nature of the conflict</w:t>
      </w:r>
      <w:r w:rsidR="00026135" w:rsidRPr="00735740">
        <w:rPr>
          <w:rFonts w:ascii="Garamond" w:hAnsi="Garamond"/>
          <w:color w:val="000000" w:themeColor="text1"/>
          <w:sz w:val="24"/>
          <w:szCs w:val="24"/>
        </w:rPr>
        <w:t xml:space="preserve">, </w:t>
      </w:r>
      <w:r w:rsidRPr="00735740">
        <w:rPr>
          <w:rFonts w:ascii="Garamond" w:hAnsi="Garamond"/>
          <w:color w:val="000000" w:themeColor="text1"/>
          <w:sz w:val="24"/>
          <w:szCs w:val="24"/>
        </w:rPr>
        <w:t>which</w:t>
      </w:r>
      <w:r w:rsidR="0020187C" w:rsidRPr="00735740">
        <w:rPr>
          <w:rFonts w:ascii="Garamond" w:hAnsi="Garamond"/>
          <w:color w:val="000000" w:themeColor="text1"/>
          <w:sz w:val="24"/>
          <w:szCs w:val="24"/>
        </w:rPr>
        <w:t>,</w:t>
      </w:r>
      <w:r w:rsidRPr="00735740">
        <w:rPr>
          <w:rFonts w:ascii="Garamond" w:hAnsi="Garamond"/>
          <w:color w:val="000000" w:themeColor="text1"/>
          <w:sz w:val="24"/>
          <w:szCs w:val="24"/>
        </w:rPr>
        <w:t xml:space="preserve"> </w:t>
      </w:r>
      <w:r w:rsidR="00026135" w:rsidRPr="00735740">
        <w:rPr>
          <w:rFonts w:ascii="Garamond" w:hAnsi="Garamond"/>
          <w:color w:val="000000" w:themeColor="text1"/>
          <w:sz w:val="24"/>
          <w:szCs w:val="24"/>
        </w:rPr>
        <w:t>by declaring that this was</w:t>
      </w:r>
      <w:r w:rsidR="00E04858" w:rsidRPr="00735740">
        <w:rPr>
          <w:rFonts w:ascii="Garamond" w:hAnsi="Garamond"/>
          <w:color w:val="000000" w:themeColor="text1"/>
          <w:sz w:val="24"/>
          <w:szCs w:val="24"/>
        </w:rPr>
        <w:t xml:space="preserve"> a</w:t>
      </w:r>
      <w:r w:rsidR="00026135" w:rsidRPr="00735740">
        <w:rPr>
          <w:rFonts w:ascii="Garamond" w:hAnsi="Garamond"/>
          <w:color w:val="000000" w:themeColor="text1"/>
          <w:sz w:val="24"/>
          <w:szCs w:val="24"/>
        </w:rPr>
        <w:t xml:space="preserve"> ‘fact of common knowledge’</w:t>
      </w:r>
      <w:r w:rsidR="0020187C" w:rsidRPr="00735740">
        <w:rPr>
          <w:rFonts w:ascii="Garamond" w:hAnsi="Garamond"/>
          <w:color w:val="000000" w:themeColor="text1"/>
          <w:sz w:val="24"/>
          <w:szCs w:val="24"/>
        </w:rPr>
        <w:t>,</w:t>
      </w:r>
      <w:r w:rsidR="00026135" w:rsidRPr="00735740">
        <w:rPr>
          <w:rFonts w:ascii="Garamond" w:hAnsi="Garamond"/>
          <w:color w:val="000000" w:themeColor="text1"/>
          <w:sz w:val="24"/>
          <w:szCs w:val="24"/>
        </w:rPr>
        <w:t xml:space="preserve"> </w:t>
      </w:r>
      <w:r w:rsidR="0020187C" w:rsidRPr="00735740">
        <w:rPr>
          <w:rFonts w:ascii="Garamond" w:hAnsi="Garamond"/>
          <w:color w:val="000000" w:themeColor="text1"/>
          <w:sz w:val="24"/>
          <w:szCs w:val="24"/>
        </w:rPr>
        <w:t xml:space="preserve">meant </w:t>
      </w:r>
      <w:r w:rsidRPr="00735740">
        <w:rPr>
          <w:rFonts w:ascii="Garamond" w:hAnsi="Garamond"/>
          <w:color w:val="000000" w:themeColor="text1"/>
          <w:sz w:val="24"/>
          <w:szCs w:val="24"/>
        </w:rPr>
        <w:t xml:space="preserve">unequivocally that there was no room for any records relating to international </w:t>
      </w:r>
      <w:r w:rsidR="002705A2" w:rsidRPr="00735740">
        <w:rPr>
          <w:rFonts w:ascii="Garamond" w:hAnsi="Garamond"/>
          <w:color w:val="000000" w:themeColor="text1"/>
          <w:sz w:val="24"/>
          <w:szCs w:val="24"/>
        </w:rPr>
        <w:t xml:space="preserve">actors’ responsibility </w:t>
      </w:r>
      <w:r w:rsidRPr="00735740">
        <w:rPr>
          <w:rFonts w:ascii="Garamond" w:hAnsi="Garamond"/>
          <w:color w:val="000000" w:themeColor="text1"/>
          <w:sz w:val="24"/>
          <w:szCs w:val="24"/>
        </w:rPr>
        <w:t xml:space="preserve">in the archive. </w:t>
      </w:r>
      <w:r w:rsidR="002705A2" w:rsidRPr="00735740">
        <w:rPr>
          <w:rFonts w:ascii="Garamond" w:hAnsi="Garamond"/>
          <w:color w:val="000000" w:themeColor="text1"/>
          <w:sz w:val="24"/>
          <w:szCs w:val="24"/>
        </w:rPr>
        <w:t xml:space="preserve">This was, they argued, because the UNSC had only provided the court with jurisdiction over ‘non-international’ conflicts, which </w:t>
      </w:r>
      <w:r w:rsidR="00026135" w:rsidRPr="00735740">
        <w:rPr>
          <w:rFonts w:ascii="Garamond" w:hAnsi="Garamond"/>
          <w:color w:val="000000" w:themeColor="text1"/>
          <w:sz w:val="24"/>
          <w:szCs w:val="24"/>
        </w:rPr>
        <w:t xml:space="preserve">as such </w:t>
      </w:r>
      <w:r w:rsidR="002705A2" w:rsidRPr="00735740">
        <w:rPr>
          <w:rFonts w:ascii="Garamond" w:hAnsi="Garamond"/>
          <w:color w:val="000000" w:themeColor="text1"/>
          <w:sz w:val="24"/>
          <w:szCs w:val="24"/>
        </w:rPr>
        <w:t>prohibited any discussion of the conflict</w:t>
      </w:r>
      <w:r w:rsidR="00E04858" w:rsidRPr="00735740">
        <w:rPr>
          <w:rFonts w:ascii="Garamond" w:hAnsi="Garamond"/>
          <w:color w:val="000000" w:themeColor="text1"/>
          <w:sz w:val="24"/>
          <w:szCs w:val="24"/>
        </w:rPr>
        <w:t>’</w:t>
      </w:r>
      <w:r w:rsidR="002705A2" w:rsidRPr="00735740">
        <w:rPr>
          <w:rFonts w:ascii="Garamond" w:hAnsi="Garamond"/>
          <w:color w:val="000000" w:themeColor="text1"/>
          <w:sz w:val="24"/>
          <w:szCs w:val="24"/>
        </w:rPr>
        <w:t>s international nature</w:t>
      </w:r>
      <w:r w:rsidR="002B23EC" w:rsidRPr="00735740">
        <w:rPr>
          <w:rFonts w:ascii="Garamond" w:hAnsi="Garamond"/>
          <w:color w:val="000000" w:themeColor="text1"/>
          <w:sz w:val="24"/>
          <w:szCs w:val="24"/>
        </w:rPr>
        <w:t>.</w:t>
      </w:r>
      <w:r w:rsidRPr="00735740">
        <w:rPr>
          <w:rStyle w:val="FootnoteReference"/>
          <w:rFonts w:ascii="Garamond" w:hAnsi="Garamond"/>
          <w:color w:val="000000" w:themeColor="text1"/>
          <w:sz w:val="24"/>
          <w:szCs w:val="24"/>
        </w:rPr>
        <w:footnoteReference w:id="81"/>
      </w:r>
      <w:r w:rsidRPr="00735740">
        <w:rPr>
          <w:rFonts w:ascii="Garamond" w:hAnsi="Garamond"/>
          <w:color w:val="000000" w:themeColor="text1"/>
          <w:sz w:val="24"/>
          <w:szCs w:val="24"/>
        </w:rPr>
        <w:t xml:space="preserve"> The result was th</w:t>
      </w:r>
      <w:r w:rsidR="005B5E4F" w:rsidRPr="00735740">
        <w:rPr>
          <w:rFonts w:ascii="Garamond" w:hAnsi="Garamond"/>
          <w:color w:val="000000" w:themeColor="text1"/>
          <w:sz w:val="24"/>
          <w:szCs w:val="24"/>
        </w:rPr>
        <w:t>at</w:t>
      </w:r>
      <w:r w:rsidRPr="00735740">
        <w:rPr>
          <w:rFonts w:ascii="Garamond" w:hAnsi="Garamond"/>
          <w:color w:val="000000" w:themeColor="text1"/>
          <w:sz w:val="24"/>
          <w:szCs w:val="24"/>
        </w:rPr>
        <w:t xml:space="preserve"> international structures and actors sank </w:t>
      </w:r>
      <w:r w:rsidR="00FA724A" w:rsidRPr="00735740">
        <w:rPr>
          <w:rFonts w:ascii="Garamond" w:hAnsi="Garamond"/>
          <w:color w:val="000000" w:themeColor="text1"/>
          <w:sz w:val="24"/>
          <w:szCs w:val="24"/>
        </w:rPr>
        <w:t>from view</w:t>
      </w:r>
      <w:r w:rsidRPr="00735740">
        <w:rPr>
          <w:rFonts w:ascii="Garamond" w:hAnsi="Garamond"/>
          <w:color w:val="000000" w:themeColor="text1"/>
          <w:sz w:val="24"/>
          <w:szCs w:val="24"/>
        </w:rPr>
        <w:t xml:space="preserve"> within the archive.</w:t>
      </w:r>
    </w:p>
    <w:p w14:paraId="502B1E36" w14:textId="06B1F33A" w:rsidR="00E35C64" w:rsidRPr="00735740" w:rsidRDefault="00E35C64" w:rsidP="00201640">
      <w:pPr>
        <w:spacing w:line="360" w:lineRule="auto"/>
        <w:rPr>
          <w:rFonts w:ascii="Garamond" w:hAnsi="Garamond"/>
          <w:color w:val="000000" w:themeColor="text1"/>
          <w:sz w:val="24"/>
          <w:szCs w:val="24"/>
        </w:rPr>
      </w:pPr>
      <w:r w:rsidRPr="00735740">
        <w:rPr>
          <w:rFonts w:ascii="Garamond" w:hAnsi="Garamond"/>
          <w:color w:val="000000" w:themeColor="text1"/>
          <w:sz w:val="24"/>
          <w:szCs w:val="24"/>
        </w:rPr>
        <w:t>This also meant that the archive’s account of violence and responsibility for that violence was concentred within Rwanda. This treated the genocide as a discrete and localised event, leading to the portrayal of Rwanda as an isolated site of barbarity.  In contrast</w:t>
      </w:r>
      <w:r w:rsidR="005B5E4F" w:rsidRPr="00735740">
        <w:rPr>
          <w:rFonts w:ascii="Garamond" w:hAnsi="Garamond"/>
          <w:color w:val="000000" w:themeColor="text1"/>
          <w:sz w:val="24"/>
          <w:szCs w:val="24"/>
        </w:rPr>
        <w:t xml:space="preserve"> -</w:t>
      </w:r>
      <w:r w:rsidR="00E04858" w:rsidRPr="00735740">
        <w:rPr>
          <w:rFonts w:ascii="Garamond" w:hAnsi="Garamond"/>
          <w:color w:val="000000" w:themeColor="text1"/>
          <w:sz w:val="24"/>
          <w:szCs w:val="24"/>
        </w:rPr>
        <w:t xml:space="preserve"> </w:t>
      </w:r>
      <w:r w:rsidRPr="00735740">
        <w:rPr>
          <w:rFonts w:ascii="Garamond" w:hAnsi="Garamond"/>
          <w:color w:val="000000" w:themeColor="text1"/>
          <w:sz w:val="24"/>
          <w:szCs w:val="24"/>
        </w:rPr>
        <w:t>and despite the prevalence of international actors assisting the genocide</w:t>
      </w:r>
      <w:r w:rsidR="005B5E4F" w:rsidRPr="00735740">
        <w:rPr>
          <w:rFonts w:ascii="Garamond" w:hAnsi="Garamond"/>
          <w:color w:val="000000" w:themeColor="text1"/>
          <w:sz w:val="24"/>
          <w:szCs w:val="24"/>
        </w:rPr>
        <w:t xml:space="preserve"> - </w:t>
      </w:r>
      <w:r w:rsidRPr="00735740">
        <w:rPr>
          <w:rFonts w:ascii="Garamond" w:hAnsi="Garamond"/>
          <w:color w:val="000000" w:themeColor="text1"/>
          <w:sz w:val="24"/>
          <w:szCs w:val="24"/>
        </w:rPr>
        <w:t xml:space="preserve"> the lack of records related to these aspects of the violence worked to separate the international</w:t>
      </w:r>
      <w:r w:rsidR="005B5E4F" w:rsidRPr="00735740">
        <w:rPr>
          <w:rFonts w:ascii="Garamond" w:hAnsi="Garamond"/>
          <w:color w:val="000000" w:themeColor="text1"/>
          <w:sz w:val="24"/>
          <w:szCs w:val="24"/>
        </w:rPr>
        <w:t xml:space="preserve"> -</w:t>
      </w:r>
      <w:r w:rsidRPr="00735740">
        <w:rPr>
          <w:rFonts w:ascii="Garamond" w:hAnsi="Garamond"/>
          <w:color w:val="000000" w:themeColor="text1"/>
          <w:sz w:val="24"/>
          <w:szCs w:val="24"/>
        </w:rPr>
        <w:t xml:space="preserve"> a site of </w:t>
      </w:r>
      <w:r w:rsidR="003A100B" w:rsidRPr="00735740">
        <w:rPr>
          <w:rFonts w:ascii="Garamond" w:hAnsi="Garamond"/>
          <w:color w:val="000000" w:themeColor="text1"/>
          <w:sz w:val="24"/>
          <w:szCs w:val="24"/>
        </w:rPr>
        <w:t xml:space="preserve">(liberal) </w:t>
      </w:r>
      <w:r w:rsidRPr="00735740">
        <w:rPr>
          <w:rFonts w:ascii="Garamond" w:hAnsi="Garamond"/>
          <w:color w:val="000000" w:themeColor="text1"/>
          <w:sz w:val="24"/>
          <w:szCs w:val="24"/>
        </w:rPr>
        <w:t>peace, order and civilisation</w:t>
      </w:r>
      <w:r w:rsidR="005B5E4F" w:rsidRPr="00735740">
        <w:rPr>
          <w:rFonts w:ascii="Garamond" w:hAnsi="Garamond"/>
          <w:color w:val="000000" w:themeColor="text1"/>
          <w:sz w:val="24"/>
          <w:szCs w:val="24"/>
        </w:rPr>
        <w:t xml:space="preserve"> -</w:t>
      </w:r>
      <w:r w:rsidRPr="00735740">
        <w:rPr>
          <w:rFonts w:ascii="Garamond" w:hAnsi="Garamond"/>
          <w:color w:val="000000" w:themeColor="text1"/>
          <w:sz w:val="24"/>
          <w:szCs w:val="24"/>
        </w:rPr>
        <w:t xml:space="preserve"> from the violence committed in the local</w:t>
      </w:r>
      <w:r w:rsidR="005B5E4F" w:rsidRPr="00735740">
        <w:rPr>
          <w:rFonts w:ascii="Garamond" w:hAnsi="Garamond"/>
          <w:color w:val="000000" w:themeColor="text1"/>
          <w:sz w:val="24"/>
          <w:szCs w:val="24"/>
        </w:rPr>
        <w:t xml:space="preserve"> -</w:t>
      </w:r>
      <w:r w:rsidRPr="00735740">
        <w:rPr>
          <w:rFonts w:ascii="Garamond" w:hAnsi="Garamond"/>
          <w:color w:val="000000" w:themeColor="text1"/>
          <w:sz w:val="24"/>
          <w:szCs w:val="24"/>
        </w:rPr>
        <w:t xml:space="preserve"> a site of barbarity</w:t>
      </w:r>
      <w:r w:rsidR="005B5E4F" w:rsidRPr="00735740">
        <w:rPr>
          <w:rFonts w:ascii="Garamond" w:hAnsi="Garamond"/>
          <w:color w:val="000000" w:themeColor="text1"/>
          <w:sz w:val="24"/>
          <w:szCs w:val="24"/>
        </w:rPr>
        <w:t xml:space="preserve"> -</w:t>
      </w:r>
      <w:r w:rsidRPr="00735740">
        <w:rPr>
          <w:rFonts w:ascii="Garamond" w:hAnsi="Garamond"/>
          <w:color w:val="000000" w:themeColor="text1"/>
          <w:sz w:val="24"/>
          <w:szCs w:val="24"/>
        </w:rPr>
        <w:t xml:space="preserve"> and </w:t>
      </w:r>
      <w:r w:rsidRPr="00735740">
        <w:rPr>
          <w:rFonts w:ascii="Garamond" w:hAnsi="Garamond"/>
          <w:i/>
          <w:color w:val="000000" w:themeColor="text1"/>
          <w:sz w:val="24"/>
          <w:szCs w:val="24"/>
        </w:rPr>
        <w:t>absolve</w:t>
      </w:r>
      <w:r w:rsidR="00CA4C7A" w:rsidRPr="00735740">
        <w:rPr>
          <w:rFonts w:ascii="Garamond" w:hAnsi="Garamond"/>
          <w:i/>
          <w:color w:val="000000" w:themeColor="text1"/>
          <w:sz w:val="24"/>
          <w:szCs w:val="24"/>
        </w:rPr>
        <w:t>d</w:t>
      </w:r>
      <w:r w:rsidRPr="00735740">
        <w:rPr>
          <w:rFonts w:ascii="Garamond" w:hAnsi="Garamond"/>
          <w:i/>
          <w:color w:val="000000" w:themeColor="text1"/>
          <w:sz w:val="24"/>
          <w:szCs w:val="24"/>
        </w:rPr>
        <w:t xml:space="preserve"> </w:t>
      </w:r>
      <w:r w:rsidR="00A27B1C" w:rsidRPr="00735740">
        <w:rPr>
          <w:rFonts w:ascii="Garamond" w:hAnsi="Garamond"/>
          <w:color w:val="000000" w:themeColor="text1"/>
          <w:sz w:val="24"/>
          <w:szCs w:val="24"/>
        </w:rPr>
        <w:t>other actors within the</w:t>
      </w:r>
      <w:r w:rsidRPr="00735740">
        <w:rPr>
          <w:rFonts w:ascii="Garamond" w:hAnsi="Garamond"/>
          <w:color w:val="000000" w:themeColor="text1"/>
          <w:sz w:val="24"/>
          <w:szCs w:val="24"/>
        </w:rPr>
        <w:t xml:space="preserve"> international community </w:t>
      </w:r>
      <w:r w:rsidR="00A27B1C" w:rsidRPr="00735740">
        <w:rPr>
          <w:rFonts w:ascii="Garamond" w:hAnsi="Garamond"/>
          <w:color w:val="000000" w:themeColor="text1"/>
          <w:sz w:val="24"/>
          <w:szCs w:val="24"/>
        </w:rPr>
        <w:t>of their</w:t>
      </w:r>
      <w:r w:rsidRPr="00735740">
        <w:rPr>
          <w:rFonts w:ascii="Garamond" w:hAnsi="Garamond"/>
          <w:color w:val="000000" w:themeColor="text1"/>
          <w:sz w:val="24"/>
          <w:szCs w:val="24"/>
        </w:rPr>
        <w:t xml:space="preserve"> responsibility for the violence.</w:t>
      </w:r>
      <w:r w:rsidRPr="00735740">
        <w:rPr>
          <w:rFonts w:ascii="Garamond" w:hAnsi="Garamond"/>
          <w:color w:val="000000" w:themeColor="text1"/>
          <w:sz w:val="24"/>
          <w:szCs w:val="24"/>
          <w:vertAlign w:val="superscript"/>
        </w:rPr>
        <w:footnoteReference w:id="82"/>
      </w:r>
      <w:r w:rsidRPr="00735740">
        <w:rPr>
          <w:rFonts w:ascii="Garamond" w:hAnsi="Garamond"/>
          <w:color w:val="000000" w:themeColor="text1"/>
          <w:sz w:val="24"/>
          <w:szCs w:val="24"/>
        </w:rPr>
        <w:t xml:space="preserve"> Not only this, the archive portrays the international, </w:t>
      </w:r>
      <w:r w:rsidR="0020187C" w:rsidRPr="00735740">
        <w:rPr>
          <w:rFonts w:ascii="Garamond" w:hAnsi="Garamond"/>
          <w:color w:val="000000" w:themeColor="text1"/>
          <w:sz w:val="24"/>
          <w:szCs w:val="24"/>
        </w:rPr>
        <w:t xml:space="preserve">by </w:t>
      </w:r>
      <w:r w:rsidRPr="00735740">
        <w:rPr>
          <w:rFonts w:ascii="Garamond" w:hAnsi="Garamond"/>
          <w:color w:val="000000" w:themeColor="text1"/>
          <w:sz w:val="24"/>
          <w:szCs w:val="24"/>
        </w:rPr>
        <w:t>enacting law and ‘bringing justice’ to Rwanda, as</w:t>
      </w:r>
      <w:r w:rsidR="005B5E4F" w:rsidRPr="00735740">
        <w:rPr>
          <w:rFonts w:ascii="Garamond" w:hAnsi="Garamond"/>
          <w:color w:val="000000" w:themeColor="text1"/>
          <w:sz w:val="24"/>
          <w:szCs w:val="24"/>
        </w:rPr>
        <w:t xml:space="preserve"> </w:t>
      </w:r>
      <w:r w:rsidRPr="00735740">
        <w:rPr>
          <w:rFonts w:ascii="Garamond" w:hAnsi="Garamond"/>
          <w:color w:val="000000" w:themeColor="text1"/>
          <w:sz w:val="24"/>
          <w:szCs w:val="24"/>
        </w:rPr>
        <w:t>saviour.</w:t>
      </w:r>
      <w:r w:rsidRPr="00735740">
        <w:rPr>
          <w:rFonts w:ascii="Garamond" w:hAnsi="Garamond"/>
          <w:color w:val="000000" w:themeColor="text1"/>
          <w:sz w:val="24"/>
          <w:szCs w:val="24"/>
          <w:vertAlign w:val="superscript"/>
        </w:rPr>
        <w:footnoteReference w:id="83"/>
      </w:r>
      <w:r w:rsidRPr="00735740">
        <w:rPr>
          <w:rFonts w:ascii="Garamond" w:hAnsi="Garamond"/>
          <w:color w:val="000000" w:themeColor="text1"/>
          <w:sz w:val="24"/>
          <w:szCs w:val="24"/>
        </w:rPr>
        <w:t xml:space="preserve"> </w:t>
      </w:r>
    </w:p>
    <w:p w14:paraId="2132E4DF" w14:textId="305BEC72" w:rsidR="00E35C64" w:rsidRPr="00735740" w:rsidRDefault="00E35C64">
      <w:pPr>
        <w:spacing w:line="360" w:lineRule="auto"/>
        <w:rPr>
          <w:rFonts w:ascii="Garamond" w:hAnsi="Garamond"/>
          <w:color w:val="000000" w:themeColor="text1"/>
          <w:sz w:val="24"/>
          <w:szCs w:val="24"/>
        </w:rPr>
      </w:pPr>
      <w:r w:rsidRPr="00735740">
        <w:rPr>
          <w:rFonts w:ascii="Garamond" w:hAnsi="Garamond"/>
          <w:color w:val="000000" w:themeColor="text1"/>
          <w:sz w:val="24"/>
          <w:szCs w:val="24"/>
        </w:rPr>
        <w:lastRenderedPageBreak/>
        <w:t>This nomenclature of violence, and the division between the local and the international</w:t>
      </w:r>
      <w:r w:rsidR="005B5E4F" w:rsidRPr="00735740">
        <w:rPr>
          <w:rFonts w:ascii="Garamond" w:hAnsi="Garamond"/>
          <w:color w:val="000000" w:themeColor="text1"/>
          <w:sz w:val="24"/>
          <w:szCs w:val="24"/>
        </w:rPr>
        <w:t>,</w:t>
      </w:r>
      <w:r w:rsidRPr="00735740">
        <w:rPr>
          <w:rFonts w:ascii="Garamond" w:hAnsi="Garamond"/>
          <w:color w:val="000000" w:themeColor="text1"/>
          <w:sz w:val="24"/>
          <w:szCs w:val="24"/>
        </w:rPr>
        <w:t xml:space="preserve"> </w:t>
      </w:r>
      <w:r w:rsidR="00E92298" w:rsidRPr="00735740">
        <w:rPr>
          <w:rFonts w:ascii="Garamond" w:hAnsi="Garamond"/>
          <w:color w:val="000000" w:themeColor="text1"/>
          <w:sz w:val="24"/>
          <w:szCs w:val="24"/>
        </w:rPr>
        <w:t>also affects how</w:t>
      </w:r>
      <w:r w:rsidR="00467036" w:rsidRPr="00735740">
        <w:rPr>
          <w:rFonts w:ascii="Garamond" w:hAnsi="Garamond"/>
          <w:color w:val="000000" w:themeColor="text1"/>
          <w:sz w:val="24"/>
          <w:szCs w:val="24"/>
        </w:rPr>
        <w:t xml:space="preserve"> violence is responded to within</w:t>
      </w:r>
      <w:r w:rsidR="00E92298" w:rsidRPr="00735740">
        <w:rPr>
          <w:rFonts w:ascii="Garamond" w:hAnsi="Garamond"/>
          <w:color w:val="000000" w:themeColor="text1"/>
          <w:sz w:val="24"/>
          <w:szCs w:val="24"/>
        </w:rPr>
        <w:t xml:space="preserve"> the international community</w:t>
      </w:r>
      <w:r w:rsidR="00AC5E0C" w:rsidRPr="00735740">
        <w:rPr>
          <w:rFonts w:ascii="Garamond" w:hAnsi="Garamond"/>
          <w:color w:val="000000" w:themeColor="text1"/>
          <w:sz w:val="24"/>
          <w:szCs w:val="24"/>
        </w:rPr>
        <w:t xml:space="preserve">. The archive, then, produces </w:t>
      </w:r>
      <w:r w:rsidR="001157B8" w:rsidRPr="00735740">
        <w:rPr>
          <w:rFonts w:ascii="Garamond" w:hAnsi="Garamond"/>
          <w:color w:val="000000" w:themeColor="text1"/>
          <w:sz w:val="24"/>
          <w:szCs w:val="24"/>
        </w:rPr>
        <w:t xml:space="preserve">particular understandings of </w:t>
      </w:r>
      <w:r w:rsidR="00467036" w:rsidRPr="00735740">
        <w:rPr>
          <w:rFonts w:ascii="Garamond" w:hAnsi="Garamond"/>
          <w:color w:val="000000" w:themeColor="text1"/>
          <w:sz w:val="24"/>
          <w:szCs w:val="24"/>
        </w:rPr>
        <w:t xml:space="preserve">both </w:t>
      </w:r>
      <w:r w:rsidR="001157B8" w:rsidRPr="00735740">
        <w:rPr>
          <w:rFonts w:ascii="Garamond" w:hAnsi="Garamond"/>
          <w:color w:val="000000" w:themeColor="text1"/>
          <w:sz w:val="24"/>
          <w:szCs w:val="24"/>
        </w:rPr>
        <w:t xml:space="preserve">responsibility </w:t>
      </w:r>
      <w:r w:rsidR="001157B8" w:rsidRPr="00735740">
        <w:rPr>
          <w:rFonts w:ascii="Garamond" w:hAnsi="Garamond"/>
          <w:i/>
          <w:color w:val="000000" w:themeColor="text1"/>
          <w:sz w:val="24"/>
          <w:szCs w:val="24"/>
        </w:rPr>
        <w:t xml:space="preserve">for </w:t>
      </w:r>
      <w:r w:rsidR="001157B8" w:rsidRPr="00735740">
        <w:rPr>
          <w:rFonts w:ascii="Garamond" w:hAnsi="Garamond"/>
          <w:color w:val="000000" w:themeColor="text1"/>
          <w:sz w:val="24"/>
          <w:szCs w:val="24"/>
        </w:rPr>
        <w:t xml:space="preserve">violence and responsibility </w:t>
      </w:r>
      <w:r w:rsidR="001157B8" w:rsidRPr="00735740">
        <w:rPr>
          <w:rFonts w:ascii="Garamond" w:hAnsi="Garamond"/>
          <w:i/>
          <w:color w:val="000000" w:themeColor="text1"/>
          <w:sz w:val="24"/>
          <w:szCs w:val="24"/>
        </w:rPr>
        <w:t xml:space="preserve">to </w:t>
      </w:r>
      <w:r w:rsidR="00667DF5" w:rsidRPr="00735740">
        <w:rPr>
          <w:rFonts w:ascii="Garamond" w:hAnsi="Garamond"/>
          <w:color w:val="000000" w:themeColor="text1"/>
          <w:sz w:val="24"/>
          <w:szCs w:val="24"/>
        </w:rPr>
        <w:t xml:space="preserve">the </w:t>
      </w:r>
      <w:r w:rsidR="001157B8" w:rsidRPr="00735740">
        <w:rPr>
          <w:rFonts w:ascii="Garamond" w:hAnsi="Garamond"/>
          <w:color w:val="000000" w:themeColor="text1"/>
          <w:sz w:val="24"/>
          <w:szCs w:val="24"/>
        </w:rPr>
        <w:t>victims of violence.</w:t>
      </w:r>
      <w:r w:rsidR="001157B8" w:rsidRPr="00735740">
        <w:rPr>
          <w:rStyle w:val="FootnoteReference"/>
          <w:rFonts w:ascii="Garamond" w:hAnsi="Garamond"/>
          <w:color w:val="000000" w:themeColor="text1"/>
          <w:sz w:val="24"/>
          <w:szCs w:val="24"/>
        </w:rPr>
        <w:footnoteReference w:id="84"/>
      </w:r>
      <w:r w:rsidR="001157B8" w:rsidRPr="00735740">
        <w:rPr>
          <w:rFonts w:ascii="Garamond" w:hAnsi="Garamond"/>
          <w:color w:val="000000" w:themeColor="text1"/>
          <w:sz w:val="24"/>
          <w:szCs w:val="24"/>
        </w:rPr>
        <w:t xml:space="preserve"> </w:t>
      </w:r>
      <w:r w:rsidRPr="00735740">
        <w:rPr>
          <w:rFonts w:ascii="Garamond" w:hAnsi="Garamond"/>
          <w:color w:val="000000" w:themeColor="text1"/>
          <w:sz w:val="24"/>
          <w:szCs w:val="24"/>
        </w:rPr>
        <w:t xml:space="preserve">During </w:t>
      </w:r>
      <w:r w:rsidR="00AC5E0C" w:rsidRPr="00735740">
        <w:rPr>
          <w:rFonts w:ascii="Garamond" w:hAnsi="Garamond"/>
          <w:color w:val="000000" w:themeColor="text1"/>
          <w:sz w:val="24"/>
          <w:szCs w:val="24"/>
        </w:rPr>
        <w:t xml:space="preserve">the first months of </w:t>
      </w:r>
      <w:r w:rsidRPr="00735740">
        <w:rPr>
          <w:rFonts w:ascii="Garamond" w:hAnsi="Garamond"/>
          <w:color w:val="000000" w:themeColor="text1"/>
          <w:sz w:val="24"/>
          <w:szCs w:val="24"/>
        </w:rPr>
        <w:t>the Rwandan genocide</w:t>
      </w:r>
      <w:r w:rsidR="005B5E4F" w:rsidRPr="00735740">
        <w:rPr>
          <w:rFonts w:ascii="Garamond" w:hAnsi="Garamond"/>
          <w:color w:val="000000" w:themeColor="text1"/>
          <w:sz w:val="24"/>
          <w:szCs w:val="24"/>
        </w:rPr>
        <w:t>,</w:t>
      </w:r>
      <w:r w:rsidRPr="00735740">
        <w:rPr>
          <w:rFonts w:ascii="Garamond" w:hAnsi="Garamond"/>
          <w:color w:val="000000" w:themeColor="text1"/>
          <w:sz w:val="24"/>
          <w:szCs w:val="24"/>
        </w:rPr>
        <w:t xml:space="preserve"> </w:t>
      </w:r>
      <w:r w:rsidR="00B11E33" w:rsidRPr="00735740">
        <w:rPr>
          <w:rFonts w:ascii="Garamond" w:hAnsi="Garamond"/>
          <w:color w:val="000000" w:themeColor="text1"/>
          <w:sz w:val="24"/>
          <w:szCs w:val="24"/>
        </w:rPr>
        <w:t xml:space="preserve">UNSC debates about Rwanda were dominated by this idea of </w:t>
      </w:r>
      <w:r w:rsidR="001157B8" w:rsidRPr="00735740">
        <w:rPr>
          <w:rFonts w:ascii="Garamond" w:hAnsi="Garamond"/>
          <w:color w:val="000000" w:themeColor="text1"/>
          <w:sz w:val="24"/>
          <w:szCs w:val="24"/>
        </w:rPr>
        <w:t>localised</w:t>
      </w:r>
      <w:r w:rsidR="00667DF5" w:rsidRPr="00735740">
        <w:rPr>
          <w:rFonts w:ascii="Garamond" w:hAnsi="Garamond"/>
          <w:color w:val="000000" w:themeColor="text1"/>
          <w:sz w:val="24"/>
          <w:szCs w:val="24"/>
        </w:rPr>
        <w:t xml:space="preserve"> </w:t>
      </w:r>
      <w:r w:rsidR="001157B8" w:rsidRPr="00735740">
        <w:rPr>
          <w:rFonts w:ascii="Garamond" w:hAnsi="Garamond"/>
          <w:color w:val="000000" w:themeColor="text1"/>
          <w:sz w:val="24"/>
          <w:szCs w:val="24"/>
        </w:rPr>
        <w:t>barbarity</w:t>
      </w:r>
      <w:r w:rsidR="00B11E33" w:rsidRPr="00735740">
        <w:rPr>
          <w:rFonts w:ascii="Garamond" w:hAnsi="Garamond"/>
          <w:color w:val="000000" w:themeColor="text1"/>
          <w:sz w:val="24"/>
          <w:szCs w:val="24"/>
        </w:rPr>
        <w:t xml:space="preserve">, which led, particularly amongst the Permanent 5, to the conclusion that </w:t>
      </w:r>
      <w:r w:rsidRPr="00735740">
        <w:rPr>
          <w:rFonts w:ascii="Garamond" w:hAnsi="Garamond"/>
          <w:color w:val="000000" w:themeColor="text1"/>
          <w:sz w:val="24"/>
          <w:szCs w:val="24"/>
        </w:rPr>
        <w:t xml:space="preserve">nothing could be done to stop </w:t>
      </w:r>
      <w:r w:rsidR="00D325E7" w:rsidRPr="00735740">
        <w:rPr>
          <w:rFonts w:ascii="Garamond" w:hAnsi="Garamond"/>
          <w:color w:val="000000" w:themeColor="text1"/>
          <w:sz w:val="24"/>
          <w:szCs w:val="24"/>
        </w:rPr>
        <w:t>the irrational outpouring of violence</w:t>
      </w:r>
      <w:r w:rsidRPr="00735740">
        <w:rPr>
          <w:rFonts w:ascii="Garamond" w:hAnsi="Garamond"/>
          <w:color w:val="000000" w:themeColor="text1"/>
          <w:sz w:val="24"/>
          <w:szCs w:val="24"/>
        </w:rPr>
        <w:t>.</w:t>
      </w:r>
      <w:r w:rsidRPr="00735740">
        <w:rPr>
          <w:rFonts w:ascii="Garamond" w:hAnsi="Garamond"/>
          <w:color w:val="000000" w:themeColor="text1"/>
          <w:sz w:val="24"/>
          <w:szCs w:val="24"/>
          <w:vertAlign w:val="superscript"/>
        </w:rPr>
        <w:footnoteReference w:id="85"/>
      </w:r>
      <w:r w:rsidRPr="00735740">
        <w:rPr>
          <w:rFonts w:ascii="Garamond" w:hAnsi="Garamond"/>
          <w:color w:val="000000" w:themeColor="text1"/>
          <w:sz w:val="24"/>
          <w:szCs w:val="24"/>
        </w:rPr>
        <w:t xml:space="preserve"> </w:t>
      </w:r>
      <w:r w:rsidR="00AC5E0C" w:rsidRPr="00735740">
        <w:rPr>
          <w:rFonts w:ascii="Garamond" w:hAnsi="Garamond"/>
          <w:color w:val="000000" w:themeColor="text1"/>
          <w:sz w:val="24"/>
          <w:szCs w:val="24"/>
        </w:rPr>
        <w:t>This</w:t>
      </w:r>
      <w:r w:rsidR="00467036" w:rsidRPr="00735740">
        <w:rPr>
          <w:rFonts w:ascii="Garamond" w:hAnsi="Garamond"/>
          <w:color w:val="000000" w:themeColor="text1"/>
          <w:sz w:val="24"/>
          <w:szCs w:val="24"/>
        </w:rPr>
        <w:t xml:space="preserve"> </w:t>
      </w:r>
      <w:r w:rsidR="00AC5E0C" w:rsidRPr="00735740">
        <w:rPr>
          <w:rFonts w:ascii="Garamond" w:hAnsi="Garamond"/>
          <w:color w:val="000000" w:themeColor="text1"/>
          <w:sz w:val="24"/>
          <w:szCs w:val="24"/>
        </w:rPr>
        <w:t>positioned Rwanda as a problem that fell outside of the international community’s</w:t>
      </w:r>
      <w:r w:rsidR="005B0480" w:rsidRPr="00735740">
        <w:rPr>
          <w:rFonts w:ascii="Garamond" w:hAnsi="Garamond"/>
          <w:color w:val="000000" w:themeColor="text1"/>
          <w:sz w:val="24"/>
          <w:szCs w:val="24"/>
        </w:rPr>
        <w:t xml:space="preserve"> domain of</w:t>
      </w:r>
      <w:r w:rsidR="00AC5E0C" w:rsidRPr="00735740">
        <w:rPr>
          <w:rFonts w:ascii="Garamond" w:hAnsi="Garamond"/>
          <w:color w:val="000000" w:themeColor="text1"/>
          <w:sz w:val="24"/>
          <w:szCs w:val="24"/>
        </w:rPr>
        <w:t xml:space="preserve"> responsibility. Paradoxically, however, this division between the local and international can also produce a</w:t>
      </w:r>
      <w:r w:rsidR="00A27B1C" w:rsidRPr="00735740">
        <w:rPr>
          <w:rFonts w:ascii="Garamond" w:hAnsi="Garamond"/>
          <w:color w:val="000000" w:themeColor="text1"/>
          <w:sz w:val="24"/>
          <w:szCs w:val="24"/>
        </w:rPr>
        <w:t xml:space="preserve"> perceived</w:t>
      </w:r>
      <w:r w:rsidR="00AC5E0C" w:rsidRPr="00735740">
        <w:rPr>
          <w:rFonts w:ascii="Garamond" w:hAnsi="Garamond"/>
          <w:color w:val="000000" w:themeColor="text1"/>
          <w:sz w:val="24"/>
          <w:szCs w:val="24"/>
        </w:rPr>
        <w:t xml:space="preserve"> obligation to act. </w:t>
      </w:r>
      <w:r w:rsidR="00467036" w:rsidRPr="00735740">
        <w:rPr>
          <w:rFonts w:ascii="Garamond" w:hAnsi="Garamond"/>
          <w:color w:val="000000" w:themeColor="text1"/>
          <w:sz w:val="24"/>
          <w:szCs w:val="24"/>
        </w:rPr>
        <w:t>This portrayal of the barbaric and irrational local was central to coloniali</w:t>
      </w:r>
      <w:r w:rsidR="009838A3" w:rsidRPr="00735740">
        <w:rPr>
          <w:rFonts w:ascii="Garamond" w:hAnsi="Garamond"/>
          <w:color w:val="000000" w:themeColor="text1"/>
          <w:sz w:val="24"/>
          <w:szCs w:val="24"/>
        </w:rPr>
        <w:t>sm’s ‘civilising mission’</w:t>
      </w:r>
      <w:r w:rsidR="00467036" w:rsidRPr="00735740">
        <w:rPr>
          <w:rFonts w:ascii="Garamond" w:hAnsi="Garamond"/>
          <w:color w:val="000000" w:themeColor="text1"/>
          <w:sz w:val="24"/>
          <w:szCs w:val="24"/>
        </w:rPr>
        <w:t xml:space="preserve"> and continues to under</w:t>
      </w:r>
      <w:r w:rsidR="005B0480" w:rsidRPr="00735740">
        <w:rPr>
          <w:rFonts w:ascii="Garamond" w:hAnsi="Garamond"/>
          <w:color w:val="000000" w:themeColor="text1"/>
          <w:sz w:val="24"/>
          <w:szCs w:val="24"/>
        </w:rPr>
        <w:t>pin</w:t>
      </w:r>
      <w:r w:rsidR="00467036" w:rsidRPr="00735740">
        <w:rPr>
          <w:rFonts w:ascii="Garamond" w:hAnsi="Garamond"/>
          <w:color w:val="000000" w:themeColor="text1"/>
          <w:sz w:val="24"/>
          <w:szCs w:val="24"/>
        </w:rPr>
        <w:t xml:space="preserve"> ideas about humanitarian intervention</w:t>
      </w:r>
      <w:r w:rsidR="005B0480" w:rsidRPr="00735740">
        <w:rPr>
          <w:rFonts w:ascii="Garamond" w:hAnsi="Garamond"/>
          <w:color w:val="000000" w:themeColor="text1"/>
          <w:sz w:val="24"/>
          <w:szCs w:val="24"/>
        </w:rPr>
        <w:t>.</w:t>
      </w:r>
      <w:r w:rsidR="005B0480" w:rsidRPr="00735740">
        <w:rPr>
          <w:rStyle w:val="FootnoteReference"/>
          <w:rFonts w:ascii="Garamond" w:hAnsi="Garamond"/>
          <w:color w:val="000000" w:themeColor="text1"/>
          <w:sz w:val="24"/>
          <w:szCs w:val="24"/>
        </w:rPr>
        <w:footnoteReference w:id="86"/>
      </w:r>
      <w:r w:rsidR="005B0480" w:rsidRPr="00735740">
        <w:rPr>
          <w:rFonts w:ascii="Garamond" w:hAnsi="Garamond"/>
          <w:color w:val="000000" w:themeColor="text1"/>
          <w:sz w:val="24"/>
          <w:szCs w:val="24"/>
        </w:rPr>
        <w:t xml:space="preserve"> </w:t>
      </w:r>
      <w:r w:rsidR="00467036" w:rsidRPr="00735740">
        <w:rPr>
          <w:rFonts w:ascii="Garamond" w:hAnsi="Garamond"/>
          <w:color w:val="000000" w:themeColor="text1"/>
          <w:sz w:val="24"/>
          <w:szCs w:val="24"/>
        </w:rPr>
        <w:t xml:space="preserve">This </w:t>
      </w:r>
      <w:r w:rsidR="005B0480" w:rsidRPr="00735740">
        <w:rPr>
          <w:rFonts w:ascii="Garamond" w:hAnsi="Garamond"/>
          <w:color w:val="000000" w:themeColor="text1"/>
          <w:sz w:val="24"/>
          <w:szCs w:val="24"/>
        </w:rPr>
        <w:t>logic also</w:t>
      </w:r>
      <w:r w:rsidR="00467036" w:rsidRPr="00735740">
        <w:rPr>
          <w:rFonts w:ascii="Garamond" w:hAnsi="Garamond"/>
          <w:color w:val="000000" w:themeColor="text1"/>
          <w:sz w:val="24"/>
          <w:szCs w:val="24"/>
        </w:rPr>
        <w:t xml:space="preserve"> </w:t>
      </w:r>
      <w:r w:rsidR="005B0480" w:rsidRPr="00735740">
        <w:rPr>
          <w:rFonts w:ascii="Garamond" w:hAnsi="Garamond"/>
          <w:color w:val="000000" w:themeColor="text1"/>
          <w:sz w:val="24"/>
          <w:szCs w:val="24"/>
        </w:rPr>
        <w:t>legitimised</w:t>
      </w:r>
      <w:r w:rsidRPr="00735740">
        <w:rPr>
          <w:rFonts w:ascii="Garamond" w:hAnsi="Garamond"/>
          <w:color w:val="000000" w:themeColor="text1"/>
          <w:sz w:val="24"/>
          <w:szCs w:val="24"/>
        </w:rPr>
        <w:t xml:space="preserve"> the </w:t>
      </w:r>
      <w:r w:rsidR="0009763F" w:rsidRPr="00735740">
        <w:rPr>
          <w:rFonts w:ascii="Garamond" w:hAnsi="Garamond"/>
          <w:color w:val="000000" w:themeColor="text1"/>
          <w:sz w:val="24"/>
          <w:szCs w:val="24"/>
        </w:rPr>
        <w:t xml:space="preserve">UNSC’s decision to create </w:t>
      </w:r>
      <w:r w:rsidRPr="00735740">
        <w:rPr>
          <w:rFonts w:ascii="Garamond" w:hAnsi="Garamond"/>
          <w:color w:val="000000" w:themeColor="text1"/>
          <w:sz w:val="24"/>
          <w:szCs w:val="24"/>
        </w:rPr>
        <w:t>the ICTR</w:t>
      </w:r>
      <w:r w:rsidR="005B0480" w:rsidRPr="00735740">
        <w:rPr>
          <w:rFonts w:ascii="Garamond" w:hAnsi="Garamond"/>
          <w:color w:val="000000" w:themeColor="text1"/>
          <w:sz w:val="24"/>
          <w:szCs w:val="24"/>
        </w:rPr>
        <w:t>, ultimately against Rwanda’s will</w:t>
      </w:r>
      <w:r w:rsidR="0009763F" w:rsidRPr="00735740">
        <w:rPr>
          <w:rFonts w:ascii="Garamond" w:hAnsi="Garamond"/>
          <w:color w:val="000000" w:themeColor="text1"/>
          <w:sz w:val="24"/>
          <w:szCs w:val="24"/>
        </w:rPr>
        <w:t xml:space="preserve">, as </w:t>
      </w:r>
      <w:r w:rsidR="00B11E33" w:rsidRPr="00735740">
        <w:rPr>
          <w:rFonts w:ascii="Garamond" w:hAnsi="Garamond"/>
          <w:color w:val="000000" w:themeColor="text1"/>
          <w:sz w:val="24"/>
          <w:szCs w:val="24"/>
        </w:rPr>
        <w:t xml:space="preserve">the UNSC argued </w:t>
      </w:r>
      <w:r w:rsidR="0009763F" w:rsidRPr="00735740">
        <w:rPr>
          <w:rFonts w:ascii="Garamond" w:hAnsi="Garamond"/>
          <w:color w:val="000000" w:themeColor="text1"/>
          <w:sz w:val="24"/>
          <w:szCs w:val="24"/>
        </w:rPr>
        <w:t xml:space="preserve">that only an </w:t>
      </w:r>
      <w:r w:rsidR="00FA724A" w:rsidRPr="00735740">
        <w:rPr>
          <w:rFonts w:ascii="Garamond" w:hAnsi="Garamond"/>
          <w:color w:val="000000" w:themeColor="text1"/>
          <w:sz w:val="24"/>
          <w:szCs w:val="24"/>
        </w:rPr>
        <w:t>international</w:t>
      </w:r>
      <w:r w:rsidRPr="00735740">
        <w:rPr>
          <w:rFonts w:ascii="Garamond" w:hAnsi="Garamond"/>
          <w:color w:val="000000" w:themeColor="text1"/>
          <w:sz w:val="24"/>
          <w:szCs w:val="24"/>
        </w:rPr>
        <w:t xml:space="preserve"> </w:t>
      </w:r>
      <w:r w:rsidR="00B11E33" w:rsidRPr="00735740">
        <w:rPr>
          <w:rFonts w:ascii="Garamond" w:hAnsi="Garamond"/>
          <w:color w:val="000000" w:themeColor="text1"/>
          <w:sz w:val="24"/>
          <w:szCs w:val="24"/>
        </w:rPr>
        <w:t>court could impartially</w:t>
      </w:r>
      <w:r w:rsidRPr="00735740">
        <w:rPr>
          <w:rFonts w:ascii="Garamond" w:hAnsi="Garamond"/>
          <w:color w:val="000000" w:themeColor="text1"/>
          <w:sz w:val="24"/>
          <w:szCs w:val="24"/>
        </w:rPr>
        <w:t xml:space="preserve"> administer justice</w:t>
      </w:r>
      <w:r w:rsidR="009614E0" w:rsidRPr="00735740">
        <w:rPr>
          <w:rFonts w:ascii="Garamond" w:hAnsi="Garamond"/>
          <w:color w:val="000000" w:themeColor="text1"/>
          <w:sz w:val="24"/>
          <w:szCs w:val="24"/>
        </w:rPr>
        <w:t xml:space="preserve"> and so </w:t>
      </w:r>
      <w:r w:rsidR="00A27B1C" w:rsidRPr="00735740">
        <w:rPr>
          <w:rFonts w:ascii="Garamond" w:hAnsi="Garamond"/>
          <w:color w:val="000000" w:themeColor="text1"/>
          <w:sz w:val="24"/>
          <w:szCs w:val="24"/>
        </w:rPr>
        <w:t>reform</w:t>
      </w:r>
      <w:r w:rsidR="009614E0" w:rsidRPr="00735740">
        <w:rPr>
          <w:rFonts w:ascii="Garamond" w:hAnsi="Garamond"/>
          <w:color w:val="000000" w:themeColor="text1"/>
          <w:sz w:val="24"/>
          <w:szCs w:val="24"/>
        </w:rPr>
        <w:t xml:space="preserve"> Rwanda </w:t>
      </w:r>
      <w:r w:rsidR="00A27B1C" w:rsidRPr="00735740">
        <w:rPr>
          <w:rFonts w:ascii="Garamond" w:hAnsi="Garamond"/>
          <w:color w:val="000000" w:themeColor="text1"/>
          <w:sz w:val="24"/>
          <w:szCs w:val="24"/>
        </w:rPr>
        <w:t>into</w:t>
      </w:r>
      <w:r w:rsidR="009614E0" w:rsidRPr="00735740">
        <w:rPr>
          <w:rFonts w:ascii="Garamond" w:hAnsi="Garamond"/>
          <w:color w:val="000000" w:themeColor="text1"/>
          <w:sz w:val="24"/>
          <w:szCs w:val="24"/>
        </w:rPr>
        <w:t xml:space="preserve"> a legitimate member of the international community</w:t>
      </w:r>
      <w:r w:rsidR="00B11E33" w:rsidRPr="00735740">
        <w:rPr>
          <w:rFonts w:ascii="Garamond" w:hAnsi="Garamond"/>
          <w:color w:val="000000" w:themeColor="text1"/>
          <w:sz w:val="24"/>
          <w:szCs w:val="24"/>
        </w:rPr>
        <w:t>.</w:t>
      </w:r>
      <w:r w:rsidR="00CA4C7A" w:rsidRPr="00735740">
        <w:rPr>
          <w:rStyle w:val="FootnoteReference"/>
          <w:rFonts w:ascii="Garamond" w:hAnsi="Garamond"/>
          <w:color w:val="000000" w:themeColor="text1"/>
          <w:sz w:val="24"/>
          <w:szCs w:val="24"/>
        </w:rPr>
        <w:footnoteReference w:id="87"/>
      </w:r>
      <w:r w:rsidR="00705300" w:rsidRPr="00735740">
        <w:rPr>
          <w:rFonts w:ascii="Garamond" w:hAnsi="Garamond"/>
          <w:color w:val="000000" w:themeColor="text1"/>
          <w:sz w:val="24"/>
          <w:szCs w:val="24"/>
        </w:rPr>
        <w:t xml:space="preserve"> </w:t>
      </w:r>
      <w:r w:rsidR="00467036" w:rsidRPr="00735740">
        <w:rPr>
          <w:rFonts w:ascii="Garamond" w:hAnsi="Garamond"/>
          <w:color w:val="000000" w:themeColor="text1"/>
          <w:sz w:val="24"/>
          <w:szCs w:val="24"/>
        </w:rPr>
        <w:t>Cutting across these examples is</w:t>
      </w:r>
      <w:r w:rsidR="002F6C6B" w:rsidRPr="00735740">
        <w:rPr>
          <w:rFonts w:ascii="Garamond" w:hAnsi="Garamond"/>
          <w:color w:val="000000" w:themeColor="text1"/>
          <w:sz w:val="24"/>
          <w:szCs w:val="24"/>
        </w:rPr>
        <w:t xml:space="preserve"> the constitution of the local</w:t>
      </w:r>
      <w:r w:rsidR="0009763F" w:rsidRPr="00735740">
        <w:rPr>
          <w:rFonts w:ascii="Garamond" w:hAnsi="Garamond"/>
          <w:color w:val="000000" w:themeColor="text1"/>
          <w:sz w:val="24"/>
          <w:szCs w:val="24"/>
        </w:rPr>
        <w:t xml:space="preserve"> as an irrational and barbaric space, </w:t>
      </w:r>
      <w:r w:rsidR="002F6C6B" w:rsidRPr="00735740">
        <w:rPr>
          <w:rFonts w:ascii="Garamond" w:hAnsi="Garamond"/>
          <w:color w:val="000000" w:themeColor="text1"/>
          <w:sz w:val="24"/>
          <w:szCs w:val="24"/>
        </w:rPr>
        <w:t xml:space="preserve">and </w:t>
      </w:r>
      <w:r w:rsidR="00467036" w:rsidRPr="00735740">
        <w:rPr>
          <w:rFonts w:ascii="Garamond" w:hAnsi="Garamond"/>
          <w:color w:val="000000" w:themeColor="text1"/>
          <w:sz w:val="24"/>
          <w:szCs w:val="24"/>
        </w:rPr>
        <w:t xml:space="preserve">that it is </w:t>
      </w:r>
      <w:r w:rsidR="009838A3" w:rsidRPr="00735740">
        <w:rPr>
          <w:rFonts w:ascii="Garamond" w:hAnsi="Garamond"/>
          <w:color w:val="000000" w:themeColor="text1"/>
          <w:sz w:val="24"/>
          <w:szCs w:val="24"/>
        </w:rPr>
        <w:t>consistently</w:t>
      </w:r>
      <w:r w:rsidR="005B0480" w:rsidRPr="00735740">
        <w:rPr>
          <w:rFonts w:ascii="Garamond" w:hAnsi="Garamond"/>
          <w:color w:val="000000" w:themeColor="text1"/>
          <w:sz w:val="24"/>
          <w:szCs w:val="24"/>
        </w:rPr>
        <w:t xml:space="preserve"> those that claim to </w:t>
      </w:r>
      <w:r w:rsidR="009838A3" w:rsidRPr="00735740">
        <w:rPr>
          <w:rFonts w:ascii="Garamond" w:hAnsi="Garamond"/>
          <w:color w:val="000000" w:themeColor="text1"/>
          <w:sz w:val="24"/>
          <w:szCs w:val="24"/>
        </w:rPr>
        <w:t>speak for</w:t>
      </w:r>
      <w:r w:rsidR="005B0480" w:rsidRPr="00735740">
        <w:rPr>
          <w:rFonts w:ascii="Garamond" w:hAnsi="Garamond"/>
          <w:color w:val="000000" w:themeColor="text1"/>
          <w:sz w:val="24"/>
          <w:szCs w:val="24"/>
        </w:rPr>
        <w:t xml:space="preserve"> the international community</w:t>
      </w:r>
      <w:r w:rsidR="009838A3" w:rsidRPr="00735740">
        <w:rPr>
          <w:rFonts w:ascii="Garamond" w:hAnsi="Garamond"/>
          <w:color w:val="000000" w:themeColor="text1"/>
          <w:sz w:val="24"/>
          <w:szCs w:val="24"/>
        </w:rPr>
        <w:t xml:space="preserve"> </w:t>
      </w:r>
      <w:r w:rsidR="005B0480" w:rsidRPr="00735740">
        <w:rPr>
          <w:rFonts w:ascii="Garamond" w:hAnsi="Garamond"/>
          <w:color w:val="000000" w:themeColor="text1"/>
          <w:sz w:val="24"/>
          <w:szCs w:val="24"/>
        </w:rPr>
        <w:t>– often actors</w:t>
      </w:r>
      <w:r w:rsidR="00467036" w:rsidRPr="00735740">
        <w:rPr>
          <w:rFonts w:ascii="Garamond" w:hAnsi="Garamond"/>
          <w:color w:val="000000" w:themeColor="text1"/>
          <w:sz w:val="24"/>
          <w:szCs w:val="24"/>
        </w:rPr>
        <w:t xml:space="preserve"> from</w:t>
      </w:r>
      <w:r w:rsidR="00705300" w:rsidRPr="00735740">
        <w:rPr>
          <w:rFonts w:ascii="Garamond" w:hAnsi="Garamond"/>
          <w:i/>
          <w:color w:val="000000" w:themeColor="text1"/>
          <w:sz w:val="24"/>
          <w:szCs w:val="24"/>
        </w:rPr>
        <w:t xml:space="preserve"> </w:t>
      </w:r>
      <w:r w:rsidR="00467036" w:rsidRPr="00735740">
        <w:rPr>
          <w:rFonts w:ascii="Garamond" w:hAnsi="Garamond"/>
          <w:color w:val="000000" w:themeColor="text1"/>
          <w:sz w:val="24"/>
          <w:szCs w:val="24"/>
        </w:rPr>
        <w:t>the Global North</w:t>
      </w:r>
      <w:r w:rsidR="009838A3" w:rsidRPr="00735740">
        <w:rPr>
          <w:rFonts w:ascii="Garamond" w:hAnsi="Garamond"/>
          <w:color w:val="000000" w:themeColor="text1"/>
          <w:sz w:val="24"/>
          <w:szCs w:val="24"/>
        </w:rPr>
        <w:t xml:space="preserve"> with long colonial histories</w:t>
      </w:r>
      <w:r w:rsidR="005B0480" w:rsidRPr="00735740">
        <w:rPr>
          <w:rFonts w:ascii="Garamond" w:hAnsi="Garamond"/>
          <w:color w:val="000000" w:themeColor="text1"/>
          <w:sz w:val="24"/>
          <w:szCs w:val="24"/>
        </w:rPr>
        <w:t xml:space="preserve"> -  </w:t>
      </w:r>
      <w:r w:rsidR="00467036" w:rsidRPr="00735740">
        <w:rPr>
          <w:rFonts w:ascii="Garamond" w:hAnsi="Garamond"/>
          <w:color w:val="000000" w:themeColor="text1"/>
          <w:sz w:val="24"/>
          <w:szCs w:val="24"/>
        </w:rPr>
        <w:t>rather than the those experience the violence</w:t>
      </w:r>
      <w:r w:rsidR="00544684" w:rsidRPr="00735740">
        <w:rPr>
          <w:rFonts w:ascii="Garamond" w:hAnsi="Garamond"/>
          <w:color w:val="000000" w:themeColor="text1"/>
          <w:sz w:val="24"/>
          <w:szCs w:val="24"/>
        </w:rPr>
        <w:t xml:space="preserve"> – often actors from the Global South - </w:t>
      </w:r>
      <w:r w:rsidR="00467036" w:rsidRPr="00735740">
        <w:rPr>
          <w:rFonts w:ascii="Garamond" w:hAnsi="Garamond"/>
          <w:color w:val="000000" w:themeColor="text1"/>
          <w:sz w:val="24"/>
          <w:szCs w:val="24"/>
        </w:rPr>
        <w:t xml:space="preserve"> that decide </w:t>
      </w:r>
      <w:r w:rsidR="001157B8" w:rsidRPr="00735740">
        <w:rPr>
          <w:rFonts w:ascii="Garamond" w:hAnsi="Garamond"/>
          <w:color w:val="000000" w:themeColor="text1"/>
          <w:sz w:val="24"/>
          <w:szCs w:val="24"/>
        </w:rPr>
        <w:t>the terms upon which, and indeed when, intervention takes place.</w:t>
      </w:r>
      <w:r w:rsidR="00253EAA" w:rsidRPr="00735740">
        <w:rPr>
          <w:rStyle w:val="FootnoteReference"/>
          <w:rFonts w:ascii="Garamond" w:hAnsi="Garamond"/>
          <w:color w:val="000000" w:themeColor="text1"/>
          <w:sz w:val="24"/>
          <w:szCs w:val="24"/>
        </w:rPr>
        <w:footnoteReference w:id="88"/>
      </w:r>
    </w:p>
    <w:p w14:paraId="56189985" w14:textId="72E34EEF" w:rsidR="0088121D" w:rsidRPr="00735740" w:rsidRDefault="00E35C64" w:rsidP="00201640">
      <w:pPr>
        <w:spacing w:line="360" w:lineRule="auto"/>
        <w:rPr>
          <w:rFonts w:ascii="Garamond" w:hAnsi="Garamond"/>
          <w:color w:val="000000" w:themeColor="text1"/>
          <w:sz w:val="24"/>
          <w:szCs w:val="24"/>
        </w:rPr>
      </w:pPr>
      <w:r w:rsidRPr="00735740">
        <w:rPr>
          <w:rFonts w:ascii="Garamond" w:hAnsi="Garamond"/>
          <w:color w:val="000000" w:themeColor="text1"/>
          <w:sz w:val="24"/>
          <w:szCs w:val="24"/>
        </w:rPr>
        <w:t xml:space="preserve">As such, the liberal undercurrents of the archive, especially its focus on individuals, when combined with other discursive imaginings about the </w:t>
      </w:r>
      <w:r w:rsidR="004551CF" w:rsidRPr="00735740">
        <w:rPr>
          <w:rFonts w:ascii="Garamond" w:hAnsi="Garamond"/>
          <w:i/>
          <w:color w:val="000000" w:themeColor="text1"/>
          <w:sz w:val="24"/>
          <w:szCs w:val="24"/>
        </w:rPr>
        <w:t xml:space="preserve">liberal </w:t>
      </w:r>
      <w:r w:rsidRPr="00735740">
        <w:rPr>
          <w:rFonts w:ascii="Garamond" w:hAnsi="Garamond"/>
          <w:color w:val="000000" w:themeColor="text1"/>
          <w:sz w:val="24"/>
          <w:szCs w:val="24"/>
        </w:rPr>
        <w:t>international order, carrie</w:t>
      </w:r>
      <w:r w:rsidR="00B358FE" w:rsidRPr="00735740">
        <w:rPr>
          <w:rFonts w:ascii="Garamond" w:hAnsi="Garamond"/>
          <w:color w:val="000000" w:themeColor="text1"/>
          <w:sz w:val="24"/>
          <w:szCs w:val="24"/>
        </w:rPr>
        <w:t>d</w:t>
      </w:r>
      <w:r w:rsidRPr="00735740">
        <w:rPr>
          <w:rFonts w:ascii="Garamond" w:hAnsi="Garamond"/>
          <w:color w:val="000000" w:themeColor="text1"/>
          <w:sz w:val="24"/>
          <w:szCs w:val="24"/>
        </w:rPr>
        <w:t xml:space="preserve"> with it a number of consequences for how the international community </w:t>
      </w:r>
      <w:r w:rsidR="00B358FE" w:rsidRPr="00735740">
        <w:rPr>
          <w:rFonts w:ascii="Garamond" w:hAnsi="Garamond"/>
          <w:color w:val="000000" w:themeColor="text1"/>
          <w:sz w:val="24"/>
          <w:szCs w:val="24"/>
        </w:rPr>
        <w:t xml:space="preserve">was </w:t>
      </w:r>
      <w:r w:rsidRPr="00735740">
        <w:rPr>
          <w:rFonts w:ascii="Garamond" w:hAnsi="Garamond"/>
          <w:color w:val="000000" w:themeColor="text1"/>
          <w:sz w:val="24"/>
          <w:szCs w:val="24"/>
        </w:rPr>
        <w:t xml:space="preserve">imagined and governed. </w:t>
      </w:r>
      <w:r w:rsidR="00F42E9A" w:rsidRPr="00735740">
        <w:rPr>
          <w:rFonts w:ascii="Garamond" w:hAnsi="Garamond"/>
          <w:color w:val="000000" w:themeColor="text1"/>
          <w:sz w:val="24"/>
          <w:szCs w:val="24"/>
        </w:rPr>
        <w:t>T</w:t>
      </w:r>
      <w:r w:rsidRPr="00735740">
        <w:rPr>
          <w:rFonts w:ascii="Garamond" w:hAnsi="Garamond"/>
          <w:color w:val="000000" w:themeColor="text1"/>
          <w:sz w:val="24"/>
          <w:szCs w:val="24"/>
        </w:rPr>
        <w:t>his include</w:t>
      </w:r>
      <w:r w:rsidR="00B358FE" w:rsidRPr="00735740">
        <w:rPr>
          <w:rFonts w:ascii="Garamond" w:hAnsi="Garamond"/>
          <w:color w:val="000000" w:themeColor="text1"/>
          <w:sz w:val="24"/>
          <w:szCs w:val="24"/>
        </w:rPr>
        <w:t>d</w:t>
      </w:r>
      <w:r w:rsidRPr="00735740">
        <w:rPr>
          <w:rFonts w:ascii="Garamond" w:hAnsi="Garamond"/>
          <w:color w:val="000000" w:themeColor="text1"/>
          <w:sz w:val="24"/>
          <w:szCs w:val="24"/>
        </w:rPr>
        <w:t xml:space="preserve"> creating a space within which ‘military necessity’ trump</w:t>
      </w:r>
      <w:r w:rsidR="00B358FE" w:rsidRPr="00735740">
        <w:rPr>
          <w:rFonts w:ascii="Garamond" w:hAnsi="Garamond"/>
          <w:color w:val="000000" w:themeColor="text1"/>
          <w:sz w:val="24"/>
          <w:szCs w:val="24"/>
        </w:rPr>
        <w:t>ed</w:t>
      </w:r>
      <w:r w:rsidRPr="00735740">
        <w:rPr>
          <w:rFonts w:ascii="Garamond" w:hAnsi="Garamond"/>
          <w:color w:val="000000" w:themeColor="text1"/>
          <w:sz w:val="24"/>
          <w:szCs w:val="24"/>
        </w:rPr>
        <w:t xml:space="preserve"> protecting potential victims, </w:t>
      </w:r>
      <w:r w:rsidRPr="00735740">
        <w:rPr>
          <w:rFonts w:ascii="Garamond" w:hAnsi="Garamond"/>
          <w:color w:val="000000" w:themeColor="text1"/>
          <w:sz w:val="24"/>
          <w:szCs w:val="24"/>
        </w:rPr>
        <w:lastRenderedPageBreak/>
        <w:t>and where an understanding of the causes of violence</w:t>
      </w:r>
      <w:r w:rsidR="00B358FE" w:rsidRPr="00735740">
        <w:rPr>
          <w:rFonts w:ascii="Garamond" w:hAnsi="Garamond"/>
          <w:color w:val="000000" w:themeColor="text1"/>
          <w:sz w:val="24"/>
          <w:szCs w:val="24"/>
        </w:rPr>
        <w:t xml:space="preserve">, </w:t>
      </w:r>
      <w:r w:rsidRPr="00735740">
        <w:rPr>
          <w:rFonts w:ascii="Garamond" w:hAnsi="Garamond"/>
          <w:color w:val="000000" w:themeColor="text1"/>
          <w:sz w:val="24"/>
          <w:szCs w:val="24"/>
        </w:rPr>
        <w:t>as centred around the individual</w:t>
      </w:r>
      <w:r w:rsidR="00B358FE" w:rsidRPr="00735740">
        <w:rPr>
          <w:rFonts w:ascii="Garamond" w:hAnsi="Garamond"/>
          <w:color w:val="000000" w:themeColor="text1"/>
          <w:sz w:val="24"/>
          <w:szCs w:val="24"/>
        </w:rPr>
        <w:t xml:space="preserve">, </w:t>
      </w:r>
      <w:r w:rsidRPr="00735740">
        <w:rPr>
          <w:rFonts w:ascii="Garamond" w:hAnsi="Garamond"/>
          <w:color w:val="000000" w:themeColor="text1"/>
          <w:sz w:val="24"/>
          <w:szCs w:val="24"/>
        </w:rPr>
        <w:t>obscure</w:t>
      </w:r>
      <w:r w:rsidR="00B358FE" w:rsidRPr="00735740">
        <w:rPr>
          <w:rFonts w:ascii="Garamond" w:hAnsi="Garamond"/>
          <w:color w:val="000000" w:themeColor="text1"/>
          <w:sz w:val="24"/>
          <w:szCs w:val="24"/>
        </w:rPr>
        <w:t>d</w:t>
      </w:r>
      <w:r w:rsidRPr="00735740">
        <w:rPr>
          <w:rFonts w:ascii="Garamond" w:hAnsi="Garamond"/>
          <w:color w:val="000000" w:themeColor="text1"/>
          <w:sz w:val="24"/>
          <w:szCs w:val="24"/>
        </w:rPr>
        <w:t xml:space="preserve"> the wider structures and processes that underpin violence</w:t>
      </w:r>
      <w:r w:rsidR="00F42E9A" w:rsidRPr="00735740">
        <w:rPr>
          <w:rFonts w:ascii="Garamond" w:hAnsi="Garamond"/>
          <w:color w:val="000000" w:themeColor="text1"/>
          <w:sz w:val="24"/>
          <w:szCs w:val="24"/>
        </w:rPr>
        <w:t xml:space="preserve"> within the international domain</w:t>
      </w:r>
      <w:r w:rsidRPr="00735740">
        <w:rPr>
          <w:rFonts w:ascii="Garamond" w:hAnsi="Garamond"/>
          <w:color w:val="000000" w:themeColor="text1"/>
          <w:sz w:val="24"/>
          <w:szCs w:val="24"/>
        </w:rPr>
        <w:t xml:space="preserve">. </w:t>
      </w:r>
      <w:r w:rsidR="00F5217E" w:rsidRPr="00735740">
        <w:rPr>
          <w:rFonts w:ascii="Garamond" w:hAnsi="Garamond"/>
          <w:color w:val="000000" w:themeColor="text1"/>
          <w:sz w:val="24"/>
          <w:szCs w:val="24"/>
        </w:rPr>
        <w:t>This also introduce</w:t>
      </w:r>
      <w:r w:rsidR="00B358FE" w:rsidRPr="00735740">
        <w:rPr>
          <w:rFonts w:ascii="Garamond" w:hAnsi="Garamond"/>
          <w:color w:val="000000" w:themeColor="text1"/>
          <w:sz w:val="24"/>
          <w:szCs w:val="24"/>
        </w:rPr>
        <w:t>d</w:t>
      </w:r>
      <w:r w:rsidR="00F5217E" w:rsidRPr="00735740">
        <w:rPr>
          <w:rFonts w:ascii="Garamond" w:hAnsi="Garamond"/>
          <w:color w:val="000000" w:themeColor="text1"/>
          <w:sz w:val="24"/>
          <w:szCs w:val="24"/>
        </w:rPr>
        <w:t xml:space="preserve"> a colonial </w:t>
      </w:r>
      <w:r w:rsidR="00360923" w:rsidRPr="00735740">
        <w:rPr>
          <w:rFonts w:ascii="Garamond" w:hAnsi="Garamond"/>
          <w:color w:val="000000" w:themeColor="text1"/>
          <w:sz w:val="24"/>
          <w:szCs w:val="24"/>
        </w:rPr>
        <w:t xml:space="preserve">rationality </w:t>
      </w:r>
      <w:r w:rsidR="00F5217E" w:rsidRPr="00735740">
        <w:rPr>
          <w:rFonts w:ascii="Garamond" w:hAnsi="Garamond"/>
          <w:color w:val="000000" w:themeColor="text1"/>
          <w:sz w:val="24"/>
          <w:szCs w:val="24"/>
        </w:rPr>
        <w:t xml:space="preserve">within the records of the archive, as </w:t>
      </w:r>
      <w:r w:rsidR="00F42E9A" w:rsidRPr="00735740">
        <w:rPr>
          <w:rFonts w:ascii="Garamond" w:hAnsi="Garamond"/>
          <w:color w:val="000000" w:themeColor="text1"/>
          <w:sz w:val="24"/>
          <w:szCs w:val="24"/>
        </w:rPr>
        <w:t>the archive separated the international community into</w:t>
      </w:r>
      <w:r w:rsidR="00F5217E" w:rsidRPr="00735740">
        <w:rPr>
          <w:rFonts w:ascii="Garamond" w:hAnsi="Garamond"/>
          <w:color w:val="000000" w:themeColor="text1"/>
          <w:sz w:val="24"/>
          <w:szCs w:val="24"/>
        </w:rPr>
        <w:t xml:space="preserve"> the international (as a site of peace) </w:t>
      </w:r>
      <w:r w:rsidR="006C1DB8" w:rsidRPr="00735740">
        <w:rPr>
          <w:rFonts w:ascii="Garamond" w:hAnsi="Garamond"/>
          <w:color w:val="000000" w:themeColor="text1"/>
          <w:sz w:val="24"/>
          <w:szCs w:val="24"/>
        </w:rPr>
        <w:t>and</w:t>
      </w:r>
      <w:r w:rsidR="00F5217E" w:rsidRPr="00735740">
        <w:rPr>
          <w:rFonts w:ascii="Garamond" w:hAnsi="Garamond"/>
          <w:color w:val="000000" w:themeColor="text1"/>
          <w:sz w:val="24"/>
          <w:szCs w:val="24"/>
        </w:rPr>
        <w:t xml:space="preserve"> the local (a site of barbarity)</w:t>
      </w:r>
      <w:r w:rsidR="001060A1" w:rsidRPr="00735740">
        <w:rPr>
          <w:rFonts w:ascii="Garamond" w:hAnsi="Garamond"/>
          <w:color w:val="000000" w:themeColor="text1"/>
          <w:sz w:val="24"/>
          <w:szCs w:val="24"/>
        </w:rPr>
        <w:t>.</w:t>
      </w:r>
      <w:r w:rsidR="00FA724A" w:rsidRPr="00735740">
        <w:rPr>
          <w:rFonts w:ascii="Garamond" w:hAnsi="Garamond"/>
          <w:color w:val="000000" w:themeColor="text1"/>
          <w:sz w:val="24"/>
          <w:szCs w:val="24"/>
        </w:rPr>
        <w:t xml:space="preserve"> The archive</w:t>
      </w:r>
      <w:r w:rsidR="009614E0" w:rsidRPr="00735740">
        <w:rPr>
          <w:rFonts w:ascii="Garamond" w:hAnsi="Garamond"/>
          <w:color w:val="000000" w:themeColor="text1"/>
          <w:sz w:val="24"/>
          <w:szCs w:val="24"/>
        </w:rPr>
        <w:t>’s dynamism</w:t>
      </w:r>
      <w:r w:rsidR="00FA724A" w:rsidRPr="00735740">
        <w:rPr>
          <w:rFonts w:ascii="Garamond" w:hAnsi="Garamond"/>
          <w:color w:val="000000" w:themeColor="text1"/>
          <w:sz w:val="24"/>
          <w:szCs w:val="24"/>
        </w:rPr>
        <w:t xml:space="preserve"> was also </w:t>
      </w:r>
      <w:r w:rsidR="009614E0" w:rsidRPr="00735740">
        <w:rPr>
          <w:rFonts w:ascii="Garamond" w:hAnsi="Garamond"/>
          <w:color w:val="000000" w:themeColor="text1"/>
          <w:sz w:val="24"/>
          <w:szCs w:val="24"/>
        </w:rPr>
        <w:t xml:space="preserve">emphasised with its changing understanding of </w:t>
      </w:r>
      <w:r w:rsidR="00140C28" w:rsidRPr="00735740">
        <w:rPr>
          <w:rFonts w:ascii="Garamond" w:hAnsi="Garamond"/>
          <w:color w:val="000000" w:themeColor="text1"/>
          <w:sz w:val="24"/>
          <w:szCs w:val="24"/>
        </w:rPr>
        <w:t>responsibility</w:t>
      </w:r>
      <w:r w:rsidR="00FA724A" w:rsidRPr="00735740">
        <w:rPr>
          <w:rFonts w:ascii="Garamond" w:hAnsi="Garamond"/>
          <w:color w:val="000000" w:themeColor="text1"/>
          <w:sz w:val="24"/>
          <w:szCs w:val="24"/>
        </w:rPr>
        <w:t xml:space="preserve">. This </w:t>
      </w:r>
      <w:r w:rsidR="00140C28" w:rsidRPr="00735740">
        <w:rPr>
          <w:rFonts w:ascii="Garamond" w:hAnsi="Garamond"/>
          <w:color w:val="000000" w:themeColor="text1"/>
          <w:sz w:val="24"/>
          <w:szCs w:val="24"/>
        </w:rPr>
        <w:t>began with a more collective understanding of responsibility</w:t>
      </w:r>
      <w:r w:rsidR="004D4883" w:rsidRPr="00735740">
        <w:rPr>
          <w:rFonts w:ascii="Garamond" w:hAnsi="Garamond"/>
          <w:color w:val="000000" w:themeColor="text1"/>
          <w:sz w:val="24"/>
          <w:szCs w:val="24"/>
        </w:rPr>
        <w:t xml:space="preserve"> -</w:t>
      </w:r>
      <w:r w:rsidR="00140C28" w:rsidRPr="00735740">
        <w:rPr>
          <w:rFonts w:ascii="Garamond" w:hAnsi="Garamond"/>
          <w:color w:val="000000" w:themeColor="text1"/>
          <w:sz w:val="24"/>
          <w:szCs w:val="24"/>
        </w:rPr>
        <w:t xml:space="preserve">  </w:t>
      </w:r>
      <w:r w:rsidR="00E04858" w:rsidRPr="00735740">
        <w:rPr>
          <w:rFonts w:ascii="Garamond" w:hAnsi="Garamond"/>
          <w:color w:val="000000" w:themeColor="text1"/>
          <w:sz w:val="24"/>
          <w:szCs w:val="24"/>
        </w:rPr>
        <w:t xml:space="preserve">a response to the collective nature of crimes such as genocide and </w:t>
      </w:r>
      <w:r w:rsidR="00140C28" w:rsidRPr="00735740">
        <w:rPr>
          <w:rFonts w:ascii="Garamond" w:hAnsi="Garamond"/>
          <w:color w:val="000000" w:themeColor="text1"/>
          <w:sz w:val="24"/>
          <w:szCs w:val="24"/>
        </w:rPr>
        <w:t>perhaps</w:t>
      </w:r>
      <w:r w:rsidR="00E04858" w:rsidRPr="00735740">
        <w:rPr>
          <w:rFonts w:ascii="Garamond" w:hAnsi="Garamond"/>
          <w:color w:val="000000" w:themeColor="text1"/>
          <w:sz w:val="24"/>
          <w:szCs w:val="24"/>
        </w:rPr>
        <w:t xml:space="preserve"> also</w:t>
      </w:r>
      <w:r w:rsidR="00140C28" w:rsidRPr="00735740">
        <w:rPr>
          <w:rFonts w:ascii="Garamond" w:hAnsi="Garamond"/>
          <w:color w:val="000000" w:themeColor="text1"/>
          <w:sz w:val="24"/>
          <w:szCs w:val="24"/>
        </w:rPr>
        <w:t xml:space="preserve"> reflective of the strength of international cosmopolitanism in the 1990s</w:t>
      </w:r>
      <w:r w:rsidR="00B358FE" w:rsidRPr="00735740">
        <w:rPr>
          <w:rFonts w:ascii="Garamond" w:hAnsi="Garamond"/>
          <w:color w:val="000000" w:themeColor="text1"/>
          <w:sz w:val="24"/>
          <w:szCs w:val="24"/>
        </w:rPr>
        <w:t xml:space="preserve"> </w:t>
      </w:r>
      <w:r w:rsidR="004D4883" w:rsidRPr="00735740">
        <w:rPr>
          <w:rFonts w:ascii="Garamond" w:hAnsi="Garamond"/>
          <w:color w:val="000000" w:themeColor="text1"/>
          <w:sz w:val="24"/>
          <w:szCs w:val="24"/>
        </w:rPr>
        <w:t>- but was</w:t>
      </w:r>
      <w:r w:rsidR="00140C28" w:rsidRPr="00735740">
        <w:rPr>
          <w:rFonts w:ascii="Garamond" w:hAnsi="Garamond"/>
          <w:color w:val="000000" w:themeColor="text1"/>
          <w:sz w:val="24"/>
          <w:szCs w:val="24"/>
        </w:rPr>
        <w:t xml:space="preserve"> replaced with a more individualistic understanding of responsibility</w:t>
      </w:r>
      <w:r w:rsidR="00CC21C2" w:rsidRPr="00735740">
        <w:rPr>
          <w:rFonts w:ascii="Garamond" w:hAnsi="Garamond"/>
          <w:color w:val="000000" w:themeColor="text1"/>
          <w:sz w:val="24"/>
          <w:szCs w:val="24"/>
        </w:rPr>
        <w:t xml:space="preserve"> </w:t>
      </w:r>
      <w:r w:rsidR="00140C28" w:rsidRPr="00735740">
        <w:rPr>
          <w:rFonts w:ascii="Garamond" w:hAnsi="Garamond"/>
          <w:color w:val="000000" w:themeColor="text1"/>
          <w:sz w:val="24"/>
          <w:szCs w:val="24"/>
        </w:rPr>
        <w:t>and community</w:t>
      </w:r>
      <w:r w:rsidR="004D4883" w:rsidRPr="00735740">
        <w:rPr>
          <w:rFonts w:ascii="Garamond" w:hAnsi="Garamond"/>
          <w:color w:val="000000" w:themeColor="text1"/>
          <w:sz w:val="24"/>
          <w:szCs w:val="24"/>
        </w:rPr>
        <w:t xml:space="preserve"> -</w:t>
      </w:r>
      <w:r w:rsidR="00140C28" w:rsidRPr="00735740">
        <w:rPr>
          <w:rFonts w:ascii="Garamond" w:hAnsi="Garamond"/>
          <w:color w:val="000000" w:themeColor="text1"/>
          <w:sz w:val="24"/>
          <w:szCs w:val="24"/>
        </w:rPr>
        <w:t xml:space="preserve"> in part because of a concern with the impact this might have of the efficiency of militaries. </w:t>
      </w:r>
      <w:r w:rsidR="00360923" w:rsidRPr="00735740">
        <w:rPr>
          <w:rFonts w:ascii="Garamond" w:hAnsi="Garamond"/>
          <w:color w:val="000000" w:themeColor="text1"/>
          <w:sz w:val="24"/>
          <w:szCs w:val="24"/>
        </w:rPr>
        <w:t>This</w:t>
      </w:r>
      <w:r w:rsidR="00140C28" w:rsidRPr="00735740">
        <w:rPr>
          <w:rFonts w:ascii="Garamond" w:hAnsi="Garamond"/>
          <w:color w:val="000000" w:themeColor="text1"/>
          <w:sz w:val="24"/>
          <w:szCs w:val="24"/>
        </w:rPr>
        <w:t xml:space="preserve"> is </w:t>
      </w:r>
      <w:r w:rsidR="00360923" w:rsidRPr="00735740">
        <w:rPr>
          <w:rFonts w:ascii="Garamond" w:hAnsi="Garamond"/>
          <w:color w:val="000000" w:themeColor="text1"/>
          <w:sz w:val="24"/>
          <w:szCs w:val="24"/>
        </w:rPr>
        <w:t>demonstrat</w:t>
      </w:r>
      <w:r w:rsidR="00140C28" w:rsidRPr="00735740">
        <w:rPr>
          <w:rFonts w:ascii="Garamond" w:hAnsi="Garamond"/>
          <w:color w:val="000000" w:themeColor="text1"/>
          <w:sz w:val="24"/>
          <w:szCs w:val="24"/>
        </w:rPr>
        <w:t>ive both of the cont</w:t>
      </w:r>
      <w:r w:rsidR="00F13725" w:rsidRPr="00735740">
        <w:rPr>
          <w:rFonts w:ascii="Garamond" w:hAnsi="Garamond"/>
          <w:color w:val="000000" w:themeColor="text1"/>
          <w:sz w:val="24"/>
          <w:szCs w:val="24"/>
        </w:rPr>
        <w:t>ested nature of the archive, it</w:t>
      </w:r>
      <w:r w:rsidR="00140C28" w:rsidRPr="00735740">
        <w:rPr>
          <w:rFonts w:ascii="Garamond" w:hAnsi="Garamond"/>
          <w:color w:val="000000" w:themeColor="text1"/>
          <w:sz w:val="24"/>
          <w:szCs w:val="24"/>
        </w:rPr>
        <w:t>s</w:t>
      </w:r>
      <w:r w:rsidR="00360923" w:rsidRPr="00735740">
        <w:rPr>
          <w:rFonts w:ascii="Garamond" w:hAnsi="Garamond"/>
          <w:color w:val="000000" w:themeColor="text1"/>
          <w:sz w:val="24"/>
          <w:szCs w:val="24"/>
        </w:rPr>
        <w:t xml:space="preserve"> uneven </w:t>
      </w:r>
      <w:r w:rsidR="00140C28" w:rsidRPr="00735740">
        <w:rPr>
          <w:rFonts w:ascii="Garamond" w:hAnsi="Garamond"/>
          <w:color w:val="000000" w:themeColor="text1"/>
          <w:sz w:val="24"/>
          <w:szCs w:val="24"/>
        </w:rPr>
        <w:t xml:space="preserve">development </w:t>
      </w:r>
      <w:r w:rsidR="00B358FE" w:rsidRPr="00735740">
        <w:rPr>
          <w:rFonts w:ascii="Garamond" w:hAnsi="Garamond"/>
          <w:color w:val="000000" w:themeColor="text1"/>
          <w:sz w:val="24"/>
          <w:szCs w:val="24"/>
        </w:rPr>
        <w:t xml:space="preserve">and </w:t>
      </w:r>
      <w:r w:rsidR="00360923" w:rsidRPr="00735740">
        <w:rPr>
          <w:rFonts w:ascii="Garamond" w:hAnsi="Garamond"/>
          <w:color w:val="000000" w:themeColor="text1"/>
          <w:sz w:val="24"/>
          <w:szCs w:val="24"/>
        </w:rPr>
        <w:t>the</w:t>
      </w:r>
      <w:r w:rsidR="00852D83" w:rsidRPr="00735740">
        <w:rPr>
          <w:rFonts w:ascii="Garamond" w:hAnsi="Garamond"/>
          <w:color w:val="000000" w:themeColor="text1"/>
          <w:sz w:val="24"/>
          <w:szCs w:val="24"/>
        </w:rPr>
        <w:t xml:space="preserve"> complex relationship between archive and community</w:t>
      </w:r>
      <w:r w:rsidR="00B358FE" w:rsidRPr="00735740">
        <w:rPr>
          <w:rFonts w:ascii="Garamond" w:hAnsi="Garamond"/>
          <w:color w:val="000000" w:themeColor="text1"/>
          <w:sz w:val="24"/>
          <w:szCs w:val="24"/>
        </w:rPr>
        <w:t>,</w:t>
      </w:r>
      <w:r w:rsidR="00360923" w:rsidRPr="00735740">
        <w:rPr>
          <w:rFonts w:ascii="Garamond" w:hAnsi="Garamond"/>
          <w:color w:val="000000" w:themeColor="text1"/>
          <w:sz w:val="24"/>
          <w:szCs w:val="24"/>
        </w:rPr>
        <w:t xml:space="preserve"> as each constitutes the other in an iterative and fragmented process. </w:t>
      </w:r>
    </w:p>
    <w:p w14:paraId="1C9E80E5" w14:textId="01D8F4CA" w:rsidR="006C1DB8" w:rsidRPr="00735740" w:rsidRDefault="00E35C64" w:rsidP="00735740">
      <w:pPr>
        <w:pStyle w:val="Heading2"/>
      </w:pPr>
      <w:r w:rsidRPr="00735740">
        <w:t xml:space="preserve">Identity, </w:t>
      </w:r>
      <w:bookmarkEnd w:id="2"/>
      <w:r w:rsidR="002F20CA" w:rsidRPr="00735740">
        <w:t>violence</w:t>
      </w:r>
      <w:r w:rsidRPr="00735740">
        <w:t xml:space="preserve"> and the </w:t>
      </w:r>
      <w:r w:rsidR="002F20CA" w:rsidRPr="00735740">
        <w:t>a</w:t>
      </w:r>
      <w:r w:rsidRPr="00735740">
        <w:t>rchive</w:t>
      </w:r>
    </w:p>
    <w:p w14:paraId="7E31D763" w14:textId="52BB0619" w:rsidR="00294891" w:rsidRPr="00735740" w:rsidRDefault="00E35C64" w:rsidP="006E74CF">
      <w:pPr>
        <w:spacing w:line="360" w:lineRule="auto"/>
        <w:rPr>
          <w:rFonts w:ascii="Garamond" w:hAnsi="Garamond" w:cs="Times New Roman"/>
          <w:color w:val="000000" w:themeColor="text1"/>
          <w:sz w:val="24"/>
          <w:szCs w:val="24"/>
        </w:rPr>
      </w:pPr>
      <w:r w:rsidRPr="00735740">
        <w:rPr>
          <w:rFonts w:ascii="Garamond" w:hAnsi="Garamond"/>
          <w:color w:val="000000" w:themeColor="text1"/>
          <w:sz w:val="24"/>
          <w:szCs w:val="24"/>
        </w:rPr>
        <w:t xml:space="preserve">There are numerous </w:t>
      </w:r>
      <w:r w:rsidR="00DA67E0" w:rsidRPr="00735740">
        <w:rPr>
          <w:rFonts w:ascii="Garamond" w:hAnsi="Garamond"/>
          <w:color w:val="000000" w:themeColor="text1"/>
          <w:sz w:val="24"/>
          <w:szCs w:val="24"/>
        </w:rPr>
        <w:t xml:space="preserve">paths </w:t>
      </w:r>
      <w:r w:rsidRPr="00735740">
        <w:rPr>
          <w:rFonts w:ascii="Garamond" w:hAnsi="Garamond"/>
          <w:color w:val="000000" w:themeColor="text1"/>
          <w:sz w:val="24"/>
          <w:szCs w:val="24"/>
        </w:rPr>
        <w:t xml:space="preserve">into thinking about how the archive </w:t>
      </w:r>
      <w:r w:rsidR="00752FF7" w:rsidRPr="00735740">
        <w:rPr>
          <w:rFonts w:ascii="Garamond" w:hAnsi="Garamond"/>
          <w:color w:val="000000" w:themeColor="text1"/>
          <w:sz w:val="24"/>
          <w:szCs w:val="24"/>
        </w:rPr>
        <w:t xml:space="preserve">constituted </w:t>
      </w:r>
      <w:r w:rsidR="00DA67E0" w:rsidRPr="00735740">
        <w:rPr>
          <w:rFonts w:ascii="Garamond" w:hAnsi="Garamond"/>
          <w:color w:val="000000" w:themeColor="text1"/>
          <w:sz w:val="24"/>
          <w:szCs w:val="24"/>
        </w:rPr>
        <w:t xml:space="preserve">different </w:t>
      </w:r>
      <w:r w:rsidRPr="00735740">
        <w:rPr>
          <w:rFonts w:ascii="Garamond" w:hAnsi="Garamond"/>
          <w:color w:val="000000" w:themeColor="text1"/>
          <w:sz w:val="24"/>
          <w:szCs w:val="24"/>
        </w:rPr>
        <w:t>identit</w:t>
      </w:r>
      <w:r w:rsidR="00205C5C" w:rsidRPr="00735740">
        <w:rPr>
          <w:rFonts w:ascii="Garamond" w:hAnsi="Garamond"/>
          <w:color w:val="000000" w:themeColor="text1"/>
          <w:sz w:val="24"/>
          <w:szCs w:val="24"/>
        </w:rPr>
        <w:t>ies</w:t>
      </w:r>
      <w:r w:rsidR="00752FF7" w:rsidRPr="00735740">
        <w:rPr>
          <w:rFonts w:ascii="Garamond" w:hAnsi="Garamond"/>
          <w:color w:val="000000" w:themeColor="text1"/>
          <w:sz w:val="24"/>
          <w:szCs w:val="24"/>
        </w:rPr>
        <w:t xml:space="preserve"> and subjectivities</w:t>
      </w:r>
      <w:r w:rsidRPr="00735740">
        <w:rPr>
          <w:rFonts w:ascii="Garamond" w:hAnsi="Garamond"/>
          <w:color w:val="000000" w:themeColor="text1"/>
          <w:sz w:val="24"/>
          <w:szCs w:val="24"/>
        </w:rPr>
        <w:t xml:space="preserve">. </w:t>
      </w:r>
      <w:r w:rsidR="001E2795" w:rsidRPr="00735740">
        <w:rPr>
          <w:rFonts w:ascii="Garamond" w:hAnsi="Garamond"/>
          <w:color w:val="000000" w:themeColor="text1"/>
          <w:sz w:val="24"/>
          <w:szCs w:val="24"/>
        </w:rPr>
        <w:t>One route</w:t>
      </w:r>
      <w:r w:rsidRPr="00735740">
        <w:rPr>
          <w:rFonts w:ascii="Garamond" w:hAnsi="Garamond"/>
          <w:color w:val="000000" w:themeColor="text1"/>
          <w:sz w:val="24"/>
          <w:szCs w:val="24"/>
        </w:rPr>
        <w:t xml:space="preserve">, for instance, </w:t>
      </w:r>
      <w:r w:rsidR="001E2795" w:rsidRPr="00735740">
        <w:rPr>
          <w:rFonts w:ascii="Garamond" w:hAnsi="Garamond"/>
          <w:color w:val="000000" w:themeColor="text1"/>
          <w:sz w:val="24"/>
          <w:szCs w:val="24"/>
        </w:rPr>
        <w:t xml:space="preserve">could be to </w:t>
      </w:r>
      <w:r w:rsidRPr="00735740">
        <w:rPr>
          <w:rFonts w:ascii="Garamond" w:hAnsi="Garamond"/>
          <w:color w:val="000000" w:themeColor="text1"/>
          <w:sz w:val="24"/>
          <w:szCs w:val="24"/>
        </w:rPr>
        <w:t xml:space="preserve">examine the highly ethno-centric understanding of violence </w:t>
      </w:r>
      <w:r w:rsidR="00D31DB2" w:rsidRPr="00735740">
        <w:rPr>
          <w:rFonts w:ascii="Garamond" w:hAnsi="Garamond"/>
          <w:color w:val="000000" w:themeColor="text1"/>
          <w:sz w:val="24"/>
          <w:szCs w:val="24"/>
        </w:rPr>
        <w:t xml:space="preserve">produced </w:t>
      </w:r>
      <w:r w:rsidRPr="00735740">
        <w:rPr>
          <w:rFonts w:ascii="Garamond" w:hAnsi="Garamond"/>
          <w:color w:val="000000" w:themeColor="text1"/>
          <w:sz w:val="24"/>
          <w:szCs w:val="24"/>
        </w:rPr>
        <w:t>within the archive</w:t>
      </w:r>
      <w:r w:rsidR="00B0059D" w:rsidRPr="00735740">
        <w:rPr>
          <w:rFonts w:ascii="Garamond" w:hAnsi="Garamond"/>
          <w:color w:val="000000" w:themeColor="text1"/>
          <w:sz w:val="24"/>
          <w:szCs w:val="24"/>
        </w:rPr>
        <w:t>’s records</w:t>
      </w:r>
      <w:r w:rsidRPr="00735740">
        <w:rPr>
          <w:rFonts w:ascii="Garamond" w:hAnsi="Garamond"/>
          <w:color w:val="000000" w:themeColor="text1"/>
          <w:sz w:val="24"/>
          <w:szCs w:val="24"/>
        </w:rPr>
        <w:t>.</w:t>
      </w:r>
      <w:r w:rsidR="002C621E" w:rsidRPr="00735740">
        <w:rPr>
          <w:rStyle w:val="FootnoteReference"/>
          <w:rFonts w:ascii="Garamond" w:hAnsi="Garamond" w:cs="Times New Roman"/>
          <w:color w:val="000000" w:themeColor="text1"/>
          <w:sz w:val="24"/>
          <w:szCs w:val="24"/>
        </w:rPr>
        <w:footnoteReference w:id="89"/>
      </w:r>
      <w:r w:rsidRPr="00735740">
        <w:rPr>
          <w:rFonts w:ascii="Garamond" w:hAnsi="Garamond"/>
          <w:color w:val="000000" w:themeColor="text1"/>
          <w:sz w:val="24"/>
          <w:szCs w:val="24"/>
        </w:rPr>
        <w:t xml:space="preserve"> Another would be to consider how the categories of perpetrator and victim were formed, and also how these were framed by questions of </w:t>
      </w:r>
      <w:r w:rsidR="0074556D" w:rsidRPr="00735740">
        <w:rPr>
          <w:rFonts w:ascii="Garamond" w:hAnsi="Garamond"/>
          <w:color w:val="000000" w:themeColor="text1"/>
          <w:sz w:val="24"/>
          <w:szCs w:val="24"/>
        </w:rPr>
        <w:t xml:space="preserve">race, </w:t>
      </w:r>
      <w:r w:rsidRPr="00735740">
        <w:rPr>
          <w:rFonts w:ascii="Garamond" w:hAnsi="Garamond"/>
          <w:color w:val="000000" w:themeColor="text1"/>
          <w:sz w:val="24"/>
          <w:szCs w:val="24"/>
        </w:rPr>
        <w:t>ethnicity and gender.</w:t>
      </w:r>
      <w:r w:rsidRPr="00735740">
        <w:rPr>
          <w:rFonts w:ascii="Garamond" w:hAnsi="Garamond" w:cs="Times New Roman"/>
          <w:color w:val="000000" w:themeColor="text1"/>
          <w:sz w:val="24"/>
          <w:szCs w:val="24"/>
          <w:vertAlign w:val="superscript"/>
        </w:rPr>
        <w:t xml:space="preserve"> </w:t>
      </w:r>
      <w:r w:rsidRPr="00735740">
        <w:rPr>
          <w:rFonts w:ascii="Garamond" w:hAnsi="Garamond" w:cs="Times New Roman"/>
          <w:color w:val="000000" w:themeColor="text1"/>
          <w:sz w:val="24"/>
          <w:szCs w:val="24"/>
          <w:vertAlign w:val="superscript"/>
        </w:rPr>
        <w:footnoteReference w:id="90"/>
      </w:r>
      <w:r w:rsidRPr="00735740">
        <w:rPr>
          <w:rFonts w:ascii="Garamond" w:hAnsi="Garamond" w:cs="Times New Roman"/>
          <w:color w:val="000000" w:themeColor="text1"/>
          <w:sz w:val="24"/>
          <w:szCs w:val="24"/>
        </w:rPr>
        <w:t xml:space="preserve"> </w:t>
      </w:r>
      <w:r w:rsidRPr="00735740">
        <w:rPr>
          <w:rFonts w:ascii="Garamond" w:hAnsi="Garamond"/>
          <w:color w:val="000000" w:themeColor="text1"/>
          <w:sz w:val="24"/>
          <w:szCs w:val="24"/>
        </w:rPr>
        <w:t xml:space="preserve"> However, the following section </w:t>
      </w:r>
      <w:r w:rsidR="00C81555" w:rsidRPr="00735740">
        <w:rPr>
          <w:rFonts w:ascii="Garamond" w:hAnsi="Garamond"/>
          <w:color w:val="000000" w:themeColor="text1"/>
          <w:sz w:val="24"/>
          <w:szCs w:val="24"/>
        </w:rPr>
        <w:t>explores</w:t>
      </w:r>
      <w:r w:rsidR="00752FF7" w:rsidRPr="00735740">
        <w:rPr>
          <w:rFonts w:ascii="Garamond" w:hAnsi="Garamond"/>
          <w:color w:val="000000" w:themeColor="text1"/>
          <w:sz w:val="24"/>
          <w:szCs w:val="24"/>
        </w:rPr>
        <w:t xml:space="preserve"> the question of identity through the prism of gender, specifically examining</w:t>
      </w:r>
      <w:r w:rsidR="00C81555" w:rsidRPr="00735740">
        <w:rPr>
          <w:rFonts w:ascii="Garamond" w:hAnsi="Garamond"/>
          <w:color w:val="000000" w:themeColor="text1"/>
          <w:sz w:val="24"/>
          <w:szCs w:val="24"/>
        </w:rPr>
        <w:t xml:space="preserve"> </w:t>
      </w:r>
      <w:r w:rsidR="00DA67E0" w:rsidRPr="00735740">
        <w:rPr>
          <w:rFonts w:ascii="Garamond" w:hAnsi="Garamond"/>
          <w:color w:val="000000" w:themeColor="text1"/>
          <w:sz w:val="24"/>
          <w:szCs w:val="24"/>
        </w:rPr>
        <w:t xml:space="preserve">the production of </w:t>
      </w:r>
      <w:r w:rsidR="0074556D" w:rsidRPr="00735740">
        <w:rPr>
          <w:rFonts w:ascii="Garamond" w:hAnsi="Garamond"/>
          <w:color w:val="000000" w:themeColor="text1"/>
          <w:sz w:val="24"/>
          <w:szCs w:val="24"/>
        </w:rPr>
        <w:t>records</w:t>
      </w:r>
      <w:r w:rsidR="00DA67E0" w:rsidRPr="00735740">
        <w:rPr>
          <w:rFonts w:ascii="Garamond" w:hAnsi="Garamond"/>
          <w:color w:val="000000" w:themeColor="text1"/>
          <w:sz w:val="24"/>
          <w:szCs w:val="24"/>
        </w:rPr>
        <w:t xml:space="preserve"> </w:t>
      </w:r>
      <w:r w:rsidR="00D31DB2" w:rsidRPr="00735740">
        <w:rPr>
          <w:rFonts w:ascii="Garamond" w:hAnsi="Garamond"/>
          <w:color w:val="000000" w:themeColor="text1"/>
          <w:sz w:val="24"/>
          <w:szCs w:val="24"/>
        </w:rPr>
        <w:t>relating to gender-based violence</w:t>
      </w:r>
      <w:r w:rsidR="00752FF7" w:rsidRPr="00735740">
        <w:rPr>
          <w:rFonts w:ascii="Garamond" w:hAnsi="Garamond"/>
          <w:color w:val="000000" w:themeColor="text1"/>
          <w:sz w:val="24"/>
          <w:szCs w:val="24"/>
        </w:rPr>
        <w:t xml:space="preserve">. This demonstrates how the archive </w:t>
      </w:r>
      <w:r w:rsidR="00DA67E0" w:rsidRPr="00735740">
        <w:rPr>
          <w:rFonts w:ascii="Garamond" w:hAnsi="Garamond"/>
          <w:color w:val="000000" w:themeColor="text1"/>
          <w:sz w:val="24"/>
          <w:szCs w:val="24"/>
        </w:rPr>
        <w:t xml:space="preserve">resulted in </w:t>
      </w:r>
      <w:r w:rsidR="00C81555" w:rsidRPr="00735740">
        <w:rPr>
          <w:rFonts w:ascii="Garamond" w:hAnsi="Garamond"/>
          <w:color w:val="000000" w:themeColor="text1"/>
          <w:sz w:val="24"/>
          <w:szCs w:val="24"/>
        </w:rPr>
        <w:t xml:space="preserve">a patriarchal </w:t>
      </w:r>
      <w:r w:rsidR="00DA67E0" w:rsidRPr="00735740">
        <w:rPr>
          <w:rFonts w:ascii="Garamond" w:hAnsi="Garamond"/>
          <w:color w:val="000000" w:themeColor="text1"/>
          <w:sz w:val="24"/>
          <w:szCs w:val="24"/>
        </w:rPr>
        <w:t xml:space="preserve">understanding </w:t>
      </w:r>
      <w:r w:rsidR="00C81555" w:rsidRPr="00735740">
        <w:rPr>
          <w:rFonts w:ascii="Garamond" w:hAnsi="Garamond"/>
          <w:color w:val="000000" w:themeColor="text1"/>
          <w:sz w:val="24"/>
          <w:szCs w:val="24"/>
        </w:rPr>
        <w:t>of the international community.</w:t>
      </w:r>
      <w:r w:rsidR="00294891" w:rsidRPr="00735740">
        <w:rPr>
          <w:rStyle w:val="FootnoteReference"/>
          <w:rFonts w:ascii="Garamond" w:hAnsi="Garamond" w:cs="Times New Roman"/>
          <w:color w:val="000000" w:themeColor="text1"/>
          <w:sz w:val="24"/>
          <w:szCs w:val="24"/>
        </w:rPr>
        <w:footnoteReference w:id="91"/>
      </w:r>
      <w:r w:rsidRPr="00735740">
        <w:rPr>
          <w:rFonts w:ascii="Garamond" w:hAnsi="Garamond"/>
          <w:color w:val="000000" w:themeColor="text1"/>
          <w:sz w:val="24"/>
          <w:szCs w:val="24"/>
        </w:rPr>
        <w:t xml:space="preserve"> </w:t>
      </w:r>
    </w:p>
    <w:p w14:paraId="74A7EF5B" w14:textId="7558FA65" w:rsidR="0090579B" w:rsidRPr="00735740" w:rsidRDefault="00644767" w:rsidP="006E74CF">
      <w:pPr>
        <w:spacing w:line="360" w:lineRule="auto"/>
        <w:rPr>
          <w:rFonts w:ascii="Garamond" w:hAnsi="Garamond" w:cs="Times New Roman"/>
          <w:color w:val="000000" w:themeColor="text1"/>
          <w:sz w:val="24"/>
          <w:szCs w:val="24"/>
        </w:rPr>
      </w:pPr>
      <w:r w:rsidRPr="00735740">
        <w:rPr>
          <w:rFonts w:ascii="Garamond" w:hAnsi="Garamond" w:cs="Times New Roman"/>
          <w:iCs/>
          <w:color w:val="000000" w:themeColor="text1"/>
          <w:sz w:val="24"/>
          <w:szCs w:val="24"/>
        </w:rPr>
        <w:t xml:space="preserve">Despite the tribunal’s claims to have been at the forefront of developing gender-sensitive jurisprudence, an analysis of the </w:t>
      </w:r>
      <w:r w:rsidR="004F7993" w:rsidRPr="00735740">
        <w:rPr>
          <w:rFonts w:ascii="Garamond" w:hAnsi="Garamond" w:cs="Times New Roman"/>
          <w:iCs/>
          <w:color w:val="000000" w:themeColor="text1"/>
          <w:sz w:val="24"/>
          <w:szCs w:val="24"/>
        </w:rPr>
        <w:t xml:space="preserve">archival </w:t>
      </w:r>
      <w:r w:rsidRPr="00735740">
        <w:rPr>
          <w:rFonts w:ascii="Garamond" w:hAnsi="Garamond" w:cs="Times New Roman"/>
          <w:iCs/>
          <w:color w:val="000000" w:themeColor="text1"/>
          <w:sz w:val="24"/>
          <w:szCs w:val="24"/>
        </w:rPr>
        <w:t xml:space="preserve">records tells a story of </w:t>
      </w:r>
      <w:r w:rsidR="0074556D" w:rsidRPr="00735740">
        <w:rPr>
          <w:rFonts w:ascii="Garamond" w:hAnsi="Garamond" w:cs="Times New Roman"/>
          <w:iCs/>
          <w:color w:val="000000" w:themeColor="text1"/>
          <w:sz w:val="24"/>
          <w:szCs w:val="24"/>
        </w:rPr>
        <w:t>neglec</w:t>
      </w:r>
      <w:r w:rsidRPr="00735740">
        <w:rPr>
          <w:rFonts w:ascii="Garamond" w:hAnsi="Garamond" w:cs="Times New Roman"/>
          <w:iCs/>
          <w:color w:val="000000" w:themeColor="text1"/>
          <w:sz w:val="24"/>
          <w:szCs w:val="24"/>
        </w:rPr>
        <w:t xml:space="preserve">t. </w:t>
      </w:r>
      <w:r w:rsidR="00802A7A" w:rsidRPr="00735740">
        <w:rPr>
          <w:rFonts w:ascii="Garamond" w:hAnsi="Garamond" w:cs="Times New Roman"/>
          <w:iCs/>
          <w:color w:val="000000" w:themeColor="text1"/>
          <w:sz w:val="24"/>
          <w:szCs w:val="24"/>
        </w:rPr>
        <w:t xml:space="preserve"> Lisa Pruitt, </w:t>
      </w:r>
      <w:r w:rsidR="000809BF" w:rsidRPr="00735740">
        <w:rPr>
          <w:rFonts w:ascii="Garamond" w:hAnsi="Garamond" w:cs="Times New Roman"/>
          <w:iCs/>
          <w:color w:val="000000" w:themeColor="text1"/>
          <w:sz w:val="24"/>
          <w:szCs w:val="24"/>
        </w:rPr>
        <w:t xml:space="preserve">who was </w:t>
      </w:r>
      <w:r w:rsidR="00802A7A" w:rsidRPr="00735740">
        <w:rPr>
          <w:rFonts w:ascii="Garamond" w:hAnsi="Garamond" w:cs="Times New Roman"/>
          <w:iCs/>
          <w:color w:val="000000" w:themeColor="text1"/>
          <w:sz w:val="24"/>
          <w:szCs w:val="24"/>
        </w:rPr>
        <w:lastRenderedPageBreak/>
        <w:t xml:space="preserve">sent to Rwanda to investigate the possibility of developing </w:t>
      </w:r>
      <w:r w:rsidR="00296F0F" w:rsidRPr="00735740">
        <w:rPr>
          <w:rFonts w:ascii="Garamond" w:hAnsi="Garamond" w:cs="Times New Roman"/>
          <w:iCs/>
          <w:color w:val="000000" w:themeColor="text1"/>
          <w:sz w:val="24"/>
          <w:szCs w:val="24"/>
        </w:rPr>
        <w:t xml:space="preserve">sexual violence </w:t>
      </w:r>
      <w:r w:rsidR="00802A7A" w:rsidRPr="00735740">
        <w:rPr>
          <w:rFonts w:ascii="Garamond" w:hAnsi="Garamond" w:cs="Times New Roman"/>
          <w:iCs/>
          <w:color w:val="000000" w:themeColor="text1"/>
          <w:sz w:val="24"/>
          <w:szCs w:val="24"/>
        </w:rPr>
        <w:t xml:space="preserve">charges </w:t>
      </w:r>
      <w:r w:rsidR="000809BF" w:rsidRPr="00735740">
        <w:rPr>
          <w:rFonts w:ascii="Garamond" w:hAnsi="Garamond" w:cs="Times New Roman"/>
          <w:iCs/>
          <w:color w:val="000000" w:themeColor="text1"/>
          <w:sz w:val="24"/>
          <w:szCs w:val="24"/>
        </w:rPr>
        <w:t xml:space="preserve">during </w:t>
      </w:r>
      <w:r w:rsidR="000809BF" w:rsidRPr="00735740">
        <w:rPr>
          <w:rFonts w:ascii="Garamond" w:hAnsi="Garamond" w:cs="Times New Roman"/>
          <w:i/>
          <w:color w:val="000000" w:themeColor="text1"/>
          <w:sz w:val="24"/>
          <w:szCs w:val="24"/>
        </w:rPr>
        <w:t>Akayesu</w:t>
      </w:r>
      <w:r w:rsidR="000809BF" w:rsidRPr="00735740">
        <w:rPr>
          <w:rFonts w:ascii="Garamond" w:hAnsi="Garamond" w:cs="Times New Roman"/>
          <w:iCs/>
          <w:color w:val="000000" w:themeColor="text1"/>
          <w:sz w:val="24"/>
          <w:szCs w:val="24"/>
        </w:rPr>
        <w:t>,</w:t>
      </w:r>
      <w:r w:rsidR="000809BF" w:rsidRPr="00735740">
        <w:rPr>
          <w:rFonts w:ascii="Garamond" w:hAnsi="Garamond" w:cs="Times New Roman"/>
          <w:i/>
          <w:color w:val="000000" w:themeColor="text1"/>
          <w:sz w:val="24"/>
          <w:szCs w:val="24"/>
        </w:rPr>
        <w:t xml:space="preserve"> </w:t>
      </w:r>
      <w:r w:rsidR="00802A7A" w:rsidRPr="00735740">
        <w:rPr>
          <w:rFonts w:ascii="Garamond" w:hAnsi="Garamond" w:cs="Times New Roman"/>
          <w:iCs/>
          <w:color w:val="000000" w:themeColor="text1"/>
          <w:sz w:val="24"/>
          <w:szCs w:val="24"/>
        </w:rPr>
        <w:t>noted</w:t>
      </w:r>
      <w:r w:rsidR="00296F0F" w:rsidRPr="00735740">
        <w:rPr>
          <w:rFonts w:ascii="Garamond" w:hAnsi="Garamond" w:cs="Times New Roman"/>
          <w:iCs/>
          <w:color w:val="000000" w:themeColor="text1"/>
          <w:sz w:val="24"/>
          <w:szCs w:val="24"/>
        </w:rPr>
        <w:t xml:space="preserve"> that the ICTR’s investigators gave the sense of</w:t>
      </w:r>
      <w:r w:rsidR="00E35C64" w:rsidRPr="00735740">
        <w:rPr>
          <w:rFonts w:ascii="Garamond" w:hAnsi="Garamond" w:cs="Times New Roman"/>
          <w:color w:val="000000" w:themeColor="text1"/>
          <w:sz w:val="24"/>
          <w:szCs w:val="24"/>
        </w:rPr>
        <w:t>,</w:t>
      </w:r>
      <w:r w:rsidR="00294891" w:rsidRPr="00735740">
        <w:rPr>
          <w:rStyle w:val="FootnoteReference"/>
          <w:rFonts w:ascii="Garamond" w:hAnsi="Garamond" w:cs="Times New Roman"/>
          <w:color w:val="000000" w:themeColor="text1"/>
          <w:sz w:val="24"/>
          <w:szCs w:val="24"/>
        </w:rPr>
        <w:t xml:space="preserve"> </w:t>
      </w:r>
      <w:r w:rsidR="00E35C64" w:rsidRPr="00735740">
        <w:rPr>
          <w:rFonts w:ascii="Garamond" w:hAnsi="Garamond" w:cs="Times New Roman"/>
          <w:color w:val="000000" w:themeColor="text1"/>
          <w:sz w:val="24"/>
          <w:szCs w:val="24"/>
        </w:rPr>
        <w:t>‘Well, we can’t be concerned about some women who got raped. We can’t divert resources to investigate those crimes. We had a genocide down here […].’</w:t>
      </w:r>
      <w:r w:rsidR="00E35C64" w:rsidRPr="00735740">
        <w:rPr>
          <w:rStyle w:val="FootnoteReference"/>
          <w:rFonts w:ascii="Garamond" w:hAnsi="Garamond" w:cs="Times New Roman"/>
          <w:color w:val="000000" w:themeColor="text1"/>
          <w:sz w:val="24"/>
          <w:szCs w:val="24"/>
        </w:rPr>
        <w:footnoteReference w:id="92"/>
      </w:r>
      <w:r w:rsidR="00E35C64" w:rsidRPr="00735740">
        <w:rPr>
          <w:rFonts w:ascii="Garamond" w:hAnsi="Garamond" w:cs="Times New Roman"/>
          <w:color w:val="000000" w:themeColor="text1"/>
          <w:sz w:val="24"/>
          <w:szCs w:val="24"/>
        </w:rPr>
        <w:t xml:space="preserve"> A hierarchy of victimhood was imbedded within the archive from the off, which entrenched the notion </w:t>
      </w:r>
      <w:r w:rsidR="00CE031F" w:rsidRPr="00735740">
        <w:rPr>
          <w:rFonts w:ascii="Garamond" w:hAnsi="Garamond" w:cs="Times New Roman"/>
          <w:color w:val="000000" w:themeColor="text1"/>
          <w:sz w:val="24"/>
          <w:szCs w:val="24"/>
        </w:rPr>
        <w:t>that crimes committed against women on the basis of their gender</w:t>
      </w:r>
      <w:r w:rsidR="00E35C64" w:rsidRPr="00735740">
        <w:rPr>
          <w:rFonts w:ascii="Garamond" w:hAnsi="Garamond" w:cs="Times New Roman"/>
          <w:color w:val="000000" w:themeColor="text1"/>
          <w:sz w:val="24"/>
          <w:szCs w:val="24"/>
        </w:rPr>
        <w:t xml:space="preserve"> </w:t>
      </w:r>
      <w:r w:rsidR="00CE031F" w:rsidRPr="00735740">
        <w:rPr>
          <w:rFonts w:ascii="Garamond" w:hAnsi="Garamond" w:cs="Times New Roman"/>
          <w:color w:val="000000" w:themeColor="text1"/>
          <w:sz w:val="24"/>
          <w:szCs w:val="24"/>
        </w:rPr>
        <w:t>were</w:t>
      </w:r>
      <w:r w:rsidR="00E35C64" w:rsidRPr="00735740">
        <w:rPr>
          <w:rFonts w:ascii="Garamond" w:hAnsi="Garamond" w:cs="Times New Roman"/>
          <w:color w:val="000000" w:themeColor="text1"/>
          <w:sz w:val="24"/>
          <w:szCs w:val="24"/>
        </w:rPr>
        <w:t xml:space="preserve"> less</w:t>
      </w:r>
      <w:r w:rsidR="003877E9" w:rsidRPr="00735740">
        <w:rPr>
          <w:rFonts w:ascii="Garamond" w:hAnsi="Garamond" w:cs="Times New Roman"/>
          <w:color w:val="000000" w:themeColor="text1"/>
          <w:sz w:val="24"/>
          <w:szCs w:val="24"/>
        </w:rPr>
        <w:t xml:space="preserve"> (or perhaps in-)</w:t>
      </w:r>
      <w:r w:rsidR="00E35C64" w:rsidRPr="00735740">
        <w:rPr>
          <w:rFonts w:ascii="Garamond" w:hAnsi="Garamond" w:cs="Times New Roman"/>
          <w:color w:val="000000" w:themeColor="text1"/>
          <w:sz w:val="24"/>
          <w:szCs w:val="24"/>
        </w:rPr>
        <w:t>significant. Whilst this did partially improve with the creation of a sexual violence investigation unit in 1998,</w:t>
      </w:r>
      <w:r w:rsidR="00E35C64" w:rsidRPr="00735740">
        <w:rPr>
          <w:rStyle w:val="FootnoteReference"/>
          <w:rFonts w:ascii="Garamond" w:hAnsi="Garamond" w:cs="Times New Roman"/>
          <w:color w:val="000000" w:themeColor="text1"/>
          <w:sz w:val="24"/>
          <w:szCs w:val="24"/>
        </w:rPr>
        <w:footnoteReference w:id="93"/>
      </w:r>
      <w:r w:rsidR="00E35C64" w:rsidRPr="00735740">
        <w:rPr>
          <w:rFonts w:ascii="Garamond" w:hAnsi="Garamond" w:cs="Times New Roman"/>
          <w:color w:val="000000" w:themeColor="text1"/>
          <w:sz w:val="24"/>
          <w:szCs w:val="24"/>
        </w:rPr>
        <w:t xml:space="preserve"> throughout </w:t>
      </w:r>
      <w:r w:rsidR="004F1B79" w:rsidRPr="00735740">
        <w:rPr>
          <w:rFonts w:ascii="Garamond" w:hAnsi="Garamond" w:cs="Times New Roman"/>
          <w:color w:val="000000" w:themeColor="text1"/>
          <w:sz w:val="24"/>
          <w:szCs w:val="24"/>
        </w:rPr>
        <w:t xml:space="preserve">the trials </w:t>
      </w:r>
      <w:r w:rsidR="00E35C64" w:rsidRPr="00735740">
        <w:rPr>
          <w:rFonts w:ascii="Garamond" w:hAnsi="Garamond" w:cs="Times New Roman"/>
          <w:color w:val="000000" w:themeColor="text1"/>
          <w:sz w:val="24"/>
          <w:szCs w:val="24"/>
        </w:rPr>
        <w:t xml:space="preserve">gender-based violence remained insufficiently investigated and poorly incorporated into </w:t>
      </w:r>
      <w:r w:rsidR="00D31DB2" w:rsidRPr="00735740">
        <w:rPr>
          <w:rFonts w:ascii="Garamond" w:hAnsi="Garamond" w:cs="Times New Roman"/>
          <w:color w:val="000000" w:themeColor="text1"/>
          <w:sz w:val="24"/>
          <w:szCs w:val="24"/>
        </w:rPr>
        <w:t>the archive</w:t>
      </w:r>
      <w:r w:rsidR="0090579B" w:rsidRPr="00735740">
        <w:rPr>
          <w:rFonts w:ascii="Garamond" w:hAnsi="Garamond" w:cs="Times New Roman"/>
          <w:color w:val="000000" w:themeColor="text1"/>
          <w:sz w:val="24"/>
          <w:szCs w:val="24"/>
        </w:rPr>
        <w:t xml:space="preserve">. </w:t>
      </w:r>
    </w:p>
    <w:p w14:paraId="35AE2093" w14:textId="47B74DFA" w:rsidR="00E35C64" w:rsidRPr="00735740" w:rsidRDefault="00E35C64" w:rsidP="006E74CF">
      <w:pPr>
        <w:spacing w:line="360" w:lineRule="auto"/>
        <w:rPr>
          <w:rFonts w:ascii="Garamond" w:hAnsi="Garamond" w:cs="Times New Roman"/>
          <w:color w:val="000000" w:themeColor="text1"/>
          <w:sz w:val="24"/>
          <w:szCs w:val="24"/>
        </w:rPr>
      </w:pPr>
      <w:r w:rsidRPr="00735740">
        <w:rPr>
          <w:rFonts w:ascii="Garamond" w:hAnsi="Garamond" w:cs="Times New Roman"/>
          <w:color w:val="000000" w:themeColor="text1"/>
          <w:sz w:val="24"/>
          <w:szCs w:val="24"/>
        </w:rPr>
        <w:t xml:space="preserve">This </w:t>
      </w:r>
      <w:r w:rsidR="00B83457" w:rsidRPr="00735740">
        <w:rPr>
          <w:rFonts w:ascii="Garamond" w:hAnsi="Garamond" w:cs="Times New Roman"/>
          <w:color w:val="000000" w:themeColor="text1"/>
          <w:sz w:val="24"/>
          <w:szCs w:val="24"/>
        </w:rPr>
        <w:t>was</w:t>
      </w:r>
      <w:r w:rsidRPr="00735740">
        <w:rPr>
          <w:rFonts w:ascii="Garamond" w:hAnsi="Garamond" w:cs="Times New Roman"/>
          <w:color w:val="000000" w:themeColor="text1"/>
          <w:sz w:val="24"/>
          <w:szCs w:val="24"/>
        </w:rPr>
        <w:t xml:space="preserve"> seen in </w:t>
      </w:r>
      <w:r w:rsidR="0090579B" w:rsidRPr="00735740">
        <w:rPr>
          <w:rFonts w:ascii="Garamond" w:hAnsi="Garamond" w:cs="Times New Roman"/>
          <w:color w:val="000000" w:themeColor="text1"/>
          <w:sz w:val="24"/>
          <w:szCs w:val="24"/>
        </w:rPr>
        <w:t>during</w:t>
      </w:r>
      <w:r w:rsidRPr="00735740">
        <w:rPr>
          <w:rFonts w:ascii="Garamond" w:hAnsi="Garamond" w:cs="Times New Roman"/>
          <w:color w:val="000000" w:themeColor="text1"/>
          <w:sz w:val="24"/>
          <w:szCs w:val="24"/>
        </w:rPr>
        <w:t xml:space="preserve"> </w:t>
      </w:r>
      <w:r w:rsidRPr="00735740">
        <w:rPr>
          <w:rFonts w:ascii="Garamond" w:hAnsi="Garamond" w:cs="Times New Roman"/>
          <w:i/>
          <w:color w:val="000000" w:themeColor="text1"/>
          <w:sz w:val="24"/>
          <w:szCs w:val="24"/>
        </w:rPr>
        <w:t>Cyangugu</w:t>
      </w:r>
      <w:r w:rsidRPr="00735740">
        <w:rPr>
          <w:rFonts w:ascii="Garamond" w:hAnsi="Garamond" w:cs="Times New Roman"/>
          <w:color w:val="000000" w:themeColor="text1"/>
          <w:sz w:val="24"/>
          <w:szCs w:val="24"/>
        </w:rPr>
        <w:t>. The prosecution’s failure to incorporate charges relating to sexual violence in the indictment</w:t>
      </w:r>
      <w:r w:rsidR="00B83457" w:rsidRPr="00735740">
        <w:rPr>
          <w:rFonts w:ascii="Garamond" w:hAnsi="Garamond" w:cs="Times New Roman"/>
          <w:color w:val="000000" w:themeColor="text1"/>
          <w:sz w:val="24"/>
          <w:szCs w:val="24"/>
        </w:rPr>
        <w:t xml:space="preserve">, despite having ample evidence </w:t>
      </w:r>
      <w:r w:rsidR="004F1B79" w:rsidRPr="00735740">
        <w:rPr>
          <w:rFonts w:ascii="Garamond" w:hAnsi="Garamond" w:cs="Times New Roman"/>
          <w:color w:val="000000" w:themeColor="text1"/>
          <w:sz w:val="24"/>
          <w:szCs w:val="24"/>
        </w:rPr>
        <w:t>that incidents had taken place</w:t>
      </w:r>
      <w:r w:rsidR="00B83457" w:rsidRPr="00735740">
        <w:rPr>
          <w:rFonts w:ascii="Garamond" w:hAnsi="Garamond" w:cs="Times New Roman"/>
          <w:color w:val="000000" w:themeColor="text1"/>
          <w:sz w:val="24"/>
          <w:szCs w:val="24"/>
        </w:rPr>
        <w:t>,</w:t>
      </w:r>
      <w:r w:rsidRPr="00735740">
        <w:rPr>
          <w:rStyle w:val="FootnoteReference"/>
          <w:rFonts w:ascii="Garamond" w:hAnsi="Garamond" w:cs="Times New Roman"/>
          <w:color w:val="000000" w:themeColor="text1"/>
          <w:sz w:val="24"/>
          <w:szCs w:val="24"/>
        </w:rPr>
        <w:footnoteReference w:id="94"/>
      </w:r>
      <w:r w:rsidRPr="00735740">
        <w:rPr>
          <w:rFonts w:ascii="Garamond" w:hAnsi="Garamond" w:cs="Times New Roman"/>
          <w:color w:val="000000" w:themeColor="text1"/>
          <w:sz w:val="24"/>
          <w:szCs w:val="24"/>
        </w:rPr>
        <w:t xml:space="preserve"> meant that</w:t>
      </w:r>
      <w:r w:rsidR="0090579B" w:rsidRPr="00735740">
        <w:rPr>
          <w:rFonts w:ascii="Garamond" w:hAnsi="Garamond" w:cs="Times New Roman"/>
          <w:color w:val="000000" w:themeColor="text1"/>
          <w:sz w:val="24"/>
          <w:szCs w:val="24"/>
        </w:rPr>
        <w:t xml:space="preserve"> </w:t>
      </w:r>
      <w:r w:rsidRPr="00735740">
        <w:rPr>
          <w:rFonts w:ascii="Garamond" w:hAnsi="Garamond" w:cs="Times New Roman"/>
          <w:color w:val="000000" w:themeColor="text1"/>
          <w:sz w:val="24"/>
          <w:szCs w:val="24"/>
        </w:rPr>
        <w:t xml:space="preserve">the judges actively prevented witnesses from testifying </w:t>
      </w:r>
      <w:r w:rsidR="00296F0F" w:rsidRPr="00735740">
        <w:rPr>
          <w:rFonts w:ascii="Garamond" w:hAnsi="Garamond" w:cs="Times New Roman"/>
          <w:color w:val="000000" w:themeColor="text1"/>
          <w:sz w:val="24"/>
          <w:szCs w:val="24"/>
        </w:rPr>
        <w:t>about this</w:t>
      </w:r>
      <w:r w:rsidRPr="00735740">
        <w:rPr>
          <w:rFonts w:ascii="Garamond" w:hAnsi="Garamond" w:cs="Times New Roman"/>
          <w:color w:val="000000" w:themeColor="text1"/>
          <w:sz w:val="24"/>
          <w:szCs w:val="24"/>
        </w:rPr>
        <w:t xml:space="preserve"> crime.</w:t>
      </w:r>
      <w:r w:rsidRPr="00735740">
        <w:rPr>
          <w:rStyle w:val="FootnoteReference"/>
          <w:rFonts w:ascii="Garamond" w:hAnsi="Garamond" w:cs="Times New Roman"/>
          <w:color w:val="000000" w:themeColor="text1"/>
          <w:sz w:val="24"/>
          <w:szCs w:val="24"/>
        </w:rPr>
        <w:t xml:space="preserve"> </w:t>
      </w:r>
      <w:r w:rsidRPr="00735740">
        <w:rPr>
          <w:rStyle w:val="FootnoteReference"/>
          <w:rFonts w:ascii="Garamond" w:hAnsi="Garamond" w:cs="Times New Roman"/>
          <w:color w:val="000000" w:themeColor="text1"/>
          <w:sz w:val="24"/>
          <w:szCs w:val="24"/>
        </w:rPr>
        <w:footnoteReference w:id="95"/>
      </w:r>
      <w:r w:rsidRPr="00735740">
        <w:rPr>
          <w:rFonts w:ascii="Garamond" w:hAnsi="Garamond" w:cs="Times New Roman"/>
          <w:color w:val="000000" w:themeColor="text1"/>
          <w:sz w:val="24"/>
          <w:szCs w:val="24"/>
        </w:rPr>
        <w:t xml:space="preserve"> </w:t>
      </w:r>
      <w:r w:rsidR="0090579B" w:rsidRPr="00735740">
        <w:rPr>
          <w:rFonts w:ascii="Garamond" w:hAnsi="Garamond" w:cs="Times New Roman"/>
          <w:color w:val="000000" w:themeColor="text1"/>
          <w:sz w:val="24"/>
          <w:szCs w:val="24"/>
        </w:rPr>
        <w:t>In one instance</w:t>
      </w:r>
      <w:r w:rsidR="0077698B" w:rsidRPr="00735740">
        <w:rPr>
          <w:rFonts w:ascii="Garamond" w:hAnsi="Garamond" w:cs="Times New Roman"/>
          <w:color w:val="000000" w:themeColor="text1"/>
          <w:sz w:val="24"/>
          <w:szCs w:val="24"/>
        </w:rPr>
        <w:t xml:space="preserve"> a portion of testimony was ex-post-facto </w:t>
      </w:r>
      <w:r w:rsidR="0077698B" w:rsidRPr="00735740">
        <w:rPr>
          <w:rFonts w:ascii="Garamond" w:hAnsi="Garamond" w:cs="Times New Roman"/>
          <w:i/>
          <w:iCs/>
          <w:color w:val="000000" w:themeColor="text1"/>
          <w:sz w:val="24"/>
          <w:szCs w:val="24"/>
        </w:rPr>
        <w:t xml:space="preserve">erased </w:t>
      </w:r>
      <w:r w:rsidR="0077698B" w:rsidRPr="00735740">
        <w:rPr>
          <w:rFonts w:ascii="Garamond" w:hAnsi="Garamond" w:cs="Times New Roman"/>
          <w:iCs/>
          <w:color w:val="000000" w:themeColor="text1"/>
          <w:sz w:val="24"/>
          <w:szCs w:val="24"/>
        </w:rPr>
        <w:t>from the archive</w:t>
      </w:r>
      <w:r w:rsidR="0090579B" w:rsidRPr="00735740">
        <w:rPr>
          <w:rFonts w:ascii="Garamond" w:hAnsi="Garamond" w:cs="Times New Roman"/>
          <w:color w:val="000000" w:themeColor="text1"/>
          <w:sz w:val="24"/>
          <w:szCs w:val="24"/>
        </w:rPr>
        <w:t xml:space="preserve"> after a witness had</w:t>
      </w:r>
      <w:r w:rsidR="0077698B" w:rsidRPr="00735740">
        <w:rPr>
          <w:rFonts w:ascii="Garamond" w:hAnsi="Garamond" w:cs="Times New Roman"/>
          <w:color w:val="000000" w:themeColor="text1"/>
          <w:sz w:val="24"/>
          <w:szCs w:val="24"/>
        </w:rPr>
        <w:t xml:space="preserve"> </w:t>
      </w:r>
      <w:r w:rsidR="0090579B" w:rsidRPr="00735740">
        <w:rPr>
          <w:rFonts w:ascii="Garamond" w:hAnsi="Garamond" w:cs="Times New Roman"/>
          <w:color w:val="000000" w:themeColor="text1"/>
          <w:sz w:val="24"/>
          <w:szCs w:val="24"/>
        </w:rPr>
        <w:t xml:space="preserve"> nonetheless presented evidence relating to sexual violence, </w:t>
      </w:r>
      <w:r w:rsidR="008E612F" w:rsidRPr="00735740">
        <w:rPr>
          <w:rFonts w:ascii="Garamond" w:hAnsi="Garamond" w:cs="Times New Roman"/>
          <w:iCs/>
          <w:color w:val="000000" w:themeColor="text1"/>
          <w:sz w:val="24"/>
          <w:szCs w:val="24"/>
        </w:rPr>
        <w:t xml:space="preserve">signified </w:t>
      </w:r>
      <w:r w:rsidR="000737A5" w:rsidRPr="00735740">
        <w:rPr>
          <w:rFonts w:ascii="Garamond" w:hAnsi="Garamond" w:cs="Times New Roman"/>
          <w:color w:val="000000" w:themeColor="text1"/>
          <w:sz w:val="24"/>
          <w:szCs w:val="24"/>
        </w:rPr>
        <w:t xml:space="preserve">in </w:t>
      </w:r>
      <w:r w:rsidR="000737A5" w:rsidRPr="00735740">
        <w:rPr>
          <w:rFonts w:ascii="Garamond" w:hAnsi="Garamond" w:cs="Times New Roman"/>
          <w:i/>
          <w:iCs/>
          <w:color w:val="000000" w:themeColor="text1"/>
          <w:sz w:val="24"/>
          <w:szCs w:val="24"/>
        </w:rPr>
        <w:t xml:space="preserve">Figure 1 </w:t>
      </w:r>
      <w:r w:rsidR="008E612F" w:rsidRPr="00735740">
        <w:rPr>
          <w:rFonts w:ascii="Garamond" w:hAnsi="Garamond" w:cs="Times New Roman"/>
          <w:iCs/>
          <w:color w:val="000000" w:themeColor="text1"/>
          <w:sz w:val="24"/>
          <w:szCs w:val="24"/>
        </w:rPr>
        <w:t>by ‘[DELETED TEXT]’</w:t>
      </w:r>
      <w:r w:rsidR="0074556D" w:rsidRPr="00735740">
        <w:rPr>
          <w:rFonts w:ascii="Garamond" w:hAnsi="Garamond" w:cs="Times New Roman"/>
          <w:iCs/>
          <w:color w:val="000000" w:themeColor="text1"/>
          <w:sz w:val="24"/>
          <w:szCs w:val="24"/>
        </w:rPr>
        <w:t>.</w:t>
      </w:r>
    </w:p>
    <w:p w14:paraId="74247E64" w14:textId="77777777" w:rsidR="00E35C64" w:rsidRPr="00735740" w:rsidRDefault="00E35C64" w:rsidP="00201640">
      <w:pPr>
        <w:keepNext/>
        <w:spacing w:line="360" w:lineRule="auto"/>
        <w:jc w:val="center"/>
        <w:rPr>
          <w:rFonts w:ascii="Garamond" w:hAnsi="Garamond"/>
          <w:color w:val="000000" w:themeColor="text1"/>
          <w:sz w:val="24"/>
          <w:szCs w:val="24"/>
        </w:rPr>
      </w:pPr>
      <w:r w:rsidRPr="00735740">
        <w:rPr>
          <w:rFonts w:ascii="Garamond" w:hAnsi="Garamond" w:cs="Times New Roman"/>
          <w:noProof/>
          <w:color w:val="000000" w:themeColor="text1"/>
          <w:sz w:val="24"/>
          <w:szCs w:val="24"/>
          <w:lang w:val="en-US"/>
        </w:rPr>
        <w:lastRenderedPageBreak/>
        <w:drawing>
          <wp:inline distT="0" distB="0" distL="0" distR="0" wp14:anchorId="1BC5FD10" wp14:editId="78ED1128">
            <wp:extent cx="3740727" cy="5521455"/>
            <wp:effectExtent l="0" t="0" r="635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3996" cy="5526279"/>
                    </a:xfrm>
                    <a:prstGeom prst="rect">
                      <a:avLst/>
                    </a:prstGeom>
                    <a:noFill/>
                  </pic:spPr>
                </pic:pic>
              </a:graphicData>
            </a:graphic>
          </wp:inline>
        </w:drawing>
      </w:r>
    </w:p>
    <w:p w14:paraId="3711BE1C" w14:textId="77777777" w:rsidR="00E35C64" w:rsidRPr="00735740" w:rsidRDefault="00E35C64" w:rsidP="00201640">
      <w:pPr>
        <w:pStyle w:val="Caption"/>
        <w:spacing w:line="360" w:lineRule="auto"/>
        <w:jc w:val="center"/>
        <w:rPr>
          <w:rFonts w:ascii="Garamond" w:hAnsi="Garamond" w:cs="Times New Roman"/>
          <w:color w:val="000000" w:themeColor="text1"/>
          <w:sz w:val="24"/>
          <w:szCs w:val="24"/>
        </w:rPr>
      </w:pPr>
      <w:r w:rsidRPr="00735740">
        <w:rPr>
          <w:rFonts w:ascii="Garamond" w:hAnsi="Garamond"/>
          <w:color w:val="000000" w:themeColor="text1"/>
          <w:sz w:val="24"/>
          <w:szCs w:val="24"/>
        </w:rPr>
        <w:t xml:space="preserve">Figure </w:t>
      </w:r>
      <w:r w:rsidRPr="00735740">
        <w:rPr>
          <w:rFonts w:ascii="Garamond" w:hAnsi="Garamond"/>
          <w:color w:val="000000" w:themeColor="text1"/>
          <w:sz w:val="24"/>
          <w:szCs w:val="24"/>
        </w:rPr>
        <w:fldChar w:fldCharType="begin"/>
      </w:r>
      <w:r w:rsidRPr="00735740">
        <w:rPr>
          <w:rFonts w:ascii="Garamond" w:hAnsi="Garamond"/>
          <w:color w:val="000000" w:themeColor="text1"/>
          <w:sz w:val="24"/>
          <w:szCs w:val="24"/>
        </w:rPr>
        <w:instrText xml:space="preserve"> SEQ Figure \* ARABIC </w:instrText>
      </w:r>
      <w:r w:rsidRPr="00735740">
        <w:rPr>
          <w:rFonts w:ascii="Garamond" w:hAnsi="Garamond"/>
          <w:color w:val="000000" w:themeColor="text1"/>
          <w:sz w:val="24"/>
          <w:szCs w:val="24"/>
        </w:rPr>
        <w:fldChar w:fldCharType="separate"/>
      </w:r>
      <w:r w:rsidRPr="00735740">
        <w:rPr>
          <w:rFonts w:ascii="Garamond" w:hAnsi="Garamond"/>
          <w:noProof/>
          <w:color w:val="000000" w:themeColor="text1"/>
          <w:sz w:val="24"/>
          <w:szCs w:val="24"/>
        </w:rPr>
        <w:t>1</w:t>
      </w:r>
      <w:r w:rsidRPr="00735740">
        <w:rPr>
          <w:rFonts w:ascii="Garamond" w:hAnsi="Garamond"/>
          <w:color w:val="000000" w:themeColor="text1"/>
          <w:sz w:val="24"/>
          <w:szCs w:val="24"/>
        </w:rPr>
        <w:fldChar w:fldCharType="end"/>
      </w:r>
    </w:p>
    <w:p w14:paraId="3EB714B5" w14:textId="68CC4AA8" w:rsidR="00E35C64" w:rsidRPr="00735740" w:rsidRDefault="00E35C64" w:rsidP="00201640">
      <w:pPr>
        <w:spacing w:line="360" w:lineRule="auto"/>
        <w:rPr>
          <w:rFonts w:ascii="Garamond" w:hAnsi="Garamond" w:cs="Times New Roman"/>
          <w:color w:val="000000" w:themeColor="text1"/>
          <w:sz w:val="24"/>
          <w:szCs w:val="24"/>
          <w:lang w:val="en-US"/>
        </w:rPr>
      </w:pPr>
      <w:r w:rsidRPr="00735740">
        <w:rPr>
          <w:rFonts w:ascii="Garamond" w:hAnsi="Garamond"/>
          <w:color w:val="000000" w:themeColor="text1"/>
          <w:sz w:val="24"/>
          <w:szCs w:val="24"/>
          <w:lang w:val="en-US"/>
        </w:rPr>
        <w:t xml:space="preserve">The significance of the erasure cannot be overstated. I am not aware of any other instance where a phrase </w:t>
      </w:r>
      <w:r w:rsidR="00610C66" w:rsidRPr="00735740">
        <w:rPr>
          <w:rFonts w:ascii="Garamond" w:hAnsi="Garamond"/>
          <w:color w:val="000000" w:themeColor="text1"/>
          <w:sz w:val="24"/>
          <w:szCs w:val="24"/>
          <w:lang w:val="en-US"/>
        </w:rPr>
        <w:t>was</w:t>
      </w:r>
      <w:r w:rsidRPr="00735740">
        <w:rPr>
          <w:rFonts w:ascii="Garamond" w:hAnsi="Garamond"/>
          <w:color w:val="000000" w:themeColor="text1"/>
          <w:sz w:val="24"/>
          <w:szCs w:val="24"/>
          <w:lang w:val="en-US"/>
        </w:rPr>
        <w:t xml:space="preserve"> ex-post-facto </w:t>
      </w:r>
      <w:r w:rsidRPr="00735740">
        <w:rPr>
          <w:rFonts w:ascii="Garamond" w:hAnsi="Garamond"/>
          <w:i/>
          <w:iCs/>
          <w:color w:val="000000" w:themeColor="text1"/>
          <w:sz w:val="24"/>
          <w:szCs w:val="24"/>
          <w:lang w:val="en-US"/>
        </w:rPr>
        <w:t>erased</w:t>
      </w:r>
      <w:r w:rsidRPr="00735740">
        <w:rPr>
          <w:rFonts w:ascii="Garamond" w:hAnsi="Garamond"/>
          <w:i/>
          <w:color w:val="000000" w:themeColor="text1"/>
          <w:sz w:val="24"/>
          <w:szCs w:val="24"/>
          <w:lang w:val="en-US"/>
        </w:rPr>
        <w:t xml:space="preserve"> </w:t>
      </w:r>
      <w:r w:rsidRPr="00735740">
        <w:rPr>
          <w:rFonts w:ascii="Garamond" w:hAnsi="Garamond"/>
          <w:color w:val="000000" w:themeColor="text1"/>
          <w:sz w:val="24"/>
          <w:szCs w:val="24"/>
          <w:lang w:val="en-US"/>
        </w:rPr>
        <w:t xml:space="preserve">from the archive. Sometimes when sensitive information was accidently included (that might, for instance, </w:t>
      </w:r>
      <w:r w:rsidR="004E11DF" w:rsidRPr="00735740">
        <w:rPr>
          <w:rFonts w:ascii="Garamond" w:hAnsi="Garamond"/>
          <w:color w:val="000000" w:themeColor="text1"/>
          <w:sz w:val="24"/>
          <w:szCs w:val="24"/>
          <w:lang w:val="en-US"/>
        </w:rPr>
        <w:t>have led</w:t>
      </w:r>
      <w:r w:rsidRPr="00735740">
        <w:rPr>
          <w:rFonts w:ascii="Garamond" w:hAnsi="Garamond"/>
          <w:color w:val="000000" w:themeColor="text1"/>
          <w:sz w:val="24"/>
          <w:szCs w:val="24"/>
          <w:lang w:val="en-US"/>
        </w:rPr>
        <w:t xml:space="preserve"> to the identification of a protected witness) parts of the records might be put under seal</w:t>
      </w:r>
      <w:r w:rsidR="004F1B79" w:rsidRPr="00735740">
        <w:rPr>
          <w:rFonts w:ascii="Garamond" w:hAnsi="Garamond"/>
          <w:color w:val="000000" w:themeColor="text1"/>
          <w:sz w:val="24"/>
          <w:szCs w:val="24"/>
          <w:lang w:val="en-US"/>
        </w:rPr>
        <w:t xml:space="preserve"> </w:t>
      </w:r>
      <w:r w:rsidRPr="00735740">
        <w:rPr>
          <w:rFonts w:ascii="Garamond" w:hAnsi="Garamond"/>
          <w:color w:val="000000" w:themeColor="text1"/>
          <w:sz w:val="24"/>
          <w:szCs w:val="24"/>
          <w:lang w:val="en-US"/>
        </w:rPr>
        <w:t>and concealed from the public. But in every other instance where evidence that exceeded an indictment was uttered and successfully objected to, the judges held that they were able to simply ignore this evidence during deliberations.</w:t>
      </w:r>
      <w:r w:rsidRPr="00735740">
        <w:rPr>
          <w:rStyle w:val="FootnoteReference"/>
          <w:rFonts w:ascii="Garamond" w:hAnsi="Garamond"/>
          <w:color w:val="000000" w:themeColor="text1"/>
          <w:sz w:val="24"/>
          <w:szCs w:val="24"/>
          <w:lang w:val="en-US"/>
        </w:rPr>
        <w:footnoteReference w:id="96"/>
      </w:r>
      <w:r w:rsidRPr="00735740">
        <w:rPr>
          <w:rFonts w:ascii="Garamond" w:hAnsi="Garamond"/>
          <w:color w:val="000000" w:themeColor="text1"/>
          <w:sz w:val="24"/>
          <w:szCs w:val="24"/>
          <w:lang w:val="en-US"/>
        </w:rPr>
        <w:t xml:space="preserve"> Here, </w:t>
      </w:r>
      <w:r w:rsidRPr="00735740">
        <w:rPr>
          <w:rFonts w:ascii="Garamond" w:hAnsi="Garamond"/>
          <w:color w:val="000000" w:themeColor="text1"/>
          <w:sz w:val="24"/>
          <w:szCs w:val="24"/>
          <w:lang w:val="en-US"/>
        </w:rPr>
        <w:lastRenderedPageBreak/>
        <w:t>however, it seemed necessary to erase all material traces</w:t>
      </w:r>
      <w:r w:rsidRPr="00735740">
        <w:rPr>
          <w:rFonts w:ascii="Garamond" w:hAnsi="Garamond"/>
          <w:i/>
          <w:color w:val="000000" w:themeColor="text1"/>
          <w:sz w:val="24"/>
          <w:szCs w:val="24"/>
          <w:lang w:val="en-US"/>
        </w:rPr>
        <w:t xml:space="preserve"> </w:t>
      </w:r>
      <w:r w:rsidRPr="00735740">
        <w:rPr>
          <w:rFonts w:ascii="Garamond" w:hAnsi="Garamond"/>
          <w:color w:val="000000" w:themeColor="text1"/>
          <w:sz w:val="24"/>
          <w:szCs w:val="24"/>
          <w:lang w:val="en-US"/>
        </w:rPr>
        <w:t>of this utterance so as not to taint the judges’ future deliberations, and, ultimately, the archive.</w:t>
      </w:r>
    </w:p>
    <w:p w14:paraId="10A24A1C" w14:textId="00590340" w:rsidR="00E35C64" w:rsidRPr="00735740" w:rsidRDefault="00E35C64" w:rsidP="00201640">
      <w:pPr>
        <w:spacing w:line="360" w:lineRule="auto"/>
        <w:rPr>
          <w:rFonts w:ascii="Garamond" w:hAnsi="Garamond" w:cs="Times New Roman"/>
          <w:iCs/>
          <w:color w:val="000000" w:themeColor="text1"/>
          <w:sz w:val="24"/>
          <w:szCs w:val="24"/>
        </w:rPr>
      </w:pPr>
      <w:r w:rsidRPr="00735740">
        <w:rPr>
          <w:rFonts w:ascii="Garamond" w:hAnsi="Garamond" w:cs="Times New Roman"/>
          <w:color w:val="000000" w:themeColor="text1"/>
          <w:sz w:val="24"/>
          <w:szCs w:val="24"/>
          <w:lang w:val="en-US"/>
        </w:rPr>
        <w:t xml:space="preserve">The erasure is indicative of </w:t>
      </w:r>
      <w:r w:rsidR="0074556D" w:rsidRPr="00735740">
        <w:rPr>
          <w:rFonts w:ascii="Garamond" w:hAnsi="Garamond" w:cs="Times New Roman"/>
          <w:color w:val="000000" w:themeColor="text1"/>
          <w:sz w:val="24"/>
          <w:szCs w:val="24"/>
          <w:lang w:val="en-US"/>
        </w:rPr>
        <w:t xml:space="preserve">a more general silence concerning </w:t>
      </w:r>
      <w:r w:rsidR="00D96057" w:rsidRPr="00735740">
        <w:rPr>
          <w:rFonts w:ascii="Garamond" w:hAnsi="Garamond" w:cs="Times New Roman"/>
          <w:color w:val="000000" w:themeColor="text1"/>
          <w:sz w:val="24"/>
          <w:szCs w:val="24"/>
          <w:lang w:val="en-US"/>
        </w:rPr>
        <w:t>gender-based</w:t>
      </w:r>
      <w:r w:rsidR="0074556D" w:rsidRPr="00735740">
        <w:rPr>
          <w:rFonts w:ascii="Garamond" w:hAnsi="Garamond" w:cs="Times New Roman"/>
          <w:color w:val="000000" w:themeColor="text1"/>
          <w:sz w:val="24"/>
          <w:szCs w:val="24"/>
          <w:lang w:val="en-US"/>
        </w:rPr>
        <w:t xml:space="preserve"> violence within the archive. This was the result of what </w:t>
      </w:r>
      <w:r w:rsidRPr="00735740">
        <w:rPr>
          <w:rFonts w:ascii="Garamond" w:hAnsi="Garamond" w:cs="Times New Roman"/>
          <w:color w:val="000000" w:themeColor="text1"/>
          <w:sz w:val="24"/>
          <w:szCs w:val="24"/>
          <w:lang w:val="en-US"/>
        </w:rPr>
        <w:t>can be described as</w:t>
      </w:r>
      <w:r w:rsidR="004F1B79" w:rsidRPr="00735740">
        <w:rPr>
          <w:rFonts w:ascii="Garamond" w:hAnsi="Garamond" w:cs="Times New Roman"/>
          <w:color w:val="000000" w:themeColor="text1"/>
          <w:sz w:val="24"/>
          <w:szCs w:val="24"/>
          <w:lang w:val="en-US"/>
        </w:rPr>
        <w:t xml:space="preserve"> an</w:t>
      </w:r>
      <w:r w:rsidR="00BB0760" w:rsidRPr="00735740">
        <w:rPr>
          <w:rFonts w:ascii="Garamond" w:hAnsi="Garamond" w:cs="Times New Roman"/>
          <w:color w:val="000000" w:themeColor="text1"/>
          <w:sz w:val="24"/>
          <w:szCs w:val="24"/>
          <w:lang w:val="en-US"/>
        </w:rPr>
        <w:t xml:space="preserve"> </w:t>
      </w:r>
      <w:r w:rsidR="0090579B" w:rsidRPr="00735740">
        <w:rPr>
          <w:rFonts w:ascii="Garamond" w:hAnsi="Garamond" w:cs="Times New Roman"/>
          <w:color w:val="000000" w:themeColor="text1"/>
          <w:sz w:val="24"/>
          <w:szCs w:val="24"/>
          <w:lang w:val="en-US"/>
        </w:rPr>
        <w:t>overall</w:t>
      </w:r>
      <w:r w:rsidR="004F1B79" w:rsidRPr="00735740">
        <w:rPr>
          <w:rFonts w:ascii="Garamond" w:hAnsi="Garamond" w:cs="Times New Roman"/>
          <w:color w:val="000000" w:themeColor="text1"/>
          <w:sz w:val="24"/>
          <w:szCs w:val="24"/>
          <w:lang w:val="en-US"/>
        </w:rPr>
        <w:t xml:space="preserve"> </w:t>
      </w:r>
      <w:r w:rsidRPr="00735740">
        <w:rPr>
          <w:rFonts w:ascii="Garamond" w:hAnsi="Garamond" w:cs="Times New Roman"/>
          <w:color w:val="000000" w:themeColor="text1"/>
          <w:sz w:val="24"/>
          <w:szCs w:val="24"/>
          <w:lang w:val="en-US"/>
        </w:rPr>
        <w:t>degree of hostility to</w:t>
      </w:r>
      <w:r w:rsidR="0074556D" w:rsidRPr="00735740">
        <w:rPr>
          <w:rFonts w:ascii="Garamond" w:hAnsi="Garamond" w:cs="Times New Roman"/>
          <w:color w:val="000000" w:themeColor="text1"/>
          <w:sz w:val="24"/>
          <w:szCs w:val="24"/>
          <w:lang w:val="en-US"/>
        </w:rPr>
        <w:t>wards</w:t>
      </w:r>
      <w:r w:rsidRPr="00735740">
        <w:rPr>
          <w:rFonts w:ascii="Garamond" w:hAnsi="Garamond" w:cs="Times New Roman"/>
          <w:color w:val="000000" w:themeColor="text1"/>
          <w:sz w:val="24"/>
          <w:szCs w:val="24"/>
          <w:lang w:val="en-US"/>
        </w:rPr>
        <w:t xml:space="preserve"> </w:t>
      </w:r>
      <w:r w:rsidR="0074556D" w:rsidRPr="00735740">
        <w:rPr>
          <w:rFonts w:ascii="Garamond" w:hAnsi="Garamond" w:cs="Times New Roman"/>
          <w:color w:val="000000" w:themeColor="text1"/>
          <w:sz w:val="24"/>
          <w:szCs w:val="24"/>
          <w:lang w:val="en-US"/>
        </w:rPr>
        <w:t xml:space="preserve">evidence of </w:t>
      </w:r>
      <w:r w:rsidR="000737A5" w:rsidRPr="00735740">
        <w:rPr>
          <w:rFonts w:ascii="Garamond" w:hAnsi="Garamond" w:cs="Times New Roman"/>
          <w:color w:val="000000" w:themeColor="text1"/>
          <w:sz w:val="24"/>
          <w:szCs w:val="24"/>
          <w:lang w:val="en-US"/>
        </w:rPr>
        <w:t>these crimes</w:t>
      </w:r>
      <w:r w:rsidR="00DE7FE3" w:rsidRPr="00735740">
        <w:rPr>
          <w:rFonts w:ascii="Garamond" w:hAnsi="Garamond" w:cs="Times New Roman"/>
          <w:color w:val="000000" w:themeColor="text1"/>
          <w:sz w:val="24"/>
          <w:szCs w:val="24"/>
          <w:lang w:val="en-US"/>
        </w:rPr>
        <w:t xml:space="preserve"> and</w:t>
      </w:r>
      <w:r w:rsidR="0090579B" w:rsidRPr="00735740">
        <w:rPr>
          <w:rFonts w:ascii="Garamond" w:hAnsi="Garamond" w:cs="Times New Roman"/>
          <w:color w:val="000000" w:themeColor="text1"/>
          <w:sz w:val="24"/>
          <w:szCs w:val="24"/>
          <w:lang w:val="en-US"/>
        </w:rPr>
        <w:t xml:space="preserve"> the application of higher standards of proof.</w:t>
      </w:r>
      <w:r w:rsidRPr="00735740">
        <w:rPr>
          <w:rFonts w:ascii="Garamond" w:hAnsi="Garamond" w:cs="Times New Roman"/>
          <w:color w:val="000000" w:themeColor="text1"/>
          <w:sz w:val="24"/>
          <w:szCs w:val="24"/>
          <w:vertAlign w:val="superscript"/>
          <w:lang w:val="en-US"/>
        </w:rPr>
        <w:footnoteReference w:id="97"/>
      </w:r>
      <w:r w:rsidRPr="00735740">
        <w:rPr>
          <w:rFonts w:ascii="Garamond" w:hAnsi="Garamond" w:cs="Times New Roman"/>
          <w:color w:val="000000" w:themeColor="text1"/>
          <w:sz w:val="24"/>
          <w:szCs w:val="24"/>
          <w:lang w:val="en-US"/>
        </w:rPr>
        <w:t xml:space="preserve"> From the numerous examples</w:t>
      </w:r>
      <w:r w:rsidR="00B83457" w:rsidRPr="00735740">
        <w:rPr>
          <w:rFonts w:ascii="Garamond" w:hAnsi="Garamond" w:cs="Times New Roman"/>
          <w:color w:val="000000" w:themeColor="text1"/>
          <w:sz w:val="24"/>
          <w:szCs w:val="24"/>
          <w:lang w:val="en-US"/>
        </w:rPr>
        <w:t xml:space="preserve"> </w:t>
      </w:r>
      <w:r w:rsidR="00DE7FE3" w:rsidRPr="00735740">
        <w:rPr>
          <w:rFonts w:ascii="Garamond" w:hAnsi="Garamond" w:cs="Times New Roman"/>
          <w:color w:val="000000" w:themeColor="text1"/>
          <w:sz w:val="24"/>
          <w:szCs w:val="24"/>
          <w:lang w:val="en-US"/>
        </w:rPr>
        <w:t xml:space="preserve">that could evidence </w:t>
      </w:r>
      <w:r w:rsidR="00B83457" w:rsidRPr="00735740">
        <w:rPr>
          <w:rFonts w:ascii="Garamond" w:hAnsi="Garamond" w:cs="Times New Roman"/>
          <w:color w:val="000000" w:themeColor="text1"/>
          <w:sz w:val="24"/>
          <w:szCs w:val="24"/>
          <w:lang w:val="en-US"/>
        </w:rPr>
        <w:t>this</w:t>
      </w:r>
      <w:r w:rsidRPr="00735740">
        <w:rPr>
          <w:rFonts w:ascii="Garamond" w:hAnsi="Garamond" w:cs="Times New Roman"/>
          <w:color w:val="000000" w:themeColor="text1"/>
          <w:sz w:val="24"/>
          <w:szCs w:val="24"/>
          <w:lang w:val="en-US"/>
        </w:rPr>
        <w:t>,</w:t>
      </w:r>
      <w:r w:rsidRPr="00735740">
        <w:rPr>
          <w:rStyle w:val="FootnoteReference"/>
          <w:rFonts w:ascii="Garamond" w:hAnsi="Garamond" w:cs="Times New Roman"/>
          <w:color w:val="000000" w:themeColor="text1"/>
          <w:sz w:val="24"/>
          <w:szCs w:val="24"/>
        </w:rPr>
        <w:footnoteReference w:id="98"/>
      </w:r>
      <w:r w:rsidR="00DE7FE3" w:rsidRPr="00735740">
        <w:rPr>
          <w:rStyle w:val="FootnoteReference"/>
          <w:rFonts w:ascii="Garamond" w:hAnsi="Garamond" w:cs="Times New Roman"/>
          <w:color w:val="000000" w:themeColor="text1"/>
          <w:sz w:val="24"/>
          <w:szCs w:val="24"/>
        </w:rPr>
        <w:t xml:space="preserve"> </w:t>
      </w:r>
      <w:r w:rsidR="00DE7FE3" w:rsidRPr="00735740">
        <w:rPr>
          <w:rFonts w:ascii="Garamond" w:hAnsi="Garamond" w:cs="Times New Roman"/>
          <w:color w:val="000000" w:themeColor="text1"/>
          <w:sz w:val="24"/>
          <w:szCs w:val="24"/>
        </w:rPr>
        <w:t>I turn to</w:t>
      </w:r>
      <w:r w:rsidRPr="00735740">
        <w:rPr>
          <w:rFonts w:ascii="Garamond" w:hAnsi="Garamond" w:cs="Times New Roman"/>
          <w:iCs/>
          <w:color w:val="000000" w:themeColor="text1"/>
          <w:sz w:val="24"/>
          <w:szCs w:val="24"/>
        </w:rPr>
        <w:t xml:space="preserve"> </w:t>
      </w:r>
      <w:r w:rsidRPr="00735740">
        <w:rPr>
          <w:rFonts w:ascii="Garamond" w:hAnsi="Garamond" w:cs="Times New Roman"/>
          <w:color w:val="000000" w:themeColor="text1"/>
          <w:sz w:val="24"/>
          <w:szCs w:val="24"/>
          <w:lang w:val="en-US"/>
        </w:rPr>
        <w:t xml:space="preserve">the treatment of </w:t>
      </w:r>
      <w:r w:rsidR="00296F0F" w:rsidRPr="00735740">
        <w:rPr>
          <w:rFonts w:ascii="Garamond" w:hAnsi="Garamond" w:cs="Times New Roman"/>
          <w:color w:val="000000" w:themeColor="text1"/>
          <w:sz w:val="24"/>
          <w:szCs w:val="24"/>
          <w:lang w:val="en-US"/>
        </w:rPr>
        <w:t>W</w:t>
      </w:r>
      <w:r w:rsidRPr="00735740">
        <w:rPr>
          <w:rFonts w:ascii="Garamond" w:hAnsi="Garamond" w:cs="Times New Roman"/>
          <w:color w:val="000000" w:themeColor="text1"/>
          <w:sz w:val="24"/>
          <w:szCs w:val="24"/>
          <w:lang w:val="en-US"/>
        </w:rPr>
        <w:t xml:space="preserve">itness BAT during </w:t>
      </w:r>
      <w:r w:rsidRPr="00735740">
        <w:rPr>
          <w:rFonts w:ascii="Garamond" w:hAnsi="Garamond" w:cs="Times New Roman"/>
          <w:i/>
          <w:iCs/>
          <w:color w:val="000000" w:themeColor="text1"/>
          <w:sz w:val="24"/>
          <w:szCs w:val="24"/>
          <w:lang w:val="en-US"/>
        </w:rPr>
        <w:t>Gatete</w:t>
      </w:r>
      <w:r w:rsidRPr="00735740">
        <w:rPr>
          <w:rFonts w:ascii="Garamond" w:hAnsi="Garamond" w:cs="Times New Roman"/>
          <w:color w:val="000000" w:themeColor="text1"/>
          <w:sz w:val="24"/>
          <w:szCs w:val="24"/>
          <w:lang w:val="en-US"/>
        </w:rPr>
        <w:t>.</w:t>
      </w:r>
    </w:p>
    <w:p w14:paraId="3D01CC4B" w14:textId="1209CE01" w:rsidR="00E35C64" w:rsidRPr="00735740" w:rsidRDefault="00E35C64" w:rsidP="00201640">
      <w:pPr>
        <w:spacing w:line="360" w:lineRule="auto"/>
        <w:rPr>
          <w:rFonts w:ascii="Garamond" w:hAnsi="Garamond" w:cs="Times New Roman"/>
          <w:color w:val="000000" w:themeColor="text1"/>
          <w:sz w:val="24"/>
          <w:szCs w:val="24"/>
        </w:rPr>
      </w:pPr>
      <w:r w:rsidRPr="00735740">
        <w:rPr>
          <w:rFonts w:ascii="Garamond" w:hAnsi="Garamond"/>
          <w:color w:val="000000" w:themeColor="text1"/>
          <w:sz w:val="24"/>
          <w:szCs w:val="24"/>
        </w:rPr>
        <w:t xml:space="preserve">During </w:t>
      </w:r>
      <w:r w:rsidRPr="00735740">
        <w:rPr>
          <w:rFonts w:ascii="Garamond" w:hAnsi="Garamond"/>
          <w:i/>
          <w:color w:val="000000" w:themeColor="text1"/>
          <w:sz w:val="24"/>
          <w:szCs w:val="24"/>
        </w:rPr>
        <w:t xml:space="preserve">Gatete, </w:t>
      </w:r>
      <w:r w:rsidR="00296F0F" w:rsidRPr="00735740">
        <w:rPr>
          <w:rFonts w:ascii="Garamond" w:hAnsi="Garamond"/>
          <w:color w:val="000000" w:themeColor="text1"/>
          <w:sz w:val="24"/>
          <w:szCs w:val="24"/>
        </w:rPr>
        <w:t>W</w:t>
      </w:r>
      <w:r w:rsidRPr="00735740">
        <w:rPr>
          <w:rFonts w:ascii="Garamond" w:hAnsi="Garamond"/>
          <w:color w:val="000000" w:themeColor="text1"/>
          <w:sz w:val="24"/>
          <w:szCs w:val="24"/>
        </w:rPr>
        <w:t>itness BAT testified to her first sighting of Gatete during the genocide at a local commercial centre:</w:t>
      </w:r>
    </w:p>
    <w:p w14:paraId="090734F6" w14:textId="77777777" w:rsidR="00E35C64" w:rsidRPr="00735740" w:rsidRDefault="00E35C64" w:rsidP="00201640">
      <w:pPr>
        <w:spacing w:line="360" w:lineRule="auto"/>
        <w:ind w:left="851"/>
        <w:rPr>
          <w:rFonts w:ascii="Garamond" w:hAnsi="Garamond"/>
          <w:color w:val="000000" w:themeColor="text1"/>
          <w:sz w:val="24"/>
          <w:szCs w:val="24"/>
        </w:rPr>
      </w:pPr>
      <w:r w:rsidRPr="00735740">
        <w:rPr>
          <w:rFonts w:ascii="Garamond" w:hAnsi="Garamond"/>
          <w:color w:val="000000" w:themeColor="text1"/>
          <w:sz w:val="24"/>
          <w:szCs w:val="24"/>
        </w:rPr>
        <w:t>Prosecution: Madam Witness, you said a few moments ago that you heard a vehicle and that you saw Jean–Baptiste Gatete. You said you realised they had not come to protect you. What made you say that?</w:t>
      </w:r>
    </w:p>
    <w:p w14:paraId="7487816E" w14:textId="77777777" w:rsidR="00E35C64" w:rsidRPr="00735740" w:rsidRDefault="00E35C64" w:rsidP="00201640">
      <w:pPr>
        <w:spacing w:line="360" w:lineRule="auto"/>
        <w:ind w:left="851"/>
        <w:rPr>
          <w:rFonts w:ascii="Garamond" w:hAnsi="Garamond"/>
          <w:color w:val="000000" w:themeColor="text1"/>
          <w:sz w:val="24"/>
          <w:szCs w:val="24"/>
        </w:rPr>
      </w:pPr>
      <w:r w:rsidRPr="00735740">
        <w:rPr>
          <w:rFonts w:ascii="Garamond" w:hAnsi="Garamond"/>
          <w:color w:val="000000" w:themeColor="text1"/>
          <w:sz w:val="24"/>
          <w:szCs w:val="24"/>
        </w:rPr>
        <w:t>Witness: I said that Gatete had not come to protect us, because after coming out of his vehicle, we heard whistles and Gatete asked the people who were there to kill Tutsis and rape young Tutsi girls and women before killing them. It is for this reason that I thought he had not come to protect us, but, rather, to ask the killers to kill us.</w:t>
      </w:r>
      <w:r w:rsidRPr="00735740">
        <w:rPr>
          <w:rFonts w:ascii="Garamond" w:hAnsi="Garamond"/>
          <w:color w:val="000000" w:themeColor="text1"/>
          <w:sz w:val="24"/>
          <w:szCs w:val="24"/>
          <w:vertAlign w:val="superscript"/>
        </w:rPr>
        <w:footnoteReference w:id="99"/>
      </w:r>
      <w:r w:rsidRPr="00735740">
        <w:rPr>
          <w:rFonts w:ascii="Garamond" w:hAnsi="Garamond"/>
          <w:color w:val="000000" w:themeColor="text1"/>
          <w:sz w:val="24"/>
          <w:szCs w:val="24"/>
        </w:rPr>
        <w:t xml:space="preserve"> </w:t>
      </w:r>
    </w:p>
    <w:p w14:paraId="0D7D3E6B" w14:textId="3AD8E0F8" w:rsidR="00E35C64" w:rsidRPr="00735740" w:rsidRDefault="00E35C64" w:rsidP="00201640">
      <w:pPr>
        <w:spacing w:line="360" w:lineRule="auto"/>
        <w:rPr>
          <w:rFonts w:ascii="Garamond" w:hAnsi="Garamond"/>
          <w:color w:val="000000" w:themeColor="text1"/>
          <w:sz w:val="24"/>
          <w:szCs w:val="24"/>
        </w:rPr>
      </w:pPr>
      <w:r w:rsidRPr="00735740">
        <w:rPr>
          <w:rFonts w:ascii="Garamond" w:hAnsi="Garamond"/>
          <w:color w:val="000000" w:themeColor="text1"/>
          <w:sz w:val="24"/>
          <w:szCs w:val="24"/>
        </w:rPr>
        <w:t xml:space="preserve">The defence objected to this evidence on the grounds that the witness had not mentioned </w:t>
      </w:r>
      <w:r w:rsidR="00BB0760" w:rsidRPr="00735740">
        <w:rPr>
          <w:rFonts w:ascii="Garamond" w:hAnsi="Garamond"/>
          <w:color w:val="000000" w:themeColor="text1"/>
          <w:sz w:val="24"/>
          <w:szCs w:val="24"/>
        </w:rPr>
        <w:t>Gatete’s</w:t>
      </w:r>
      <w:r w:rsidRPr="00735740">
        <w:rPr>
          <w:rFonts w:ascii="Garamond" w:hAnsi="Garamond"/>
          <w:color w:val="000000" w:themeColor="text1"/>
          <w:sz w:val="24"/>
          <w:szCs w:val="24"/>
        </w:rPr>
        <w:t xml:space="preserve"> order in their </w:t>
      </w:r>
      <w:r w:rsidR="00707AEF" w:rsidRPr="00735740">
        <w:rPr>
          <w:rFonts w:ascii="Garamond" w:hAnsi="Garamond"/>
          <w:color w:val="000000" w:themeColor="text1"/>
          <w:sz w:val="24"/>
          <w:szCs w:val="24"/>
        </w:rPr>
        <w:t xml:space="preserve">indictment or </w:t>
      </w:r>
      <w:r w:rsidRPr="00735740">
        <w:rPr>
          <w:rFonts w:ascii="Garamond" w:hAnsi="Garamond"/>
          <w:color w:val="000000" w:themeColor="text1"/>
          <w:sz w:val="24"/>
          <w:szCs w:val="24"/>
        </w:rPr>
        <w:t>pre-trial statement and t</w:t>
      </w:r>
      <w:r w:rsidR="0090579B" w:rsidRPr="00735740">
        <w:rPr>
          <w:rFonts w:ascii="Garamond" w:hAnsi="Garamond"/>
          <w:color w:val="000000" w:themeColor="text1"/>
          <w:sz w:val="24"/>
          <w:szCs w:val="24"/>
        </w:rPr>
        <w:t xml:space="preserve">he objection </w:t>
      </w:r>
      <w:r w:rsidRPr="00735740">
        <w:rPr>
          <w:rFonts w:ascii="Garamond" w:hAnsi="Garamond"/>
          <w:color w:val="000000" w:themeColor="text1"/>
          <w:sz w:val="24"/>
          <w:szCs w:val="24"/>
        </w:rPr>
        <w:t xml:space="preserve">was </w:t>
      </w:r>
      <w:r w:rsidR="00875A46" w:rsidRPr="00735740">
        <w:rPr>
          <w:rFonts w:ascii="Garamond" w:hAnsi="Garamond"/>
          <w:color w:val="000000" w:themeColor="text1"/>
          <w:sz w:val="24"/>
          <w:szCs w:val="24"/>
        </w:rPr>
        <w:t xml:space="preserve">sustained </w:t>
      </w:r>
      <w:r w:rsidRPr="00735740">
        <w:rPr>
          <w:rFonts w:ascii="Garamond" w:hAnsi="Garamond"/>
          <w:color w:val="000000" w:themeColor="text1"/>
          <w:sz w:val="24"/>
          <w:szCs w:val="24"/>
        </w:rPr>
        <w:t>by the judges.</w:t>
      </w:r>
      <w:r w:rsidRPr="00735740">
        <w:rPr>
          <w:rFonts w:ascii="Garamond" w:hAnsi="Garamond"/>
          <w:color w:val="000000" w:themeColor="text1"/>
          <w:sz w:val="24"/>
          <w:szCs w:val="24"/>
          <w:vertAlign w:val="superscript"/>
        </w:rPr>
        <w:footnoteReference w:id="100"/>
      </w:r>
      <w:r w:rsidRPr="00735740">
        <w:rPr>
          <w:rFonts w:ascii="Garamond" w:hAnsi="Garamond"/>
          <w:color w:val="000000" w:themeColor="text1"/>
          <w:sz w:val="24"/>
          <w:szCs w:val="24"/>
        </w:rPr>
        <w:t xml:space="preserve"> As such, whilst the witness was ‘allowed’ to continue and testify to the successive rapes that she suffered (because of this order) no legal link was provided between </w:t>
      </w:r>
      <w:r w:rsidR="00296F0F" w:rsidRPr="00735740">
        <w:rPr>
          <w:rFonts w:ascii="Garamond" w:hAnsi="Garamond"/>
          <w:color w:val="000000" w:themeColor="text1"/>
          <w:sz w:val="24"/>
          <w:szCs w:val="24"/>
        </w:rPr>
        <w:t>these acts</w:t>
      </w:r>
      <w:r w:rsidRPr="00735740">
        <w:rPr>
          <w:rFonts w:ascii="Garamond" w:hAnsi="Garamond"/>
          <w:color w:val="000000" w:themeColor="text1"/>
          <w:sz w:val="24"/>
          <w:szCs w:val="24"/>
        </w:rPr>
        <w:t xml:space="preserve"> and Gatete. </w:t>
      </w:r>
    </w:p>
    <w:p w14:paraId="18D04040" w14:textId="4FB1CD0D" w:rsidR="00E35C64" w:rsidRPr="00735740" w:rsidRDefault="00B83457" w:rsidP="00201640">
      <w:pPr>
        <w:spacing w:line="360" w:lineRule="auto"/>
        <w:rPr>
          <w:rFonts w:ascii="Garamond" w:hAnsi="Garamond"/>
          <w:i/>
          <w:color w:val="000000" w:themeColor="text1"/>
          <w:sz w:val="24"/>
          <w:szCs w:val="24"/>
        </w:rPr>
      </w:pPr>
      <w:r w:rsidRPr="00735740">
        <w:rPr>
          <w:rFonts w:ascii="Garamond" w:hAnsi="Garamond"/>
          <w:color w:val="000000" w:themeColor="text1"/>
          <w:sz w:val="24"/>
          <w:szCs w:val="24"/>
        </w:rPr>
        <w:t xml:space="preserve">This decision is unfathomable in light of the indictment which, with an unusual amount of </w:t>
      </w:r>
      <w:r w:rsidR="0074556D" w:rsidRPr="00735740">
        <w:rPr>
          <w:rFonts w:ascii="Garamond" w:hAnsi="Garamond"/>
          <w:color w:val="000000" w:themeColor="text1"/>
          <w:sz w:val="24"/>
          <w:szCs w:val="24"/>
        </w:rPr>
        <w:t>specificity</w:t>
      </w:r>
      <w:r w:rsidRPr="00735740">
        <w:rPr>
          <w:rFonts w:ascii="Garamond" w:hAnsi="Garamond"/>
          <w:color w:val="000000" w:themeColor="text1"/>
          <w:sz w:val="24"/>
          <w:szCs w:val="24"/>
        </w:rPr>
        <w:t xml:space="preserve"> by the ICTR’s standards, </w:t>
      </w:r>
      <w:r w:rsidR="00E35C64" w:rsidRPr="00735740">
        <w:rPr>
          <w:rFonts w:ascii="Garamond" w:hAnsi="Garamond"/>
          <w:color w:val="000000" w:themeColor="text1"/>
          <w:sz w:val="24"/>
          <w:szCs w:val="24"/>
        </w:rPr>
        <w:t xml:space="preserve">made it </w:t>
      </w:r>
      <w:r w:rsidR="00E35C64" w:rsidRPr="00735740">
        <w:rPr>
          <w:rFonts w:ascii="Garamond" w:hAnsi="Garamond"/>
          <w:i/>
          <w:color w:val="000000" w:themeColor="text1"/>
          <w:sz w:val="24"/>
          <w:szCs w:val="24"/>
        </w:rPr>
        <w:t xml:space="preserve">very </w:t>
      </w:r>
      <w:r w:rsidR="00E35C64" w:rsidRPr="00735740">
        <w:rPr>
          <w:rFonts w:ascii="Garamond" w:hAnsi="Garamond"/>
          <w:color w:val="000000" w:themeColor="text1"/>
          <w:sz w:val="24"/>
          <w:szCs w:val="24"/>
        </w:rPr>
        <w:t xml:space="preserve">clear that Gatete was being accused of ordering Interahamwe to commit acts of sexual violence </w:t>
      </w:r>
      <w:r w:rsidR="00E35C64" w:rsidRPr="00735740">
        <w:rPr>
          <w:rFonts w:ascii="Garamond" w:hAnsi="Garamond"/>
          <w:i/>
          <w:color w:val="000000" w:themeColor="text1"/>
          <w:sz w:val="24"/>
          <w:szCs w:val="24"/>
        </w:rPr>
        <w:t xml:space="preserve">and </w:t>
      </w:r>
      <w:r w:rsidR="00E35C64" w:rsidRPr="00735740">
        <w:rPr>
          <w:rFonts w:ascii="Garamond" w:hAnsi="Garamond"/>
          <w:color w:val="000000" w:themeColor="text1"/>
          <w:sz w:val="24"/>
          <w:szCs w:val="24"/>
        </w:rPr>
        <w:t xml:space="preserve">that BAT was </w:t>
      </w:r>
      <w:r w:rsidRPr="00735740">
        <w:rPr>
          <w:rFonts w:ascii="Garamond" w:hAnsi="Garamond"/>
          <w:color w:val="000000" w:themeColor="text1"/>
          <w:sz w:val="24"/>
          <w:szCs w:val="24"/>
        </w:rPr>
        <w:t xml:space="preserve">a </w:t>
      </w:r>
      <w:r w:rsidR="00E35C64" w:rsidRPr="00735740">
        <w:rPr>
          <w:rFonts w:ascii="Garamond" w:hAnsi="Garamond"/>
          <w:color w:val="000000" w:themeColor="text1"/>
          <w:sz w:val="24"/>
          <w:szCs w:val="24"/>
        </w:rPr>
        <w:t>victim</w:t>
      </w:r>
      <w:r w:rsidRPr="00735740">
        <w:rPr>
          <w:rFonts w:ascii="Garamond" w:hAnsi="Garamond"/>
          <w:color w:val="000000" w:themeColor="text1"/>
          <w:sz w:val="24"/>
          <w:szCs w:val="24"/>
        </w:rPr>
        <w:t xml:space="preserve"> of this order</w:t>
      </w:r>
      <w:r w:rsidR="00E35C64" w:rsidRPr="00735740">
        <w:rPr>
          <w:rFonts w:ascii="Garamond" w:hAnsi="Garamond"/>
          <w:color w:val="000000" w:themeColor="text1"/>
          <w:sz w:val="24"/>
          <w:szCs w:val="24"/>
        </w:rPr>
        <w:t>. Paragraph 18 of the indictment read:</w:t>
      </w:r>
    </w:p>
    <w:p w14:paraId="083DA5A1" w14:textId="77777777" w:rsidR="00E35C64" w:rsidRPr="00735740" w:rsidRDefault="00E35C64" w:rsidP="00201640">
      <w:pPr>
        <w:spacing w:line="360" w:lineRule="auto"/>
        <w:ind w:left="850"/>
        <w:rPr>
          <w:rFonts w:ascii="Garamond" w:hAnsi="Garamond"/>
          <w:color w:val="000000" w:themeColor="text1"/>
          <w:sz w:val="24"/>
          <w:szCs w:val="24"/>
        </w:rPr>
      </w:pPr>
      <w:r w:rsidRPr="00735740">
        <w:rPr>
          <w:rFonts w:ascii="Garamond" w:hAnsi="Garamond"/>
          <w:color w:val="000000" w:themeColor="text1"/>
          <w:sz w:val="24"/>
          <w:szCs w:val="24"/>
        </w:rPr>
        <w:lastRenderedPageBreak/>
        <w:t xml:space="preserve">[…] Jean-Baptise GATETE, with Murambi </w:t>
      </w:r>
      <w:r w:rsidRPr="00735740">
        <w:rPr>
          <w:rFonts w:ascii="Garamond" w:hAnsi="Garamond"/>
          <w:i/>
          <w:color w:val="000000" w:themeColor="text1"/>
          <w:sz w:val="24"/>
          <w:szCs w:val="24"/>
        </w:rPr>
        <w:t xml:space="preserve">bourgmestre </w:t>
      </w:r>
      <w:r w:rsidRPr="00735740">
        <w:rPr>
          <w:rFonts w:ascii="Garamond" w:hAnsi="Garamond"/>
          <w:color w:val="000000" w:themeColor="text1"/>
          <w:sz w:val="24"/>
          <w:szCs w:val="24"/>
        </w:rPr>
        <w:t xml:space="preserve">Jean de Dieu Mwanga, transported a convoy of armed </w:t>
      </w:r>
      <w:r w:rsidRPr="00735740">
        <w:rPr>
          <w:rFonts w:ascii="Garamond" w:hAnsi="Garamond"/>
          <w:i/>
          <w:color w:val="000000" w:themeColor="text1"/>
          <w:sz w:val="24"/>
          <w:szCs w:val="24"/>
        </w:rPr>
        <w:t xml:space="preserve">Interahamwe </w:t>
      </w:r>
      <w:r w:rsidRPr="00735740">
        <w:rPr>
          <w:rFonts w:ascii="Garamond" w:hAnsi="Garamond"/>
          <w:color w:val="000000" w:themeColor="text1"/>
          <w:sz w:val="24"/>
          <w:szCs w:val="24"/>
        </w:rPr>
        <w:t xml:space="preserve">to Akarambo cellule where GATETE ordered the </w:t>
      </w:r>
      <w:r w:rsidRPr="00735740">
        <w:rPr>
          <w:rFonts w:ascii="Garamond" w:hAnsi="Garamond"/>
          <w:i/>
          <w:color w:val="000000" w:themeColor="text1"/>
          <w:sz w:val="24"/>
          <w:szCs w:val="24"/>
        </w:rPr>
        <w:t xml:space="preserve">Interahamwe </w:t>
      </w:r>
      <w:r w:rsidRPr="00735740">
        <w:rPr>
          <w:rFonts w:ascii="Garamond" w:hAnsi="Garamond"/>
          <w:color w:val="000000" w:themeColor="text1"/>
          <w:sz w:val="24"/>
          <w:szCs w:val="24"/>
        </w:rPr>
        <w:t xml:space="preserve">to burn, loot and pillage Tutsi homes </w:t>
      </w:r>
      <w:r w:rsidRPr="00735740">
        <w:rPr>
          <w:rFonts w:ascii="Garamond" w:hAnsi="Garamond"/>
          <w:i/>
          <w:color w:val="000000" w:themeColor="text1"/>
          <w:sz w:val="24"/>
          <w:szCs w:val="24"/>
        </w:rPr>
        <w:t>and to rape and kill civilian Tutsi</w:t>
      </w:r>
      <w:r w:rsidRPr="00735740">
        <w:rPr>
          <w:rFonts w:ascii="Garamond" w:hAnsi="Garamond"/>
          <w:color w:val="000000" w:themeColor="text1"/>
          <w:sz w:val="24"/>
          <w:szCs w:val="24"/>
        </w:rPr>
        <w:t>.) […].</w:t>
      </w:r>
      <w:r w:rsidRPr="00735740">
        <w:rPr>
          <w:rFonts w:ascii="Garamond" w:hAnsi="Garamond"/>
          <w:i/>
          <w:color w:val="000000" w:themeColor="text1"/>
          <w:sz w:val="24"/>
          <w:szCs w:val="24"/>
        </w:rPr>
        <w:t xml:space="preserve"> Then on or about 8 April</w:t>
      </w:r>
      <w:r w:rsidRPr="00735740">
        <w:rPr>
          <w:rFonts w:ascii="Garamond" w:hAnsi="Garamond"/>
          <w:color w:val="000000" w:themeColor="text1"/>
          <w:sz w:val="24"/>
          <w:szCs w:val="24"/>
        </w:rPr>
        <w:t xml:space="preserve"> </w:t>
      </w:r>
      <w:r w:rsidRPr="00735740">
        <w:rPr>
          <w:rFonts w:ascii="Garamond" w:hAnsi="Garamond"/>
          <w:i/>
          <w:color w:val="000000" w:themeColor="text1"/>
          <w:sz w:val="24"/>
          <w:szCs w:val="24"/>
        </w:rPr>
        <w:t xml:space="preserve">1994, BAT was raped by two </w:t>
      </w:r>
      <w:r w:rsidRPr="00735740">
        <w:rPr>
          <w:rFonts w:ascii="Garamond" w:hAnsi="Garamond"/>
          <w:color w:val="000000" w:themeColor="text1"/>
          <w:sz w:val="24"/>
          <w:szCs w:val="24"/>
        </w:rPr>
        <w:t xml:space="preserve">Interahamwe, </w:t>
      </w:r>
      <w:r w:rsidRPr="00735740">
        <w:rPr>
          <w:rFonts w:ascii="Garamond" w:hAnsi="Garamond"/>
          <w:i/>
          <w:color w:val="000000" w:themeColor="text1"/>
          <w:sz w:val="24"/>
          <w:szCs w:val="24"/>
        </w:rPr>
        <w:t>the son of NYAMUGARA and KAREMER</w:t>
      </w:r>
      <w:r w:rsidRPr="00735740">
        <w:rPr>
          <w:rFonts w:ascii="Garamond" w:hAnsi="Garamond"/>
          <w:color w:val="000000" w:themeColor="text1"/>
          <w:sz w:val="24"/>
          <w:szCs w:val="24"/>
        </w:rPr>
        <w:t xml:space="preserve">. </w:t>
      </w:r>
      <w:r w:rsidRPr="00735740">
        <w:rPr>
          <w:rFonts w:ascii="Garamond" w:hAnsi="Garamond"/>
          <w:i/>
          <w:color w:val="000000" w:themeColor="text1"/>
          <w:sz w:val="24"/>
          <w:szCs w:val="24"/>
        </w:rPr>
        <w:t>The Interahamwe raped and killed Tutsis as a result of the actions of Jean-Baptiste GATETE</w:t>
      </w:r>
      <w:r w:rsidRPr="00735740">
        <w:rPr>
          <w:rFonts w:ascii="Garamond" w:hAnsi="Garamond"/>
          <w:color w:val="000000" w:themeColor="text1"/>
          <w:sz w:val="24"/>
          <w:szCs w:val="24"/>
        </w:rPr>
        <w:t>. (Emphasis added.)</w:t>
      </w:r>
      <w:r w:rsidRPr="00735740">
        <w:rPr>
          <w:rFonts w:ascii="Garamond" w:hAnsi="Garamond"/>
          <w:color w:val="000000" w:themeColor="text1"/>
          <w:sz w:val="24"/>
          <w:szCs w:val="24"/>
          <w:vertAlign w:val="superscript"/>
        </w:rPr>
        <w:footnoteReference w:id="101"/>
      </w:r>
    </w:p>
    <w:p w14:paraId="4007C4D1" w14:textId="5EC95E8F" w:rsidR="00E35C64" w:rsidRPr="00735740" w:rsidRDefault="00B83457" w:rsidP="00201640">
      <w:pPr>
        <w:spacing w:line="360" w:lineRule="auto"/>
        <w:rPr>
          <w:rFonts w:ascii="Garamond" w:hAnsi="Garamond"/>
          <w:color w:val="000000" w:themeColor="text1"/>
          <w:sz w:val="24"/>
          <w:szCs w:val="24"/>
        </w:rPr>
      </w:pPr>
      <w:r w:rsidRPr="00735740">
        <w:rPr>
          <w:rFonts w:ascii="Garamond" w:hAnsi="Garamond"/>
          <w:color w:val="000000" w:themeColor="text1"/>
          <w:sz w:val="24"/>
          <w:szCs w:val="24"/>
        </w:rPr>
        <w:t>The</w:t>
      </w:r>
      <w:r w:rsidR="00E35C64" w:rsidRPr="00735740">
        <w:rPr>
          <w:rFonts w:ascii="Garamond" w:hAnsi="Garamond"/>
          <w:color w:val="000000" w:themeColor="text1"/>
          <w:sz w:val="24"/>
          <w:szCs w:val="24"/>
        </w:rPr>
        <w:t xml:space="preserve"> decision to bar this testimony</w:t>
      </w:r>
      <w:r w:rsidR="0074556D" w:rsidRPr="00735740">
        <w:rPr>
          <w:rFonts w:ascii="Garamond" w:hAnsi="Garamond"/>
          <w:color w:val="000000" w:themeColor="text1"/>
          <w:sz w:val="24"/>
          <w:szCs w:val="24"/>
        </w:rPr>
        <w:t xml:space="preserve"> and erase it from the archive was </w:t>
      </w:r>
      <w:r w:rsidR="00296F0F" w:rsidRPr="00735740">
        <w:rPr>
          <w:rFonts w:ascii="Garamond" w:hAnsi="Garamond"/>
          <w:color w:val="000000" w:themeColor="text1"/>
          <w:sz w:val="24"/>
          <w:szCs w:val="24"/>
        </w:rPr>
        <w:t>not, then,</w:t>
      </w:r>
      <w:r w:rsidR="00E35C64" w:rsidRPr="00735740">
        <w:rPr>
          <w:rFonts w:ascii="Garamond" w:hAnsi="Garamond"/>
          <w:color w:val="000000" w:themeColor="text1"/>
          <w:sz w:val="24"/>
          <w:szCs w:val="24"/>
        </w:rPr>
        <w:t xml:space="preserve"> based </w:t>
      </w:r>
      <w:r w:rsidR="0074556D" w:rsidRPr="00735740">
        <w:rPr>
          <w:rFonts w:ascii="Garamond" w:hAnsi="Garamond"/>
          <w:color w:val="000000" w:themeColor="text1"/>
          <w:sz w:val="24"/>
          <w:szCs w:val="24"/>
        </w:rPr>
        <w:t>on</w:t>
      </w:r>
      <w:r w:rsidR="00E35C64" w:rsidRPr="00735740">
        <w:rPr>
          <w:rFonts w:ascii="Garamond" w:hAnsi="Garamond"/>
          <w:color w:val="000000" w:themeColor="text1"/>
          <w:sz w:val="24"/>
          <w:szCs w:val="24"/>
        </w:rPr>
        <w:t xml:space="preserve"> the prosecution’s failure to adequately charge this crime</w:t>
      </w:r>
      <w:r w:rsidR="0090579B" w:rsidRPr="00735740">
        <w:rPr>
          <w:rFonts w:ascii="Garamond" w:hAnsi="Garamond"/>
          <w:color w:val="000000" w:themeColor="text1"/>
          <w:sz w:val="24"/>
          <w:szCs w:val="24"/>
        </w:rPr>
        <w:t xml:space="preserve"> (as </w:t>
      </w:r>
      <w:r w:rsidR="0074556D" w:rsidRPr="00735740">
        <w:rPr>
          <w:rFonts w:ascii="Garamond" w:hAnsi="Garamond"/>
          <w:color w:val="000000" w:themeColor="text1"/>
          <w:sz w:val="24"/>
          <w:szCs w:val="24"/>
        </w:rPr>
        <w:t>was</w:t>
      </w:r>
      <w:r w:rsidR="0090579B" w:rsidRPr="00735740">
        <w:rPr>
          <w:rFonts w:ascii="Garamond" w:hAnsi="Garamond"/>
          <w:color w:val="000000" w:themeColor="text1"/>
          <w:sz w:val="24"/>
          <w:szCs w:val="24"/>
        </w:rPr>
        <w:t xml:space="preserve"> suggested in the </w:t>
      </w:r>
      <w:r w:rsidR="0074556D" w:rsidRPr="00735740">
        <w:rPr>
          <w:rFonts w:ascii="Garamond" w:hAnsi="Garamond"/>
          <w:color w:val="000000" w:themeColor="text1"/>
          <w:sz w:val="24"/>
          <w:szCs w:val="24"/>
        </w:rPr>
        <w:t xml:space="preserve">judge’s </w:t>
      </w:r>
      <w:r w:rsidR="0090579B" w:rsidRPr="00735740">
        <w:rPr>
          <w:rFonts w:ascii="Garamond" w:hAnsi="Garamond"/>
          <w:color w:val="000000" w:themeColor="text1"/>
          <w:sz w:val="24"/>
          <w:szCs w:val="24"/>
        </w:rPr>
        <w:t>decision)</w:t>
      </w:r>
      <w:r w:rsidR="00E35C64" w:rsidRPr="00735740">
        <w:rPr>
          <w:rFonts w:ascii="Garamond" w:hAnsi="Garamond"/>
          <w:color w:val="000000" w:themeColor="text1"/>
          <w:sz w:val="24"/>
          <w:szCs w:val="24"/>
        </w:rPr>
        <w:t>, but</w:t>
      </w:r>
      <w:r w:rsidR="000E3831" w:rsidRPr="00735740">
        <w:rPr>
          <w:rFonts w:ascii="Garamond" w:hAnsi="Garamond"/>
          <w:color w:val="000000" w:themeColor="text1"/>
          <w:sz w:val="24"/>
          <w:szCs w:val="24"/>
        </w:rPr>
        <w:t xml:space="preserve"> </w:t>
      </w:r>
      <w:r w:rsidR="0040724C" w:rsidRPr="00735740">
        <w:rPr>
          <w:rFonts w:ascii="Garamond" w:hAnsi="Garamond"/>
          <w:color w:val="000000" w:themeColor="text1"/>
          <w:sz w:val="24"/>
          <w:szCs w:val="24"/>
        </w:rPr>
        <w:t xml:space="preserve">because </w:t>
      </w:r>
      <w:r w:rsidR="00E35C64" w:rsidRPr="00735740">
        <w:rPr>
          <w:rFonts w:ascii="Garamond" w:hAnsi="Garamond"/>
          <w:color w:val="000000" w:themeColor="text1"/>
          <w:sz w:val="24"/>
          <w:szCs w:val="24"/>
        </w:rPr>
        <w:t xml:space="preserve">a higher threshold of proof was in operation </w:t>
      </w:r>
      <w:r w:rsidR="000E3831" w:rsidRPr="00735740">
        <w:rPr>
          <w:rFonts w:ascii="Garamond" w:hAnsi="Garamond"/>
          <w:color w:val="000000" w:themeColor="text1"/>
          <w:sz w:val="24"/>
          <w:szCs w:val="24"/>
        </w:rPr>
        <w:t>for</w:t>
      </w:r>
      <w:r w:rsidR="00E35C64" w:rsidRPr="00735740">
        <w:rPr>
          <w:rFonts w:ascii="Garamond" w:hAnsi="Garamond"/>
          <w:color w:val="000000" w:themeColor="text1"/>
          <w:sz w:val="24"/>
          <w:szCs w:val="24"/>
        </w:rPr>
        <w:t xml:space="preserve"> gender-based </w:t>
      </w:r>
      <w:r w:rsidR="000E3831" w:rsidRPr="00735740">
        <w:rPr>
          <w:rFonts w:ascii="Garamond" w:hAnsi="Garamond"/>
          <w:color w:val="000000" w:themeColor="text1"/>
          <w:sz w:val="24"/>
          <w:szCs w:val="24"/>
        </w:rPr>
        <w:t>crimes</w:t>
      </w:r>
      <w:r w:rsidR="00E35C64" w:rsidRPr="00735740">
        <w:rPr>
          <w:rFonts w:ascii="Garamond" w:hAnsi="Garamond"/>
          <w:color w:val="000000" w:themeColor="text1"/>
          <w:sz w:val="24"/>
          <w:szCs w:val="24"/>
        </w:rPr>
        <w:t>.</w:t>
      </w:r>
    </w:p>
    <w:p w14:paraId="051649AA" w14:textId="48E90D6B" w:rsidR="00E35C64" w:rsidRPr="00735740" w:rsidRDefault="00E35C64" w:rsidP="00201640">
      <w:pPr>
        <w:spacing w:line="360" w:lineRule="auto"/>
        <w:rPr>
          <w:rFonts w:ascii="Garamond" w:hAnsi="Garamond" w:cs="Times New Roman"/>
          <w:color w:val="000000" w:themeColor="text1"/>
          <w:sz w:val="24"/>
          <w:szCs w:val="24"/>
          <w:lang w:val="en-US"/>
        </w:rPr>
      </w:pPr>
      <w:r w:rsidRPr="00735740">
        <w:rPr>
          <w:rFonts w:ascii="Garamond" w:hAnsi="Garamond" w:cs="Times New Roman"/>
          <w:color w:val="000000" w:themeColor="text1"/>
          <w:sz w:val="24"/>
          <w:szCs w:val="24"/>
          <w:lang w:val="en-US"/>
        </w:rPr>
        <w:t>This absence is instructive when considering what type of community the archive was part of constructing.</w:t>
      </w:r>
      <w:r w:rsidRPr="00735740">
        <w:rPr>
          <w:rStyle w:val="FootnoteReference"/>
          <w:rFonts w:ascii="Garamond" w:hAnsi="Garamond"/>
          <w:color w:val="000000" w:themeColor="text1"/>
          <w:sz w:val="24"/>
          <w:szCs w:val="24"/>
          <w:lang w:val="en-US"/>
        </w:rPr>
        <w:t xml:space="preserve"> </w:t>
      </w:r>
      <w:r w:rsidR="00BA70DD" w:rsidRPr="00735740">
        <w:rPr>
          <w:rStyle w:val="FootnoteReference"/>
          <w:rFonts w:ascii="Garamond" w:hAnsi="Garamond" w:cs="Times New Roman"/>
          <w:color w:val="000000" w:themeColor="text1"/>
          <w:sz w:val="24"/>
          <w:szCs w:val="24"/>
        </w:rPr>
        <w:footnoteReference w:id="102"/>
      </w:r>
      <w:r w:rsidRPr="00735740">
        <w:rPr>
          <w:rFonts w:ascii="Garamond" w:hAnsi="Garamond" w:cs="Times New Roman"/>
          <w:color w:val="000000" w:themeColor="text1"/>
          <w:sz w:val="24"/>
          <w:szCs w:val="24"/>
          <w:lang w:val="en-US"/>
        </w:rPr>
        <w:t xml:space="preserve"> For if the archive’s function was to determine what violence </w:t>
      </w:r>
      <w:r w:rsidR="000E3831" w:rsidRPr="00735740">
        <w:rPr>
          <w:rFonts w:ascii="Garamond" w:hAnsi="Garamond" w:cs="Times New Roman"/>
          <w:color w:val="000000" w:themeColor="text1"/>
          <w:sz w:val="24"/>
          <w:szCs w:val="24"/>
          <w:lang w:val="en-US"/>
        </w:rPr>
        <w:t xml:space="preserve">was </w:t>
      </w:r>
      <w:r w:rsidRPr="00735740">
        <w:rPr>
          <w:rFonts w:ascii="Garamond" w:hAnsi="Garamond" w:cs="Times New Roman"/>
          <w:color w:val="000000" w:themeColor="text1"/>
          <w:sz w:val="24"/>
          <w:szCs w:val="24"/>
          <w:lang w:val="en-US"/>
        </w:rPr>
        <w:t xml:space="preserve">(il)legitimate, and which subjects </w:t>
      </w:r>
      <w:r w:rsidR="000E3831" w:rsidRPr="00735740">
        <w:rPr>
          <w:rFonts w:ascii="Garamond" w:hAnsi="Garamond" w:cs="Times New Roman"/>
          <w:color w:val="000000" w:themeColor="text1"/>
          <w:sz w:val="24"/>
          <w:szCs w:val="24"/>
          <w:lang w:val="en-US"/>
        </w:rPr>
        <w:t xml:space="preserve">were </w:t>
      </w:r>
      <w:r w:rsidRPr="00735740">
        <w:rPr>
          <w:rFonts w:ascii="Garamond" w:hAnsi="Garamond" w:cs="Times New Roman"/>
          <w:color w:val="000000" w:themeColor="text1"/>
          <w:sz w:val="24"/>
          <w:szCs w:val="24"/>
          <w:lang w:val="en-US"/>
        </w:rPr>
        <w:t xml:space="preserve">worthy of protection, then the absence of records relating to gender-based violence </w:t>
      </w:r>
      <w:r w:rsidR="0040724C" w:rsidRPr="00735740">
        <w:rPr>
          <w:rFonts w:ascii="Garamond" w:hAnsi="Garamond" w:cs="Times New Roman"/>
          <w:color w:val="000000" w:themeColor="text1"/>
          <w:sz w:val="24"/>
          <w:szCs w:val="24"/>
          <w:lang w:val="en-US"/>
        </w:rPr>
        <w:t xml:space="preserve">suggests that </w:t>
      </w:r>
      <w:r w:rsidR="00610C66" w:rsidRPr="00735740">
        <w:rPr>
          <w:rFonts w:ascii="Garamond" w:hAnsi="Garamond" w:cs="Times New Roman"/>
          <w:color w:val="000000" w:themeColor="text1"/>
          <w:sz w:val="24"/>
          <w:szCs w:val="24"/>
          <w:lang w:val="en-US"/>
        </w:rPr>
        <w:t xml:space="preserve">once more </w:t>
      </w:r>
      <w:r w:rsidR="0040724C" w:rsidRPr="00735740">
        <w:rPr>
          <w:rFonts w:ascii="Garamond" w:hAnsi="Garamond" w:cs="Times New Roman"/>
          <w:color w:val="000000" w:themeColor="text1"/>
          <w:sz w:val="24"/>
          <w:szCs w:val="24"/>
          <w:lang w:val="en-US"/>
        </w:rPr>
        <w:t xml:space="preserve">women </w:t>
      </w:r>
      <w:r w:rsidR="00610C66" w:rsidRPr="00735740">
        <w:rPr>
          <w:rFonts w:ascii="Garamond" w:hAnsi="Garamond" w:cs="Times New Roman"/>
          <w:color w:val="000000" w:themeColor="text1"/>
          <w:sz w:val="24"/>
          <w:szCs w:val="24"/>
          <w:lang w:val="en-US"/>
        </w:rPr>
        <w:t>bec</w:t>
      </w:r>
      <w:r w:rsidR="000737A5" w:rsidRPr="00735740">
        <w:rPr>
          <w:rFonts w:ascii="Garamond" w:hAnsi="Garamond" w:cs="Times New Roman"/>
          <w:color w:val="000000" w:themeColor="text1"/>
          <w:sz w:val="24"/>
          <w:szCs w:val="24"/>
          <w:lang w:val="en-US"/>
        </w:rPr>
        <w:t>a</w:t>
      </w:r>
      <w:r w:rsidR="00610C66" w:rsidRPr="00735740">
        <w:rPr>
          <w:rFonts w:ascii="Garamond" w:hAnsi="Garamond" w:cs="Times New Roman"/>
          <w:color w:val="000000" w:themeColor="text1"/>
          <w:sz w:val="24"/>
          <w:szCs w:val="24"/>
          <w:lang w:val="en-US"/>
        </w:rPr>
        <w:t xml:space="preserve">me the </w:t>
      </w:r>
      <w:r w:rsidR="0040724C" w:rsidRPr="00735740">
        <w:rPr>
          <w:rFonts w:ascii="Garamond" w:hAnsi="Garamond" w:cs="Times New Roman"/>
          <w:color w:val="000000" w:themeColor="text1"/>
          <w:sz w:val="24"/>
          <w:szCs w:val="24"/>
          <w:lang w:val="en-US"/>
        </w:rPr>
        <w:t xml:space="preserve">accepted </w:t>
      </w:r>
      <w:r w:rsidR="004E11DF" w:rsidRPr="00735740">
        <w:rPr>
          <w:rFonts w:ascii="Garamond" w:hAnsi="Garamond" w:cs="Times New Roman"/>
          <w:color w:val="000000" w:themeColor="text1"/>
          <w:sz w:val="24"/>
          <w:szCs w:val="24"/>
          <w:lang w:val="en-US"/>
        </w:rPr>
        <w:t>‘</w:t>
      </w:r>
      <w:r w:rsidR="00610C66" w:rsidRPr="00735740">
        <w:rPr>
          <w:rFonts w:ascii="Garamond" w:hAnsi="Garamond" w:cs="Times New Roman"/>
          <w:color w:val="000000" w:themeColor="text1"/>
          <w:sz w:val="24"/>
          <w:szCs w:val="24"/>
          <w:lang w:val="en-US"/>
        </w:rPr>
        <w:t>spoils of war</w:t>
      </w:r>
      <w:r w:rsidR="004E11DF" w:rsidRPr="00735740">
        <w:rPr>
          <w:rFonts w:ascii="Garamond" w:hAnsi="Garamond" w:cs="Times New Roman"/>
          <w:color w:val="000000" w:themeColor="text1"/>
          <w:sz w:val="24"/>
          <w:szCs w:val="24"/>
          <w:lang w:val="en-US"/>
        </w:rPr>
        <w:t>’</w:t>
      </w:r>
      <w:r w:rsidR="00610C66" w:rsidRPr="00735740">
        <w:rPr>
          <w:rFonts w:ascii="Garamond" w:hAnsi="Garamond" w:cs="Times New Roman"/>
          <w:color w:val="000000" w:themeColor="text1"/>
          <w:sz w:val="24"/>
          <w:szCs w:val="24"/>
          <w:lang w:val="en-US"/>
        </w:rPr>
        <w:t>. This, as such, (re)produce</w:t>
      </w:r>
      <w:r w:rsidR="000E3831" w:rsidRPr="00735740">
        <w:rPr>
          <w:rFonts w:ascii="Garamond" w:hAnsi="Garamond" w:cs="Times New Roman"/>
          <w:color w:val="000000" w:themeColor="text1"/>
          <w:sz w:val="24"/>
          <w:szCs w:val="24"/>
          <w:lang w:val="en-US"/>
        </w:rPr>
        <w:t>d</w:t>
      </w:r>
      <w:r w:rsidR="00610C66" w:rsidRPr="00735740">
        <w:rPr>
          <w:rFonts w:ascii="Garamond" w:hAnsi="Garamond" w:cs="Times New Roman"/>
          <w:color w:val="000000" w:themeColor="text1"/>
          <w:sz w:val="24"/>
          <w:szCs w:val="24"/>
          <w:lang w:val="en-US"/>
        </w:rPr>
        <w:t xml:space="preserve"> </w:t>
      </w:r>
      <w:r w:rsidR="00296F0F" w:rsidRPr="00735740">
        <w:rPr>
          <w:rFonts w:ascii="Garamond" w:hAnsi="Garamond" w:cs="Times New Roman"/>
          <w:color w:val="000000" w:themeColor="text1"/>
          <w:sz w:val="24"/>
          <w:szCs w:val="24"/>
          <w:lang w:val="en-US"/>
        </w:rPr>
        <w:t>a</w:t>
      </w:r>
      <w:r w:rsidRPr="00735740">
        <w:rPr>
          <w:rFonts w:ascii="Garamond" w:hAnsi="Garamond" w:cs="Times New Roman"/>
          <w:color w:val="000000" w:themeColor="text1"/>
          <w:sz w:val="24"/>
          <w:szCs w:val="24"/>
          <w:lang w:val="en-US"/>
        </w:rPr>
        <w:t xml:space="preserve"> patriarchal understanding of </w:t>
      </w:r>
      <w:r w:rsidR="00296F0F" w:rsidRPr="00735740">
        <w:rPr>
          <w:rFonts w:ascii="Garamond" w:hAnsi="Garamond" w:cs="Times New Roman"/>
          <w:color w:val="000000" w:themeColor="text1"/>
          <w:sz w:val="24"/>
          <w:szCs w:val="24"/>
          <w:lang w:val="en-US"/>
        </w:rPr>
        <w:t>community.</w:t>
      </w:r>
      <w:r w:rsidR="00610C66" w:rsidRPr="00735740">
        <w:rPr>
          <w:rFonts w:ascii="Garamond" w:hAnsi="Garamond" w:cs="Times New Roman"/>
          <w:color w:val="000000" w:themeColor="text1"/>
          <w:sz w:val="24"/>
          <w:szCs w:val="24"/>
          <w:lang w:val="en-US"/>
        </w:rPr>
        <w:t xml:space="preserve"> </w:t>
      </w:r>
      <w:r w:rsidR="00787F74" w:rsidRPr="00735740">
        <w:rPr>
          <w:rFonts w:ascii="Garamond" w:hAnsi="Garamond" w:cs="Times New Roman"/>
          <w:color w:val="000000" w:themeColor="text1"/>
          <w:sz w:val="24"/>
          <w:szCs w:val="24"/>
          <w:lang w:val="en-US"/>
        </w:rPr>
        <w:t xml:space="preserve">Moreover, </w:t>
      </w:r>
      <w:r w:rsidR="0040724C" w:rsidRPr="00735740">
        <w:rPr>
          <w:rFonts w:ascii="Garamond" w:hAnsi="Garamond" w:cs="Times New Roman"/>
          <w:color w:val="000000" w:themeColor="text1"/>
          <w:sz w:val="24"/>
          <w:szCs w:val="24"/>
          <w:lang w:val="en-US"/>
        </w:rPr>
        <w:t xml:space="preserve">the </w:t>
      </w:r>
      <w:r w:rsidR="004A4A89" w:rsidRPr="00735740">
        <w:rPr>
          <w:rFonts w:ascii="Garamond" w:hAnsi="Garamond" w:cs="Times New Roman"/>
          <w:color w:val="000000" w:themeColor="text1"/>
          <w:sz w:val="24"/>
          <w:szCs w:val="24"/>
          <w:lang w:val="en-US"/>
        </w:rPr>
        <w:t xml:space="preserve">absence of records relating to </w:t>
      </w:r>
      <w:r w:rsidR="0040724C" w:rsidRPr="00735740">
        <w:rPr>
          <w:rFonts w:ascii="Garamond" w:hAnsi="Garamond" w:cs="Times New Roman"/>
          <w:color w:val="000000" w:themeColor="text1"/>
          <w:sz w:val="24"/>
          <w:szCs w:val="24"/>
          <w:lang w:val="en-US"/>
        </w:rPr>
        <w:t>gender-based violence</w:t>
      </w:r>
      <w:r w:rsidR="004A4A89" w:rsidRPr="00735740">
        <w:rPr>
          <w:rFonts w:ascii="Garamond" w:hAnsi="Garamond" w:cs="Times New Roman"/>
          <w:color w:val="000000" w:themeColor="text1"/>
          <w:sz w:val="24"/>
          <w:szCs w:val="24"/>
          <w:lang w:val="en-US"/>
        </w:rPr>
        <w:t xml:space="preserve"> is demonstrative of the</w:t>
      </w:r>
      <w:r w:rsidR="00787F74" w:rsidRPr="00735740">
        <w:rPr>
          <w:rFonts w:ascii="Garamond" w:hAnsi="Garamond" w:cs="Times New Roman"/>
          <w:color w:val="000000" w:themeColor="text1"/>
          <w:sz w:val="24"/>
          <w:szCs w:val="24"/>
          <w:lang w:val="en-US"/>
        </w:rPr>
        <w:t xml:space="preserve"> importance the materiality of the archive. The record of BAT’s testimony is not only different from what was discursively uttered in the courtroom, but the wider immateriality of the archive</w:t>
      </w:r>
      <w:r w:rsidR="000E3831" w:rsidRPr="00735740">
        <w:rPr>
          <w:rFonts w:ascii="Garamond" w:hAnsi="Garamond" w:cs="Times New Roman"/>
          <w:color w:val="000000" w:themeColor="text1"/>
          <w:sz w:val="24"/>
          <w:szCs w:val="24"/>
          <w:lang w:val="en-US"/>
        </w:rPr>
        <w:t xml:space="preserve"> in this respect</w:t>
      </w:r>
      <w:r w:rsidR="00787F74" w:rsidRPr="00735740">
        <w:rPr>
          <w:rFonts w:ascii="Garamond" w:hAnsi="Garamond" w:cs="Times New Roman"/>
          <w:color w:val="000000" w:themeColor="text1"/>
          <w:sz w:val="24"/>
          <w:szCs w:val="24"/>
          <w:lang w:val="en-US"/>
        </w:rPr>
        <w:t xml:space="preserve"> undermines the tribunal’s claims </w:t>
      </w:r>
      <w:r w:rsidR="000E3831" w:rsidRPr="00735740">
        <w:rPr>
          <w:rFonts w:ascii="Garamond" w:hAnsi="Garamond" w:cs="Times New Roman"/>
          <w:color w:val="000000" w:themeColor="text1"/>
          <w:sz w:val="24"/>
          <w:szCs w:val="24"/>
          <w:lang w:val="en-US"/>
        </w:rPr>
        <w:t>to have been at the forefront of developing gender-sensitive jurisprudence.</w:t>
      </w:r>
    </w:p>
    <w:p w14:paraId="0ECA7B32" w14:textId="7B33A493" w:rsidR="001B4EFF" w:rsidRPr="00735740" w:rsidRDefault="00E35C64" w:rsidP="00735740">
      <w:pPr>
        <w:pStyle w:val="Heading2"/>
      </w:pPr>
      <w:r w:rsidRPr="00735740">
        <w:t>Voice</w:t>
      </w:r>
      <w:r w:rsidR="00201640" w:rsidRPr="00735740">
        <w:t xml:space="preserve">, </w:t>
      </w:r>
      <w:r w:rsidR="002F20CA" w:rsidRPr="00735740">
        <w:t>c</w:t>
      </w:r>
      <w:r w:rsidR="00201640" w:rsidRPr="00735740">
        <w:t xml:space="preserve">olonialism </w:t>
      </w:r>
      <w:r w:rsidRPr="00735740">
        <w:t xml:space="preserve">and the </w:t>
      </w:r>
      <w:r w:rsidR="002F20CA" w:rsidRPr="00735740">
        <w:t>a</w:t>
      </w:r>
      <w:r w:rsidRPr="00735740">
        <w:t>rchive</w:t>
      </w:r>
    </w:p>
    <w:p w14:paraId="3C09CE9D" w14:textId="6F163235" w:rsidR="00E35C64" w:rsidRPr="00735740" w:rsidRDefault="00186A47" w:rsidP="00201640">
      <w:pPr>
        <w:spacing w:line="360" w:lineRule="auto"/>
        <w:rPr>
          <w:rFonts w:ascii="Garamond" w:hAnsi="Garamond"/>
          <w:color w:val="000000" w:themeColor="text1"/>
          <w:sz w:val="24"/>
          <w:szCs w:val="24"/>
          <w:lang w:val="en-US"/>
        </w:rPr>
      </w:pPr>
      <w:r w:rsidRPr="00735740">
        <w:rPr>
          <w:rFonts w:ascii="Garamond" w:hAnsi="Garamond"/>
          <w:color w:val="000000" w:themeColor="text1"/>
          <w:sz w:val="24"/>
          <w:szCs w:val="24"/>
        </w:rPr>
        <w:t>When</w:t>
      </w:r>
      <w:r w:rsidR="00182DD2" w:rsidRPr="00735740">
        <w:rPr>
          <w:rFonts w:ascii="Garamond" w:hAnsi="Garamond"/>
          <w:color w:val="000000" w:themeColor="text1"/>
          <w:sz w:val="24"/>
          <w:szCs w:val="24"/>
        </w:rPr>
        <w:t xml:space="preserve"> analysing the</w:t>
      </w:r>
      <w:r w:rsidR="00E35C64" w:rsidRPr="00735740">
        <w:rPr>
          <w:rFonts w:ascii="Garamond" w:hAnsi="Garamond"/>
          <w:color w:val="000000" w:themeColor="text1"/>
          <w:sz w:val="24"/>
          <w:szCs w:val="24"/>
        </w:rPr>
        <w:t xml:space="preserve"> archive, it </w:t>
      </w:r>
      <w:r w:rsidR="004E11DF" w:rsidRPr="00735740">
        <w:rPr>
          <w:rFonts w:ascii="Garamond" w:hAnsi="Garamond"/>
          <w:color w:val="000000" w:themeColor="text1"/>
          <w:sz w:val="24"/>
          <w:szCs w:val="24"/>
        </w:rPr>
        <w:t>became</w:t>
      </w:r>
      <w:r w:rsidR="00924F91" w:rsidRPr="00735740">
        <w:rPr>
          <w:rFonts w:ascii="Garamond" w:hAnsi="Garamond"/>
          <w:color w:val="000000" w:themeColor="text1"/>
          <w:sz w:val="24"/>
          <w:szCs w:val="24"/>
        </w:rPr>
        <w:t xml:space="preserve"> </w:t>
      </w:r>
      <w:r w:rsidR="00E35C64" w:rsidRPr="00735740">
        <w:rPr>
          <w:rFonts w:ascii="Garamond" w:hAnsi="Garamond"/>
          <w:color w:val="000000" w:themeColor="text1"/>
          <w:sz w:val="24"/>
          <w:szCs w:val="24"/>
        </w:rPr>
        <w:t>clear that the</w:t>
      </w:r>
      <w:r w:rsidR="000737A5" w:rsidRPr="00735740">
        <w:rPr>
          <w:rFonts w:ascii="Garamond" w:hAnsi="Garamond"/>
          <w:color w:val="000000" w:themeColor="text1"/>
          <w:sz w:val="24"/>
          <w:szCs w:val="24"/>
        </w:rPr>
        <w:t xml:space="preserve"> tribunal saw that its</w:t>
      </w:r>
      <w:r w:rsidR="00E35C64" w:rsidRPr="00735740">
        <w:rPr>
          <w:rFonts w:ascii="Garamond" w:hAnsi="Garamond"/>
          <w:color w:val="000000" w:themeColor="text1"/>
          <w:sz w:val="24"/>
          <w:szCs w:val="24"/>
        </w:rPr>
        <w:t xml:space="preserve"> reliance on Rwandan witnesses </w:t>
      </w:r>
      <w:r w:rsidR="004E11DF" w:rsidRPr="00735740">
        <w:rPr>
          <w:rFonts w:ascii="Garamond" w:hAnsi="Garamond"/>
          <w:color w:val="000000" w:themeColor="text1"/>
          <w:sz w:val="24"/>
          <w:szCs w:val="24"/>
        </w:rPr>
        <w:t>had led</w:t>
      </w:r>
      <w:r w:rsidRPr="00735740">
        <w:rPr>
          <w:rFonts w:ascii="Garamond" w:hAnsi="Garamond"/>
          <w:color w:val="000000" w:themeColor="text1"/>
          <w:sz w:val="24"/>
          <w:szCs w:val="24"/>
        </w:rPr>
        <w:t xml:space="preserve"> to</w:t>
      </w:r>
      <w:r w:rsidR="00182DD2" w:rsidRPr="00735740">
        <w:rPr>
          <w:rFonts w:ascii="Garamond" w:hAnsi="Garamond"/>
          <w:color w:val="000000" w:themeColor="text1"/>
          <w:sz w:val="24"/>
          <w:szCs w:val="24"/>
        </w:rPr>
        <w:t xml:space="preserve"> </w:t>
      </w:r>
      <w:r w:rsidR="00E35C64" w:rsidRPr="00735740">
        <w:rPr>
          <w:rFonts w:ascii="Garamond" w:hAnsi="Garamond"/>
          <w:color w:val="000000" w:themeColor="text1"/>
          <w:sz w:val="24"/>
          <w:szCs w:val="24"/>
        </w:rPr>
        <w:t>a number of difficulties. Particularly problematic</w:t>
      </w:r>
      <w:r w:rsidR="00182DD2" w:rsidRPr="00735740">
        <w:rPr>
          <w:rFonts w:ascii="Garamond" w:hAnsi="Garamond"/>
          <w:color w:val="000000" w:themeColor="text1"/>
          <w:sz w:val="24"/>
          <w:szCs w:val="24"/>
        </w:rPr>
        <w:t xml:space="preserve"> </w:t>
      </w:r>
      <w:r w:rsidR="00924F91" w:rsidRPr="00735740">
        <w:rPr>
          <w:rFonts w:ascii="Garamond" w:hAnsi="Garamond"/>
          <w:color w:val="000000" w:themeColor="text1"/>
          <w:sz w:val="24"/>
          <w:szCs w:val="24"/>
        </w:rPr>
        <w:t xml:space="preserve">from </w:t>
      </w:r>
      <w:r w:rsidR="00182DD2" w:rsidRPr="00735740">
        <w:rPr>
          <w:rFonts w:ascii="Garamond" w:hAnsi="Garamond"/>
          <w:color w:val="000000" w:themeColor="text1"/>
          <w:sz w:val="24"/>
          <w:szCs w:val="24"/>
        </w:rPr>
        <w:t>the court’s perspective</w:t>
      </w:r>
      <w:r w:rsidR="00924F91" w:rsidRPr="00735740">
        <w:rPr>
          <w:rFonts w:ascii="Garamond" w:hAnsi="Garamond"/>
          <w:color w:val="000000" w:themeColor="text1"/>
          <w:sz w:val="24"/>
          <w:szCs w:val="24"/>
        </w:rPr>
        <w:t xml:space="preserve"> -</w:t>
      </w:r>
      <w:r w:rsidR="00E35C64" w:rsidRPr="00735740">
        <w:rPr>
          <w:rFonts w:ascii="Garamond" w:hAnsi="Garamond"/>
          <w:color w:val="000000" w:themeColor="text1"/>
          <w:sz w:val="24"/>
          <w:szCs w:val="24"/>
        </w:rPr>
        <w:t xml:space="preserve"> as it raised questions regarding the witnesses’ credibility</w:t>
      </w:r>
      <w:r w:rsidR="00924F91" w:rsidRPr="00735740">
        <w:rPr>
          <w:rFonts w:ascii="Garamond" w:hAnsi="Garamond"/>
          <w:color w:val="000000" w:themeColor="text1"/>
          <w:sz w:val="24"/>
          <w:szCs w:val="24"/>
        </w:rPr>
        <w:t xml:space="preserve"> </w:t>
      </w:r>
      <w:r w:rsidR="004E11DF" w:rsidRPr="00735740">
        <w:rPr>
          <w:rFonts w:ascii="Garamond" w:hAnsi="Garamond"/>
          <w:color w:val="000000" w:themeColor="text1"/>
          <w:sz w:val="24"/>
          <w:szCs w:val="24"/>
        </w:rPr>
        <w:t>–</w:t>
      </w:r>
      <w:r w:rsidR="00924F91" w:rsidRPr="00735740">
        <w:rPr>
          <w:rFonts w:ascii="Garamond" w:hAnsi="Garamond"/>
          <w:color w:val="000000" w:themeColor="text1"/>
          <w:sz w:val="24"/>
          <w:szCs w:val="24"/>
        </w:rPr>
        <w:t xml:space="preserve"> </w:t>
      </w:r>
      <w:r w:rsidR="00885820" w:rsidRPr="00735740">
        <w:rPr>
          <w:rFonts w:ascii="Garamond" w:hAnsi="Garamond"/>
          <w:color w:val="000000" w:themeColor="text1"/>
          <w:sz w:val="24"/>
          <w:szCs w:val="24"/>
        </w:rPr>
        <w:t>was what</w:t>
      </w:r>
      <w:r w:rsidR="00E35C64" w:rsidRPr="00735740">
        <w:rPr>
          <w:rFonts w:ascii="Garamond" w:hAnsi="Garamond"/>
          <w:color w:val="000000" w:themeColor="text1"/>
          <w:sz w:val="24"/>
          <w:szCs w:val="24"/>
        </w:rPr>
        <w:t xml:space="preserve"> was interpreted as the witnesses’ evasiveness during questioning and their difficulties in distinguishing between what they had seen and heard (i.e. hearsay evidence, which was seen as less substantial evidence).</w:t>
      </w:r>
      <w:r w:rsidR="00E35C64" w:rsidRPr="00735740">
        <w:rPr>
          <w:rFonts w:ascii="Garamond" w:hAnsi="Garamond"/>
          <w:color w:val="000000" w:themeColor="text1"/>
          <w:sz w:val="24"/>
          <w:szCs w:val="24"/>
          <w:vertAlign w:val="superscript"/>
        </w:rPr>
        <w:footnoteReference w:id="103"/>
      </w:r>
      <w:r w:rsidR="00E35C64" w:rsidRPr="00735740">
        <w:rPr>
          <w:rFonts w:ascii="Garamond" w:hAnsi="Garamond"/>
          <w:color w:val="000000" w:themeColor="text1"/>
          <w:sz w:val="24"/>
          <w:szCs w:val="24"/>
        </w:rPr>
        <w:t xml:space="preserve"> </w:t>
      </w:r>
      <w:r w:rsidR="00E35C64" w:rsidRPr="00735740">
        <w:rPr>
          <w:rFonts w:ascii="Garamond" w:hAnsi="Garamond"/>
          <w:color w:val="000000" w:themeColor="text1"/>
          <w:sz w:val="24"/>
          <w:szCs w:val="24"/>
          <w:lang w:val="en-US"/>
        </w:rPr>
        <w:t xml:space="preserve">In response, during </w:t>
      </w:r>
      <w:r w:rsidR="00E35C64" w:rsidRPr="00735740">
        <w:rPr>
          <w:rFonts w:ascii="Garamond" w:hAnsi="Garamond"/>
          <w:i/>
          <w:color w:val="000000" w:themeColor="text1"/>
          <w:sz w:val="24"/>
          <w:szCs w:val="24"/>
          <w:lang w:val="en-US"/>
        </w:rPr>
        <w:t xml:space="preserve">Akayesu </w:t>
      </w:r>
      <w:r w:rsidR="00E35C64" w:rsidRPr="00735740">
        <w:rPr>
          <w:rFonts w:ascii="Garamond" w:hAnsi="Garamond"/>
          <w:color w:val="000000" w:themeColor="text1"/>
          <w:sz w:val="24"/>
          <w:szCs w:val="24"/>
          <w:lang w:val="en-US"/>
        </w:rPr>
        <w:t>the prosecution introduced a Rwandese cultural and linguistic expert, Professor Mathias Ruzindana, to explain these ‘idiosyncrasies’.</w:t>
      </w:r>
      <w:r w:rsidR="00E35C64" w:rsidRPr="00735740">
        <w:rPr>
          <w:rFonts w:ascii="Garamond" w:hAnsi="Garamond"/>
          <w:color w:val="000000" w:themeColor="text1"/>
          <w:sz w:val="24"/>
          <w:szCs w:val="24"/>
          <w:vertAlign w:val="superscript"/>
        </w:rPr>
        <w:footnoteReference w:id="104"/>
      </w:r>
      <w:r w:rsidR="00E35C64" w:rsidRPr="00735740">
        <w:rPr>
          <w:rFonts w:ascii="Garamond" w:hAnsi="Garamond"/>
          <w:color w:val="000000" w:themeColor="text1"/>
          <w:sz w:val="24"/>
          <w:szCs w:val="24"/>
          <w:lang w:val="en-US"/>
        </w:rPr>
        <w:t xml:space="preserve"> His testimony </w:t>
      </w:r>
      <w:r w:rsidR="00E35C64" w:rsidRPr="00735740">
        <w:rPr>
          <w:rFonts w:ascii="Garamond" w:hAnsi="Garamond"/>
          <w:color w:val="000000" w:themeColor="text1"/>
          <w:sz w:val="24"/>
          <w:szCs w:val="24"/>
          <w:lang w:val="en-US"/>
        </w:rPr>
        <w:lastRenderedPageBreak/>
        <w:t xml:space="preserve">suggested that Rwandan’s often changed how they answered questions depending on who they were speaking to, and that the witnesses’ inexperience with the tribunal’s procedure, and </w:t>
      </w:r>
      <w:r w:rsidR="003706B7" w:rsidRPr="00735740">
        <w:rPr>
          <w:rFonts w:ascii="Garamond" w:hAnsi="Garamond"/>
          <w:color w:val="000000" w:themeColor="text1"/>
          <w:sz w:val="24"/>
          <w:szCs w:val="24"/>
          <w:lang w:val="en-US"/>
        </w:rPr>
        <w:t xml:space="preserve">a </w:t>
      </w:r>
      <w:r w:rsidR="00E35C64" w:rsidRPr="00735740">
        <w:rPr>
          <w:rFonts w:ascii="Garamond" w:hAnsi="Garamond"/>
          <w:color w:val="000000" w:themeColor="text1"/>
          <w:sz w:val="24"/>
          <w:szCs w:val="24"/>
          <w:lang w:val="en-US"/>
        </w:rPr>
        <w:t>tendency to suspect unfamiliar persons in positions of authority, was likely to lead to what could be interpreted as a lack of cooperation.</w:t>
      </w:r>
      <w:r w:rsidR="00E35C64" w:rsidRPr="00735740">
        <w:rPr>
          <w:rFonts w:ascii="Garamond" w:hAnsi="Garamond"/>
          <w:color w:val="000000" w:themeColor="text1"/>
          <w:sz w:val="24"/>
          <w:szCs w:val="24"/>
          <w:vertAlign w:val="superscript"/>
          <w:lang w:val="en-US"/>
        </w:rPr>
        <w:footnoteReference w:id="105"/>
      </w:r>
      <w:r w:rsidR="00E35C64" w:rsidRPr="00735740">
        <w:rPr>
          <w:rFonts w:ascii="Garamond" w:hAnsi="Garamond"/>
          <w:color w:val="000000" w:themeColor="text1"/>
          <w:sz w:val="24"/>
          <w:szCs w:val="24"/>
          <w:lang w:val="en-US"/>
        </w:rPr>
        <w:t xml:space="preserve"> He also explained that as an oral culture, Rwandans did not always distinguish between what they saw and heard.</w:t>
      </w:r>
      <w:r w:rsidR="00E35C64" w:rsidRPr="00735740">
        <w:rPr>
          <w:rFonts w:ascii="Garamond" w:hAnsi="Garamond"/>
          <w:color w:val="000000" w:themeColor="text1"/>
          <w:sz w:val="24"/>
          <w:szCs w:val="24"/>
          <w:vertAlign w:val="superscript"/>
          <w:lang w:val="en-US"/>
        </w:rPr>
        <w:footnoteReference w:id="106"/>
      </w:r>
      <w:r w:rsidR="00E35C64" w:rsidRPr="00735740">
        <w:rPr>
          <w:rFonts w:ascii="Garamond" w:hAnsi="Garamond"/>
          <w:color w:val="000000" w:themeColor="text1"/>
          <w:sz w:val="24"/>
          <w:szCs w:val="24"/>
          <w:lang w:val="en-US"/>
        </w:rPr>
        <w:t xml:space="preserve"> </w:t>
      </w:r>
    </w:p>
    <w:p w14:paraId="5F482BDC" w14:textId="606C5089" w:rsidR="00E35C64" w:rsidRPr="00735740" w:rsidRDefault="00E35C64" w:rsidP="00201640">
      <w:pPr>
        <w:spacing w:line="360" w:lineRule="auto"/>
        <w:rPr>
          <w:rFonts w:ascii="Garamond" w:hAnsi="Garamond"/>
          <w:color w:val="000000" w:themeColor="text1"/>
          <w:sz w:val="24"/>
          <w:szCs w:val="24"/>
        </w:rPr>
      </w:pPr>
      <w:r w:rsidRPr="00735740">
        <w:rPr>
          <w:rFonts w:ascii="Garamond" w:hAnsi="Garamond"/>
          <w:color w:val="000000" w:themeColor="text1"/>
          <w:sz w:val="24"/>
          <w:szCs w:val="24"/>
          <w:lang w:val="en-US"/>
        </w:rPr>
        <w:t xml:space="preserve">There is </w:t>
      </w:r>
      <w:r w:rsidR="00322453" w:rsidRPr="00735740">
        <w:rPr>
          <w:rFonts w:ascii="Garamond" w:hAnsi="Garamond"/>
          <w:color w:val="000000" w:themeColor="text1"/>
          <w:sz w:val="24"/>
          <w:szCs w:val="24"/>
          <w:lang w:val="en-US"/>
        </w:rPr>
        <w:t>reason to believe</w:t>
      </w:r>
      <w:r w:rsidRPr="00735740">
        <w:rPr>
          <w:rFonts w:ascii="Garamond" w:hAnsi="Garamond"/>
          <w:color w:val="000000" w:themeColor="text1"/>
          <w:sz w:val="24"/>
          <w:szCs w:val="24"/>
          <w:lang w:val="en-US"/>
        </w:rPr>
        <w:t xml:space="preserve"> that this type of evidence affected tribunal practice, influencing, as such, </w:t>
      </w:r>
      <w:r w:rsidR="004E5571" w:rsidRPr="00735740">
        <w:rPr>
          <w:rFonts w:ascii="Garamond" w:hAnsi="Garamond"/>
          <w:color w:val="000000" w:themeColor="text1"/>
          <w:sz w:val="24"/>
          <w:szCs w:val="24"/>
          <w:lang w:val="en-US"/>
        </w:rPr>
        <w:t>what was permitted to enter the archive</w:t>
      </w:r>
      <w:r w:rsidR="00322453" w:rsidRPr="00735740">
        <w:rPr>
          <w:rFonts w:ascii="Garamond" w:hAnsi="Garamond"/>
          <w:color w:val="000000" w:themeColor="text1"/>
          <w:sz w:val="24"/>
          <w:szCs w:val="24"/>
          <w:lang w:val="en-US"/>
        </w:rPr>
        <w:t xml:space="preserve"> and in what form</w:t>
      </w:r>
      <w:r w:rsidR="00182DD2" w:rsidRPr="00735740">
        <w:rPr>
          <w:rFonts w:ascii="Garamond" w:hAnsi="Garamond"/>
          <w:color w:val="000000" w:themeColor="text1"/>
          <w:sz w:val="24"/>
          <w:szCs w:val="24"/>
          <w:lang w:val="en-US"/>
        </w:rPr>
        <w:t>.</w:t>
      </w:r>
      <w:r w:rsidR="00353446" w:rsidRPr="00735740">
        <w:rPr>
          <w:rFonts w:ascii="Garamond" w:hAnsi="Garamond"/>
          <w:color w:val="000000" w:themeColor="text1"/>
          <w:sz w:val="24"/>
          <w:szCs w:val="24"/>
          <w:lang w:val="en-US"/>
        </w:rPr>
        <w:t xml:space="preserve"> </w:t>
      </w:r>
      <w:r w:rsidRPr="00735740">
        <w:rPr>
          <w:rFonts w:ascii="Garamond" w:hAnsi="Garamond"/>
          <w:color w:val="000000" w:themeColor="text1"/>
          <w:sz w:val="24"/>
          <w:szCs w:val="24"/>
        </w:rPr>
        <w:t xml:space="preserve">In the </w:t>
      </w:r>
      <w:r w:rsidRPr="00735740">
        <w:rPr>
          <w:rFonts w:ascii="Garamond" w:hAnsi="Garamond"/>
          <w:i/>
          <w:color w:val="000000" w:themeColor="text1"/>
          <w:sz w:val="24"/>
          <w:szCs w:val="24"/>
        </w:rPr>
        <w:t>Akayesu</w:t>
      </w:r>
      <w:r w:rsidRPr="00735740">
        <w:rPr>
          <w:rFonts w:ascii="Garamond" w:hAnsi="Garamond"/>
          <w:color w:val="000000" w:themeColor="text1"/>
          <w:sz w:val="24"/>
          <w:szCs w:val="24"/>
        </w:rPr>
        <w:t xml:space="preserve"> judgement, drawing on Ruzindana’s evidence, the judges argued that,</w:t>
      </w:r>
    </w:p>
    <w:p w14:paraId="6EC7740E" w14:textId="703A75BD" w:rsidR="00E35C64" w:rsidRPr="00735740" w:rsidRDefault="00E35C64" w:rsidP="00201640">
      <w:pPr>
        <w:spacing w:line="360" w:lineRule="auto"/>
        <w:ind w:left="851"/>
        <w:rPr>
          <w:rFonts w:ascii="Garamond" w:hAnsi="Garamond"/>
          <w:iCs/>
          <w:color w:val="000000" w:themeColor="text1"/>
          <w:sz w:val="24"/>
          <w:szCs w:val="24"/>
        </w:rPr>
      </w:pPr>
      <w:r w:rsidRPr="00735740">
        <w:rPr>
          <w:rFonts w:ascii="Garamond" w:hAnsi="Garamond"/>
          <w:iCs/>
          <w:color w:val="000000" w:themeColor="text1"/>
          <w:sz w:val="24"/>
          <w:szCs w:val="24"/>
        </w:rPr>
        <w:t xml:space="preserve">it is a particular feature of the Rwandan culture that people are not always direct in answering questions, especially if the question is delicate. In such cases, the answers given will very often have to be ‘decoded’ </w:t>
      </w:r>
      <w:r w:rsidR="00322453" w:rsidRPr="00735740">
        <w:rPr>
          <w:rFonts w:ascii="Garamond" w:hAnsi="Garamond"/>
          <w:iCs/>
          <w:color w:val="000000" w:themeColor="text1"/>
          <w:sz w:val="24"/>
          <w:szCs w:val="24"/>
        </w:rPr>
        <w:t>[</w:t>
      </w:r>
      <w:r w:rsidRPr="00735740">
        <w:rPr>
          <w:rFonts w:ascii="Garamond" w:hAnsi="Garamond"/>
          <w:iCs/>
          <w:color w:val="000000" w:themeColor="text1"/>
          <w:sz w:val="24"/>
          <w:szCs w:val="24"/>
        </w:rPr>
        <w:t>…</w:t>
      </w:r>
      <w:r w:rsidR="00322453" w:rsidRPr="00735740">
        <w:rPr>
          <w:rFonts w:ascii="Garamond" w:hAnsi="Garamond"/>
          <w:iCs/>
          <w:color w:val="000000" w:themeColor="text1"/>
          <w:sz w:val="24"/>
          <w:szCs w:val="24"/>
        </w:rPr>
        <w:t>]</w:t>
      </w:r>
      <w:r w:rsidRPr="00735740">
        <w:rPr>
          <w:rFonts w:ascii="Garamond" w:hAnsi="Garamond"/>
          <w:iCs/>
          <w:color w:val="000000" w:themeColor="text1"/>
          <w:sz w:val="24"/>
          <w:szCs w:val="24"/>
        </w:rPr>
        <w:t xml:space="preserve"> to be understood correctly</w:t>
      </w:r>
      <w:r w:rsidR="00322453" w:rsidRPr="00735740">
        <w:rPr>
          <w:rFonts w:ascii="Garamond" w:hAnsi="Garamond"/>
          <w:iCs/>
          <w:color w:val="000000" w:themeColor="text1"/>
          <w:sz w:val="24"/>
          <w:szCs w:val="24"/>
        </w:rPr>
        <w:t xml:space="preserve"> […].</w:t>
      </w:r>
      <w:r w:rsidRPr="00735740">
        <w:rPr>
          <w:rFonts w:ascii="Garamond" w:hAnsi="Garamond"/>
          <w:iCs/>
          <w:color w:val="000000" w:themeColor="text1"/>
          <w:sz w:val="24"/>
          <w:szCs w:val="24"/>
          <w:vertAlign w:val="superscript"/>
        </w:rPr>
        <w:footnoteReference w:id="107"/>
      </w:r>
    </w:p>
    <w:p w14:paraId="74BC34D2" w14:textId="5D284D2C" w:rsidR="00E35C64" w:rsidRPr="00735740" w:rsidRDefault="00E35C64" w:rsidP="00201640">
      <w:pPr>
        <w:spacing w:line="360" w:lineRule="auto"/>
        <w:rPr>
          <w:rFonts w:ascii="Garamond" w:hAnsi="Garamond"/>
          <w:iCs/>
          <w:color w:val="000000" w:themeColor="text1"/>
          <w:sz w:val="24"/>
          <w:szCs w:val="24"/>
          <w:lang w:val="en-US"/>
        </w:rPr>
      </w:pPr>
      <w:r w:rsidRPr="00735740">
        <w:rPr>
          <w:rFonts w:ascii="Garamond" w:hAnsi="Garamond"/>
          <w:color w:val="000000" w:themeColor="text1"/>
          <w:sz w:val="24"/>
          <w:szCs w:val="24"/>
        </w:rPr>
        <w:t>The judges went on to note that due to the witnesses’ inexperience with the courtroom procedures ‘</w:t>
      </w:r>
      <w:r w:rsidRPr="00735740">
        <w:rPr>
          <w:rFonts w:ascii="Garamond" w:hAnsi="Garamond"/>
          <w:iCs/>
          <w:color w:val="000000" w:themeColor="text1"/>
          <w:sz w:val="24"/>
          <w:szCs w:val="24"/>
          <w:lang w:val="en-US"/>
        </w:rPr>
        <w:t>the Chamber [would not] draw any adverse conclusions regarding the credibility of witnesses based only on [witnesses] reticence and their sometimes circuitous responses to questions’.</w:t>
      </w:r>
      <w:r w:rsidRPr="00735740">
        <w:rPr>
          <w:rFonts w:ascii="Garamond" w:hAnsi="Garamond"/>
          <w:iCs/>
          <w:color w:val="000000" w:themeColor="text1"/>
          <w:sz w:val="24"/>
          <w:szCs w:val="24"/>
          <w:vertAlign w:val="superscript"/>
          <w:lang w:val="en-US"/>
        </w:rPr>
        <w:footnoteReference w:id="108"/>
      </w:r>
      <w:r w:rsidRPr="00735740">
        <w:rPr>
          <w:rFonts w:ascii="Garamond" w:hAnsi="Garamond"/>
          <w:iCs/>
          <w:color w:val="000000" w:themeColor="text1"/>
          <w:sz w:val="24"/>
          <w:szCs w:val="24"/>
          <w:lang w:val="en-US"/>
        </w:rPr>
        <w:t xml:space="preserve"> </w:t>
      </w:r>
    </w:p>
    <w:p w14:paraId="73434051" w14:textId="365A834B" w:rsidR="00E35C64" w:rsidRPr="00735740" w:rsidRDefault="00E35C64" w:rsidP="00201640">
      <w:pPr>
        <w:spacing w:line="360" w:lineRule="auto"/>
        <w:rPr>
          <w:rFonts w:ascii="Garamond" w:hAnsi="Garamond"/>
          <w:color w:val="000000" w:themeColor="text1"/>
          <w:sz w:val="24"/>
          <w:szCs w:val="24"/>
          <w:lang w:val="en-US"/>
        </w:rPr>
      </w:pPr>
      <w:r w:rsidRPr="00735740">
        <w:rPr>
          <w:rFonts w:ascii="Garamond" w:hAnsi="Garamond"/>
          <w:color w:val="000000" w:themeColor="text1"/>
          <w:sz w:val="24"/>
          <w:szCs w:val="24"/>
        </w:rPr>
        <w:t>Another issue was how to account for the frequent changes between witnesses’ pre–trial and trial statements, which the defence regularly argued undermined the witnesses’ credibility.</w:t>
      </w:r>
      <w:r w:rsidRPr="00735740">
        <w:rPr>
          <w:rFonts w:ascii="Garamond" w:hAnsi="Garamond"/>
          <w:color w:val="000000" w:themeColor="text1"/>
          <w:sz w:val="24"/>
          <w:szCs w:val="24"/>
          <w:vertAlign w:val="superscript"/>
        </w:rPr>
        <w:footnoteReference w:id="109"/>
      </w:r>
      <w:r w:rsidRPr="00735740">
        <w:rPr>
          <w:rFonts w:ascii="Garamond" w:hAnsi="Garamond"/>
          <w:color w:val="000000" w:themeColor="text1"/>
          <w:sz w:val="24"/>
          <w:szCs w:val="24"/>
        </w:rPr>
        <w:t xml:space="preserve"> Here the </w:t>
      </w:r>
      <w:r w:rsidRPr="00735740">
        <w:rPr>
          <w:rFonts w:ascii="Garamond" w:hAnsi="Garamond"/>
          <w:i/>
          <w:iCs/>
          <w:color w:val="000000" w:themeColor="text1"/>
          <w:sz w:val="24"/>
          <w:szCs w:val="24"/>
        </w:rPr>
        <w:t>Akayesu</w:t>
      </w:r>
      <w:r w:rsidRPr="00735740">
        <w:rPr>
          <w:rFonts w:ascii="Garamond" w:hAnsi="Garamond"/>
          <w:color w:val="000000" w:themeColor="text1"/>
          <w:sz w:val="24"/>
          <w:szCs w:val="24"/>
        </w:rPr>
        <w:t xml:space="preserve"> judgement </w:t>
      </w:r>
      <w:r w:rsidR="00182DD2" w:rsidRPr="00735740">
        <w:rPr>
          <w:rFonts w:ascii="Garamond" w:hAnsi="Garamond"/>
          <w:color w:val="000000" w:themeColor="text1"/>
          <w:sz w:val="24"/>
          <w:szCs w:val="24"/>
        </w:rPr>
        <w:t xml:space="preserve">stated </w:t>
      </w:r>
      <w:r w:rsidRPr="00735740">
        <w:rPr>
          <w:rFonts w:ascii="Garamond" w:hAnsi="Garamond"/>
          <w:color w:val="000000" w:themeColor="text1"/>
          <w:sz w:val="24"/>
          <w:szCs w:val="24"/>
        </w:rPr>
        <w:t>that the witnesses’ often traumatic experience during the genocide was likely to ‘</w:t>
      </w:r>
      <w:r w:rsidRPr="00735740">
        <w:rPr>
          <w:rFonts w:ascii="Garamond" w:hAnsi="Garamond"/>
          <w:iCs/>
          <w:color w:val="000000" w:themeColor="text1"/>
          <w:sz w:val="24"/>
          <w:szCs w:val="24"/>
        </w:rPr>
        <w:t>affect [the witnesses] ability [to] fully or adequately</w:t>
      </w:r>
      <w:r w:rsidR="00322453" w:rsidRPr="00735740">
        <w:rPr>
          <w:rFonts w:ascii="Garamond" w:hAnsi="Garamond"/>
          <w:iCs/>
          <w:color w:val="000000" w:themeColor="text1"/>
          <w:sz w:val="24"/>
          <w:szCs w:val="24"/>
        </w:rPr>
        <w:t xml:space="preserve"> [</w:t>
      </w:r>
      <w:r w:rsidRPr="00735740">
        <w:rPr>
          <w:rFonts w:ascii="Garamond" w:hAnsi="Garamond"/>
          <w:iCs/>
          <w:color w:val="000000" w:themeColor="text1"/>
          <w:sz w:val="24"/>
          <w:szCs w:val="24"/>
        </w:rPr>
        <w:t>…</w:t>
      </w:r>
      <w:r w:rsidR="00322453" w:rsidRPr="00735740">
        <w:rPr>
          <w:rFonts w:ascii="Garamond" w:hAnsi="Garamond"/>
          <w:iCs/>
          <w:color w:val="000000" w:themeColor="text1"/>
          <w:sz w:val="24"/>
          <w:szCs w:val="24"/>
        </w:rPr>
        <w:t>]</w:t>
      </w:r>
      <w:r w:rsidRPr="00735740">
        <w:rPr>
          <w:rFonts w:ascii="Garamond" w:hAnsi="Garamond"/>
          <w:iCs/>
          <w:color w:val="000000" w:themeColor="text1"/>
          <w:sz w:val="24"/>
          <w:szCs w:val="24"/>
        </w:rPr>
        <w:t xml:space="preserve"> recount the sequence of events in a judicial context. The Chamber has considered the testimony of those witnesses in this light’</w:t>
      </w:r>
      <w:r w:rsidRPr="00735740">
        <w:rPr>
          <w:rFonts w:ascii="Garamond" w:hAnsi="Garamond"/>
          <w:i/>
          <w:iCs/>
          <w:color w:val="000000" w:themeColor="text1"/>
          <w:sz w:val="24"/>
          <w:szCs w:val="24"/>
        </w:rPr>
        <w:t>.</w:t>
      </w:r>
      <w:r w:rsidRPr="00735740">
        <w:rPr>
          <w:rFonts w:ascii="Garamond" w:hAnsi="Garamond"/>
          <w:iCs/>
          <w:color w:val="000000" w:themeColor="text1"/>
          <w:sz w:val="24"/>
          <w:szCs w:val="24"/>
          <w:vertAlign w:val="superscript"/>
        </w:rPr>
        <w:footnoteReference w:id="110"/>
      </w:r>
      <w:r w:rsidRPr="00735740">
        <w:rPr>
          <w:rFonts w:ascii="Garamond" w:hAnsi="Garamond"/>
          <w:i/>
          <w:iCs/>
          <w:color w:val="000000" w:themeColor="text1"/>
          <w:sz w:val="24"/>
          <w:szCs w:val="24"/>
        </w:rPr>
        <w:t xml:space="preserve"> </w:t>
      </w:r>
      <w:r w:rsidRPr="00735740">
        <w:rPr>
          <w:rFonts w:ascii="Garamond" w:hAnsi="Garamond"/>
          <w:color w:val="000000" w:themeColor="text1"/>
          <w:sz w:val="24"/>
          <w:szCs w:val="24"/>
        </w:rPr>
        <w:t xml:space="preserve">As such, there is </w:t>
      </w:r>
      <w:r w:rsidR="00322453" w:rsidRPr="00735740">
        <w:rPr>
          <w:rFonts w:ascii="Garamond" w:hAnsi="Garamond"/>
          <w:color w:val="000000" w:themeColor="text1"/>
          <w:sz w:val="24"/>
          <w:szCs w:val="24"/>
        </w:rPr>
        <w:t>evidence that suggests</w:t>
      </w:r>
      <w:r w:rsidRPr="00735740">
        <w:rPr>
          <w:rFonts w:ascii="Garamond" w:hAnsi="Garamond"/>
          <w:color w:val="000000" w:themeColor="text1"/>
          <w:sz w:val="24"/>
          <w:szCs w:val="24"/>
        </w:rPr>
        <w:t xml:space="preserve"> that the archive’s rules adapted to the lived experiences of the Rwandan witnesses.</w:t>
      </w:r>
      <w:r w:rsidRPr="00735740">
        <w:rPr>
          <w:rFonts w:ascii="Garamond" w:hAnsi="Garamond"/>
          <w:color w:val="000000" w:themeColor="text1"/>
          <w:sz w:val="24"/>
          <w:szCs w:val="24"/>
          <w:vertAlign w:val="superscript"/>
        </w:rPr>
        <w:t xml:space="preserve"> </w:t>
      </w:r>
    </w:p>
    <w:p w14:paraId="76075025" w14:textId="3872DF3C" w:rsidR="00E35C64" w:rsidRPr="00735740" w:rsidRDefault="00E35C64" w:rsidP="00201640">
      <w:pPr>
        <w:spacing w:line="360" w:lineRule="auto"/>
        <w:rPr>
          <w:rFonts w:ascii="Garamond" w:hAnsi="Garamond"/>
          <w:color w:val="000000" w:themeColor="text1"/>
          <w:sz w:val="24"/>
          <w:szCs w:val="24"/>
        </w:rPr>
      </w:pPr>
      <w:r w:rsidRPr="00735740">
        <w:rPr>
          <w:rFonts w:ascii="Garamond" w:hAnsi="Garamond"/>
          <w:color w:val="000000" w:themeColor="text1"/>
          <w:sz w:val="24"/>
          <w:szCs w:val="24"/>
          <w:lang w:val="en-US"/>
        </w:rPr>
        <w:t>An example of this was the judges’ interpretation of Witness D’s testimony</w:t>
      </w:r>
      <w:r w:rsidR="00EC40EA" w:rsidRPr="00735740">
        <w:rPr>
          <w:rFonts w:ascii="Garamond" w:hAnsi="Garamond"/>
          <w:color w:val="000000" w:themeColor="text1"/>
          <w:sz w:val="24"/>
          <w:szCs w:val="24"/>
          <w:lang w:val="en-US"/>
        </w:rPr>
        <w:t xml:space="preserve"> in </w:t>
      </w:r>
      <w:r w:rsidR="00EC40EA" w:rsidRPr="00735740">
        <w:rPr>
          <w:rFonts w:ascii="Garamond" w:hAnsi="Garamond"/>
          <w:i/>
          <w:iCs/>
          <w:color w:val="000000" w:themeColor="text1"/>
          <w:sz w:val="24"/>
          <w:szCs w:val="24"/>
          <w:lang w:val="en-US"/>
        </w:rPr>
        <w:t>Akayesu</w:t>
      </w:r>
      <w:r w:rsidRPr="00735740">
        <w:rPr>
          <w:rFonts w:ascii="Garamond" w:hAnsi="Garamond"/>
          <w:color w:val="000000" w:themeColor="text1"/>
          <w:sz w:val="24"/>
          <w:szCs w:val="24"/>
          <w:lang w:val="en-US"/>
        </w:rPr>
        <w:t xml:space="preserve">. Whilst Witness D’s pre–trial statement claimed that he had buried his brothers after </w:t>
      </w:r>
      <w:r w:rsidR="005E1EB5" w:rsidRPr="00735740">
        <w:rPr>
          <w:rFonts w:ascii="Garamond" w:hAnsi="Garamond"/>
          <w:color w:val="000000" w:themeColor="text1"/>
          <w:sz w:val="24"/>
          <w:szCs w:val="24"/>
          <w:lang w:val="en-US"/>
        </w:rPr>
        <w:t>Akayesu had killed them</w:t>
      </w:r>
      <w:r w:rsidRPr="00735740">
        <w:rPr>
          <w:rFonts w:ascii="Garamond" w:hAnsi="Garamond"/>
          <w:color w:val="000000" w:themeColor="text1"/>
          <w:sz w:val="24"/>
          <w:szCs w:val="24"/>
          <w:lang w:val="en-US"/>
        </w:rPr>
        <w:t xml:space="preserve">, during the trial Witness D claimed that he </w:t>
      </w:r>
      <w:r w:rsidRPr="00735740">
        <w:rPr>
          <w:rFonts w:ascii="Garamond" w:hAnsi="Garamond"/>
          <w:i/>
          <w:color w:val="000000" w:themeColor="text1"/>
          <w:sz w:val="24"/>
          <w:szCs w:val="24"/>
          <w:lang w:val="en-US"/>
        </w:rPr>
        <w:t xml:space="preserve">hadn’t </w:t>
      </w:r>
      <w:r w:rsidRPr="00735740">
        <w:rPr>
          <w:rFonts w:ascii="Garamond" w:hAnsi="Garamond"/>
          <w:color w:val="000000" w:themeColor="text1"/>
          <w:sz w:val="24"/>
          <w:szCs w:val="24"/>
          <w:lang w:val="en-US"/>
        </w:rPr>
        <w:t>buried them.</w:t>
      </w:r>
      <w:r w:rsidRPr="00735740">
        <w:rPr>
          <w:rFonts w:ascii="Garamond" w:hAnsi="Garamond"/>
          <w:color w:val="000000" w:themeColor="text1"/>
          <w:sz w:val="24"/>
          <w:szCs w:val="24"/>
          <w:vertAlign w:val="superscript"/>
          <w:lang w:val="en-US"/>
        </w:rPr>
        <w:footnoteReference w:id="111"/>
      </w:r>
      <w:r w:rsidRPr="00735740">
        <w:rPr>
          <w:rFonts w:ascii="Garamond" w:hAnsi="Garamond"/>
          <w:color w:val="000000" w:themeColor="text1"/>
          <w:sz w:val="24"/>
          <w:szCs w:val="24"/>
          <w:lang w:val="en-US"/>
        </w:rPr>
        <w:t xml:space="preserve"> The judges, however, ruled that this </w:t>
      </w:r>
      <w:r w:rsidR="00EC40EA" w:rsidRPr="00735740">
        <w:rPr>
          <w:rFonts w:ascii="Garamond" w:hAnsi="Garamond"/>
          <w:color w:val="000000" w:themeColor="text1"/>
          <w:sz w:val="24"/>
          <w:szCs w:val="24"/>
          <w:lang w:val="en-US"/>
        </w:rPr>
        <w:t xml:space="preserve">relatively major </w:t>
      </w:r>
      <w:r w:rsidRPr="00735740">
        <w:rPr>
          <w:rFonts w:ascii="Garamond" w:hAnsi="Garamond"/>
          <w:color w:val="000000" w:themeColor="text1"/>
          <w:sz w:val="24"/>
          <w:szCs w:val="24"/>
          <w:lang w:val="en-US"/>
        </w:rPr>
        <w:t xml:space="preserve">shift could be explained by </w:t>
      </w:r>
      <w:r w:rsidR="005E1EB5" w:rsidRPr="00735740">
        <w:rPr>
          <w:rFonts w:ascii="Garamond" w:hAnsi="Garamond"/>
          <w:color w:val="000000" w:themeColor="text1"/>
          <w:sz w:val="24"/>
          <w:szCs w:val="24"/>
          <w:lang w:val="en-US"/>
        </w:rPr>
        <w:t xml:space="preserve">Witness D’s </w:t>
      </w:r>
      <w:r w:rsidRPr="00735740">
        <w:rPr>
          <w:rFonts w:ascii="Garamond" w:hAnsi="Garamond"/>
          <w:color w:val="000000" w:themeColor="text1"/>
          <w:sz w:val="24"/>
          <w:szCs w:val="24"/>
          <w:lang w:val="en-US"/>
        </w:rPr>
        <w:t xml:space="preserve">traumatic experience, and </w:t>
      </w:r>
      <w:r w:rsidRPr="00735740">
        <w:rPr>
          <w:rFonts w:ascii="Garamond" w:hAnsi="Garamond"/>
          <w:color w:val="000000" w:themeColor="text1"/>
          <w:sz w:val="24"/>
          <w:szCs w:val="24"/>
          <w:lang w:val="en-US"/>
        </w:rPr>
        <w:lastRenderedPageBreak/>
        <w:t xml:space="preserve">his testimony that Akayesu had killed his brothers was accepted as true. </w:t>
      </w:r>
      <w:r w:rsidR="00404BCA" w:rsidRPr="00735740">
        <w:rPr>
          <w:rFonts w:ascii="Garamond" w:hAnsi="Garamond"/>
          <w:color w:val="000000" w:themeColor="text1"/>
          <w:sz w:val="24"/>
          <w:szCs w:val="24"/>
          <w:lang w:val="en-US"/>
        </w:rPr>
        <w:t>This, then, offers evidence of what Jabri refers to as the ‘hybridity’ of the international, as the post-colonial subject disrupts the rules and norms that govern the limits of the international.</w:t>
      </w:r>
      <w:r w:rsidR="00404BCA" w:rsidRPr="00735740">
        <w:rPr>
          <w:rStyle w:val="FootnoteReference"/>
          <w:rFonts w:ascii="Garamond" w:hAnsi="Garamond"/>
          <w:color w:val="000000" w:themeColor="text1"/>
          <w:sz w:val="24"/>
          <w:szCs w:val="24"/>
          <w:lang w:val="en-US"/>
        </w:rPr>
        <w:footnoteReference w:id="112"/>
      </w:r>
      <w:r w:rsidR="00404BCA" w:rsidRPr="00735740">
        <w:rPr>
          <w:rFonts w:ascii="Garamond" w:hAnsi="Garamond"/>
          <w:color w:val="000000" w:themeColor="text1"/>
          <w:sz w:val="24"/>
          <w:szCs w:val="24"/>
          <w:lang w:val="en-US"/>
        </w:rPr>
        <w:t xml:space="preserve"> </w:t>
      </w:r>
    </w:p>
    <w:p w14:paraId="119A8ADD" w14:textId="14E3469B" w:rsidR="00E35C64" w:rsidRPr="00735740" w:rsidRDefault="00E35C64" w:rsidP="00201640">
      <w:pPr>
        <w:spacing w:line="360" w:lineRule="auto"/>
        <w:rPr>
          <w:rFonts w:ascii="Garamond" w:hAnsi="Garamond"/>
          <w:color w:val="000000" w:themeColor="text1"/>
          <w:sz w:val="24"/>
          <w:szCs w:val="24"/>
        </w:rPr>
      </w:pPr>
      <w:r w:rsidRPr="00735740">
        <w:rPr>
          <w:rFonts w:ascii="Garamond" w:hAnsi="Garamond"/>
          <w:color w:val="000000" w:themeColor="text1"/>
          <w:sz w:val="24"/>
          <w:szCs w:val="24"/>
          <w:lang w:val="en-US"/>
        </w:rPr>
        <w:t xml:space="preserve">However, there </w:t>
      </w:r>
      <w:r w:rsidR="0074658B" w:rsidRPr="00735740">
        <w:rPr>
          <w:rFonts w:ascii="Garamond" w:hAnsi="Garamond"/>
          <w:color w:val="000000" w:themeColor="text1"/>
          <w:sz w:val="24"/>
          <w:szCs w:val="24"/>
          <w:lang w:val="en-US"/>
        </w:rPr>
        <w:t>was</w:t>
      </w:r>
      <w:r w:rsidRPr="00735740">
        <w:rPr>
          <w:rFonts w:ascii="Garamond" w:hAnsi="Garamond"/>
          <w:color w:val="000000" w:themeColor="text1"/>
          <w:sz w:val="24"/>
          <w:szCs w:val="24"/>
          <w:lang w:val="en-US"/>
        </w:rPr>
        <w:t xml:space="preserve"> a limit to which witnesses reclaimed</w:t>
      </w:r>
      <w:r w:rsidR="003F77C7" w:rsidRPr="00735740">
        <w:rPr>
          <w:rFonts w:ascii="Garamond" w:hAnsi="Garamond"/>
          <w:color w:val="000000" w:themeColor="text1"/>
          <w:sz w:val="24"/>
          <w:szCs w:val="24"/>
          <w:lang w:val="en-US"/>
        </w:rPr>
        <w:t xml:space="preserve"> </w:t>
      </w:r>
      <w:r w:rsidRPr="00735740">
        <w:rPr>
          <w:rFonts w:ascii="Garamond" w:hAnsi="Garamond"/>
          <w:color w:val="000000" w:themeColor="text1"/>
          <w:sz w:val="24"/>
          <w:szCs w:val="24"/>
          <w:lang w:val="en-US"/>
        </w:rPr>
        <w:t>authority to determine the archive’s rules</w:t>
      </w:r>
      <w:r w:rsidR="003F77C7" w:rsidRPr="00735740">
        <w:rPr>
          <w:rFonts w:ascii="Garamond" w:hAnsi="Garamond"/>
          <w:color w:val="000000" w:themeColor="text1"/>
          <w:sz w:val="24"/>
          <w:szCs w:val="24"/>
          <w:lang w:val="en-US"/>
        </w:rPr>
        <w:t>.</w:t>
      </w:r>
      <w:r w:rsidRPr="00735740">
        <w:rPr>
          <w:rFonts w:ascii="Garamond" w:hAnsi="Garamond"/>
          <w:color w:val="000000" w:themeColor="text1"/>
          <w:sz w:val="24"/>
          <w:szCs w:val="24"/>
          <w:lang w:val="en-US"/>
        </w:rPr>
        <w:t xml:space="preserve"> </w:t>
      </w:r>
      <w:r w:rsidRPr="00735740">
        <w:rPr>
          <w:rFonts w:ascii="Garamond" w:hAnsi="Garamond"/>
          <w:color w:val="000000" w:themeColor="text1"/>
          <w:sz w:val="24"/>
          <w:szCs w:val="24"/>
        </w:rPr>
        <w:t>Dr Ruzindana, for instance, indicated that despite attempts to ‘accommodate’ the specifics of Rwandan culture, a gap between the tribunal’s approach to knowledge production and the witnesses remained;</w:t>
      </w:r>
      <w:r w:rsidRPr="00735740">
        <w:rPr>
          <w:rFonts w:ascii="Garamond" w:hAnsi="Garamond"/>
          <w:color w:val="000000" w:themeColor="text1"/>
          <w:sz w:val="24"/>
          <w:szCs w:val="24"/>
          <w:vertAlign w:val="superscript"/>
        </w:rPr>
        <w:footnoteReference w:id="113"/>
      </w:r>
      <w:r w:rsidRPr="00735740">
        <w:rPr>
          <w:rFonts w:ascii="Garamond" w:hAnsi="Garamond"/>
          <w:color w:val="000000" w:themeColor="text1"/>
          <w:sz w:val="24"/>
          <w:szCs w:val="24"/>
        </w:rPr>
        <w:t xml:space="preserve"> a sentiment echoed by other Rwandese staff at the tribunal.</w:t>
      </w:r>
      <w:r w:rsidRPr="00735740">
        <w:rPr>
          <w:rFonts w:ascii="Garamond" w:hAnsi="Garamond"/>
          <w:color w:val="000000" w:themeColor="text1"/>
          <w:sz w:val="24"/>
          <w:szCs w:val="24"/>
          <w:vertAlign w:val="superscript"/>
        </w:rPr>
        <w:footnoteReference w:id="114"/>
      </w:r>
      <w:r w:rsidRPr="00735740">
        <w:rPr>
          <w:rFonts w:ascii="Garamond" w:hAnsi="Garamond"/>
          <w:color w:val="000000" w:themeColor="text1"/>
          <w:sz w:val="24"/>
          <w:szCs w:val="24"/>
        </w:rPr>
        <w:t xml:space="preserve"> A Rwandese prosecutor noted, with some anger, what he saw as the inappropriate questioning of witnesses’ knowledge without due sensitivity to what they had experienced.</w:t>
      </w:r>
      <w:r w:rsidRPr="00735740">
        <w:rPr>
          <w:rFonts w:ascii="Garamond" w:hAnsi="Garamond"/>
          <w:color w:val="000000" w:themeColor="text1"/>
          <w:sz w:val="24"/>
          <w:szCs w:val="24"/>
          <w:vertAlign w:val="superscript"/>
        </w:rPr>
        <w:footnoteReference w:id="115"/>
      </w:r>
      <w:r w:rsidRPr="00735740">
        <w:rPr>
          <w:rFonts w:ascii="Garamond" w:hAnsi="Garamond"/>
          <w:color w:val="000000" w:themeColor="text1"/>
          <w:sz w:val="24"/>
          <w:szCs w:val="24"/>
        </w:rPr>
        <w:t xml:space="preserve"> During Witness N’s testimony in </w:t>
      </w:r>
      <w:r w:rsidRPr="00735740">
        <w:rPr>
          <w:rFonts w:ascii="Garamond" w:hAnsi="Garamond"/>
          <w:i/>
          <w:color w:val="000000" w:themeColor="text1"/>
          <w:sz w:val="24"/>
          <w:szCs w:val="24"/>
        </w:rPr>
        <w:t>Akayesu</w:t>
      </w:r>
      <w:r w:rsidRPr="00735740">
        <w:rPr>
          <w:rFonts w:ascii="Garamond" w:hAnsi="Garamond"/>
          <w:color w:val="000000" w:themeColor="text1"/>
          <w:sz w:val="24"/>
          <w:szCs w:val="24"/>
        </w:rPr>
        <w:t xml:space="preserve">, for instance, the witness was frustrated by questions about the veracity of her knowledge regarding the death of her family. However, rather than </w:t>
      </w:r>
      <w:r w:rsidR="00D72253" w:rsidRPr="00735740">
        <w:rPr>
          <w:rFonts w:ascii="Garamond" w:hAnsi="Garamond"/>
          <w:color w:val="000000" w:themeColor="text1"/>
          <w:sz w:val="24"/>
          <w:szCs w:val="24"/>
        </w:rPr>
        <w:t>responding to this by changing the approach of questioning</w:t>
      </w:r>
      <w:r w:rsidRPr="00735740">
        <w:rPr>
          <w:rFonts w:ascii="Garamond" w:hAnsi="Garamond"/>
          <w:color w:val="000000" w:themeColor="text1"/>
          <w:sz w:val="24"/>
          <w:szCs w:val="24"/>
        </w:rPr>
        <w:t xml:space="preserve">, </w:t>
      </w:r>
      <w:r w:rsidR="009B5171" w:rsidRPr="00735740">
        <w:rPr>
          <w:rFonts w:ascii="Garamond" w:hAnsi="Garamond"/>
          <w:color w:val="000000" w:themeColor="text1"/>
          <w:sz w:val="24"/>
          <w:szCs w:val="24"/>
        </w:rPr>
        <w:t>the judges</w:t>
      </w:r>
      <w:r w:rsidRPr="00735740">
        <w:rPr>
          <w:rFonts w:ascii="Garamond" w:hAnsi="Garamond"/>
          <w:color w:val="000000" w:themeColor="text1"/>
          <w:sz w:val="24"/>
          <w:szCs w:val="24"/>
        </w:rPr>
        <w:t xml:space="preserve"> requested </w:t>
      </w:r>
      <w:r w:rsidR="00D72253" w:rsidRPr="00735740">
        <w:rPr>
          <w:rFonts w:ascii="Garamond" w:hAnsi="Garamond"/>
          <w:color w:val="000000" w:themeColor="text1"/>
          <w:sz w:val="24"/>
          <w:szCs w:val="24"/>
        </w:rPr>
        <w:t xml:space="preserve">that the witness </w:t>
      </w:r>
      <w:r w:rsidRPr="00735740">
        <w:rPr>
          <w:rFonts w:ascii="Garamond" w:hAnsi="Garamond"/>
          <w:color w:val="000000" w:themeColor="text1"/>
          <w:sz w:val="24"/>
          <w:szCs w:val="24"/>
        </w:rPr>
        <w:t xml:space="preserve">alter her practice </w:t>
      </w:r>
      <w:r w:rsidR="00D72253" w:rsidRPr="00735740">
        <w:rPr>
          <w:rFonts w:ascii="Garamond" w:hAnsi="Garamond"/>
          <w:color w:val="000000" w:themeColor="text1"/>
          <w:sz w:val="24"/>
          <w:szCs w:val="24"/>
        </w:rPr>
        <w:t>to</w:t>
      </w:r>
      <w:r w:rsidRPr="00735740">
        <w:rPr>
          <w:rFonts w:ascii="Garamond" w:hAnsi="Garamond"/>
          <w:color w:val="000000" w:themeColor="text1"/>
          <w:sz w:val="24"/>
          <w:szCs w:val="24"/>
        </w:rPr>
        <w:t xml:space="preserve"> ‘speak without hatred, without any emotion’.</w:t>
      </w:r>
      <w:r w:rsidRPr="00735740">
        <w:rPr>
          <w:rFonts w:ascii="Garamond" w:hAnsi="Garamond"/>
          <w:color w:val="000000" w:themeColor="text1"/>
          <w:sz w:val="24"/>
          <w:szCs w:val="24"/>
          <w:vertAlign w:val="superscript"/>
        </w:rPr>
        <w:footnoteReference w:id="116"/>
      </w:r>
      <w:r w:rsidRPr="00735740">
        <w:rPr>
          <w:rFonts w:ascii="Garamond" w:hAnsi="Garamond"/>
          <w:color w:val="000000" w:themeColor="text1"/>
          <w:sz w:val="24"/>
          <w:szCs w:val="24"/>
        </w:rPr>
        <w:t xml:space="preserve"> Moreover, </w:t>
      </w:r>
      <w:r w:rsidR="00D72253" w:rsidRPr="00735740">
        <w:rPr>
          <w:rFonts w:ascii="Garamond" w:hAnsi="Garamond"/>
          <w:color w:val="000000" w:themeColor="text1"/>
          <w:sz w:val="24"/>
          <w:szCs w:val="24"/>
        </w:rPr>
        <w:t xml:space="preserve">despite </w:t>
      </w:r>
      <w:r w:rsidRPr="00735740">
        <w:rPr>
          <w:rFonts w:ascii="Garamond" w:hAnsi="Garamond"/>
          <w:color w:val="000000" w:themeColor="text1"/>
          <w:sz w:val="24"/>
          <w:szCs w:val="24"/>
        </w:rPr>
        <w:t>the tribunal acknowledg</w:t>
      </w:r>
      <w:r w:rsidR="00D72253" w:rsidRPr="00735740">
        <w:rPr>
          <w:rFonts w:ascii="Garamond" w:hAnsi="Garamond"/>
          <w:color w:val="000000" w:themeColor="text1"/>
          <w:sz w:val="24"/>
          <w:szCs w:val="24"/>
        </w:rPr>
        <w:t>ing</w:t>
      </w:r>
      <w:r w:rsidRPr="00735740">
        <w:rPr>
          <w:rFonts w:ascii="Garamond" w:hAnsi="Garamond"/>
          <w:color w:val="000000" w:themeColor="text1"/>
          <w:sz w:val="24"/>
          <w:szCs w:val="24"/>
        </w:rPr>
        <w:t xml:space="preserve"> the value of hearsay evidence to Rwandans, </w:t>
      </w:r>
      <w:r w:rsidR="004E11DF" w:rsidRPr="00735740">
        <w:rPr>
          <w:rFonts w:ascii="Garamond" w:hAnsi="Garamond"/>
          <w:color w:val="000000" w:themeColor="text1"/>
          <w:sz w:val="24"/>
          <w:szCs w:val="24"/>
        </w:rPr>
        <w:t>rather than give hearsay more probative weight</w:t>
      </w:r>
      <w:r w:rsidR="001A2F92" w:rsidRPr="00735740">
        <w:rPr>
          <w:rFonts w:ascii="Garamond" w:hAnsi="Garamond"/>
          <w:color w:val="000000" w:themeColor="text1"/>
          <w:sz w:val="24"/>
          <w:szCs w:val="24"/>
        </w:rPr>
        <w:t xml:space="preserve">, </w:t>
      </w:r>
      <w:r w:rsidRPr="00735740">
        <w:rPr>
          <w:rFonts w:ascii="Garamond" w:hAnsi="Garamond"/>
          <w:color w:val="000000" w:themeColor="text1"/>
          <w:sz w:val="24"/>
          <w:szCs w:val="24"/>
        </w:rPr>
        <w:t>courtroom practice</w:t>
      </w:r>
      <w:r w:rsidR="004E11DF" w:rsidRPr="00735740">
        <w:rPr>
          <w:rFonts w:ascii="Garamond" w:hAnsi="Garamond"/>
          <w:color w:val="000000" w:themeColor="text1"/>
          <w:sz w:val="24"/>
          <w:szCs w:val="24"/>
        </w:rPr>
        <w:t>s were</w:t>
      </w:r>
      <w:r w:rsidRPr="00735740">
        <w:rPr>
          <w:rFonts w:ascii="Garamond" w:hAnsi="Garamond"/>
          <w:color w:val="000000" w:themeColor="text1"/>
          <w:sz w:val="24"/>
          <w:szCs w:val="24"/>
        </w:rPr>
        <w:t xml:space="preserve"> adapted to ask more specific questions </w:t>
      </w:r>
      <w:r w:rsidR="00D57984" w:rsidRPr="00735740">
        <w:rPr>
          <w:rFonts w:ascii="Garamond" w:hAnsi="Garamond"/>
          <w:color w:val="000000" w:themeColor="text1"/>
          <w:sz w:val="24"/>
          <w:szCs w:val="24"/>
        </w:rPr>
        <w:t>to determine</w:t>
      </w:r>
      <w:r w:rsidRPr="00735740">
        <w:rPr>
          <w:rFonts w:ascii="Garamond" w:hAnsi="Garamond"/>
          <w:color w:val="000000" w:themeColor="text1"/>
          <w:sz w:val="24"/>
          <w:szCs w:val="24"/>
        </w:rPr>
        <w:t xml:space="preserve"> the source of witnesses</w:t>
      </w:r>
      <w:r w:rsidR="00CE24F3" w:rsidRPr="00735740">
        <w:rPr>
          <w:rFonts w:ascii="Garamond" w:hAnsi="Garamond"/>
          <w:color w:val="000000" w:themeColor="text1"/>
          <w:sz w:val="24"/>
          <w:szCs w:val="24"/>
        </w:rPr>
        <w:t>’</w:t>
      </w:r>
      <w:r w:rsidRPr="00735740">
        <w:rPr>
          <w:rFonts w:ascii="Garamond" w:hAnsi="Garamond"/>
          <w:color w:val="000000" w:themeColor="text1"/>
          <w:sz w:val="24"/>
          <w:szCs w:val="24"/>
        </w:rPr>
        <w:t xml:space="preserve"> testimony</w:t>
      </w:r>
      <w:r w:rsidR="003617DD" w:rsidRPr="00735740">
        <w:rPr>
          <w:rFonts w:ascii="Garamond" w:hAnsi="Garamond"/>
          <w:color w:val="000000" w:themeColor="text1"/>
          <w:sz w:val="24"/>
          <w:szCs w:val="24"/>
        </w:rPr>
        <w:t xml:space="preserve">. </w:t>
      </w:r>
      <w:r w:rsidR="00A8256E" w:rsidRPr="00735740">
        <w:rPr>
          <w:rFonts w:ascii="Garamond" w:hAnsi="Garamond"/>
          <w:color w:val="000000" w:themeColor="text1"/>
          <w:sz w:val="24"/>
          <w:szCs w:val="24"/>
        </w:rPr>
        <w:t>This allowed the court to distinguish between the ‘more substantive’ sight witnessing, and the ‘less credible’ hearsay.</w:t>
      </w:r>
      <w:r w:rsidR="00A8256E" w:rsidRPr="00735740">
        <w:rPr>
          <w:rFonts w:ascii="Garamond" w:hAnsi="Garamond"/>
          <w:color w:val="000000" w:themeColor="text1"/>
          <w:sz w:val="24"/>
          <w:szCs w:val="24"/>
          <w:vertAlign w:val="superscript"/>
        </w:rPr>
        <w:footnoteReference w:id="117"/>
      </w:r>
      <w:r w:rsidR="00A8256E" w:rsidRPr="00735740">
        <w:rPr>
          <w:rFonts w:ascii="Garamond" w:hAnsi="Garamond"/>
          <w:color w:val="000000" w:themeColor="text1"/>
          <w:sz w:val="24"/>
          <w:szCs w:val="24"/>
        </w:rPr>
        <w:t xml:space="preserve"> Whilst not denying the hybrid state of archive, it is clear that the power to determine the ‘hierarchy of credibility’ remained with the legal actors rather than the witnesses.</w:t>
      </w:r>
      <w:r w:rsidR="00A8256E" w:rsidRPr="00735740">
        <w:rPr>
          <w:rFonts w:ascii="Garamond" w:hAnsi="Garamond"/>
          <w:color w:val="000000" w:themeColor="text1"/>
          <w:sz w:val="24"/>
          <w:szCs w:val="24"/>
          <w:vertAlign w:val="superscript"/>
        </w:rPr>
        <w:footnoteReference w:id="118"/>
      </w:r>
      <w:r w:rsidR="00A8256E" w:rsidRPr="00735740">
        <w:rPr>
          <w:rFonts w:ascii="Garamond" w:hAnsi="Garamond"/>
          <w:color w:val="000000" w:themeColor="text1"/>
          <w:sz w:val="24"/>
          <w:szCs w:val="24"/>
        </w:rPr>
        <w:t xml:space="preserve"> </w:t>
      </w:r>
    </w:p>
    <w:p w14:paraId="70CDF7A8" w14:textId="56D08222" w:rsidR="00E35C64" w:rsidRPr="00735740" w:rsidRDefault="00E35C64" w:rsidP="00201640">
      <w:pPr>
        <w:spacing w:line="360" w:lineRule="auto"/>
        <w:rPr>
          <w:rFonts w:ascii="Garamond" w:hAnsi="Garamond"/>
          <w:color w:val="000000" w:themeColor="text1"/>
          <w:sz w:val="24"/>
          <w:szCs w:val="24"/>
        </w:rPr>
      </w:pPr>
      <w:r w:rsidRPr="00735740">
        <w:rPr>
          <w:rFonts w:ascii="Garamond" w:hAnsi="Garamond"/>
          <w:color w:val="000000" w:themeColor="text1"/>
          <w:sz w:val="24"/>
          <w:szCs w:val="24"/>
        </w:rPr>
        <w:t xml:space="preserve">A manual circulated to witnesses prior to participating in the trials further evidences </w:t>
      </w:r>
      <w:r w:rsidR="005B35BD" w:rsidRPr="00735740">
        <w:rPr>
          <w:rFonts w:ascii="Garamond" w:hAnsi="Garamond"/>
          <w:color w:val="000000" w:themeColor="text1"/>
          <w:sz w:val="24"/>
          <w:szCs w:val="24"/>
        </w:rPr>
        <w:t xml:space="preserve">this </w:t>
      </w:r>
      <w:r w:rsidR="00A90C0B" w:rsidRPr="00735740">
        <w:rPr>
          <w:rFonts w:ascii="Garamond" w:hAnsi="Garamond"/>
          <w:color w:val="000000" w:themeColor="text1"/>
          <w:sz w:val="24"/>
          <w:szCs w:val="24"/>
        </w:rPr>
        <w:t>imbalance of power</w:t>
      </w:r>
      <w:r w:rsidRPr="00735740">
        <w:rPr>
          <w:rFonts w:ascii="Garamond" w:hAnsi="Garamond"/>
          <w:color w:val="000000" w:themeColor="text1"/>
          <w:sz w:val="24"/>
          <w:szCs w:val="24"/>
        </w:rPr>
        <w:t>.</w:t>
      </w:r>
      <w:r w:rsidRPr="00735740">
        <w:rPr>
          <w:rFonts w:ascii="Garamond" w:hAnsi="Garamond"/>
          <w:color w:val="000000" w:themeColor="text1"/>
          <w:sz w:val="24"/>
          <w:szCs w:val="24"/>
          <w:vertAlign w:val="superscript"/>
        </w:rPr>
        <w:footnoteReference w:id="119"/>
      </w:r>
      <w:r w:rsidRPr="00735740">
        <w:rPr>
          <w:rFonts w:ascii="Garamond" w:hAnsi="Garamond"/>
          <w:color w:val="000000" w:themeColor="text1"/>
          <w:sz w:val="24"/>
          <w:szCs w:val="24"/>
        </w:rPr>
        <w:t xml:space="preserve"> Within the manual, there was no sense of the tribunal making allowances for the witnesses’ experiences</w:t>
      </w:r>
      <w:r w:rsidR="00B500CF" w:rsidRPr="00735740">
        <w:rPr>
          <w:rFonts w:ascii="Garamond" w:hAnsi="Garamond"/>
          <w:color w:val="000000" w:themeColor="text1"/>
          <w:sz w:val="24"/>
          <w:szCs w:val="24"/>
        </w:rPr>
        <w:t>. Instead, it</w:t>
      </w:r>
      <w:r w:rsidRPr="00735740">
        <w:rPr>
          <w:rFonts w:ascii="Garamond" w:hAnsi="Garamond"/>
          <w:color w:val="000000" w:themeColor="text1"/>
          <w:sz w:val="24"/>
          <w:szCs w:val="24"/>
        </w:rPr>
        <w:t xml:space="preserve"> focused on: the importance of telling the truth (including stressing the penalty for those that lied to the tribunal)</w:t>
      </w:r>
      <w:r w:rsidR="00B500CF" w:rsidRPr="00735740">
        <w:rPr>
          <w:rFonts w:ascii="Garamond" w:hAnsi="Garamond"/>
          <w:color w:val="000000" w:themeColor="text1"/>
          <w:sz w:val="24"/>
          <w:szCs w:val="24"/>
        </w:rPr>
        <w:t>;</w:t>
      </w:r>
      <w:r w:rsidRPr="00735740">
        <w:rPr>
          <w:rFonts w:ascii="Garamond" w:hAnsi="Garamond"/>
          <w:color w:val="000000" w:themeColor="text1"/>
          <w:sz w:val="24"/>
          <w:szCs w:val="24"/>
        </w:rPr>
        <w:t xml:space="preserve"> how witnesses should deliver their testimony (to speak slowly, and to only speak of what they really </w:t>
      </w:r>
      <w:r w:rsidRPr="00735740">
        <w:rPr>
          <w:rFonts w:ascii="Garamond" w:hAnsi="Garamond"/>
          <w:i/>
          <w:color w:val="000000" w:themeColor="text1"/>
          <w:sz w:val="24"/>
          <w:szCs w:val="24"/>
        </w:rPr>
        <w:t>knew</w:t>
      </w:r>
      <w:r w:rsidRPr="00735740">
        <w:rPr>
          <w:rFonts w:ascii="Garamond" w:hAnsi="Garamond"/>
          <w:color w:val="000000" w:themeColor="text1"/>
          <w:sz w:val="24"/>
          <w:szCs w:val="24"/>
        </w:rPr>
        <w:t>–including distinguishing between what they saw and heard)</w:t>
      </w:r>
      <w:r w:rsidR="00B500CF" w:rsidRPr="00735740">
        <w:rPr>
          <w:rFonts w:ascii="Garamond" w:hAnsi="Garamond"/>
          <w:color w:val="000000" w:themeColor="text1"/>
          <w:sz w:val="24"/>
          <w:szCs w:val="24"/>
        </w:rPr>
        <w:t>;</w:t>
      </w:r>
      <w:r w:rsidRPr="00735740">
        <w:rPr>
          <w:rFonts w:ascii="Garamond" w:hAnsi="Garamond"/>
          <w:color w:val="000000" w:themeColor="text1"/>
          <w:sz w:val="24"/>
          <w:szCs w:val="24"/>
        </w:rPr>
        <w:t xml:space="preserve"> and their need to respect the status and duties of tribunal staff when questioned.</w:t>
      </w:r>
      <w:r w:rsidRPr="00735740">
        <w:rPr>
          <w:rFonts w:ascii="Garamond" w:hAnsi="Garamond"/>
          <w:color w:val="000000" w:themeColor="text1"/>
          <w:sz w:val="24"/>
          <w:szCs w:val="24"/>
          <w:vertAlign w:val="superscript"/>
        </w:rPr>
        <w:footnoteReference w:id="120"/>
      </w:r>
      <w:r w:rsidRPr="00735740">
        <w:rPr>
          <w:rFonts w:ascii="Garamond" w:hAnsi="Garamond"/>
          <w:color w:val="000000" w:themeColor="text1"/>
          <w:sz w:val="24"/>
          <w:szCs w:val="24"/>
        </w:rPr>
        <w:t xml:space="preserve"> This made clear the power-relations at play between the </w:t>
      </w:r>
      <w:r w:rsidRPr="00735740">
        <w:rPr>
          <w:rFonts w:ascii="Garamond" w:hAnsi="Garamond"/>
          <w:color w:val="000000" w:themeColor="text1"/>
          <w:sz w:val="24"/>
          <w:szCs w:val="24"/>
        </w:rPr>
        <w:lastRenderedPageBreak/>
        <w:t>different actors in the tribunal and in the production of the archive, and the witnesses’ subservience to those rules.</w:t>
      </w:r>
      <w:r w:rsidRPr="00735740">
        <w:rPr>
          <w:rFonts w:ascii="Garamond" w:hAnsi="Garamond"/>
          <w:color w:val="000000" w:themeColor="text1"/>
          <w:sz w:val="24"/>
          <w:szCs w:val="24"/>
          <w:vertAlign w:val="superscript"/>
        </w:rPr>
        <w:footnoteReference w:id="121"/>
      </w:r>
    </w:p>
    <w:p w14:paraId="084A6A73" w14:textId="6C722E2F" w:rsidR="00E35C64" w:rsidRPr="00735740" w:rsidRDefault="00E35C64" w:rsidP="00201640">
      <w:pPr>
        <w:spacing w:line="360" w:lineRule="auto"/>
        <w:rPr>
          <w:rFonts w:ascii="Garamond" w:hAnsi="Garamond"/>
          <w:color w:val="000000" w:themeColor="text1"/>
          <w:sz w:val="24"/>
          <w:szCs w:val="24"/>
        </w:rPr>
      </w:pPr>
      <w:r w:rsidRPr="00735740">
        <w:rPr>
          <w:rFonts w:ascii="Garamond" w:hAnsi="Garamond"/>
          <w:color w:val="000000" w:themeColor="text1"/>
          <w:sz w:val="24"/>
          <w:szCs w:val="24"/>
        </w:rPr>
        <w:t xml:space="preserve">This power-dynamic was solidified further as </w:t>
      </w:r>
      <w:r w:rsidR="00EF1ED8" w:rsidRPr="00735740">
        <w:rPr>
          <w:rFonts w:ascii="Garamond" w:hAnsi="Garamond"/>
          <w:color w:val="000000" w:themeColor="text1"/>
          <w:sz w:val="24"/>
          <w:szCs w:val="24"/>
        </w:rPr>
        <w:t>the UN decided where the archive should be located after the tribunal had closed down.</w:t>
      </w:r>
      <w:r w:rsidRPr="00735740">
        <w:rPr>
          <w:rFonts w:ascii="Garamond" w:hAnsi="Garamond"/>
          <w:color w:val="000000" w:themeColor="text1"/>
          <w:sz w:val="24"/>
          <w:szCs w:val="24"/>
          <w:lang w:val="en-US"/>
        </w:rPr>
        <w:t xml:space="preserve"> Two claims were made </w:t>
      </w:r>
      <w:r w:rsidR="00CE24F3" w:rsidRPr="00735740">
        <w:rPr>
          <w:rFonts w:ascii="Garamond" w:hAnsi="Garamond"/>
          <w:color w:val="000000" w:themeColor="text1"/>
          <w:sz w:val="24"/>
          <w:szCs w:val="24"/>
          <w:lang w:val="en-US"/>
        </w:rPr>
        <w:t>about</w:t>
      </w:r>
      <w:r w:rsidRPr="00735740">
        <w:rPr>
          <w:rFonts w:ascii="Garamond" w:hAnsi="Garamond"/>
          <w:color w:val="000000" w:themeColor="text1"/>
          <w:sz w:val="24"/>
          <w:szCs w:val="24"/>
          <w:lang w:val="en-US"/>
        </w:rPr>
        <w:t xml:space="preserve"> who owned the archive, where it should be located and what it was for. The Rwandan government argued</w:t>
      </w:r>
      <w:r w:rsidRPr="00735740">
        <w:rPr>
          <w:rFonts w:ascii="Garamond" w:hAnsi="Garamond"/>
          <w:color w:val="000000" w:themeColor="text1"/>
          <w:sz w:val="24"/>
          <w:szCs w:val="24"/>
        </w:rPr>
        <w:t xml:space="preserve"> that the archives had been produced by Rwandan witnesses, and supposedly for Rwanda. As such, it contained </w:t>
      </w:r>
      <w:r w:rsidRPr="00735740">
        <w:rPr>
          <w:rFonts w:ascii="Garamond" w:hAnsi="Garamond"/>
          <w:i/>
          <w:color w:val="000000" w:themeColor="text1"/>
          <w:sz w:val="24"/>
          <w:szCs w:val="24"/>
        </w:rPr>
        <w:t>their</w:t>
      </w:r>
      <w:r w:rsidRPr="00735740">
        <w:rPr>
          <w:rFonts w:ascii="Garamond" w:hAnsi="Garamond"/>
          <w:color w:val="000000" w:themeColor="text1"/>
          <w:sz w:val="24"/>
          <w:szCs w:val="24"/>
        </w:rPr>
        <w:t xml:space="preserve"> history, </w:t>
      </w:r>
      <w:r w:rsidRPr="00735740">
        <w:rPr>
          <w:rFonts w:ascii="Garamond" w:hAnsi="Garamond"/>
          <w:i/>
          <w:color w:val="000000" w:themeColor="text1"/>
          <w:sz w:val="24"/>
          <w:szCs w:val="24"/>
        </w:rPr>
        <w:t>their</w:t>
      </w:r>
      <w:r w:rsidRPr="00735740">
        <w:rPr>
          <w:rFonts w:ascii="Garamond" w:hAnsi="Garamond"/>
          <w:color w:val="000000" w:themeColor="text1"/>
          <w:sz w:val="24"/>
          <w:szCs w:val="24"/>
        </w:rPr>
        <w:t xml:space="preserve"> memories and so belonged in Rwanda.</w:t>
      </w:r>
      <w:r w:rsidRPr="00735740">
        <w:rPr>
          <w:rFonts w:ascii="Garamond" w:hAnsi="Garamond"/>
          <w:color w:val="000000" w:themeColor="text1"/>
          <w:sz w:val="24"/>
          <w:szCs w:val="24"/>
          <w:vertAlign w:val="superscript"/>
        </w:rPr>
        <w:footnoteReference w:id="122"/>
      </w:r>
      <w:r w:rsidRPr="00735740">
        <w:rPr>
          <w:rFonts w:ascii="Garamond" w:hAnsi="Garamond"/>
          <w:color w:val="000000" w:themeColor="text1"/>
          <w:sz w:val="24"/>
          <w:szCs w:val="24"/>
        </w:rPr>
        <w:t xml:space="preserve"> Whilst the UN acknowledged that the archive had a secondary value as a source of history and memory, they argued its primary value was that it contained the institutional memory of the tribunal, and so was valuable from a legal and bureaucratic perspective.</w:t>
      </w:r>
      <w:r w:rsidRPr="00735740">
        <w:rPr>
          <w:rFonts w:ascii="Garamond" w:hAnsi="Garamond"/>
          <w:color w:val="000000" w:themeColor="text1"/>
          <w:sz w:val="24"/>
          <w:szCs w:val="24"/>
          <w:vertAlign w:val="superscript"/>
        </w:rPr>
        <w:footnoteReference w:id="123"/>
      </w:r>
      <w:r w:rsidRPr="00735740">
        <w:rPr>
          <w:rFonts w:ascii="Garamond" w:hAnsi="Garamond"/>
          <w:color w:val="000000" w:themeColor="text1"/>
          <w:sz w:val="24"/>
          <w:szCs w:val="24"/>
        </w:rPr>
        <w:t xml:space="preserve"> Consequently, </w:t>
      </w:r>
      <w:r w:rsidRPr="00735740">
        <w:rPr>
          <w:rFonts w:ascii="Garamond" w:hAnsi="Garamond"/>
          <w:color w:val="000000" w:themeColor="text1"/>
          <w:sz w:val="24"/>
          <w:szCs w:val="24"/>
          <w:lang w:val="en-US"/>
        </w:rPr>
        <w:t>the UN argued that the archive needed to stay in Arusha where it could assist the Mechanism for the International Criminal Tribunals (MICT), which was to take over any of the tribunal’s residual functions once it had closed down.</w:t>
      </w:r>
      <w:r w:rsidRPr="00735740">
        <w:rPr>
          <w:rFonts w:ascii="Garamond" w:hAnsi="Garamond"/>
          <w:color w:val="000000" w:themeColor="text1"/>
          <w:sz w:val="24"/>
          <w:szCs w:val="24"/>
          <w:vertAlign w:val="superscript"/>
          <w:lang w:val="en-US"/>
        </w:rPr>
        <w:footnoteReference w:id="124"/>
      </w:r>
      <w:r w:rsidRPr="00735740">
        <w:rPr>
          <w:rFonts w:ascii="Garamond" w:hAnsi="Garamond"/>
          <w:color w:val="000000" w:themeColor="text1"/>
          <w:sz w:val="24"/>
          <w:szCs w:val="24"/>
          <w:lang w:val="en-US"/>
        </w:rPr>
        <w:t xml:space="preserve"> The UN won this battle</w:t>
      </w:r>
      <w:r w:rsidR="009E5482" w:rsidRPr="00735740">
        <w:rPr>
          <w:rFonts w:ascii="Garamond" w:hAnsi="Garamond"/>
          <w:color w:val="000000" w:themeColor="text1"/>
          <w:sz w:val="24"/>
          <w:szCs w:val="24"/>
          <w:lang w:val="en-US"/>
        </w:rPr>
        <w:t xml:space="preserve">, and this </w:t>
      </w:r>
      <w:r w:rsidRPr="00735740">
        <w:rPr>
          <w:rFonts w:ascii="Garamond" w:hAnsi="Garamond"/>
          <w:color w:val="000000" w:themeColor="text1"/>
          <w:sz w:val="24"/>
          <w:szCs w:val="24"/>
          <w:lang w:val="en-US"/>
        </w:rPr>
        <w:t xml:space="preserve">outcome also cemented the decision to build a new </w:t>
      </w:r>
      <w:r w:rsidR="001A2F92" w:rsidRPr="00735740">
        <w:rPr>
          <w:rFonts w:ascii="Garamond" w:hAnsi="Garamond"/>
          <w:color w:val="000000" w:themeColor="text1"/>
          <w:sz w:val="24"/>
          <w:szCs w:val="24"/>
          <w:lang w:val="en-US"/>
        </w:rPr>
        <w:t xml:space="preserve">archive </w:t>
      </w:r>
      <w:r w:rsidRPr="00735740">
        <w:rPr>
          <w:rFonts w:ascii="Garamond" w:hAnsi="Garamond"/>
          <w:color w:val="000000" w:themeColor="text1"/>
          <w:sz w:val="24"/>
          <w:szCs w:val="24"/>
          <w:lang w:val="en-US"/>
        </w:rPr>
        <w:t>facility for the MICT</w:t>
      </w:r>
      <w:r w:rsidR="009E5482" w:rsidRPr="00735740">
        <w:rPr>
          <w:rFonts w:ascii="Garamond" w:hAnsi="Garamond"/>
          <w:color w:val="000000" w:themeColor="text1"/>
          <w:sz w:val="24"/>
          <w:szCs w:val="24"/>
          <w:lang w:val="en-US"/>
        </w:rPr>
        <w:t xml:space="preserve"> in Arusha to house the records in </w:t>
      </w:r>
      <w:r w:rsidRPr="00735740">
        <w:rPr>
          <w:rFonts w:ascii="Garamond" w:hAnsi="Garamond"/>
          <w:color w:val="000000" w:themeColor="text1"/>
          <w:sz w:val="24"/>
          <w:szCs w:val="24"/>
          <w:lang w:val="en-US"/>
        </w:rPr>
        <w:t xml:space="preserve">perpetuity. </w:t>
      </w:r>
    </w:p>
    <w:p w14:paraId="29E260B2" w14:textId="7455E45B" w:rsidR="00E35C64" w:rsidRPr="00735740" w:rsidRDefault="00E35C64" w:rsidP="00201640">
      <w:pPr>
        <w:spacing w:line="360" w:lineRule="auto"/>
        <w:rPr>
          <w:rFonts w:ascii="Garamond" w:hAnsi="Garamond"/>
          <w:color w:val="000000" w:themeColor="text1"/>
          <w:sz w:val="24"/>
          <w:szCs w:val="24"/>
          <w:lang w:val="en-US"/>
        </w:rPr>
      </w:pPr>
      <w:r w:rsidRPr="00735740">
        <w:rPr>
          <w:rFonts w:ascii="Garamond" w:hAnsi="Garamond"/>
          <w:color w:val="000000" w:themeColor="text1"/>
          <w:sz w:val="24"/>
          <w:szCs w:val="24"/>
          <w:lang w:val="en-US"/>
        </w:rPr>
        <w:t>Th</w:t>
      </w:r>
      <w:r w:rsidR="00B500CF" w:rsidRPr="00735740">
        <w:rPr>
          <w:rFonts w:ascii="Garamond" w:hAnsi="Garamond"/>
          <w:color w:val="000000" w:themeColor="text1"/>
          <w:sz w:val="24"/>
          <w:szCs w:val="24"/>
          <w:lang w:val="en-US"/>
        </w:rPr>
        <w:t>is</w:t>
      </w:r>
      <w:r w:rsidRPr="00735740">
        <w:rPr>
          <w:rFonts w:ascii="Garamond" w:hAnsi="Garamond"/>
          <w:color w:val="000000" w:themeColor="text1"/>
          <w:sz w:val="24"/>
          <w:szCs w:val="24"/>
          <w:lang w:val="en-US"/>
        </w:rPr>
        <w:t xml:space="preserve"> decision brought to the fore a number of contradictions about the tribunal’s purpose</w:t>
      </w:r>
      <w:r w:rsidR="004A4A89" w:rsidRPr="00735740">
        <w:rPr>
          <w:rFonts w:ascii="Garamond" w:hAnsi="Garamond"/>
          <w:color w:val="000000" w:themeColor="text1"/>
          <w:sz w:val="24"/>
          <w:szCs w:val="24"/>
          <w:lang w:val="en-US"/>
        </w:rPr>
        <w:t xml:space="preserve">, and again is revealing of </w:t>
      </w:r>
      <w:r w:rsidR="009E4528" w:rsidRPr="00735740">
        <w:rPr>
          <w:rFonts w:ascii="Garamond" w:hAnsi="Garamond"/>
          <w:color w:val="000000" w:themeColor="text1"/>
          <w:sz w:val="24"/>
          <w:szCs w:val="24"/>
          <w:lang w:val="en-US"/>
        </w:rPr>
        <w:t xml:space="preserve">the importance of </w:t>
      </w:r>
      <w:r w:rsidR="004A4A89" w:rsidRPr="00735740">
        <w:rPr>
          <w:rFonts w:ascii="Garamond" w:hAnsi="Garamond"/>
          <w:color w:val="000000" w:themeColor="text1"/>
          <w:sz w:val="24"/>
          <w:szCs w:val="24"/>
          <w:lang w:val="en-US"/>
        </w:rPr>
        <w:t>the material</w:t>
      </w:r>
      <w:r w:rsidR="009E4528" w:rsidRPr="00735740">
        <w:rPr>
          <w:rFonts w:ascii="Garamond" w:hAnsi="Garamond"/>
          <w:color w:val="000000" w:themeColor="text1"/>
          <w:sz w:val="24"/>
          <w:szCs w:val="24"/>
          <w:lang w:val="en-US"/>
        </w:rPr>
        <w:t>ity of the archive</w:t>
      </w:r>
      <w:r w:rsidRPr="00735740">
        <w:rPr>
          <w:rFonts w:ascii="Garamond" w:hAnsi="Garamond"/>
          <w:color w:val="000000" w:themeColor="text1"/>
          <w:sz w:val="24"/>
          <w:szCs w:val="24"/>
          <w:lang w:val="en-US"/>
        </w:rPr>
        <w:t xml:space="preserve">.  At the ICTR’s outset, </w:t>
      </w:r>
      <w:r w:rsidR="004A4A89" w:rsidRPr="00735740">
        <w:rPr>
          <w:rFonts w:ascii="Garamond" w:hAnsi="Garamond"/>
          <w:color w:val="000000" w:themeColor="text1"/>
          <w:sz w:val="24"/>
          <w:szCs w:val="24"/>
          <w:lang w:val="en-US"/>
        </w:rPr>
        <w:t xml:space="preserve">rhetorically at least, </w:t>
      </w:r>
      <w:r w:rsidRPr="00735740">
        <w:rPr>
          <w:rFonts w:ascii="Garamond" w:hAnsi="Garamond"/>
          <w:color w:val="000000" w:themeColor="text1"/>
          <w:sz w:val="24"/>
          <w:szCs w:val="24"/>
          <w:lang w:val="en-US"/>
        </w:rPr>
        <w:t>the tribunal</w:t>
      </w:r>
      <w:r w:rsidR="004A4A89" w:rsidRPr="00735740">
        <w:rPr>
          <w:rFonts w:ascii="Garamond" w:hAnsi="Garamond"/>
          <w:color w:val="000000" w:themeColor="text1"/>
          <w:sz w:val="24"/>
          <w:szCs w:val="24"/>
          <w:lang w:val="en-US"/>
        </w:rPr>
        <w:t xml:space="preserve">’s creators presented it as something </w:t>
      </w:r>
      <w:r w:rsidR="00CE24F3" w:rsidRPr="00735740">
        <w:rPr>
          <w:rFonts w:ascii="Garamond" w:hAnsi="Garamond"/>
          <w:color w:val="000000" w:themeColor="text1"/>
          <w:sz w:val="24"/>
          <w:szCs w:val="24"/>
          <w:lang w:val="en-US"/>
        </w:rPr>
        <w:t xml:space="preserve">that </w:t>
      </w:r>
      <w:r w:rsidRPr="00735740">
        <w:rPr>
          <w:rFonts w:ascii="Garamond" w:hAnsi="Garamond"/>
          <w:color w:val="000000" w:themeColor="text1"/>
          <w:sz w:val="24"/>
          <w:szCs w:val="24"/>
          <w:lang w:val="en-US"/>
        </w:rPr>
        <w:t xml:space="preserve">could be all things to all people. Not only a site of law and justice, it would also produce a verified account of </w:t>
      </w:r>
      <w:r w:rsidR="00CE24F3" w:rsidRPr="00735740">
        <w:rPr>
          <w:rFonts w:ascii="Garamond" w:hAnsi="Garamond"/>
          <w:color w:val="000000" w:themeColor="text1"/>
          <w:sz w:val="24"/>
          <w:szCs w:val="24"/>
          <w:lang w:val="en-US"/>
        </w:rPr>
        <w:t>the genocide</w:t>
      </w:r>
      <w:r w:rsidRPr="00735740">
        <w:rPr>
          <w:rFonts w:ascii="Garamond" w:hAnsi="Garamond"/>
          <w:color w:val="000000" w:themeColor="text1"/>
          <w:sz w:val="24"/>
          <w:szCs w:val="24"/>
          <w:lang w:val="en-US"/>
        </w:rPr>
        <w:t xml:space="preserve">, and assist with reconciliation in Rwanda. The attempt to find a home for the </w:t>
      </w:r>
      <w:r w:rsidR="004A4A89" w:rsidRPr="00735740">
        <w:rPr>
          <w:rFonts w:ascii="Garamond" w:hAnsi="Garamond"/>
          <w:color w:val="000000" w:themeColor="text1"/>
          <w:sz w:val="24"/>
          <w:szCs w:val="24"/>
          <w:lang w:val="en-US"/>
        </w:rPr>
        <w:t xml:space="preserve">physical </w:t>
      </w:r>
      <w:r w:rsidRPr="00735740">
        <w:rPr>
          <w:rFonts w:ascii="Garamond" w:hAnsi="Garamond"/>
          <w:color w:val="000000" w:themeColor="text1"/>
          <w:sz w:val="24"/>
          <w:szCs w:val="24"/>
          <w:lang w:val="en-US"/>
        </w:rPr>
        <w:t>archive, however, fractured the tribunal’s claim</w:t>
      </w:r>
      <w:r w:rsidR="00CE24F3" w:rsidRPr="00735740">
        <w:rPr>
          <w:rFonts w:ascii="Garamond" w:hAnsi="Garamond"/>
          <w:color w:val="000000" w:themeColor="text1"/>
          <w:sz w:val="24"/>
          <w:szCs w:val="24"/>
          <w:lang w:val="en-US"/>
        </w:rPr>
        <w:t xml:space="preserve"> about</w:t>
      </w:r>
      <w:r w:rsidRPr="00735740">
        <w:rPr>
          <w:rFonts w:ascii="Garamond" w:hAnsi="Garamond"/>
          <w:color w:val="000000" w:themeColor="text1"/>
          <w:sz w:val="24"/>
          <w:szCs w:val="24"/>
          <w:lang w:val="en-US"/>
        </w:rPr>
        <w:t xml:space="preserve"> what it could achieve as it prioriti</w:t>
      </w:r>
      <w:r w:rsidR="005A49AB" w:rsidRPr="00735740">
        <w:rPr>
          <w:rFonts w:ascii="Garamond" w:hAnsi="Garamond"/>
          <w:color w:val="000000" w:themeColor="text1"/>
          <w:sz w:val="24"/>
          <w:szCs w:val="24"/>
          <w:lang w:val="en-US"/>
        </w:rPr>
        <w:t>s</w:t>
      </w:r>
      <w:r w:rsidRPr="00735740">
        <w:rPr>
          <w:rFonts w:ascii="Garamond" w:hAnsi="Garamond"/>
          <w:color w:val="000000" w:themeColor="text1"/>
          <w:sz w:val="24"/>
          <w:szCs w:val="24"/>
          <w:lang w:val="en-US"/>
        </w:rPr>
        <w:t>ed its legal and bureaucratic function and the UN’s needs over and above Rwanda’s.</w:t>
      </w:r>
      <w:r w:rsidR="001B606D" w:rsidRPr="00735740">
        <w:rPr>
          <w:rStyle w:val="FootnoteReference"/>
          <w:rFonts w:ascii="Garamond" w:hAnsi="Garamond"/>
          <w:color w:val="000000" w:themeColor="text1"/>
          <w:sz w:val="24"/>
          <w:szCs w:val="24"/>
          <w:lang w:val="en-US"/>
        </w:rPr>
        <w:footnoteReference w:id="125"/>
      </w:r>
      <w:r w:rsidRPr="00735740">
        <w:rPr>
          <w:rFonts w:ascii="Garamond" w:hAnsi="Garamond"/>
          <w:color w:val="000000" w:themeColor="text1"/>
          <w:sz w:val="24"/>
          <w:szCs w:val="24"/>
          <w:lang w:val="en-US"/>
        </w:rPr>
        <w:t xml:space="preserve"> </w:t>
      </w:r>
    </w:p>
    <w:p w14:paraId="77F20C12" w14:textId="1E267A69" w:rsidR="00E35C64" w:rsidRPr="00735740" w:rsidRDefault="002D60E0" w:rsidP="00201640">
      <w:pPr>
        <w:spacing w:line="360" w:lineRule="auto"/>
        <w:rPr>
          <w:rFonts w:ascii="Garamond" w:hAnsi="Garamond"/>
          <w:color w:val="000000" w:themeColor="text1"/>
          <w:sz w:val="24"/>
          <w:szCs w:val="24"/>
        </w:rPr>
      </w:pPr>
      <w:r w:rsidRPr="00735740">
        <w:rPr>
          <w:rFonts w:ascii="Garamond" w:hAnsi="Garamond"/>
          <w:color w:val="000000" w:themeColor="text1"/>
          <w:sz w:val="24"/>
          <w:szCs w:val="24"/>
          <w:lang w:val="en-US"/>
        </w:rPr>
        <w:lastRenderedPageBreak/>
        <w:t>There</w:t>
      </w:r>
      <w:r w:rsidR="00E35C64" w:rsidRPr="00735740">
        <w:rPr>
          <w:rFonts w:ascii="Garamond" w:hAnsi="Garamond"/>
          <w:color w:val="000000" w:themeColor="text1"/>
          <w:sz w:val="24"/>
          <w:szCs w:val="24"/>
        </w:rPr>
        <w:t xml:space="preserve"> appeare</w:t>
      </w:r>
      <w:r w:rsidRPr="00735740">
        <w:rPr>
          <w:rFonts w:ascii="Garamond" w:hAnsi="Garamond"/>
          <w:color w:val="000000" w:themeColor="text1"/>
          <w:sz w:val="24"/>
          <w:szCs w:val="24"/>
        </w:rPr>
        <w:t>d, then,</w:t>
      </w:r>
      <w:r w:rsidR="00E35C64" w:rsidRPr="00735740">
        <w:rPr>
          <w:rFonts w:ascii="Garamond" w:hAnsi="Garamond"/>
          <w:color w:val="000000" w:themeColor="text1"/>
          <w:sz w:val="24"/>
          <w:szCs w:val="24"/>
        </w:rPr>
        <w:t xml:space="preserve"> to be a strain between the way in which the archive required testimony to be produced, and the witnesses’ way of testifying. Criminal law’s approach to knowledge production, underpinned as it is by western enlightenment thought, overruled other subaltern approaches to knowledge production.</w:t>
      </w:r>
      <w:r w:rsidR="00CE24F3" w:rsidRPr="00735740">
        <w:rPr>
          <w:rStyle w:val="FootnoteReference"/>
          <w:rFonts w:ascii="Garamond" w:hAnsi="Garamond"/>
          <w:color w:val="000000" w:themeColor="text1"/>
          <w:sz w:val="24"/>
          <w:szCs w:val="24"/>
        </w:rPr>
        <w:footnoteReference w:id="126"/>
      </w:r>
      <w:r w:rsidR="00E35C64" w:rsidRPr="00735740">
        <w:rPr>
          <w:rFonts w:ascii="Garamond" w:hAnsi="Garamond"/>
          <w:color w:val="000000" w:themeColor="text1"/>
          <w:sz w:val="24"/>
          <w:szCs w:val="24"/>
        </w:rPr>
        <w:t xml:space="preserve"> </w:t>
      </w:r>
      <w:r w:rsidR="004A4A89" w:rsidRPr="00735740">
        <w:rPr>
          <w:rFonts w:ascii="Garamond" w:hAnsi="Garamond"/>
          <w:color w:val="000000" w:themeColor="text1"/>
          <w:sz w:val="24"/>
          <w:szCs w:val="24"/>
        </w:rPr>
        <w:t xml:space="preserve">This is not to draw a neat line between </w:t>
      </w:r>
      <w:r w:rsidR="00CE24F3" w:rsidRPr="00735740">
        <w:rPr>
          <w:rFonts w:ascii="Garamond" w:hAnsi="Garamond"/>
          <w:color w:val="000000" w:themeColor="text1"/>
          <w:sz w:val="24"/>
          <w:szCs w:val="24"/>
        </w:rPr>
        <w:t>‘</w:t>
      </w:r>
      <w:r w:rsidR="004A4A89" w:rsidRPr="00735740">
        <w:rPr>
          <w:rFonts w:ascii="Garamond" w:hAnsi="Garamond"/>
          <w:color w:val="000000" w:themeColor="text1"/>
          <w:sz w:val="24"/>
          <w:szCs w:val="24"/>
        </w:rPr>
        <w:t>Western</w:t>
      </w:r>
      <w:r w:rsidR="00CE24F3" w:rsidRPr="00735740">
        <w:rPr>
          <w:rFonts w:ascii="Garamond" w:hAnsi="Garamond"/>
          <w:color w:val="000000" w:themeColor="text1"/>
          <w:sz w:val="24"/>
          <w:szCs w:val="24"/>
        </w:rPr>
        <w:t>’</w:t>
      </w:r>
      <w:r w:rsidR="004A4A89" w:rsidRPr="00735740">
        <w:rPr>
          <w:rFonts w:ascii="Garamond" w:hAnsi="Garamond"/>
          <w:color w:val="000000" w:themeColor="text1"/>
          <w:sz w:val="24"/>
          <w:szCs w:val="24"/>
        </w:rPr>
        <w:t xml:space="preserve"> and </w:t>
      </w:r>
      <w:r w:rsidR="00CE24F3" w:rsidRPr="00735740">
        <w:rPr>
          <w:rFonts w:ascii="Garamond" w:hAnsi="Garamond"/>
          <w:color w:val="000000" w:themeColor="text1"/>
          <w:sz w:val="24"/>
          <w:szCs w:val="24"/>
        </w:rPr>
        <w:t>subaltern</w:t>
      </w:r>
      <w:r w:rsidR="004A4A89" w:rsidRPr="00735740">
        <w:rPr>
          <w:rFonts w:ascii="Garamond" w:hAnsi="Garamond"/>
          <w:color w:val="000000" w:themeColor="text1"/>
          <w:sz w:val="24"/>
          <w:szCs w:val="24"/>
        </w:rPr>
        <w:t xml:space="preserve"> epistemologies, which has been rightly critique for ignor</w:t>
      </w:r>
      <w:r w:rsidR="006D4B58" w:rsidRPr="00735740">
        <w:rPr>
          <w:rFonts w:ascii="Garamond" w:hAnsi="Garamond"/>
          <w:color w:val="000000" w:themeColor="text1"/>
          <w:sz w:val="24"/>
          <w:szCs w:val="24"/>
        </w:rPr>
        <w:t>ing</w:t>
      </w:r>
      <w:r w:rsidR="009E4528" w:rsidRPr="00735740">
        <w:rPr>
          <w:rFonts w:ascii="Garamond" w:hAnsi="Garamond"/>
          <w:color w:val="000000" w:themeColor="text1"/>
          <w:sz w:val="24"/>
          <w:szCs w:val="24"/>
        </w:rPr>
        <w:t xml:space="preserve"> the intertwined nature of</w:t>
      </w:r>
      <w:r w:rsidR="004A4A89" w:rsidRPr="00735740">
        <w:rPr>
          <w:rFonts w:ascii="Garamond" w:hAnsi="Garamond"/>
          <w:color w:val="000000" w:themeColor="text1"/>
          <w:sz w:val="24"/>
          <w:szCs w:val="24"/>
        </w:rPr>
        <w:t xml:space="preserve"> these modes </w:t>
      </w:r>
      <w:r w:rsidR="006D4B58" w:rsidRPr="00735740">
        <w:rPr>
          <w:rFonts w:ascii="Garamond" w:hAnsi="Garamond"/>
          <w:color w:val="000000" w:themeColor="text1"/>
          <w:sz w:val="24"/>
          <w:szCs w:val="24"/>
        </w:rPr>
        <w:t>of knowledge production</w:t>
      </w:r>
      <w:r w:rsidR="004A4A89" w:rsidRPr="00735740">
        <w:rPr>
          <w:rFonts w:ascii="Garamond" w:hAnsi="Garamond"/>
          <w:color w:val="000000" w:themeColor="text1"/>
          <w:sz w:val="24"/>
          <w:szCs w:val="24"/>
        </w:rPr>
        <w:t>. However, this demonstrates that despite giving lip-service to other ways of knowing, ultimately these were</w:t>
      </w:r>
      <w:r w:rsidR="00EC40EA" w:rsidRPr="00735740">
        <w:rPr>
          <w:rFonts w:ascii="Garamond" w:hAnsi="Garamond"/>
          <w:color w:val="000000" w:themeColor="text1"/>
          <w:sz w:val="24"/>
          <w:szCs w:val="24"/>
        </w:rPr>
        <w:t xml:space="preserve"> subsum</w:t>
      </w:r>
      <w:r w:rsidR="006D4B58" w:rsidRPr="00735740">
        <w:rPr>
          <w:rFonts w:ascii="Garamond" w:hAnsi="Garamond"/>
          <w:color w:val="000000" w:themeColor="text1"/>
          <w:sz w:val="24"/>
          <w:szCs w:val="24"/>
        </w:rPr>
        <w:t>ed</w:t>
      </w:r>
      <w:r w:rsidR="00EC40EA" w:rsidRPr="00735740">
        <w:rPr>
          <w:rFonts w:ascii="Garamond" w:hAnsi="Garamond"/>
          <w:color w:val="000000" w:themeColor="text1"/>
          <w:sz w:val="24"/>
          <w:szCs w:val="24"/>
        </w:rPr>
        <w:t xml:space="preserve"> within a western</w:t>
      </w:r>
      <w:r w:rsidR="005A49AB" w:rsidRPr="00735740">
        <w:rPr>
          <w:rFonts w:ascii="Garamond" w:hAnsi="Garamond"/>
          <w:color w:val="000000" w:themeColor="text1"/>
          <w:sz w:val="24"/>
          <w:szCs w:val="24"/>
        </w:rPr>
        <w:t>-</w:t>
      </w:r>
      <w:r w:rsidR="00EC40EA" w:rsidRPr="00735740">
        <w:rPr>
          <w:rFonts w:ascii="Garamond" w:hAnsi="Garamond"/>
          <w:color w:val="000000" w:themeColor="text1"/>
          <w:sz w:val="24"/>
          <w:szCs w:val="24"/>
        </w:rPr>
        <w:t>centric approach to knowledge production</w:t>
      </w:r>
      <w:r w:rsidR="002F42C1" w:rsidRPr="00735740">
        <w:rPr>
          <w:rFonts w:ascii="Garamond" w:hAnsi="Garamond"/>
          <w:color w:val="000000" w:themeColor="text1"/>
          <w:sz w:val="24"/>
          <w:szCs w:val="24"/>
        </w:rPr>
        <w:t>, reproducing a colonial rationality.</w:t>
      </w:r>
      <w:r w:rsidR="002F42C1" w:rsidRPr="00735740">
        <w:rPr>
          <w:rStyle w:val="FootnoteReference"/>
          <w:rFonts w:ascii="Garamond" w:hAnsi="Garamond"/>
          <w:color w:val="000000" w:themeColor="text1"/>
          <w:sz w:val="24"/>
          <w:szCs w:val="24"/>
        </w:rPr>
        <w:footnoteReference w:id="127"/>
      </w:r>
      <w:r w:rsidR="006D4B58" w:rsidRPr="00735740">
        <w:rPr>
          <w:rFonts w:ascii="Garamond" w:hAnsi="Garamond"/>
          <w:color w:val="000000" w:themeColor="text1"/>
          <w:sz w:val="24"/>
          <w:szCs w:val="24"/>
        </w:rPr>
        <w:t xml:space="preserve"> </w:t>
      </w:r>
      <w:r w:rsidR="004A4A89" w:rsidRPr="00735740">
        <w:rPr>
          <w:rFonts w:ascii="Garamond" w:hAnsi="Garamond"/>
          <w:color w:val="000000" w:themeColor="text1"/>
          <w:sz w:val="24"/>
          <w:szCs w:val="24"/>
        </w:rPr>
        <w:t xml:space="preserve">The </w:t>
      </w:r>
      <w:r w:rsidR="009E4528" w:rsidRPr="00735740">
        <w:rPr>
          <w:rFonts w:ascii="Garamond" w:hAnsi="Garamond"/>
          <w:color w:val="000000" w:themeColor="text1"/>
          <w:sz w:val="24"/>
          <w:szCs w:val="24"/>
        </w:rPr>
        <w:t>hierarchical</w:t>
      </w:r>
      <w:r w:rsidR="004A4A89" w:rsidRPr="00735740">
        <w:rPr>
          <w:rFonts w:ascii="Garamond" w:hAnsi="Garamond"/>
          <w:color w:val="000000" w:themeColor="text1"/>
          <w:sz w:val="24"/>
          <w:szCs w:val="24"/>
        </w:rPr>
        <w:t xml:space="preserve"> nature of this relationship was </w:t>
      </w:r>
      <w:r w:rsidR="002F42C1" w:rsidRPr="00735740">
        <w:rPr>
          <w:rFonts w:ascii="Garamond" w:hAnsi="Garamond"/>
          <w:color w:val="000000" w:themeColor="text1"/>
          <w:sz w:val="24"/>
          <w:szCs w:val="24"/>
        </w:rPr>
        <w:t xml:space="preserve">cemented as the tribunal rejected </w:t>
      </w:r>
      <w:r w:rsidRPr="00735740">
        <w:rPr>
          <w:rFonts w:ascii="Garamond" w:hAnsi="Garamond"/>
          <w:color w:val="000000" w:themeColor="text1"/>
          <w:sz w:val="24"/>
          <w:szCs w:val="24"/>
        </w:rPr>
        <w:t>Rwanda’s</w:t>
      </w:r>
      <w:r w:rsidR="00EC40EA" w:rsidRPr="00735740">
        <w:rPr>
          <w:rFonts w:ascii="Garamond" w:hAnsi="Garamond"/>
          <w:color w:val="000000" w:themeColor="text1"/>
          <w:sz w:val="24"/>
          <w:szCs w:val="24"/>
        </w:rPr>
        <w:t xml:space="preserve"> claim to the archive</w:t>
      </w:r>
      <w:r w:rsidR="002F42C1" w:rsidRPr="00735740">
        <w:rPr>
          <w:rFonts w:ascii="Garamond" w:hAnsi="Garamond"/>
          <w:color w:val="000000" w:themeColor="text1"/>
          <w:sz w:val="24"/>
          <w:szCs w:val="24"/>
        </w:rPr>
        <w:t xml:space="preserve">. </w:t>
      </w:r>
      <w:r w:rsidR="00827900" w:rsidRPr="00735740">
        <w:rPr>
          <w:rFonts w:ascii="Garamond" w:hAnsi="Garamond"/>
          <w:color w:val="000000" w:themeColor="text1"/>
          <w:sz w:val="24"/>
          <w:szCs w:val="24"/>
        </w:rPr>
        <w:t>Along with the local/international binary discussed above, this resulted in a colonial imagining of community within the archive</w:t>
      </w:r>
      <w:r w:rsidR="00CE2E12" w:rsidRPr="00735740">
        <w:rPr>
          <w:rFonts w:ascii="Garamond" w:hAnsi="Garamond"/>
          <w:color w:val="000000" w:themeColor="text1"/>
          <w:sz w:val="24"/>
          <w:szCs w:val="24"/>
        </w:rPr>
        <w:t>.</w:t>
      </w:r>
      <w:r w:rsidR="0065160C" w:rsidRPr="00735740">
        <w:rPr>
          <w:rFonts w:ascii="Garamond" w:hAnsi="Garamond"/>
          <w:color w:val="000000" w:themeColor="text1"/>
          <w:sz w:val="24"/>
          <w:szCs w:val="24"/>
        </w:rPr>
        <w:t xml:space="preserve"> </w:t>
      </w:r>
    </w:p>
    <w:p w14:paraId="3C8939AE" w14:textId="2B74F7EB" w:rsidR="00EF1ED8" w:rsidRPr="00735740" w:rsidRDefault="0090579B" w:rsidP="006E74CF">
      <w:pPr>
        <w:pStyle w:val="Heading1"/>
        <w:spacing w:afterLines="160" w:after="384" w:line="360" w:lineRule="auto"/>
        <w:rPr>
          <w:rFonts w:ascii="Garamond" w:hAnsi="Garamond"/>
        </w:rPr>
      </w:pPr>
      <w:r w:rsidRPr="00735740">
        <w:rPr>
          <w:rFonts w:ascii="Garamond" w:hAnsi="Garamond"/>
        </w:rPr>
        <w:t xml:space="preserve">Conclusion: </w:t>
      </w:r>
      <w:r w:rsidR="002F20CA" w:rsidRPr="00735740">
        <w:rPr>
          <w:rFonts w:ascii="Garamond" w:hAnsi="Garamond"/>
        </w:rPr>
        <w:t>t</w:t>
      </w:r>
      <w:r w:rsidR="00DE759E" w:rsidRPr="00735740">
        <w:rPr>
          <w:rFonts w:ascii="Garamond" w:hAnsi="Garamond"/>
        </w:rPr>
        <w:t xml:space="preserve">he </w:t>
      </w:r>
      <w:r w:rsidR="002F20CA" w:rsidRPr="00735740">
        <w:rPr>
          <w:rFonts w:ascii="Garamond" w:hAnsi="Garamond"/>
        </w:rPr>
        <w:t>a</w:t>
      </w:r>
      <w:r w:rsidR="008134B3" w:rsidRPr="00735740">
        <w:rPr>
          <w:rFonts w:ascii="Garamond" w:hAnsi="Garamond"/>
        </w:rPr>
        <w:t>rchive</w:t>
      </w:r>
      <w:r w:rsidR="006E316C" w:rsidRPr="00735740">
        <w:rPr>
          <w:rFonts w:ascii="Garamond" w:hAnsi="Garamond"/>
        </w:rPr>
        <w:t xml:space="preserve"> and </w:t>
      </w:r>
      <w:r w:rsidR="00805ED7" w:rsidRPr="00735740">
        <w:rPr>
          <w:rFonts w:ascii="Garamond" w:hAnsi="Garamond"/>
        </w:rPr>
        <w:t xml:space="preserve">the </w:t>
      </w:r>
      <w:r w:rsidR="002F20CA" w:rsidRPr="00735740">
        <w:rPr>
          <w:rFonts w:ascii="Garamond" w:hAnsi="Garamond"/>
        </w:rPr>
        <w:t>i</w:t>
      </w:r>
      <w:r w:rsidR="00805ED7" w:rsidRPr="00735740">
        <w:rPr>
          <w:rFonts w:ascii="Garamond" w:hAnsi="Garamond"/>
        </w:rPr>
        <w:t xml:space="preserve">nternational </w:t>
      </w:r>
      <w:r w:rsidR="002F20CA" w:rsidRPr="00735740">
        <w:rPr>
          <w:rFonts w:ascii="Garamond" w:hAnsi="Garamond"/>
        </w:rPr>
        <w:t>c</w:t>
      </w:r>
      <w:r w:rsidR="006E316C" w:rsidRPr="00735740">
        <w:rPr>
          <w:rFonts w:ascii="Garamond" w:hAnsi="Garamond"/>
        </w:rPr>
        <w:t>ommunity</w:t>
      </w:r>
    </w:p>
    <w:p w14:paraId="5D6C3EE6" w14:textId="117AC32E" w:rsidR="003B73AF" w:rsidRPr="00735740" w:rsidRDefault="00BB0760" w:rsidP="00201640">
      <w:pPr>
        <w:spacing w:line="360" w:lineRule="auto"/>
        <w:rPr>
          <w:rFonts w:ascii="Garamond" w:hAnsi="Garamond"/>
          <w:color w:val="000000" w:themeColor="text1"/>
          <w:sz w:val="24"/>
          <w:szCs w:val="24"/>
        </w:rPr>
      </w:pPr>
      <w:r w:rsidRPr="00735740">
        <w:rPr>
          <w:rFonts w:ascii="Garamond" w:hAnsi="Garamond"/>
          <w:color w:val="000000" w:themeColor="text1"/>
          <w:sz w:val="24"/>
          <w:szCs w:val="24"/>
        </w:rPr>
        <w:t>This article</w:t>
      </w:r>
      <w:r w:rsidR="003B73AF" w:rsidRPr="00735740">
        <w:rPr>
          <w:rFonts w:ascii="Garamond" w:hAnsi="Garamond"/>
          <w:color w:val="000000" w:themeColor="text1"/>
          <w:sz w:val="24"/>
          <w:szCs w:val="24"/>
        </w:rPr>
        <w:t xml:space="preserve"> has shown that a distinctive set of rules underpinned the construction of the </w:t>
      </w:r>
      <w:r w:rsidR="00FC0BBB" w:rsidRPr="00735740">
        <w:rPr>
          <w:rFonts w:ascii="Garamond" w:hAnsi="Garamond"/>
          <w:color w:val="000000" w:themeColor="text1"/>
          <w:sz w:val="24"/>
          <w:szCs w:val="24"/>
        </w:rPr>
        <w:t xml:space="preserve">ICTR’s </w:t>
      </w:r>
      <w:r w:rsidR="003B73AF" w:rsidRPr="00735740">
        <w:rPr>
          <w:rFonts w:ascii="Garamond" w:hAnsi="Garamond"/>
          <w:color w:val="000000" w:themeColor="text1"/>
          <w:sz w:val="24"/>
          <w:szCs w:val="24"/>
        </w:rPr>
        <w:t>archive</w:t>
      </w:r>
      <w:r w:rsidR="00DB4F41" w:rsidRPr="00735740">
        <w:rPr>
          <w:rFonts w:ascii="Garamond" w:hAnsi="Garamond"/>
          <w:color w:val="000000" w:themeColor="text1"/>
          <w:sz w:val="24"/>
          <w:szCs w:val="24"/>
        </w:rPr>
        <w:t xml:space="preserve">, which </w:t>
      </w:r>
      <w:r w:rsidR="00756025" w:rsidRPr="00735740">
        <w:rPr>
          <w:rFonts w:ascii="Garamond" w:hAnsi="Garamond"/>
          <w:color w:val="000000" w:themeColor="text1"/>
          <w:sz w:val="24"/>
          <w:szCs w:val="24"/>
        </w:rPr>
        <w:t>produced a particular account of the violence in Rwanda</w:t>
      </w:r>
      <w:r w:rsidR="00DB4F41" w:rsidRPr="00735740">
        <w:rPr>
          <w:rFonts w:ascii="Garamond" w:hAnsi="Garamond"/>
          <w:color w:val="000000" w:themeColor="text1"/>
          <w:sz w:val="24"/>
          <w:szCs w:val="24"/>
        </w:rPr>
        <w:t xml:space="preserve"> and of</w:t>
      </w:r>
      <w:r w:rsidR="00960203" w:rsidRPr="00735740">
        <w:rPr>
          <w:rFonts w:ascii="Garamond" w:hAnsi="Garamond"/>
          <w:color w:val="000000" w:themeColor="text1"/>
          <w:sz w:val="24"/>
          <w:szCs w:val="24"/>
        </w:rPr>
        <w:t xml:space="preserve"> </w:t>
      </w:r>
      <w:r w:rsidR="00DB4F41" w:rsidRPr="00735740">
        <w:rPr>
          <w:rFonts w:ascii="Garamond" w:hAnsi="Garamond"/>
          <w:color w:val="000000" w:themeColor="text1"/>
          <w:sz w:val="24"/>
          <w:szCs w:val="24"/>
        </w:rPr>
        <w:t>the international community</w:t>
      </w:r>
      <w:r w:rsidR="003706B7" w:rsidRPr="00735740">
        <w:rPr>
          <w:rFonts w:ascii="Garamond" w:hAnsi="Garamond"/>
          <w:color w:val="000000" w:themeColor="text1"/>
          <w:sz w:val="24"/>
          <w:szCs w:val="24"/>
        </w:rPr>
        <w:t>.</w:t>
      </w:r>
      <w:r w:rsidR="00CE2E12" w:rsidRPr="00735740">
        <w:rPr>
          <w:rFonts w:ascii="Garamond" w:hAnsi="Garamond"/>
          <w:color w:val="000000" w:themeColor="text1"/>
          <w:sz w:val="24"/>
          <w:szCs w:val="24"/>
        </w:rPr>
        <w:t xml:space="preserve"> This drew on </w:t>
      </w:r>
      <w:r w:rsidR="00E42738" w:rsidRPr="00735740">
        <w:rPr>
          <w:rFonts w:ascii="Garamond" w:hAnsi="Garamond"/>
          <w:color w:val="000000" w:themeColor="text1"/>
          <w:sz w:val="24"/>
          <w:szCs w:val="24"/>
        </w:rPr>
        <w:t xml:space="preserve">the </w:t>
      </w:r>
      <w:r w:rsidR="0074658B" w:rsidRPr="00735740">
        <w:rPr>
          <w:rFonts w:ascii="Garamond" w:hAnsi="Garamond"/>
          <w:color w:val="000000" w:themeColor="text1"/>
          <w:sz w:val="24"/>
          <w:szCs w:val="24"/>
        </w:rPr>
        <w:t xml:space="preserve">themes of </w:t>
      </w:r>
      <w:r w:rsidR="009E4528" w:rsidRPr="00735740">
        <w:rPr>
          <w:rFonts w:ascii="Garamond" w:hAnsi="Garamond"/>
          <w:color w:val="000000" w:themeColor="text1"/>
          <w:sz w:val="24"/>
          <w:szCs w:val="24"/>
        </w:rPr>
        <w:t>responsibility</w:t>
      </w:r>
      <w:r w:rsidR="0074658B" w:rsidRPr="00735740">
        <w:rPr>
          <w:rFonts w:ascii="Garamond" w:hAnsi="Garamond"/>
          <w:color w:val="000000" w:themeColor="text1"/>
          <w:sz w:val="24"/>
          <w:szCs w:val="24"/>
        </w:rPr>
        <w:t xml:space="preserve">, identity, and </w:t>
      </w:r>
      <w:r w:rsidR="009E4528" w:rsidRPr="00735740">
        <w:rPr>
          <w:rFonts w:ascii="Garamond" w:hAnsi="Garamond"/>
          <w:color w:val="000000" w:themeColor="text1"/>
          <w:sz w:val="24"/>
          <w:szCs w:val="24"/>
        </w:rPr>
        <w:t xml:space="preserve">voice </w:t>
      </w:r>
      <w:r w:rsidR="0074658B" w:rsidRPr="00735740">
        <w:rPr>
          <w:rFonts w:ascii="Garamond" w:hAnsi="Garamond"/>
          <w:color w:val="000000" w:themeColor="text1"/>
          <w:sz w:val="24"/>
          <w:szCs w:val="24"/>
        </w:rPr>
        <w:t xml:space="preserve">identified </w:t>
      </w:r>
      <w:r w:rsidR="00CE2E12" w:rsidRPr="00735740">
        <w:rPr>
          <w:rFonts w:ascii="Garamond" w:hAnsi="Garamond"/>
          <w:color w:val="000000" w:themeColor="text1"/>
          <w:sz w:val="24"/>
          <w:szCs w:val="24"/>
        </w:rPr>
        <w:t xml:space="preserve">in the first section </w:t>
      </w:r>
      <w:r w:rsidR="008830B7" w:rsidRPr="00735740">
        <w:rPr>
          <w:rFonts w:ascii="Garamond" w:hAnsi="Garamond"/>
          <w:color w:val="000000" w:themeColor="text1"/>
          <w:sz w:val="24"/>
          <w:szCs w:val="24"/>
        </w:rPr>
        <w:t>to understand the politics of the archive and how the archive links to notions of community</w:t>
      </w:r>
      <w:r w:rsidR="00CE2E12" w:rsidRPr="00735740">
        <w:rPr>
          <w:rFonts w:ascii="Garamond" w:hAnsi="Garamond"/>
          <w:color w:val="000000" w:themeColor="text1"/>
          <w:sz w:val="24"/>
          <w:szCs w:val="24"/>
        </w:rPr>
        <w:t xml:space="preserve">. In </w:t>
      </w:r>
      <w:r w:rsidR="00C21209" w:rsidRPr="00735740">
        <w:rPr>
          <w:rFonts w:ascii="Garamond" w:hAnsi="Garamond"/>
          <w:color w:val="000000" w:themeColor="text1"/>
          <w:sz w:val="24"/>
          <w:szCs w:val="24"/>
        </w:rPr>
        <w:t>applying this framework to the ICTR’s archive, part two</w:t>
      </w:r>
      <w:r w:rsidR="00CE2E12" w:rsidRPr="00735740">
        <w:rPr>
          <w:rFonts w:ascii="Garamond" w:hAnsi="Garamond"/>
          <w:color w:val="000000" w:themeColor="text1"/>
          <w:sz w:val="24"/>
          <w:szCs w:val="24"/>
        </w:rPr>
        <w:t xml:space="preserve"> </w:t>
      </w:r>
      <w:r w:rsidR="00CE24F3" w:rsidRPr="00735740">
        <w:rPr>
          <w:rFonts w:ascii="Garamond" w:hAnsi="Garamond"/>
          <w:color w:val="000000" w:themeColor="text1"/>
          <w:sz w:val="24"/>
          <w:szCs w:val="24"/>
        </w:rPr>
        <w:t xml:space="preserve">demonstrated </w:t>
      </w:r>
      <w:r w:rsidR="00CE2E12" w:rsidRPr="00735740">
        <w:rPr>
          <w:rFonts w:ascii="Garamond" w:hAnsi="Garamond"/>
          <w:color w:val="000000" w:themeColor="text1"/>
          <w:sz w:val="24"/>
          <w:szCs w:val="24"/>
        </w:rPr>
        <w:t xml:space="preserve">that embedded within </w:t>
      </w:r>
      <w:r w:rsidR="00C21209" w:rsidRPr="00735740">
        <w:rPr>
          <w:rFonts w:ascii="Garamond" w:hAnsi="Garamond"/>
          <w:color w:val="000000" w:themeColor="text1"/>
          <w:sz w:val="24"/>
          <w:szCs w:val="24"/>
        </w:rPr>
        <w:t>this</w:t>
      </w:r>
      <w:r w:rsidR="00CE2E12" w:rsidRPr="00735740">
        <w:rPr>
          <w:rFonts w:ascii="Garamond" w:hAnsi="Garamond"/>
          <w:color w:val="000000" w:themeColor="text1"/>
          <w:sz w:val="24"/>
          <w:szCs w:val="24"/>
        </w:rPr>
        <w:t xml:space="preserve"> archive was </w:t>
      </w:r>
      <w:r w:rsidR="003706B7" w:rsidRPr="00735740">
        <w:rPr>
          <w:rFonts w:ascii="Garamond" w:hAnsi="Garamond"/>
          <w:color w:val="000000" w:themeColor="text1"/>
          <w:sz w:val="24"/>
          <w:szCs w:val="24"/>
        </w:rPr>
        <w:t xml:space="preserve">a </w:t>
      </w:r>
      <w:r w:rsidR="00EF1ED8" w:rsidRPr="00735740">
        <w:rPr>
          <w:rFonts w:ascii="Garamond" w:hAnsi="Garamond"/>
          <w:color w:val="000000" w:themeColor="text1"/>
          <w:sz w:val="24"/>
          <w:szCs w:val="24"/>
        </w:rPr>
        <w:t xml:space="preserve">liberal, </w:t>
      </w:r>
      <w:r w:rsidR="009C3663" w:rsidRPr="00735740">
        <w:rPr>
          <w:rFonts w:ascii="Garamond" w:hAnsi="Garamond"/>
          <w:color w:val="000000" w:themeColor="text1"/>
          <w:sz w:val="24"/>
          <w:szCs w:val="24"/>
        </w:rPr>
        <w:t>patriarchal</w:t>
      </w:r>
      <w:r w:rsidR="00EF1ED8" w:rsidRPr="00735740">
        <w:rPr>
          <w:rFonts w:ascii="Garamond" w:hAnsi="Garamond"/>
          <w:color w:val="000000" w:themeColor="text1"/>
          <w:sz w:val="24"/>
          <w:szCs w:val="24"/>
        </w:rPr>
        <w:t xml:space="preserve"> </w:t>
      </w:r>
      <w:r w:rsidR="003706B7" w:rsidRPr="00735740">
        <w:rPr>
          <w:rFonts w:ascii="Garamond" w:hAnsi="Garamond"/>
          <w:color w:val="000000" w:themeColor="text1"/>
          <w:sz w:val="24"/>
          <w:szCs w:val="24"/>
        </w:rPr>
        <w:t xml:space="preserve">and colonial </w:t>
      </w:r>
      <w:r w:rsidR="00EF1ED8" w:rsidRPr="00735740">
        <w:rPr>
          <w:rFonts w:ascii="Garamond" w:hAnsi="Garamond"/>
          <w:color w:val="000000" w:themeColor="text1"/>
          <w:sz w:val="24"/>
          <w:szCs w:val="24"/>
        </w:rPr>
        <w:t xml:space="preserve">understanding </w:t>
      </w:r>
      <w:r w:rsidR="009C3663" w:rsidRPr="00735740">
        <w:rPr>
          <w:rFonts w:ascii="Garamond" w:hAnsi="Garamond"/>
          <w:color w:val="000000" w:themeColor="text1"/>
          <w:sz w:val="24"/>
          <w:szCs w:val="24"/>
        </w:rPr>
        <w:t>of community.</w:t>
      </w:r>
    </w:p>
    <w:p w14:paraId="11A9E060" w14:textId="06A6DB0F" w:rsidR="00C03D3D" w:rsidRPr="00735740" w:rsidRDefault="00C44DC3" w:rsidP="00D310B8">
      <w:pPr>
        <w:spacing w:afterLines="160" w:after="384" w:line="360" w:lineRule="auto"/>
        <w:rPr>
          <w:rFonts w:ascii="Garamond" w:hAnsi="Garamond"/>
          <w:color w:val="000000" w:themeColor="text1"/>
          <w:sz w:val="24"/>
          <w:szCs w:val="24"/>
        </w:rPr>
      </w:pPr>
      <w:r w:rsidRPr="00735740">
        <w:rPr>
          <w:rFonts w:ascii="Garamond" w:hAnsi="Garamond"/>
          <w:color w:val="000000" w:themeColor="text1"/>
          <w:sz w:val="24"/>
          <w:szCs w:val="24"/>
        </w:rPr>
        <w:t>First</w:t>
      </w:r>
      <w:r w:rsidR="00805ED7" w:rsidRPr="00735740">
        <w:rPr>
          <w:rFonts w:ascii="Garamond" w:hAnsi="Garamond"/>
          <w:color w:val="000000" w:themeColor="text1"/>
          <w:sz w:val="24"/>
          <w:szCs w:val="24"/>
        </w:rPr>
        <w:t>,</w:t>
      </w:r>
      <w:r w:rsidRPr="00735740">
        <w:rPr>
          <w:rFonts w:ascii="Garamond" w:hAnsi="Garamond"/>
          <w:color w:val="000000" w:themeColor="text1"/>
          <w:sz w:val="24"/>
          <w:szCs w:val="24"/>
        </w:rPr>
        <w:t xml:space="preserve"> </w:t>
      </w:r>
      <w:r w:rsidR="00BB0760" w:rsidRPr="00735740">
        <w:rPr>
          <w:rFonts w:ascii="Garamond" w:hAnsi="Garamond"/>
          <w:color w:val="000000" w:themeColor="text1"/>
          <w:sz w:val="24"/>
          <w:szCs w:val="24"/>
        </w:rPr>
        <w:t>the</w:t>
      </w:r>
      <w:r w:rsidR="00112E62" w:rsidRPr="00735740">
        <w:rPr>
          <w:rFonts w:ascii="Garamond" w:hAnsi="Garamond"/>
          <w:color w:val="000000" w:themeColor="text1"/>
          <w:sz w:val="24"/>
          <w:szCs w:val="24"/>
        </w:rPr>
        <w:t xml:space="preserve"> emphasis on the</w:t>
      </w:r>
      <w:r w:rsidR="00BB0760" w:rsidRPr="00735740">
        <w:rPr>
          <w:rFonts w:ascii="Garamond" w:hAnsi="Garamond"/>
          <w:color w:val="000000" w:themeColor="text1"/>
          <w:sz w:val="24"/>
          <w:szCs w:val="24"/>
        </w:rPr>
        <w:t xml:space="preserve"> liberal nature of community </w:t>
      </w:r>
      <w:r w:rsidR="00112E62" w:rsidRPr="00735740">
        <w:rPr>
          <w:rFonts w:ascii="Garamond" w:hAnsi="Garamond"/>
          <w:color w:val="000000" w:themeColor="text1"/>
          <w:sz w:val="24"/>
          <w:szCs w:val="24"/>
        </w:rPr>
        <w:t>emanated</w:t>
      </w:r>
      <w:r w:rsidR="00BB0760" w:rsidRPr="00735740">
        <w:rPr>
          <w:rFonts w:ascii="Garamond" w:hAnsi="Garamond"/>
          <w:color w:val="000000" w:themeColor="text1"/>
          <w:sz w:val="24"/>
          <w:szCs w:val="24"/>
        </w:rPr>
        <w:t xml:space="preserve"> from </w:t>
      </w:r>
      <w:r w:rsidR="00EF1ED8" w:rsidRPr="00735740">
        <w:rPr>
          <w:rFonts w:ascii="Garamond" w:hAnsi="Garamond"/>
          <w:color w:val="000000" w:themeColor="text1"/>
          <w:sz w:val="24"/>
          <w:szCs w:val="24"/>
        </w:rPr>
        <w:t xml:space="preserve">the </w:t>
      </w:r>
      <w:r w:rsidR="00BB0760" w:rsidRPr="00735740">
        <w:rPr>
          <w:rFonts w:ascii="Garamond" w:hAnsi="Garamond"/>
          <w:color w:val="000000" w:themeColor="text1"/>
          <w:sz w:val="24"/>
          <w:szCs w:val="24"/>
        </w:rPr>
        <w:t xml:space="preserve">ICTR’s </w:t>
      </w:r>
      <w:r w:rsidR="00EF1ED8" w:rsidRPr="00735740">
        <w:rPr>
          <w:rFonts w:ascii="Garamond" w:hAnsi="Garamond"/>
          <w:color w:val="000000" w:themeColor="text1"/>
          <w:sz w:val="24"/>
          <w:szCs w:val="24"/>
        </w:rPr>
        <w:t>archive’s enlightenment rooted epistemology</w:t>
      </w:r>
      <w:r w:rsidR="00BB0760" w:rsidRPr="00735740">
        <w:rPr>
          <w:rFonts w:ascii="Garamond" w:hAnsi="Garamond"/>
          <w:color w:val="000000" w:themeColor="text1"/>
          <w:sz w:val="24"/>
          <w:szCs w:val="24"/>
        </w:rPr>
        <w:t xml:space="preserve">, which, in addition to adhering to the themes of </w:t>
      </w:r>
      <w:r w:rsidR="00C21209" w:rsidRPr="00735740">
        <w:rPr>
          <w:rFonts w:ascii="Garamond" w:hAnsi="Garamond"/>
          <w:color w:val="000000" w:themeColor="text1"/>
          <w:sz w:val="24"/>
          <w:szCs w:val="24"/>
        </w:rPr>
        <w:t>universality</w:t>
      </w:r>
      <w:r w:rsidR="00BB0760" w:rsidRPr="00735740">
        <w:rPr>
          <w:rFonts w:ascii="Garamond" w:hAnsi="Garamond"/>
          <w:color w:val="000000" w:themeColor="text1"/>
          <w:sz w:val="24"/>
          <w:szCs w:val="24"/>
        </w:rPr>
        <w:t>, equality and progress,</w:t>
      </w:r>
      <w:r w:rsidR="00EF1ED8" w:rsidRPr="00735740">
        <w:rPr>
          <w:rFonts w:ascii="Garamond" w:hAnsi="Garamond"/>
          <w:color w:val="000000" w:themeColor="text1"/>
          <w:sz w:val="24"/>
          <w:szCs w:val="24"/>
        </w:rPr>
        <w:t xml:space="preserve"> focused its account on the actions of conscious and rational individuals</w:t>
      </w:r>
      <w:r w:rsidR="00376953" w:rsidRPr="00735740">
        <w:rPr>
          <w:rFonts w:ascii="Garamond" w:hAnsi="Garamond"/>
          <w:color w:val="000000" w:themeColor="text1"/>
          <w:sz w:val="24"/>
          <w:szCs w:val="24"/>
        </w:rPr>
        <w:t>.</w:t>
      </w:r>
      <w:r w:rsidR="00DB4F41" w:rsidRPr="00735740">
        <w:rPr>
          <w:rFonts w:ascii="Garamond" w:hAnsi="Garamond"/>
          <w:color w:val="000000" w:themeColor="text1"/>
          <w:sz w:val="24"/>
          <w:szCs w:val="24"/>
        </w:rPr>
        <w:t xml:space="preserve"> </w:t>
      </w:r>
      <w:r w:rsidR="005A49AB" w:rsidRPr="00735740">
        <w:rPr>
          <w:rFonts w:ascii="Garamond" w:hAnsi="Garamond"/>
          <w:color w:val="000000" w:themeColor="text1"/>
          <w:sz w:val="24"/>
          <w:szCs w:val="24"/>
        </w:rPr>
        <w:t>This</w:t>
      </w:r>
      <w:r w:rsidR="00BD420D" w:rsidRPr="00735740">
        <w:rPr>
          <w:rFonts w:ascii="Garamond" w:hAnsi="Garamond"/>
          <w:color w:val="000000" w:themeColor="text1"/>
          <w:sz w:val="24"/>
          <w:szCs w:val="24"/>
        </w:rPr>
        <w:t>,</w:t>
      </w:r>
      <w:r w:rsidR="005A49AB" w:rsidRPr="00735740">
        <w:rPr>
          <w:rFonts w:ascii="Garamond" w:hAnsi="Garamond"/>
          <w:color w:val="000000" w:themeColor="text1"/>
          <w:sz w:val="24"/>
          <w:szCs w:val="24"/>
        </w:rPr>
        <w:t xml:space="preserve"> </w:t>
      </w:r>
      <w:r w:rsidR="00BB0760" w:rsidRPr="00735740">
        <w:rPr>
          <w:rFonts w:ascii="Garamond" w:hAnsi="Garamond"/>
          <w:color w:val="000000" w:themeColor="text1"/>
          <w:sz w:val="24"/>
          <w:szCs w:val="24"/>
        </w:rPr>
        <w:t>when</w:t>
      </w:r>
      <w:r w:rsidR="005A49AB" w:rsidRPr="00735740">
        <w:rPr>
          <w:rFonts w:ascii="Garamond" w:hAnsi="Garamond"/>
          <w:color w:val="000000" w:themeColor="text1"/>
          <w:sz w:val="24"/>
          <w:szCs w:val="24"/>
        </w:rPr>
        <w:t xml:space="preserve"> </w:t>
      </w:r>
      <w:r w:rsidR="00DB4F41" w:rsidRPr="00735740">
        <w:rPr>
          <w:rFonts w:ascii="Garamond" w:hAnsi="Garamond"/>
          <w:color w:val="000000" w:themeColor="text1"/>
          <w:sz w:val="24"/>
          <w:szCs w:val="24"/>
        </w:rPr>
        <w:t xml:space="preserve">combined with other imaginings of the </w:t>
      </w:r>
      <w:r w:rsidR="00A90C0B" w:rsidRPr="00735740">
        <w:rPr>
          <w:rFonts w:ascii="Garamond" w:hAnsi="Garamond"/>
          <w:color w:val="000000" w:themeColor="text1"/>
          <w:sz w:val="24"/>
          <w:szCs w:val="24"/>
        </w:rPr>
        <w:t xml:space="preserve">liberal </w:t>
      </w:r>
      <w:r w:rsidR="00DB4F41" w:rsidRPr="00735740">
        <w:rPr>
          <w:rFonts w:ascii="Garamond" w:hAnsi="Garamond"/>
          <w:color w:val="000000" w:themeColor="text1"/>
          <w:sz w:val="24"/>
          <w:szCs w:val="24"/>
        </w:rPr>
        <w:t>international</w:t>
      </w:r>
      <w:r w:rsidR="00A90C0B" w:rsidRPr="00735740">
        <w:rPr>
          <w:rFonts w:ascii="Garamond" w:hAnsi="Garamond"/>
          <w:color w:val="000000" w:themeColor="text1"/>
          <w:sz w:val="24"/>
          <w:szCs w:val="24"/>
        </w:rPr>
        <w:t xml:space="preserve"> order</w:t>
      </w:r>
      <w:r w:rsidR="005A49AB" w:rsidRPr="00735740">
        <w:rPr>
          <w:rFonts w:ascii="Garamond" w:hAnsi="Garamond"/>
          <w:color w:val="000000" w:themeColor="text1"/>
          <w:sz w:val="24"/>
          <w:szCs w:val="24"/>
        </w:rPr>
        <w:t>,</w:t>
      </w:r>
      <w:r w:rsidR="00A90C0B" w:rsidRPr="00735740">
        <w:rPr>
          <w:rFonts w:ascii="Garamond" w:hAnsi="Garamond"/>
          <w:color w:val="000000" w:themeColor="text1"/>
          <w:sz w:val="24"/>
          <w:szCs w:val="24"/>
        </w:rPr>
        <w:t xml:space="preserve"> </w:t>
      </w:r>
      <w:r w:rsidR="00BB0760" w:rsidRPr="00735740">
        <w:rPr>
          <w:rFonts w:ascii="Garamond" w:hAnsi="Garamond"/>
          <w:color w:val="000000" w:themeColor="text1"/>
          <w:sz w:val="24"/>
          <w:szCs w:val="24"/>
        </w:rPr>
        <w:t>also led</w:t>
      </w:r>
      <w:r w:rsidR="00DB4F41" w:rsidRPr="00735740">
        <w:rPr>
          <w:rFonts w:ascii="Garamond" w:hAnsi="Garamond"/>
          <w:color w:val="000000" w:themeColor="text1"/>
          <w:sz w:val="24"/>
          <w:szCs w:val="24"/>
        </w:rPr>
        <w:t xml:space="preserve"> to the </w:t>
      </w:r>
      <w:r w:rsidR="00376953" w:rsidRPr="00735740">
        <w:rPr>
          <w:rFonts w:ascii="Garamond" w:hAnsi="Garamond"/>
          <w:color w:val="000000" w:themeColor="text1"/>
          <w:sz w:val="24"/>
          <w:szCs w:val="24"/>
        </w:rPr>
        <w:t>erasure</w:t>
      </w:r>
      <w:r w:rsidR="005A49AB" w:rsidRPr="00735740">
        <w:rPr>
          <w:rFonts w:ascii="Garamond" w:hAnsi="Garamond"/>
          <w:color w:val="000000" w:themeColor="text1"/>
          <w:sz w:val="24"/>
          <w:szCs w:val="24"/>
        </w:rPr>
        <w:t xml:space="preserve"> of</w:t>
      </w:r>
      <w:r w:rsidR="00376953" w:rsidRPr="00735740">
        <w:rPr>
          <w:rFonts w:ascii="Garamond" w:hAnsi="Garamond"/>
          <w:color w:val="000000" w:themeColor="text1"/>
          <w:sz w:val="24"/>
          <w:szCs w:val="24"/>
        </w:rPr>
        <w:t xml:space="preserve"> international actors</w:t>
      </w:r>
      <w:r w:rsidR="00DB4F41" w:rsidRPr="00735740">
        <w:rPr>
          <w:rFonts w:ascii="Garamond" w:hAnsi="Garamond"/>
          <w:color w:val="000000" w:themeColor="text1"/>
          <w:sz w:val="24"/>
          <w:szCs w:val="24"/>
        </w:rPr>
        <w:t xml:space="preserve"> within the archive</w:t>
      </w:r>
      <w:r w:rsidR="00376953" w:rsidRPr="00735740">
        <w:rPr>
          <w:rFonts w:ascii="Garamond" w:hAnsi="Garamond"/>
          <w:color w:val="000000" w:themeColor="text1"/>
          <w:sz w:val="24"/>
          <w:szCs w:val="24"/>
        </w:rPr>
        <w:t xml:space="preserve">. This </w:t>
      </w:r>
      <w:r w:rsidR="00592683" w:rsidRPr="00735740">
        <w:rPr>
          <w:rFonts w:ascii="Garamond" w:hAnsi="Garamond"/>
          <w:color w:val="000000" w:themeColor="text1"/>
          <w:sz w:val="24"/>
          <w:szCs w:val="24"/>
        </w:rPr>
        <w:t>result</w:t>
      </w:r>
      <w:r w:rsidR="00456870" w:rsidRPr="00735740">
        <w:rPr>
          <w:rFonts w:ascii="Garamond" w:hAnsi="Garamond"/>
          <w:color w:val="000000" w:themeColor="text1"/>
          <w:sz w:val="24"/>
          <w:szCs w:val="24"/>
        </w:rPr>
        <w:t>ed</w:t>
      </w:r>
      <w:r w:rsidR="00592683" w:rsidRPr="00735740">
        <w:rPr>
          <w:rFonts w:ascii="Garamond" w:hAnsi="Garamond"/>
          <w:color w:val="000000" w:themeColor="text1"/>
          <w:sz w:val="24"/>
          <w:szCs w:val="24"/>
        </w:rPr>
        <w:t xml:space="preserve"> in the </w:t>
      </w:r>
      <w:r w:rsidR="00376953" w:rsidRPr="00735740">
        <w:rPr>
          <w:rFonts w:ascii="Garamond" w:hAnsi="Garamond"/>
          <w:color w:val="000000" w:themeColor="text1"/>
          <w:sz w:val="24"/>
          <w:szCs w:val="24"/>
        </w:rPr>
        <w:t xml:space="preserve">first signs of the colonial nature of the archive as </w:t>
      </w:r>
      <w:r w:rsidR="00721617" w:rsidRPr="00735740">
        <w:rPr>
          <w:rFonts w:ascii="Garamond" w:hAnsi="Garamond"/>
          <w:color w:val="000000" w:themeColor="text1"/>
          <w:sz w:val="24"/>
          <w:szCs w:val="24"/>
        </w:rPr>
        <w:t xml:space="preserve">this </w:t>
      </w:r>
      <w:r w:rsidR="00592683" w:rsidRPr="00735740">
        <w:rPr>
          <w:rFonts w:ascii="Garamond" w:hAnsi="Garamond"/>
          <w:color w:val="000000" w:themeColor="text1"/>
          <w:sz w:val="24"/>
          <w:szCs w:val="24"/>
        </w:rPr>
        <w:t xml:space="preserve">produced </w:t>
      </w:r>
      <w:r w:rsidR="00DB4F41" w:rsidRPr="00735740">
        <w:rPr>
          <w:rFonts w:ascii="Garamond" w:hAnsi="Garamond"/>
          <w:color w:val="000000" w:themeColor="text1"/>
          <w:sz w:val="24"/>
          <w:szCs w:val="24"/>
        </w:rPr>
        <w:t>a</w:t>
      </w:r>
      <w:r w:rsidR="00376953" w:rsidRPr="00735740">
        <w:rPr>
          <w:rFonts w:ascii="Garamond" w:hAnsi="Garamond"/>
          <w:color w:val="000000" w:themeColor="text1"/>
          <w:sz w:val="24"/>
          <w:szCs w:val="24"/>
        </w:rPr>
        <w:t xml:space="preserve"> binary of the </w:t>
      </w:r>
      <w:r w:rsidR="00EF1ED8" w:rsidRPr="00735740">
        <w:rPr>
          <w:rFonts w:ascii="Garamond" w:hAnsi="Garamond"/>
          <w:color w:val="000000" w:themeColor="text1"/>
          <w:sz w:val="24"/>
          <w:szCs w:val="24"/>
        </w:rPr>
        <w:t>local</w:t>
      </w:r>
      <w:r w:rsidR="005A49AB" w:rsidRPr="00735740">
        <w:rPr>
          <w:rFonts w:ascii="Garamond" w:hAnsi="Garamond"/>
          <w:color w:val="000000" w:themeColor="text1"/>
          <w:sz w:val="24"/>
          <w:szCs w:val="24"/>
        </w:rPr>
        <w:t xml:space="preserve"> -</w:t>
      </w:r>
      <w:r w:rsidR="00456870" w:rsidRPr="00735740">
        <w:rPr>
          <w:rFonts w:ascii="Garamond" w:hAnsi="Garamond"/>
          <w:color w:val="000000" w:themeColor="text1"/>
          <w:sz w:val="24"/>
          <w:szCs w:val="24"/>
        </w:rPr>
        <w:t xml:space="preserve"> </w:t>
      </w:r>
      <w:r w:rsidR="00EF1ED8" w:rsidRPr="00735740">
        <w:rPr>
          <w:rFonts w:ascii="Garamond" w:hAnsi="Garamond"/>
          <w:color w:val="000000" w:themeColor="text1"/>
          <w:sz w:val="24"/>
          <w:szCs w:val="24"/>
        </w:rPr>
        <w:t>a site of barbarity</w:t>
      </w:r>
      <w:r w:rsidR="005A49AB" w:rsidRPr="00735740">
        <w:rPr>
          <w:rFonts w:ascii="Garamond" w:hAnsi="Garamond"/>
          <w:color w:val="000000" w:themeColor="text1"/>
          <w:sz w:val="24"/>
          <w:szCs w:val="24"/>
        </w:rPr>
        <w:t xml:space="preserve"> - </w:t>
      </w:r>
      <w:r w:rsidR="00EF1ED8" w:rsidRPr="00735740">
        <w:rPr>
          <w:rFonts w:ascii="Garamond" w:hAnsi="Garamond"/>
          <w:color w:val="000000" w:themeColor="text1"/>
          <w:sz w:val="24"/>
          <w:szCs w:val="24"/>
        </w:rPr>
        <w:t>and the international</w:t>
      </w:r>
      <w:r w:rsidR="005A49AB" w:rsidRPr="00735740">
        <w:rPr>
          <w:rFonts w:ascii="Garamond" w:hAnsi="Garamond"/>
          <w:color w:val="000000" w:themeColor="text1"/>
          <w:sz w:val="24"/>
          <w:szCs w:val="24"/>
        </w:rPr>
        <w:t xml:space="preserve"> -</w:t>
      </w:r>
      <w:r w:rsidR="00EF1ED8" w:rsidRPr="00735740">
        <w:rPr>
          <w:rFonts w:ascii="Garamond" w:hAnsi="Garamond"/>
          <w:color w:val="000000" w:themeColor="text1"/>
          <w:sz w:val="24"/>
          <w:szCs w:val="24"/>
        </w:rPr>
        <w:t xml:space="preserve">a site of </w:t>
      </w:r>
      <w:r w:rsidR="00721617" w:rsidRPr="00735740">
        <w:rPr>
          <w:rFonts w:ascii="Garamond" w:hAnsi="Garamond"/>
          <w:color w:val="000000" w:themeColor="text1"/>
          <w:sz w:val="24"/>
          <w:szCs w:val="24"/>
        </w:rPr>
        <w:t xml:space="preserve">(liberal) </w:t>
      </w:r>
      <w:r w:rsidR="00EF1ED8" w:rsidRPr="00735740">
        <w:rPr>
          <w:rFonts w:ascii="Garamond" w:hAnsi="Garamond"/>
          <w:color w:val="000000" w:themeColor="text1"/>
          <w:sz w:val="24"/>
          <w:szCs w:val="24"/>
        </w:rPr>
        <w:t>peace.</w:t>
      </w:r>
      <w:r w:rsidR="00EF1ED8" w:rsidRPr="00735740">
        <w:rPr>
          <w:rStyle w:val="FootnoteReference"/>
          <w:rFonts w:ascii="Garamond" w:hAnsi="Garamond"/>
          <w:color w:val="000000" w:themeColor="text1"/>
          <w:sz w:val="24"/>
          <w:szCs w:val="24"/>
        </w:rPr>
        <w:footnoteReference w:id="128"/>
      </w:r>
      <w:r w:rsidR="00EF1ED8" w:rsidRPr="00735740">
        <w:rPr>
          <w:rFonts w:ascii="Garamond" w:hAnsi="Garamond"/>
          <w:color w:val="000000" w:themeColor="text1"/>
          <w:sz w:val="24"/>
          <w:szCs w:val="24"/>
        </w:rPr>
        <w:t xml:space="preserve"> </w:t>
      </w:r>
      <w:r w:rsidR="0074658B" w:rsidRPr="00735740">
        <w:rPr>
          <w:rFonts w:ascii="Garamond" w:hAnsi="Garamond"/>
          <w:color w:val="000000" w:themeColor="text1"/>
          <w:sz w:val="24"/>
          <w:szCs w:val="24"/>
        </w:rPr>
        <w:t xml:space="preserve">Second, </w:t>
      </w:r>
      <w:r w:rsidR="00FC67FB" w:rsidRPr="00735740">
        <w:rPr>
          <w:rFonts w:ascii="Garamond" w:hAnsi="Garamond"/>
          <w:color w:val="000000" w:themeColor="text1"/>
          <w:sz w:val="24"/>
          <w:szCs w:val="24"/>
        </w:rPr>
        <w:t xml:space="preserve">the archive projected a </w:t>
      </w:r>
      <w:r w:rsidR="00592683" w:rsidRPr="00735740">
        <w:rPr>
          <w:rFonts w:ascii="Garamond" w:hAnsi="Garamond"/>
          <w:color w:val="000000" w:themeColor="text1"/>
          <w:sz w:val="24"/>
          <w:szCs w:val="24"/>
        </w:rPr>
        <w:t xml:space="preserve">patriarchal </w:t>
      </w:r>
      <w:r w:rsidR="00FC67FB" w:rsidRPr="00735740">
        <w:rPr>
          <w:rFonts w:ascii="Garamond" w:hAnsi="Garamond"/>
          <w:color w:val="000000" w:themeColor="text1"/>
          <w:sz w:val="24"/>
          <w:szCs w:val="24"/>
        </w:rPr>
        <w:t>vision</w:t>
      </w:r>
      <w:r w:rsidR="00592683" w:rsidRPr="00735740">
        <w:rPr>
          <w:rFonts w:ascii="Garamond" w:hAnsi="Garamond"/>
          <w:color w:val="000000" w:themeColor="text1"/>
          <w:sz w:val="24"/>
          <w:szCs w:val="24"/>
        </w:rPr>
        <w:t xml:space="preserve"> of </w:t>
      </w:r>
      <w:r w:rsidR="00592683" w:rsidRPr="00735740">
        <w:rPr>
          <w:rFonts w:ascii="Garamond" w:hAnsi="Garamond"/>
          <w:color w:val="000000" w:themeColor="text1"/>
          <w:sz w:val="24"/>
          <w:szCs w:val="24"/>
        </w:rPr>
        <w:lastRenderedPageBreak/>
        <w:t>community</w:t>
      </w:r>
      <w:r w:rsidR="00FC67FB" w:rsidRPr="00735740">
        <w:rPr>
          <w:rFonts w:ascii="Garamond" w:hAnsi="Garamond"/>
          <w:color w:val="000000" w:themeColor="text1"/>
          <w:sz w:val="24"/>
          <w:szCs w:val="24"/>
        </w:rPr>
        <w:t xml:space="preserve">, as it excluded </w:t>
      </w:r>
      <w:r w:rsidR="00E61383" w:rsidRPr="00735740">
        <w:rPr>
          <w:rFonts w:ascii="Garamond" w:hAnsi="Garamond"/>
          <w:color w:val="000000" w:themeColor="text1"/>
          <w:sz w:val="24"/>
          <w:szCs w:val="24"/>
        </w:rPr>
        <w:t>accounts</w:t>
      </w:r>
      <w:r w:rsidR="00FC67FB" w:rsidRPr="00735740">
        <w:rPr>
          <w:rFonts w:ascii="Garamond" w:hAnsi="Garamond"/>
          <w:color w:val="000000" w:themeColor="text1"/>
          <w:sz w:val="24"/>
          <w:szCs w:val="24"/>
        </w:rPr>
        <w:t xml:space="preserve"> that focused on the occurrence of </w:t>
      </w:r>
      <w:r w:rsidR="00376953" w:rsidRPr="00735740">
        <w:rPr>
          <w:rFonts w:ascii="Garamond" w:hAnsi="Garamond"/>
          <w:color w:val="000000" w:themeColor="text1"/>
          <w:sz w:val="24"/>
          <w:szCs w:val="24"/>
        </w:rPr>
        <w:t>gender-based violence</w:t>
      </w:r>
      <w:r w:rsidR="00FC67FB" w:rsidRPr="00735740">
        <w:rPr>
          <w:rFonts w:ascii="Garamond" w:hAnsi="Garamond"/>
          <w:color w:val="000000" w:themeColor="text1"/>
          <w:sz w:val="24"/>
          <w:szCs w:val="24"/>
        </w:rPr>
        <w:t xml:space="preserve"> during the genocide</w:t>
      </w:r>
      <w:r w:rsidR="00376953" w:rsidRPr="00735740">
        <w:rPr>
          <w:rFonts w:ascii="Garamond" w:hAnsi="Garamond"/>
          <w:color w:val="000000" w:themeColor="text1"/>
          <w:sz w:val="24"/>
          <w:szCs w:val="24"/>
        </w:rPr>
        <w:t xml:space="preserve">. This was both because </w:t>
      </w:r>
      <w:r w:rsidR="00FC67FB" w:rsidRPr="00735740">
        <w:rPr>
          <w:rFonts w:ascii="Garamond" w:hAnsi="Garamond"/>
          <w:color w:val="000000" w:themeColor="text1"/>
          <w:sz w:val="24"/>
          <w:szCs w:val="24"/>
        </w:rPr>
        <w:t xml:space="preserve">these crimes were </w:t>
      </w:r>
      <w:r w:rsidR="00376953" w:rsidRPr="00735740">
        <w:rPr>
          <w:rFonts w:ascii="Garamond" w:hAnsi="Garamond"/>
          <w:color w:val="000000" w:themeColor="text1"/>
          <w:sz w:val="24"/>
          <w:szCs w:val="24"/>
        </w:rPr>
        <w:t xml:space="preserve">treated as a </w:t>
      </w:r>
      <w:r w:rsidR="00721617" w:rsidRPr="00735740">
        <w:rPr>
          <w:rFonts w:ascii="Garamond" w:hAnsi="Garamond"/>
          <w:color w:val="000000" w:themeColor="text1"/>
          <w:sz w:val="24"/>
          <w:szCs w:val="24"/>
        </w:rPr>
        <w:t>less serious</w:t>
      </w:r>
      <w:r w:rsidR="00FC67FB" w:rsidRPr="00735740">
        <w:rPr>
          <w:rFonts w:ascii="Garamond" w:hAnsi="Garamond"/>
          <w:color w:val="000000" w:themeColor="text1"/>
          <w:sz w:val="24"/>
          <w:szCs w:val="24"/>
        </w:rPr>
        <w:t xml:space="preserve"> than others</w:t>
      </w:r>
      <w:r w:rsidR="00376953" w:rsidRPr="00735740">
        <w:rPr>
          <w:rFonts w:ascii="Garamond" w:hAnsi="Garamond"/>
          <w:color w:val="000000" w:themeColor="text1"/>
          <w:sz w:val="24"/>
          <w:szCs w:val="24"/>
        </w:rPr>
        <w:t xml:space="preserve">, </w:t>
      </w:r>
      <w:r w:rsidR="00DB4F41" w:rsidRPr="00735740">
        <w:rPr>
          <w:rFonts w:ascii="Garamond" w:hAnsi="Garamond"/>
          <w:color w:val="000000" w:themeColor="text1"/>
          <w:sz w:val="24"/>
          <w:szCs w:val="24"/>
        </w:rPr>
        <w:t>and</w:t>
      </w:r>
      <w:r w:rsidR="00376953" w:rsidRPr="00735740">
        <w:rPr>
          <w:rFonts w:ascii="Garamond" w:hAnsi="Garamond"/>
          <w:color w:val="000000" w:themeColor="text1"/>
          <w:sz w:val="24"/>
          <w:szCs w:val="24"/>
        </w:rPr>
        <w:t xml:space="preserve"> because </w:t>
      </w:r>
      <w:r w:rsidR="00FC67FB" w:rsidRPr="00735740">
        <w:rPr>
          <w:rFonts w:ascii="Garamond" w:hAnsi="Garamond"/>
          <w:color w:val="000000" w:themeColor="text1"/>
          <w:sz w:val="24"/>
          <w:szCs w:val="24"/>
        </w:rPr>
        <w:t xml:space="preserve">they were </w:t>
      </w:r>
      <w:r w:rsidR="00376953" w:rsidRPr="00735740">
        <w:rPr>
          <w:rFonts w:ascii="Garamond" w:hAnsi="Garamond"/>
          <w:color w:val="000000" w:themeColor="text1"/>
          <w:sz w:val="24"/>
          <w:szCs w:val="24"/>
        </w:rPr>
        <w:t>subjected to high</w:t>
      </w:r>
      <w:r w:rsidR="00DB4F41" w:rsidRPr="00735740">
        <w:rPr>
          <w:rFonts w:ascii="Garamond" w:hAnsi="Garamond"/>
          <w:color w:val="000000" w:themeColor="text1"/>
          <w:sz w:val="24"/>
          <w:szCs w:val="24"/>
        </w:rPr>
        <w:t>er</w:t>
      </w:r>
      <w:r w:rsidR="00376953" w:rsidRPr="00735740">
        <w:rPr>
          <w:rFonts w:ascii="Garamond" w:hAnsi="Garamond"/>
          <w:color w:val="000000" w:themeColor="text1"/>
          <w:sz w:val="24"/>
          <w:szCs w:val="24"/>
        </w:rPr>
        <w:t xml:space="preserve"> standards of proof.</w:t>
      </w:r>
      <w:r w:rsidR="00592683" w:rsidRPr="00735740">
        <w:rPr>
          <w:rFonts w:ascii="Garamond" w:hAnsi="Garamond"/>
          <w:color w:val="000000" w:themeColor="text1"/>
          <w:sz w:val="24"/>
          <w:szCs w:val="24"/>
        </w:rPr>
        <w:t xml:space="preserve"> Pointing to the erasure and absence of records relating to gender-based violence also highlighted </w:t>
      </w:r>
      <w:r w:rsidR="003706B7" w:rsidRPr="00735740">
        <w:rPr>
          <w:rFonts w:ascii="Garamond" w:hAnsi="Garamond"/>
          <w:color w:val="000000" w:themeColor="text1"/>
          <w:sz w:val="24"/>
          <w:szCs w:val="24"/>
        </w:rPr>
        <w:t xml:space="preserve">the importance of the </w:t>
      </w:r>
      <w:r w:rsidR="00A90C0B" w:rsidRPr="00735740">
        <w:rPr>
          <w:rFonts w:ascii="Garamond" w:hAnsi="Garamond"/>
          <w:color w:val="000000" w:themeColor="text1"/>
          <w:sz w:val="24"/>
          <w:szCs w:val="24"/>
        </w:rPr>
        <w:t>(im)</w:t>
      </w:r>
      <w:r w:rsidR="003706B7" w:rsidRPr="00735740">
        <w:rPr>
          <w:rFonts w:ascii="Garamond" w:hAnsi="Garamond"/>
          <w:color w:val="000000" w:themeColor="text1"/>
          <w:sz w:val="24"/>
          <w:szCs w:val="24"/>
        </w:rPr>
        <w:t xml:space="preserve">materiality of the archive. </w:t>
      </w:r>
      <w:r w:rsidR="00376953" w:rsidRPr="00735740">
        <w:rPr>
          <w:rFonts w:ascii="Garamond" w:hAnsi="Garamond"/>
          <w:color w:val="000000" w:themeColor="text1"/>
          <w:sz w:val="24"/>
          <w:szCs w:val="24"/>
        </w:rPr>
        <w:t xml:space="preserve">Finally, </w:t>
      </w:r>
      <w:r w:rsidRPr="00735740">
        <w:rPr>
          <w:rFonts w:ascii="Garamond" w:hAnsi="Garamond"/>
          <w:color w:val="000000" w:themeColor="text1"/>
          <w:sz w:val="24"/>
          <w:szCs w:val="24"/>
        </w:rPr>
        <w:t>th</w:t>
      </w:r>
      <w:r w:rsidR="00456870" w:rsidRPr="00735740">
        <w:rPr>
          <w:rFonts w:ascii="Garamond" w:hAnsi="Garamond"/>
          <w:color w:val="000000" w:themeColor="text1"/>
          <w:sz w:val="24"/>
          <w:szCs w:val="24"/>
        </w:rPr>
        <w:t xml:space="preserve">is article highlighted the </w:t>
      </w:r>
      <w:r w:rsidR="0080463A" w:rsidRPr="00735740">
        <w:rPr>
          <w:rFonts w:ascii="Garamond" w:hAnsi="Garamond"/>
          <w:color w:val="000000" w:themeColor="text1"/>
          <w:sz w:val="24"/>
          <w:szCs w:val="24"/>
        </w:rPr>
        <w:t xml:space="preserve">coloniality </w:t>
      </w:r>
      <w:r w:rsidR="00456870" w:rsidRPr="00735740">
        <w:rPr>
          <w:rFonts w:ascii="Garamond" w:hAnsi="Garamond"/>
          <w:color w:val="000000" w:themeColor="text1"/>
          <w:sz w:val="24"/>
          <w:szCs w:val="24"/>
        </w:rPr>
        <w:t>of</w:t>
      </w:r>
      <w:r w:rsidR="0080463A" w:rsidRPr="00735740">
        <w:rPr>
          <w:rFonts w:ascii="Garamond" w:hAnsi="Garamond"/>
          <w:color w:val="000000" w:themeColor="text1"/>
          <w:sz w:val="24"/>
          <w:szCs w:val="24"/>
        </w:rPr>
        <w:t xml:space="preserve"> the archive</w:t>
      </w:r>
      <w:r w:rsidR="00C03D3D" w:rsidRPr="00735740">
        <w:rPr>
          <w:rFonts w:ascii="Garamond" w:hAnsi="Garamond"/>
          <w:color w:val="000000" w:themeColor="text1"/>
          <w:sz w:val="24"/>
          <w:szCs w:val="24"/>
        </w:rPr>
        <w:t xml:space="preserve"> and community</w:t>
      </w:r>
      <w:r w:rsidR="00456870" w:rsidRPr="00735740">
        <w:rPr>
          <w:rFonts w:ascii="Garamond" w:hAnsi="Garamond"/>
          <w:color w:val="000000" w:themeColor="text1"/>
          <w:sz w:val="24"/>
          <w:szCs w:val="24"/>
        </w:rPr>
        <w:t xml:space="preserve"> by demonstrating</w:t>
      </w:r>
      <w:r w:rsidR="00FC67FB" w:rsidRPr="00735740">
        <w:rPr>
          <w:rFonts w:ascii="Garamond" w:hAnsi="Garamond"/>
          <w:color w:val="000000" w:themeColor="text1"/>
          <w:sz w:val="24"/>
          <w:szCs w:val="24"/>
        </w:rPr>
        <w:t xml:space="preserve"> how</w:t>
      </w:r>
      <w:r w:rsidRPr="00735740">
        <w:rPr>
          <w:rFonts w:ascii="Garamond" w:hAnsi="Garamond"/>
          <w:color w:val="000000" w:themeColor="text1"/>
          <w:sz w:val="24"/>
          <w:szCs w:val="24"/>
        </w:rPr>
        <w:t xml:space="preserve"> certain ways </w:t>
      </w:r>
      <w:r w:rsidR="0080463A" w:rsidRPr="00735740">
        <w:rPr>
          <w:rFonts w:ascii="Garamond" w:hAnsi="Garamond"/>
          <w:color w:val="000000" w:themeColor="text1"/>
          <w:sz w:val="24"/>
          <w:szCs w:val="24"/>
        </w:rPr>
        <w:t xml:space="preserve">of </w:t>
      </w:r>
      <w:r w:rsidR="00960203" w:rsidRPr="00735740">
        <w:rPr>
          <w:rFonts w:ascii="Garamond" w:hAnsi="Garamond"/>
          <w:color w:val="000000" w:themeColor="text1"/>
          <w:sz w:val="24"/>
          <w:szCs w:val="24"/>
        </w:rPr>
        <w:t xml:space="preserve">knowing </w:t>
      </w:r>
      <w:r w:rsidR="00456870" w:rsidRPr="00735740">
        <w:rPr>
          <w:rFonts w:ascii="Garamond" w:hAnsi="Garamond"/>
          <w:color w:val="000000" w:themeColor="text1"/>
          <w:sz w:val="24"/>
          <w:szCs w:val="24"/>
        </w:rPr>
        <w:t>- which</w:t>
      </w:r>
      <w:r w:rsidR="00960203" w:rsidRPr="00735740">
        <w:rPr>
          <w:rFonts w:ascii="Garamond" w:hAnsi="Garamond"/>
          <w:color w:val="000000" w:themeColor="text1"/>
          <w:sz w:val="24"/>
          <w:szCs w:val="24"/>
        </w:rPr>
        <w:t xml:space="preserve"> </w:t>
      </w:r>
      <w:r w:rsidR="00456870" w:rsidRPr="00735740">
        <w:rPr>
          <w:rFonts w:ascii="Garamond" w:hAnsi="Garamond"/>
          <w:color w:val="000000" w:themeColor="text1"/>
          <w:sz w:val="24"/>
          <w:szCs w:val="24"/>
        </w:rPr>
        <w:t>existed</w:t>
      </w:r>
      <w:r w:rsidR="0080463A" w:rsidRPr="00735740">
        <w:rPr>
          <w:rFonts w:ascii="Garamond" w:hAnsi="Garamond"/>
          <w:color w:val="000000" w:themeColor="text1"/>
          <w:sz w:val="24"/>
          <w:szCs w:val="24"/>
        </w:rPr>
        <w:t xml:space="preserve"> beyond the archive</w:t>
      </w:r>
      <w:r w:rsidR="00960203" w:rsidRPr="00735740">
        <w:rPr>
          <w:rFonts w:ascii="Garamond" w:hAnsi="Garamond"/>
          <w:color w:val="000000" w:themeColor="text1"/>
          <w:sz w:val="24"/>
          <w:szCs w:val="24"/>
        </w:rPr>
        <w:t>’</w:t>
      </w:r>
      <w:r w:rsidR="0080463A" w:rsidRPr="00735740">
        <w:rPr>
          <w:rFonts w:ascii="Garamond" w:hAnsi="Garamond"/>
          <w:color w:val="000000" w:themeColor="text1"/>
          <w:sz w:val="24"/>
          <w:szCs w:val="24"/>
        </w:rPr>
        <w:t>s western enlightenment logics</w:t>
      </w:r>
      <w:r w:rsidRPr="00735740">
        <w:rPr>
          <w:rFonts w:ascii="Garamond" w:hAnsi="Garamond"/>
          <w:color w:val="000000" w:themeColor="text1"/>
          <w:sz w:val="24"/>
          <w:szCs w:val="24"/>
        </w:rPr>
        <w:t xml:space="preserve"> </w:t>
      </w:r>
      <w:r w:rsidR="00456870" w:rsidRPr="00735740">
        <w:rPr>
          <w:rFonts w:ascii="Garamond" w:hAnsi="Garamond"/>
          <w:color w:val="000000" w:themeColor="text1"/>
          <w:sz w:val="24"/>
          <w:szCs w:val="24"/>
        </w:rPr>
        <w:t xml:space="preserve">- </w:t>
      </w:r>
      <w:r w:rsidRPr="00735740">
        <w:rPr>
          <w:rFonts w:ascii="Garamond" w:hAnsi="Garamond"/>
          <w:color w:val="000000" w:themeColor="text1"/>
          <w:sz w:val="24"/>
          <w:szCs w:val="24"/>
        </w:rPr>
        <w:t xml:space="preserve">were </w:t>
      </w:r>
      <w:r w:rsidR="000870D2" w:rsidRPr="00735740">
        <w:rPr>
          <w:rFonts w:ascii="Garamond" w:hAnsi="Garamond"/>
          <w:color w:val="000000" w:themeColor="text1"/>
          <w:sz w:val="24"/>
          <w:szCs w:val="24"/>
        </w:rPr>
        <w:t>delegitimised</w:t>
      </w:r>
      <w:r w:rsidR="0080463A" w:rsidRPr="00735740">
        <w:rPr>
          <w:rFonts w:ascii="Garamond" w:hAnsi="Garamond"/>
          <w:color w:val="000000" w:themeColor="text1"/>
          <w:sz w:val="24"/>
          <w:szCs w:val="24"/>
        </w:rPr>
        <w:t>. Whilst the archive</w:t>
      </w:r>
      <w:r w:rsidRPr="00735740">
        <w:rPr>
          <w:rFonts w:ascii="Garamond" w:hAnsi="Garamond"/>
          <w:color w:val="000000" w:themeColor="text1"/>
          <w:sz w:val="24"/>
          <w:szCs w:val="24"/>
        </w:rPr>
        <w:t xml:space="preserve">’s rules </w:t>
      </w:r>
      <w:r w:rsidR="0080463A" w:rsidRPr="00735740">
        <w:rPr>
          <w:rFonts w:ascii="Garamond" w:hAnsi="Garamond"/>
          <w:color w:val="000000" w:themeColor="text1"/>
          <w:sz w:val="24"/>
          <w:szCs w:val="24"/>
        </w:rPr>
        <w:t>attempted to</w:t>
      </w:r>
      <w:r w:rsidR="00960203" w:rsidRPr="00735740">
        <w:rPr>
          <w:rFonts w:ascii="Garamond" w:hAnsi="Garamond"/>
          <w:color w:val="000000" w:themeColor="text1"/>
          <w:sz w:val="24"/>
          <w:szCs w:val="24"/>
        </w:rPr>
        <w:t xml:space="preserve"> </w:t>
      </w:r>
      <w:r w:rsidRPr="00735740">
        <w:rPr>
          <w:rFonts w:ascii="Garamond" w:hAnsi="Garamond"/>
          <w:color w:val="000000" w:themeColor="text1"/>
          <w:sz w:val="24"/>
          <w:szCs w:val="24"/>
        </w:rPr>
        <w:t>shift to reflect the</w:t>
      </w:r>
      <w:r w:rsidR="00960203" w:rsidRPr="00735740">
        <w:rPr>
          <w:rFonts w:ascii="Garamond" w:hAnsi="Garamond"/>
          <w:color w:val="000000" w:themeColor="text1"/>
          <w:sz w:val="24"/>
          <w:szCs w:val="24"/>
        </w:rPr>
        <w:t xml:space="preserve"> Rwandan witnesses’ experiences</w:t>
      </w:r>
      <w:r w:rsidR="0080463A" w:rsidRPr="00735740">
        <w:rPr>
          <w:rFonts w:ascii="Garamond" w:hAnsi="Garamond"/>
          <w:color w:val="000000" w:themeColor="text1"/>
          <w:sz w:val="24"/>
          <w:szCs w:val="24"/>
        </w:rPr>
        <w:t>, ultimately</w:t>
      </w:r>
      <w:r w:rsidR="00F9078A" w:rsidRPr="00735740">
        <w:rPr>
          <w:rFonts w:ascii="Garamond" w:hAnsi="Garamond"/>
          <w:color w:val="000000" w:themeColor="text1"/>
          <w:sz w:val="24"/>
          <w:szCs w:val="24"/>
        </w:rPr>
        <w:t xml:space="preserve"> </w:t>
      </w:r>
      <w:r w:rsidR="0080463A" w:rsidRPr="00735740">
        <w:rPr>
          <w:rFonts w:ascii="Garamond" w:hAnsi="Garamond"/>
          <w:color w:val="000000" w:themeColor="text1"/>
          <w:sz w:val="24"/>
          <w:szCs w:val="24"/>
        </w:rPr>
        <w:t xml:space="preserve">it was </w:t>
      </w:r>
      <w:r w:rsidRPr="00735740">
        <w:rPr>
          <w:rFonts w:ascii="Garamond" w:hAnsi="Garamond"/>
          <w:color w:val="000000" w:themeColor="text1"/>
          <w:sz w:val="24"/>
          <w:szCs w:val="24"/>
        </w:rPr>
        <w:t>the</w:t>
      </w:r>
      <w:r w:rsidR="0080463A" w:rsidRPr="00735740">
        <w:rPr>
          <w:rFonts w:ascii="Garamond" w:hAnsi="Garamond"/>
          <w:color w:val="000000" w:themeColor="text1"/>
          <w:sz w:val="24"/>
          <w:szCs w:val="24"/>
        </w:rPr>
        <w:t xml:space="preserve"> witnesses</w:t>
      </w:r>
      <w:r w:rsidRPr="00735740">
        <w:rPr>
          <w:rFonts w:ascii="Garamond" w:hAnsi="Garamond"/>
          <w:color w:val="000000" w:themeColor="text1"/>
          <w:sz w:val="24"/>
          <w:szCs w:val="24"/>
        </w:rPr>
        <w:t xml:space="preserve"> that were </w:t>
      </w:r>
      <w:r w:rsidR="003706B7" w:rsidRPr="00735740">
        <w:rPr>
          <w:rFonts w:ascii="Garamond" w:hAnsi="Garamond"/>
          <w:color w:val="000000" w:themeColor="text1"/>
          <w:sz w:val="24"/>
          <w:szCs w:val="24"/>
        </w:rPr>
        <w:t>expected</w:t>
      </w:r>
      <w:r w:rsidRPr="00735740">
        <w:rPr>
          <w:rFonts w:ascii="Garamond" w:hAnsi="Garamond"/>
          <w:color w:val="000000" w:themeColor="text1"/>
          <w:sz w:val="24"/>
          <w:szCs w:val="24"/>
        </w:rPr>
        <w:t xml:space="preserve"> to adapt to </w:t>
      </w:r>
      <w:r w:rsidR="00960203" w:rsidRPr="00735740">
        <w:rPr>
          <w:rFonts w:ascii="Garamond" w:hAnsi="Garamond"/>
          <w:color w:val="000000" w:themeColor="text1"/>
          <w:sz w:val="24"/>
          <w:szCs w:val="24"/>
        </w:rPr>
        <w:t>the peculiarities of the courtroom process</w:t>
      </w:r>
      <w:r w:rsidR="00456870" w:rsidRPr="00735740">
        <w:rPr>
          <w:rFonts w:ascii="Garamond" w:hAnsi="Garamond"/>
          <w:color w:val="000000" w:themeColor="text1"/>
          <w:sz w:val="24"/>
          <w:szCs w:val="24"/>
        </w:rPr>
        <w:t>es</w:t>
      </w:r>
      <w:r w:rsidR="0080463A" w:rsidRPr="00735740">
        <w:rPr>
          <w:rFonts w:ascii="Garamond" w:hAnsi="Garamond"/>
          <w:color w:val="000000" w:themeColor="text1"/>
          <w:sz w:val="24"/>
          <w:szCs w:val="24"/>
        </w:rPr>
        <w:t xml:space="preserve">. These power-dynamics were replicated in the final decision </w:t>
      </w:r>
      <w:r w:rsidR="00E42738" w:rsidRPr="00735740">
        <w:rPr>
          <w:rFonts w:ascii="Garamond" w:hAnsi="Garamond"/>
          <w:color w:val="000000" w:themeColor="text1"/>
          <w:sz w:val="24"/>
          <w:szCs w:val="24"/>
        </w:rPr>
        <w:t>of</w:t>
      </w:r>
      <w:r w:rsidR="0080463A" w:rsidRPr="00735740">
        <w:rPr>
          <w:rFonts w:ascii="Garamond" w:hAnsi="Garamond"/>
          <w:color w:val="000000" w:themeColor="text1"/>
          <w:sz w:val="24"/>
          <w:szCs w:val="24"/>
        </w:rPr>
        <w:t xml:space="preserve"> where the archive was to be located, as the needs of Rwanda </w:t>
      </w:r>
      <w:r w:rsidR="000870D2" w:rsidRPr="00735740">
        <w:rPr>
          <w:rFonts w:ascii="Garamond" w:hAnsi="Garamond"/>
          <w:color w:val="000000" w:themeColor="text1"/>
          <w:sz w:val="24"/>
          <w:szCs w:val="24"/>
        </w:rPr>
        <w:t xml:space="preserve">were overridden by those of the </w:t>
      </w:r>
      <w:r w:rsidR="00E61383" w:rsidRPr="00735740">
        <w:rPr>
          <w:rFonts w:ascii="Garamond" w:hAnsi="Garamond"/>
          <w:color w:val="000000" w:themeColor="text1"/>
          <w:sz w:val="24"/>
          <w:szCs w:val="24"/>
        </w:rPr>
        <w:t>UN</w:t>
      </w:r>
      <w:r w:rsidR="0080463A" w:rsidRPr="00735740">
        <w:rPr>
          <w:rFonts w:ascii="Garamond" w:hAnsi="Garamond"/>
          <w:color w:val="000000" w:themeColor="text1"/>
          <w:sz w:val="24"/>
          <w:szCs w:val="24"/>
        </w:rPr>
        <w:t>.</w:t>
      </w:r>
      <w:r w:rsidR="003706B7" w:rsidRPr="00735740">
        <w:rPr>
          <w:rFonts w:ascii="Garamond" w:hAnsi="Garamond"/>
          <w:color w:val="000000" w:themeColor="text1"/>
          <w:sz w:val="24"/>
          <w:szCs w:val="24"/>
        </w:rPr>
        <w:t xml:space="preserve"> Once more, this demonstrated the importance of the materiality of the archive, as the decision of where to house the physical records came to fracture the tribunal’s initial claims </w:t>
      </w:r>
      <w:r w:rsidR="00456870" w:rsidRPr="00735740">
        <w:rPr>
          <w:rFonts w:ascii="Garamond" w:hAnsi="Garamond"/>
          <w:color w:val="000000" w:themeColor="text1"/>
          <w:sz w:val="24"/>
          <w:szCs w:val="24"/>
        </w:rPr>
        <w:t>about</w:t>
      </w:r>
      <w:r w:rsidR="003706B7" w:rsidRPr="00735740">
        <w:rPr>
          <w:rFonts w:ascii="Garamond" w:hAnsi="Garamond"/>
          <w:color w:val="000000" w:themeColor="text1"/>
          <w:sz w:val="24"/>
          <w:szCs w:val="24"/>
        </w:rPr>
        <w:t xml:space="preserve"> the purpose and function of the court.</w:t>
      </w:r>
      <w:r w:rsidR="00CF0075" w:rsidRPr="00735740">
        <w:rPr>
          <w:rFonts w:ascii="Garamond" w:hAnsi="Garamond"/>
          <w:color w:val="000000" w:themeColor="text1"/>
          <w:sz w:val="24"/>
          <w:szCs w:val="24"/>
        </w:rPr>
        <w:t xml:space="preserve"> </w:t>
      </w:r>
    </w:p>
    <w:p w14:paraId="3A94643E" w14:textId="621CF71B" w:rsidR="00182A22" w:rsidRPr="00735740" w:rsidRDefault="00376953" w:rsidP="00B77956">
      <w:pPr>
        <w:spacing w:afterLines="160" w:after="384" w:line="360" w:lineRule="auto"/>
        <w:rPr>
          <w:rFonts w:ascii="Garamond" w:hAnsi="Garamond"/>
          <w:color w:val="000000" w:themeColor="text1"/>
          <w:sz w:val="24"/>
          <w:szCs w:val="24"/>
        </w:rPr>
      </w:pPr>
      <w:r w:rsidRPr="00735740">
        <w:rPr>
          <w:rFonts w:ascii="Garamond" w:hAnsi="Garamond"/>
          <w:color w:val="000000" w:themeColor="text1"/>
          <w:sz w:val="24"/>
          <w:szCs w:val="24"/>
        </w:rPr>
        <w:t xml:space="preserve">In addition to demonstrating how the international community is imagined through the ICTR’s archive, </w:t>
      </w:r>
      <w:r w:rsidR="00A90C0B" w:rsidRPr="00735740">
        <w:rPr>
          <w:rFonts w:ascii="Garamond" w:hAnsi="Garamond"/>
          <w:color w:val="000000" w:themeColor="text1"/>
          <w:sz w:val="24"/>
          <w:szCs w:val="24"/>
        </w:rPr>
        <w:t>the article</w:t>
      </w:r>
      <w:r w:rsidRPr="00735740">
        <w:rPr>
          <w:rFonts w:ascii="Garamond" w:hAnsi="Garamond"/>
          <w:color w:val="000000" w:themeColor="text1"/>
          <w:sz w:val="24"/>
          <w:szCs w:val="24"/>
        </w:rPr>
        <w:t xml:space="preserve"> has more generally </w:t>
      </w:r>
      <w:r w:rsidR="002F42C1" w:rsidRPr="00735740">
        <w:rPr>
          <w:rFonts w:ascii="Garamond" w:hAnsi="Garamond"/>
          <w:color w:val="000000" w:themeColor="text1"/>
          <w:sz w:val="24"/>
          <w:szCs w:val="24"/>
        </w:rPr>
        <w:t>affirmed</w:t>
      </w:r>
      <w:r w:rsidR="009E4528" w:rsidRPr="00735740">
        <w:rPr>
          <w:rFonts w:ascii="Garamond" w:hAnsi="Garamond"/>
          <w:color w:val="000000" w:themeColor="text1"/>
          <w:sz w:val="24"/>
          <w:szCs w:val="24"/>
        </w:rPr>
        <w:t xml:space="preserve"> </w:t>
      </w:r>
      <w:r w:rsidRPr="00735740">
        <w:rPr>
          <w:rFonts w:ascii="Garamond" w:hAnsi="Garamond"/>
          <w:color w:val="000000" w:themeColor="text1"/>
          <w:sz w:val="24"/>
          <w:szCs w:val="24"/>
        </w:rPr>
        <w:t xml:space="preserve">the value of archives as sites of empirical analysis for </w:t>
      </w:r>
      <w:r w:rsidR="00EF1ED8" w:rsidRPr="00735740">
        <w:rPr>
          <w:rFonts w:ascii="Garamond" w:hAnsi="Garamond"/>
          <w:color w:val="000000" w:themeColor="text1"/>
          <w:sz w:val="24"/>
          <w:szCs w:val="24"/>
        </w:rPr>
        <w:t xml:space="preserve">IR </w:t>
      </w:r>
      <w:r w:rsidRPr="00735740">
        <w:rPr>
          <w:rFonts w:ascii="Garamond" w:hAnsi="Garamond"/>
          <w:color w:val="000000" w:themeColor="text1"/>
          <w:sz w:val="24"/>
          <w:szCs w:val="24"/>
        </w:rPr>
        <w:t>scholars</w:t>
      </w:r>
      <w:r w:rsidR="00E42738" w:rsidRPr="00735740">
        <w:rPr>
          <w:rFonts w:ascii="Garamond" w:hAnsi="Garamond"/>
          <w:color w:val="000000" w:themeColor="text1"/>
          <w:sz w:val="24"/>
          <w:szCs w:val="24"/>
        </w:rPr>
        <w:t xml:space="preserve"> and, drawing on Stoler and Foucault, </w:t>
      </w:r>
      <w:r w:rsidR="00456870" w:rsidRPr="00735740">
        <w:rPr>
          <w:rFonts w:ascii="Garamond" w:hAnsi="Garamond"/>
          <w:color w:val="000000" w:themeColor="text1"/>
          <w:sz w:val="24"/>
          <w:szCs w:val="24"/>
        </w:rPr>
        <w:t xml:space="preserve">suggested </w:t>
      </w:r>
      <w:r w:rsidR="00E42738" w:rsidRPr="00735740">
        <w:rPr>
          <w:rFonts w:ascii="Garamond" w:hAnsi="Garamond"/>
          <w:color w:val="000000" w:themeColor="text1"/>
          <w:sz w:val="24"/>
          <w:szCs w:val="24"/>
        </w:rPr>
        <w:t>how archives can be analysed</w:t>
      </w:r>
      <w:r w:rsidR="00EF1ED8" w:rsidRPr="00735740">
        <w:rPr>
          <w:rFonts w:ascii="Garamond" w:hAnsi="Garamond"/>
          <w:color w:val="000000" w:themeColor="text1"/>
          <w:sz w:val="24"/>
          <w:szCs w:val="24"/>
        </w:rPr>
        <w:t>. As Derrida argued,</w:t>
      </w:r>
      <w:r w:rsidR="009E4528" w:rsidRPr="00735740" w:rsidDel="009E4528">
        <w:rPr>
          <w:rFonts w:ascii="Garamond" w:hAnsi="Garamond"/>
          <w:color w:val="000000" w:themeColor="text1"/>
          <w:sz w:val="24"/>
          <w:szCs w:val="24"/>
        </w:rPr>
        <w:t xml:space="preserve"> </w:t>
      </w:r>
      <w:r w:rsidR="00EF1ED8" w:rsidRPr="00735740">
        <w:rPr>
          <w:rFonts w:ascii="Garamond" w:hAnsi="Garamond"/>
          <w:color w:val="000000" w:themeColor="text1"/>
          <w:sz w:val="24"/>
          <w:szCs w:val="24"/>
        </w:rPr>
        <w:t xml:space="preserve">the archival drive operates through an exclusionary and selective logic, which </w:t>
      </w:r>
      <w:r w:rsidR="00E61383" w:rsidRPr="00735740">
        <w:rPr>
          <w:rFonts w:ascii="Garamond" w:hAnsi="Garamond"/>
          <w:color w:val="000000" w:themeColor="text1"/>
          <w:sz w:val="24"/>
          <w:szCs w:val="24"/>
        </w:rPr>
        <w:t xml:space="preserve">makes </w:t>
      </w:r>
      <w:r w:rsidR="00EF1ED8" w:rsidRPr="00735740">
        <w:rPr>
          <w:rFonts w:ascii="Garamond" w:hAnsi="Garamond"/>
          <w:color w:val="000000" w:themeColor="text1"/>
          <w:sz w:val="24"/>
          <w:szCs w:val="24"/>
        </w:rPr>
        <w:t>the archive such an indispensable tool for state and community building. Archives represent an important material trace of, and monument to, these projects</w:t>
      </w:r>
      <w:r w:rsidR="003706B7" w:rsidRPr="00735740">
        <w:rPr>
          <w:rFonts w:ascii="Garamond" w:hAnsi="Garamond"/>
          <w:color w:val="000000" w:themeColor="text1"/>
          <w:sz w:val="24"/>
          <w:szCs w:val="24"/>
        </w:rPr>
        <w:t>.</w:t>
      </w:r>
      <w:r w:rsidR="00EF1ED8" w:rsidRPr="00735740">
        <w:rPr>
          <w:rFonts w:ascii="Garamond" w:hAnsi="Garamond"/>
          <w:color w:val="000000" w:themeColor="text1"/>
          <w:sz w:val="24"/>
          <w:szCs w:val="24"/>
        </w:rPr>
        <w:t xml:space="preserve"> </w:t>
      </w:r>
      <w:r w:rsidR="00CF0075" w:rsidRPr="00735740">
        <w:rPr>
          <w:rFonts w:ascii="Garamond" w:hAnsi="Garamond"/>
          <w:color w:val="000000" w:themeColor="text1"/>
          <w:sz w:val="24"/>
          <w:szCs w:val="24"/>
        </w:rPr>
        <w:t>A</w:t>
      </w:r>
      <w:r w:rsidR="00CA6FA9" w:rsidRPr="00735740">
        <w:rPr>
          <w:rFonts w:ascii="Garamond" w:hAnsi="Garamond"/>
          <w:color w:val="000000" w:themeColor="text1"/>
          <w:sz w:val="24"/>
          <w:szCs w:val="24"/>
        </w:rPr>
        <w:t>s</w:t>
      </w:r>
      <w:r w:rsidR="00C21209" w:rsidRPr="00735740">
        <w:rPr>
          <w:rFonts w:ascii="Garamond" w:hAnsi="Garamond"/>
          <w:color w:val="000000" w:themeColor="text1"/>
          <w:sz w:val="24"/>
          <w:szCs w:val="24"/>
        </w:rPr>
        <w:t xml:space="preserve"> such, there </w:t>
      </w:r>
      <w:r w:rsidR="0013149F" w:rsidRPr="00735740">
        <w:rPr>
          <w:rFonts w:ascii="Garamond" w:hAnsi="Garamond"/>
          <w:color w:val="000000" w:themeColor="text1"/>
          <w:sz w:val="24"/>
          <w:szCs w:val="24"/>
        </w:rPr>
        <w:t xml:space="preserve">is a need to understand </w:t>
      </w:r>
      <w:r w:rsidR="00CF0075" w:rsidRPr="00735740">
        <w:rPr>
          <w:rFonts w:ascii="Garamond" w:hAnsi="Garamond"/>
          <w:color w:val="000000" w:themeColor="text1"/>
          <w:sz w:val="24"/>
          <w:szCs w:val="24"/>
        </w:rPr>
        <w:t>h</w:t>
      </w:r>
      <w:r w:rsidR="00EF1ED8" w:rsidRPr="00735740">
        <w:rPr>
          <w:rFonts w:ascii="Garamond" w:hAnsi="Garamond"/>
          <w:color w:val="000000" w:themeColor="text1"/>
          <w:sz w:val="24"/>
          <w:szCs w:val="24"/>
        </w:rPr>
        <w:t>ow these archives are constructed, by who</w:t>
      </w:r>
      <w:r w:rsidR="0013149F" w:rsidRPr="00735740">
        <w:rPr>
          <w:rFonts w:ascii="Garamond" w:hAnsi="Garamond"/>
          <w:color w:val="000000" w:themeColor="text1"/>
          <w:sz w:val="24"/>
          <w:szCs w:val="24"/>
        </w:rPr>
        <w:t>m</w:t>
      </w:r>
      <w:r w:rsidR="003706B7" w:rsidRPr="00735740">
        <w:rPr>
          <w:rFonts w:ascii="Garamond" w:hAnsi="Garamond"/>
          <w:color w:val="000000" w:themeColor="text1"/>
          <w:sz w:val="24"/>
          <w:szCs w:val="24"/>
        </w:rPr>
        <w:t xml:space="preserve"> and </w:t>
      </w:r>
      <w:r w:rsidR="00A165A9" w:rsidRPr="00735740">
        <w:rPr>
          <w:rFonts w:ascii="Garamond" w:hAnsi="Garamond"/>
          <w:color w:val="000000" w:themeColor="text1"/>
          <w:sz w:val="24"/>
          <w:szCs w:val="24"/>
        </w:rPr>
        <w:t xml:space="preserve">what effect this </w:t>
      </w:r>
      <w:r w:rsidR="00E92ACF" w:rsidRPr="00735740">
        <w:rPr>
          <w:rFonts w:ascii="Garamond" w:hAnsi="Garamond"/>
          <w:color w:val="000000" w:themeColor="text1"/>
          <w:sz w:val="24"/>
          <w:szCs w:val="24"/>
        </w:rPr>
        <w:t>has</w:t>
      </w:r>
      <w:r w:rsidR="00A165A9" w:rsidRPr="00735740">
        <w:rPr>
          <w:rFonts w:ascii="Garamond" w:hAnsi="Garamond"/>
          <w:color w:val="000000" w:themeColor="text1"/>
          <w:sz w:val="24"/>
          <w:szCs w:val="24"/>
        </w:rPr>
        <w:t xml:space="preserve"> for the constitution and governance of community</w:t>
      </w:r>
      <w:r w:rsidR="00EF1ED8" w:rsidRPr="00735740">
        <w:rPr>
          <w:rFonts w:ascii="Garamond" w:hAnsi="Garamond"/>
          <w:color w:val="000000" w:themeColor="text1"/>
          <w:sz w:val="24"/>
          <w:szCs w:val="24"/>
        </w:rPr>
        <w:t xml:space="preserve">. </w:t>
      </w:r>
    </w:p>
    <w:sectPr w:rsidR="00182A22" w:rsidRPr="0073574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9AD94" w14:textId="77777777" w:rsidR="00AC5BB6" w:rsidRDefault="00AC5BB6" w:rsidP="001F1417">
      <w:pPr>
        <w:spacing w:after="0" w:line="240" w:lineRule="auto"/>
      </w:pPr>
      <w:r>
        <w:separator/>
      </w:r>
    </w:p>
    <w:p w14:paraId="4105004D" w14:textId="77777777" w:rsidR="00AC5BB6" w:rsidRDefault="00AC5BB6"/>
  </w:endnote>
  <w:endnote w:type="continuationSeparator" w:id="0">
    <w:p w14:paraId="4D7F0D10" w14:textId="77777777" w:rsidR="00AC5BB6" w:rsidRDefault="00AC5BB6" w:rsidP="001F1417">
      <w:pPr>
        <w:spacing w:after="0" w:line="240" w:lineRule="auto"/>
      </w:pPr>
      <w:r>
        <w:continuationSeparator/>
      </w:r>
    </w:p>
    <w:p w14:paraId="1E251055" w14:textId="77777777" w:rsidR="00AC5BB6" w:rsidRDefault="00AC5B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73955125"/>
      <w:docPartObj>
        <w:docPartGallery w:val="Page Numbers (Bottom of Page)"/>
        <w:docPartUnique/>
      </w:docPartObj>
    </w:sdtPr>
    <w:sdtEndPr>
      <w:rPr>
        <w:rStyle w:val="PageNumber"/>
      </w:rPr>
    </w:sdtEndPr>
    <w:sdtContent>
      <w:p w14:paraId="29383A44" w14:textId="7FACA370" w:rsidR="00687D78" w:rsidRDefault="00687D78" w:rsidP="00CA5B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4DA4DF" w14:textId="77777777" w:rsidR="00687D78" w:rsidRDefault="00687D78" w:rsidP="003A303F">
    <w:pPr>
      <w:pStyle w:val="Footer"/>
      <w:ind w:right="360"/>
    </w:pPr>
  </w:p>
  <w:p w14:paraId="181C1756" w14:textId="77777777" w:rsidR="00687D78" w:rsidRDefault="00687D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Garamond" w:hAnsi="Garamond"/>
      </w:rPr>
      <w:id w:val="-1356344389"/>
      <w:docPartObj>
        <w:docPartGallery w:val="Page Numbers (Bottom of Page)"/>
        <w:docPartUnique/>
      </w:docPartObj>
    </w:sdtPr>
    <w:sdtEndPr>
      <w:rPr>
        <w:rStyle w:val="PageNumber"/>
      </w:rPr>
    </w:sdtEndPr>
    <w:sdtContent>
      <w:p w14:paraId="12D04B5B" w14:textId="75700C3A" w:rsidR="00687D78" w:rsidRPr="007A1C65" w:rsidRDefault="00687D78" w:rsidP="00CA5B8D">
        <w:pPr>
          <w:pStyle w:val="Footer"/>
          <w:framePr w:wrap="none" w:vAnchor="text" w:hAnchor="margin" w:xAlign="right" w:y="1"/>
          <w:rPr>
            <w:rStyle w:val="PageNumber"/>
            <w:rFonts w:ascii="Garamond" w:hAnsi="Garamond"/>
          </w:rPr>
        </w:pPr>
        <w:r w:rsidRPr="007A1C65">
          <w:rPr>
            <w:rStyle w:val="PageNumber"/>
            <w:rFonts w:ascii="Garamond" w:hAnsi="Garamond"/>
          </w:rPr>
          <w:fldChar w:fldCharType="begin"/>
        </w:r>
        <w:r w:rsidRPr="007A1C65">
          <w:rPr>
            <w:rStyle w:val="PageNumber"/>
            <w:rFonts w:ascii="Garamond" w:hAnsi="Garamond"/>
          </w:rPr>
          <w:instrText xml:space="preserve"> PAGE </w:instrText>
        </w:r>
        <w:r w:rsidRPr="007A1C65">
          <w:rPr>
            <w:rStyle w:val="PageNumber"/>
            <w:rFonts w:ascii="Garamond" w:hAnsi="Garamond"/>
          </w:rPr>
          <w:fldChar w:fldCharType="separate"/>
        </w:r>
        <w:r>
          <w:rPr>
            <w:rStyle w:val="PageNumber"/>
            <w:rFonts w:ascii="Garamond" w:hAnsi="Garamond"/>
            <w:noProof/>
          </w:rPr>
          <w:t>24</w:t>
        </w:r>
        <w:r w:rsidRPr="007A1C65">
          <w:rPr>
            <w:rStyle w:val="PageNumber"/>
            <w:rFonts w:ascii="Garamond" w:hAnsi="Garamond"/>
          </w:rPr>
          <w:fldChar w:fldCharType="end"/>
        </w:r>
      </w:p>
    </w:sdtContent>
  </w:sdt>
  <w:p w14:paraId="07E1EE9B" w14:textId="77777777" w:rsidR="00687D78" w:rsidRPr="007A1C65" w:rsidRDefault="00687D78" w:rsidP="003A303F">
    <w:pPr>
      <w:pStyle w:val="Footer"/>
      <w:ind w:right="360"/>
      <w:rPr>
        <w:rFonts w:ascii="Garamond" w:hAnsi="Garamond"/>
      </w:rPr>
    </w:pPr>
  </w:p>
  <w:p w14:paraId="50C29D35" w14:textId="77777777" w:rsidR="00687D78" w:rsidRDefault="00687D7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CDD78" w14:textId="77777777" w:rsidR="00687D78" w:rsidRDefault="00687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8F9D9" w14:textId="77777777" w:rsidR="00AC5BB6" w:rsidRDefault="00AC5BB6" w:rsidP="001F1417">
      <w:pPr>
        <w:spacing w:after="0" w:line="240" w:lineRule="auto"/>
      </w:pPr>
      <w:r>
        <w:separator/>
      </w:r>
    </w:p>
    <w:p w14:paraId="31F5BA92" w14:textId="77777777" w:rsidR="00AC5BB6" w:rsidRDefault="00AC5BB6"/>
  </w:footnote>
  <w:footnote w:type="continuationSeparator" w:id="0">
    <w:p w14:paraId="084D298D" w14:textId="77777777" w:rsidR="00AC5BB6" w:rsidRDefault="00AC5BB6" w:rsidP="001F1417">
      <w:pPr>
        <w:spacing w:after="0" w:line="240" w:lineRule="auto"/>
      </w:pPr>
      <w:r>
        <w:continuationSeparator/>
      </w:r>
    </w:p>
    <w:p w14:paraId="133FCA09" w14:textId="77777777" w:rsidR="00AC5BB6" w:rsidRDefault="00AC5BB6"/>
  </w:footnote>
  <w:footnote w:id="1">
    <w:p w14:paraId="1196D7B8" w14:textId="1A2F8E16"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color w:val="000000" w:themeColor="text1"/>
        </w:rPr>
        <w:fldChar w:fldCharType="begin"/>
      </w:r>
      <w:r w:rsidRPr="00ED3DCF">
        <w:rPr>
          <w:rFonts w:ascii="Times New Roman" w:hAnsi="Times New Roman" w:cs="Times New Roman"/>
          <w:color w:val="000000" w:themeColor="text1"/>
        </w:rPr>
        <w:instrText xml:space="preserve"> ADDIN EN.CITE &lt;EndNote&gt;&lt;Cite&gt;&lt;Author&gt;Rothschild&lt;/Author&gt;&lt;Year&gt;2007&lt;/Year&gt;&lt;RecNum&gt;231&lt;/RecNum&gt;&lt;Pages&gt;375-376&lt;/Pages&gt;&lt;DisplayText&gt;Emma Rothschild, &amp;quot;The Archives of Universal History,&amp;quot; &lt;style face="italic"&gt;Journal of World History&lt;/style&gt; 19, no. 3 (2007): 375-76.&lt;/DisplayText&gt;&lt;record&gt;&lt;rec-number&gt;231&lt;/rec-number&gt;&lt;foreign-keys&gt;&lt;key app="EN" db-id="0rewstxe3sdfepeps9f5xrt55srrdw2s5r9x" timestamp="1538410524"&gt;231&lt;/key&gt;&lt;/foreign-keys&gt;&lt;ref-type name="Journal Article"&gt;17&lt;/ref-type&gt;&lt;contributors&gt;&lt;authors&gt;&lt;author&gt;Rothschild, Emma&lt;/author&gt;&lt;/authors&gt;&lt;/contributors&gt;&lt;titles&gt;&lt;title&gt;The Archives of Universal History&lt;/title&gt;&lt;secondary-title&gt;Journal of World History&lt;/secondary-title&gt;&lt;/titles&gt;&lt;periodical&gt;&lt;full-title&gt;Journal of World History&lt;/full-title&gt;&lt;/periodical&gt;&lt;pages&gt;375-401&lt;/pages&gt;&lt;volume&gt;19&lt;/volume&gt;&lt;number&gt;3&lt;/number&gt;&lt;keywords&gt;&lt;keyword&gt;UN&lt;/keyword&gt;&lt;keyword&gt;Archive&lt;/keyword&gt;&lt;keyword&gt;History&lt;/keyword&gt;&lt;/keywords&gt;&lt;dates&gt;&lt;year&gt;2007&lt;/year&gt;&lt;/dates&gt;&lt;urls&gt;&lt;/urls&gt;&lt;/record&gt;&lt;/Cite&gt;&lt;/EndNote&gt;</w:instrText>
      </w:r>
      <w:r w:rsidRPr="00ED3DCF">
        <w:rPr>
          <w:rFonts w:ascii="Times New Roman" w:hAnsi="Times New Roman" w:cs="Times New Roman"/>
          <w:color w:val="000000" w:themeColor="text1"/>
        </w:rPr>
        <w:fldChar w:fldCharType="separate"/>
      </w:r>
      <w:r w:rsidRPr="00ED3DCF">
        <w:rPr>
          <w:rFonts w:ascii="Times New Roman" w:hAnsi="Times New Roman" w:cs="Times New Roman"/>
          <w:noProof/>
          <w:color w:val="000000" w:themeColor="text1"/>
        </w:rPr>
        <w:t xml:space="preserve">Emma Rothschild, ‘The Archives of Universal History’, </w:t>
      </w:r>
      <w:r w:rsidRPr="00ED3DCF">
        <w:rPr>
          <w:rFonts w:ascii="Times New Roman" w:hAnsi="Times New Roman" w:cs="Times New Roman"/>
          <w:i/>
          <w:noProof/>
          <w:color w:val="000000" w:themeColor="text1"/>
        </w:rPr>
        <w:t>Journal of World History</w:t>
      </w:r>
      <w:r w:rsidRPr="00ED3DCF">
        <w:rPr>
          <w:rFonts w:ascii="Times New Roman" w:hAnsi="Times New Roman" w:cs="Times New Roman"/>
          <w:noProof/>
          <w:color w:val="000000" w:themeColor="text1"/>
        </w:rPr>
        <w:t xml:space="preserve"> 19, no. 3 (2007): 375-6.</w:t>
      </w:r>
      <w:r w:rsidRPr="00ED3DCF">
        <w:rPr>
          <w:rFonts w:ascii="Times New Roman" w:hAnsi="Times New Roman" w:cs="Times New Roman"/>
          <w:color w:val="000000" w:themeColor="text1"/>
        </w:rPr>
        <w:fldChar w:fldCharType="end"/>
      </w:r>
    </w:p>
  </w:footnote>
  <w:footnote w:id="2">
    <w:p w14:paraId="4FED24D3" w14:textId="235B114B"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color w:val="000000" w:themeColor="text1"/>
        </w:rPr>
        <w:fldChar w:fldCharType="begin"/>
      </w:r>
      <w:r w:rsidRPr="00ED3DCF">
        <w:rPr>
          <w:rFonts w:ascii="Times New Roman" w:hAnsi="Times New Roman" w:cs="Times New Roman"/>
          <w:color w:val="000000" w:themeColor="text1"/>
        </w:rPr>
        <w:instrText xml:space="preserve"> ADDIN EN.CITE &lt;EndNote&gt;&lt;Cite&gt;&lt;Author&gt;Bruce&lt;/Author&gt;&lt;Year&gt;2009&lt;/Year&gt;&lt;RecNum&gt;265&lt;/RecNum&gt;&lt;Pages&gt;15-37&lt;/Pages&gt;&lt;DisplayText&gt;Gary Bruce, &amp;quot;East Germany,&amp;quot; in &lt;style face="italic"&gt;Transitional Justice in Eastern Europe and the Former Soviet Union: Reckoning with the Communist Past&lt;/style&gt;, ed. Lavinia Stan (London: Routledge, 2009), 15-37.&lt;/DisplayText&gt;&lt;record&gt;&lt;rec-number&gt;265&lt;/rec-number&gt;&lt;foreign-keys&gt;&lt;key app="EN" db-id="0rewstxe3sdfepeps9f5xrt55srrdw2s5r9x" timestamp="1539182937"&gt;265&lt;/key&gt;&lt;/foreign-keys&gt;&lt;ref-type name="Book Section"&gt;5&lt;/ref-type&gt;&lt;contributors&gt;&lt;authors&gt;&lt;author&gt;Bruce, Gary&lt;/author&gt;&lt;/authors&gt;&lt;secondary-authors&gt;&lt;author&gt;Stan, Lavinia&lt;/author&gt;&lt;/secondary-authors&gt;&lt;/contributors&gt;&lt;titles&gt;&lt;title&gt;East Germany&lt;/title&gt;&lt;secondary-title&gt;Transitional Justice in Eastern Europe and the Former Soviet Union: Reckoning with the communist past&lt;/secondary-title&gt;&lt;/titles&gt;&lt;pages&gt;15-37&lt;/pages&gt;&lt;keywords&gt;&lt;keyword&gt;Stasi&lt;/keyword&gt;&lt;keyword&gt;Germany&lt;/keyword&gt;&lt;keyword&gt;Archives&lt;/keyword&gt;&lt;keyword&gt;Transitional Justice&lt;/keyword&gt;&lt;/keywords&gt;&lt;dates&gt;&lt;year&gt;2009&lt;/year&gt;&lt;/dates&gt;&lt;pub-location&gt;London&lt;/pub-location&gt;&lt;publisher&gt;Routledge&lt;/publisher&gt;&lt;urls&gt;&lt;/urls&gt;&lt;/record&gt;&lt;/Cite&gt;&lt;/EndNote&gt;</w:instrText>
      </w:r>
      <w:r w:rsidRPr="00ED3DCF">
        <w:rPr>
          <w:rFonts w:ascii="Times New Roman" w:hAnsi="Times New Roman" w:cs="Times New Roman"/>
          <w:color w:val="000000" w:themeColor="text1"/>
        </w:rPr>
        <w:fldChar w:fldCharType="separate"/>
      </w:r>
      <w:r w:rsidRPr="00ED3DCF">
        <w:rPr>
          <w:rFonts w:ascii="Times New Roman" w:hAnsi="Times New Roman" w:cs="Times New Roman"/>
          <w:noProof/>
          <w:color w:val="000000" w:themeColor="text1"/>
        </w:rPr>
        <w:t xml:space="preserve">Gary Bruce, ‘East Germany’, in </w:t>
      </w:r>
      <w:r w:rsidRPr="00ED3DCF">
        <w:rPr>
          <w:rFonts w:ascii="Times New Roman" w:hAnsi="Times New Roman" w:cs="Times New Roman"/>
          <w:i/>
          <w:noProof/>
          <w:color w:val="000000" w:themeColor="text1"/>
        </w:rPr>
        <w:t>Transitional Justice in Eastern Europe and the Former Soviet Union: Reckoning with the Communist Past</w:t>
      </w:r>
      <w:r w:rsidRPr="00ED3DCF">
        <w:rPr>
          <w:rFonts w:ascii="Times New Roman" w:hAnsi="Times New Roman" w:cs="Times New Roman"/>
          <w:noProof/>
          <w:color w:val="000000" w:themeColor="text1"/>
        </w:rPr>
        <w:t>, ed. Lavinia Stan (London: Routledge, 2009), 15-37</w:t>
      </w:r>
      <w:r w:rsidRPr="00ED3DCF">
        <w:rPr>
          <w:rFonts w:ascii="Times New Roman" w:hAnsi="Times New Roman" w:cs="Times New Roman"/>
          <w:color w:val="000000" w:themeColor="text1"/>
        </w:rPr>
        <w:fldChar w:fldCharType="end"/>
      </w:r>
      <w:r w:rsidRPr="00ED3DCF">
        <w:rPr>
          <w:rFonts w:ascii="Times New Roman" w:hAnsi="Times New Roman" w:cs="Times New Roman"/>
          <w:color w:val="000000" w:themeColor="text1"/>
        </w:rPr>
        <w:t xml:space="preserve">; John Dirks, ‘Accountability, History, and Archives: Conflicting Priorities or Synthesized Strands?’, </w:t>
      </w:r>
      <w:r w:rsidRPr="00ED3DCF">
        <w:rPr>
          <w:rFonts w:ascii="Times New Roman" w:hAnsi="Times New Roman" w:cs="Times New Roman"/>
          <w:i/>
          <w:color w:val="000000" w:themeColor="text1"/>
        </w:rPr>
        <w:t xml:space="preserve">Archivia </w:t>
      </w:r>
      <w:r w:rsidRPr="00ED3DCF">
        <w:rPr>
          <w:rFonts w:ascii="Times New Roman" w:hAnsi="Times New Roman" w:cs="Times New Roman"/>
          <w:color w:val="000000" w:themeColor="text1"/>
        </w:rPr>
        <w:t xml:space="preserve">57 (2004), 45-6; Zahir Kolia, ‘Archiving Trauma and Amnesia: The Racialized Political Theologies of Reconciliation in South Africa,’ in </w:t>
      </w:r>
      <w:r w:rsidRPr="00ED3DCF">
        <w:rPr>
          <w:rFonts w:ascii="Times New Roman" w:hAnsi="Times New Roman" w:cs="Times New Roman"/>
          <w:i/>
          <w:iCs/>
          <w:color w:val="000000" w:themeColor="text1"/>
        </w:rPr>
        <w:t>Recentering Africa in International Relations Beyond Lack, Peripherality, and Failure</w:t>
      </w:r>
      <w:r w:rsidRPr="00ED3DCF">
        <w:rPr>
          <w:rFonts w:ascii="Times New Roman" w:hAnsi="Times New Roman" w:cs="Times New Roman"/>
          <w:iCs/>
          <w:color w:val="000000" w:themeColor="text1"/>
        </w:rPr>
        <w:t xml:space="preserve">, eds. </w:t>
      </w:r>
      <w:r w:rsidRPr="00ED3DCF">
        <w:rPr>
          <w:rFonts w:ascii="Times New Roman" w:hAnsi="Times New Roman" w:cs="Times New Roman"/>
          <w:color w:val="000000" w:themeColor="text1"/>
        </w:rPr>
        <w:t>Marta de Heredia and Zubairu Wai (Basingstoke: Palgrave Macmillan, 2018),</w:t>
      </w:r>
      <w:r w:rsidR="005A7364" w:rsidRPr="00ED3DCF">
        <w:rPr>
          <w:rFonts w:ascii="Times New Roman" w:hAnsi="Times New Roman" w:cs="Times New Roman"/>
          <w:color w:val="000000" w:themeColor="text1"/>
        </w:rPr>
        <w:t xml:space="preserve"> </w:t>
      </w:r>
      <w:r w:rsidRPr="00ED3DCF">
        <w:rPr>
          <w:rFonts w:ascii="Times New Roman" w:hAnsi="Times New Roman" w:cs="Times New Roman"/>
          <w:color w:val="000000" w:themeColor="text1"/>
        </w:rPr>
        <w:t>148.</w:t>
      </w:r>
    </w:p>
  </w:footnote>
  <w:footnote w:id="3">
    <w:p w14:paraId="2D63EC48" w14:textId="48AB1079" w:rsidR="00687D78" w:rsidRPr="00ED3DCF" w:rsidRDefault="00687D78" w:rsidP="00813D4E">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United Nations Security Council (hereafter UNSC), S/RES/955, 08/11/1994; </w:t>
      </w:r>
      <w:bookmarkStart w:id="1" w:name="_Hlk535914729"/>
      <w:r w:rsidRPr="00ED3DCF">
        <w:rPr>
          <w:rFonts w:ascii="Times New Roman" w:hAnsi="Times New Roman" w:cs="Times New Roman"/>
          <w:color w:val="000000" w:themeColor="text1"/>
        </w:rPr>
        <w:t>and ‘United Nations</w:t>
      </w:r>
    </w:p>
    <w:p w14:paraId="6FE61E01" w14:textId="5816A8CC" w:rsidR="00687D78" w:rsidRPr="00ED3DCF" w:rsidRDefault="00687D78" w:rsidP="00813D4E">
      <w:pPr>
        <w:pStyle w:val="FootnoteText"/>
        <w:rPr>
          <w:rFonts w:ascii="Times New Roman" w:hAnsi="Times New Roman" w:cs="Times New Roman"/>
          <w:color w:val="000000" w:themeColor="text1"/>
        </w:rPr>
      </w:pPr>
      <w:r w:rsidRPr="00ED3DCF">
        <w:rPr>
          <w:rFonts w:ascii="Times New Roman" w:hAnsi="Times New Roman" w:cs="Times New Roman"/>
          <w:color w:val="000000" w:themeColor="text1"/>
        </w:rPr>
        <w:t xml:space="preserve">International Residual Mechanism for Criminal Tribunals: Archives’, available at: </w:t>
      </w:r>
      <w:hyperlink r:id="rId1" w:history="1">
        <w:r w:rsidRPr="00ED3DCF">
          <w:rPr>
            <w:rStyle w:val="Hyperlink"/>
            <w:rFonts w:ascii="Times New Roman" w:hAnsi="Times New Roman" w:cs="Times New Roman"/>
            <w:color w:val="000000" w:themeColor="text1"/>
            <w:u w:val="none"/>
          </w:rPr>
          <w:t>http://www.irmct.org/en/archives</w:t>
        </w:r>
      </w:hyperlink>
      <w:r w:rsidRPr="00ED3DCF">
        <w:rPr>
          <w:rFonts w:ascii="Times New Roman" w:hAnsi="Times New Roman" w:cs="Times New Roman"/>
          <w:color w:val="000000" w:themeColor="text1"/>
        </w:rPr>
        <w:t>, last accessed December 21, 2018.</w:t>
      </w:r>
    </w:p>
    <w:bookmarkEnd w:id="1"/>
  </w:footnote>
  <w:footnote w:id="4">
    <w:p w14:paraId="46E16A62" w14:textId="77E68EB8"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Vivienne Jabri, ‘Disarming Norms: Postcolonial Agency and the Constitution of the International’, </w:t>
      </w:r>
      <w:r w:rsidRPr="00ED3DCF">
        <w:rPr>
          <w:rFonts w:ascii="Times New Roman" w:hAnsi="Times New Roman" w:cs="Times New Roman"/>
          <w:i/>
          <w:color w:val="000000" w:themeColor="text1"/>
        </w:rPr>
        <w:t xml:space="preserve">International Theory </w:t>
      </w:r>
      <w:r w:rsidRPr="00ED3DCF">
        <w:rPr>
          <w:rFonts w:ascii="Times New Roman" w:hAnsi="Times New Roman" w:cs="Times New Roman"/>
          <w:color w:val="000000" w:themeColor="text1"/>
        </w:rPr>
        <w:t xml:space="preserve">6, no. 2 (2014): 372-90; Kamari Clarke, ‘Affective Justice: The Racialized Imaginaries of International Justice’, </w:t>
      </w:r>
      <w:r w:rsidRPr="00ED3DCF">
        <w:rPr>
          <w:rFonts w:ascii="Times New Roman" w:hAnsi="Times New Roman" w:cs="Times New Roman"/>
          <w:i/>
          <w:color w:val="000000" w:themeColor="text1"/>
        </w:rPr>
        <w:t xml:space="preserve">PoLAR </w:t>
      </w:r>
      <w:r w:rsidRPr="00ED3DCF">
        <w:rPr>
          <w:rFonts w:ascii="Times New Roman" w:hAnsi="Times New Roman" w:cs="Times New Roman"/>
          <w:color w:val="000000" w:themeColor="text1"/>
        </w:rPr>
        <w:t>42, no. 2 (2019): 244–267.</w:t>
      </w:r>
    </w:p>
  </w:footnote>
  <w:footnote w:id="5">
    <w:p w14:paraId="14E2E514" w14:textId="07A46A50"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color w:val="000000" w:themeColor="text1"/>
        </w:rPr>
        <w:fldChar w:fldCharType="begin"/>
      </w:r>
      <w:r w:rsidRPr="00ED3DCF">
        <w:rPr>
          <w:rFonts w:ascii="Times New Roman" w:hAnsi="Times New Roman" w:cs="Times New Roman"/>
          <w:color w:val="000000" w:themeColor="text1"/>
        </w:rPr>
        <w:instrText xml:space="preserve"> ADDIN EN.CITE &lt;EndNote&gt;&lt;Cite&gt;&lt;Author&gt;Schwartz&lt;/Author&gt;&lt;Year&gt;2002&lt;/Year&gt;&lt;RecNum&gt;267&lt;/RecNum&gt;&lt;Pages&gt;9-11&lt;/Pages&gt;&lt;DisplayText&gt;Joan Schwartz and Terry Cook, &amp;quot;Archives, Records, and Power: The Making of Modern Memory,&amp;quot; &lt;style face="italic"&gt;Archival Science&lt;/style&gt; 2, no. 1 (2002): 9-11.&lt;/DisplayText&gt;&lt;record&gt;&lt;rec-number&gt;267&lt;/rec-number&gt;&lt;foreign-keys&gt;&lt;key app="EN" db-id="0rewstxe3sdfepeps9f5xrt55srrdw2s5r9x" timestamp="1539276714"&gt;267&lt;/key&gt;&lt;/foreign-keys&gt;&lt;ref-type name="Journal Article"&gt;17&lt;/ref-type&gt;&lt;contributors&gt;&lt;authors&gt;&lt;author&gt;Schwartz, Joan&lt;/author&gt;&lt;author&gt;Cook, Terry&lt;/author&gt;&lt;/authors&gt;&lt;/contributors&gt;&lt;titles&gt;&lt;title&gt;Archives, Records, and Power: The Making of Modern Memory&lt;/title&gt;&lt;secondary-title&gt;Archival Science&lt;/secondary-title&gt;&lt;/titles&gt;&lt;periodical&gt;&lt;full-title&gt;Archival Science&lt;/full-title&gt;&lt;/periodical&gt;&lt;pages&gt;1-19&lt;/pages&gt;&lt;volume&gt;2&lt;/volume&gt;&lt;number&gt;1&lt;/number&gt;&lt;keywords&gt;&lt;keyword&gt;Archive&lt;/keyword&gt;&lt;keyword&gt;Theory&lt;/keyword&gt;&lt;keyword&gt;Power&lt;/keyword&gt;&lt;keyword&gt;Memory&lt;/keyword&gt;&lt;keyword&gt;Identity&lt;/keyword&gt;&lt;/keywords&gt;&lt;dates&gt;&lt;year&gt;2002&lt;/year&gt;&lt;/dates&gt;&lt;urls&gt;&lt;/urls&gt;&lt;/record&gt;&lt;/Cite&gt;&lt;/EndNote&gt;</w:instrText>
      </w:r>
      <w:r w:rsidRPr="00ED3DCF">
        <w:rPr>
          <w:rFonts w:ascii="Times New Roman" w:hAnsi="Times New Roman" w:cs="Times New Roman"/>
          <w:color w:val="000000" w:themeColor="text1"/>
        </w:rPr>
        <w:fldChar w:fldCharType="separate"/>
      </w:r>
      <w:r w:rsidRPr="00ED3DCF">
        <w:rPr>
          <w:rFonts w:ascii="Times New Roman" w:hAnsi="Times New Roman" w:cs="Times New Roman"/>
          <w:noProof/>
          <w:color w:val="000000" w:themeColor="text1"/>
        </w:rPr>
        <w:t xml:space="preserve">Joan Schwartz and Terry Cook, ‘Archives, Records, and Power: The Making of Modern Memory’, </w:t>
      </w:r>
      <w:r w:rsidRPr="00ED3DCF">
        <w:rPr>
          <w:rFonts w:ascii="Times New Roman" w:hAnsi="Times New Roman" w:cs="Times New Roman"/>
          <w:i/>
          <w:noProof/>
          <w:color w:val="000000" w:themeColor="text1"/>
        </w:rPr>
        <w:t>Archival Science</w:t>
      </w:r>
      <w:r w:rsidRPr="00ED3DCF">
        <w:rPr>
          <w:rFonts w:ascii="Times New Roman" w:hAnsi="Times New Roman" w:cs="Times New Roman"/>
          <w:noProof/>
          <w:color w:val="000000" w:themeColor="text1"/>
        </w:rPr>
        <w:t xml:space="preserve"> 2, no. 1 (2002): 9-11.</w:t>
      </w:r>
      <w:r w:rsidRPr="00ED3DCF">
        <w:rPr>
          <w:rFonts w:ascii="Times New Roman" w:hAnsi="Times New Roman" w:cs="Times New Roman"/>
          <w:color w:val="000000" w:themeColor="text1"/>
        </w:rPr>
        <w:fldChar w:fldCharType="end"/>
      </w:r>
    </w:p>
  </w:footnote>
  <w:footnote w:id="6">
    <w:p w14:paraId="4098EB05" w14:textId="71C4130A"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color w:val="000000" w:themeColor="text1"/>
          <w:lang w:val="en-US"/>
        </w:rPr>
        <w:fldChar w:fldCharType="begin"/>
      </w:r>
      <w:r w:rsidRPr="00ED3DCF">
        <w:rPr>
          <w:rFonts w:ascii="Times New Roman" w:hAnsi="Times New Roman" w:cs="Times New Roman"/>
          <w:color w:val="000000" w:themeColor="text1"/>
          <w:lang w:val="en-US"/>
        </w:rPr>
        <w:instrText xml:space="preserve"> ADDIN EN.CITE &lt;EndNote&gt;&lt;Cite&gt;&lt;Author&gt;Derrida&lt;/Author&gt;&lt;Year&gt;1995&lt;/Year&gt;&lt;RecNum&gt;261&lt;/RecNum&gt;&lt;Pages&gt;9-10&lt;/Pages&gt;&lt;DisplayText&gt;Jacques Derrida, &amp;quot;Archive Fever: A Freudian Impression,&amp;quot; &lt;style face="italic"&gt;Diacritics&lt;/style&gt; 25, no. 2 (1995): 9-10.&lt;/DisplayText&gt;&lt;record&gt;&lt;rec-number&gt;261&lt;/rec-number&gt;&lt;foreign-keys&gt;&lt;key app="EN" db-id="0rewstxe3sdfepeps9f5xrt55srrdw2s5r9x" timestamp="1539181614"&gt;261&lt;/key&gt;&lt;/foreign-keys&gt;&lt;ref-type name="Journal Article"&gt;17&lt;/ref-type&gt;&lt;contributors&gt;&lt;authors&gt;&lt;author&gt;Derrida, Jacques&lt;/author&gt;&lt;/authors&gt;&lt;/contributors&gt;&lt;titles&gt;&lt;title&gt;Archive Fever: A Freudian Impression&lt;/title&gt;&lt;secondary-title&gt;Diacritics&lt;/secondary-title&gt;&lt;short-title&gt;Archive Fever&lt;/short-title&gt;&lt;/titles&gt;&lt;periodical&gt;&lt;full-title&gt;Diacritics&lt;/full-title&gt;&lt;/periodical&gt;&lt;pages&gt;9-63&lt;/pages&gt;&lt;volume&gt;25&lt;/volume&gt;&lt;number&gt;2&lt;/number&gt;&lt;keywords&gt;&lt;keyword&gt;Derrida&lt;/keyword&gt;&lt;keyword&gt;Theory&lt;/keyword&gt;&lt;keyword&gt;Critical&lt;/keyword&gt;&lt;/keywords&gt;&lt;dates&gt;&lt;year&gt;1995&lt;/year&gt;&lt;/dates&gt;&lt;urls&gt;&lt;/urls&gt;&lt;/record&gt;&lt;/Cite&gt;&lt;/EndNote&gt;</w:instrText>
      </w:r>
      <w:r w:rsidRPr="00ED3DCF">
        <w:rPr>
          <w:rFonts w:ascii="Times New Roman" w:hAnsi="Times New Roman" w:cs="Times New Roman"/>
          <w:color w:val="000000" w:themeColor="text1"/>
          <w:lang w:val="en-US"/>
        </w:rPr>
        <w:fldChar w:fldCharType="separate"/>
      </w:r>
      <w:r w:rsidRPr="00ED3DCF">
        <w:rPr>
          <w:rFonts w:ascii="Times New Roman" w:hAnsi="Times New Roman" w:cs="Times New Roman"/>
          <w:noProof/>
          <w:color w:val="000000" w:themeColor="text1"/>
          <w:lang w:val="en-US"/>
        </w:rPr>
        <w:t xml:space="preserve">Jacques Derrida, ‘Archive Fever: A Freudian Impression’, </w:t>
      </w:r>
      <w:r w:rsidRPr="00ED3DCF">
        <w:rPr>
          <w:rFonts w:ascii="Times New Roman" w:hAnsi="Times New Roman" w:cs="Times New Roman"/>
          <w:i/>
          <w:noProof/>
          <w:color w:val="000000" w:themeColor="text1"/>
          <w:lang w:val="en-US"/>
        </w:rPr>
        <w:t>Diacritics</w:t>
      </w:r>
      <w:r w:rsidRPr="00ED3DCF">
        <w:rPr>
          <w:rFonts w:ascii="Times New Roman" w:hAnsi="Times New Roman" w:cs="Times New Roman"/>
          <w:noProof/>
          <w:color w:val="000000" w:themeColor="text1"/>
          <w:lang w:val="en-US"/>
        </w:rPr>
        <w:t xml:space="preserve"> 25, no. 2 (1995): 9-10.</w:t>
      </w:r>
      <w:r w:rsidRPr="00ED3DCF">
        <w:rPr>
          <w:rFonts w:ascii="Times New Roman" w:hAnsi="Times New Roman" w:cs="Times New Roman"/>
          <w:color w:val="000000" w:themeColor="text1"/>
          <w:lang w:val="en-US"/>
        </w:rPr>
        <w:fldChar w:fldCharType="end"/>
      </w:r>
      <w:r w:rsidRPr="00ED3DCF">
        <w:rPr>
          <w:rFonts w:ascii="Times New Roman" w:hAnsi="Times New Roman" w:cs="Times New Roman"/>
          <w:color w:val="000000" w:themeColor="text1"/>
          <w:lang w:val="en-US"/>
        </w:rPr>
        <w:t xml:space="preserve"> </w:t>
      </w:r>
    </w:p>
  </w:footnote>
  <w:footnote w:id="7">
    <w:p w14:paraId="02C090CD" w14:textId="0C38C02F"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color w:val="000000" w:themeColor="text1"/>
        </w:rPr>
        <w:fldChar w:fldCharType="begin"/>
      </w:r>
      <w:r w:rsidRPr="00ED3DCF">
        <w:rPr>
          <w:rFonts w:ascii="Times New Roman" w:hAnsi="Times New Roman" w:cs="Times New Roman"/>
          <w:color w:val="000000" w:themeColor="text1"/>
        </w:rPr>
        <w:instrText xml:space="preserve"> ADDIN EN.CITE &lt;EndNote&gt;&lt;Cite&gt;&lt;Author&gt;Velody&lt;/Author&gt;&lt;Year&gt;1998&lt;/Year&gt;&lt;RecNum&gt;289&lt;/RecNum&gt;&lt;Pages&gt;1-2&lt;/Pages&gt;&lt;DisplayText&gt;Irving Velody, &amp;quot;The Archive and the Human Sciences: Notes Towards a Theory of the Archive,&amp;quot; &lt;style face="italic"&gt;History of the Human Sciences&lt;/style&gt; 11, no. 4 (1998): 1-2.&lt;/DisplayText&gt;&lt;record&gt;&lt;rec-number&gt;289&lt;/rec-number&gt;&lt;foreign-keys&gt;&lt;key app="EN" db-id="0rewstxe3sdfepeps9f5xrt55srrdw2s5r9x" timestamp="1543072230"&gt;289&lt;/key&gt;&lt;/foreign-keys&gt;&lt;ref-type name="Journal Article"&gt;17&lt;/ref-type&gt;&lt;contributors&gt;&lt;authors&gt;&lt;author&gt;Velody, Irving&lt;/author&gt;&lt;/authors&gt;&lt;/contributors&gt;&lt;titles&gt;&lt;title&gt;The Archive and the Human Sciences: Notes Towards a Theory of the Archive&lt;/title&gt;&lt;secondary-title&gt;History of the Human Sciences&lt;/secondary-title&gt;&lt;short-title&gt;Archive&lt;/short-title&gt;&lt;/titles&gt;&lt;periodical&gt;&lt;full-title&gt;History of the Human Sciences&lt;/full-title&gt;&lt;/periodical&gt;&lt;volume&gt;11&lt;/volume&gt;&lt;number&gt;4&lt;/number&gt;&lt;keywords&gt;&lt;keyword&gt;Archive&lt;/keyword&gt;&lt;keyword&gt;Theory&lt;/keyword&gt;&lt;/keywords&gt;&lt;dates&gt;&lt;year&gt;1998&lt;/year&gt;&lt;/dates&gt;&lt;urls&gt;&lt;/urls&gt;&lt;/record&gt;&lt;/Cite&gt;&lt;/EndNote&gt;</w:instrText>
      </w:r>
      <w:r w:rsidRPr="00ED3DCF">
        <w:rPr>
          <w:rFonts w:ascii="Times New Roman" w:hAnsi="Times New Roman" w:cs="Times New Roman"/>
          <w:color w:val="000000" w:themeColor="text1"/>
        </w:rPr>
        <w:fldChar w:fldCharType="separate"/>
      </w:r>
      <w:r w:rsidRPr="00ED3DCF">
        <w:rPr>
          <w:rFonts w:ascii="Times New Roman" w:hAnsi="Times New Roman" w:cs="Times New Roman"/>
          <w:noProof/>
          <w:color w:val="000000" w:themeColor="text1"/>
        </w:rPr>
        <w:t xml:space="preserve">Irving Velody, ‘The Archive and the Human Sciences: Notes Towards a Theory of the Archive’, </w:t>
      </w:r>
      <w:r w:rsidRPr="00ED3DCF">
        <w:rPr>
          <w:rFonts w:ascii="Times New Roman" w:hAnsi="Times New Roman" w:cs="Times New Roman"/>
          <w:i/>
          <w:noProof/>
          <w:color w:val="000000" w:themeColor="text1"/>
        </w:rPr>
        <w:t>History of the Human Sciences</w:t>
      </w:r>
      <w:r w:rsidRPr="00ED3DCF">
        <w:rPr>
          <w:rFonts w:ascii="Times New Roman" w:hAnsi="Times New Roman" w:cs="Times New Roman"/>
          <w:noProof/>
          <w:color w:val="000000" w:themeColor="text1"/>
        </w:rPr>
        <w:t xml:space="preserve"> 11, no. 4 (1998): 1-2.</w:t>
      </w:r>
      <w:r w:rsidRPr="00ED3DCF">
        <w:rPr>
          <w:rFonts w:ascii="Times New Roman" w:hAnsi="Times New Roman" w:cs="Times New Roman"/>
          <w:color w:val="000000" w:themeColor="text1"/>
        </w:rPr>
        <w:fldChar w:fldCharType="end"/>
      </w:r>
      <w:r w:rsidRPr="00ED3DCF">
        <w:rPr>
          <w:rFonts w:ascii="Times New Roman" w:hAnsi="Times New Roman" w:cs="Times New Roman"/>
          <w:color w:val="000000" w:themeColor="text1"/>
        </w:rPr>
        <w:t xml:space="preserve"> </w:t>
      </w:r>
    </w:p>
  </w:footnote>
  <w:footnote w:id="8">
    <w:p w14:paraId="391135A0" w14:textId="14D5276B" w:rsidR="00687D78" w:rsidRPr="00ED3DCF" w:rsidRDefault="00687D78" w:rsidP="00EF3B57">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color w:val="000000" w:themeColor="text1"/>
        </w:rPr>
        <w:fldChar w:fldCharType="begin"/>
      </w:r>
      <w:r w:rsidRPr="00ED3DCF">
        <w:rPr>
          <w:rFonts w:ascii="Times New Roman" w:hAnsi="Times New Roman" w:cs="Times New Roman"/>
          <w:color w:val="000000" w:themeColor="text1"/>
        </w:rPr>
        <w:instrText xml:space="preserve"> ADDIN EN.CITE &lt;EndNote&gt;&lt;Cite&gt;&lt;Author&gt;Steedman&lt;/Author&gt;&lt;Year&gt;2001&lt;/Year&gt;&lt;RecNum&gt;242&lt;/RecNum&gt;&lt;Pages&gt;1159-63&lt;/Pages&gt;&lt;DisplayText&gt;Steedman, &amp;quot;Something She Called a Fever,&amp;quot; 1159-63.&lt;/DisplayText&gt;&lt;record&gt;&lt;rec-number&gt;242&lt;/rec-number&gt;&lt;foreign-keys&gt;&lt;key app="EN" db-id="0rewstxe3sdfepeps9f5xrt55srrdw2s5r9x" timestamp="1538643642"&gt;242&lt;/key&gt;&lt;/foreign-keys&gt;&lt;ref-type name="Journal Article"&gt;17&lt;/ref-type&gt;&lt;contributors&gt;&lt;authors&gt;&lt;author&gt;Steedman, Carolyn&lt;/author&gt;&lt;/authors&gt;&lt;/contributors&gt;&lt;titles&gt;&lt;title&gt;Something She Called a Fever: Michelet, Derrida, and Dust&lt;/title&gt;&lt;secondary-title&gt;The American History Review &lt;/secondary-title&gt;&lt;short-title&gt;Something She Called a Fever&lt;/short-title&gt;&lt;/titles&gt;&lt;periodical&gt;&lt;full-title&gt;The American History Review&lt;/full-title&gt;&lt;/periodical&gt;&lt;pages&gt;1159-1180&lt;/pages&gt;&lt;volume&gt;106&lt;/volume&gt;&lt;number&gt;4&lt;/number&gt;&lt;keywords&gt;&lt;keyword&gt;Critical&lt;/keyword&gt;&lt;keyword&gt;Theory&lt;/keyword&gt;&lt;keyword&gt;Archive&lt;/keyword&gt;&lt;keyword&gt;Derrida&lt;/keyword&gt;&lt;/keywords&gt;&lt;dates&gt;&lt;year&gt;2001&lt;/year&gt;&lt;/dates&gt;&lt;urls&gt;&lt;/urls&gt;&lt;/record&gt;&lt;/Cite&gt;&lt;/EndNote&gt;</w:instrText>
      </w:r>
      <w:r w:rsidRPr="00ED3DCF">
        <w:rPr>
          <w:rFonts w:ascii="Times New Roman" w:hAnsi="Times New Roman" w:cs="Times New Roman"/>
          <w:color w:val="000000" w:themeColor="text1"/>
        </w:rPr>
        <w:fldChar w:fldCharType="separate"/>
      </w:r>
      <w:r w:rsidRPr="00ED3DCF">
        <w:rPr>
          <w:rFonts w:ascii="Times New Roman" w:hAnsi="Times New Roman" w:cs="Times New Roman"/>
          <w:color w:val="000000" w:themeColor="text1"/>
        </w:rPr>
        <w:t xml:space="preserve"> </w:t>
      </w:r>
      <w:r w:rsidRPr="00ED3DCF">
        <w:rPr>
          <w:rFonts w:ascii="Times New Roman" w:hAnsi="Times New Roman" w:cs="Times New Roman"/>
          <w:noProof/>
          <w:color w:val="000000" w:themeColor="text1"/>
        </w:rPr>
        <w:t xml:space="preserve">Carolyn Steedman, ‘Something She Called a Fever: Michelet, Derrida, and Dust’, </w:t>
      </w:r>
      <w:r w:rsidRPr="00ED3DCF">
        <w:rPr>
          <w:rFonts w:ascii="Times New Roman" w:hAnsi="Times New Roman" w:cs="Times New Roman"/>
          <w:i/>
          <w:noProof/>
          <w:color w:val="000000" w:themeColor="text1"/>
        </w:rPr>
        <w:t>The American History Review</w:t>
      </w:r>
      <w:r w:rsidRPr="00ED3DCF">
        <w:rPr>
          <w:rFonts w:ascii="Times New Roman" w:hAnsi="Times New Roman" w:cs="Times New Roman"/>
          <w:noProof/>
          <w:color w:val="000000" w:themeColor="text1"/>
        </w:rPr>
        <w:t xml:space="preserve"> 106, no. 4 (2001), 1159-63.</w:t>
      </w:r>
      <w:r w:rsidRPr="00ED3DCF">
        <w:rPr>
          <w:rFonts w:ascii="Times New Roman" w:hAnsi="Times New Roman" w:cs="Times New Roman"/>
          <w:color w:val="000000" w:themeColor="text1"/>
        </w:rPr>
        <w:fldChar w:fldCharType="end"/>
      </w:r>
    </w:p>
  </w:footnote>
  <w:footnote w:id="9">
    <w:p w14:paraId="644304ED" w14:textId="3AC73E21" w:rsidR="00687D78" w:rsidRPr="00ED3DCF" w:rsidRDefault="00687D78" w:rsidP="00EF3B57">
      <w:pPr>
        <w:pStyle w:val="FootnoteText"/>
        <w:jc w:val="both"/>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color w:val="000000" w:themeColor="text1"/>
          <w:lang w:val="en-US"/>
        </w:rPr>
        <w:fldChar w:fldCharType="begin"/>
      </w:r>
      <w:r w:rsidRPr="00ED3DCF">
        <w:rPr>
          <w:rFonts w:ascii="Times New Roman" w:hAnsi="Times New Roman" w:cs="Times New Roman"/>
          <w:color w:val="000000" w:themeColor="text1"/>
          <w:lang w:val="en-US"/>
        </w:rPr>
        <w:instrText xml:space="preserve"> ADDIN EN.CITE &lt;EndNote&gt;&lt;Cite&gt;&lt;Author&gt;Brown&lt;/Author&gt;&lt;Year&gt;1998&lt;/Year&gt;&lt;RecNum&gt;328&lt;/RecNum&gt;&lt;Pages&gt;18-20&lt;/Pages&gt;&lt;DisplayText&gt;Richard Brown and Beth Davis-Brown, &amp;quot;The Making of Memory: The Politics of the Archive, Libraries and Museums in the Construction of National Consciousness,&amp;quot; &lt;style face="italic"&gt;History of Human Sciences&lt;/style&gt; 11, no. 4 (1998): 18-20; Elisabeth Kaplan, &amp;quot;We Are What We Collect, We Collect What We Are: Archives and the Construction of Identit,&amp;quot; &lt;style face="italic"&gt;The American Archivist&lt;/style&gt; 63 (2000).&lt;/DisplayText&gt;&lt;record&gt;&lt;rec-number&gt;328&lt;/rec-number&gt;&lt;foreign-keys&gt;&lt;key app="EN" db-id="0rewstxe3sdfepeps9f5xrt55srrdw2s5r9x" timestamp="1546968323"&gt;328&lt;/key&gt;&lt;/foreign-keys&gt;&lt;ref-type name="Journal Article"&gt;17&lt;/ref-type&gt;&lt;contributors&gt;&lt;authors&gt;&lt;author&gt;Brown, Richard&lt;/author&gt;&lt;author&gt;Davis-Brown, Beth&lt;/author&gt;&lt;/authors&gt;&lt;/contributors&gt;&lt;titles&gt;&lt;title&gt;The Making of Memory: the Politics of the Archive, Libraries and Museums in the Construction of National Consciousness&lt;/title&gt;&lt;secondary-title&gt;History of Human Sciences&lt;/secondary-title&gt;&lt;/titles&gt;&lt;periodical&gt;&lt;full-title&gt;History of Human Sciences&lt;/full-title&gt;&lt;/periodical&gt;&lt;volume&gt;11&lt;/volume&gt;&lt;number&gt;4&lt;/number&gt;&lt;dates&gt;&lt;year&gt;1998&lt;/year&gt;&lt;/dates&gt;&lt;urls&gt;&lt;/urls&gt;&lt;/record&gt;&lt;/Cite&gt;&lt;Cite&gt;&lt;Author&gt;Kaplan&lt;/Author&gt;&lt;Year&gt;2000&lt;/Year&gt;&lt;RecNum&gt;327&lt;/RecNum&gt;&lt;record&gt;&lt;rec-number&gt;327&lt;/rec-number&gt;&lt;foreign-keys&gt;&lt;key app="EN" db-id="0rewstxe3sdfepeps9f5xrt55srrdw2s5r9x" timestamp="1546968264"&gt;327&lt;/key&gt;&lt;/foreign-keys&gt;&lt;ref-type name="Journal Article"&gt;17&lt;/ref-type&gt;&lt;contributors&gt;&lt;authors&gt;&lt;author&gt;Kaplan, Elisabeth&lt;/author&gt;&lt;/authors&gt;&lt;/contributors&gt;&lt;titles&gt;&lt;title&gt;We Are What We Collect, We Collect What We Are: Archives and the Construction of Identit&lt;/title&gt;&lt;secondary-title&gt;The American Archivist&lt;/secondary-title&gt;&lt;/titles&gt;&lt;periodical&gt;&lt;full-title&gt;The American Archivist&lt;/full-title&gt;&lt;/periodical&gt;&lt;pages&gt;126-151&lt;/pages&gt;&lt;volume&gt;63&lt;/volume&gt;&lt;dates&gt;&lt;year&gt;2000&lt;/year&gt;&lt;/dates&gt;&lt;urls&gt;&lt;/urls&gt;&lt;/record&gt;&lt;/Cite&gt;&lt;/EndNote&gt;</w:instrText>
      </w:r>
      <w:r w:rsidRPr="00ED3DCF">
        <w:rPr>
          <w:rFonts w:ascii="Times New Roman" w:hAnsi="Times New Roman" w:cs="Times New Roman"/>
          <w:color w:val="000000" w:themeColor="text1"/>
          <w:lang w:val="en-US"/>
        </w:rPr>
        <w:fldChar w:fldCharType="separate"/>
      </w:r>
      <w:r w:rsidRPr="00ED3DCF">
        <w:rPr>
          <w:rFonts w:ascii="Times New Roman" w:hAnsi="Times New Roman" w:cs="Times New Roman"/>
          <w:noProof/>
          <w:color w:val="000000" w:themeColor="text1"/>
          <w:lang w:val="en-US"/>
        </w:rPr>
        <w:t xml:space="preserve">Richard Brown and Beth Davis-Brown, ‘The Making of Memory: The Politics of the Archive, Libraries and Museums in the Construction of National Consciousness’, </w:t>
      </w:r>
      <w:r w:rsidRPr="00ED3DCF">
        <w:rPr>
          <w:rFonts w:ascii="Times New Roman" w:hAnsi="Times New Roman" w:cs="Times New Roman"/>
          <w:i/>
          <w:noProof/>
          <w:color w:val="000000" w:themeColor="text1"/>
          <w:lang w:val="en-US"/>
        </w:rPr>
        <w:t>History of Human Sciences</w:t>
      </w:r>
      <w:r w:rsidRPr="00ED3DCF">
        <w:rPr>
          <w:rFonts w:ascii="Times New Roman" w:hAnsi="Times New Roman" w:cs="Times New Roman"/>
          <w:noProof/>
          <w:color w:val="000000" w:themeColor="text1"/>
          <w:lang w:val="en-US"/>
        </w:rPr>
        <w:t xml:space="preserve"> 11, no. 4 (1998): 18-20;</w:t>
      </w:r>
      <w:r w:rsidRPr="00ED3DCF">
        <w:rPr>
          <w:rFonts w:ascii="Times New Roman" w:hAnsi="Times New Roman" w:cs="Times New Roman"/>
          <w:color w:val="000000" w:themeColor="text1"/>
          <w:lang w:val="en-US"/>
        </w:rPr>
        <w:fldChar w:fldCharType="end"/>
      </w:r>
      <w:r w:rsidRPr="00ED3DCF">
        <w:rPr>
          <w:rFonts w:ascii="Times New Roman" w:hAnsi="Times New Roman" w:cs="Times New Roman"/>
          <w:color w:val="000000" w:themeColor="text1"/>
        </w:rPr>
        <w:t xml:space="preserve">  </w:t>
      </w:r>
      <w:r w:rsidRPr="00ED3DCF">
        <w:rPr>
          <w:rFonts w:ascii="Times New Roman" w:hAnsi="Times New Roman" w:cs="Times New Roman"/>
          <w:color w:val="000000" w:themeColor="text1"/>
        </w:rPr>
        <w:fldChar w:fldCharType="begin"/>
      </w:r>
      <w:r w:rsidRPr="00ED3DCF">
        <w:rPr>
          <w:rFonts w:ascii="Times New Roman" w:hAnsi="Times New Roman" w:cs="Times New Roman"/>
          <w:color w:val="000000" w:themeColor="text1"/>
        </w:rPr>
        <w:instrText xml:space="preserve"> ADDIN EN.CITE &lt;EndNote&gt;&lt;Cite&gt;&lt;Author&gt;Derrida&lt;/Author&gt;&lt;Year&gt;1995&lt;/Year&gt;&lt;RecNum&gt;261&lt;/RecNum&gt;&lt;Pages&gt;10&lt;/Pages&gt;&lt;DisplayText&gt;Derrida, &amp;quot;Archive Fever,&amp;quot; 10.&lt;/DisplayText&gt;&lt;record&gt;&lt;rec-number&gt;261&lt;/rec-number&gt;&lt;foreign-keys&gt;&lt;key app="EN" db-id="0rewstxe3sdfepeps9f5xrt55srrdw2s5r9x" timestamp="1539181614"&gt;261&lt;/key&gt;&lt;/foreign-keys&gt;&lt;ref-type name="Journal Article"&gt;17&lt;/ref-type&gt;&lt;contributors&gt;&lt;authors&gt;&lt;author&gt;Derrida, Jacques&lt;/author&gt;&lt;/authors&gt;&lt;/contributors&gt;&lt;titles&gt;&lt;title&gt;Archive Fever: A Freudian Impression&lt;/title&gt;&lt;secondary-title&gt;Diacritics&lt;/secondary-title&gt;&lt;short-title&gt;Archive Fever&lt;/short-title&gt;&lt;/titles&gt;&lt;periodical&gt;&lt;full-title&gt;Diacritics&lt;/full-title&gt;&lt;/periodical&gt;&lt;pages&gt;9-63&lt;/pages&gt;&lt;volume&gt;25&lt;/volume&gt;&lt;number&gt;2&lt;/number&gt;&lt;keywords&gt;&lt;keyword&gt;Derrida&lt;/keyword&gt;&lt;keyword&gt;Theory&lt;/keyword&gt;&lt;keyword&gt;Critical&lt;/keyword&gt;&lt;/keywords&gt;&lt;dates&gt;&lt;year&gt;1995&lt;/year&gt;&lt;/dates&gt;&lt;urls&gt;&lt;/urls&gt;&lt;/record&gt;&lt;/Cite&gt;&lt;/EndNote&gt;</w:instrText>
      </w:r>
      <w:r w:rsidRPr="00ED3DCF">
        <w:rPr>
          <w:rFonts w:ascii="Times New Roman" w:hAnsi="Times New Roman" w:cs="Times New Roman"/>
          <w:color w:val="000000" w:themeColor="text1"/>
        </w:rPr>
        <w:fldChar w:fldCharType="separate"/>
      </w:r>
      <w:r w:rsidRPr="00ED3DCF">
        <w:rPr>
          <w:rFonts w:ascii="Times New Roman" w:hAnsi="Times New Roman" w:cs="Times New Roman"/>
          <w:noProof/>
          <w:color w:val="000000" w:themeColor="text1"/>
        </w:rPr>
        <w:t>Derrida, ‘Archive Fever’, 10;</w:t>
      </w:r>
      <w:r w:rsidRPr="00ED3DCF">
        <w:rPr>
          <w:rFonts w:ascii="Times New Roman" w:hAnsi="Times New Roman" w:cs="Times New Roman"/>
          <w:color w:val="000000" w:themeColor="text1"/>
        </w:rPr>
        <w:fldChar w:fldCharType="end"/>
      </w:r>
      <w:r w:rsidRPr="00ED3DCF">
        <w:rPr>
          <w:rFonts w:ascii="Times New Roman" w:hAnsi="Times New Roman" w:cs="Times New Roman"/>
          <w:color w:val="000000" w:themeColor="text1"/>
        </w:rPr>
        <w:t xml:space="preserve"> </w:t>
      </w:r>
      <w:r w:rsidRPr="00ED3DCF">
        <w:rPr>
          <w:rFonts w:ascii="Times New Roman" w:hAnsi="Times New Roman" w:cs="Times New Roman"/>
          <w:noProof/>
          <w:color w:val="000000" w:themeColor="text1"/>
        </w:rPr>
        <w:fldChar w:fldCharType="begin"/>
      </w:r>
      <w:r w:rsidRPr="00ED3DCF">
        <w:rPr>
          <w:rFonts w:ascii="Times New Roman" w:hAnsi="Times New Roman" w:cs="Times New Roman"/>
          <w:noProof/>
          <w:color w:val="000000" w:themeColor="text1"/>
        </w:rPr>
        <w:instrText xml:space="preserve"> ADDIN EN.CITE &lt;EndNote&gt;&lt;Cite&gt;&lt;Author&gt;Steedman&lt;/Author&gt;&lt;Year&gt;2001&lt;/Year&gt;&lt;RecNum&gt;242&lt;/RecNum&gt;&lt;Pages&gt;1171-1172&lt;/Pages&gt;&lt;DisplayText&gt;Steedman, &amp;quot;Something She Called a Fever,&amp;quot; 1171-72; &amp;quot;After the Archive,&amp;quot; 333-37.&lt;/DisplayText&gt;&lt;record&gt;&lt;rec-number&gt;242&lt;/rec-number&gt;&lt;foreign-keys&gt;&lt;key app="EN" db-id="0rewstxe3sdfepeps9f5xrt55srrdw2s5r9x" timestamp="1538643642"&gt;242&lt;/key&gt;&lt;/foreign-keys&gt;&lt;ref-type name="Journal Article"&gt;17&lt;/ref-type&gt;&lt;contributors&gt;&lt;authors&gt;&lt;author&gt;Steedman, Carolyn&lt;/author&gt;&lt;/authors&gt;&lt;/contributors&gt;&lt;titles&gt;&lt;title&gt;Something She Called a Fever: Michelet, Derrida, and Dust&lt;/title&gt;&lt;secondary-title&gt;The American History Review &lt;/secondary-title&gt;&lt;short-title&gt;Something She Called a Fever&lt;/short-title&gt;&lt;/titles&gt;&lt;periodical&gt;&lt;full-title&gt;The American History Review&lt;/full-title&gt;&lt;/periodical&gt;&lt;pages&gt;1159-1180&lt;/pages&gt;&lt;volume&gt;106&lt;/volume&gt;&lt;number&gt;4&lt;/number&gt;&lt;keywords&gt;&lt;keyword&gt;Critical&lt;/keyword&gt;&lt;keyword&gt;Theory&lt;/keyword&gt;&lt;keyword&gt;Archive&lt;/keyword&gt;&lt;keyword&gt;Derrida&lt;/keyword&gt;&lt;/keywords&gt;&lt;dates&gt;&lt;year&gt;2001&lt;/year&gt;&lt;/dates&gt;&lt;urls&gt;&lt;/urls&gt;&lt;/record&gt;&lt;/Cite&gt;&lt;Cite&gt;&lt;Author&gt;Steedman&lt;/Author&gt;&lt;Year&gt;2011&lt;/Year&gt;&lt;RecNum&gt;244&lt;/RecNum&gt;&lt;Pages&gt;333-337&lt;/Pages&gt;&lt;record&gt;&lt;rec-number&gt;244&lt;/rec-number&gt;&lt;foreign-keys&gt;&lt;key app="EN" db-id="0rewstxe3sdfepeps9f5xrt55srrdw2s5r9x" timestamp="1538663805"&gt;244&lt;/key&gt;&lt;/foreign-keys&gt;&lt;ref-type name="Journal Article"&gt;17&lt;/ref-type&gt;&lt;contributors&gt;&lt;authors&gt;&lt;author&gt;Steedman, Carolyn&lt;/author&gt;&lt;/authors&gt;&lt;/contributors&gt;&lt;titles&gt;&lt;title&gt;After the Archive&lt;/title&gt;&lt;secondary-title&gt;Comparative Critical Studies&lt;/secondary-title&gt;&lt;/titles&gt;&lt;periodical&gt;&lt;full-title&gt;Comparative Critical Studies&lt;/full-title&gt;&lt;/periodical&gt;&lt;pages&gt;321-340&lt;/pages&gt;&lt;volume&gt;8&lt;/volume&gt;&lt;number&gt;2-3&lt;/number&gt;&lt;keywords&gt;&lt;keyword&gt;Archive&lt;/keyword&gt;&lt;keyword&gt;Foucault,&lt;/keyword&gt;&lt;keyword&gt;Theory&lt;/keyword&gt;&lt;keyword&gt;Critical&lt;/keyword&gt;&lt;/keywords&gt;&lt;dates&gt;&lt;year&gt;2011&lt;/year&gt;&lt;/dates&gt;&lt;urls&gt;&lt;/urls&gt;&lt;/record&gt;&lt;/Cite&gt;&lt;/EndNote&gt;</w:instrText>
      </w:r>
      <w:r w:rsidRPr="00ED3DCF">
        <w:rPr>
          <w:rFonts w:ascii="Times New Roman" w:hAnsi="Times New Roman" w:cs="Times New Roman"/>
          <w:noProof/>
          <w:color w:val="000000" w:themeColor="text1"/>
        </w:rPr>
        <w:fldChar w:fldCharType="separate"/>
      </w:r>
      <w:r w:rsidRPr="00ED3DCF">
        <w:rPr>
          <w:rFonts w:ascii="Times New Roman" w:hAnsi="Times New Roman" w:cs="Times New Roman"/>
          <w:noProof/>
          <w:color w:val="000000" w:themeColor="text1"/>
        </w:rPr>
        <w:t xml:space="preserve">Steedman, ‘Fever’, 1171-2; Carolyn Steedman, ‘After the Archive’, </w:t>
      </w:r>
      <w:r w:rsidRPr="00ED3DCF">
        <w:rPr>
          <w:rFonts w:ascii="Times New Roman" w:hAnsi="Times New Roman" w:cs="Times New Roman"/>
          <w:i/>
          <w:noProof/>
          <w:color w:val="000000" w:themeColor="text1"/>
        </w:rPr>
        <w:t>Comparative Critical Studies</w:t>
      </w:r>
      <w:r w:rsidRPr="00ED3DCF">
        <w:rPr>
          <w:rFonts w:ascii="Times New Roman" w:hAnsi="Times New Roman" w:cs="Times New Roman"/>
          <w:noProof/>
          <w:color w:val="000000" w:themeColor="text1"/>
        </w:rPr>
        <w:t xml:space="preserve"> 8, no. 2-3 (2011), 333-7.</w:t>
      </w:r>
      <w:r w:rsidRPr="00ED3DCF">
        <w:rPr>
          <w:rFonts w:ascii="Times New Roman" w:hAnsi="Times New Roman" w:cs="Times New Roman"/>
          <w:noProof/>
          <w:color w:val="000000" w:themeColor="text1"/>
        </w:rPr>
        <w:fldChar w:fldCharType="end"/>
      </w:r>
    </w:p>
  </w:footnote>
  <w:footnote w:id="10">
    <w:p w14:paraId="5D66D934" w14:textId="78048337" w:rsidR="00687D78" w:rsidRPr="00ED3DCF" w:rsidRDefault="00687D78" w:rsidP="00EF3B57">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color w:val="000000" w:themeColor="text1"/>
        </w:rPr>
        <w:fldChar w:fldCharType="begin"/>
      </w:r>
      <w:r w:rsidRPr="00ED3DCF">
        <w:rPr>
          <w:rFonts w:ascii="Times New Roman" w:hAnsi="Times New Roman" w:cs="Times New Roman"/>
          <w:color w:val="000000" w:themeColor="text1"/>
        </w:rPr>
        <w:instrText xml:space="preserve"> ADDIN EN.CITE &lt;EndNote&gt;&lt;Cite&gt;&lt;Author&gt;Steedman&lt;/Author&gt;&lt;Year&gt;2001&lt;/Year&gt;&lt;RecNum&gt;242&lt;/RecNum&gt;&lt;Pages&gt;1162-1163&lt;/Pages&gt;&lt;DisplayText&gt;Steedman, &amp;quot;Something She Called a Fever,&amp;quot; 1162-63.&lt;/DisplayText&gt;&lt;record&gt;&lt;rec-number&gt;242&lt;/rec-number&gt;&lt;foreign-keys&gt;&lt;key app="EN" db-id="0rewstxe3sdfepeps9f5xrt55srrdw2s5r9x" timestamp="1538643642"&gt;242&lt;/key&gt;&lt;/foreign-keys&gt;&lt;ref-type name="Journal Article"&gt;17&lt;/ref-type&gt;&lt;contributors&gt;&lt;authors&gt;&lt;author&gt;Steedman, Carolyn&lt;/author&gt;&lt;/authors&gt;&lt;/contributors&gt;&lt;titles&gt;&lt;title&gt;Something She Called a Fever: Michelet, Derrida, and Dust&lt;/title&gt;&lt;secondary-title&gt;The American History Review &lt;/secondary-title&gt;&lt;short-title&gt;Something She Called a Fever&lt;/short-title&gt;&lt;/titles&gt;&lt;periodical&gt;&lt;full-title&gt;The American History Review&lt;/full-title&gt;&lt;/periodical&gt;&lt;pages&gt;1159-1180&lt;/pages&gt;&lt;volume&gt;106&lt;/volume&gt;&lt;number&gt;4&lt;/number&gt;&lt;keywords&gt;&lt;keyword&gt;Critical&lt;/keyword&gt;&lt;keyword&gt;Theory&lt;/keyword&gt;&lt;keyword&gt;Archive&lt;/keyword&gt;&lt;keyword&gt;Derrida&lt;/keyword&gt;&lt;/keywords&gt;&lt;dates&gt;&lt;year&gt;2001&lt;/year&gt;&lt;/dates&gt;&lt;urls&gt;&lt;/urls&gt;&lt;/record&gt;&lt;/Cite&gt;&lt;/EndNote&gt;</w:instrText>
      </w:r>
      <w:r w:rsidRPr="00ED3DCF">
        <w:rPr>
          <w:rFonts w:ascii="Times New Roman" w:hAnsi="Times New Roman" w:cs="Times New Roman"/>
          <w:color w:val="000000" w:themeColor="text1"/>
        </w:rPr>
        <w:fldChar w:fldCharType="separate"/>
      </w:r>
      <w:r w:rsidRPr="00ED3DCF">
        <w:rPr>
          <w:rFonts w:ascii="Times New Roman" w:hAnsi="Times New Roman" w:cs="Times New Roman"/>
          <w:noProof/>
          <w:color w:val="000000" w:themeColor="text1"/>
        </w:rPr>
        <w:t>Steedman, ‘Fever’, 1162-3.</w:t>
      </w:r>
      <w:r w:rsidRPr="00ED3DCF">
        <w:rPr>
          <w:rFonts w:ascii="Times New Roman" w:hAnsi="Times New Roman" w:cs="Times New Roman"/>
          <w:color w:val="000000" w:themeColor="text1"/>
        </w:rPr>
        <w:fldChar w:fldCharType="end"/>
      </w:r>
      <w:r w:rsidRPr="00ED3DCF">
        <w:rPr>
          <w:rFonts w:ascii="Times New Roman" w:hAnsi="Times New Roman" w:cs="Times New Roman"/>
          <w:color w:val="000000" w:themeColor="text1"/>
        </w:rPr>
        <w:t xml:space="preserve"> </w:t>
      </w:r>
      <w:r w:rsidRPr="00ED3DCF">
        <w:rPr>
          <w:rFonts w:ascii="Times New Roman" w:hAnsi="Times New Roman" w:cs="Times New Roman"/>
          <w:color w:val="000000" w:themeColor="text1"/>
          <w:lang w:val="en-US"/>
        </w:rPr>
        <w:t xml:space="preserve">This archival logic is inextricably tied to the ‘Western European Modern’ intellectual project, and colonialism. </w:t>
      </w:r>
      <w:r w:rsidRPr="00ED3DCF">
        <w:rPr>
          <w:rFonts w:ascii="Times New Roman" w:hAnsi="Times New Roman" w:cs="Times New Roman"/>
          <w:color w:val="000000" w:themeColor="text1"/>
        </w:rPr>
        <w:t xml:space="preserve">Míde Ní Shúilleabháin, </w:t>
      </w:r>
      <w:r w:rsidRPr="00ED3DCF">
        <w:rPr>
          <w:rFonts w:ascii="Times New Roman" w:hAnsi="Times New Roman" w:cs="Times New Roman"/>
          <w:bCs/>
          <w:color w:val="000000" w:themeColor="text1"/>
        </w:rPr>
        <w:t>‘Inviting Marianne to Dance: Congolese Rumba Lingala as an Archive Against Monument’</w:t>
      </w:r>
      <w:r w:rsidRPr="00ED3DCF">
        <w:rPr>
          <w:rFonts w:ascii="Times New Roman" w:hAnsi="Times New Roman" w:cs="Times New Roman"/>
          <w:color w:val="000000" w:themeColor="text1"/>
        </w:rPr>
        <w:t xml:space="preserve">, in </w:t>
      </w:r>
      <w:r w:rsidRPr="00ED3DCF">
        <w:rPr>
          <w:rFonts w:ascii="Times New Roman" w:hAnsi="Times New Roman" w:cs="Times New Roman"/>
          <w:i/>
          <w:iCs/>
          <w:color w:val="000000" w:themeColor="text1"/>
        </w:rPr>
        <w:t>Politics of African Colonial Archive</w:t>
      </w:r>
      <w:r w:rsidRPr="00ED3DCF">
        <w:rPr>
          <w:rFonts w:ascii="Times New Roman" w:hAnsi="Times New Roman" w:cs="Times New Roman"/>
          <w:iCs/>
          <w:color w:val="000000" w:themeColor="text1"/>
        </w:rPr>
        <w:t>, eds</w:t>
      </w:r>
      <w:r w:rsidRPr="00ED3DCF">
        <w:rPr>
          <w:rFonts w:ascii="Times New Roman" w:hAnsi="Times New Roman" w:cs="Times New Roman"/>
          <w:color w:val="000000" w:themeColor="text1"/>
        </w:rPr>
        <w:t xml:space="preserve"> Shiera el-Malik and Isaac Kamola (London: Rowman &amp; Littlefield, 2017)</w:t>
      </w:r>
      <w:r w:rsidRPr="00ED3DCF">
        <w:rPr>
          <w:rFonts w:ascii="Times New Roman" w:hAnsi="Times New Roman" w:cs="Times New Roman"/>
          <w:color w:val="000000" w:themeColor="text1"/>
          <w:lang w:val="en-US"/>
        </w:rPr>
        <w:t xml:space="preserve">, 104; </w:t>
      </w:r>
      <w:r w:rsidRPr="00ED3DCF">
        <w:rPr>
          <w:rFonts w:ascii="Times New Roman" w:hAnsi="Times New Roman" w:cs="Times New Roman"/>
          <w:color w:val="000000" w:themeColor="text1"/>
        </w:rPr>
        <w:t xml:space="preserve">Walter Mignolo, ‘Introduction’, </w:t>
      </w:r>
      <w:r w:rsidRPr="00ED3DCF">
        <w:rPr>
          <w:rFonts w:ascii="Times New Roman" w:hAnsi="Times New Roman" w:cs="Times New Roman"/>
          <w:i/>
          <w:color w:val="000000" w:themeColor="text1"/>
        </w:rPr>
        <w:t>Cultural Studies</w:t>
      </w:r>
      <w:r w:rsidRPr="00ED3DCF">
        <w:rPr>
          <w:rFonts w:ascii="Times New Roman" w:hAnsi="Times New Roman" w:cs="Times New Roman"/>
          <w:color w:val="000000" w:themeColor="text1"/>
        </w:rPr>
        <w:t xml:space="preserve"> 21, no. 2-3 (2007): 155-67.</w:t>
      </w:r>
    </w:p>
  </w:footnote>
  <w:footnote w:id="11">
    <w:p w14:paraId="1E2FA435" w14:textId="1363288B" w:rsidR="00687D78" w:rsidRPr="00ED3DCF" w:rsidRDefault="00687D78" w:rsidP="00F421F9">
      <w:pPr>
        <w:pStyle w:val="FootnoteText"/>
        <w:jc w:val="both"/>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Ann Stoler, </w:t>
      </w:r>
      <w:r w:rsidRPr="00ED3DCF">
        <w:rPr>
          <w:rFonts w:ascii="Times New Roman" w:hAnsi="Times New Roman" w:cs="Times New Roman"/>
          <w:i/>
          <w:color w:val="000000" w:themeColor="text1"/>
        </w:rPr>
        <w:t xml:space="preserve">Along the Archival Grain: Epistemic Anxiety and Colonial Common Sense </w:t>
      </w:r>
      <w:r w:rsidRPr="00ED3DCF">
        <w:rPr>
          <w:rFonts w:ascii="Times New Roman" w:hAnsi="Times New Roman" w:cs="Times New Roman"/>
          <w:color w:val="000000" w:themeColor="text1"/>
        </w:rPr>
        <w:t xml:space="preserve">(Princeton: Princeton University Press, 2010), 28-9 and 97-8; </w:t>
      </w:r>
      <w:r w:rsidRPr="00ED3DCF">
        <w:rPr>
          <w:rFonts w:ascii="Times New Roman" w:hAnsi="Times New Roman" w:cs="Times New Roman"/>
          <w:noProof/>
          <w:color w:val="000000" w:themeColor="text1"/>
        </w:rPr>
        <w:t xml:space="preserve">Thomas Osborne, ‘The Ordinariness of the Archives’, </w:t>
      </w:r>
      <w:r w:rsidRPr="00ED3DCF">
        <w:rPr>
          <w:rFonts w:ascii="Times New Roman" w:hAnsi="Times New Roman" w:cs="Times New Roman"/>
          <w:i/>
          <w:noProof/>
          <w:color w:val="000000" w:themeColor="text1"/>
        </w:rPr>
        <w:t>History of Human Sciences</w:t>
      </w:r>
      <w:r w:rsidRPr="00ED3DCF">
        <w:rPr>
          <w:rFonts w:ascii="Times New Roman" w:hAnsi="Times New Roman" w:cs="Times New Roman"/>
          <w:noProof/>
          <w:color w:val="000000" w:themeColor="text1"/>
        </w:rPr>
        <w:t xml:space="preserve"> 12, no. 2 (1999): 51-64; </w:t>
      </w:r>
      <w:r w:rsidRPr="00ED3DCF">
        <w:rPr>
          <w:rFonts w:ascii="Times New Roman" w:hAnsi="Times New Roman" w:cs="Times New Roman"/>
          <w:color w:val="000000" w:themeColor="text1"/>
        </w:rPr>
        <w:t xml:space="preserve"> Jeanette Bastian, ‘Reading Colonial Records Through an Archival Lens: The Provenance of Place, Space and Creation’, </w:t>
      </w:r>
      <w:r w:rsidRPr="00ED3DCF">
        <w:rPr>
          <w:rFonts w:ascii="Times New Roman" w:hAnsi="Times New Roman" w:cs="Times New Roman"/>
          <w:i/>
          <w:color w:val="000000" w:themeColor="text1"/>
        </w:rPr>
        <w:t xml:space="preserve">Archival Science </w:t>
      </w:r>
      <w:r w:rsidRPr="00ED3DCF">
        <w:rPr>
          <w:rFonts w:ascii="Times New Roman" w:hAnsi="Times New Roman" w:cs="Times New Roman"/>
          <w:color w:val="000000" w:themeColor="text1"/>
        </w:rPr>
        <w:t xml:space="preserve">6 (2007): 267–84. </w:t>
      </w:r>
    </w:p>
  </w:footnote>
  <w:footnote w:id="12">
    <w:p w14:paraId="4098E9D7" w14:textId="26ACE804"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color w:val="000000" w:themeColor="text1"/>
          <w:lang w:val="en-US"/>
        </w:rPr>
        <w:fldChar w:fldCharType="begin"/>
      </w:r>
      <w:r w:rsidRPr="00ED3DCF">
        <w:rPr>
          <w:rFonts w:ascii="Times New Roman" w:hAnsi="Times New Roman" w:cs="Times New Roman"/>
          <w:color w:val="000000" w:themeColor="text1"/>
          <w:lang w:val="en-US"/>
        </w:rPr>
        <w:instrText xml:space="preserve"> ADDIN EN.CITE &lt;EndNote&gt;&lt;Cite&gt;&lt;Author&gt;Anderson&lt;/Author&gt;&lt;Year&gt;2006&lt;/Year&gt;&lt;RecNum&gt;291&lt;/RecNum&gt;&lt;Pages&gt;168-170&lt;/Pages&gt;&lt;DisplayText&gt;Bennedict Anderson, &lt;style face="italic"&gt;Imagined Communities: Reflections on the Origin and Spread of Nationalism&lt;/style&gt; (London: Verso, 2006), 168-70.&lt;/DisplayText&gt;&lt;record&gt;&lt;rec-number&gt;291&lt;/rec-number&gt;&lt;foreign-keys&gt;&lt;key app="EN" db-id="0rewstxe3sdfepeps9f5xrt55srrdw2s5r9x" timestamp="1543072544"&gt;291&lt;/key&gt;&lt;/foreign-keys&gt;&lt;ref-type name="Book"&gt;6&lt;/ref-type&gt;&lt;contributors&gt;&lt;authors&gt;&lt;author&gt;Anderson, Bennedict&lt;/author&gt;&lt;/authors&gt;&lt;/contributors&gt;&lt;titles&gt;&lt;title&gt;Imagined Communities: Reflections on the Origin and Spread of Nationalism&lt;/title&gt;&lt;short-title&gt;Imagined Communities&lt;/short-title&gt;&lt;/titles&gt;&lt;keywords&gt;&lt;keyword&gt;Theory&lt;/keyword&gt;&lt;keyword&gt;Nationalism&lt;/keyword&gt;&lt;keyword&gt;Colonialism&lt;/keyword&gt;&lt;keyword&gt;Performative&lt;/keyword&gt;&lt;/keywords&gt;&lt;dates&gt;&lt;year&gt;2006&lt;/year&gt;&lt;/dates&gt;&lt;pub-location&gt;London&lt;/pub-location&gt;&lt;publisher&gt;Verso&lt;/publisher&gt;&lt;urls&gt;&lt;/urls&gt;&lt;/record&gt;&lt;/Cite&gt;&lt;/EndNote&gt;</w:instrText>
      </w:r>
      <w:r w:rsidRPr="00ED3DCF">
        <w:rPr>
          <w:rFonts w:ascii="Times New Roman" w:hAnsi="Times New Roman" w:cs="Times New Roman"/>
          <w:color w:val="000000" w:themeColor="text1"/>
          <w:lang w:val="en-US"/>
        </w:rPr>
        <w:fldChar w:fldCharType="separate"/>
      </w:r>
      <w:r w:rsidRPr="00ED3DCF">
        <w:rPr>
          <w:rFonts w:ascii="Times New Roman" w:hAnsi="Times New Roman" w:cs="Times New Roman"/>
          <w:noProof/>
          <w:color w:val="000000" w:themeColor="text1"/>
          <w:lang w:val="en-US"/>
        </w:rPr>
        <w:t xml:space="preserve">Bennedict Anderson, </w:t>
      </w:r>
      <w:r w:rsidRPr="00ED3DCF">
        <w:rPr>
          <w:rFonts w:ascii="Times New Roman" w:hAnsi="Times New Roman" w:cs="Times New Roman"/>
          <w:i/>
          <w:noProof/>
          <w:color w:val="000000" w:themeColor="text1"/>
          <w:lang w:val="en-US"/>
        </w:rPr>
        <w:t>Imagined Communities: Reflections on the Origin and Spread of Nationalism</w:t>
      </w:r>
      <w:r w:rsidRPr="00ED3DCF">
        <w:rPr>
          <w:rFonts w:ascii="Times New Roman" w:hAnsi="Times New Roman" w:cs="Times New Roman"/>
          <w:noProof/>
          <w:color w:val="000000" w:themeColor="text1"/>
          <w:lang w:val="en-US"/>
        </w:rPr>
        <w:t xml:space="preserve"> (London: Verso, 2006), 168-70.</w:t>
      </w:r>
      <w:r w:rsidRPr="00ED3DCF">
        <w:rPr>
          <w:rFonts w:ascii="Times New Roman" w:hAnsi="Times New Roman" w:cs="Times New Roman"/>
          <w:color w:val="000000" w:themeColor="text1"/>
          <w:lang w:val="en-US"/>
        </w:rPr>
        <w:fldChar w:fldCharType="end"/>
      </w:r>
    </w:p>
  </w:footnote>
  <w:footnote w:id="13">
    <w:p w14:paraId="0DF848C5" w14:textId="0216DCAA"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i/>
          <w:color w:val="000000" w:themeColor="text1"/>
          <w:lang w:val="en-US"/>
        </w:rPr>
        <w:t>Ibid</w:t>
      </w:r>
      <w:r w:rsidRPr="00ED3DCF">
        <w:rPr>
          <w:rFonts w:ascii="Times New Roman" w:hAnsi="Times New Roman" w:cs="Times New Roman"/>
          <w:color w:val="000000" w:themeColor="text1"/>
          <w:lang w:val="en-US"/>
        </w:rPr>
        <w:t>., 169.</w:t>
      </w:r>
    </w:p>
  </w:footnote>
  <w:footnote w:id="14">
    <w:p w14:paraId="01AF8D44" w14:textId="226C4FF7"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Stoler, </w:t>
      </w:r>
      <w:r w:rsidRPr="00ED3DCF">
        <w:rPr>
          <w:rFonts w:ascii="Times New Roman" w:hAnsi="Times New Roman" w:cs="Times New Roman"/>
          <w:i/>
          <w:color w:val="000000" w:themeColor="text1"/>
        </w:rPr>
        <w:t>Archival Grain</w:t>
      </w:r>
      <w:r w:rsidRPr="00ED3DCF">
        <w:rPr>
          <w:rFonts w:ascii="Times New Roman" w:hAnsi="Times New Roman" w:cs="Times New Roman"/>
          <w:color w:val="000000" w:themeColor="text1"/>
        </w:rPr>
        <w:t>, 1 and 97.</w:t>
      </w:r>
    </w:p>
  </w:footnote>
  <w:footnote w:id="15">
    <w:p w14:paraId="5F613577" w14:textId="2D6A9A0B"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See also Michel-Rolph Trouillot, </w:t>
      </w:r>
      <w:r w:rsidRPr="00ED3DCF">
        <w:rPr>
          <w:rFonts w:ascii="Times New Roman" w:hAnsi="Times New Roman" w:cs="Times New Roman"/>
          <w:i/>
          <w:color w:val="000000" w:themeColor="text1"/>
        </w:rPr>
        <w:t xml:space="preserve">Power and the Production of History </w:t>
      </w:r>
      <w:r w:rsidRPr="00ED3DCF">
        <w:rPr>
          <w:rFonts w:ascii="Times New Roman" w:hAnsi="Times New Roman" w:cs="Times New Roman"/>
          <w:color w:val="000000" w:themeColor="text1"/>
        </w:rPr>
        <w:t>(Boston: Beacon Press, 1995), 72-3.</w:t>
      </w:r>
    </w:p>
  </w:footnote>
  <w:footnote w:id="16">
    <w:p w14:paraId="0E596B33" w14:textId="4BE7A236"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Stoler, </w:t>
      </w:r>
      <w:r w:rsidRPr="00ED3DCF">
        <w:rPr>
          <w:rFonts w:ascii="Times New Roman" w:hAnsi="Times New Roman" w:cs="Times New Roman"/>
          <w:i/>
          <w:color w:val="000000" w:themeColor="text1"/>
        </w:rPr>
        <w:t>Archival Grain</w:t>
      </w:r>
      <w:r w:rsidRPr="00ED3DCF">
        <w:rPr>
          <w:rFonts w:ascii="Times New Roman" w:hAnsi="Times New Roman" w:cs="Times New Roman"/>
          <w:color w:val="000000" w:themeColor="text1"/>
        </w:rPr>
        <w:t>., 2-3, 32-3, and 41-3.</w:t>
      </w:r>
    </w:p>
  </w:footnote>
  <w:footnote w:id="17">
    <w:p w14:paraId="57C6FC3D" w14:textId="2C1F4E03"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Aníbal Quijano critiques the distinction of subject/object. Aníbal Quijano, ‘Coloniality and Modernity/Rationality’, </w:t>
      </w:r>
      <w:r w:rsidRPr="00ED3DCF">
        <w:rPr>
          <w:rFonts w:ascii="Times New Roman" w:hAnsi="Times New Roman" w:cs="Times New Roman"/>
          <w:i/>
          <w:color w:val="000000" w:themeColor="text1"/>
        </w:rPr>
        <w:t>Cultural Studies</w:t>
      </w:r>
      <w:r w:rsidRPr="00ED3DCF">
        <w:rPr>
          <w:rFonts w:ascii="Times New Roman" w:hAnsi="Times New Roman" w:cs="Times New Roman"/>
          <w:color w:val="000000" w:themeColor="text1"/>
        </w:rPr>
        <w:t xml:space="preserve"> 21, no. 2-3 (2007): 168-78. </w:t>
      </w:r>
    </w:p>
  </w:footnote>
  <w:footnote w:id="18">
    <w:p w14:paraId="2EA2D363" w14:textId="5E60BEE4"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color w:val="000000" w:themeColor="text1"/>
          <w:lang w:val="en-US"/>
        </w:rPr>
        <w:fldChar w:fldCharType="begin"/>
      </w:r>
      <w:r w:rsidRPr="00ED3DCF">
        <w:rPr>
          <w:rFonts w:ascii="Times New Roman" w:hAnsi="Times New Roman" w:cs="Times New Roman"/>
          <w:color w:val="000000" w:themeColor="text1"/>
          <w:lang w:val="en-US"/>
        </w:rPr>
        <w:instrText xml:space="preserve"> ADDIN EN.CITE &lt;EndNote&gt;&lt;Cite&gt;&lt;Author&gt;Foster&lt;/Author&gt;&lt;Year&gt;2001&lt;/Year&gt;&lt;RecNum&gt;323&lt;/RecNum&gt;&lt;Pages&gt;1-13&lt;/Pages&gt;&lt;DisplayText&gt;Robert Foster, Rick Hosking, and Amanda Nettleback, &amp;quot;Introduction: The Violence of Memory,&amp;quot; in &lt;style face="italic"&gt;Fatal Collisions: The South Australian Frontier and the Violence of Memory &lt;/style&gt;ed. their (Kent Town: Wakefield Press, 2001), 1-13; Henry Reynold, &lt;style face="italic"&gt;Why Weren’t We Told? A Personal Search for the Truth About Our History &lt;/style&gt;(Victoria: Ringwood, 2000), 81-98.&lt;/DisplayText&gt;&lt;record&gt;&lt;rec-number&gt;323&lt;/rec-number&gt;&lt;foreign-keys&gt;&lt;key app="EN" db-id="0rewstxe3sdfepeps9f5xrt55srrdw2s5r9x" timestamp="1546967817"&gt;323&lt;/key&gt;&lt;/foreign-keys&gt;&lt;ref-type name="Book Section"&gt;5&lt;/ref-type&gt;&lt;contributors&gt;&lt;authors&gt;&lt;author&gt;Foster, Robert,&lt;/author&gt;&lt;author&gt;Hosking, Rick,&lt;/author&gt;&lt;author&gt;Nettleback, Amanda&lt;/author&gt;&lt;/authors&gt;&lt;secondary-authors&gt;&lt;author&gt;their&lt;/author&gt;&lt;/secondary-authors&gt;&lt;/contributors&gt;&lt;titles&gt;&lt;title&gt;Introduction: The Violence of Memory&lt;/title&gt;&lt;secondary-title&gt;Fatal Collisions: The South Australian Frontier and the Violence of Memory &lt;/secondary-title&gt;&lt;/titles&gt;&lt;pages&gt;1-13&lt;/pages&gt;&lt;dates&gt;&lt;year&gt;2001&lt;/year&gt;&lt;/dates&gt;&lt;pub-location&gt;Kent Town&lt;/pub-location&gt;&lt;publisher&gt;Wakefield Press&lt;/publisher&gt;&lt;urls&gt;&lt;/urls&gt;&lt;/record&gt;&lt;/Cite&gt;&lt;Cite&gt;&lt;Author&gt;Reynold&lt;/Author&gt;&lt;Year&gt;2000&lt;/Year&gt;&lt;RecNum&gt;324&lt;/RecNum&gt;&lt;Pages&gt;81-98&lt;/Pages&gt;&lt;record&gt;&lt;rec-number&gt;324&lt;/rec-number&gt;&lt;foreign-keys&gt;&lt;key app="EN" db-id="0rewstxe3sdfepeps9f5xrt55srrdw2s5r9x" timestamp="1546967874"&gt;324&lt;/key&gt;&lt;/foreign-keys&gt;&lt;ref-type name="Book"&gt;6&lt;/ref-type&gt;&lt;contributors&gt;&lt;authors&gt;&lt;author&gt;Reynold, Henry&lt;/author&gt;&lt;/authors&gt;&lt;/contributors&gt;&lt;titles&gt;&lt;title&gt;Why Weren’t We Told? A Personal Search for the Truth About Our History &lt;/title&gt;&lt;/titles&gt;&lt;section&gt;81-98&lt;/section&gt;&lt;dates&gt;&lt;year&gt;2000&lt;/year&gt;&lt;/dates&gt;&lt;pub-location&gt;Victoria&lt;/pub-location&gt;&lt;publisher&gt;Ringwood&lt;/publisher&gt;&lt;urls&gt;&lt;/urls&gt;&lt;/record&gt;&lt;/Cite&gt;&lt;/EndNote&gt;</w:instrText>
      </w:r>
      <w:r w:rsidRPr="00ED3DCF">
        <w:rPr>
          <w:rFonts w:ascii="Times New Roman" w:hAnsi="Times New Roman" w:cs="Times New Roman"/>
          <w:color w:val="000000" w:themeColor="text1"/>
          <w:lang w:val="en-US"/>
        </w:rPr>
        <w:fldChar w:fldCharType="separate"/>
      </w:r>
      <w:r w:rsidRPr="00ED3DCF">
        <w:rPr>
          <w:rFonts w:ascii="Times New Roman" w:hAnsi="Times New Roman" w:cs="Times New Roman"/>
          <w:noProof/>
          <w:color w:val="000000" w:themeColor="text1"/>
          <w:lang w:val="en-US"/>
        </w:rPr>
        <w:t xml:space="preserve">Robert Foster </w:t>
      </w:r>
      <w:r w:rsidRPr="00ED3DCF">
        <w:rPr>
          <w:rFonts w:ascii="Times New Roman" w:hAnsi="Times New Roman" w:cs="Times New Roman"/>
          <w:i/>
          <w:noProof/>
          <w:color w:val="000000" w:themeColor="text1"/>
          <w:lang w:val="en-US"/>
        </w:rPr>
        <w:t>et al</w:t>
      </w:r>
      <w:r w:rsidRPr="00ED3DCF">
        <w:rPr>
          <w:rFonts w:ascii="Times New Roman" w:hAnsi="Times New Roman" w:cs="Times New Roman"/>
          <w:noProof/>
          <w:color w:val="000000" w:themeColor="text1"/>
          <w:lang w:val="en-US"/>
        </w:rPr>
        <w:t xml:space="preserve">, ‘Introduction’, in </w:t>
      </w:r>
      <w:r w:rsidRPr="00ED3DCF">
        <w:rPr>
          <w:rFonts w:ascii="Times New Roman" w:hAnsi="Times New Roman" w:cs="Times New Roman"/>
          <w:i/>
          <w:noProof/>
          <w:color w:val="000000" w:themeColor="text1"/>
          <w:lang w:val="en-US"/>
        </w:rPr>
        <w:t>Fatal Collisions: The South Australian Frontier and the Violence of Memory</w:t>
      </w:r>
      <w:r w:rsidRPr="00ED3DCF">
        <w:rPr>
          <w:rFonts w:ascii="Times New Roman" w:hAnsi="Times New Roman" w:cs="Times New Roman"/>
          <w:iCs/>
          <w:noProof/>
          <w:color w:val="000000" w:themeColor="text1"/>
          <w:lang w:val="en-US"/>
        </w:rPr>
        <w:t>,</w:t>
      </w:r>
      <w:r w:rsidRPr="00ED3DCF">
        <w:rPr>
          <w:rFonts w:ascii="Times New Roman" w:hAnsi="Times New Roman" w:cs="Times New Roman"/>
          <w:i/>
          <w:noProof/>
          <w:color w:val="000000" w:themeColor="text1"/>
          <w:lang w:val="en-US"/>
        </w:rPr>
        <w:t xml:space="preserve"> </w:t>
      </w:r>
      <w:r w:rsidRPr="00ED3DCF">
        <w:rPr>
          <w:rFonts w:ascii="Times New Roman" w:hAnsi="Times New Roman" w:cs="Times New Roman"/>
          <w:noProof/>
          <w:color w:val="000000" w:themeColor="text1"/>
          <w:lang w:val="en-US"/>
        </w:rPr>
        <w:t xml:space="preserve">ed. Foster </w:t>
      </w:r>
      <w:r w:rsidRPr="00ED3DCF">
        <w:rPr>
          <w:rFonts w:ascii="Times New Roman" w:hAnsi="Times New Roman" w:cs="Times New Roman"/>
          <w:i/>
          <w:noProof/>
          <w:color w:val="000000" w:themeColor="text1"/>
          <w:lang w:val="en-US"/>
        </w:rPr>
        <w:t>et al</w:t>
      </w:r>
      <w:r w:rsidRPr="00ED3DCF">
        <w:rPr>
          <w:rFonts w:ascii="Times New Roman" w:hAnsi="Times New Roman" w:cs="Times New Roman"/>
          <w:noProof/>
          <w:color w:val="000000" w:themeColor="text1"/>
          <w:lang w:val="en-US"/>
        </w:rPr>
        <w:t xml:space="preserve"> (Kent Town: Wakefield Press, 2001), 1-13; Henry Reynold, </w:t>
      </w:r>
      <w:r w:rsidRPr="00ED3DCF">
        <w:rPr>
          <w:rFonts w:ascii="Times New Roman" w:hAnsi="Times New Roman" w:cs="Times New Roman"/>
          <w:i/>
          <w:noProof/>
          <w:color w:val="000000" w:themeColor="text1"/>
          <w:lang w:val="en-US"/>
        </w:rPr>
        <w:t xml:space="preserve">Why Weren’t We Told? A Personal Search for the Truth About Our History </w:t>
      </w:r>
      <w:r w:rsidRPr="00ED3DCF">
        <w:rPr>
          <w:rFonts w:ascii="Times New Roman" w:hAnsi="Times New Roman" w:cs="Times New Roman"/>
          <w:noProof/>
          <w:color w:val="000000" w:themeColor="text1"/>
          <w:lang w:val="en-US"/>
        </w:rPr>
        <w:t>(Victoria: Ringwood, 2000), 81-98.</w:t>
      </w:r>
      <w:r w:rsidRPr="00ED3DCF">
        <w:rPr>
          <w:rFonts w:ascii="Times New Roman" w:hAnsi="Times New Roman" w:cs="Times New Roman"/>
          <w:color w:val="000000" w:themeColor="text1"/>
          <w:lang w:val="en-US"/>
        </w:rPr>
        <w:fldChar w:fldCharType="end"/>
      </w:r>
    </w:p>
  </w:footnote>
  <w:footnote w:id="19">
    <w:p w14:paraId="7921E84F" w14:textId="77777777" w:rsidR="00687D78" w:rsidRPr="00ED3DCF" w:rsidRDefault="00687D78" w:rsidP="00CA5E20">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Trouillot, </w:t>
      </w:r>
      <w:r w:rsidRPr="00ED3DCF">
        <w:rPr>
          <w:rFonts w:ascii="Times New Roman" w:hAnsi="Times New Roman" w:cs="Times New Roman"/>
          <w:i/>
          <w:color w:val="000000" w:themeColor="text1"/>
        </w:rPr>
        <w:t>Power</w:t>
      </w:r>
      <w:r w:rsidRPr="00ED3DCF">
        <w:rPr>
          <w:rFonts w:ascii="Times New Roman" w:hAnsi="Times New Roman" w:cs="Times New Roman"/>
          <w:color w:val="000000" w:themeColor="text1"/>
        </w:rPr>
        <w:t>, 72-82;</w:t>
      </w:r>
      <w:r w:rsidRPr="00ED3DCF">
        <w:rPr>
          <w:rFonts w:ascii="Times New Roman" w:hAnsi="Times New Roman" w:cs="Times New Roman"/>
          <w:color w:val="000000" w:themeColor="text1"/>
          <w:lang w:val="en-US"/>
        </w:rPr>
        <w:t xml:space="preserve"> </w:t>
      </w:r>
      <w:r w:rsidRPr="00ED3DCF">
        <w:rPr>
          <w:rFonts w:ascii="Times New Roman" w:hAnsi="Times New Roman" w:cs="Times New Roman"/>
          <w:color w:val="000000" w:themeColor="text1"/>
          <w:lang w:val="en-US"/>
        </w:rPr>
        <w:fldChar w:fldCharType="begin"/>
      </w:r>
      <w:r w:rsidRPr="00ED3DCF">
        <w:rPr>
          <w:rFonts w:ascii="Times New Roman" w:hAnsi="Times New Roman" w:cs="Times New Roman"/>
          <w:color w:val="000000" w:themeColor="text1"/>
          <w:lang w:val="en-US"/>
        </w:rPr>
        <w:instrText xml:space="preserve"> ADDIN EN.CITE &lt;EndNote&gt;&lt;Cite&gt;&lt;Author&gt;Derrida&lt;/Author&gt;&lt;Year&gt;1995&lt;/Year&gt;&lt;RecNum&gt;261&lt;/RecNum&gt;&lt;Pages&gt;51-53&lt;/Pages&gt;&lt;DisplayText&gt;Derrida, &amp;quot;Archive Fever,&amp;quot; 51-53; Eric Ketlaar, &amp;quot;Tacit Narratives: The Meanings of Archives’,&amp;quot; &lt;style face="italic"&gt;Archival Science&lt;/style&gt; 2, no. 1 (2002): 136-41.&lt;/DisplayText&gt;&lt;record&gt;&lt;rec-number&gt;261&lt;/rec-number&gt;&lt;foreign-keys&gt;&lt;key app="EN" db-id="0rewstxe3sdfepeps9f5xrt55srrdw2s5r9x" timestamp="1539181614"&gt;261&lt;/key&gt;&lt;/foreign-keys&gt;&lt;ref-type name="Journal Article"&gt;17&lt;/ref-type&gt;&lt;contributors&gt;&lt;authors&gt;&lt;author&gt;Derrida, Jacques&lt;/author&gt;&lt;/authors&gt;&lt;/contributors&gt;&lt;titles&gt;&lt;title&gt;Archive Fever: A Freudian Impression&lt;/title&gt;&lt;secondary-title&gt;Diacritics&lt;/secondary-title&gt;&lt;short-title&gt;Archive Fever&lt;/short-title&gt;&lt;/titles&gt;&lt;periodical&gt;&lt;full-title&gt;Diacritics&lt;/full-title&gt;&lt;/periodical&gt;&lt;pages&gt;9-63&lt;/pages&gt;&lt;volume&gt;25&lt;/volume&gt;&lt;number&gt;2&lt;/number&gt;&lt;keywords&gt;&lt;keyword&gt;Derrida&lt;/keyword&gt;&lt;keyword&gt;Theory&lt;/keyword&gt;&lt;keyword&gt;Critical&lt;/keyword&gt;&lt;/keywords&gt;&lt;dates&gt;&lt;year&gt;1995&lt;/year&gt;&lt;/dates&gt;&lt;urls&gt;&lt;/urls&gt;&lt;/record&gt;&lt;/Cite&gt;&lt;Cite&gt;&lt;Author&gt;Ketlaar&lt;/Author&gt;&lt;Year&gt;2002&lt;/Year&gt;&lt;RecNum&gt;326&lt;/RecNum&gt;&lt;Pages&gt;136-141&lt;/Pages&gt;&lt;record&gt;&lt;rec-number&gt;326&lt;/rec-number&gt;&lt;foreign-keys&gt;&lt;key app="EN" db-id="0rewstxe3sdfepeps9f5xrt55srrdw2s5r9x" timestamp="1546968127"&gt;326&lt;/key&gt;&lt;/foreign-keys&gt;&lt;ref-type name="Journal Article"&gt;17&lt;/ref-type&gt;&lt;contributors&gt;&lt;authors&gt;&lt;author&gt;Ketlaar, Eric&lt;/author&gt;&lt;/authors&gt;&lt;/contributors&gt;&lt;titles&gt;&lt;title&gt;Tacit Narratives: The Meanings of Archives’&lt;/title&gt;&lt;secondary-title&gt;Archival Science&lt;/secondary-title&gt;&lt;/titles&gt;&lt;periodical&gt;&lt;full-title&gt;Archival Science&lt;/full-title&gt;&lt;/periodical&gt;&lt;pages&gt;136-141&lt;/pages&gt;&lt;volume&gt;2&lt;/volume&gt;&lt;number&gt;1&lt;/number&gt;&lt;dates&gt;&lt;year&gt;2002&lt;/year&gt;&lt;/dates&gt;&lt;urls&gt;&lt;/urls&gt;&lt;/record&gt;&lt;/Cite&gt;&lt;/EndNote&gt;</w:instrText>
      </w:r>
      <w:r w:rsidRPr="00ED3DCF">
        <w:rPr>
          <w:rFonts w:ascii="Times New Roman" w:hAnsi="Times New Roman" w:cs="Times New Roman"/>
          <w:color w:val="000000" w:themeColor="text1"/>
          <w:lang w:val="en-US"/>
        </w:rPr>
        <w:fldChar w:fldCharType="separate"/>
      </w:r>
      <w:r w:rsidRPr="00ED3DCF">
        <w:rPr>
          <w:rFonts w:ascii="Times New Roman" w:hAnsi="Times New Roman" w:cs="Times New Roman"/>
          <w:noProof/>
          <w:color w:val="000000" w:themeColor="text1"/>
          <w:lang w:val="en-US"/>
        </w:rPr>
        <w:t>Derrida, ‘Archive Fever’, 51-3;</w:t>
      </w:r>
      <w:r w:rsidRPr="00ED3DCF">
        <w:rPr>
          <w:rFonts w:ascii="Times New Roman" w:hAnsi="Times New Roman" w:cs="Times New Roman"/>
          <w:color w:val="000000" w:themeColor="text1"/>
          <w:lang w:val="en-US"/>
        </w:rPr>
        <w:fldChar w:fldCharType="end"/>
      </w:r>
      <w:r w:rsidRPr="00ED3DCF">
        <w:rPr>
          <w:rFonts w:ascii="Times New Roman" w:hAnsi="Times New Roman" w:cs="Times New Roman"/>
          <w:color w:val="000000" w:themeColor="text1"/>
          <w:lang w:val="en-US"/>
        </w:rPr>
        <w:t xml:space="preserve"> </w:t>
      </w:r>
      <w:r w:rsidRPr="00ED3DCF">
        <w:rPr>
          <w:rFonts w:ascii="Times New Roman" w:hAnsi="Times New Roman" w:cs="Times New Roman"/>
          <w:color w:val="000000" w:themeColor="text1"/>
        </w:rPr>
        <w:t xml:space="preserve">Anjali Arondekar, ‘Without a Trace: Sexuality and the Colonial Archive’, </w:t>
      </w:r>
      <w:r w:rsidRPr="00ED3DCF">
        <w:rPr>
          <w:rFonts w:ascii="Times New Roman" w:hAnsi="Times New Roman" w:cs="Times New Roman"/>
          <w:i/>
          <w:color w:val="000000" w:themeColor="text1"/>
        </w:rPr>
        <w:t>Journal of the History of Sexuality</w:t>
      </w:r>
      <w:r w:rsidRPr="00ED3DCF">
        <w:rPr>
          <w:rFonts w:ascii="Times New Roman" w:hAnsi="Times New Roman" w:cs="Times New Roman"/>
          <w:color w:val="000000" w:themeColor="text1"/>
        </w:rPr>
        <w:t xml:space="preserve"> 14, no. 1/2 (2005):</w:t>
      </w:r>
      <w:r w:rsidRPr="00ED3DCF">
        <w:rPr>
          <w:rFonts w:ascii="Times New Roman" w:hAnsi="Times New Roman" w:cs="Times New Roman"/>
          <w:color w:val="000000" w:themeColor="text1"/>
          <w:lang w:val="en-US"/>
        </w:rPr>
        <w:t xml:space="preserve"> 27.</w:t>
      </w:r>
    </w:p>
  </w:footnote>
  <w:footnote w:id="20">
    <w:p w14:paraId="4CE1D406" w14:textId="77777777" w:rsidR="00687D78" w:rsidRPr="00ED3DCF" w:rsidRDefault="00687D78" w:rsidP="006C5D9E">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Trouillot, </w:t>
      </w:r>
      <w:r w:rsidRPr="00ED3DCF">
        <w:rPr>
          <w:rFonts w:ascii="Times New Roman" w:hAnsi="Times New Roman" w:cs="Times New Roman"/>
          <w:i/>
          <w:color w:val="000000" w:themeColor="text1"/>
        </w:rPr>
        <w:t>Power</w:t>
      </w:r>
      <w:r w:rsidRPr="00ED3DCF">
        <w:rPr>
          <w:rFonts w:ascii="Times New Roman" w:hAnsi="Times New Roman" w:cs="Times New Roman"/>
          <w:color w:val="000000" w:themeColor="text1"/>
        </w:rPr>
        <w:t>, 28-9 and 95-107.</w:t>
      </w:r>
    </w:p>
  </w:footnote>
  <w:footnote w:id="21">
    <w:p w14:paraId="20CA23CC" w14:textId="2DAE7506" w:rsidR="00687D78" w:rsidRPr="00ED3DCF" w:rsidRDefault="00687D78" w:rsidP="002E12F3">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See also Bastian, ‘Colonial Records’, 273. For a similar account of the ability, and need, to reclaim ‘lost voices’ within archives, see </w:t>
      </w:r>
      <w:r w:rsidRPr="00ED3DCF">
        <w:rPr>
          <w:rFonts w:ascii="Times New Roman" w:hAnsi="Times New Roman" w:cs="Times New Roman"/>
          <w:color w:val="000000" w:themeColor="text1"/>
        </w:rPr>
        <w:fldChar w:fldCharType="begin"/>
      </w:r>
      <w:r w:rsidRPr="00ED3DCF">
        <w:rPr>
          <w:rFonts w:ascii="Times New Roman" w:hAnsi="Times New Roman" w:cs="Times New Roman"/>
          <w:color w:val="000000" w:themeColor="text1"/>
        </w:rPr>
        <w:instrText xml:space="preserve"> ADDIN EN.CITE &lt;EndNote&gt;&lt;Cite&gt;&lt;Author&gt;Farge&lt;/Author&gt;&lt;Year&gt;2013&lt;/Year&gt;&lt;RecNum&gt;307&lt;/RecNum&gt;&lt;DisplayText&gt;Arlette Farge, &lt;style face="italic"&gt;The Allure of the Archive&lt;/style&gt;, trans. Thomas Scott-Railton (London: Yale University Press, 2013); Michel Foucault, ed. &lt;style face="italic"&gt;I, Pierre Rivière, Having Slughtered My Mother, My Sister and My Brother...: A Case of Parricide in the 19th Century&lt;/style&gt; (London: University of Nebraska Press, 1982).&lt;/DisplayText&gt;&lt;record&gt;&lt;rec-number&gt;307&lt;/rec-number&gt;&lt;foreign-keys&gt;&lt;key app="EN" db-id="0rewstxe3sdfepeps9f5xrt55srrdw2s5r9x" timestamp="1544203890"&gt;307&lt;/key&gt;&lt;/foreign-keys&gt;&lt;ref-type name="Book"&gt;6&lt;/ref-type&gt;&lt;contributors&gt;&lt;authors&gt;&lt;author&gt;Farge, Arlette&lt;/author&gt;&lt;/authors&gt;&lt;subsidiary-authors&gt;&lt;author&gt;Scott-Railton, Thomas&lt;/author&gt;&lt;/subsidiary-authors&gt;&lt;/contributors&gt;&lt;titles&gt;&lt;title&gt;The Allure of the Archive&lt;/title&gt;&lt;short-title&gt;Archive&lt;/short-title&gt;&lt;/titles&gt;&lt;keywords&gt;&lt;keyword&gt;Archives&lt;/keyword&gt;&lt;keyword&gt;Theory&lt;/keyword&gt;&lt;keyword&gt;Memory&lt;/keyword&gt;&lt;/keywords&gt;&lt;dates&gt;&lt;year&gt;2013&lt;/year&gt;&lt;/dates&gt;&lt;pub-location&gt;London&lt;/pub-location&gt;&lt;publisher&gt;Yale University Press&lt;/publisher&gt;&lt;urls&gt;&lt;/urls&gt;&lt;/record&gt;&lt;/Cite&gt;&lt;Cite&gt;&lt;Author&gt;Foucault&lt;/Author&gt;&lt;Year&gt;1982&lt;/Year&gt;&lt;RecNum&gt;336&lt;/RecNum&gt;&lt;record&gt;&lt;rec-number&gt;336&lt;/rec-number&gt;&lt;foreign-keys&gt;&lt;key app="EN" db-id="0rewstxe3sdfepeps9f5xrt55srrdw2s5r9x" timestamp="1547210601"&gt;336&lt;/key&gt;&lt;/foreign-keys&gt;&lt;ref-type name="Edited Book"&gt;28&lt;/ref-type&gt;&lt;contributors&gt;&lt;authors&gt;&lt;author&gt;Foucault, Michel&lt;/author&gt;&lt;/authors&gt;&lt;/contributors&gt;&lt;titles&gt;&lt;title&gt;I, Pierre Rivière, having slughtered my mother, my sister and my brother...: a case of parricide in the 19th century&lt;/title&gt;&lt;short-title&gt;Pierre Rivière&lt;/short-title&gt;&lt;/titles&gt;&lt;keywords&gt;&lt;keyword&gt;Foucault,&lt;/keyword&gt;&lt;keyword&gt;Theory&lt;/keyword&gt;&lt;keyword&gt;Archive&lt;/keyword&gt;&lt;keyword&gt;Materialism&lt;/keyword&gt;&lt;keyword&gt;Critical&lt;/keyword&gt;&lt;/keywords&gt;&lt;dates&gt;&lt;year&gt;1982&lt;/year&gt;&lt;/dates&gt;&lt;pub-location&gt;London&lt;/pub-location&gt;&lt;publisher&gt;University of Nebraska Press&lt;/publisher&gt;&lt;urls&gt;&lt;/urls&gt;&lt;/record&gt;&lt;/Cite&gt;&lt;/EndNote&gt;</w:instrText>
      </w:r>
      <w:r w:rsidRPr="00ED3DCF">
        <w:rPr>
          <w:rFonts w:ascii="Times New Roman" w:hAnsi="Times New Roman" w:cs="Times New Roman"/>
          <w:color w:val="000000" w:themeColor="text1"/>
        </w:rPr>
        <w:fldChar w:fldCharType="separate"/>
      </w:r>
      <w:r w:rsidRPr="00ED3DCF">
        <w:rPr>
          <w:rFonts w:ascii="Times New Roman" w:hAnsi="Times New Roman" w:cs="Times New Roman"/>
          <w:noProof/>
          <w:color w:val="000000" w:themeColor="text1"/>
        </w:rPr>
        <w:t xml:space="preserve">Arlette Farge, </w:t>
      </w:r>
      <w:r w:rsidRPr="00ED3DCF">
        <w:rPr>
          <w:rFonts w:ascii="Times New Roman" w:hAnsi="Times New Roman" w:cs="Times New Roman"/>
          <w:i/>
          <w:noProof/>
          <w:color w:val="000000" w:themeColor="text1"/>
        </w:rPr>
        <w:t>The Allure of the Archive</w:t>
      </w:r>
      <w:r w:rsidRPr="00ED3DCF">
        <w:rPr>
          <w:rFonts w:ascii="Times New Roman" w:hAnsi="Times New Roman" w:cs="Times New Roman"/>
          <w:noProof/>
          <w:color w:val="000000" w:themeColor="text1"/>
        </w:rPr>
        <w:t>, trans. Thomas Scott-Railton (London: Yale University Press, 2013).</w:t>
      </w:r>
      <w:r w:rsidRPr="00ED3DCF">
        <w:rPr>
          <w:rFonts w:ascii="Times New Roman" w:hAnsi="Times New Roman" w:cs="Times New Roman"/>
          <w:color w:val="000000" w:themeColor="text1"/>
        </w:rPr>
        <w:fldChar w:fldCharType="end"/>
      </w:r>
    </w:p>
  </w:footnote>
  <w:footnote w:id="22">
    <w:p w14:paraId="05CBF9F7" w14:textId="61417F98" w:rsidR="00687D78" w:rsidRPr="00ED3DCF" w:rsidRDefault="00687D78" w:rsidP="00140CA7">
      <w:pPr>
        <w:pStyle w:val="FootnoteText"/>
        <w:rPr>
          <w:rFonts w:ascii="Times New Roman" w:hAnsi="Times New Roman" w:cs="Times New Roman"/>
          <w:bCs/>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Gayatri Spivak, ‘The Rani of Sirmur: An Essay in Reading the Archives’, </w:t>
      </w:r>
      <w:r w:rsidRPr="00ED3DCF">
        <w:rPr>
          <w:rFonts w:ascii="Times New Roman" w:hAnsi="Times New Roman" w:cs="Times New Roman"/>
          <w:i/>
          <w:color w:val="000000" w:themeColor="text1"/>
        </w:rPr>
        <w:t>History and Theory</w:t>
      </w:r>
      <w:r w:rsidRPr="00ED3DCF">
        <w:rPr>
          <w:rFonts w:ascii="Times New Roman" w:hAnsi="Times New Roman" w:cs="Times New Roman"/>
          <w:color w:val="000000" w:themeColor="text1"/>
        </w:rPr>
        <w:t xml:space="preserve"> 24, no. 3 (1985), 271; </w:t>
      </w:r>
      <w:r w:rsidRPr="00ED3DCF">
        <w:rPr>
          <w:rFonts w:ascii="Times New Roman" w:hAnsi="Times New Roman" w:cs="Times New Roman"/>
          <w:bCs/>
          <w:color w:val="000000" w:themeColor="text1"/>
        </w:rPr>
        <w:t xml:space="preserve">Gayatri Spivak, ‘Can the Subaltern Speak?’, in </w:t>
      </w:r>
      <w:r w:rsidRPr="00ED3DCF">
        <w:rPr>
          <w:rFonts w:ascii="Times New Roman" w:hAnsi="Times New Roman" w:cs="Times New Roman"/>
          <w:bCs/>
          <w:i/>
          <w:color w:val="000000" w:themeColor="text1"/>
        </w:rPr>
        <w:t>Colonial Discourse and Post-Colonial Theory: A Reader</w:t>
      </w:r>
      <w:r w:rsidRPr="00ED3DCF">
        <w:rPr>
          <w:rFonts w:ascii="Times New Roman" w:hAnsi="Times New Roman" w:cs="Times New Roman"/>
          <w:bCs/>
          <w:color w:val="000000" w:themeColor="text1"/>
        </w:rPr>
        <w:t>, eds. Patrick Williams and Laura Chrisman  (New York: Colombia University Press, 1994), 66-111.</w:t>
      </w:r>
    </w:p>
  </w:footnote>
  <w:footnote w:id="23">
    <w:p w14:paraId="3C89F4D1" w14:textId="48008B8D"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Shiera el-Malik and Isaac Kamola, ‘Introduction: Politics of African Anticolonial Archive’, in </w:t>
      </w:r>
      <w:r w:rsidRPr="00ED3DCF">
        <w:rPr>
          <w:rFonts w:ascii="Times New Roman" w:hAnsi="Times New Roman" w:cs="Times New Roman"/>
          <w:i/>
          <w:iCs/>
          <w:color w:val="000000" w:themeColor="text1"/>
        </w:rPr>
        <w:t>Politics of African Anticolonial Archive</w:t>
      </w:r>
      <w:r w:rsidRPr="00ED3DCF">
        <w:rPr>
          <w:rFonts w:ascii="Times New Roman" w:hAnsi="Times New Roman" w:cs="Times New Roman"/>
          <w:iCs/>
          <w:color w:val="000000" w:themeColor="text1"/>
        </w:rPr>
        <w:t xml:space="preserve">, </w:t>
      </w:r>
      <w:r w:rsidRPr="00ED3DCF">
        <w:rPr>
          <w:rFonts w:ascii="Times New Roman" w:hAnsi="Times New Roman" w:cs="Times New Roman"/>
          <w:color w:val="000000" w:themeColor="text1"/>
        </w:rPr>
        <w:t xml:space="preserve">in eds. Shiera el-Malik and Isaac Kamola </w:t>
      </w:r>
      <w:r w:rsidRPr="00ED3DCF">
        <w:rPr>
          <w:rFonts w:ascii="Times New Roman" w:hAnsi="Times New Roman" w:cs="Times New Roman"/>
          <w:iCs/>
          <w:color w:val="000000" w:themeColor="text1"/>
        </w:rPr>
        <w:t>(London:</w:t>
      </w:r>
      <w:r w:rsidRPr="00ED3DCF">
        <w:rPr>
          <w:rFonts w:ascii="Times New Roman" w:hAnsi="Times New Roman" w:cs="Times New Roman"/>
          <w:color w:val="000000" w:themeColor="text1"/>
        </w:rPr>
        <w:t xml:space="preserve"> Rowman &amp; Littlefield International, 2017), 3-4.</w:t>
      </w:r>
    </w:p>
  </w:footnote>
  <w:footnote w:id="24">
    <w:p w14:paraId="1150B6FC" w14:textId="165C0093"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As Walter Mignolo shows, drawing on Quijano, the coloniality of power is dependent on four sites of control: economy, gender and sexuality, authority, and subjectivity and knowledge. This article is concerned with the latter two. Mignolo, ‘Introduction’, 156. </w:t>
      </w:r>
    </w:p>
  </w:footnote>
  <w:footnote w:id="25">
    <w:p w14:paraId="7E4947D5" w14:textId="48EB501A"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lang w:val="en-US"/>
        </w:rPr>
        <w:t xml:space="preserve"> </w:t>
      </w:r>
      <w:r w:rsidRPr="00ED3DCF">
        <w:rPr>
          <w:rFonts w:ascii="Times New Roman" w:hAnsi="Times New Roman" w:cs="Times New Roman"/>
          <w:color w:val="000000" w:themeColor="text1"/>
        </w:rPr>
        <w:t>Quijano, ‘Coloniality and Modernity/Rationality’; Jabri, ‘Disarming Norms,’ 378-90. These projects are, however, connected. As el-Malik and Kamola argue, one of the purposes of the anti-colonial archive is to ‘diagnoses the logics of colonialism in Africa, ….the political purpose of fighting colonial rule within a particular historical conjuncture,’ which is very much in line with the purpose of this article. See also Timothy Vasko, ‘“</w:t>
      </w:r>
      <w:r w:rsidRPr="00ED3DCF">
        <w:rPr>
          <w:rFonts w:ascii="Times New Roman" w:hAnsi="Times New Roman" w:cs="Times New Roman"/>
          <w:bCs/>
          <w:color w:val="000000" w:themeColor="text1"/>
        </w:rPr>
        <w:t xml:space="preserve">But for God’s Sake, Let’s Decolonize!”: </w:t>
      </w:r>
      <w:r w:rsidRPr="00ED3DCF">
        <w:rPr>
          <w:rFonts w:ascii="Times New Roman" w:hAnsi="Times New Roman" w:cs="Times New Roman"/>
          <w:bCs/>
          <w:iCs/>
          <w:color w:val="000000" w:themeColor="text1"/>
        </w:rPr>
        <w:t xml:space="preserve">Self-Determination and Sovereignty and/ as the Limits of Anticolonial Archives’, </w:t>
      </w:r>
      <w:r w:rsidRPr="00ED3DCF">
        <w:rPr>
          <w:rFonts w:ascii="Times New Roman" w:hAnsi="Times New Roman" w:cs="Times New Roman"/>
          <w:color w:val="000000" w:themeColor="text1"/>
        </w:rPr>
        <w:t xml:space="preserve">in eds. Shiera el-Malik and Isaac Kamola </w:t>
      </w:r>
      <w:r w:rsidRPr="00ED3DCF">
        <w:rPr>
          <w:rFonts w:ascii="Times New Roman" w:hAnsi="Times New Roman" w:cs="Times New Roman"/>
          <w:iCs/>
          <w:color w:val="000000" w:themeColor="text1"/>
        </w:rPr>
        <w:t>(London:</w:t>
      </w:r>
      <w:r w:rsidRPr="00ED3DCF">
        <w:rPr>
          <w:rFonts w:ascii="Times New Roman" w:hAnsi="Times New Roman" w:cs="Times New Roman"/>
          <w:color w:val="000000" w:themeColor="text1"/>
        </w:rPr>
        <w:t xml:space="preserve"> Rowman &amp; Littlefield International, 2017),</w:t>
      </w:r>
      <w:r w:rsidRPr="00ED3DCF">
        <w:rPr>
          <w:rFonts w:ascii="Times New Roman" w:hAnsi="Times New Roman" w:cs="Times New Roman"/>
          <w:bCs/>
          <w:i/>
          <w:iCs/>
          <w:color w:val="000000" w:themeColor="text1"/>
        </w:rPr>
        <w:t xml:space="preserve"> </w:t>
      </w:r>
      <w:r w:rsidRPr="00ED3DCF">
        <w:rPr>
          <w:rFonts w:ascii="Times New Roman" w:hAnsi="Times New Roman" w:cs="Times New Roman"/>
          <w:color w:val="000000" w:themeColor="text1"/>
        </w:rPr>
        <w:t>178-183.</w:t>
      </w:r>
    </w:p>
  </w:footnote>
  <w:footnote w:id="26">
    <w:p w14:paraId="07FDBB51" w14:textId="16083885" w:rsidR="00687D78" w:rsidRPr="00ED3DCF" w:rsidRDefault="00687D78" w:rsidP="00DA7160">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color w:val="000000" w:themeColor="text1"/>
        </w:rPr>
        <w:fldChar w:fldCharType="begin"/>
      </w:r>
      <w:r w:rsidRPr="00ED3DCF">
        <w:rPr>
          <w:rFonts w:ascii="Times New Roman" w:hAnsi="Times New Roman" w:cs="Times New Roman"/>
          <w:color w:val="000000" w:themeColor="text1"/>
        </w:rPr>
        <w:instrText xml:space="preserve"> ADDIN EN.CITE &lt;EndNote&gt;&lt;Cite&gt;&lt;Author&gt;Stoler&lt;/Author&gt;&lt;Year&gt;2002&lt;/Year&gt;&lt;RecNum&gt;292&lt;/RecNum&gt;&lt;DisplayText&gt;Ann Stoler, &amp;quot;Colonial Archives and the Arts of Governance,&amp;quot;&lt;style face="italic"&gt; Archival Science&lt;/style&gt; 2, no. 1 (2002).&lt;/DisplayText&gt;&lt;record&gt;&lt;rec-number&gt;292&lt;/rec-number&gt;&lt;foreign-keys&gt;&lt;key app="EN" db-id="0rewstxe3sdfepeps9f5xrt55srrdw2s5r9x" timestamp="1543072669"&gt;292&lt;/key&gt;&lt;/foreign-keys&gt;&lt;ref-type name="Journal Article"&gt;17&lt;/ref-type&gt;&lt;contributors&gt;&lt;authors&gt;&lt;author&gt;Stoler, Ann&lt;/author&gt;&lt;/authors&gt;&lt;/contributors&gt;&lt;titles&gt;&lt;title&gt;Colonial Archives and the Arts of Governance&lt;/title&gt;&lt;secondary-title&gt; Archival Science&lt;/secondary-title&gt;&lt;short-title&gt;Colonial Archives&lt;/short-title&gt;&lt;/titles&gt;&lt;volume&gt;2&lt;/volume&gt;&lt;number&gt;1&lt;/number&gt;&lt;keywords&gt;&lt;keyword&gt;Archives&lt;/keyword&gt;&lt;keyword&gt;Governmentality&lt;/keyword&gt;&lt;keyword&gt;Colonialism&lt;/keyword&gt;&lt;/keywords&gt;&lt;dates&gt;&lt;year&gt;2002&lt;/year&gt;&lt;/dates&gt;&lt;urls&gt;&lt;/urls&gt;&lt;/record&gt;&lt;/Cite&gt;&lt;/EndNote&gt;</w:instrText>
      </w:r>
      <w:r w:rsidRPr="00ED3DCF">
        <w:rPr>
          <w:rFonts w:ascii="Times New Roman" w:hAnsi="Times New Roman" w:cs="Times New Roman"/>
          <w:color w:val="000000" w:themeColor="text1"/>
        </w:rPr>
        <w:fldChar w:fldCharType="separate"/>
      </w:r>
      <w:r w:rsidRPr="00ED3DCF">
        <w:rPr>
          <w:rFonts w:ascii="Times New Roman" w:hAnsi="Times New Roman" w:cs="Times New Roman"/>
          <w:noProof/>
          <w:color w:val="000000" w:themeColor="text1"/>
        </w:rPr>
        <w:t>Ann Stoler, ‘Colonial Archives and the Arts of Governance’,</w:t>
      </w:r>
      <w:r w:rsidRPr="00ED3DCF">
        <w:rPr>
          <w:rFonts w:ascii="Times New Roman" w:hAnsi="Times New Roman" w:cs="Times New Roman"/>
          <w:i/>
          <w:noProof/>
          <w:color w:val="000000" w:themeColor="text1"/>
        </w:rPr>
        <w:t xml:space="preserve"> Archival Science</w:t>
      </w:r>
      <w:r w:rsidRPr="00ED3DCF">
        <w:rPr>
          <w:rFonts w:ascii="Times New Roman" w:hAnsi="Times New Roman" w:cs="Times New Roman"/>
          <w:noProof/>
          <w:color w:val="000000" w:themeColor="text1"/>
        </w:rPr>
        <w:t xml:space="preserve"> 2, no. 1 (2002), </w:t>
      </w:r>
      <w:r w:rsidRPr="00ED3DCF">
        <w:rPr>
          <w:rFonts w:ascii="Times New Roman" w:hAnsi="Times New Roman" w:cs="Times New Roman"/>
          <w:color w:val="000000" w:themeColor="text1"/>
        </w:rPr>
        <w:fldChar w:fldCharType="end"/>
      </w:r>
      <w:r w:rsidRPr="00ED3DCF">
        <w:rPr>
          <w:rFonts w:ascii="Times New Roman" w:hAnsi="Times New Roman" w:cs="Times New Roman"/>
          <w:color w:val="000000" w:themeColor="text1"/>
        </w:rPr>
        <w:t xml:space="preserve"> 87-109.</w:t>
      </w:r>
    </w:p>
  </w:footnote>
  <w:footnote w:id="27">
    <w:p w14:paraId="4BEA105A" w14:textId="628ECBCF" w:rsidR="00687D78" w:rsidRPr="00ED3DCF" w:rsidRDefault="00687D78" w:rsidP="00EF3B57">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Michel Foucault, </w:t>
      </w:r>
      <w:r w:rsidRPr="00ED3DCF">
        <w:rPr>
          <w:rFonts w:ascii="Times New Roman" w:hAnsi="Times New Roman" w:cs="Times New Roman"/>
          <w:color w:val="000000" w:themeColor="text1"/>
        </w:rPr>
        <w:fldChar w:fldCharType="begin"/>
      </w:r>
      <w:r w:rsidRPr="00ED3DCF">
        <w:rPr>
          <w:rFonts w:ascii="Times New Roman" w:hAnsi="Times New Roman" w:cs="Times New Roman"/>
          <w:color w:val="000000" w:themeColor="text1"/>
        </w:rPr>
        <w:instrText xml:space="preserve"> ADDIN EN.CITE &lt;EndNote&gt;&lt;Cite&gt;&lt;Author&gt;Foucault&lt;/Author&gt;&lt;Year&gt;1972&lt;/Year&gt;&lt;RecNum&gt;262&lt;/RecNum&gt;&lt;DisplayText&gt;&lt;style face="italic"&gt;The Archaeology of Knowledge and the Discourse on Language&lt;/style&gt;, trans. Alan Sheridan (New York: Pantheon Books, 1972).&lt;/DisplayText&gt;&lt;record&gt;&lt;rec-number&gt;262&lt;/rec-number&gt;&lt;foreign-keys&gt;&lt;key app="EN" db-id="0rewstxe3sdfepeps9f5xrt55srrdw2s5r9x" timestamp="1539181836"&gt;262&lt;/key&gt;&lt;/foreign-keys&gt;&lt;ref-type name="Book"&gt;6&lt;/ref-type&gt;&lt;contributors&gt;&lt;authors&gt;&lt;author&gt;Foucault, Michel&lt;/author&gt;&lt;/authors&gt;&lt;subsidiary-authors&gt;&lt;author&gt;Sheridan, Alan&lt;/author&gt;&lt;/subsidiary-authors&gt;&lt;/contributors&gt;&lt;titles&gt;&lt;title&gt;The Archaeology of Knowledge and the Discourse on Language&lt;/title&gt;&lt;short-title&gt; Archaeology of Knowledge &lt;/short-title&gt;&lt;/titles&gt;&lt;keywords&gt;&lt;keyword&gt;Foucault,&lt;/keyword&gt;&lt;keyword&gt;Archive&lt;/keyword&gt;&lt;keyword&gt;Archaeology&lt;/keyword&gt;&lt;keyword&gt;Discourse Analysis&lt;/keyword&gt;&lt;keyword&gt;Theory&lt;/keyword&gt;&lt;keyword&gt;Critical&lt;/keyword&gt;&lt;/keywords&gt;&lt;dates&gt;&lt;year&gt;1972&lt;/year&gt;&lt;/dates&gt;&lt;pub-location&gt;New York&lt;/pub-location&gt;&lt;publisher&gt;Pantheon Books&lt;/publisher&gt;&lt;urls&gt;&lt;/urls&gt;&lt;/record&gt;&lt;/Cite&gt;&lt;/EndNote&gt;</w:instrText>
      </w:r>
      <w:r w:rsidRPr="00ED3DCF">
        <w:rPr>
          <w:rFonts w:ascii="Times New Roman" w:hAnsi="Times New Roman" w:cs="Times New Roman"/>
          <w:color w:val="000000" w:themeColor="text1"/>
        </w:rPr>
        <w:fldChar w:fldCharType="separate"/>
      </w:r>
      <w:r w:rsidRPr="00ED3DCF">
        <w:rPr>
          <w:rFonts w:ascii="Times New Roman" w:hAnsi="Times New Roman" w:cs="Times New Roman"/>
          <w:i/>
          <w:color w:val="000000" w:themeColor="text1"/>
        </w:rPr>
        <w:t>The Archaeology of Knowledge and the Discourse on Language</w:t>
      </w:r>
      <w:r w:rsidRPr="00ED3DCF">
        <w:rPr>
          <w:rFonts w:ascii="Times New Roman" w:hAnsi="Times New Roman" w:cs="Times New Roman"/>
          <w:color w:val="000000" w:themeColor="text1"/>
        </w:rPr>
        <w:t>, trans. Alan Sheridan (New York: Pantheon Books, 1972).</w:t>
      </w:r>
      <w:r w:rsidRPr="00ED3DCF">
        <w:rPr>
          <w:rFonts w:ascii="Times New Roman" w:hAnsi="Times New Roman" w:cs="Times New Roman"/>
          <w:color w:val="000000" w:themeColor="text1"/>
        </w:rPr>
        <w:fldChar w:fldCharType="end"/>
      </w:r>
      <w:r w:rsidRPr="00ED3DCF">
        <w:rPr>
          <w:rFonts w:ascii="Times New Roman" w:hAnsi="Times New Roman" w:cs="Times New Roman"/>
          <w:color w:val="000000" w:themeColor="text1"/>
        </w:rPr>
        <w:t xml:space="preserve"> I acknowledge the tension in reading Spivak alongside Foucault, given Spivak’s criticism of Foucault’s constitution of the subaltern. However, Spivak nonetheless sees a value in Foucault’s approach for examining the mechanisms of power that constitute the Other, something that is akin to the research pursued here. Spivak, ‘Can the Subaltern Speak?’, 90.</w:t>
      </w:r>
    </w:p>
  </w:footnote>
  <w:footnote w:id="28">
    <w:p w14:paraId="6D823212" w14:textId="3D0E44AF" w:rsidR="00687D78" w:rsidRPr="00ED3DCF" w:rsidRDefault="00687D78" w:rsidP="00EF3B57">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color w:val="000000" w:themeColor="text1"/>
        </w:rPr>
        <w:fldChar w:fldCharType="begin"/>
      </w:r>
      <w:r w:rsidRPr="00ED3DCF">
        <w:rPr>
          <w:rFonts w:ascii="Times New Roman" w:hAnsi="Times New Roman" w:cs="Times New Roman"/>
          <w:color w:val="000000" w:themeColor="text1"/>
        </w:rPr>
        <w:instrText xml:space="preserve"> ADDIN EN.CITE &lt;EndNote&gt;&lt;Cite&gt;&lt;Author&gt;Gordon&lt;/Author&gt;&lt;Year&gt;1980&lt;/Year&gt;&lt;RecNum&gt;329&lt;/RecNum&gt;&lt;Pages&gt;243-244&lt;/Pages&gt;&lt;DisplayText&gt;Colin Gordon, &amp;quot;Afterword,&amp;quot; in &lt;style face="italic"&gt;Power/ Knowledge: Selected Interviews and Other Writings 1972–1977&lt;/style&gt;, ed. Colin Gordon (New York: Pantheon Books, 1980), 243-44.&lt;/DisplayText&gt;&lt;record&gt;&lt;rec-number&gt;329&lt;/rec-number&gt;&lt;foreign-keys&gt;&lt;key app="EN" db-id="0rewstxe3sdfepeps9f5xrt55srrdw2s5r9x" timestamp="1546969049"&gt;329&lt;/key&gt;&lt;/foreign-keys&gt;&lt;ref-type name="Book Section"&gt;5&lt;/ref-type&gt;&lt;contributors&gt;&lt;authors&gt;&lt;author&gt;Gordon, Colin&lt;/author&gt;&lt;/authors&gt;&lt;secondary-authors&gt;&lt;author&gt;Gordon, Colin&lt;/author&gt;&lt;/secondary-authors&gt;&lt;/contributors&gt;&lt;titles&gt;&lt;title&gt;Afterword&lt;/title&gt;&lt;secondary-title&gt;Power/ Knowledge: Selected Interviews and Other Writings 1972–1977&lt;/secondary-title&gt;&lt;/titles&gt;&lt;pages&gt;229-261&lt;/pages&gt;&lt;dates&gt;&lt;year&gt;1980&lt;/year&gt;&lt;/dates&gt;&lt;pub-location&gt;New York&lt;/pub-location&gt;&lt;publisher&gt;Pantheon Books&lt;/publisher&gt;&lt;urls&gt;&lt;/urls&gt;&lt;/record&gt;&lt;/Cite&gt;&lt;/EndNote&gt;</w:instrText>
      </w:r>
      <w:r w:rsidRPr="00ED3DCF">
        <w:rPr>
          <w:rFonts w:ascii="Times New Roman" w:hAnsi="Times New Roman" w:cs="Times New Roman"/>
          <w:color w:val="000000" w:themeColor="text1"/>
        </w:rPr>
        <w:fldChar w:fldCharType="separate"/>
      </w:r>
      <w:r w:rsidRPr="00ED3DCF">
        <w:rPr>
          <w:rFonts w:ascii="Times New Roman" w:hAnsi="Times New Roman" w:cs="Times New Roman"/>
          <w:noProof/>
          <w:color w:val="000000" w:themeColor="text1"/>
        </w:rPr>
        <w:t xml:space="preserve">Colin Gordon, ‘Afterword’, in </w:t>
      </w:r>
      <w:r w:rsidRPr="00ED3DCF">
        <w:rPr>
          <w:rFonts w:ascii="Times New Roman" w:hAnsi="Times New Roman" w:cs="Times New Roman"/>
          <w:i/>
          <w:noProof/>
          <w:color w:val="000000" w:themeColor="text1"/>
        </w:rPr>
        <w:t>Power/ Knowledge: Selected Interviews and Other Writings 1972–1977</w:t>
      </w:r>
      <w:r w:rsidRPr="00ED3DCF">
        <w:rPr>
          <w:rFonts w:ascii="Times New Roman" w:hAnsi="Times New Roman" w:cs="Times New Roman"/>
          <w:noProof/>
          <w:color w:val="000000" w:themeColor="text1"/>
        </w:rPr>
        <w:t>, ed. Colin Gordon (New York: Pantheon Books, 1980), 243-4.</w:t>
      </w:r>
      <w:r w:rsidRPr="00ED3DCF">
        <w:rPr>
          <w:rFonts w:ascii="Times New Roman" w:hAnsi="Times New Roman" w:cs="Times New Roman"/>
          <w:color w:val="000000" w:themeColor="text1"/>
        </w:rPr>
        <w:fldChar w:fldCharType="end"/>
      </w:r>
    </w:p>
  </w:footnote>
  <w:footnote w:id="29">
    <w:p w14:paraId="52A64380" w14:textId="6DCE579A" w:rsidR="00687D78" w:rsidRPr="00ED3DCF" w:rsidRDefault="00687D78" w:rsidP="00EF3B57">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Foucault, </w:t>
      </w:r>
      <w:r w:rsidRPr="00ED3DCF">
        <w:rPr>
          <w:rFonts w:ascii="Times New Roman" w:hAnsi="Times New Roman" w:cs="Times New Roman"/>
          <w:i/>
          <w:color w:val="000000" w:themeColor="text1"/>
        </w:rPr>
        <w:t>Archaeology of Knowledge</w:t>
      </w:r>
      <w:r w:rsidRPr="00ED3DCF">
        <w:rPr>
          <w:rFonts w:ascii="Times New Roman" w:hAnsi="Times New Roman" w:cs="Times New Roman"/>
          <w:color w:val="000000" w:themeColor="text1"/>
        </w:rPr>
        <w:fldChar w:fldCharType="begin">
          <w:fldData xml:space="preserve">PEVuZE5vdGU+PENpdGU+PEF1dGhvcj5Gb3VjYXVsdDwvQXV0aG9yPjxZZWFyPjE5NzI8L1llYXI+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</w:fldData>
        </w:fldChar>
      </w:r>
      <w:r w:rsidRPr="00ED3DCF">
        <w:rPr>
          <w:rFonts w:ascii="Times New Roman" w:hAnsi="Times New Roman" w:cs="Times New Roman"/>
          <w:color w:val="000000" w:themeColor="text1"/>
        </w:rPr>
        <w:instrText xml:space="preserve"> ADDIN EN.CITE </w:instrText>
      </w:r>
      <w:r w:rsidRPr="00ED3DCF">
        <w:rPr>
          <w:rFonts w:ascii="Times New Roman" w:hAnsi="Times New Roman" w:cs="Times New Roman"/>
          <w:color w:val="000000" w:themeColor="text1"/>
        </w:rPr>
        <w:fldChar w:fldCharType="begin">
          <w:fldData xml:space="preserve">PEVuZE5vdGU+PENpdGU+PEF1dGhvcj5Gb3VjYXVsdDwvQXV0aG9yPjxZZWFyPjE5NzI8L1llYXI+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</w:fldData>
        </w:fldChar>
      </w:r>
      <w:r w:rsidRPr="00ED3DCF">
        <w:rPr>
          <w:rFonts w:ascii="Times New Roman" w:hAnsi="Times New Roman" w:cs="Times New Roman"/>
          <w:color w:val="000000" w:themeColor="text1"/>
        </w:rPr>
        <w:instrText xml:space="preserve"> ADDIN EN.CITE.DATA </w:instrText>
      </w:r>
      <w:r w:rsidRPr="00ED3DCF">
        <w:rPr>
          <w:rFonts w:ascii="Times New Roman" w:hAnsi="Times New Roman" w:cs="Times New Roman"/>
          <w:color w:val="000000" w:themeColor="text1"/>
        </w:rPr>
      </w:r>
      <w:r w:rsidRPr="00ED3DCF">
        <w:rPr>
          <w:rFonts w:ascii="Times New Roman" w:hAnsi="Times New Roman" w:cs="Times New Roman"/>
          <w:color w:val="000000" w:themeColor="text1"/>
        </w:rPr>
        <w:fldChar w:fldCharType="end"/>
      </w:r>
      <w:r w:rsidRPr="00ED3DCF">
        <w:rPr>
          <w:rFonts w:ascii="Times New Roman" w:hAnsi="Times New Roman" w:cs="Times New Roman"/>
          <w:color w:val="000000" w:themeColor="text1"/>
        </w:rPr>
      </w:r>
      <w:r w:rsidRPr="00ED3DCF">
        <w:rPr>
          <w:rFonts w:ascii="Times New Roman" w:hAnsi="Times New Roman" w:cs="Times New Roman"/>
          <w:color w:val="000000" w:themeColor="text1"/>
        </w:rPr>
        <w:fldChar w:fldCharType="separate"/>
      </w:r>
      <w:r w:rsidRPr="00ED3DCF">
        <w:rPr>
          <w:rFonts w:ascii="Times New Roman" w:hAnsi="Times New Roman" w:cs="Times New Roman"/>
          <w:noProof/>
          <w:color w:val="000000" w:themeColor="text1"/>
        </w:rPr>
        <w:t xml:space="preserve">, 127; Gilles Deleuze, </w:t>
      </w:r>
      <w:r w:rsidRPr="00ED3DCF">
        <w:rPr>
          <w:rFonts w:ascii="Times New Roman" w:hAnsi="Times New Roman" w:cs="Times New Roman"/>
          <w:i/>
          <w:noProof/>
          <w:color w:val="000000" w:themeColor="text1"/>
        </w:rPr>
        <w:t>Foucault</w:t>
      </w:r>
      <w:r w:rsidRPr="00ED3DCF">
        <w:rPr>
          <w:rFonts w:ascii="Times New Roman" w:hAnsi="Times New Roman" w:cs="Times New Roman"/>
          <w:noProof/>
          <w:color w:val="000000" w:themeColor="text1"/>
        </w:rPr>
        <w:t>, trans. Seán  Hand (London: University of Minnesota Press, 1988), 3-8.</w:t>
      </w:r>
      <w:r w:rsidRPr="00ED3DCF">
        <w:rPr>
          <w:rFonts w:ascii="Times New Roman" w:hAnsi="Times New Roman" w:cs="Times New Roman"/>
          <w:color w:val="000000" w:themeColor="text1"/>
        </w:rPr>
        <w:fldChar w:fldCharType="end"/>
      </w:r>
    </w:p>
  </w:footnote>
  <w:footnote w:id="30">
    <w:p w14:paraId="4F78725F" w14:textId="50BD9B61" w:rsidR="00687D78" w:rsidRPr="00ED3DCF" w:rsidRDefault="00687D78" w:rsidP="00EF3B57">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color w:val="000000" w:themeColor="text1"/>
        </w:rPr>
        <w:fldChar w:fldCharType="begin"/>
      </w:r>
      <w:r w:rsidRPr="00ED3DCF">
        <w:rPr>
          <w:rFonts w:ascii="Times New Roman" w:hAnsi="Times New Roman" w:cs="Times New Roman"/>
          <w:color w:val="000000" w:themeColor="text1"/>
        </w:rPr>
        <w:instrText xml:space="preserve"> ADDIN EN.CITE &lt;EndNote&gt;&lt;Cite&gt;&lt;Author&gt;Foucault&lt;/Author&gt;&lt;Year&gt;1972&lt;/Year&gt;&lt;RecNum&gt;262&lt;/RecNum&gt;&lt;Pages&gt;45&lt;/Pages&gt;&lt;DisplayText&gt;Ibid., 45.&lt;/DisplayText&gt;&lt;record&gt;&lt;rec-number&gt;262&lt;/rec-number&gt;&lt;foreign-keys&gt;&lt;key app="EN" db-id="0rewstxe3sdfepeps9f5xrt55srrdw2s5r9x" timestamp="1539181836"&gt;262&lt;/key&gt;&lt;/foreign-keys&gt;&lt;ref-type name="Book"&gt;6&lt;/ref-type&gt;&lt;contributors&gt;&lt;authors&gt;&lt;author&gt;Foucault, Michel&lt;/author&gt;&lt;/authors&gt;&lt;subsidiary-authors&gt;&lt;author&gt;Sheridan, Alan&lt;/author&gt;&lt;/subsidiary-authors&gt;&lt;/contributors&gt;&lt;titles&gt;&lt;title&gt;The Archaeology of Knowledge and the Discourse on Language&lt;/title&gt;&lt;short-title&gt; Archaeology of Knowledge &lt;/short-title&gt;&lt;/titles&gt;&lt;keywords&gt;&lt;keyword&gt;Foucault,&lt;/keyword&gt;&lt;keyword&gt;Archive&lt;/keyword&gt;&lt;keyword&gt;Archaeology&lt;/keyword&gt;&lt;keyword&gt;Discourse Analysis&lt;/keyword&gt;&lt;keyword&gt;Theory&lt;/keyword&gt;&lt;keyword&gt;Critical&lt;/keyword&gt;&lt;/keywords&gt;&lt;dates&gt;&lt;year&gt;1972&lt;/year&gt;&lt;/dates&gt;&lt;pub-location&gt;New York&lt;/pub-location&gt;&lt;publisher&gt;Pantheon Books&lt;/publisher&gt;&lt;urls&gt;&lt;/urls&gt;&lt;/record&gt;&lt;/Cite&gt;&lt;/EndNote&gt;</w:instrText>
      </w:r>
      <w:r w:rsidRPr="00ED3DCF">
        <w:rPr>
          <w:rFonts w:ascii="Times New Roman" w:hAnsi="Times New Roman" w:cs="Times New Roman"/>
          <w:color w:val="000000" w:themeColor="text1"/>
        </w:rPr>
        <w:fldChar w:fldCharType="separate"/>
      </w:r>
      <w:r w:rsidRPr="00ED3DCF">
        <w:rPr>
          <w:rFonts w:ascii="Times New Roman" w:hAnsi="Times New Roman" w:cs="Times New Roman"/>
          <w:color w:val="000000" w:themeColor="text1"/>
        </w:rPr>
        <w:t xml:space="preserve"> Foucault, </w:t>
      </w:r>
      <w:r w:rsidRPr="00ED3DCF">
        <w:rPr>
          <w:rFonts w:ascii="Times New Roman" w:hAnsi="Times New Roman" w:cs="Times New Roman"/>
          <w:i/>
          <w:color w:val="000000" w:themeColor="text1"/>
        </w:rPr>
        <w:t>Archaeology of Knowledge</w:t>
      </w:r>
      <w:r w:rsidRPr="00ED3DCF">
        <w:rPr>
          <w:rFonts w:ascii="Times New Roman" w:hAnsi="Times New Roman" w:cs="Times New Roman"/>
          <w:color w:val="000000" w:themeColor="text1"/>
        </w:rPr>
        <w:t>,</w:t>
      </w:r>
      <w:r w:rsidRPr="00ED3DCF">
        <w:rPr>
          <w:rFonts w:ascii="Times New Roman" w:hAnsi="Times New Roman" w:cs="Times New Roman"/>
          <w:noProof/>
          <w:color w:val="000000" w:themeColor="text1"/>
        </w:rPr>
        <w:t xml:space="preserve"> 45.</w:t>
      </w:r>
      <w:r w:rsidRPr="00ED3DCF">
        <w:rPr>
          <w:rFonts w:ascii="Times New Roman" w:hAnsi="Times New Roman" w:cs="Times New Roman"/>
          <w:color w:val="000000" w:themeColor="text1"/>
        </w:rPr>
        <w:fldChar w:fldCharType="end"/>
      </w:r>
    </w:p>
  </w:footnote>
  <w:footnote w:id="31">
    <w:p w14:paraId="74323520" w14:textId="13039A35"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Stoler, </w:t>
      </w:r>
      <w:r w:rsidRPr="00ED3DCF">
        <w:rPr>
          <w:rFonts w:ascii="Times New Roman" w:hAnsi="Times New Roman" w:cs="Times New Roman"/>
          <w:i/>
          <w:color w:val="000000" w:themeColor="text1"/>
        </w:rPr>
        <w:t>Along the Archival Grain</w:t>
      </w:r>
      <w:r w:rsidRPr="00ED3DCF">
        <w:rPr>
          <w:rFonts w:ascii="Times New Roman" w:hAnsi="Times New Roman" w:cs="Times New Roman"/>
          <w:color w:val="000000" w:themeColor="text1"/>
        </w:rPr>
        <w:t>.</w:t>
      </w:r>
    </w:p>
  </w:footnote>
  <w:footnote w:id="32">
    <w:p w14:paraId="03B66803" w14:textId="25EBD816" w:rsidR="00687D78" w:rsidRPr="00ED3DCF" w:rsidRDefault="00687D78" w:rsidP="00007C43">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color w:val="000000" w:themeColor="text1"/>
        </w:rPr>
        <w:fldChar w:fldCharType="begin"/>
      </w:r>
      <w:r w:rsidRPr="00ED3DCF">
        <w:rPr>
          <w:rFonts w:ascii="Times New Roman" w:hAnsi="Times New Roman" w:cs="Times New Roman"/>
          <w:color w:val="000000" w:themeColor="text1"/>
        </w:rPr>
        <w:instrText xml:space="preserve"> ADDIN EN.CITE &lt;EndNote&gt;&lt;Cite&gt;&lt;Author&gt;Foucault&lt;/Author&gt;&lt;Year&gt;1972&lt;/Year&gt;&lt;RecNum&gt;262&lt;/RecNum&gt;&lt;Pages&gt;50-55 and 106&lt;/Pages&gt;&lt;DisplayText&gt;Foucault,&lt;style face="italic"&gt; Archaeology of Knowledge &lt;/style&gt;50-55 and 106.&lt;/DisplayText&gt;&lt;record&gt;&lt;rec-number&gt;262&lt;/rec-number&gt;&lt;foreign-keys&gt;&lt;key app="EN" db-id="0rewstxe3sdfepeps9f5xrt55srrdw2s5r9x" timestamp="1539181836"&gt;262&lt;/key&gt;&lt;/foreign-keys&gt;&lt;ref-type name="Book"&gt;6&lt;/ref-type&gt;&lt;contributors&gt;&lt;authors&gt;&lt;author&gt;Foucault, Michel&lt;/author&gt;&lt;/authors&gt;&lt;subsidiary-authors&gt;&lt;author&gt;Sheridan, Alan&lt;/author&gt;&lt;/subsidiary-authors&gt;&lt;/contributors&gt;&lt;titles&gt;&lt;title&gt;The Archaeology of Knowledge and the Discourse on Language&lt;/title&gt;&lt;short-title&gt; Archaeology of Knowledge &lt;/short-title&gt;&lt;/titles&gt;&lt;keywords&gt;&lt;keyword&gt;Foucault,&lt;/keyword&gt;&lt;keyword&gt;Archive&lt;/keyword&gt;&lt;keyword&gt;Archaeology&lt;/keyword&gt;&lt;keyword&gt;Discourse Analysis&lt;/keyword&gt;&lt;keyword&gt;Theory&lt;/keyword&gt;&lt;keyword&gt;Critical&lt;/keyword&gt;&lt;/keywords&gt;&lt;dates&gt;&lt;year&gt;1972&lt;/year&gt;&lt;/dates&gt;&lt;pub-location&gt;New York&lt;/pub-location&gt;&lt;publisher&gt;Pantheon Books&lt;/publisher&gt;&lt;urls&gt;&lt;/urls&gt;&lt;/record&gt;&lt;/Cite&gt;&lt;/EndNote&gt;</w:instrText>
      </w:r>
      <w:r w:rsidRPr="00ED3DCF">
        <w:rPr>
          <w:rFonts w:ascii="Times New Roman" w:hAnsi="Times New Roman" w:cs="Times New Roman"/>
          <w:color w:val="000000" w:themeColor="text1"/>
        </w:rPr>
        <w:fldChar w:fldCharType="separate"/>
      </w:r>
      <w:r w:rsidRPr="00ED3DCF">
        <w:rPr>
          <w:rFonts w:ascii="Times New Roman" w:hAnsi="Times New Roman" w:cs="Times New Roman"/>
          <w:i/>
          <w:color w:val="000000" w:themeColor="text1"/>
        </w:rPr>
        <w:t xml:space="preserve"> Supra note </w:t>
      </w:r>
      <w:r w:rsidR="005A7364" w:rsidRPr="00ED3DCF">
        <w:rPr>
          <w:rFonts w:ascii="Times New Roman" w:hAnsi="Times New Roman" w:cs="Times New Roman"/>
          <w:i/>
          <w:color w:val="000000" w:themeColor="text1"/>
        </w:rPr>
        <w:t>30</w:t>
      </w:r>
      <w:r w:rsidRPr="00ED3DCF">
        <w:rPr>
          <w:rFonts w:ascii="Times New Roman" w:hAnsi="Times New Roman" w:cs="Times New Roman"/>
          <w:noProof/>
          <w:color w:val="000000" w:themeColor="text1"/>
        </w:rPr>
        <w:t>.</w:t>
      </w:r>
      <w:r w:rsidRPr="00ED3DCF">
        <w:rPr>
          <w:rFonts w:ascii="Times New Roman" w:hAnsi="Times New Roman" w:cs="Times New Roman"/>
          <w:color w:val="000000" w:themeColor="text1"/>
        </w:rPr>
        <w:fldChar w:fldCharType="end"/>
      </w:r>
    </w:p>
  </w:footnote>
  <w:footnote w:id="33">
    <w:p w14:paraId="7BC2EB21" w14:textId="414D987C" w:rsidR="00687D78" w:rsidRPr="00ED3DCF" w:rsidRDefault="00687D78" w:rsidP="00080176">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i/>
          <w:color w:val="000000" w:themeColor="text1"/>
        </w:rPr>
        <w:t>Supra note 1</w:t>
      </w:r>
      <w:r w:rsidR="005A7364" w:rsidRPr="00ED3DCF">
        <w:rPr>
          <w:rFonts w:ascii="Times New Roman" w:hAnsi="Times New Roman" w:cs="Times New Roman"/>
          <w:i/>
          <w:color w:val="000000" w:themeColor="text1"/>
        </w:rPr>
        <w:t>4</w:t>
      </w:r>
      <w:r w:rsidRPr="00ED3DCF">
        <w:rPr>
          <w:rFonts w:ascii="Times New Roman" w:hAnsi="Times New Roman" w:cs="Times New Roman"/>
          <w:color w:val="000000" w:themeColor="text1"/>
        </w:rPr>
        <w:t xml:space="preserve">; </w:t>
      </w:r>
      <w:r w:rsidRPr="00ED3DCF">
        <w:rPr>
          <w:rFonts w:ascii="Times New Roman" w:hAnsi="Times New Roman" w:cs="Times New Roman"/>
          <w:color w:val="000000" w:themeColor="text1"/>
          <w:lang w:val="en-US"/>
        </w:rPr>
        <w:t xml:space="preserve">Michel, </w:t>
      </w:r>
      <w:r w:rsidRPr="00ED3DCF">
        <w:rPr>
          <w:rFonts w:ascii="Times New Roman" w:hAnsi="Times New Roman" w:cs="Times New Roman"/>
          <w:color w:val="000000" w:themeColor="text1"/>
          <w:lang w:val="en-US"/>
        </w:rPr>
        <w:fldChar w:fldCharType="begin"/>
      </w:r>
      <w:r w:rsidRPr="00ED3DCF">
        <w:rPr>
          <w:rFonts w:ascii="Times New Roman" w:hAnsi="Times New Roman" w:cs="Times New Roman"/>
          <w:color w:val="000000" w:themeColor="text1"/>
          <w:lang w:val="en-US"/>
        </w:rPr>
        <w:instrText xml:space="preserve"> ADDIN EN.REFLIST </w:instrText>
      </w:r>
      <w:r w:rsidRPr="00ED3DCF">
        <w:rPr>
          <w:rFonts w:ascii="Times New Roman" w:hAnsi="Times New Roman" w:cs="Times New Roman"/>
          <w:color w:val="000000" w:themeColor="text1"/>
          <w:lang w:val="en-US"/>
        </w:rPr>
        <w:fldChar w:fldCharType="separate"/>
      </w:r>
      <w:r w:rsidRPr="00ED3DCF">
        <w:rPr>
          <w:rFonts w:ascii="Times New Roman" w:hAnsi="Times New Roman" w:cs="Times New Roman"/>
          <w:color w:val="000000" w:themeColor="text1"/>
          <w:lang w:val="en-US"/>
        </w:rPr>
        <w:t xml:space="preserve">Foucault, </w:t>
      </w:r>
      <w:r w:rsidRPr="00ED3DCF">
        <w:rPr>
          <w:rFonts w:ascii="Times New Roman" w:hAnsi="Times New Roman" w:cs="Times New Roman"/>
          <w:i/>
          <w:color w:val="000000" w:themeColor="text1"/>
          <w:lang w:val="en-US"/>
        </w:rPr>
        <w:t>I, Pierre Rivière, Having Slaughtered My Mother, My Sister and My Brother...: A Case of Parricide in the 19th Century</w:t>
      </w:r>
      <w:r w:rsidRPr="00ED3DCF">
        <w:rPr>
          <w:rFonts w:ascii="Times New Roman" w:hAnsi="Times New Roman" w:cs="Times New Roman"/>
          <w:color w:val="000000" w:themeColor="text1"/>
          <w:lang w:val="en-US"/>
        </w:rPr>
        <w:t xml:space="preserve"> (London: University of Nebraska Press, 1982).</w:t>
      </w:r>
      <w:r w:rsidRPr="00ED3DCF">
        <w:rPr>
          <w:rFonts w:ascii="Times New Roman" w:hAnsi="Times New Roman" w:cs="Times New Roman"/>
          <w:color w:val="000000" w:themeColor="text1"/>
        </w:rPr>
        <w:fldChar w:fldCharType="end"/>
      </w:r>
      <w:r w:rsidRPr="00ED3DCF">
        <w:rPr>
          <w:rFonts w:ascii="Times New Roman" w:hAnsi="Times New Roman" w:cs="Times New Roman"/>
          <w:color w:val="000000" w:themeColor="text1"/>
        </w:rPr>
        <w:t xml:space="preserve"> </w:t>
      </w:r>
    </w:p>
  </w:footnote>
  <w:footnote w:id="34">
    <w:p w14:paraId="1EE2FC25" w14:textId="15C4B324"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i/>
          <w:color w:val="000000" w:themeColor="text1"/>
        </w:rPr>
        <w:t>Supra note 1</w:t>
      </w:r>
      <w:r w:rsidR="005A7364" w:rsidRPr="00ED3DCF">
        <w:rPr>
          <w:rFonts w:ascii="Times New Roman" w:hAnsi="Times New Roman" w:cs="Times New Roman"/>
          <w:i/>
          <w:color w:val="000000" w:themeColor="text1"/>
        </w:rPr>
        <w:t>4</w:t>
      </w:r>
      <w:r w:rsidRPr="00ED3DCF">
        <w:rPr>
          <w:rFonts w:ascii="Times New Roman" w:hAnsi="Times New Roman" w:cs="Times New Roman"/>
          <w:color w:val="000000" w:themeColor="text1"/>
        </w:rPr>
        <w:t xml:space="preserve">, 90. </w:t>
      </w:r>
    </w:p>
  </w:footnote>
  <w:footnote w:id="35">
    <w:p w14:paraId="15D6C277" w14:textId="08377F41" w:rsidR="00687D78" w:rsidRPr="00ED3DCF" w:rsidRDefault="00687D78" w:rsidP="0022032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color w:val="000000" w:themeColor="text1"/>
        </w:rPr>
        <w:fldChar w:fldCharType="begin">
          <w:fldData xml:space="preserve">PEVuZE5vdGU+PENpdGU+PEF1dGhvcj5XZWRkZXJidXJuPC9BdXRob3I+PFllYXI+MjAxODwvWWVh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</w:fldData>
        </w:fldChar>
      </w:r>
      <w:r w:rsidRPr="00ED3DCF">
        <w:rPr>
          <w:rFonts w:ascii="Times New Roman" w:hAnsi="Times New Roman" w:cs="Times New Roman"/>
          <w:color w:val="000000" w:themeColor="text1"/>
        </w:rPr>
        <w:instrText xml:space="preserve"> ADDIN EN.CITE </w:instrText>
      </w:r>
      <w:r w:rsidRPr="00ED3DCF">
        <w:rPr>
          <w:rFonts w:ascii="Times New Roman" w:hAnsi="Times New Roman" w:cs="Times New Roman"/>
          <w:color w:val="000000" w:themeColor="text1"/>
        </w:rPr>
        <w:fldChar w:fldCharType="begin">
          <w:fldData xml:space="preserve">PEVuZE5vdGU+PENpdGU+PEF1dGhvcj5XZWRkZXJidXJuPC9BdXRob3I+PFllYXI+MjAxODwvWWVh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</w:fldData>
        </w:fldChar>
      </w:r>
      <w:r w:rsidRPr="00ED3DCF">
        <w:rPr>
          <w:rFonts w:ascii="Times New Roman" w:hAnsi="Times New Roman" w:cs="Times New Roman"/>
          <w:color w:val="000000" w:themeColor="text1"/>
        </w:rPr>
        <w:instrText xml:space="preserve"> ADDIN EN.CITE.DATA </w:instrText>
      </w:r>
      <w:r w:rsidRPr="00ED3DCF">
        <w:rPr>
          <w:rFonts w:ascii="Times New Roman" w:hAnsi="Times New Roman" w:cs="Times New Roman"/>
          <w:color w:val="000000" w:themeColor="text1"/>
        </w:rPr>
      </w:r>
      <w:r w:rsidRPr="00ED3DCF">
        <w:rPr>
          <w:rFonts w:ascii="Times New Roman" w:hAnsi="Times New Roman" w:cs="Times New Roman"/>
          <w:color w:val="000000" w:themeColor="text1"/>
        </w:rPr>
        <w:fldChar w:fldCharType="end"/>
      </w:r>
      <w:r w:rsidRPr="00ED3DCF">
        <w:rPr>
          <w:rFonts w:ascii="Times New Roman" w:hAnsi="Times New Roman" w:cs="Times New Roman"/>
          <w:color w:val="000000" w:themeColor="text1"/>
        </w:rPr>
      </w:r>
      <w:r w:rsidRPr="00ED3DCF">
        <w:rPr>
          <w:rFonts w:ascii="Times New Roman" w:hAnsi="Times New Roman" w:cs="Times New Roman"/>
          <w:color w:val="000000" w:themeColor="text1"/>
        </w:rPr>
        <w:fldChar w:fldCharType="separate"/>
      </w:r>
      <w:r w:rsidRPr="00ED3DCF">
        <w:rPr>
          <w:rFonts w:ascii="Times New Roman" w:hAnsi="Times New Roman" w:cs="Times New Roman"/>
          <w:noProof/>
          <w:color w:val="000000" w:themeColor="text1"/>
        </w:rPr>
        <w:t xml:space="preserve">Alister Wedderburn, ‘Cartooning the Camp: Aesthetic Interruption and the Limits of Political Possibility’, </w:t>
      </w:r>
      <w:r w:rsidRPr="00ED3DCF">
        <w:rPr>
          <w:rFonts w:ascii="Times New Roman" w:hAnsi="Times New Roman" w:cs="Times New Roman"/>
          <w:i/>
          <w:noProof/>
          <w:color w:val="000000" w:themeColor="text1"/>
        </w:rPr>
        <w:t xml:space="preserve">Millenium </w:t>
      </w:r>
      <w:r w:rsidRPr="00ED3DCF">
        <w:rPr>
          <w:rFonts w:ascii="Times New Roman" w:hAnsi="Times New Roman" w:cs="Times New Roman"/>
          <w:noProof/>
          <w:color w:val="000000" w:themeColor="text1"/>
        </w:rPr>
        <w:t xml:space="preserve">47, no. 2 (2019): 169-89; </w:t>
      </w:r>
      <w:r w:rsidRPr="00ED3DCF">
        <w:rPr>
          <w:rFonts w:ascii="Times New Roman" w:hAnsi="Times New Roman" w:cs="Times New Roman"/>
          <w:noProof/>
          <w:color w:val="000000" w:themeColor="text1"/>
        </w:rPr>
        <w:fldChar w:fldCharType="begin">
          <w:fldData xml:space="preserve">PEVuZE5vdGU+PENpdGU+PEF1dGhvcj5CZWxsPC9BdXRob3I+PFllYXI+MjAwOTwvWWVhcj48UmVj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=
</w:fldData>
        </w:fldChar>
      </w:r>
      <w:r w:rsidRPr="00ED3DCF">
        <w:rPr>
          <w:rFonts w:ascii="Times New Roman" w:hAnsi="Times New Roman" w:cs="Times New Roman"/>
          <w:noProof/>
          <w:color w:val="000000" w:themeColor="text1"/>
        </w:rPr>
        <w:instrText xml:space="preserve"> ADDIN EN.CITE </w:instrText>
      </w:r>
      <w:r w:rsidRPr="00ED3DCF">
        <w:rPr>
          <w:rFonts w:ascii="Times New Roman" w:hAnsi="Times New Roman" w:cs="Times New Roman"/>
          <w:noProof/>
          <w:color w:val="000000" w:themeColor="text1"/>
        </w:rPr>
        <w:fldChar w:fldCharType="begin">
          <w:fldData xml:space="preserve">PEVuZE5vdGU+PENpdGU+PEF1dGhvcj5CZWxsPC9BdXRob3I+PFllYXI+MjAwOTwvWWVhcj48UmVj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=
</w:fldData>
        </w:fldChar>
      </w:r>
      <w:r w:rsidRPr="00ED3DCF">
        <w:rPr>
          <w:rFonts w:ascii="Times New Roman" w:hAnsi="Times New Roman" w:cs="Times New Roman"/>
          <w:noProof/>
          <w:color w:val="000000" w:themeColor="text1"/>
        </w:rPr>
        <w:instrText xml:space="preserve"> ADDIN EN.CITE.DATA </w:instrText>
      </w:r>
      <w:r w:rsidRPr="00ED3DCF">
        <w:rPr>
          <w:rFonts w:ascii="Times New Roman" w:hAnsi="Times New Roman" w:cs="Times New Roman"/>
          <w:noProof/>
          <w:color w:val="000000" w:themeColor="text1"/>
        </w:rPr>
      </w:r>
      <w:r w:rsidRPr="00ED3DCF">
        <w:rPr>
          <w:rFonts w:ascii="Times New Roman" w:hAnsi="Times New Roman" w:cs="Times New Roman"/>
          <w:noProof/>
          <w:color w:val="000000" w:themeColor="text1"/>
        </w:rPr>
        <w:fldChar w:fldCharType="end"/>
      </w:r>
      <w:r w:rsidRPr="00ED3DCF">
        <w:rPr>
          <w:rFonts w:ascii="Times New Roman" w:hAnsi="Times New Roman" w:cs="Times New Roman"/>
          <w:noProof/>
          <w:color w:val="000000" w:themeColor="text1"/>
        </w:rPr>
      </w:r>
      <w:r w:rsidRPr="00ED3DCF">
        <w:rPr>
          <w:rFonts w:ascii="Times New Roman" w:hAnsi="Times New Roman" w:cs="Times New Roman"/>
          <w:noProof/>
          <w:color w:val="000000" w:themeColor="text1"/>
        </w:rPr>
        <w:fldChar w:fldCharType="separate"/>
      </w:r>
      <w:r w:rsidRPr="00ED3DCF">
        <w:rPr>
          <w:rFonts w:ascii="Times New Roman" w:hAnsi="Times New Roman" w:cs="Times New Roman"/>
          <w:noProof/>
          <w:color w:val="000000" w:themeColor="text1"/>
        </w:rPr>
        <w:t xml:space="preserve">Lene Hansen, </w:t>
      </w:r>
      <w:r w:rsidRPr="00ED3DCF">
        <w:rPr>
          <w:rFonts w:ascii="Times New Roman" w:hAnsi="Times New Roman" w:cs="Times New Roman"/>
          <w:i/>
          <w:noProof/>
          <w:color w:val="000000" w:themeColor="text1"/>
        </w:rPr>
        <w:t xml:space="preserve">Security as Practice: Discourse Analysis and the Bosnian War </w:t>
      </w:r>
      <w:r w:rsidRPr="00ED3DCF">
        <w:rPr>
          <w:rFonts w:ascii="Times New Roman" w:hAnsi="Times New Roman" w:cs="Times New Roman"/>
          <w:noProof/>
          <w:color w:val="000000" w:themeColor="text1"/>
        </w:rPr>
        <w:t xml:space="preserve">(London: Routledge, 2006); Jef Huysmans and Joala Pontes Nogueira, 'Ten Years of IPS: Fracturing IR', </w:t>
      </w:r>
      <w:r w:rsidRPr="00ED3DCF">
        <w:rPr>
          <w:rFonts w:ascii="Times New Roman" w:hAnsi="Times New Roman" w:cs="Times New Roman"/>
          <w:i/>
          <w:noProof/>
          <w:color w:val="000000" w:themeColor="text1"/>
        </w:rPr>
        <w:t>International Political Sociology</w:t>
      </w:r>
      <w:r w:rsidRPr="00ED3DCF">
        <w:rPr>
          <w:rFonts w:ascii="Times New Roman" w:hAnsi="Times New Roman" w:cs="Times New Roman"/>
          <w:noProof/>
          <w:color w:val="000000" w:themeColor="text1"/>
        </w:rPr>
        <w:t xml:space="preserve"> 10, njo. 4 (2016): 303-4</w:t>
      </w:r>
      <w:r w:rsidRPr="00ED3DCF">
        <w:rPr>
          <w:rFonts w:ascii="Times New Roman" w:hAnsi="Times New Roman" w:cs="Times New Roman"/>
          <w:noProof/>
          <w:color w:val="000000" w:themeColor="text1"/>
        </w:rPr>
        <w:fldChar w:fldCharType="end"/>
      </w:r>
      <w:r w:rsidRPr="00ED3DCF">
        <w:rPr>
          <w:rFonts w:ascii="Times New Roman" w:hAnsi="Times New Roman" w:cs="Times New Roman"/>
          <w:noProof/>
          <w:color w:val="000000" w:themeColor="text1"/>
        </w:rPr>
        <w:t xml:space="preserve">; Andrew Neal, ‘Foucault in Guantánamo: Towards an Archaeology of the Exception’, </w:t>
      </w:r>
      <w:r w:rsidRPr="00ED3DCF">
        <w:rPr>
          <w:rFonts w:ascii="Times New Roman" w:hAnsi="Times New Roman" w:cs="Times New Roman"/>
          <w:i/>
          <w:noProof/>
          <w:color w:val="000000" w:themeColor="text1"/>
        </w:rPr>
        <w:t>Security Dialogue</w:t>
      </w:r>
      <w:r w:rsidRPr="00ED3DCF">
        <w:rPr>
          <w:rFonts w:ascii="Times New Roman" w:hAnsi="Times New Roman" w:cs="Times New Roman"/>
          <w:noProof/>
          <w:color w:val="000000" w:themeColor="text1"/>
        </w:rPr>
        <w:t xml:space="preserve"> 37, no. 1 (2006): 31–46</w:t>
      </w:r>
      <w:r w:rsidRPr="00ED3DCF">
        <w:rPr>
          <w:rFonts w:ascii="Times New Roman" w:hAnsi="Times New Roman" w:cs="Times New Roman"/>
          <w:color w:val="000000" w:themeColor="text1"/>
        </w:rPr>
        <w:fldChar w:fldCharType="end"/>
      </w:r>
      <w:r w:rsidRPr="00ED3DCF">
        <w:rPr>
          <w:rFonts w:ascii="Times New Roman" w:hAnsi="Times New Roman" w:cs="Times New Roman"/>
          <w:color w:val="000000" w:themeColor="text1"/>
        </w:rPr>
        <w:fldChar w:fldCharType="begin"/>
      </w:r>
      <w:r w:rsidRPr="00ED3DCF">
        <w:rPr>
          <w:rFonts w:ascii="Times New Roman" w:hAnsi="Times New Roman" w:cs="Times New Roman"/>
          <w:color w:val="000000" w:themeColor="text1"/>
        </w:rPr>
        <w:instrText xml:space="preserve"> ADDIN EN.CITE &lt;EndNote&gt;&lt;Cite&gt;&lt;Author&gt;Huysmans&lt;/Author&gt;&lt;Year&gt;2016&lt;/Year&gt;&lt;RecNum&gt;272&lt;/RecNum&gt;&lt;Pages&gt;303-304&lt;/Pages&gt;&lt;DisplayText&gt;Huysmans and Nogueira, &amp;quot;Fracturing Ir,&amp;quot; 303-04; Bell, &amp;quot;Writing the World,&amp;quot; 20.&lt;/DisplayText&gt;&lt;record&gt;&lt;rec-number&gt;272&lt;/rec-number&gt;&lt;foreign-keys&gt;&lt;key app="EN" db-id="0rewstxe3sdfepeps9f5xrt55srrdw2s5r9x" timestamp="1540469369"&gt;272&lt;/key&gt;&lt;/foreign-keys&gt;&lt;ref-type name="Journal Article"&gt;17&lt;/ref-type&gt;&lt;contributors&gt;&lt;authors&gt;&lt;author&gt;Huysmans, Jef&lt;/author&gt;&lt;author&gt;Nogueira, Joala Pontes&lt;/author&gt;&lt;/authors&gt;&lt;/contributors&gt;&lt;titles&gt;&lt;title&gt;Ten Years of IPS: Fracturing IR&lt;/title&gt;&lt;secondary-title&gt;International Political Sociology&lt;/secondary-title&gt;&lt;short-title&gt;Fracturing IR&lt;/short-title&gt;&lt;/titles&gt;&lt;periodical&gt;&lt;full-title&gt;International Political Sociology&lt;/full-title&gt;&lt;/periodical&gt;&lt;pages&gt;299-319&lt;/pages&gt;&lt;volume&gt;10&lt;/volume&gt;&lt;keywords&gt;&lt;keyword&gt;IR&lt;/keyword&gt;&lt;keyword&gt;Theory&lt;/keyword&gt;&lt;keyword&gt;Post-structuralism&lt;/keyword&gt;&lt;/keywords&gt;&lt;dates&gt;&lt;year&gt;2016&lt;/year&gt;&lt;/dates&gt;&lt;urls&gt;&lt;/urls&gt;&lt;/record&gt;&lt;/Cite&gt;&lt;Cite&gt;&lt;Author&gt;Bell&lt;/Author&gt;&lt;Year&gt;2009&lt;/Year&gt;&lt;RecNum&gt;247&lt;/RecNum&gt;&lt;Pages&gt;20&lt;/Pages&gt;&lt;record&gt;&lt;rec-number&gt;247&lt;/rec-number&gt;&lt;foreign-keys&gt;&lt;key app="EN" db-id="0rewstxe3sdfepeps9f5xrt55srrdw2s5r9x" timestamp="1538747275"&gt;247&lt;/key&gt;&lt;/foreign-keys&gt;&lt;ref-type name="Journal Article"&gt;17&lt;/ref-type&gt;&lt;contributors&gt;&lt;authors&gt;&lt;author&gt;Bell, Duncan&lt;/author&gt;&lt;/authors&gt;&lt;/contributors&gt;&lt;titles&gt;&lt;title&gt;Writing the World: Disciplinary History and Beyond&lt;/title&gt;&lt;secondary-title&gt;International Affairs&lt;/secondary-title&gt;&lt;short-title&gt;Writing the World&lt;/short-title&gt;&lt;/titles&gt;&lt;periodical&gt;&lt;full-title&gt;International Affairs&lt;/full-title&gt;&lt;/periodical&gt;&lt;pages&gt;3-22&lt;/pages&gt;&lt;volume&gt;85&lt;/volume&gt;&lt;number&gt;1&lt;/number&gt;&lt;keywords&gt;&lt;keyword&gt;History&lt;/keyword&gt;&lt;keyword&gt;IR&lt;/keyword&gt;&lt;keyword&gt;History of IR&lt;/keyword&gt;&lt;keyword&gt;Theory&lt;/keyword&gt;&lt;keyword&gt;Identity&lt;/keyword&gt;&lt;keyword&gt;Knowledge&lt;/keyword&gt;&lt;/keywords&gt;&lt;dates&gt;&lt;year&gt;2009&lt;/year&gt;&lt;/dates&gt;&lt;urls&gt;&lt;/urls&gt;&lt;/record&gt;&lt;/Cite&gt;&lt;/EndNote&gt;</w:instrText>
      </w:r>
      <w:r w:rsidRPr="00ED3DCF">
        <w:rPr>
          <w:rFonts w:ascii="Times New Roman" w:hAnsi="Times New Roman" w:cs="Times New Roman"/>
          <w:color w:val="000000" w:themeColor="text1"/>
        </w:rPr>
        <w:fldChar w:fldCharType="separate"/>
      </w:r>
      <w:r w:rsidRPr="00ED3DCF">
        <w:rPr>
          <w:rFonts w:ascii="Times New Roman" w:hAnsi="Times New Roman" w:cs="Times New Roman"/>
          <w:noProof/>
          <w:color w:val="000000" w:themeColor="text1"/>
        </w:rPr>
        <w:t>.</w:t>
      </w:r>
      <w:r w:rsidRPr="00ED3DCF">
        <w:rPr>
          <w:rFonts w:ascii="Times New Roman" w:hAnsi="Times New Roman" w:cs="Times New Roman"/>
          <w:color w:val="000000" w:themeColor="text1"/>
        </w:rPr>
        <w:fldChar w:fldCharType="end"/>
      </w:r>
      <w:r w:rsidRPr="00ED3DCF">
        <w:rPr>
          <w:rFonts w:ascii="Times New Roman" w:hAnsi="Times New Roman" w:cs="Times New Roman"/>
          <w:color w:val="000000" w:themeColor="text1"/>
        </w:rPr>
        <w:t xml:space="preserve"> </w:t>
      </w:r>
    </w:p>
  </w:footnote>
  <w:footnote w:id="36">
    <w:p w14:paraId="6AEF168F" w14:textId="569E9B86" w:rsidR="00687D78" w:rsidRPr="00ED3DCF" w:rsidRDefault="00687D78" w:rsidP="0022032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Claudia Aradau and Jef Huysmans, ‘Critical methods in International Relations: The Politics of Techniques, Devices and Acts’, </w:t>
      </w:r>
      <w:r w:rsidRPr="00ED3DCF">
        <w:rPr>
          <w:rFonts w:ascii="Times New Roman" w:hAnsi="Times New Roman" w:cs="Times New Roman"/>
          <w:i/>
          <w:iCs/>
          <w:color w:val="000000" w:themeColor="text1"/>
        </w:rPr>
        <w:t>EJIR</w:t>
      </w:r>
      <w:r w:rsidRPr="00ED3DCF">
        <w:rPr>
          <w:rFonts w:ascii="Times New Roman" w:hAnsi="Times New Roman" w:cs="Times New Roman"/>
          <w:color w:val="000000" w:themeColor="text1"/>
        </w:rPr>
        <w:t> 20, no. 3 (2014): 603.</w:t>
      </w:r>
    </w:p>
  </w:footnote>
  <w:footnote w:id="37">
    <w:p w14:paraId="71416927" w14:textId="02A170D8" w:rsidR="00687D78" w:rsidRPr="00ED3DCF" w:rsidRDefault="00687D78" w:rsidP="00220328">
      <w:pPr>
        <w:pStyle w:val="FootnoteText"/>
        <w:rPr>
          <w:rFonts w:ascii="Times New Roman" w:hAnsi="Times New Roman" w:cs="Times New Roman"/>
          <w:i/>
          <w:iCs/>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i/>
          <w:iCs/>
          <w:color w:val="000000" w:themeColor="text1"/>
        </w:rPr>
        <w:t>Ibid.</w:t>
      </w:r>
      <w:r w:rsidR="005A7364" w:rsidRPr="00ED3DCF">
        <w:rPr>
          <w:rFonts w:ascii="Times New Roman" w:hAnsi="Times New Roman" w:cs="Times New Roman"/>
          <w:i/>
          <w:iCs/>
          <w:color w:val="000000" w:themeColor="text1"/>
        </w:rPr>
        <w:t>,</w:t>
      </w:r>
      <w:r w:rsidR="005A7364" w:rsidRPr="00ED3DCF">
        <w:rPr>
          <w:rFonts w:ascii="Times New Roman" w:hAnsi="Times New Roman" w:cs="Times New Roman"/>
          <w:color w:val="000000" w:themeColor="text1"/>
        </w:rPr>
        <w:t xml:space="preserve"> </w:t>
      </w:r>
      <w:r w:rsidRPr="00ED3DCF">
        <w:rPr>
          <w:rFonts w:ascii="Times New Roman" w:hAnsi="Times New Roman" w:cs="Times New Roman"/>
          <w:color w:val="000000" w:themeColor="text1"/>
        </w:rPr>
        <w:t>596-608.</w:t>
      </w:r>
    </w:p>
  </w:footnote>
  <w:footnote w:id="38">
    <w:p w14:paraId="756BEB16" w14:textId="77777777" w:rsidR="00687D78" w:rsidRPr="00ED3DCF" w:rsidRDefault="00687D78" w:rsidP="0022032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i/>
          <w:iCs/>
          <w:color w:val="000000" w:themeColor="text1"/>
        </w:rPr>
        <w:t>Ibid</w:t>
      </w:r>
      <w:r w:rsidRPr="00ED3DCF">
        <w:rPr>
          <w:rFonts w:ascii="Times New Roman" w:hAnsi="Times New Roman" w:cs="Times New Roman"/>
          <w:color w:val="000000" w:themeColor="text1"/>
        </w:rPr>
        <w:t>.</w:t>
      </w:r>
    </w:p>
  </w:footnote>
  <w:footnote w:id="39">
    <w:p w14:paraId="482696D0" w14:textId="77777777" w:rsidR="00687D78" w:rsidRPr="00ED3DCF" w:rsidRDefault="00687D78" w:rsidP="0022032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Joanna Tidy, ‘War Craft: The Embodied Politics of Making War’, </w:t>
      </w:r>
      <w:r w:rsidRPr="00ED3DCF">
        <w:rPr>
          <w:rFonts w:ascii="Times New Roman" w:hAnsi="Times New Roman" w:cs="Times New Roman"/>
          <w:i/>
          <w:iCs/>
          <w:color w:val="000000" w:themeColor="text1"/>
        </w:rPr>
        <w:t>Security Dialogue</w:t>
      </w:r>
      <w:r w:rsidRPr="00ED3DCF">
        <w:rPr>
          <w:rFonts w:ascii="Times New Roman" w:hAnsi="Times New Roman" w:cs="Times New Roman"/>
          <w:color w:val="000000" w:themeColor="text1"/>
        </w:rPr>
        <w:t> 50, no. 3 (2019): 220-38.</w:t>
      </w:r>
    </w:p>
  </w:footnote>
  <w:footnote w:id="40">
    <w:p w14:paraId="7E4382F0" w14:textId="2EAD445F" w:rsidR="00687D78" w:rsidRPr="00ED3DCF" w:rsidRDefault="00687D78" w:rsidP="00992A58">
      <w:pPr>
        <w:pStyle w:val="FootnoteText"/>
        <w:rPr>
          <w:rFonts w:ascii="Times New Roman" w:hAnsi="Times New Roman" w:cs="Times New Roman"/>
          <w:i/>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Joanna Tidy and Joe Turner, ‘The Intimate International Relations of Museums: A Method’, </w:t>
      </w:r>
      <w:r w:rsidRPr="00ED3DCF">
        <w:rPr>
          <w:rFonts w:ascii="Times New Roman" w:hAnsi="Times New Roman" w:cs="Times New Roman"/>
          <w:i/>
          <w:color w:val="000000" w:themeColor="text1"/>
        </w:rPr>
        <w:t>Millennium</w:t>
      </w:r>
      <w:r w:rsidRPr="00ED3DCF">
        <w:rPr>
          <w:rFonts w:ascii="Times New Roman" w:hAnsi="Times New Roman" w:cs="Times New Roman"/>
          <w:color w:val="000000" w:themeColor="text1"/>
        </w:rPr>
        <w:t xml:space="preserve"> </w:t>
      </w:r>
      <w:r w:rsidRPr="00ED3DCF">
        <w:rPr>
          <w:rFonts w:ascii="Times New Roman" w:hAnsi="Times New Roman" w:cs="Times New Roman"/>
          <w:i/>
          <w:color w:val="000000" w:themeColor="text1"/>
        </w:rPr>
        <w:t>online first</w:t>
      </w:r>
      <w:r w:rsidRPr="00ED3DCF">
        <w:rPr>
          <w:rFonts w:ascii="Times New Roman" w:hAnsi="Times New Roman" w:cs="Times New Roman"/>
          <w:color w:val="000000" w:themeColor="text1"/>
        </w:rPr>
        <w:t xml:space="preserve"> (December 2019): 1-26; Julia Welland, ‘Violence and the Contemporary Soldiering Body’, </w:t>
      </w:r>
      <w:r w:rsidRPr="00ED3DCF">
        <w:rPr>
          <w:rFonts w:ascii="Times New Roman" w:hAnsi="Times New Roman" w:cs="Times New Roman"/>
          <w:i/>
          <w:color w:val="000000" w:themeColor="text1"/>
        </w:rPr>
        <w:t>Security Dialogue</w:t>
      </w:r>
      <w:r w:rsidRPr="00ED3DCF">
        <w:rPr>
          <w:rFonts w:ascii="Times New Roman" w:hAnsi="Times New Roman" w:cs="Times New Roman"/>
          <w:color w:val="000000" w:themeColor="text1"/>
        </w:rPr>
        <w:t xml:space="preserve"> 48, no. 6 (2017): 524-40; Christine Sylvester, </w:t>
      </w:r>
      <w:r w:rsidRPr="00ED3DCF">
        <w:rPr>
          <w:rFonts w:ascii="Times New Roman" w:hAnsi="Times New Roman" w:cs="Times New Roman"/>
          <w:i/>
          <w:color w:val="000000" w:themeColor="text1"/>
        </w:rPr>
        <w:t>Art/Museums: International Relations Where we Least Expect it</w:t>
      </w:r>
      <w:r w:rsidRPr="00ED3DCF">
        <w:rPr>
          <w:rFonts w:ascii="Times New Roman" w:hAnsi="Times New Roman" w:cs="Times New Roman"/>
          <w:color w:val="000000" w:themeColor="text1"/>
        </w:rPr>
        <w:t xml:space="preserve"> (London: Paradigm, 2009).</w:t>
      </w:r>
    </w:p>
  </w:footnote>
  <w:footnote w:id="41">
    <w:p w14:paraId="398F6199" w14:textId="7CB22523" w:rsidR="00687D78" w:rsidRPr="00ED3DCF" w:rsidRDefault="00687D78" w:rsidP="00B125A3">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i/>
          <w:color w:val="000000" w:themeColor="text1"/>
        </w:rPr>
        <w:t>Supra note 1</w:t>
      </w:r>
      <w:r w:rsidR="005A7364" w:rsidRPr="00ED3DCF">
        <w:rPr>
          <w:rFonts w:ascii="Times New Roman" w:hAnsi="Times New Roman" w:cs="Times New Roman"/>
          <w:i/>
          <w:color w:val="000000" w:themeColor="text1"/>
        </w:rPr>
        <w:t>4</w:t>
      </w:r>
      <w:r w:rsidR="00937DC3" w:rsidRPr="00ED3DCF">
        <w:rPr>
          <w:rFonts w:ascii="Times New Roman" w:hAnsi="Times New Roman" w:cs="Times New Roman"/>
          <w:color w:val="000000" w:themeColor="text1"/>
        </w:rPr>
        <w:t xml:space="preserve">; Thomas Richards, </w:t>
      </w:r>
      <w:r w:rsidR="00937DC3" w:rsidRPr="00ED3DCF">
        <w:rPr>
          <w:rFonts w:ascii="Times New Roman" w:hAnsi="Times New Roman" w:cs="Times New Roman"/>
          <w:i/>
          <w:color w:val="000000" w:themeColor="text1"/>
        </w:rPr>
        <w:t>The Imperial Archive: Knowledge and the Fantasy of Empire</w:t>
      </w:r>
      <w:r w:rsidR="00937DC3" w:rsidRPr="00ED3DCF">
        <w:rPr>
          <w:rFonts w:ascii="Times New Roman" w:hAnsi="Times New Roman" w:cs="Times New Roman"/>
          <w:color w:val="000000" w:themeColor="text1"/>
        </w:rPr>
        <w:t xml:space="preserve"> (London: Verso, 1993); Trouillot, </w:t>
      </w:r>
      <w:r w:rsidR="00937DC3" w:rsidRPr="00ED3DCF">
        <w:rPr>
          <w:rFonts w:ascii="Times New Roman" w:hAnsi="Times New Roman" w:cs="Times New Roman"/>
          <w:i/>
          <w:color w:val="000000" w:themeColor="text1"/>
        </w:rPr>
        <w:t>Power</w:t>
      </w:r>
      <w:r w:rsidR="00937DC3" w:rsidRPr="00ED3DCF">
        <w:rPr>
          <w:rFonts w:ascii="Times New Roman" w:hAnsi="Times New Roman" w:cs="Times New Roman"/>
          <w:color w:val="000000" w:themeColor="text1"/>
        </w:rPr>
        <w:t>; Arondekar, ‘Without a Trace’.</w:t>
      </w:r>
    </w:p>
  </w:footnote>
  <w:footnote w:id="42">
    <w:p w14:paraId="26AAE935" w14:textId="2AE7514F" w:rsidR="00687D78" w:rsidRPr="00ED3DCF" w:rsidRDefault="00687D78">
      <w:pPr>
        <w:pStyle w:val="FootnoteText"/>
        <w:rPr>
          <w:rFonts w:ascii="Times New Roman" w:hAnsi="Times New Roman" w:cs="Times New Roman"/>
          <w:i/>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Zahir Kolia, ‘Archiving Trauma’</w:t>
      </w:r>
      <w:r w:rsidRPr="00ED3DCF">
        <w:rPr>
          <w:rFonts w:ascii="Times New Roman" w:hAnsi="Times New Roman" w:cs="Times New Roman"/>
          <w:i/>
          <w:color w:val="000000" w:themeColor="text1"/>
        </w:rPr>
        <w:t>.</w:t>
      </w:r>
    </w:p>
  </w:footnote>
  <w:footnote w:id="43">
    <w:p w14:paraId="6C89A68C" w14:textId="77777777" w:rsidR="00687D78" w:rsidRPr="00ED3DCF" w:rsidRDefault="00687D78" w:rsidP="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Vivienne Jabri, ‘Peacebuilding, the Local and the International: a Colonial or a Postcolonial Rationality?’, </w:t>
      </w:r>
      <w:r w:rsidRPr="00ED3DCF">
        <w:rPr>
          <w:rFonts w:ascii="Times New Roman" w:hAnsi="Times New Roman" w:cs="Times New Roman"/>
          <w:i/>
          <w:color w:val="000000" w:themeColor="text1"/>
        </w:rPr>
        <w:t>Peacebuilding</w:t>
      </w:r>
      <w:r w:rsidRPr="00ED3DCF">
        <w:rPr>
          <w:rFonts w:ascii="Times New Roman" w:hAnsi="Times New Roman" w:cs="Times New Roman"/>
          <w:color w:val="000000" w:themeColor="text1"/>
        </w:rPr>
        <w:t xml:space="preserve"> 1, no. 1 (2013): 3-4. </w:t>
      </w:r>
    </w:p>
  </w:footnote>
  <w:footnote w:id="44">
    <w:p w14:paraId="6CDD83D6" w14:textId="52E5A967" w:rsidR="00E452AA" w:rsidRPr="00ED3DCF" w:rsidRDefault="00E452AA" w:rsidP="00E452AA">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i/>
          <w:color w:val="000000" w:themeColor="text1"/>
        </w:rPr>
        <w:t>Ibid</w:t>
      </w:r>
      <w:r w:rsidRPr="00ED3DCF">
        <w:rPr>
          <w:rFonts w:ascii="Times New Roman" w:hAnsi="Times New Roman" w:cs="Times New Roman"/>
          <w:color w:val="000000" w:themeColor="text1"/>
        </w:rPr>
        <w:t>., 6-8</w:t>
      </w:r>
      <w:r w:rsidR="005C6637" w:rsidRPr="00ED3DCF">
        <w:rPr>
          <w:rFonts w:ascii="Times New Roman" w:hAnsi="Times New Roman" w:cs="Times New Roman"/>
          <w:color w:val="000000" w:themeColor="text1"/>
        </w:rPr>
        <w:t xml:space="preserve"> and 13</w:t>
      </w:r>
      <w:r w:rsidRPr="00ED3DCF">
        <w:rPr>
          <w:rFonts w:ascii="Times New Roman" w:hAnsi="Times New Roman" w:cs="Times New Roman"/>
          <w:color w:val="000000" w:themeColor="text1"/>
        </w:rPr>
        <w:t xml:space="preserve">.  </w:t>
      </w:r>
      <w:r w:rsidR="005C6637" w:rsidRPr="00ED3DCF">
        <w:rPr>
          <w:rFonts w:ascii="Times New Roman" w:hAnsi="Times New Roman" w:cs="Times New Roman"/>
          <w:color w:val="000000" w:themeColor="text1"/>
        </w:rPr>
        <w:t>This logic was</w:t>
      </w:r>
      <w:r w:rsidRPr="00ED3DCF">
        <w:rPr>
          <w:rFonts w:ascii="Times New Roman" w:hAnsi="Times New Roman" w:cs="Times New Roman"/>
          <w:color w:val="000000" w:themeColor="text1"/>
        </w:rPr>
        <w:t xml:space="preserve"> not new to the post-Cold War world, but </w:t>
      </w:r>
      <w:r w:rsidR="005C6637" w:rsidRPr="00ED3DCF">
        <w:rPr>
          <w:rFonts w:ascii="Times New Roman" w:hAnsi="Times New Roman" w:cs="Times New Roman"/>
          <w:color w:val="000000" w:themeColor="text1"/>
        </w:rPr>
        <w:t xml:space="preserve">underpinned </w:t>
      </w:r>
      <w:r w:rsidRPr="00ED3DCF">
        <w:rPr>
          <w:rFonts w:ascii="Times New Roman" w:hAnsi="Times New Roman" w:cs="Times New Roman"/>
          <w:color w:val="000000" w:themeColor="text1"/>
        </w:rPr>
        <w:t>colonial</w:t>
      </w:r>
      <w:r w:rsidR="005C6637" w:rsidRPr="00ED3DCF">
        <w:rPr>
          <w:rFonts w:ascii="Times New Roman" w:hAnsi="Times New Roman" w:cs="Times New Roman"/>
          <w:color w:val="000000" w:themeColor="text1"/>
        </w:rPr>
        <w:t xml:space="preserve"> expansion </w:t>
      </w:r>
      <w:r w:rsidRPr="00ED3DCF">
        <w:rPr>
          <w:rFonts w:ascii="Times New Roman" w:hAnsi="Times New Roman" w:cs="Times New Roman"/>
          <w:color w:val="000000" w:themeColor="text1"/>
        </w:rPr>
        <w:t xml:space="preserve">too. Jessica Whyte, ‘Always on Top’? The ‘Responsibility to Protect’ and the Persistence of Colonialism’, in </w:t>
      </w:r>
      <w:r w:rsidRPr="00ED3DCF">
        <w:rPr>
          <w:rFonts w:ascii="Times New Roman" w:hAnsi="Times New Roman" w:cs="Times New Roman"/>
          <w:i/>
          <w:color w:val="000000" w:themeColor="text1"/>
        </w:rPr>
        <w:t>The Postcolonial World</w:t>
      </w:r>
      <w:r w:rsidRPr="00ED3DCF">
        <w:rPr>
          <w:rFonts w:ascii="Times New Roman" w:hAnsi="Times New Roman" w:cs="Times New Roman"/>
          <w:color w:val="000000" w:themeColor="text1"/>
        </w:rPr>
        <w:t>, Jyotsna Singh and David Kim (eds) (London: Routledge,  2016): 308-24.</w:t>
      </w:r>
    </w:p>
  </w:footnote>
  <w:footnote w:id="45">
    <w:p w14:paraId="53AC6520" w14:textId="07270C4F"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Vasko, ‘“</w:t>
      </w:r>
      <w:r w:rsidRPr="00ED3DCF">
        <w:rPr>
          <w:rFonts w:ascii="Times New Roman" w:hAnsi="Times New Roman" w:cs="Times New Roman"/>
          <w:bCs/>
          <w:color w:val="000000" w:themeColor="text1"/>
        </w:rPr>
        <w:t xml:space="preserve">Let’s Decolonize!”’, </w:t>
      </w:r>
      <w:r w:rsidRPr="00ED3DCF">
        <w:rPr>
          <w:rFonts w:ascii="Times New Roman" w:hAnsi="Times New Roman" w:cs="Times New Roman"/>
          <w:color w:val="000000" w:themeColor="text1"/>
        </w:rPr>
        <w:t>191-2.</w:t>
      </w:r>
    </w:p>
  </w:footnote>
  <w:footnote w:id="46">
    <w:p w14:paraId="2EFE193A" w14:textId="41237F9B" w:rsidR="00687D78" w:rsidRPr="00ED3DCF" w:rsidRDefault="00687D78" w:rsidP="00232EE0">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Tom Adami, ‘Judicial Record Management/Archiving’, </w:t>
      </w:r>
      <w:r w:rsidRPr="00ED3DCF">
        <w:rPr>
          <w:rFonts w:ascii="Times New Roman" w:hAnsi="Times New Roman" w:cs="Times New Roman"/>
          <w:i/>
          <w:color w:val="000000" w:themeColor="text1"/>
        </w:rPr>
        <w:t>ICTR Legacy Symposium – 20 Years of Challenging Impunity</w:t>
      </w:r>
      <w:r w:rsidRPr="00ED3DCF">
        <w:rPr>
          <w:rFonts w:ascii="Times New Roman" w:hAnsi="Times New Roman" w:cs="Times New Roman"/>
          <w:color w:val="000000" w:themeColor="text1"/>
        </w:rPr>
        <w:t>, 06/11/2014.</w:t>
      </w:r>
    </w:p>
  </w:footnote>
  <w:footnote w:id="47">
    <w:p w14:paraId="2728610B" w14:textId="1F551FCC"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Tom Adami and Martha Hunt, ‘Genocidal Archives: The African Context’, </w:t>
      </w:r>
      <w:r w:rsidRPr="00ED3DCF">
        <w:rPr>
          <w:rFonts w:ascii="Times New Roman" w:hAnsi="Times New Roman" w:cs="Times New Roman"/>
          <w:i/>
          <w:color w:val="000000" w:themeColor="text1"/>
        </w:rPr>
        <w:t>Journal of the Society of Archivists</w:t>
      </w:r>
      <w:r w:rsidRPr="00ED3DCF">
        <w:rPr>
          <w:rFonts w:ascii="Times New Roman" w:hAnsi="Times New Roman" w:cs="Times New Roman"/>
          <w:color w:val="000000" w:themeColor="text1"/>
        </w:rPr>
        <w:t xml:space="preserve"> 26, no. 1 (2005): 177. For similar logic at the ICTY see Eric Ketlaar, ‘Truths, Memories and Histories in the Archives of the International Criminal Tribunal for the Former Yugoslavia’, </w:t>
      </w:r>
      <w:r w:rsidRPr="00ED3DCF">
        <w:rPr>
          <w:rFonts w:ascii="Times New Roman" w:hAnsi="Times New Roman" w:cs="Times New Roman"/>
          <w:i/>
          <w:color w:val="000000" w:themeColor="text1"/>
        </w:rPr>
        <w:t>Genocide Convention: The Legacy of 60 Years</w:t>
      </w:r>
      <w:r w:rsidRPr="00ED3DCF">
        <w:rPr>
          <w:rFonts w:ascii="Times New Roman" w:hAnsi="Times New Roman" w:cs="Times New Roman"/>
          <w:iCs/>
          <w:color w:val="000000" w:themeColor="text1"/>
        </w:rPr>
        <w:t xml:space="preserve">, eds. </w:t>
      </w:r>
      <w:r w:rsidRPr="00ED3DCF">
        <w:rPr>
          <w:rFonts w:ascii="Times New Roman" w:hAnsi="Times New Roman" w:cs="Times New Roman"/>
          <w:color w:val="000000" w:themeColor="text1"/>
        </w:rPr>
        <w:t xml:space="preserve">Hugo Van der Wilt </w:t>
      </w:r>
      <w:r w:rsidRPr="00ED3DCF">
        <w:rPr>
          <w:rFonts w:ascii="Times New Roman" w:hAnsi="Times New Roman" w:cs="Times New Roman"/>
          <w:i/>
          <w:color w:val="000000" w:themeColor="text1"/>
        </w:rPr>
        <w:t>et al</w:t>
      </w:r>
      <w:r w:rsidRPr="00ED3DCF">
        <w:rPr>
          <w:rFonts w:ascii="Times New Roman" w:hAnsi="Times New Roman" w:cs="Times New Roman"/>
          <w:color w:val="000000" w:themeColor="text1"/>
        </w:rPr>
        <w:t xml:space="preserve"> (Leiden: Brill, 2012), 201-2. </w:t>
      </w:r>
    </w:p>
  </w:footnote>
  <w:footnote w:id="48">
    <w:p w14:paraId="0D9607BE" w14:textId="6DAB6203"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S/RES/955.</w:t>
      </w:r>
    </w:p>
  </w:footnote>
  <w:footnote w:id="49">
    <w:p w14:paraId="1A4FCEBD" w14:textId="52FA5FCC" w:rsidR="00687D78" w:rsidRPr="00ED3DCF" w:rsidRDefault="00687D78" w:rsidP="005F16A8">
      <w:pPr>
        <w:pStyle w:val="FootnoteText"/>
        <w:rPr>
          <w:rFonts w:ascii="Times New Roman" w:hAnsi="Times New Roman" w:cs="Times New Roman"/>
          <w:noProof/>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UNSC, S/PV.3453, </w:t>
      </w:r>
      <w:r w:rsidRPr="00ED3DCF">
        <w:rPr>
          <w:rFonts w:ascii="Times New Roman" w:hAnsi="Times New Roman" w:cs="Times New Roman"/>
          <w:i/>
          <w:color w:val="000000" w:themeColor="text1"/>
        </w:rPr>
        <w:t>3453rd Meeting</w:t>
      </w:r>
      <w:r w:rsidRPr="00ED3DCF">
        <w:rPr>
          <w:rFonts w:ascii="Times New Roman" w:hAnsi="Times New Roman" w:cs="Times New Roman"/>
          <w:color w:val="000000" w:themeColor="text1"/>
        </w:rPr>
        <w:t xml:space="preserve">, 08/11/1994, 7–8; </w:t>
      </w:r>
      <w:r w:rsidRPr="00ED3DCF">
        <w:rPr>
          <w:rFonts w:ascii="Times New Roman" w:hAnsi="Times New Roman" w:cs="Times New Roman"/>
          <w:color w:val="000000" w:themeColor="text1"/>
        </w:rPr>
        <w:fldChar w:fldCharType="begin"/>
      </w:r>
      <w:r w:rsidRPr="00ED3DCF">
        <w:rPr>
          <w:rFonts w:ascii="Times New Roman" w:hAnsi="Times New Roman" w:cs="Times New Roman"/>
          <w:color w:val="000000" w:themeColor="text1"/>
        </w:rPr>
        <w:instrText xml:space="preserve"> ADDIN EN.CITE &lt;EndNote&gt;&lt;Cite&gt;&lt;Author&gt;Goldstone&lt;/Author&gt;&lt;Year&gt;1995&lt;/Year&gt;&lt;RecNum&gt;269&lt;/RecNum&gt;&lt;Pages&gt;485-504&lt;/Pages&gt;&lt;DisplayText&gt;Richard Goldstone, &amp;quot;Justice as a Tool for Peace–Making: Truth Commissions and International Criminal Tribunals,&amp;quot; &lt;style face="italic"&gt;Journal of International Law and Politics&lt;/style&gt; 28 (1995): 485-504.&lt;/DisplayText&gt;&lt;record&gt;&lt;rec-number&gt;269&lt;/rec-number&gt;&lt;foreign-keys&gt;&lt;key app="EN" db-id="0rewstxe3sdfepeps9f5xrt55srrdw2s5r9x" timestamp="1539280234"&gt;269&lt;/key&gt;&lt;/foreign-keys&gt;&lt;ref-type name="Journal Article"&gt;17&lt;/ref-type&gt;&lt;contributors&gt;&lt;authors&gt;&lt;author&gt;Goldstone, Richard&lt;/author&gt;&lt;/authors&gt;&lt;/contributors&gt;&lt;titles&gt;&lt;title&gt;Justice as a Tool for Peace–making: Truth Commissions and International Criminal Tribunals&lt;/title&gt;&lt;secondary-title&gt;Journal of International Law and Politics&lt;/secondary-title&gt;&lt;short-title&gt;Justice as a Tool for Peace–making&lt;/short-title&gt;&lt;/titles&gt;&lt;periodical&gt;&lt;full-title&gt;Journal of International Law and Politics&lt;/full-title&gt;&lt;/periodical&gt;&lt;pages&gt;485-504&lt;/pages&gt;&lt;volume&gt;28&lt;/volume&gt;&lt;keywords&gt;&lt;keyword&gt;ICJ&lt;/keyword&gt;&lt;keyword&gt;Peace Building&lt;/keyword&gt;&lt;keyword&gt;Politics&lt;/keyword&gt;&lt;/keywords&gt;&lt;dates&gt;&lt;year&gt;1995&lt;/year&gt;&lt;/dates&gt;&lt;urls&gt;&lt;/urls&gt;&lt;/record&gt;&lt;/Cite&gt;&lt;/EndNote&gt;</w:instrText>
      </w:r>
      <w:r w:rsidRPr="00ED3DCF">
        <w:rPr>
          <w:rFonts w:ascii="Times New Roman" w:hAnsi="Times New Roman" w:cs="Times New Roman"/>
          <w:color w:val="000000" w:themeColor="text1"/>
        </w:rPr>
        <w:fldChar w:fldCharType="separate"/>
      </w:r>
      <w:r w:rsidRPr="00ED3DCF">
        <w:rPr>
          <w:rFonts w:ascii="Times New Roman" w:hAnsi="Times New Roman" w:cs="Times New Roman"/>
          <w:noProof/>
          <w:color w:val="000000" w:themeColor="text1"/>
        </w:rPr>
        <w:t xml:space="preserve">Richard Goldstone, ‘Justice as a Tool for Peace–Making: Truth Commissions and International Criminal Tribunals’, </w:t>
      </w:r>
      <w:r w:rsidRPr="00ED3DCF">
        <w:rPr>
          <w:rFonts w:ascii="Times New Roman" w:hAnsi="Times New Roman" w:cs="Times New Roman"/>
          <w:i/>
          <w:noProof/>
          <w:color w:val="000000" w:themeColor="text1"/>
        </w:rPr>
        <w:t>Journal of International Law and Politics</w:t>
      </w:r>
      <w:r w:rsidRPr="00ED3DCF">
        <w:rPr>
          <w:rFonts w:ascii="Times New Roman" w:hAnsi="Times New Roman" w:cs="Times New Roman"/>
          <w:noProof/>
          <w:color w:val="000000" w:themeColor="text1"/>
        </w:rPr>
        <w:t xml:space="preserve"> 28 (1995): 485-504.</w:t>
      </w:r>
      <w:r w:rsidRPr="00ED3DCF">
        <w:rPr>
          <w:rFonts w:ascii="Times New Roman" w:hAnsi="Times New Roman" w:cs="Times New Roman"/>
          <w:color w:val="000000" w:themeColor="text1"/>
        </w:rPr>
        <w:fldChar w:fldCharType="end"/>
      </w:r>
      <w:r w:rsidRPr="00ED3DCF">
        <w:rPr>
          <w:rFonts w:ascii="Times New Roman" w:hAnsi="Times New Roman" w:cs="Times New Roman"/>
          <w:color w:val="000000" w:themeColor="text1"/>
        </w:rPr>
        <w:t xml:space="preserve"> The archive mirrors the drive of other post-conflict archives, such as the South African Truth and Reconciliation Commission (SATRC), where individual memories were mobilised in pursuit of the reconstitution of the state. Kolia, ‘Archiving Trauma’, 148.</w:t>
      </w:r>
    </w:p>
  </w:footnote>
  <w:footnote w:id="50">
    <w:p w14:paraId="7802389D" w14:textId="0A3C3D5A"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At the ICC, then, non-signatories to the Rome Statute are nonetheless able to be referred to the court for investigation and punishment.</w:t>
      </w:r>
    </w:p>
  </w:footnote>
  <w:footnote w:id="51">
    <w:p w14:paraId="2F11D9EB" w14:textId="1413F57B"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Mahmood Mamdani, ‘Responsibility to Protect or Right to Punish?’, </w:t>
      </w:r>
      <w:r w:rsidRPr="00ED3DCF">
        <w:rPr>
          <w:rFonts w:ascii="Times New Roman" w:hAnsi="Times New Roman" w:cs="Times New Roman"/>
          <w:i/>
          <w:color w:val="000000" w:themeColor="text1"/>
        </w:rPr>
        <w:t>Journal of Intervention and Statebuilding</w:t>
      </w:r>
      <w:r w:rsidRPr="00ED3DCF">
        <w:rPr>
          <w:rFonts w:ascii="Times New Roman" w:hAnsi="Times New Roman" w:cs="Times New Roman"/>
          <w:color w:val="000000" w:themeColor="text1"/>
        </w:rPr>
        <w:t xml:space="preserve"> </w:t>
      </w:r>
      <w:r w:rsidRPr="00ED3DCF">
        <w:rPr>
          <w:rFonts w:ascii="Times New Roman" w:hAnsi="Times New Roman" w:cs="Times New Roman"/>
          <w:i/>
          <w:color w:val="000000" w:themeColor="text1"/>
        </w:rPr>
        <w:t>4</w:t>
      </w:r>
      <w:r w:rsidRPr="00ED3DCF">
        <w:rPr>
          <w:rFonts w:ascii="Times New Roman" w:hAnsi="Times New Roman" w:cs="Times New Roman"/>
          <w:color w:val="000000" w:themeColor="text1"/>
        </w:rPr>
        <w:t>, no.1 (2010): 62-3</w:t>
      </w:r>
    </w:p>
  </w:footnote>
  <w:footnote w:id="52">
    <w:p w14:paraId="7FD21B4E" w14:textId="74C8E87F" w:rsidR="00687D78" w:rsidRPr="00ED3DCF" w:rsidRDefault="00687D78" w:rsidP="00666399">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The exceptions here would be the International Criminal Tribunal for the Former Yugoslavia, the Extraordinary Chambers in the Courts of Cambodia, Special Panels of the Dili District Court, and the Special Tribunal for Lebanon. </w:t>
      </w:r>
    </w:p>
  </w:footnote>
  <w:footnote w:id="53">
    <w:p w14:paraId="4F8B1EE7" w14:textId="753E7874"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00ED3DCF">
        <w:rPr>
          <w:rFonts w:ascii="Times New Roman" w:hAnsi="Times New Roman" w:cs="Times New Roman"/>
          <w:color w:val="000000" w:themeColor="text1"/>
        </w:rPr>
        <w:t xml:space="preserve"> </w:t>
      </w:r>
      <w:r w:rsidR="00AF5396" w:rsidRPr="00ED3DCF">
        <w:rPr>
          <w:rFonts w:ascii="Times New Roman" w:hAnsi="Times New Roman" w:cs="Times New Roman"/>
          <w:color w:val="000000" w:themeColor="text1"/>
        </w:rPr>
        <w:t>Whyte, ‘Always on Top’, 316-17.</w:t>
      </w:r>
    </w:p>
  </w:footnote>
  <w:footnote w:id="54">
    <w:p w14:paraId="19D15E87" w14:textId="256EDE53"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00AF5396" w:rsidRPr="00ED3DCF">
        <w:rPr>
          <w:rFonts w:ascii="Times New Roman" w:hAnsi="Times New Roman" w:cs="Times New Roman"/>
          <w:color w:val="000000" w:themeColor="text1"/>
        </w:rPr>
        <w:t>Jabri, ‘Peacebuilding’, 6-7</w:t>
      </w:r>
      <w:r w:rsidR="005C6637" w:rsidRPr="00ED3DCF">
        <w:rPr>
          <w:rFonts w:ascii="Times New Roman" w:hAnsi="Times New Roman" w:cs="Times New Roman"/>
          <w:color w:val="000000" w:themeColor="text1"/>
        </w:rPr>
        <w:t xml:space="preserve"> and 14</w:t>
      </w:r>
      <w:r w:rsidR="00ED3DCF">
        <w:rPr>
          <w:rFonts w:ascii="Times New Roman" w:hAnsi="Times New Roman" w:cs="Times New Roman"/>
          <w:color w:val="000000" w:themeColor="text1"/>
        </w:rPr>
        <w:t>;</w:t>
      </w:r>
      <w:r w:rsidR="00AF5396" w:rsidRPr="00ED3DCF">
        <w:rPr>
          <w:rFonts w:ascii="Times New Roman" w:hAnsi="Times New Roman" w:cs="Times New Roman"/>
          <w:color w:val="000000" w:themeColor="text1"/>
        </w:rPr>
        <w:t xml:space="preserve"> </w:t>
      </w:r>
      <w:r w:rsidRPr="00ED3DCF">
        <w:rPr>
          <w:rFonts w:ascii="Times New Roman" w:hAnsi="Times New Roman" w:cs="Times New Roman"/>
          <w:color w:val="000000" w:themeColor="text1"/>
        </w:rPr>
        <w:t xml:space="preserve">Clarke, ‘Affective Justice’, 244-57. The article also responds to Jabri’s observation that ‘the relationship between peacebuilding as a distinct response to conflict and the structure of the international is overwhelmingly under-theorised, so that the literature is largely descriptive and even normative in relation to preferences for particular practices.’ </w:t>
      </w:r>
    </w:p>
  </w:footnote>
  <w:footnote w:id="55">
    <w:p w14:paraId="0887FBBA" w14:textId="3F1C9F6F"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Jabri, ‘Peacebuilding’, 11-15. Indeed, in relation to the ICTR, it is important to note that those working at the court came from across the globe, and, especially over time, there was a strong presence of African legal practitioners. As Spivak demonstrates, however, the subaltern also played an important role in reproducing colonial logics, perhaps especially when they took up positions of authority within the colonial apparatus. Spivak, ‘Can the Subaltern Speak?’, 90-110. </w:t>
      </w:r>
    </w:p>
  </w:footnote>
  <w:footnote w:id="56">
    <w:p w14:paraId="4E2D49C8" w14:textId="5DB48F5A"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Even explicitly ‘hybrid courts’, such as the Special Court for Sierra Leone, saw this imbalance of power as these courts continued to ignore the norms, customs and epistemologies of the community affected by the violence. </w:t>
      </w:r>
      <w:r w:rsidRPr="00ED3DCF">
        <w:rPr>
          <w:rFonts w:ascii="Times New Roman" w:hAnsi="Times New Roman" w:cs="Times New Roman"/>
          <w:color w:val="000000" w:themeColor="text1"/>
        </w:rPr>
        <w:fldChar w:fldCharType="begin"/>
      </w:r>
      <w:r w:rsidRPr="00ED3DCF">
        <w:rPr>
          <w:rFonts w:ascii="Times New Roman" w:hAnsi="Times New Roman" w:cs="Times New Roman"/>
          <w:color w:val="000000" w:themeColor="text1"/>
        </w:rPr>
        <w:instrText xml:space="preserve"> ADDIN EN.CITE &lt;EndNote&gt;&lt;Cite&gt;&lt;Author&gt;Kelsall&lt;/Author&gt;&lt;Year&gt;2010&lt;/Year&gt;&lt;RecNum&gt;312&lt;/RecNum&gt;&lt;Pages&gt;9&lt;/Pages&gt;&lt;DisplayText&gt;Tim Kelsall, &lt;style face="italic"&gt;Culture under Cross-Examination: International Justice and the Special Court for Sierra Leone&lt;/style&gt; (Cambridge: Cambridge University Press, 2010), 9.&lt;/DisplayText&gt;&lt;record&gt;&lt;rec-number&gt;312&lt;/rec-number&gt;&lt;foreign-keys&gt;&lt;key app="EN" db-id="0rewstxe3sdfepeps9f5xrt55srrdw2s5r9x" timestamp="1545137852"&gt;312&lt;/key&gt;&lt;/foreign-keys&gt;&lt;ref-type name="Book"&gt;6&lt;/ref-type&gt;&lt;contributors&gt;&lt;authors&gt;&lt;author&gt;Kelsall, Tim&lt;/author&gt;&lt;/authors&gt;&lt;/contributors&gt;&lt;titles&gt;&lt;title&gt;Culture under Cross-Examination: International Justice and the Special Court for Sierra Leone&lt;/title&gt;&lt;short-title&gt;Culture under Cross-Examination&lt;/short-title&gt;&lt;/titles&gt;&lt;keywords&gt;&lt;keyword&gt;Law&lt;/keyword&gt;&lt;keyword&gt;International Criminal Justice&lt;/keyword&gt;&lt;keyword&gt;Sierra Leone&lt;/keyword&gt;&lt;keyword&gt;Transitional Justice&lt;/keyword&gt;&lt;keyword&gt;Culture&lt;/keyword&gt;&lt;/keywords&gt;&lt;dates&gt;&lt;year&gt;2010&lt;/year&gt;&lt;/dates&gt;&lt;pub-location&gt;Cambridge&lt;/pub-location&gt;&lt;publisher&gt;Cambridge University Press&lt;/publisher&gt;&lt;urls&gt;&lt;/urls&gt;&lt;/record&gt;&lt;/Cite&gt;&lt;/EndNote&gt;</w:instrText>
      </w:r>
      <w:r w:rsidRPr="00ED3DCF">
        <w:rPr>
          <w:rFonts w:ascii="Times New Roman" w:hAnsi="Times New Roman" w:cs="Times New Roman"/>
          <w:color w:val="000000" w:themeColor="text1"/>
        </w:rPr>
        <w:fldChar w:fldCharType="separate"/>
      </w:r>
      <w:r w:rsidRPr="00ED3DCF">
        <w:rPr>
          <w:rFonts w:ascii="Times New Roman" w:hAnsi="Times New Roman" w:cs="Times New Roman"/>
          <w:noProof/>
          <w:color w:val="000000" w:themeColor="text1"/>
        </w:rPr>
        <w:t xml:space="preserve">Tim Kelsall, </w:t>
      </w:r>
      <w:r w:rsidRPr="00ED3DCF">
        <w:rPr>
          <w:rFonts w:ascii="Times New Roman" w:hAnsi="Times New Roman" w:cs="Times New Roman"/>
          <w:i/>
          <w:noProof/>
          <w:color w:val="000000" w:themeColor="text1"/>
        </w:rPr>
        <w:t>Culture under Cross-Examination: International Justice and the Special Court for Sierra Leone</w:t>
      </w:r>
      <w:r w:rsidRPr="00ED3DCF">
        <w:rPr>
          <w:rFonts w:ascii="Times New Roman" w:hAnsi="Times New Roman" w:cs="Times New Roman"/>
          <w:noProof/>
          <w:color w:val="000000" w:themeColor="text1"/>
        </w:rPr>
        <w:t xml:space="preserve"> (Cambridge: Cambridge University Press, 2010)</w:t>
      </w:r>
      <w:r w:rsidR="00ED3DCF">
        <w:rPr>
          <w:rFonts w:ascii="Times New Roman" w:hAnsi="Times New Roman" w:cs="Times New Roman"/>
          <w:noProof/>
          <w:color w:val="000000" w:themeColor="text1"/>
        </w:rPr>
        <w:t>.</w:t>
      </w:r>
      <w:r w:rsidRPr="00ED3DCF">
        <w:rPr>
          <w:rFonts w:ascii="Times New Roman" w:hAnsi="Times New Roman" w:cs="Times New Roman"/>
          <w:color w:val="000000" w:themeColor="text1"/>
        </w:rPr>
        <w:fldChar w:fldCharType="end"/>
      </w:r>
    </w:p>
  </w:footnote>
  <w:footnote w:id="57">
    <w:p w14:paraId="7DFACD01" w14:textId="66D81199"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Adami and Hunt, ‘Genocidal Archives’, 105-221; Tom Adami, ‘“Who Will Be Left to Tell the Tale?” Recordkeeping and International Criminal Jurisprudence’, </w:t>
      </w:r>
      <w:r w:rsidRPr="00ED3DCF">
        <w:rPr>
          <w:rFonts w:ascii="Times New Roman" w:hAnsi="Times New Roman" w:cs="Times New Roman"/>
          <w:i/>
          <w:color w:val="000000" w:themeColor="text1"/>
        </w:rPr>
        <w:t>Archival Science</w:t>
      </w:r>
      <w:r w:rsidRPr="00ED3DCF">
        <w:rPr>
          <w:rFonts w:ascii="Times New Roman" w:hAnsi="Times New Roman" w:cs="Times New Roman"/>
          <w:color w:val="000000" w:themeColor="text1"/>
        </w:rPr>
        <w:t xml:space="preserve"> 7 (2007): 213-21.</w:t>
      </w:r>
    </w:p>
  </w:footnote>
  <w:footnote w:id="58">
    <w:p w14:paraId="34BE81DD" w14:textId="7DA908EE"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Ketlaar, ‘Truths, Memories and Histories’, 220-1.</w:t>
      </w:r>
    </w:p>
  </w:footnote>
  <w:footnote w:id="59">
    <w:p w14:paraId="5ABAD895" w14:textId="50335518"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Kirsten Campbell, ‘The Laws of Memory: The ICTY, Archive, and Transitional Justice’, </w:t>
      </w:r>
      <w:r w:rsidRPr="00ED3DCF">
        <w:rPr>
          <w:rFonts w:ascii="Times New Roman" w:hAnsi="Times New Roman" w:cs="Times New Roman"/>
          <w:i/>
          <w:color w:val="000000" w:themeColor="text1"/>
        </w:rPr>
        <w:t xml:space="preserve">Social and Legal Studies </w:t>
      </w:r>
      <w:r w:rsidRPr="00ED3DCF">
        <w:rPr>
          <w:rFonts w:ascii="Times New Roman" w:hAnsi="Times New Roman" w:cs="Times New Roman"/>
          <w:color w:val="000000" w:themeColor="text1"/>
        </w:rPr>
        <w:t>22, no. 2 (2013): 251-3.</w:t>
      </w:r>
    </w:p>
  </w:footnote>
  <w:footnote w:id="60">
    <w:p w14:paraId="2450BE00" w14:textId="6F85AAA7" w:rsidR="00687D78" w:rsidRPr="00ED3DCF" w:rsidRDefault="00687D78" w:rsidP="004032B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i/>
          <w:color w:val="000000" w:themeColor="text1"/>
        </w:rPr>
        <w:t>Supra note 1</w:t>
      </w:r>
      <w:r w:rsidR="00ED3DCF">
        <w:rPr>
          <w:rFonts w:ascii="Times New Roman" w:hAnsi="Times New Roman" w:cs="Times New Roman"/>
          <w:i/>
          <w:color w:val="000000" w:themeColor="text1"/>
        </w:rPr>
        <w:t>4</w:t>
      </w:r>
      <w:r w:rsidRPr="00ED3DCF">
        <w:rPr>
          <w:rFonts w:ascii="Times New Roman" w:hAnsi="Times New Roman" w:cs="Times New Roman"/>
          <w:color w:val="000000" w:themeColor="text1"/>
        </w:rPr>
        <w:t>, 1.</w:t>
      </w:r>
    </w:p>
  </w:footnote>
  <w:footnote w:id="61">
    <w:p w14:paraId="70B2D8B1" w14:textId="42EE3B7D" w:rsidR="00687D78" w:rsidRPr="00ED3DCF" w:rsidRDefault="00687D78" w:rsidP="00B9752D">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See also</w:t>
      </w:r>
      <w:r w:rsidR="00ED3DCF">
        <w:rPr>
          <w:rFonts w:ascii="Times New Roman" w:hAnsi="Times New Roman" w:cs="Times New Roman"/>
          <w:color w:val="000000" w:themeColor="text1"/>
        </w:rPr>
        <w:t xml:space="preserve"> </w:t>
      </w:r>
      <w:r w:rsidRPr="00ED3DCF">
        <w:rPr>
          <w:rFonts w:ascii="Times New Roman" w:hAnsi="Times New Roman" w:cs="Times New Roman"/>
          <w:color w:val="000000" w:themeColor="text1"/>
        </w:rPr>
        <w:t xml:space="preserve">Kolia, ‘Archiving Trauma’, 148-57. </w:t>
      </w:r>
    </w:p>
  </w:footnote>
  <w:footnote w:id="62">
    <w:p w14:paraId="485634A9" w14:textId="70AE517A" w:rsidR="00687D78" w:rsidRPr="00ED3DCF" w:rsidRDefault="00687D78" w:rsidP="004032B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color w:val="000000" w:themeColor="text1"/>
        </w:rPr>
        <w:fldChar w:fldCharType="begin"/>
      </w:r>
      <w:r w:rsidRPr="00ED3DCF">
        <w:rPr>
          <w:rFonts w:ascii="Times New Roman" w:hAnsi="Times New Roman" w:cs="Times New Roman"/>
          <w:color w:val="000000" w:themeColor="text1"/>
        </w:rPr>
        <w:instrText xml:space="preserve"> ADDIN EN.CITE &lt;EndNote&gt;&lt;Cite&gt;&lt;Author&gt;Huysmans&lt;/Author&gt;&lt;Year&gt;2016&lt;/Year&gt;&lt;RecNum&gt;272&lt;/RecNum&gt;&lt;Pages&gt;303-304&lt;/Pages&gt;&lt;DisplayText&gt;Huysmans and Nogueira, &amp;quot;Fracturing Ir,&amp;quot; 303-04.&lt;/DisplayText&gt;&lt;record&gt;&lt;rec-number&gt;272&lt;/rec-number&gt;&lt;foreign-keys&gt;&lt;key app="EN" db-id="0rewstxe3sdfepeps9f5xrt55srrdw2s5r9x" timestamp="1540469369"&gt;272&lt;/key&gt;&lt;/foreign-keys&gt;&lt;ref-type name="Journal Article"&gt;17&lt;/ref-type&gt;&lt;contributors&gt;&lt;authors&gt;&lt;author&gt;Huysmans, Jef&lt;/author&gt;&lt;author&gt;Nogueira, Joala Pontes&lt;/author&gt;&lt;/authors&gt;&lt;/contributors&gt;&lt;titles&gt;&lt;title&gt;Ten Years of IPS: Fracturing IR&lt;/title&gt;&lt;secondary-title&gt;International Political Sociology&lt;/secondary-title&gt;&lt;short-title&gt;Fracturing IR&lt;/short-title&gt;&lt;/titles&gt;&lt;periodical&gt;&lt;full-title&gt;International Political Sociology&lt;/full-title&gt;&lt;/periodical&gt;&lt;pages&gt;299-319&lt;/pages&gt;&lt;volume&gt;10&lt;/volume&gt;&lt;keywords&gt;&lt;keyword&gt;IR&lt;/keyword&gt;&lt;keyword&gt;Theory&lt;/keyword&gt;&lt;keyword&gt;Post-structuralism&lt;/keyword&gt;&lt;/keywords&gt;&lt;dates&gt;&lt;year&gt;2016&lt;/year&gt;&lt;/dates&gt;&lt;urls&gt;&lt;/urls&gt;&lt;/record&gt;&lt;/Cite&gt;&lt;/EndNote&gt;</w:instrText>
      </w:r>
      <w:r w:rsidRPr="00ED3DCF">
        <w:rPr>
          <w:rFonts w:ascii="Times New Roman" w:hAnsi="Times New Roman" w:cs="Times New Roman"/>
          <w:color w:val="000000" w:themeColor="text1"/>
        </w:rPr>
        <w:fldChar w:fldCharType="separate"/>
      </w:r>
      <w:r w:rsidRPr="00ED3DCF">
        <w:rPr>
          <w:rFonts w:ascii="Times New Roman" w:hAnsi="Times New Roman" w:cs="Times New Roman"/>
          <w:noProof/>
          <w:color w:val="000000" w:themeColor="text1"/>
        </w:rPr>
        <w:t>Huysmans</w:t>
      </w:r>
      <w:r w:rsidR="00ED3DCF">
        <w:rPr>
          <w:rFonts w:ascii="Times New Roman" w:hAnsi="Times New Roman" w:cs="Times New Roman"/>
          <w:noProof/>
          <w:color w:val="000000" w:themeColor="text1"/>
        </w:rPr>
        <w:t xml:space="preserve"> </w:t>
      </w:r>
      <w:r w:rsidR="00ED3DCF" w:rsidRPr="00ED3DCF">
        <w:rPr>
          <w:rFonts w:ascii="Times New Roman" w:hAnsi="Times New Roman" w:cs="Times New Roman"/>
          <w:noProof/>
          <w:color w:val="000000" w:themeColor="text1"/>
        </w:rPr>
        <w:t xml:space="preserve">and </w:t>
      </w:r>
      <w:r w:rsidR="00ED3DCF" w:rsidRPr="00ED3DCF">
        <w:rPr>
          <w:rFonts w:ascii="Garamond" w:hAnsi="Garamond"/>
          <w:color w:val="000000" w:themeColor="text1"/>
        </w:rPr>
        <w:t>Nogueira</w:t>
      </w:r>
      <w:r w:rsidRPr="00ED3DCF">
        <w:rPr>
          <w:rFonts w:ascii="Times New Roman" w:hAnsi="Times New Roman" w:cs="Times New Roman"/>
          <w:noProof/>
          <w:color w:val="000000" w:themeColor="text1"/>
        </w:rPr>
        <w:t>, ‘Fracturing IR’, 303-4.</w:t>
      </w:r>
      <w:r w:rsidRPr="00ED3DCF">
        <w:rPr>
          <w:rFonts w:ascii="Times New Roman" w:hAnsi="Times New Roman" w:cs="Times New Roman"/>
          <w:color w:val="000000" w:themeColor="text1"/>
        </w:rPr>
        <w:fldChar w:fldCharType="end"/>
      </w:r>
    </w:p>
  </w:footnote>
  <w:footnote w:id="63">
    <w:p w14:paraId="6A13A7BA" w14:textId="7E7F880D" w:rsidR="00687D78" w:rsidRPr="00ED3DCF" w:rsidRDefault="00687D78" w:rsidP="00E35C64">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color w:val="000000" w:themeColor="text1"/>
        </w:rPr>
        <w:fldChar w:fldCharType="begin"/>
      </w:r>
      <w:r w:rsidRPr="00ED3DCF">
        <w:rPr>
          <w:rFonts w:ascii="Times New Roman" w:hAnsi="Times New Roman" w:cs="Times New Roman"/>
          <w:color w:val="000000" w:themeColor="text1"/>
        </w:rPr>
        <w:instrText xml:space="preserve"> ADDIN EN.CITE &lt;EndNote&gt;&lt;Cite&gt;&lt;Author&gt;Kelsall&lt;/Author&gt;&lt;Year&gt;2010&lt;/Year&gt;&lt;RecNum&gt;312&lt;/RecNum&gt;&lt;Pages&gt;9&lt;/Pages&gt;&lt;DisplayText&gt;Tim Kelsall, &lt;style face="italic"&gt;Culture under Cross-Examination: International Justice and the Special Court for Sierra Leone&lt;/style&gt; (Cambridge: Cambridge University Press, 2010), 9.&lt;/DisplayText&gt;&lt;record&gt;&lt;rec-number&gt;312&lt;/rec-number&gt;&lt;foreign-keys&gt;&lt;key app="EN" db-id="0rewstxe3sdfepeps9f5xrt55srrdw2s5r9x" timestamp="1545137852"&gt;312&lt;/key&gt;&lt;/foreign-keys&gt;&lt;ref-type name="Book"&gt;6&lt;/ref-type&gt;&lt;contributors&gt;&lt;authors&gt;&lt;author&gt;Kelsall, Tim&lt;/author&gt;&lt;/authors&gt;&lt;/contributors&gt;&lt;titles&gt;&lt;title&gt;Culture under Cross-Examination: International Justice and the Special Court for Sierra Leone&lt;/title&gt;&lt;short-title&gt;Culture under Cross-Examination&lt;/short-title&gt;&lt;/titles&gt;&lt;keywords&gt;&lt;keyword&gt;Law&lt;/keyword&gt;&lt;keyword&gt;International Criminal Justice&lt;/keyword&gt;&lt;keyword&gt;Sierra Leone&lt;/keyword&gt;&lt;keyword&gt;Transitional Justice&lt;/keyword&gt;&lt;keyword&gt;Culture&lt;/keyword&gt;&lt;/keywords&gt;&lt;dates&gt;&lt;year&gt;2010&lt;/year&gt;&lt;/dates&gt;&lt;pub-location&gt;Cambridge&lt;/pub-location&gt;&lt;publisher&gt;Cambridge University Press&lt;/publisher&gt;&lt;urls&gt;&lt;/urls&gt;&lt;/record&gt;&lt;/Cite&gt;&lt;/EndNote&gt;</w:instrText>
      </w:r>
      <w:r w:rsidRPr="00ED3DCF">
        <w:rPr>
          <w:rFonts w:ascii="Times New Roman" w:hAnsi="Times New Roman" w:cs="Times New Roman"/>
          <w:color w:val="000000" w:themeColor="text1"/>
        </w:rPr>
        <w:fldChar w:fldCharType="separate"/>
      </w:r>
      <w:r w:rsidRPr="00ED3DCF">
        <w:rPr>
          <w:rFonts w:ascii="Times New Roman" w:hAnsi="Times New Roman" w:cs="Times New Roman"/>
          <w:noProof/>
          <w:color w:val="000000" w:themeColor="text1"/>
        </w:rPr>
        <w:t xml:space="preserve">Kelsall, </w:t>
      </w:r>
      <w:r w:rsidRPr="00ED3DCF">
        <w:rPr>
          <w:rFonts w:ascii="Times New Roman" w:hAnsi="Times New Roman" w:cs="Times New Roman"/>
          <w:i/>
          <w:noProof/>
          <w:color w:val="000000" w:themeColor="text1"/>
        </w:rPr>
        <w:t>Culture under Cross-Examination,</w:t>
      </w:r>
      <w:r w:rsidRPr="00ED3DCF">
        <w:rPr>
          <w:rFonts w:ascii="Times New Roman" w:hAnsi="Times New Roman" w:cs="Times New Roman"/>
          <w:noProof/>
          <w:color w:val="000000" w:themeColor="text1"/>
        </w:rPr>
        <w:t xml:space="preserve"> 9.</w:t>
      </w:r>
      <w:r w:rsidRPr="00ED3DCF">
        <w:rPr>
          <w:rFonts w:ascii="Times New Roman" w:hAnsi="Times New Roman" w:cs="Times New Roman"/>
          <w:color w:val="000000" w:themeColor="text1"/>
        </w:rPr>
        <w:fldChar w:fldCharType="end"/>
      </w:r>
    </w:p>
  </w:footnote>
  <w:footnote w:id="64">
    <w:p w14:paraId="6D0E6A60" w14:textId="5F2967DB"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color w:val="000000" w:themeColor="text1"/>
        </w:rPr>
        <w:fldChar w:fldCharType="begin"/>
      </w:r>
      <w:r w:rsidRPr="00ED3DCF">
        <w:rPr>
          <w:rFonts w:ascii="Times New Roman" w:hAnsi="Times New Roman" w:cs="Times New Roman"/>
          <w:color w:val="000000" w:themeColor="text1"/>
        </w:rPr>
        <w:instrText xml:space="preserve"> ADDIN EN.CITE &lt;EndNote&gt;&lt;Cite&gt;&lt;Author&gt;Goldstone&lt;/Author&gt;&lt;Year&gt;1995&lt;/Year&gt;&lt;RecNum&gt;220&lt;/RecNum&gt;&lt;Pages&gt;485-504&lt;/Pages&gt;&lt;DisplayText&gt;Richard Goldstone, &amp;quot;Justice as a Tool for Peace–Making: Truth Commissions and International Criminal Tribunals,&amp;quot; &lt;style face="italic"&gt;Journal of International Law and Politics &lt;/style&gt;28 (1995): 485-504.&lt;/DisplayText&gt;&lt;record&gt;&lt;rec-number&gt;220&lt;/rec-number&gt;&lt;foreign-keys&gt;&lt;key app="EN" db-id="v5weesr5wvrpf4e5dwyx22d1fpesvs2exsvd" timestamp="0"&gt;220&lt;/key&gt;&lt;/foreign-keys&gt;&lt;ref-type name="Journal Article"&gt;17&lt;/ref-type&gt;&lt;contributors&gt;&lt;authors&gt;&lt;author&gt;Goldstone, Richard&lt;/author&gt;&lt;/authors&gt;&lt;/contributors&gt;&lt;titles&gt;&lt;title&gt;Justice as a Tool for Peace–making: Truth Commissions and International Criminal Tribunals&lt;/title&gt;&lt;secondary-title&gt;Journal of International Law and Politics &lt;/secondary-title&gt;&lt;/titles&gt;&lt;pages&gt;485-504&lt;/pages&gt;&lt;volume&gt;28&lt;/volume&gt;&lt;keywords&gt;&lt;keyword&gt;ICTR&lt;/keyword&gt;&lt;keyword&gt;ICJ&lt;/keyword&gt;&lt;keyword&gt;Truth Commissions&lt;/keyword&gt;&lt;keyword&gt;Transitional Justice&lt;/keyword&gt;&lt;/keywords&gt;&lt;dates&gt;&lt;year&gt;1995&lt;/year&gt;&lt;/dates&gt;&lt;urls&gt;&lt;/urls&gt;&lt;/record&gt;&lt;/Cite&gt;&lt;/EndNote&gt;</w:instrText>
      </w:r>
      <w:r w:rsidRPr="00ED3DCF">
        <w:rPr>
          <w:rFonts w:ascii="Times New Roman" w:hAnsi="Times New Roman" w:cs="Times New Roman"/>
          <w:color w:val="000000" w:themeColor="text1"/>
        </w:rPr>
        <w:fldChar w:fldCharType="separate"/>
      </w:r>
      <w:r w:rsidRPr="00ED3DCF">
        <w:rPr>
          <w:rFonts w:ascii="Times New Roman" w:hAnsi="Times New Roman" w:cs="Times New Roman"/>
          <w:color w:val="000000" w:themeColor="text1"/>
        </w:rPr>
        <w:t>Goldstone, 'Justice as a Tool for Peace–Making', 485-504.</w:t>
      </w:r>
      <w:r w:rsidRPr="00ED3DCF">
        <w:rPr>
          <w:rFonts w:ascii="Times New Roman" w:hAnsi="Times New Roman" w:cs="Times New Roman"/>
          <w:color w:val="000000" w:themeColor="text1"/>
        </w:rPr>
        <w:fldChar w:fldCharType="end"/>
      </w:r>
      <w:r w:rsidRPr="00ED3DCF">
        <w:rPr>
          <w:rFonts w:ascii="Times New Roman" w:hAnsi="Times New Roman" w:cs="Times New Roman"/>
          <w:color w:val="000000" w:themeColor="text1"/>
        </w:rPr>
        <w:t xml:space="preserve"> Madeleine Albright, US Permanent Representative to the UN in 1994, declared that the tribunal would ‘establish the historical record before the guilty can reinvent the truth.’ ‘Judgement Day’, </w:t>
      </w:r>
      <w:r w:rsidRPr="00ED3DCF">
        <w:rPr>
          <w:rFonts w:ascii="Times New Roman" w:hAnsi="Times New Roman" w:cs="Times New Roman"/>
          <w:i/>
          <w:color w:val="000000" w:themeColor="text1"/>
        </w:rPr>
        <w:t>Washington Post</w:t>
      </w:r>
      <w:r w:rsidRPr="00ED3DCF">
        <w:rPr>
          <w:rFonts w:ascii="Times New Roman" w:hAnsi="Times New Roman" w:cs="Times New Roman"/>
          <w:color w:val="000000" w:themeColor="text1"/>
        </w:rPr>
        <w:t>, 11/10/1998.</w:t>
      </w:r>
    </w:p>
  </w:footnote>
  <w:footnote w:id="65">
    <w:p w14:paraId="5C5FD81D" w14:textId="7FBDBF5C"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As Quijano argues, this mode of knowledge production is central to what she describes as the coloniality of power. Quijano, ‘Coloniality and Modernity/Rationality’, 172-176.</w:t>
      </w:r>
    </w:p>
  </w:footnote>
  <w:footnote w:id="66">
    <w:p w14:paraId="70232AE3" w14:textId="77777777" w:rsidR="00687D78" w:rsidRPr="00ED3DCF" w:rsidRDefault="00687D78" w:rsidP="003D03A8">
      <w:pPr>
        <w:pStyle w:val="FootnoteText"/>
        <w:rPr>
          <w:rFonts w:ascii="Times New Roman" w:hAnsi="Times New Roman" w:cs="Times New Roman"/>
          <w:color w:val="000000" w:themeColor="text1"/>
          <w:lang w:val="en-US"/>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S/PV.3453, 7–8. </w:t>
      </w:r>
    </w:p>
  </w:footnote>
  <w:footnote w:id="67">
    <w:p w14:paraId="25321276" w14:textId="30E1C992"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Kolia also critiques the focus on the individual in the context of the SATRC. </w:t>
      </w:r>
      <w:r w:rsidRPr="00ED3DCF">
        <w:rPr>
          <w:rFonts w:ascii="Times New Roman" w:hAnsi="Times New Roman" w:cs="Times New Roman"/>
          <w:i/>
          <w:color w:val="000000" w:themeColor="text1"/>
        </w:rPr>
        <w:t>Supra Note 4</w:t>
      </w:r>
      <w:r w:rsidR="00ED3DCF">
        <w:rPr>
          <w:rFonts w:ascii="Times New Roman" w:hAnsi="Times New Roman" w:cs="Times New Roman"/>
          <w:i/>
          <w:color w:val="000000" w:themeColor="text1"/>
        </w:rPr>
        <w:t>2</w:t>
      </w:r>
      <w:r w:rsidRPr="00ED3DCF">
        <w:rPr>
          <w:rFonts w:ascii="Times New Roman" w:hAnsi="Times New Roman" w:cs="Times New Roman"/>
          <w:i/>
          <w:color w:val="000000" w:themeColor="text1"/>
        </w:rPr>
        <w:t xml:space="preserve">., </w:t>
      </w:r>
      <w:r w:rsidRPr="00ED3DCF">
        <w:rPr>
          <w:rFonts w:ascii="Times New Roman" w:hAnsi="Times New Roman" w:cs="Times New Roman"/>
          <w:color w:val="000000" w:themeColor="text1"/>
        </w:rPr>
        <w:t>65.</w:t>
      </w:r>
    </w:p>
  </w:footnote>
  <w:footnote w:id="68">
    <w:p w14:paraId="19E8DCC6" w14:textId="35A8211C" w:rsidR="00687D78" w:rsidRPr="00ED3DCF" w:rsidRDefault="00687D78" w:rsidP="003D03A8">
      <w:pPr>
        <w:pStyle w:val="FootnoteText"/>
        <w:rPr>
          <w:rFonts w:ascii="Times New Roman" w:hAnsi="Times New Roman" w:cs="Times New Roman"/>
          <w:color w:val="000000" w:themeColor="text1"/>
          <w:lang w:val="en-US"/>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UNSC, S/PV.3400, </w:t>
      </w:r>
      <w:r w:rsidRPr="00ED3DCF">
        <w:rPr>
          <w:rFonts w:ascii="Times New Roman" w:hAnsi="Times New Roman" w:cs="Times New Roman"/>
          <w:i/>
          <w:color w:val="000000" w:themeColor="text1"/>
        </w:rPr>
        <w:t>3400</w:t>
      </w:r>
      <w:r w:rsidRPr="00ED3DCF">
        <w:rPr>
          <w:rFonts w:ascii="Times New Roman" w:hAnsi="Times New Roman" w:cs="Times New Roman"/>
          <w:i/>
          <w:color w:val="000000" w:themeColor="text1"/>
          <w:vertAlign w:val="superscript"/>
        </w:rPr>
        <w:t>th</w:t>
      </w:r>
      <w:r w:rsidRPr="00ED3DCF">
        <w:rPr>
          <w:rFonts w:ascii="Times New Roman" w:hAnsi="Times New Roman" w:cs="Times New Roman"/>
          <w:i/>
          <w:color w:val="000000" w:themeColor="text1"/>
        </w:rPr>
        <w:t xml:space="preserve"> Meeting</w:t>
      </w:r>
      <w:r w:rsidRPr="00ED3DCF">
        <w:rPr>
          <w:rFonts w:ascii="Times New Roman" w:hAnsi="Times New Roman" w:cs="Times New Roman"/>
          <w:color w:val="000000" w:themeColor="text1"/>
        </w:rPr>
        <w:t>, 01/07/1994, 4.</w:t>
      </w:r>
    </w:p>
  </w:footnote>
  <w:footnote w:id="69">
    <w:p w14:paraId="4DABE073" w14:textId="53154461" w:rsidR="00687D78" w:rsidRPr="00ED3DCF" w:rsidRDefault="00687D78" w:rsidP="00FD2396">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caps/>
          <w:color w:val="000000" w:themeColor="text1"/>
        </w:rPr>
        <w:t xml:space="preserve">ICTR–96–4, </w:t>
      </w:r>
      <w:r w:rsidRPr="00ED3DCF">
        <w:rPr>
          <w:rFonts w:ascii="Times New Roman" w:hAnsi="Times New Roman" w:cs="Times New Roman"/>
          <w:color w:val="000000" w:themeColor="text1"/>
        </w:rPr>
        <w:t xml:space="preserve">CONTRA001233, </w:t>
      </w:r>
      <w:r w:rsidRPr="00ED3DCF">
        <w:rPr>
          <w:rFonts w:ascii="Times New Roman" w:hAnsi="Times New Roman" w:cs="Times New Roman"/>
          <w:i/>
          <w:color w:val="000000" w:themeColor="text1"/>
        </w:rPr>
        <w:t>Akayesu – Transcript of 28/09/1998</w:t>
      </w:r>
      <w:r w:rsidRPr="00ED3DCF">
        <w:rPr>
          <w:rFonts w:ascii="Times New Roman" w:hAnsi="Times New Roman" w:cs="Times New Roman"/>
          <w:color w:val="000000" w:themeColor="text1"/>
        </w:rPr>
        <w:t xml:space="preserve"> – </w:t>
      </w:r>
      <w:r w:rsidRPr="00ED3DCF">
        <w:rPr>
          <w:rFonts w:ascii="Times New Roman" w:hAnsi="Times New Roman" w:cs="Times New Roman"/>
          <w:i/>
          <w:color w:val="000000" w:themeColor="text1"/>
        </w:rPr>
        <w:t>Sentencing Hearing</w:t>
      </w:r>
      <w:r w:rsidRPr="00ED3DCF">
        <w:rPr>
          <w:rFonts w:ascii="Times New Roman" w:hAnsi="Times New Roman" w:cs="Times New Roman"/>
          <w:color w:val="000000" w:themeColor="text1"/>
        </w:rPr>
        <w:t>,</w:t>
      </w:r>
      <w:r w:rsidRPr="00ED3DCF">
        <w:rPr>
          <w:rFonts w:ascii="Times New Roman" w:hAnsi="Times New Roman" w:cs="Times New Roman"/>
          <w:i/>
          <w:color w:val="000000" w:themeColor="text1"/>
        </w:rPr>
        <w:t xml:space="preserve"> </w:t>
      </w:r>
      <w:r w:rsidRPr="00ED3DCF">
        <w:rPr>
          <w:rFonts w:ascii="Times New Roman" w:hAnsi="Times New Roman" w:cs="Times New Roman"/>
          <w:color w:val="000000" w:themeColor="text1"/>
        </w:rPr>
        <w:t xml:space="preserve">28/09/1998, 15. ‘The other side of Akayesu is the side of him as an individual. ‘We see him and we saw him in court as an articulate man, an intelligent man, a good public speaker. He is also a politician. He knows how to view and weigh the political scene. He's able to make the right political decision, at least that's what he believes, until the decision he made on the 18th of April 1994.’ </w:t>
      </w:r>
      <w:r w:rsidRPr="00ED3DCF">
        <w:rPr>
          <w:rFonts w:ascii="Times New Roman" w:hAnsi="Times New Roman" w:cs="Times New Roman"/>
          <w:caps/>
          <w:color w:val="000000" w:themeColor="text1"/>
        </w:rPr>
        <w:t xml:space="preserve">ICTR–96–4, </w:t>
      </w:r>
      <w:r w:rsidRPr="00ED3DCF">
        <w:rPr>
          <w:rFonts w:ascii="Times New Roman" w:hAnsi="Times New Roman" w:cs="Times New Roman"/>
          <w:color w:val="000000" w:themeColor="text1"/>
        </w:rPr>
        <w:t xml:space="preserve">CONTRA001235, </w:t>
      </w:r>
      <w:r w:rsidRPr="00ED3DCF">
        <w:rPr>
          <w:rFonts w:ascii="Times New Roman" w:hAnsi="Times New Roman" w:cs="Times New Roman"/>
          <w:i/>
          <w:color w:val="000000" w:themeColor="text1"/>
        </w:rPr>
        <w:t>Akayesu – Transcript of 19/03/1998</w:t>
      </w:r>
      <w:r w:rsidRPr="00ED3DCF">
        <w:rPr>
          <w:rFonts w:ascii="Times New Roman" w:hAnsi="Times New Roman" w:cs="Times New Roman"/>
          <w:color w:val="000000" w:themeColor="text1"/>
        </w:rPr>
        <w:t xml:space="preserve">, 19/03/1998, 20 59 and 63; ICTR–99–46, TRA002053/1, </w:t>
      </w:r>
      <w:r w:rsidRPr="00ED3DCF">
        <w:rPr>
          <w:rFonts w:ascii="Times New Roman" w:hAnsi="Times New Roman" w:cs="Times New Roman"/>
          <w:i/>
          <w:color w:val="000000" w:themeColor="text1"/>
        </w:rPr>
        <w:t>[Cyangugu] – Ntagerura et al – Redacted Transcript of</w:t>
      </w:r>
      <w:r w:rsidRPr="00ED3DCF">
        <w:rPr>
          <w:rFonts w:ascii="Times New Roman" w:hAnsi="Times New Roman" w:cs="Times New Roman"/>
          <w:color w:val="000000" w:themeColor="text1"/>
        </w:rPr>
        <w:t xml:space="preserve"> 11/08/2003, 11/08/2003, 2; and ICTR–96–4–0003, 2–3.</w:t>
      </w:r>
    </w:p>
  </w:footnote>
  <w:footnote w:id="70">
    <w:p w14:paraId="173C2618" w14:textId="462D6CB2" w:rsidR="00687D78" w:rsidRPr="00ED3DCF" w:rsidRDefault="00687D78" w:rsidP="00C06235">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See </w:t>
      </w:r>
      <w:r w:rsidRPr="00ED3DCF">
        <w:rPr>
          <w:rFonts w:ascii="Times New Roman" w:hAnsi="Times New Roman" w:cs="Times New Roman"/>
          <w:i/>
          <w:color w:val="000000" w:themeColor="text1"/>
        </w:rPr>
        <w:t xml:space="preserve">Prosecutor v. Jean-Baptiste Gatete, </w:t>
      </w:r>
      <w:r w:rsidRPr="00ED3DCF">
        <w:rPr>
          <w:rFonts w:ascii="Times New Roman" w:hAnsi="Times New Roman" w:cs="Times New Roman"/>
          <w:color w:val="000000" w:themeColor="text1"/>
        </w:rPr>
        <w:t xml:space="preserve">Case no. ICTR–00–61 (hereafter ICTR–00–61), TRA001643/1, </w:t>
      </w:r>
      <w:r w:rsidRPr="00ED3DCF">
        <w:rPr>
          <w:rFonts w:ascii="Times New Roman" w:hAnsi="Times New Roman" w:cs="Times New Roman"/>
          <w:i/>
          <w:color w:val="000000" w:themeColor="text1"/>
        </w:rPr>
        <w:t>Gatete – Redacted Transcript of 20/10/2009</w:t>
      </w:r>
      <w:r w:rsidRPr="00ED3DCF">
        <w:rPr>
          <w:rFonts w:ascii="Times New Roman" w:hAnsi="Times New Roman" w:cs="Times New Roman"/>
          <w:color w:val="000000" w:themeColor="text1"/>
        </w:rPr>
        <w:t xml:space="preserve">, 20/10/2009, 2. The legal archive is perhaps an example </w:t>
      </w:r>
      <w:r w:rsidRPr="00ED3DCF">
        <w:rPr>
          <w:rFonts w:ascii="Times New Roman" w:hAnsi="Times New Roman" w:cs="Times New Roman"/>
          <w:i/>
          <w:color w:val="000000" w:themeColor="text1"/>
        </w:rPr>
        <w:t xml:space="preserve">par excellence </w:t>
      </w:r>
      <w:r w:rsidRPr="00ED3DCF">
        <w:rPr>
          <w:rFonts w:ascii="Times New Roman" w:hAnsi="Times New Roman" w:cs="Times New Roman"/>
          <w:color w:val="000000" w:themeColor="text1"/>
        </w:rPr>
        <w:t xml:space="preserve">of what Ní Shúilleabháin describes as a ‘Western European Modern’ mode of thinking. Ní Shúilleabháin, </w:t>
      </w:r>
      <w:r w:rsidRPr="00ED3DCF">
        <w:rPr>
          <w:rFonts w:ascii="Times New Roman" w:hAnsi="Times New Roman" w:cs="Times New Roman"/>
          <w:bCs/>
          <w:color w:val="000000" w:themeColor="text1"/>
        </w:rPr>
        <w:t>'Inviting Marianne to Dance’, 101-9.</w:t>
      </w:r>
    </w:p>
  </w:footnote>
  <w:footnote w:id="71">
    <w:p w14:paraId="555D5B4B" w14:textId="4F97B6E7" w:rsidR="00687D78" w:rsidRPr="00ED3DCF" w:rsidRDefault="00687D78" w:rsidP="00E35C64">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Allison Danner and Jenny Martinez, ‘Guilty Associations: Joint Criminal Enterprise, Command Responsibility, and the Development of International Criminal Law’, </w:t>
      </w:r>
      <w:r w:rsidRPr="00ED3DCF">
        <w:rPr>
          <w:rFonts w:ascii="Times New Roman" w:hAnsi="Times New Roman" w:cs="Times New Roman"/>
          <w:i/>
          <w:iCs/>
          <w:color w:val="000000" w:themeColor="text1"/>
        </w:rPr>
        <w:t>California Law Review</w:t>
      </w:r>
      <w:r w:rsidRPr="00ED3DCF">
        <w:rPr>
          <w:rFonts w:ascii="Times New Roman" w:hAnsi="Times New Roman" w:cs="Times New Roman"/>
          <w:color w:val="000000" w:themeColor="text1"/>
        </w:rPr>
        <w:t xml:space="preserve"> 93, no. 1 (2005): 124-30.</w:t>
      </w:r>
    </w:p>
  </w:footnote>
  <w:footnote w:id="72">
    <w:p w14:paraId="79842E8C" w14:textId="0698E89E" w:rsidR="00687D78" w:rsidRPr="00ED3DCF" w:rsidRDefault="00687D78" w:rsidP="00E35C64">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i/>
          <w:color w:val="000000" w:themeColor="text1"/>
        </w:rPr>
        <w:t>Ibid</w:t>
      </w:r>
      <w:r w:rsidRPr="00ED3DCF">
        <w:rPr>
          <w:rFonts w:ascii="Times New Roman" w:hAnsi="Times New Roman" w:cs="Times New Roman"/>
          <w:color w:val="000000" w:themeColor="text1"/>
        </w:rPr>
        <w:t xml:space="preserve">, 127; Beatrice Bonafé, ‘Finding a Proper Role for Command Responsibility’, </w:t>
      </w:r>
      <w:r w:rsidRPr="00ED3DCF">
        <w:rPr>
          <w:rFonts w:ascii="Times New Roman" w:hAnsi="Times New Roman" w:cs="Times New Roman"/>
          <w:i/>
          <w:iCs/>
          <w:color w:val="000000" w:themeColor="text1"/>
        </w:rPr>
        <w:t>Journal of International Criminal Justice</w:t>
      </w:r>
      <w:r w:rsidRPr="00ED3DCF">
        <w:rPr>
          <w:rFonts w:ascii="Times New Roman" w:hAnsi="Times New Roman" w:cs="Times New Roman"/>
          <w:color w:val="000000" w:themeColor="text1"/>
        </w:rPr>
        <w:t xml:space="preserve"> 5, no. 3 (2007): 606-7; Judge Harhoff, ‘Leaked Letter’, available at: </w:t>
      </w:r>
      <w:hyperlink r:id="rId2" w:history="1">
        <w:r w:rsidRPr="00ED3DCF">
          <w:rPr>
            <w:rStyle w:val="Hyperlink"/>
            <w:rFonts w:ascii="Times New Roman" w:hAnsi="Times New Roman" w:cs="Times New Roman"/>
            <w:color w:val="000000" w:themeColor="text1"/>
            <w:u w:val="none"/>
          </w:rPr>
          <w:t>http://www.bt.dk/sites/default/files–dk/node–files/511/6/6511917–letter–english.pdf</w:t>
        </w:r>
      </w:hyperlink>
      <w:r w:rsidRPr="00ED3DCF">
        <w:rPr>
          <w:rFonts w:ascii="Times New Roman" w:hAnsi="Times New Roman" w:cs="Times New Roman"/>
          <w:color w:val="000000" w:themeColor="text1"/>
        </w:rPr>
        <w:t>, last accessed: August 18, 2019.</w:t>
      </w:r>
    </w:p>
  </w:footnote>
  <w:footnote w:id="73">
    <w:p w14:paraId="5EFABD0C" w14:textId="5206BB9C" w:rsidR="00687D78" w:rsidRPr="00ED3DCF" w:rsidRDefault="00687D78" w:rsidP="00E35C64">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Harhoff, ‘Leaked Letter.’</w:t>
      </w:r>
    </w:p>
  </w:footnote>
  <w:footnote w:id="74">
    <w:p w14:paraId="54336FDE" w14:textId="48A4E4D9" w:rsidR="00687D78" w:rsidRPr="00ED3DCF" w:rsidRDefault="00687D78" w:rsidP="00E35C64">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i/>
          <w:iCs/>
          <w:color w:val="000000" w:themeColor="text1"/>
        </w:rPr>
        <w:t>Prosecutor v. Théoneste Bagosora, Gratien Kabiligi, Anatole Nsengiyumva and Aloys Ntabakuze</w:t>
      </w:r>
      <w:r w:rsidRPr="00ED3DCF">
        <w:rPr>
          <w:rFonts w:ascii="Times New Roman" w:hAnsi="Times New Roman" w:cs="Times New Roman"/>
          <w:color w:val="000000" w:themeColor="text1"/>
        </w:rPr>
        <w:t xml:space="preserve">, Case no. ICTR-98-41, </w:t>
      </w:r>
      <w:r w:rsidRPr="00ED3DCF">
        <w:rPr>
          <w:rFonts w:ascii="Times New Roman" w:hAnsi="Times New Roman" w:cs="Times New Roman"/>
          <w:i/>
          <w:color w:val="000000" w:themeColor="text1"/>
        </w:rPr>
        <w:t>Appeal Judgement</w:t>
      </w:r>
      <w:r w:rsidRPr="00ED3DCF">
        <w:rPr>
          <w:rFonts w:ascii="Times New Roman" w:hAnsi="Times New Roman" w:cs="Times New Roman"/>
          <w:color w:val="000000" w:themeColor="text1"/>
        </w:rPr>
        <w:t>, 14/12/2011.</w:t>
      </w:r>
    </w:p>
  </w:footnote>
  <w:footnote w:id="75">
    <w:p w14:paraId="545770D0" w14:textId="23FC50DD" w:rsidR="00687D78" w:rsidRPr="00ED3DCF" w:rsidRDefault="00687D78" w:rsidP="00E35C64">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For a more legally focused explanation of this change see Danner, and Martinez, ‘Guilty Associations’.</w:t>
      </w:r>
    </w:p>
  </w:footnote>
  <w:footnote w:id="76">
    <w:p w14:paraId="398FBB3F" w14:textId="7FFF62AB" w:rsidR="00687D78" w:rsidRPr="00ED3DCF" w:rsidRDefault="00687D78" w:rsidP="00E35C64">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Harhoff, ‘Leaked Letter.’</w:t>
      </w:r>
    </w:p>
  </w:footnote>
  <w:footnote w:id="77">
    <w:p w14:paraId="5A0F3800" w14:textId="0FD3500E" w:rsidR="00687D78" w:rsidRPr="00ED3DCF" w:rsidRDefault="00687D78" w:rsidP="00E35C64">
      <w:pPr>
        <w:spacing w:after="0" w:line="240" w:lineRule="auto"/>
        <w:rPr>
          <w:rFonts w:ascii="Times New Roman" w:hAnsi="Times New Roman" w:cs="Times New Roman"/>
          <w:i/>
          <w:color w:val="000000" w:themeColor="text1"/>
          <w:sz w:val="20"/>
          <w:szCs w:val="20"/>
        </w:rPr>
      </w:pPr>
      <w:r w:rsidRPr="00ED3DCF">
        <w:rPr>
          <w:rStyle w:val="FootnoteReference"/>
          <w:rFonts w:ascii="Times New Roman" w:hAnsi="Times New Roman" w:cs="Times New Roman"/>
          <w:color w:val="000000" w:themeColor="text1"/>
          <w:sz w:val="20"/>
          <w:szCs w:val="20"/>
        </w:rPr>
        <w:footnoteRef/>
      </w:r>
      <w:r w:rsidRPr="00ED3DCF">
        <w:rPr>
          <w:rFonts w:ascii="Times New Roman" w:hAnsi="Times New Roman" w:cs="Times New Roman"/>
          <w:color w:val="000000" w:themeColor="text1"/>
          <w:sz w:val="20"/>
          <w:szCs w:val="20"/>
        </w:rPr>
        <w:t xml:space="preserve"> Interview with Senior ICTR Appeals Attorney 2 (Arusha, Tanzania: 2015); Danner, and Martinez, ‘Guilty Associations’, 96–102 and 189.</w:t>
      </w:r>
    </w:p>
  </w:footnote>
  <w:footnote w:id="78">
    <w:p w14:paraId="14E44938" w14:textId="0588E7C2" w:rsidR="00687D78" w:rsidRPr="00ED3DCF" w:rsidRDefault="00687D78" w:rsidP="00E35C64">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Theodor Meron, ‘The Humanization of Humanitarian Law’, </w:t>
      </w:r>
      <w:r w:rsidRPr="00ED3DCF">
        <w:rPr>
          <w:rFonts w:ascii="Times New Roman" w:hAnsi="Times New Roman" w:cs="Times New Roman"/>
          <w:i/>
          <w:iCs/>
          <w:color w:val="000000" w:themeColor="text1"/>
        </w:rPr>
        <w:t>American Journal of International Law</w:t>
      </w:r>
      <w:r w:rsidRPr="00ED3DCF">
        <w:rPr>
          <w:rFonts w:ascii="Times New Roman" w:hAnsi="Times New Roman" w:cs="Times New Roman"/>
          <w:iCs/>
          <w:color w:val="000000" w:themeColor="text1"/>
        </w:rPr>
        <w:t xml:space="preserve"> 94, no. 2</w:t>
      </w:r>
      <w:r w:rsidRPr="00ED3DCF">
        <w:rPr>
          <w:rFonts w:ascii="Times New Roman" w:hAnsi="Times New Roman" w:cs="Times New Roman"/>
          <w:color w:val="000000" w:themeColor="text1"/>
        </w:rPr>
        <w:t> (2000): 243.</w:t>
      </w:r>
    </w:p>
  </w:footnote>
  <w:footnote w:id="79">
    <w:p w14:paraId="32C8EC10" w14:textId="1538D126" w:rsidR="00687D78" w:rsidRPr="00ED3DCF" w:rsidRDefault="00687D78" w:rsidP="00E35C64">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Elizabeth Dauphinee, ‘War Crimes and the Ruin of Law’, </w:t>
      </w:r>
      <w:r w:rsidRPr="00ED3DCF">
        <w:rPr>
          <w:rFonts w:ascii="Times New Roman" w:hAnsi="Times New Roman" w:cs="Times New Roman"/>
          <w:i/>
          <w:iCs/>
          <w:color w:val="000000" w:themeColor="text1"/>
        </w:rPr>
        <w:t>Millennium</w:t>
      </w:r>
      <w:r w:rsidRPr="00ED3DCF">
        <w:rPr>
          <w:rFonts w:ascii="Times New Roman" w:hAnsi="Times New Roman" w:cs="Times New Roman"/>
          <w:color w:val="000000" w:themeColor="text1"/>
        </w:rPr>
        <w:t xml:space="preserve"> 37, no. 1 (2008): 52; Mamdani, ‘Responsibility to Protect’, 60-64.</w:t>
      </w:r>
    </w:p>
  </w:footnote>
  <w:footnote w:id="80">
    <w:p w14:paraId="7CFB87DB" w14:textId="393F025B" w:rsidR="00687D78" w:rsidRPr="00ED3DCF" w:rsidRDefault="00687D78" w:rsidP="00E35C64">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See also Mel McNulty, </w:t>
      </w:r>
      <w:r w:rsidRPr="00ED3DCF">
        <w:rPr>
          <w:rFonts w:ascii="Times New Roman" w:hAnsi="Times New Roman" w:cs="Times New Roman"/>
          <w:bCs/>
          <w:color w:val="000000" w:themeColor="text1"/>
        </w:rPr>
        <w:t>‘French Arms, War and Genocide in Rwanda’, </w:t>
      </w:r>
      <w:r w:rsidRPr="00ED3DCF">
        <w:rPr>
          <w:rFonts w:ascii="Times New Roman" w:hAnsi="Times New Roman" w:cs="Times New Roman"/>
          <w:bCs/>
          <w:i/>
          <w:iCs/>
          <w:color w:val="000000" w:themeColor="text1"/>
        </w:rPr>
        <w:t>Crime, Law and Social Change</w:t>
      </w:r>
      <w:r w:rsidRPr="00ED3DCF">
        <w:rPr>
          <w:rFonts w:ascii="Times New Roman" w:hAnsi="Times New Roman" w:cs="Times New Roman"/>
          <w:bCs/>
          <w:color w:val="000000" w:themeColor="text1"/>
        </w:rPr>
        <w:t xml:space="preserve"> 33, no. 1-2 (2000): </w:t>
      </w:r>
      <w:r w:rsidRPr="00ED3DCF">
        <w:rPr>
          <w:rFonts w:ascii="Times New Roman" w:hAnsi="Times New Roman" w:cs="Times New Roman"/>
          <w:color w:val="000000" w:themeColor="text1"/>
        </w:rPr>
        <w:t xml:space="preserve">104, 112-8; Nelson Alusala, </w:t>
      </w:r>
      <w:r w:rsidRPr="00ED3DCF">
        <w:rPr>
          <w:rFonts w:ascii="Times New Roman" w:hAnsi="Times New Roman" w:cs="Times New Roman"/>
          <w:bCs/>
          <w:color w:val="000000" w:themeColor="text1"/>
        </w:rPr>
        <w:t>‘The Arming of Rwanda, and the Genocide’, </w:t>
      </w:r>
      <w:r w:rsidRPr="00ED3DCF">
        <w:rPr>
          <w:rFonts w:ascii="Times New Roman" w:hAnsi="Times New Roman" w:cs="Times New Roman"/>
          <w:bCs/>
          <w:i/>
          <w:iCs/>
          <w:color w:val="000000" w:themeColor="text1"/>
        </w:rPr>
        <w:t>African Security Studies</w:t>
      </w:r>
      <w:r w:rsidRPr="00ED3DCF">
        <w:rPr>
          <w:rFonts w:ascii="Times New Roman" w:hAnsi="Times New Roman" w:cs="Times New Roman"/>
          <w:bCs/>
          <w:color w:val="000000" w:themeColor="text1"/>
        </w:rPr>
        <w:t> 13, no. 2 (2004):</w:t>
      </w:r>
      <w:r w:rsidRPr="00ED3DCF">
        <w:rPr>
          <w:rFonts w:ascii="Times New Roman" w:hAnsi="Times New Roman" w:cs="Times New Roman"/>
          <w:color w:val="000000" w:themeColor="text1"/>
        </w:rPr>
        <w:t xml:space="preserve">137-8; UNSC, S/PV.3566, </w:t>
      </w:r>
      <w:r w:rsidRPr="00ED3DCF">
        <w:rPr>
          <w:rFonts w:ascii="Times New Roman" w:hAnsi="Times New Roman" w:cs="Times New Roman"/>
          <w:i/>
          <w:color w:val="000000" w:themeColor="text1"/>
        </w:rPr>
        <w:t>3566</w:t>
      </w:r>
      <w:r w:rsidRPr="00ED3DCF">
        <w:rPr>
          <w:rFonts w:ascii="Times New Roman" w:hAnsi="Times New Roman" w:cs="Times New Roman"/>
          <w:i/>
          <w:color w:val="000000" w:themeColor="text1"/>
          <w:vertAlign w:val="superscript"/>
        </w:rPr>
        <w:t>th</w:t>
      </w:r>
      <w:r w:rsidRPr="00ED3DCF">
        <w:rPr>
          <w:rFonts w:ascii="Times New Roman" w:hAnsi="Times New Roman" w:cs="Times New Roman"/>
          <w:i/>
          <w:color w:val="000000" w:themeColor="text1"/>
        </w:rPr>
        <w:t xml:space="preserve"> Meeting</w:t>
      </w:r>
      <w:r w:rsidRPr="00ED3DCF">
        <w:rPr>
          <w:rFonts w:ascii="Times New Roman" w:hAnsi="Times New Roman" w:cs="Times New Roman"/>
          <w:color w:val="000000" w:themeColor="text1"/>
        </w:rPr>
        <w:t>,</w:t>
      </w:r>
      <w:r w:rsidRPr="00ED3DCF">
        <w:rPr>
          <w:rFonts w:ascii="Times New Roman" w:hAnsi="Times New Roman" w:cs="Times New Roman"/>
          <w:i/>
          <w:color w:val="000000" w:themeColor="text1"/>
        </w:rPr>
        <w:t xml:space="preserve"> </w:t>
      </w:r>
      <w:r w:rsidRPr="00ED3DCF">
        <w:rPr>
          <w:rFonts w:ascii="Times New Roman" w:hAnsi="Times New Roman" w:cs="Times New Roman"/>
          <w:color w:val="000000" w:themeColor="text1"/>
        </w:rPr>
        <w:t xml:space="preserve">16/08/1995; Economic and Social Council (Hereafter ESC), E/CN.4/1997/61, </w:t>
      </w:r>
      <w:r w:rsidRPr="00ED3DCF">
        <w:rPr>
          <w:rFonts w:ascii="Times New Roman" w:hAnsi="Times New Roman" w:cs="Times New Roman"/>
          <w:i/>
          <w:iCs/>
          <w:color w:val="000000" w:themeColor="text1"/>
        </w:rPr>
        <w:t>Question of The Violation of Human Rights and Fundamental Freedoms in Any Part of the World</w:t>
      </w:r>
      <w:r w:rsidRPr="00ED3DCF">
        <w:rPr>
          <w:rFonts w:ascii="Times New Roman" w:hAnsi="Times New Roman" w:cs="Times New Roman"/>
          <w:color w:val="000000" w:themeColor="text1"/>
        </w:rPr>
        <w:t xml:space="preserve">, 20/01/1997; UNSC, S/PV.3968, </w:t>
      </w:r>
      <w:r w:rsidRPr="00ED3DCF">
        <w:rPr>
          <w:rFonts w:ascii="Times New Roman" w:hAnsi="Times New Roman" w:cs="Times New Roman"/>
          <w:i/>
          <w:iCs/>
          <w:color w:val="000000" w:themeColor="text1"/>
        </w:rPr>
        <w:t>3968th Meeting</w:t>
      </w:r>
      <w:r w:rsidRPr="00ED3DCF">
        <w:rPr>
          <w:rFonts w:ascii="Times New Roman" w:hAnsi="Times New Roman" w:cs="Times New Roman"/>
          <w:color w:val="000000" w:themeColor="text1"/>
        </w:rPr>
        <w:t>, 21/01/1999.</w:t>
      </w:r>
    </w:p>
  </w:footnote>
  <w:footnote w:id="81">
    <w:p w14:paraId="51A45D20" w14:textId="42D5690F" w:rsidR="00687D78" w:rsidRPr="00ED3DCF" w:rsidRDefault="00687D78" w:rsidP="00E35C64">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i/>
          <w:color w:val="000000" w:themeColor="text1"/>
        </w:rPr>
        <w:t>Prosecutor v. André Ntagerura, Emmanuel Bagambiki and Samuel Imanishimwe</w:t>
      </w:r>
      <w:r w:rsidRPr="00ED3DCF">
        <w:rPr>
          <w:rFonts w:ascii="Times New Roman" w:hAnsi="Times New Roman" w:cs="Times New Roman"/>
          <w:color w:val="000000" w:themeColor="text1"/>
        </w:rPr>
        <w:t xml:space="preserve">, Case No. ICTR–99–46 (hereafter ICTR–99–46), TRA001278/2, </w:t>
      </w:r>
      <w:r w:rsidRPr="00ED3DCF">
        <w:rPr>
          <w:rFonts w:ascii="Times New Roman" w:hAnsi="Times New Roman" w:cs="Times New Roman"/>
          <w:i/>
          <w:color w:val="000000" w:themeColor="text1"/>
        </w:rPr>
        <w:t>[Cyangugu] – Ntagerura et al – Redacted Transcript of</w:t>
      </w:r>
      <w:r w:rsidRPr="00ED3DCF">
        <w:rPr>
          <w:rFonts w:ascii="Times New Roman" w:hAnsi="Times New Roman" w:cs="Times New Roman"/>
          <w:color w:val="000000" w:themeColor="text1"/>
        </w:rPr>
        <w:t xml:space="preserve"> </w:t>
      </w:r>
      <w:r w:rsidRPr="00ED3DCF">
        <w:rPr>
          <w:rFonts w:ascii="Times New Roman" w:hAnsi="Times New Roman" w:cs="Times New Roman"/>
          <w:i/>
          <w:color w:val="000000" w:themeColor="text1"/>
        </w:rPr>
        <w:t>29/05/2002</w:t>
      </w:r>
      <w:r w:rsidRPr="00ED3DCF">
        <w:rPr>
          <w:rFonts w:ascii="Times New Roman" w:hAnsi="Times New Roman" w:cs="Times New Roman"/>
          <w:color w:val="000000" w:themeColor="text1"/>
        </w:rPr>
        <w:t>, 29/05/2002, 129.</w:t>
      </w:r>
    </w:p>
  </w:footnote>
  <w:footnote w:id="82">
    <w:p w14:paraId="2995756F" w14:textId="17132793" w:rsidR="00687D78" w:rsidRPr="00ED3DCF" w:rsidRDefault="00687D78" w:rsidP="00E35C64">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For the link between archives and responsibility see Dirks, ‘Accountability’, 29-49.</w:t>
      </w:r>
    </w:p>
  </w:footnote>
  <w:footnote w:id="83">
    <w:p w14:paraId="65C6F0DF" w14:textId="5F983690" w:rsidR="00687D78" w:rsidRPr="00ED3DCF" w:rsidRDefault="00687D78" w:rsidP="0079230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color w:val="000000" w:themeColor="text1"/>
        </w:rPr>
        <w:fldChar w:fldCharType="begin"/>
      </w:r>
      <w:r w:rsidRPr="00ED3DCF">
        <w:rPr>
          <w:rFonts w:ascii="Times New Roman" w:hAnsi="Times New Roman" w:cs="Times New Roman"/>
          <w:color w:val="000000" w:themeColor="text1"/>
        </w:rPr>
        <w:instrText xml:space="preserve"> ADDIN EN.CITE &lt;EndNote&gt;&lt;Cite&gt;&lt;Author&gt;Kelsall&lt;/Author&gt;&lt;Year&gt;2006&lt;/Year&gt;&lt;RecNum&gt;332&lt;/RecNum&gt;&lt;Pages&gt;587–602&lt;/Pages&gt;&lt;DisplayText&gt;Tim Kelsall, &amp;quot;Politics, Anti–Politics, International Justice: Language and Power in the Special Court for Sierra Leone,&amp;quot; &lt;style face="italic"&gt;Review of International Studies&lt;/style&gt; 32 (2006): 587–602.&lt;/DisplayText&gt;&lt;record&gt;&lt;rec-number&gt;332&lt;/rec-number&gt;&lt;foreign-keys&gt;&lt;key app="EN" db-id="0rewstxe3sdfepeps9f5xrt55srrdw2s5r9x" timestamp="1546975644"&gt;332&lt;/key&gt;&lt;/foreign-keys&gt;&lt;ref-type name="Journal Article"&gt;17&lt;/ref-type&gt;&lt;contributors&gt;&lt;authors&gt;&lt;author&gt;Kelsall, Tim&lt;/author&gt;&lt;/authors&gt;&lt;/contributors&gt;&lt;titles&gt;&lt;title&gt;Politics, Anti–politics, International Justice: Language and Power in the Special Court for Sierra Leone&lt;/title&gt;&lt;secondary-title&gt;Review of International Studies&lt;/secondary-title&gt;&lt;short-title&gt;International Justice&lt;/short-title&gt;&lt;/titles&gt;&lt;periodical&gt;&lt;full-title&gt;Review of International Studies&lt;/full-title&gt;&lt;/periodical&gt;&lt;pages&gt;587–602&lt;/pages&gt;&lt;volume&gt;32&lt;/volume&gt;&lt;num-vols&gt;4&lt;/num-vols&gt;&lt;dates&gt;&lt;year&gt;2006&lt;/year&gt;&lt;/dates&gt;&lt;urls&gt;&lt;/urls&gt;&lt;/record&gt;&lt;/Cite&gt;&lt;/EndNote&gt;</w:instrText>
      </w:r>
      <w:r w:rsidRPr="00ED3DCF">
        <w:rPr>
          <w:rFonts w:ascii="Times New Roman" w:hAnsi="Times New Roman" w:cs="Times New Roman"/>
          <w:color w:val="000000" w:themeColor="text1"/>
        </w:rPr>
        <w:fldChar w:fldCharType="separate"/>
      </w:r>
      <w:r w:rsidRPr="00ED3DCF">
        <w:rPr>
          <w:rFonts w:ascii="Times New Roman" w:hAnsi="Times New Roman" w:cs="Times New Roman"/>
          <w:noProof/>
          <w:color w:val="000000" w:themeColor="text1"/>
        </w:rPr>
        <w:t xml:space="preserve">Tim Kelsall, ‘Politics, Anti–Politics, International Justice: Language and Power in the Special Court for Sierra Leone’, </w:t>
      </w:r>
      <w:r w:rsidRPr="00ED3DCF">
        <w:rPr>
          <w:rFonts w:ascii="Times New Roman" w:hAnsi="Times New Roman" w:cs="Times New Roman"/>
          <w:i/>
          <w:noProof/>
          <w:color w:val="000000" w:themeColor="text1"/>
        </w:rPr>
        <w:t>Review of International Studies</w:t>
      </w:r>
      <w:r w:rsidRPr="00ED3DCF">
        <w:rPr>
          <w:rFonts w:ascii="Times New Roman" w:hAnsi="Times New Roman" w:cs="Times New Roman"/>
          <w:noProof/>
          <w:color w:val="000000" w:themeColor="text1"/>
        </w:rPr>
        <w:t xml:space="preserve"> 32, no. 4 (2006): 587–602.</w:t>
      </w:r>
      <w:r w:rsidRPr="00ED3DCF">
        <w:rPr>
          <w:rFonts w:ascii="Times New Roman" w:hAnsi="Times New Roman" w:cs="Times New Roman"/>
          <w:color w:val="000000" w:themeColor="text1"/>
        </w:rPr>
        <w:fldChar w:fldCharType="end"/>
      </w:r>
      <w:r w:rsidRPr="00ED3DCF">
        <w:rPr>
          <w:rFonts w:ascii="Times New Roman" w:hAnsi="Times New Roman" w:cs="Times New Roman"/>
          <w:color w:val="000000" w:themeColor="text1"/>
        </w:rPr>
        <w:t xml:space="preserve"> See also </w:t>
      </w:r>
      <w:r w:rsidRPr="00ED3DCF">
        <w:rPr>
          <w:rFonts w:ascii="Times New Roman" w:hAnsi="Times New Roman" w:cs="Times New Roman"/>
          <w:color w:val="000000" w:themeColor="text1"/>
        </w:rPr>
        <w:fldChar w:fldCharType="begin"/>
      </w:r>
      <w:r w:rsidRPr="00ED3DCF">
        <w:rPr>
          <w:rFonts w:ascii="Times New Roman" w:hAnsi="Times New Roman" w:cs="Times New Roman"/>
          <w:color w:val="000000" w:themeColor="text1"/>
        </w:rPr>
        <w:instrText xml:space="preserve"> ADDIN EN.CITE &lt;EndNote&gt;&lt;Cite&gt;&lt;Author&gt;Edkins&lt;/Author&gt;&lt;Year&gt;2003&lt;/Year&gt;&lt;RecNum&gt;213&lt;/RecNum&gt;&lt;Pages&gt;1-19&lt;/Pages&gt;&lt;DisplayText&gt;Jenny Edkins, &lt;style face="italic"&gt;Trauma and the Memory of Politics&lt;/style&gt; (Cambridge: Cambridge University Press, 2003), 1-19.&lt;/DisplayText&gt;&lt;record&gt;&lt;rec-number&gt;213&lt;/rec-number&gt;&lt;foreign-keys&gt;&lt;key app="EN" db-id="0rewstxe3sdfepeps9f5xrt55srrdw2s5r9x" timestamp="1535643041"&gt;213&lt;/key&gt;&lt;/foreign-keys&gt;&lt;ref-type name="Book"&gt;6&lt;/ref-type&gt;&lt;contributors&gt;&lt;authors&gt;&lt;author&gt;Edkins, Jenny&lt;/author&gt;&lt;/authors&gt;&lt;/contributors&gt;&lt;titles&gt;&lt;title&gt;Trauma and the Memory of Politics&lt;/title&gt;&lt;/titles&gt;&lt;keywords&gt;&lt;keyword&gt;Memory&lt;/keyword&gt;&lt;keyword&gt;IR&lt;/keyword&gt;&lt;keyword&gt;Theory&lt;/keyword&gt;&lt;keyword&gt;Critical&lt;/keyword&gt;&lt;/keywords&gt;&lt;dates&gt;&lt;year&gt;2003&lt;/year&gt;&lt;/dates&gt;&lt;pub-location&gt;Cambridge&lt;/pub-location&gt;&lt;publisher&gt;Cambridge University Press&lt;/publisher&gt;&lt;urls&gt;&lt;/urls&gt;&lt;/record&gt;&lt;/Cite&gt;&lt;/EndNote&gt;</w:instrText>
      </w:r>
      <w:r w:rsidRPr="00ED3DCF">
        <w:rPr>
          <w:rFonts w:ascii="Times New Roman" w:hAnsi="Times New Roman" w:cs="Times New Roman"/>
          <w:color w:val="000000" w:themeColor="text1"/>
        </w:rPr>
        <w:fldChar w:fldCharType="separate"/>
      </w:r>
      <w:r w:rsidRPr="00ED3DCF">
        <w:rPr>
          <w:rFonts w:ascii="Times New Roman" w:hAnsi="Times New Roman" w:cs="Times New Roman"/>
          <w:noProof/>
          <w:color w:val="000000" w:themeColor="text1"/>
        </w:rPr>
        <w:t xml:space="preserve">Edkins, </w:t>
      </w:r>
      <w:r w:rsidRPr="00ED3DCF">
        <w:rPr>
          <w:rFonts w:ascii="Times New Roman" w:hAnsi="Times New Roman" w:cs="Times New Roman"/>
          <w:i/>
          <w:noProof/>
          <w:color w:val="000000" w:themeColor="text1"/>
        </w:rPr>
        <w:t xml:space="preserve">Trauma, </w:t>
      </w:r>
      <w:r w:rsidRPr="00ED3DCF">
        <w:rPr>
          <w:rFonts w:ascii="Times New Roman" w:hAnsi="Times New Roman" w:cs="Times New Roman"/>
          <w:noProof/>
          <w:color w:val="000000" w:themeColor="text1"/>
        </w:rPr>
        <w:t>1-19; Dauphinee, 'War Crimes'.</w:t>
      </w:r>
      <w:r w:rsidRPr="00ED3DCF">
        <w:rPr>
          <w:rFonts w:ascii="Times New Roman" w:hAnsi="Times New Roman" w:cs="Times New Roman"/>
          <w:color w:val="000000" w:themeColor="text1"/>
        </w:rPr>
        <w:fldChar w:fldCharType="end"/>
      </w:r>
      <w:r w:rsidRPr="00ED3DCF">
        <w:rPr>
          <w:rFonts w:ascii="Times New Roman" w:hAnsi="Times New Roman" w:cs="Times New Roman"/>
          <w:color w:val="000000" w:themeColor="text1"/>
        </w:rPr>
        <w:t xml:space="preserve"> For a similar critique of the links between notions of responsibility and colonialism, see Clarke, ‘Affective Justice’.</w:t>
      </w:r>
    </w:p>
  </w:footnote>
  <w:footnote w:id="84">
    <w:p w14:paraId="3BBA84AE" w14:textId="6B47A194"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I would like to thank the editors for drawing attention to the two different forms of responsibility. </w:t>
      </w:r>
    </w:p>
  </w:footnote>
  <w:footnote w:id="85">
    <w:p w14:paraId="4D939C2B" w14:textId="637C7CD0" w:rsidR="00687D78" w:rsidRPr="00ED3DCF" w:rsidRDefault="00687D78" w:rsidP="00E35C64">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UNSC, S/PV.3368, </w:t>
      </w:r>
      <w:r w:rsidRPr="00ED3DCF">
        <w:rPr>
          <w:rFonts w:ascii="Times New Roman" w:hAnsi="Times New Roman" w:cs="Times New Roman"/>
          <w:i/>
          <w:color w:val="000000" w:themeColor="text1"/>
        </w:rPr>
        <w:t>3368th Meeting</w:t>
      </w:r>
      <w:r w:rsidRPr="00ED3DCF">
        <w:rPr>
          <w:rFonts w:ascii="Times New Roman" w:hAnsi="Times New Roman" w:cs="Times New Roman"/>
          <w:color w:val="000000" w:themeColor="text1"/>
        </w:rPr>
        <w:t xml:space="preserve">, 21/04/1994, 3; and UNSC, S/PV.3377, </w:t>
      </w:r>
      <w:r w:rsidRPr="00ED3DCF">
        <w:rPr>
          <w:rFonts w:ascii="Times New Roman" w:hAnsi="Times New Roman" w:cs="Times New Roman"/>
          <w:i/>
          <w:color w:val="000000" w:themeColor="text1"/>
        </w:rPr>
        <w:t>3377</w:t>
      </w:r>
      <w:r w:rsidRPr="00ED3DCF">
        <w:rPr>
          <w:rFonts w:ascii="Times New Roman" w:hAnsi="Times New Roman" w:cs="Times New Roman"/>
          <w:i/>
          <w:color w:val="000000" w:themeColor="text1"/>
          <w:vertAlign w:val="superscript"/>
        </w:rPr>
        <w:t>th</w:t>
      </w:r>
      <w:r w:rsidRPr="00ED3DCF">
        <w:rPr>
          <w:rFonts w:ascii="Times New Roman" w:hAnsi="Times New Roman" w:cs="Times New Roman"/>
          <w:i/>
          <w:color w:val="000000" w:themeColor="text1"/>
        </w:rPr>
        <w:t xml:space="preserve"> Meeting</w:t>
      </w:r>
      <w:r w:rsidRPr="00ED3DCF">
        <w:rPr>
          <w:rFonts w:ascii="Times New Roman" w:hAnsi="Times New Roman" w:cs="Times New Roman"/>
          <w:color w:val="000000" w:themeColor="text1"/>
        </w:rPr>
        <w:t>,</w:t>
      </w:r>
      <w:r w:rsidRPr="00ED3DCF">
        <w:rPr>
          <w:rFonts w:ascii="Times New Roman" w:hAnsi="Times New Roman" w:cs="Times New Roman"/>
          <w:i/>
          <w:color w:val="000000" w:themeColor="text1"/>
        </w:rPr>
        <w:t xml:space="preserve"> </w:t>
      </w:r>
      <w:r w:rsidRPr="00ED3DCF">
        <w:rPr>
          <w:rFonts w:ascii="Times New Roman" w:hAnsi="Times New Roman" w:cs="Times New Roman"/>
          <w:color w:val="000000" w:themeColor="text1"/>
        </w:rPr>
        <w:t xml:space="preserve">16/05/1994, 6 and 8; and UNSC, S/PV.3326, </w:t>
      </w:r>
      <w:r w:rsidRPr="00ED3DCF">
        <w:rPr>
          <w:rFonts w:ascii="Times New Roman" w:hAnsi="Times New Roman" w:cs="Times New Roman"/>
          <w:i/>
          <w:color w:val="000000" w:themeColor="text1"/>
        </w:rPr>
        <w:t>3326th Meeting</w:t>
      </w:r>
      <w:r w:rsidRPr="00ED3DCF">
        <w:rPr>
          <w:rFonts w:ascii="Times New Roman" w:hAnsi="Times New Roman" w:cs="Times New Roman"/>
          <w:color w:val="000000" w:themeColor="text1"/>
        </w:rPr>
        <w:t>,</w:t>
      </w:r>
      <w:r w:rsidRPr="00ED3DCF">
        <w:rPr>
          <w:rFonts w:ascii="Times New Roman" w:hAnsi="Times New Roman" w:cs="Times New Roman"/>
          <w:i/>
          <w:color w:val="000000" w:themeColor="text1"/>
        </w:rPr>
        <w:t xml:space="preserve"> </w:t>
      </w:r>
      <w:r w:rsidRPr="00ED3DCF">
        <w:rPr>
          <w:rFonts w:ascii="Times New Roman" w:hAnsi="Times New Roman" w:cs="Times New Roman"/>
          <w:color w:val="000000" w:themeColor="text1"/>
        </w:rPr>
        <w:t xml:space="preserve">06/01/1994, 7.  United Nations General Assembly (hereafter UNGA), A/C.5/48/SR.57, </w:t>
      </w:r>
      <w:r w:rsidRPr="00ED3DCF">
        <w:rPr>
          <w:rFonts w:ascii="Times New Roman" w:hAnsi="Times New Roman" w:cs="Times New Roman"/>
          <w:i/>
          <w:color w:val="000000" w:themeColor="text1"/>
        </w:rPr>
        <w:t>Fifth Committee: Summary Record of the 57</w:t>
      </w:r>
      <w:r w:rsidRPr="00ED3DCF">
        <w:rPr>
          <w:rFonts w:ascii="Times New Roman" w:hAnsi="Times New Roman" w:cs="Times New Roman"/>
          <w:i/>
          <w:color w:val="000000" w:themeColor="text1"/>
          <w:vertAlign w:val="superscript"/>
        </w:rPr>
        <w:t>th</w:t>
      </w:r>
      <w:r w:rsidRPr="00ED3DCF">
        <w:rPr>
          <w:rFonts w:ascii="Times New Roman" w:hAnsi="Times New Roman" w:cs="Times New Roman"/>
          <w:i/>
          <w:color w:val="000000" w:themeColor="text1"/>
        </w:rPr>
        <w:t xml:space="preserve"> Meeting: Financing of the United Nations Observer Mission Rwanda</w:t>
      </w:r>
      <w:r w:rsidRPr="00ED3DCF">
        <w:rPr>
          <w:rFonts w:ascii="Times New Roman" w:hAnsi="Times New Roman" w:cs="Times New Roman"/>
          <w:color w:val="000000" w:themeColor="text1"/>
        </w:rPr>
        <w:t xml:space="preserve">, 29/03/1994, 2–3. Over the course of the genocide the UNSC’s understanding of its responsibility to Rwanda shifted as the legal idiom of ‘genocide’ was introduced, which reframed the violence as an infringement against the international community’s norms and as such an attack against the community as a whole. </w:t>
      </w:r>
    </w:p>
  </w:footnote>
  <w:footnote w:id="86">
    <w:p w14:paraId="5EEFE1A2" w14:textId="1176E8FA"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Whyte, ‘Always on Top?’, 308-14; Chinua Achebe, ‘An Image of Africa’,  </w:t>
      </w:r>
      <w:r w:rsidRPr="00ED3DCF">
        <w:rPr>
          <w:rFonts w:ascii="Times New Roman" w:hAnsi="Times New Roman" w:cs="Times New Roman"/>
          <w:i/>
          <w:color w:val="000000" w:themeColor="text1"/>
        </w:rPr>
        <w:t>Massachusetts Review</w:t>
      </w:r>
      <w:r w:rsidRPr="00ED3DCF">
        <w:rPr>
          <w:rFonts w:ascii="Times New Roman" w:hAnsi="Times New Roman" w:cs="Times New Roman"/>
          <w:color w:val="000000" w:themeColor="text1"/>
        </w:rPr>
        <w:t xml:space="preserve"> 18, no. 4 (1977), 784; Mamdani, ‘Responsibility to Protect’, 53-67. As with the ICTR’s archive, these examples are similarly influenced by the erasure of the role that international actors play in the violence.</w:t>
      </w:r>
      <w:r w:rsidRPr="00ED3DCF">
        <w:rPr>
          <w:rFonts w:ascii="Times New Roman" w:hAnsi="Times New Roman" w:cs="Times New Roman"/>
          <w:color w:val="000000" w:themeColor="text1"/>
          <w:vertAlign w:val="superscript"/>
        </w:rPr>
        <w:t xml:space="preserve"> </w:t>
      </w:r>
      <w:r w:rsidRPr="00ED3DCF">
        <w:rPr>
          <w:rFonts w:ascii="Times New Roman" w:hAnsi="Times New Roman" w:cs="Times New Roman"/>
          <w:color w:val="000000" w:themeColor="text1"/>
        </w:rPr>
        <w:t>Whyte, ‘Always on Top?’,</w:t>
      </w:r>
      <w:r w:rsidRPr="00ED3DCF">
        <w:rPr>
          <w:rFonts w:ascii="Times New Roman" w:hAnsi="Times New Roman" w:cs="Times New Roman"/>
          <w:i/>
          <w:color w:val="000000" w:themeColor="text1"/>
        </w:rPr>
        <w:t xml:space="preserve"> </w:t>
      </w:r>
      <w:r w:rsidRPr="00ED3DCF">
        <w:rPr>
          <w:rFonts w:ascii="Times New Roman" w:hAnsi="Times New Roman" w:cs="Times New Roman"/>
          <w:color w:val="000000" w:themeColor="text1"/>
        </w:rPr>
        <w:t>311 and 317.</w:t>
      </w:r>
    </w:p>
  </w:footnote>
  <w:footnote w:id="87">
    <w:p w14:paraId="4007A913" w14:textId="6D239F26"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Michael Barnett, </w:t>
      </w:r>
      <w:r w:rsidRPr="00ED3DCF">
        <w:rPr>
          <w:rFonts w:ascii="Times New Roman" w:hAnsi="Times New Roman" w:cs="Times New Roman"/>
          <w:i/>
          <w:color w:val="000000" w:themeColor="text1"/>
        </w:rPr>
        <w:t>Eyewitness to Genocide: The United Nations and Rwanda</w:t>
      </w:r>
      <w:r w:rsidRPr="00ED3DCF">
        <w:rPr>
          <w:rFonts w:ascii="Times New Roman" w:hAnsi="Times New Roman" w:cs="Times New Roman"/>
          <w:color w:val="000000" w:themeColor="text1"/>
        </w:rPr>
        <w:t xml:space="preserve"> (London: Cornell University Press, 2002).</w:t>
      </w:r>
    </w:p>
  </w:footnote>
  <w:footnote w:id="88">
    <w:p w14:paraId="03CC6FDD" w14:textId="64DF6821"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Whyte, ‘Always on Top’, 310-1.</w:t>
      </w:r>
    </w:p>
  </w:footnote>
  <w:footnote w:id="89">
    <w:p w14:paraId="26952A1E" w14:textId="0B428ED8" w:rsidR="00687D78" w:rsidRPr="00ED3DCF" w:rsidRDefault="00687D78" w:rsidP="002C621E">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E.g. ICTR–99–46, TRA000251/2, </w:t>
      </w:r>
      <w:r w:rsidRPr="00ED3DCF">
        <w:rPr>
          <w:rFonts w:ascii="Times New Roman" w:hAnsi="Times New Roman" w:cs="Times New Roman"/>
          <w:i/>
          <w:color w:val="000000" w:themeColor="text1"/>
        </w:rPr>
        <w:t>[Cyangugu] – Ntagerura et al – Redacted Transcript of</w:t>
      </w:r>
      <w:r w:rsidRPr="00ED3DCF">
        <w:rPr>
          <w:rFonts w:ascii="Times New Roman" w:hAnsi="Times New Roman" w:cs="Times New Roman"/>
          <w:color w:val="000000" w:themeColor="text1"/>
        </w:rPr>
        <w:t xml:space="preserve"> </w:t>
      </w:r>
      <w:r w:rsidRPr="00ED3DCF">
        <w:rPr>
          <w:rFonts w:ascii="Times New Roman" w:hAnsi="Times New Roman" w:cs="Times New Roman"/>
          <w:i/>
          <w:color w:val="000000" w:themeColor="text1"/>
        </w:rPr>
        <w:t>18/01/2001</w:t>
      </w:r>
      <w:r w:rsidRPr="00ED3DCF">
        <w:rPr>
          <w:rFonts w:ascii="Times New Roman" w:hAnsi="Times New Roman" w:cs="Times New Roman"/>
          <w:color w:val="000000" w:themeColor="text1"/>
        </w:rPr>
        <w:t>, 18/01/2001, 81. See also Clarke, ‘Affective Justice’, 255-7.</w:t>
      </w:r>
    </w:p>
  </w:footnote>
  <w:footnote w:id="90">
    <w:p w14:paraId="6F7AC803" w14:textId="1A97BAEC" w:rsidR="00687D78" w:rsidRPr="00ED3DCF" w:rsidRDefault="00687D78" w:rsidP="00E35C64">
      <w:pPr>
        <w:pStyle w:val="FootnoteText"/>
        <w:rPr>
          <w:rFonts w:ascii="Times New Roman" w:hAnsi="Times New Roman" w:cs="Times New Roman"/>
          <w:color w:val="000000" w:themeColor="text1"/>
          <w:lang w:val="en-US"/>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For instance, when describing victims, the records in the archive frequently emphasise the ‘feminine’ identities of those attacked, which was short-hand for ‘innocent’ and ‘passive’ non-combatants. </w:t>
      </w:r>
      <w:r w:rsidRPr="00ED3DCF">
        <w:rPr>
          <w:rFonts w:ascii="Times New Roman" w:hAnsi="Times New Roman" w:cs="Times New Roman"/>
          <w:i/>
          <w:color w:val="000000" w:themeColor="text1"/>
        </w:rPr>
        <w:t xml:space="preserve">Prosecutor v. Jean-Paul Akayesu, </w:t>
      </w:r>
      <w:r w:rsidRPr="00ED3DCF">
        <w:rPr>
          <w:rFonts w:ascii="Times New Roman" w:hAnsi="Times New Roman" w:cs="Times New Roman"/>
          <w:color w:val="000000" w:themeColor="text1"/>
        </w:rPr>
        <w:t xml:space="preserve">Case No. ICTR–96–4 (hereafter, ICTR–96–4), CONTRA001197, </w:t>
      </w:r>
      <w:r w:rsidRPr="00ED3DCF">
        <w:rPr>
          <w:rFonts w:ascii="Times New Roman" w:hAnsi="Times New Roman" w:cs="Times New Roman"/>
          <w:i/>
          <w:color w:val="000000" w:themeColor="text1"/>
        </w:rPr>
        <w:t xml:space="preserve">Akayesu – Transcript of </w:t>
      </w:r>
      <w:r w:rsidRPr="00ED3DCF">
        <w:rPr>
          <w:rFonts w:ascii="Times New Roman" w:hAnsi="Times New Roman" w:cs="Times New Roman"/>
          <w:color w:val="000000" w:themeColor="text1"/>
        </w:rPr>
        <w:t xml:space="preserve">5/2/1997, 05/02/1997, 143–4; and S/PV.3371, </w:t>
      </w:r>
      <w:r w:rsidRPr="00ED3DCF">
        <w:rPr>
          <w:rFonts w:ascii="Times New Roman" w:hAnsi="Times New Roman" w:cs="Times New Roman"/>
          <w:i/>
          <w:color w:val="000000" w:themeColor="text1"/>
        </w:rPr>
        <w:t>3371</w:t>
      </w:r>
      <w:r w:rsidRPr="00ED3DCF">
        <w:rPr>
          <w:rFonts w:ascii="Times New Roman" w:hAnsi="Times New Roman" w:cs="Times New Roman"/>
          <w:i/>
          <w:color w:val="000000" w:themeColor="text1"/>
          <w:vertAlign w:val="superscript"/>
        </w:rPr>
        <w:t>st</w:t>
      </w:r>
      <w:r w:rsidRPr="00ED3DCF">
        <w:rPr>
          <w:rFonts w:ascii="Times New Roman" w:hAnsi="Times New Roman" w:cs="Times New Roman"/>
          <w:i/>
          <w:color w:val="000000" w:themeColor="text1"/>
        </w:rPr>
        <w:t xml:space="preserve"> Meeting, </w:t>
      </w:r>
      <w:r w:rsidRPr="00ED3DCF">
        <w:rPr>
          <w:rFonts w:ascii="Times New Roman" w:hAnsi="Times New Roman" w:cs="Times New Roman"/>
          <w:color w:val="000000" w:themeColor="text1"/>
        </w:rPr>
        <w:t>30/04/1994, 2.</w:t>
      </w:r>
    </w:p>
  </w:footnote>
  <w:footnote w:id="91">
    <w:p w14:paraId="55D972B4" w14:textId="169C46CA" w:rsidR="00687D78" w:rsidRPr="00ED3DCF" w:rsidRDefault="00687D78" w:rsidP="00294891">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See also Martha Walsh, ‘Gendering International Justice: Progress and Pitfalls at International Criminal Tribunals,’ in </w:t>
      </w:r>
      <w:r w:rsidRPr="00ED3DCF">
        <w:rPr>
          <w:rFonts w:ascii="Times New Roman" w:hAnsi="Times New Roman" w:cs="Times New Roman"/>
          <w:i/>
          <w:color w:val="000000" w:themeColor="text1"/>
        </w:rPr>
        <w:t>Gender Peace: Women’s Struggle for Post–War Justice and Reconciliation</w:t>
      </w:r>
      <w:r w:rsidRPr="00ED3DCF">
        <w:rPr>
          <w:rFonts w:ascii="Times New Roman" w:hAnsi="Times New Roman" w:cs="Times New Roman"/>
          <w:color w:val="000000" w:themeColor="text1"/>
        </w:rPr>
        <w:t xml:space="preserve">, ed. Donna Pankhurst (Abingdon: Routledge, 2009), 33-4; Kirsten Campbell, ‘Testimonial Modes: Witnessing, Evidence and Testimony before the International Criminal Tribunal for the Former Yugoslavia’, in </w:t>
      </w:r>
      <w:r w:rsidRPr="00ED3DCF">
        <w:rPr>
          <w:rFonts w:ascii="Times New Roman" w:hAnsi="Times New Roman" w:cs="Times New Roman"/>
          <w:i/>
          <w:color w:val="000000" w:themeColor="text1"/>
        </w:rPr>
        <w:t>The Future of Testimony</w:t>
      </w:r>
      <w:r w:rsidRPr="00ED3DCF">
        <w:rPr>
          <w:rFonts w:ascii="Times New Roman" w:hAnsi="Times New Roman" w:cs="Times New Roman"/>
          <w:color w:val="000000" w:themeColor="text1"/>
        </w:rPr>
        <w:t xml:space="preserve">, ed. Antony Rowland </w:t>
      </w:r>
      <w:r w:rsidRPr="00ED3DCF">
        <w:rPr>
          <w:rFonts w:ascii="Times New Roman" w:hAnsi="Times New Roman" w:cs="Times New Roman"/>
          <w:i/>
          <w:color w:val="000000" w:themeColor="text1"/>
        </w:rPr>
        <w:t xml:space="preserve">et al. </w:t>
      </w:r>
      <w:r w:rsidRPr="00ED3DCF">
        <w:rPr>
          <w:rFonts w:ascii="Times New Roman" w:hAnsi="Times New Roman" w:cs="Times New Roman"/>
          <w:color w:val="000000" w:themeColor="text1"/>
        </w:rPr>
        <w:t>(London: Routledge, 2014), 92-5; and Catherine MacKinnon, ‘The ICTR's Legacy on Sexual Violence’, </w:t>
      </w:r>
      <w:r w:rsidRPr="00ED3DCF">
        <w:rPr>
          <w:rFonts w:ascii="Times New Roman" w:hAnsi="Times New Roman" w:cs="Times New Roman"/>
          <w:i/>
          <w:iCs/>
          <w:color w:val="000000" w:themeColor="text1"/>
        </w:rPr>
        <w:t xml:space="preserve">New England Journal of International and Comparative Law </w:t>
      </w:r>
      <w:r w:rsidRPr="00ED3DCF">
        <w:rPr>
          <w:rFonts w:ascii="Times New Roman" w:hAnsi="Times New Roman" w:cs="Times New Roman"/>
          <w:color w:val="000000" w:themeColor="text1"/>
        </w:rPr>
        <w:t>14, no. 1 (2007): 211-21.</w:t>
      </w:r>
    </w:p>
  </w:footnote>
  <w:footnote w:id="92">
    <w:p w14:paraId="379AFA0F" w14:textId="0D86853F" w:rsidR="00687D78" w:rsidRPr="00ED3DCF" w:rsidRDefault="00687D78" w:rsidP="00E35C64">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Jina Moore, ‘This Is the Story a UN Court Didn’t Want Three Rape Survivors to Tell,’ </w:t>
      </w:r>
      <w:r w:rsidRPr="00ED3DCF">
        <w:rPr>
          <w:rFonts w:ascii="Times New Roman" w:hAnsi="Times New Roman" w:cs="Times New Roman"/>
          <w:i/>
          <w:color w:val="000000" w:themeColor="text1"/>
        </w:rPr>
        <w:t>Buzzfeed</w:t>
      </w:r>
      <w:r w:rsidRPr="00ED3DCF">
        <w:rPr>
          <w:rFonts w:ascii="Times New Roman" w:hAnsi="Times New Roman" w:cs="Times New Roman"/>
          <w:color w:val="000000" w:themeColor="text1"/>
        </w:rPr>
        <w:t xml:space="preserve">, available at: </w:t>
      </w:r>
      <w:hyperlink r:id="rId3" w:anchor=".jawdwwrrm" w:history="1">
        <w:r w:rsidRPr="00ED3DCF">
          <w:rPr>
            <w:rStyle w:val="Hyperlink"/>
            <w:rFonts w:ascii="Times New Roman" w:hAnsi="Times New Roman" w:cs="Times New Roman"/>
            <w:color w:val="000000" w:themeColor="text1"/>
            <w:u w:val="none"/>
          </w:rPr>
          <w:t>https://www.buzzfeed.com/jinamoore/this-is-the-story-a-un-court-didnt-want-three-rape-survivors?utm_term=.efwZxxYY8#.jawdwwrrm</w:t>
        </w:r>
      </w:hyperlink>
      <w:r w:rsidRPr="00ED3DCF">
        <w:rPr>
          <w:rFonts w:ascii="Times New Roman" w:hAnsi="Times New Roman" w:cs="Times New Roman"/>
          <w:color w:val="000000" w:themeColor="text1"/>
        </w:rPr>
        <w:t>, last accessed December 16,  2019.</w:t>
      </w:r>
    </w:p>
  </w:footnote>
  <w:footnote w:id="93">
    <w:p w14:paraId="4F77D063" w14:textId="1A8781A4" w:rsidR="00687D78" w:rsidRPr="00ED3DCF" w:rsidRDefault="00687D78" w:rsidP="00E35C64">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UNGA, A/53/429, </w:t>
      </w:r>
      <w:r w:rsidRPr="00ED3DCF">
        <w:rPr>
          <w:rFonts w:ascii="Times New Roman" w:hAnsi="Times New Roman" w:cs="Times New Roman"/>
          <w:i/>
          <w:color w:val="000000" w:themeColor="text1"/>
        </w:rPr>
        <w:t>Report of the International Criminal Tribunal for the Prosecution of Persons Responsible for Genocide and Other Serious Violations of International Humanitarian Law Committed in the Territory of Rwanda and Rwandan Citizens Responsible for Genocide and Other Such Violations Committed in the Territory of Neighbouring States between 1 January and 31 December 1994</w:t>
      </w:r>
      <w:r w:rsidRPr="00ED3DCF">
        <w:rPr>
          <w:rFonts w:ascii="Times New Roman" w:hAnsi="Times New Roman" w:cs="Times New Roman"/>
          <w:color w:val="000000" w:themeColor="text1"/>
        </w:rPr>
        <w:t>, 23/09/1998, 9–10.</w:t>
      </w:r>
    </w:p>
  </w:footnote>
  <w:footnote w:id="94">
    <w:p w14:paraId="1D296D3B" w14:textId="60C1D08D" w:rsidR="00687D78" w:rsidRPr="00ED3DCF" w:rsidRDefault="00687D78" w:rsidP="00E35C64">
      <w:pPr>
        <w:spacing w:after="0" w:line="240" w:lineRule="auto"/>
        <w:rPr>
          <w:rFonts w:ascii="Times New Roman" w:hAnsi="Times New Roman" w:cs="Times New Roman"/>
          <w:color w:val="000000" w:themeColor="text1"/>
          <w:sz w:val="20"/>
          <w:szCs w:val="20"/>
        </w:rPr>
      </w:pPr>
      <w:r w:rsidRPr="00ED3DCF">
        <w:rPr>
          <w:rStyle w:val="FootnoteReference"/>
          <w:rFonts w:ascii="Times New Roman" w:hAnsi="Times New Roman" w:cs="Times New Roman"/>
          <w:color w:val="000000" w:themeColor="text1"/>
          <w:sz w:val="20"/>
          <w:szCs w:val="20"/>
        </w:rPr>
        <w:footnoteRef/>
      </w:r>
      <w:r w:rsidRPr="00ED3DCF">
        <w:rPr>
          <w:rFonts w:ascii="Times New Roman" w:hAnsi="Times New Roman" w:cs="Times New Roman"/>
          <w:color w:val="000000" w:themeColor="text1"/>
          <w:sz w:val="20"/>
          <w:szCs w:val="20"/>
        </w:rPr>
        <w:t xml:space="preserve"> </w:t>
      </w:r>
      <w:r w:rsidRPr="00ED3DCF">
        <w:rPr>
          <w:rFonts w:ascii="Times New Roman" w:hAnsi="Times New Roman" w:cs="Times New Roman"/>
          <w:i/>
          <w:color w:val="000000" w:themeColor="text1"/>
          <w:sz w:val="20"/>
          <w:szCs w:val="20"/>
        </w:rPr>
        <w:t>Prosecutor vs. Andrea Ntagerura</w:t>
      </w:r>
      <w:r w:rsidRPr="00ED3DCF">
        <w:rPr>
          <w:rFonts w:ascii="Times New Roman" w:hAnsi="Times New Roman" w:cs="Times New Roman"/>
          <w:color w:val="000000" w:themeColor="text1"/>
          <w:sz w:val="20"/>
          <w:szCs w:val="20"/>
        </w:rPr>
        <w:t>,</w:t>
      </w:r>
      <w:r w:rsidRPr="00ED3DCF">
        <w:rPr>
          <w:rFonts w:ascii="Times New Roman" w:hAnsi="Times New Roman" w:cs="Times New Roman"/>
          <w:i/>
          <w:color w:val="000000" w:themeColor="text1"/>
          <w:sz w:val="20"/>
          <w:szCs w:val="20"/>
        </w:rPr>
        <w:t xml:space="preserve"> </w:t>
      </w:r>
      <w:r w:rsidRPr="00ED3DCF">
        <w:rPr>
          <w:rFonts w:ascii="Times New Roman" w:hAnsi="Times New Roman" w:cs="Times New Roman"/>
          <w:color w:val="000000" w:themeColor="text1"/>
          <w:sz w:val="20"/>
          <w:szCs w:val="20"/>
        </w:rPr>
        <w:t xml:space="preserve">ICTR–96–10, ICTR–96–10A–0224, </w:t>
      </w:r>
      <w:r w:rsidRPr="00ED3DCF">
        <w:rPr>
          <w:rFonts w:ascii="Times New Roman" w:hAnsi="Times New Roman" w:cs="Times New Roman"/>
          <w:i/>
          <w:color w:val="000000" w:themeColor="text1"/>
          <w:sz w:val="20"/>
          <w:szCs w:val="20"/>
        </w:rPr>
        <w:t>Ntagerura –</w:t>
      </w:r>
      <w:r w:rsidRPr="00ED3DCF">
        <w:rPr>
          <w:rFonts w:ascii="Times New Roman" w:hAnsi="Times New Roman" w:cs="Times New Roman"/>
          <w:color w:val="000000" w:themeColor="text1"/>
          <w:sz w:val="20"/>
          <w:szCs w:val="20"/>
        </w:rPr>
        <w:t xml:space="preserve"> </w:t>
      </w:r>
      <w:r w:rsidRPr="00ED3DCF">
        <w:rPr>
          <w:rFonts w:ascii="Times New Roman" w:hAnsi="Times New Roman" w:cs="Times New Roman"/>
          <w:i/>
          <w:color w:val="000000" w:themeColor="text1"/>
          <w:sz w:val="20"/>
          <w:szCs w:val="20"/>
        </w:rPr>
        <w:t>Amended Indictment</w:t>
      </w:r>
      <w:r w:rsidRPr="00ED3DCF">
        <w:rPr>
          <w:rFonts w:ascii="Times New Roman" w:hAnsi="Times New Roman" w:cs="Times New Roman"/>
          <w:color w:val="000000" w:themeColor="text1"/>
          <w:sz w:val="20"/>
          <w:szCs w:val="20"/>
        </w:rPr>
        <w:t xml:space="preserve">, 29/01/1998; and </w:t>
      </w:r>
      <w:r w:rsidRPr="00ED3DCF">
        <w:rPr>
          <w:rFonts w:ascii="Times New Roman" w:hAnsi="Times New Roman" w:cs="Times New Roman"/>
          <w:i/>
          <w:color w:val="000000" w:themeColor="text1"/>
          <w:sz w:val="20"/>
          <w:szCs w:val="20"/>
        </w:rPr>
        <w:t>Prosecutor v. Emmanuel Bagambiki et al.</w:t>
      </w:r>
      <w:r w:rsidRPr="00ED3DCF">
        <w:rPr>
          <w:rFonts w:ascii="Times New Roman" w:hAnsi="Times New Roman" w:cs="Times New Roman"/>
          <w:color w:val="000000" w:themeColor="text1"/>
          <w:sz w:val="20"/>
          <w:szCs w:val="20"/>
        </w:rPr>
        <w:t>, Case No. ICTR–97–36 (hereafter ICTR–97–36),</w:t>
      </w:r>
      <w:r w:rsidRPr="00ED3DCF">
        <w:rPr>
          <w:rFonts w:ascii="Times New Roman" w:hAnsi="Times New Roman" w:cs="Times New Roman"/>
          <w:i/>
          <w:color w:val="000000" w:themeColor="text1"/>
          <w:sz w:val="20"/>
          <w:szCs w:val="20"/>
        </w:rPr>
        <w:t xml:space="preserve"> </w:t>
      </w:r>
      <w:r w:rsidRPr="00ED3DCF">
        <w:rPr>
          <w:rFonts w:ascii="Times New Roman" w:hAnsi="Times New Roman" w:cs="Times New Roman"/>
          <w:color w:val="000000" w:themeColor="text1"/>
          <w:sz w:val="20"/>
          <w:szCs w:val="20"/>
        </w:rPr>
        <w:t xml:space="preserve">ICTR–97–36–0071, </w:t>
      </w:r>
      <w:r w:rsidRPr="00ED3DCF">
        <w:rPr>
          <w:rFonts w:ascii="Times New Roman" w:hAnsi="Times New Roman" w:cs="Times New Roman"/>
          <w:i/>
          <w:color w:val="000000" w:themeColor="text1"/>
          <w:sz w:val="20"/>
          <w:szCs w:val="20"/>
        </w:rPr>
        <w:t>Bagambiki – Imanishimwe – Indictment – Redacted</w:t>
      </w:r>
      <w:r w:rsidRPr="00ED3DCF">
        <w:rPr>
          <w:rFonts w:ascii="Times New Roman" w:hAnsi="Times New Roman" w:cs="Times New Roman"/>
          <w:color w:val="000000" w:themeColor="text1"/>
          <w:sz w:val="20"/>
          <w:szCs w:val="20"/>
        </w:rPr>
        <w:t>, 09/10/1997, 7.</w:t>
      </w:r>
    </w:p>
  </w:footnote>
  <w:footnote w:id="95">
    <w:p w14:paraId="59502B40" w14:textId="24686469" w:rsidR="00687D78" w:rsidRPr="00ED3DCF" w:rsidRDefault="00687D78" w:rsidP="00E35C64">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TRA000434/2, 13–6 and 103–5; and ICTR–99–46, TRA000437/2, </w:t>
      </w:r>
      <w:r w:rsidRPr="00ED3DCF">
        <w:rPr>
          <w:rFonts w:ascii="Times New Roman" w:hAnsi="Times New Roman" w:cs="Times New Roman"/>
          <w:i/>
          <w:color w:val="000000" w:themeColor="text1"/>
        </w:rPr>
        <w:t>[Cyangugu] – Ntagerura et al – Redacted Transcript of</w:t>
      </w:r>
      <w:r w:rsidRPr="00ED3DCF">
        <w:rPr>
          <w:rFonts w:ascii="Times New Roman" w:hAnsi="Times New Roman" w:cs="Times New Roman"/>
          <w:color w:val="000000" w:themeColor="text1"/>
        </w:rPr>
        <w:t xml:space="preserve"> </w:t>
      </w:r>
      <w:r w:rsidRPr="00ED3DCF">
        <w:rPr>
          <w:rFonts w:ascii="Times New Roman" w:hAnsi="Times New Roman" w:cs="Times New Roman"/>
          <w:i/>
          <w:color w:val="000000" w:themeColor="text1"/>
        </w:rPr>
        <w:t>20/02/2001</w:t>
      </w:r>
      <w:r w:rsidRPr="00ED3DCF">
        <w:rPr>
          <w:rFonts w:ascii="Times New Roman" w:hAnsi="Times New Roman" w:cs="Times New Roman"/>
          <w:color w:val="000000" w:themeColor="text1"/>
        </w:rPr>
        <w:t xml:space="preserve">, 20/02/2001, 1–2. There was no mention of sexual violence in the initial indictment. However, the prosecution amended this in 1998 to include specific charges relating to sexual violence, only to later withdraw the amended indictment due a fear that it would slow down the trial. ICTR–96–10A–0224, 4–5. ICTR–99–46, ICTR–99–46–0046, </w:t>
      </w:r>
      <w:r w:rsidRPr="00ED3DCF">
        <w:rPr>
          <w:rFonts w:ascii="Times New Roman" w:hAnsi="Times New Roman" w:cs="Times New Roman"/>
          <w:i/>
          <w:color w:val="000000" w:themeColor="text1"/>
        </w:rPr>
        <w:t>[Cyangugu] – Bagambiki – Ntagerura et al – Notice of the Prosecutor to Withdraw All Pending Motion</w:t>
      </w:r>
      <w:r w:rsidRPr="00ED3DCF">
        <w:rPr>
          <w:rFonts w:ascii="Times New Roman" w:hAnsi="Times New Roman" w:cs="Times New Roman"/>
          <w:color w:val="000000" w:themeColor="text1"/>
        </w:rPr>
        <w:t>, 14/02/2000. Interview with Appeals</w:t>
      </w:r>
      <w:r w:rsidR="00ED3DCF">
        <w:rPr>
          <w:rFonts w:ascii="Times New Roman" w:hAnsi="Times New Roman" w:cs="Times New Roman"/>
          <w:color w:val="000000" w:themeColor="text1"/>
        </w:rPr>
        <w:t xml:space="preserve"> Attorney</w:t>
      </w:r>
      <w:r w:rsidRPr="00ED3DCF">
        <w:rPr>
          <w:rFonts w:ascii="Times New Roman" w:hAnsi="Times New Roman" w:cs="Times New Roman"/>
          <w:color w:val="000000" w:themeColor="text1"/>
        </w:rPr>
        <w:t xml:space="preserve"> (Arusha, Tanzania: 2015).</w:t>
      </w:r>
    </w:p>
  </w:footnote>
  <w:footnote w:id="96">
    <w:p w14:paraId="739826A4" w14:textId="2C79CB0D" w:rsidR="00687D78" w:rsidRPr="00ED3DCF" w:rsidRDefault="00687D78" w:rsidP="00E35C64">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ICTR–00–61, ICTR–00–61–0133, </w:t>
      </w:r>
      <w:r w:rsidRPr="00ED3DCF">
        <w:rPr>
          <w:rFonts w:ascii="Times New Roman" w:hAnsi="Times New Roman" w:cs="Times New Roman"/>
          <w:i/>
          <w:color w:val="000000" w:themeColor="text1"/>
        </w:rPr>
        <w:t>Gatete – Decision on Defence Motion on Admissibility of Allegations Outside the Temporal Jurisdiction of the Tribunal</w:t>
      </w:r>
      <w:r w:rsidRPr="00ED3DCF">
        <w:rPr>
          <w:rFonts w:ascii="Times New Roman" w:hAnsi="Times New Roman" w:cs="Times New Roman"/>
          <w:color w:val="000000" w:themeColor="text1"/>
        </w:rPr>
        <w:t xml:space="preserve">, 03/11/2009; and ICTR–00–61, </w:t>
      </w:r>
      <w:r w:rsidRPr="00ED3DCF">
        <w:rPr>
          <w:rFonts w:ascii="Times New Roman" w:hAnsi="Times New Roman" w:cs="Times New Roman"/>
          <w:i/>
          <w:color w:val="000000" w:themeColor="text1"/>
        </w:rPr>
        <w:t>Gatete</w:t>
      </w:r>
      <w:r w:rsidRPr="00ED3DCF">
        <w:rPr>
          <w:rFonts w:ascii="Times New Roman" w:hAnsi="Times New Roman" w:cs="Times New Roman"/>
          <w:color w:val="000000" w:themeColor="text1"/>
        </w:rPr>
        <w:t xml:space="preserve">, </w:t>
      </w:r>
      <w:r w:rsidRPr="00ED3DCF">
        <w:rPr>
          <w:rFonts w:ascii="Times New Roman" w:hAnsi="Times New Roman" w:cs="Times New Roman"/>
          <w:i/>
          <w:color w:val="000000" w:themeColor="text1"/>
        </w:rPr>
        <w:t>Decision on Defence Motion for Exclusion of Evidence and Delineation of the Defence Case</w:t>
      </w:r>
      <w:r w:rsidRPr="00ED3DCF">
        <w:rPr>
          <w:rFonts w:ascii="Times New Roman" w:hAnsi="Times New Roman" w:cs="Times New Roman"/>
          <w:color w:val="000000" w:themeColor="text1"/>
        </w:rPr>
        <w:t>, 26/03/2010.</w:t>
      </w:r>
      <w:r w:rsidRPr="00ED3DCF">
        <w:rPr>
          <w:rFonts w:ascii="Times New Roman" w:hAnsi="Times New Roman" w:cs="Times New Roman"/>
          <w:color w:val="000000" w:themeColor="text1"/>
          <w:lang w:val="en-US"/>
        </w:rPr>
        <w:t xml:space="preserve"> </w:t>
      </w:r>
    </w:p>
  </w:footnote>
  <w:footnote w:id="97">
    <w:p w14:paraId="2F0F4D1A" w14:textId="3FBFAE9E" w:rsidR="00687D78" w:rsidRPr="00ED3DCF" w:rsidRDefault="00687D78" w:rsidP="00E35C64">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color w:val="000000" w:themeColor="text1"/>
        </w:rPr>
        <w:fldChar w:fldCharType="begin"/>
      </w:r>
      <w:r w:rsidRPr="00ED3DCF">
        <w:rPr>
          <w:rFonts w:ascii="Times New Roman" w:hAnsi="Times New Roman" w:cs="Times New Roman"/>
          <w:color w:val="000000" w:themeColor="text1"/>
        </w:rPr>
        <w:instrText xml:space="preserve"> ADDIN EN.CITE &lt;EndNote&gt;&lt;Cite&gt;&lt;Author&gt;Franke&lt;/Author&gt;&lt;Year&gt;2006&lt;/Year&gt;&lt;RecNum&gt;228&lt;/RecNum&gt;&lt;DisplayText&gt;Katherine Franke, &amp;quot;Gendered Subjects of Transitional Justice,&amp;quot; &lt;style face="italic"&gt;Journal of Gender and Law &lt;/style&gt;15, no. 3 (2006).&lt;/DisplayText&gt;&lt;record&gt;&lt;rec-number&gt;228&lt;/rec-number&gt;&lt;foreign-keys&gt;&lt;key app="EN" db-id="0rewstxe3sdfepeps9f5xrt55srrdw2s5r9x" timestamp="1535644606"&gt;228&lt;/key&gt;&lt;/foreign-keys&gt;&lt;ref-type name="Journal Article"&gt;17&lt;/ref-type&gt;&lt;contributors&gt;&lt;authors&gt;&lt;author&gt;Franke, Katherine&lt;/author&gt;&lt;/authors&gt;&lt;/contributors&gt;&lt;titles&gt;&lt;title&gt;Gendered Subjects of Transitional Justice&lt;/title&gt;&lt;secondary-title&gt;Journal of Gender and Law &lt;/secondary-title&gt;&lt;/titles&gt;&lt;periodical&gt;&lt;full-title&gt;Journal of Gender and Law&lt;/full-title&gt;&lt;/periodical&gt;&lt;pages&gt;316-828&lt;/pages&gt;&lt;volume&gt;15&lt;/volume&gt;&lt;number&gt;3&lt;/number&gt;&lt;keywords&gt;&lt;keyword&gt;Transitional Justice&lt;/keyword&gt;&lt;keyword&gt;Gender&lt;/keyword&gt;&lt;keyword&gt;Law&lt;/keyword&gt;&lt;keyword&gt;Feminism&lt;/keyword&gt;&lt;keyword&gt;Testimony&lt;/keyword&gt;&lt;keyword&gt;Witnesses&lt;/keyword&gt;&lt;/keywords&gt;&lt;dates&gt;&lt;year&gt;2006&lt;/year&gt;&lt;/dates&gt;&lt;urls&gt;&lt;/urls&gt;&lt;/record&gt;&lt;/Cite&gt;&lt;/EndNote&gt;</w:instrText>
      </w:r>
      <w:r w:rsidRPr="00ED3DCF">
        <w:rPr>
          <w:rFonts w:ascii="Times New Roman" w:hAnsi="Times New Roman" w:cs="Times New Roman"/>
          <w:color w:val="000000" w:themeColor="text1"/>
        </w:rPr>
        <w:fldChar w:fldCharType="separate"/>
      </w:r>
      <w:r w:rsidRPr="00ED3DCF">
        <w:rPr>
          <w:rFonts w:ascii="Times New Roman" w:hAnsi="Times New Roman" w:cs="Times New Roman"/>
          <w:noProof/>
          <w:color w:val="000000" w:themeColor="text1"/>
        </w:rPr>
        <w:t xml:space="preserve">Katherine Franke, ‘Gendered Subjects of Transitional Justice’, </w:t>
      </w:r>
      <w:r w:rsidRPr="00ED3DCF">
        <w:rPr>
          <w:rFonts w:ascii="Times New Roman" w:hAnsi="Times New Roman" w:cs="Times New Roman"/>
          <w:i/>
          <w:noProof/>
          <w:color w:val="000000" w:themeColor="text1"/>
        </w:rPr>
        <w:t xml:space="preserve">Journal of Gender and Law </w:t>
      </w:r>
      <w:r w:rsidRPr="00ED3DCF">
        <w:rPr>
          <w:rFonts w:ascii="Times New Roman" w:hAnsi="Times New Roman" w:cs="Times New Roman"/>
          <w:noProof/>
          <w:color w:val="000000" w:themeColor="text1"/>
        </w:rPr>
        <w:t>15, no. 3 (2006): 813-28.</w:t>
      </w:r>
      <w:r w:rsidRPr="00ED3DCF">
        <w:rPr>
          <w:rFonts w:ascii="Times New Roman" w:hAnsi="Times New Roman" w:cs="Times New Roman"/>
          <w:color w:val="000000" w:themeColor="text1"/>
        </w:rPr>
        <w:fldChar w:fldCharType="end"/>
      </w:r>
    </w:p>
  </w:footnote>
  <w:footnote w:id="98">
    <w:p w14:paraId="1C69B0F5" w14:textId="4FDB3A76" w:rsidR="00687D78" w:rsidRPr="00ED3DCF" w:rsidRDefault="00687D78" w:rsidP="00E35C64">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MacKinnon, ‘Sexual Violence’, 214–5. Interview with Senior ICTR Appeals Attorney 2 (Arusha, Tanzania: 2015); </w:t>
      </w:r>
      <w:r w:rsidRPr="00ED3DCF">
        <w:rPr>
          <w:rFonts w:ascii="Times New Roman" w:hAnsi="Times New Roman" w:cs="Times New Roman"/>
          <w:i/>
          <w:color w:val="000000" w:themeColor="text1"/>
        </w:rPr>
        <w:t>Prosecutor v. Juvénal Kajelijeli</w:t>
      </w:r>
      <w:r w:rsidRPr="00ED3DCF">
        <w:rPr>
          <w:rFonts w:ascii="Times New Roman" w:hAnsi="Times New Roman" w:cs="Times New Roman"/>
          <w:color w:val="000000" w:themeColor="text1"/>
        </w:rPr>
        <w:t>, Case No. ICTR–98–44, ICTR–98–44A–0320/1,</w:t>
      </w:r>
      <w:r w:rsidRPr="00ED3DCF">
        <w:rPr>
          <w:rFonts w:ascii="Times New Roman" w:hAnsi="Times New Roman" w:cs="Times New Roman"/>
          <w:i/>
          <w:color w:val="000000" w:themeColor="text1"/>
        </w:rPr>
        <w:t xml:space="preserve"> Judgment and Sentence</w:t>
      </w:r>
      <w:r w:rsidRPr="00ED3DCF">
        <w:rPr>
          <w:rFonts w:ascii="Times New Roman" w:hAnsi="Times New Roman" w:cs="Times New Roman"/>
          <w:color w:val="000000" w:themeColor="text1"/>
        </w:rPr>
        <w:t>, 01/12/2003, 14. Interview with Senior Member of ICTR Office of the Prosecutor (Arusha, Tanzania: 2015).</w:t>
      </w:r>
      <w:r w:rsidRPr="00ED3DCF">
        <w:rPr>
          <w:rFonts w:ascii="Times New Roman" w:hAnsi="Times New Roman" w:cs="Times New Roman"/>
          <w:i/>
          <w:color w:val="000000" w:themeColor="text1"/>
        </w:rPr>
        <w:t xml:space="preserve"> Prosecutor v. Emmanuel Rukundo</w:t>
      </w:r>
      <w:r w:rsidRPr="00ED3DCF">
        <w:rPr>
          <w:rFonts w:ascii="Times New Roman" w:hAnsi="Times New Roman" w:cs="Times New Roman"/>
          <w:color w:val="000000" w:themeColor="text1"/>
        </w:rPr>
        <w:t xml:space="preserve">, Case No. ICTR–01–70, ICTR–01–70–0400/1, </w:t>
      </w:r>
      <w:r w:rsidRPr="00ED3DCF">
        <w:rPr>
          <w:rFonts w:ascii="Times New Roman" w:hAnsi="Times New Roman" w:cs="Times New Roman"/>
          <w:i/>
          <w:color w:val="000000" w:themeColor="text1"/>
        </w:rPr>
        <w:t>Appeals Judgement</w:t>
      </w:r>
      <w:r w:rsidRPr="00ED3DCF">
        <w:rPr>
          <w:rFonts w:ascii="Times New Roman" w:hAnsi="Times New Roman" w:cs="Times New Roman"/>
          <w:color w:val="000000" w:themeColor="text1"/>
        </w:rPr>
        <w:t>, 20/10/2010, 76.</w:t>
      </w:r>
    </w:p>
  </w:footnote>
  <w:footnote w:id="99">
    <w:p w14:paraId="1DB65696" w14:textId="77777777" w:rsidR="00687D78" w:rsidRPr="00ED3DCF" w:rsidRDefault="00687D78" w:rsidP="00E35C64">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ICTR–00–61,</w:t>
      </w:r>
      <w:r w:rsidRPr="00ED3DCF">
        <w:rPr>
          <w:rFonts w:ascii="Times New Roman" w:hAnsi="Times New Roman" w:cs="Times New Roman"/>
          <w:i/>
          <w:color w:val="000000" w:themeColor="text1"/>
        </w:rPr>
        <w:t xml:space="preserve"> </w:t>
      </w:r>
      <w:r w:rsidRPr="00ED3DCF">
        <w:rPr>
          <w:rFonts w:ascii="Times New Roman" w:hAnsi="Times New Roman" w:cs="Times New Roman"/>
          <w:color w:val="000000" w:themeColor="text1"/>
        </w:rPr>
        <w:t xml:space="preserve">TRA005537/2, </w:t>
      </w:r>
      <w:r w:rsidRPr="00ED3DCF">
        <w:rPr>
          <w:rFonts w:ascii="Times New Roman" w:hAnsi="Times New Roman" w:cs="Times New Roman"/>
          <w:i/>
          <w:color w:val="000000" w:themeColor="text1"/>
        </w:rPr>
        <w:t>Gatete – Redacted Transcript of 12/11/2009,</w:t>
      </w:r>
      <w:r w:rsidRPr="00ED3DCF">
        <w:rPr>
          <w:rFonts w:ascii="Times New Roman" w:hAnsi="Times New Roman" w:cs="Times New Roman"/>
          <w:color w:val="000000" w:themeColor="text1"/>
        </w:rPr>
        <w:t xml:space="preserve"> 12/11/2009, 6.</w:t>
      </w:r>
      <w:r w:rsidRPr="00ED3DCF">
        <w:rPr>
          <w:rFonts w:ascii="Times New Roman" w:hAnsi="Times New Roman" w:cs="Times New Roman"/>
          <w:color w:val="000000" w:themeColor="text1"/>
        </w:rPr>
        <w:tab/>
      </w:r>
    </w:p>
  </w:footnote>
  <w:footnote w:id="100">
    <w:p w14:paraId="77247914" w14:textId="77777777" w:rsidR="00687D78" w:rsidRPr="00ED3DCF" w:rsidRDefault="00687D78" w:rsidP="00E35C64">
      <w:pPr>
        <w:pStyle w:val="FootnoteText"/>
        <w:rPr>
          <w:rFonts w:ascii="Times New Roman" w:hAnsi="Times New Roman" w:cs="Times New Roman"/>
          <w:color w:val="000000" w:themeColor="text1"/>
          <w:lang w:val="en-US"/>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i/>
          <w:color w:val="000000" w:themeColor="text1"/>
        </w:rPr>
        <w:t>Ibid.,</w:t>
      </w:r>
      <w:r w:rsidRPr="00ED3DCF">
        <w:rPr>
          <w:rFonts w:ascii="Times New Roman" w:hAnsi="Times New Roman" w:cs="Times New Roman"/>
          <w:color w:val="000000" w:themeColor="text1"/>
        </w:rPr>
        <w:t xml:space="preserve"> 10.</w:t>
      </w:r>
    </w:p>
  </w:footnote>
  <w:footnote w:id="101">
    <w:p w14:paraId="4D45E422" w14:textId="77777777" w:rsidR="00687D78" w:rsidRPr="00ED3DCF" w:rsidRDefault="00687D78" w:rsidP="00E35C64">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ICTR–00–61, ICTR–00–61–0036/1, </w:t>
      </w:r>
      <w:r w:rsidRPr="00ED3DCF">
        <w:rPr>
          <w:rFonts w:ascii="Times New Roman" w:hAnsi="Times New Roman" w:cs="Times New Roman"/>
          <w:i/>
          <w:color w:val="000000" w:themeColor="text1"/>
        </w:rPr>
        <w:t>Gatete – Amended indictment, ICTR–00–61</w:t>
      </w:r>
      <w:r w:rsidRPr="00ED3DCF">
        <w:rPr>
          <w:rFonts w:ascii="Times New Roman" w:hAnsi="Times New Roman" w:cs="Times New Roman"/>
          <w:color w:val="000000" w:themeColor="text1"/>
        </w:rPr>
        <w:t xml:space="preserve">, 10/05/2005, </w:t>
      </w:r>
      <w:r w:rsidRPr="00ED3DCF">
        <w:rPr>
          <w:rFonts w:ascii="Times New Roman" w:hAnsi="Times New Roman" w:cs="Times New Roman"/>
          <w:color w:val="000000" w:themeColor="text1"/>
          <w:lang w:val="en-US"/>
        </w:rPr>
        <w:t>5–6.</w:t>
      </w:r>
    </w:p>
  </w:footnote>
  <w:footnote w:id="102">
    <w:p w14:paraId="489B5EDC" w14:textId="62234C2F" w:rsidR="00687D78" w:rsidRPr="00ED3DCF" w:rsidRDefault="00687D78" w:rsidP="00BA70DD">
      <w:pPr>
        <w:spacing w:after="0" w:line="240" w:lineRule="auto"/>
        <w:rPr>
          <w:rFonts w:ascii="Times New Roman" w:hAnsi="Times New Roman" w:cs="Times New Roman"/>
          <w:color w:val="000000" w:themeColor="text1"/>
          <w:sz w:val="20"/>
          <w:szCs w:val="20"/>
        </w:rPr>
      </w:pPr>
      <w:r w:rsidRPr="00ED3DCF">
        <w:rPr>
          <w:rStyle w:val="FootnoteReference"/>
          <w:rFonts w:ascii="Times New Roman" w:hAnsi="Times New Roman" w:cs="Times New Roman"/>
          <w:color w:val="000000" w:themeColor="text1"/>
          <w:sz w:val="20"/>
          <w:szCs w:val="20"/>
        </w:rPr>
        <w:footnoteRef/>
      </w:r>
      <w:r w:rsidRPr="00ED3DCF">
        <w:rPr>
          <w:rFonts w:ascii="Times New Roman" w:hAnsi="Times New Roman" w:cs="Times New Roman"/>
          <w:color w:val="000000" w:themeColor="text1"/>
          <w:sz w:val="20"/>
          <w:szCs w:val="20"/>
        </w:rPr>
        <w:t xml:space="preserve"> Moreover, as Catherine Franke notes, gender–based violence was (and remains) problematically and narrowly limited to sexual violence. Franke, ‘Gendered Subjects’, 818–20.</w:t>
      </w:r>
    </w:p>
  </w:footnote>
  <w:footnote w:id="103">
    <w:p w14:paraId="17A27318" w14:textId="628D6EC1" w:rsidR="00687D78" w:rsidRPr="00ED3DCF" w:rsidRDefault="00687D78" w:rsidP="00E35C64">
      <w:pPr>
        <w:spacing w:after="0" w:line="240" w:lineRule="auto"/>
        <w:rPr>
          <w:rFonts w:ascii="Times New Roman" w:hAnsi="Times New Roman" w:cs="Times New Roman"/>
          <w:color w:val="000000" w:themeColor="text1"/>
          <w:sz w:val="20"/>
          <w:szCs w:val="20"/>
          <w:lang w:val="en-US"/>
        </w:rPr>
      </w:pPr>
      <w:r w:rsidRPr="00ED3DCF">
        <w:rPr>
          <w:rStyle w:val="FootnoteReference"/>
          <w:rFonts w:ascii="Times New Roman" w:hAnsi="Times New Roman" w:cs="Times New Roman"/>
          <w:color w:val="000000" w:themeColor="text1"/>
          <w:sz w:val="20"/>
          <w:szCs w:val="20"/>
        </w:rPr>
        <w:footnoteRef/>
      </w:r>
      <w:r w:rsidRPr="00ED3DCF">
        <w:rPr>
          <w:rFonts w:ascii="Times New Roman" w:hAnsi="Times New Roman" w:cs="Times New Roman"/>
          <w:color w:val="000000" w:themeColor="text1"/>
          <w:sz w:val="20"/>
          <w:szCs w:val="20"/>
        </w:rPr>
        <w:t xml:space="preserve"> Interview with Professor </w:t>
      </w:r>
      <w:r w:rsidRPr="00ED3DCF">
        <w:rPr>
          <w:rFonts w:ascii="Times New Roman" w:hAnsi="Times New Roman" w:cs="Times New Roman"/>
          <w:color w:val="000000" w:themeColor="text1"/>
          <w:sz w:val="20"/>
          <w:szCs w:val="20"/>
          <w:lang w:val="en-US"/>
        </w:rPr>
        <w:t xml:space="preserve">Ruzindana, (Arusha, Tanzania: </w:t>
      </w:r>
      <w:r w:rsidRPr="00ED3DCF">
        <w:rPr>
          <w:rFonts w:ascii="Times New Roman" w:hAnsi="Times New Roman" w:cs="Times New Roman"/>
          <w:color w:val="000000" w:themeColor="text1"/>
          <w:sz w:val="20"/>
          <w:szCs w:val="20"/>
        </w:rPr>
        <w:t>2015).</w:t>
      </w:r>
    </w:p>
  </w:footnote>
  <w:footnote w:id="104">
    <w:p w14:paraId="4E26125F" w14:textId="6492CACF" w:rsidR="00687D78" w:rsidRPr="00ED3DCF" w:rsidRDefault="00687D78" w:rsidP="00E35C64">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ICTR–96–4, CONTRA001189, </w:t>
      </w:r>
      <w:r w:rsidRPr="00ED3DCF">
        <w:rPr>
          <w:rFonts w:ascii="Times New Roman" w:hAnsi="Times New Roman" w:cs="Times New Roman"/>
          <w:i/>
          <w:color w:val="000000" w:themeColor="text1"/>
        </w:rPr>
        <w:t>Akayesu – Transcript of 30/1/1997</w:t>
      </w:r>
      <w:r w:rsidRPr="00ED3DCF">
        <w:rPr>
          <w:rFonts w:ascii="Times New Roman" w:hAnsi="Times New Roman" w:cs="Times New Roman"/>
          <w:color w:val="000000" w:themeColor="text1"/>
        </w:rPr>
        <w:t>, 30/01/1997, 105–165. See also ICTR–96–4</w:t>
      </w:r>
      <w:r w:rsidRPr="00ED3DCF">
        <w:rPr>
          <w:rFonts w:ascii="Times New Roman" w:hAnsi="Times New Roman" w:cs="Times New Roman"/>
          <w:caps/>
          <w:color w:val="000000" w:themeColor="text1"/>
        </w:rPr>
        <w:t xml:space="preserve">, </w:t>
      </w:r>
      <w:r w:rsidRPr="00ED3DCF">
        <w:rPr>
          <w:rFonts w:ascii="Times New Roman" w:hAnsi="Times New Roman" w:cs="Times New Roman"/>
          <w:color w:val="000000" w:themeColor="text1"/>
        </w:rPr>
        <w:t xml:space="preserve">CONTRA001190, </w:t>
      </w:r>
      <w:r w:rsidRPr="00ED3DCF">
        <w:rPr>
          <w:rFonts w:ascii="Times New Roman" w:hAnsi="Times New Roman" w:cs="Times New Roman"/>
          <w:i/>
          <w:color w:val="000000" w:themeColor="text1"/>
        </w:rPr>
        <w:t>Akayesu – Transcript of 4/2/1997</w:t>
      </w:r>
      <w:r w:rsidRPr="00ED3DCF">
        <w:rPr>
          <w:rFonts w:ascii="Times New Roman" w:hAnsi="Times New Roman" w:cs="Times New Roman"/>
          <w:color w:val="000000" w:themeColor="text1"/>
        </w:rPr>
        <w:t xml:space="preserve">, 04/02/1997; Carla Del Ponte, ‘Investigation and Prosecution of Large–Scale Crimes at the International Level’, </w:t>
      </w:r>
      <w:r w:rsidRPr="00ED3DCF">
        <w:rPr>
          <w:rFonts w:ascii="Times New Roman" w:hAnsi="Times New Roman" w:cs="Times New Roman"/>
          <w:i/>
          <w:color w:val="000000" w:themeColor="text1"/>
        </w:rPr>
        <w:t>Journal of International Criminal Justice</w:t>
      </w:r>
      <w:r w:rsidRPr="00ED3DCF">
        <w:rPr>
          <w:rFonts w:ascii="Times New Roman" w:hAnsi="Times New Roman" w:cs="Times New Roman"/>
          <w:color w:val="000000" w:themeColor="text1"/>
        </w:rPr>
        <w:t xml:space="preserve"> 4 (2006): 553.</w:t>
      </w:r>
    </w:p>
  </w:footnote>
  <w:footnote w:id="105">
    <w:p w14:paraId="259B9843" w14:textId="77777777" w:rsidR="00687D78" w:rsidRPr="00ED3DCF" w:rsidRDefault="00687D78" w:rsidP="00E35C64">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CONTRA001189, 164–71.</w:t>
      </w:r>
    </w:p>
  </w:footnote>
  <w:footnote w:id="106">
    <w:p w14:paraId="5D2CFC55" w14:textId="77777777" w:rsidR="00687D78" w:rsidRPr="00ED3DCF" w:rsidRDefault="00687D78" w:rsidP="00E35C64">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i/>
          <w:color w:val="000000" w:themeColor="text1"/>
        </w:rPr>
        <w:t xml:space="preserve">Ibid., </w:t>
      </w:r>
      <w:r w:rsidRPr="00ED3DCF">
        <w:rPr>
          <w:rFonts w:ascii="Times New Roman" w:hAnsi="Times New Roman" w:cs="Times New Roman"/>
          <w:color w:val="000000" w:themeColor="text1"/>
        </w:rPr>
        <w:t>172–6.</w:t>
      </w:r>
    </w:p>
  </w:footnote>
  <w:footnote w:id="107">
    <w:p w14:paraId="21D93959" w14:textId="622E47D2" w:rsidR="00687D78" w:rsidRPr="00ED3DCF" w:rsidRDefault="00687D78" w:rsidP="00E35C64">
      <w:pPr>
        <w:pStyle w:val="FootnoteText"/>
        <w:ind w:left="720" w:hanging="720"/>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ICTR–96–4, ICTR–96–4–0459/1, </w:t>
      </w:r>
      <w:r w:rsidRPr="00ED3DCF">
        <w:rPr>
          <w:rFonts w:ascii="Times New Roman" w:hAnsi="Times New Roman" w:cs="Times New Roman"/>
          <w:i/>
          <w:color w:val="000000" w:themeColor="text1"/>
        </w:rPr>
        <w:t>Akayesu</w:t>
      </w:r>
      <w:r w:rsidRPr="00ED3DCF">
        <w:rPr>
          <w:rFonts w:ascii="Times New Roman" w:hAnsi="Times New Roman" w:cs="Times New Roman"/>
          <w:color w:val="000000" w:themeColor="text1"/>
        </w:rPr>
        <w:t xml:space="preserve"> – </w:t>
      </w:r>
      <w:r w:rsidRPr="00ED3DCF">
        <w:rPr>
          <w:rFonts w:ascii="Times New Roman" w:hAnsi="Times New Roman" w:cs="Times New Roman"/>
          <w:i/>
          <w:color w:val="000000" w:themeColor="text1"/>
        </w:rPr>
        <w:t>Judgement</w:t>
      </w:r>
      <w:r w:rsidRPr="00ED3DCF">
        <w:rPr>
          <w:rFonts w:ascii="Times New Roman" w:hAnsi="Times New Roman" w:cs="Times New Roman"/>
          <w:color w:val="000000" w:themeColor="text1"/>
        </w:rPr>
        <w:t>, 02/09/1998, 76–7.</w:t>
      </w:r>
    </w:p>
  </w:footnote>
  <w:footnote w:id="108">
    <w:p w14:paraId="2579D776" w14:textId="77777777" w:rsidR="00687D78" w:rsidRPr="00ED3DCF" w:rsidRDefault="00687D78" w:rsidP="00E35C64">
      <w:pPr>
        <w:pStyle w:val="FootnoteText"/>
        <w:rPr>
          <w:rFonts w:ascii="Times New Roman" w:hAnsi="Times New Roman" w:cs="Times New Roman"/>
          <w:color w:val="000000" w:themeColor="text1"/>
          <w:lang w:val="en-US"/>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i/>
          <w:color w:val="000000" w:themeColor="text1"/>
        </w:rPr>
        <w:t>Ibid</w:t>
      </w:r>
      <w:r w:rsidRPr="00ED3DCF">
        <w:rPr>
          <w:rFonts w:ascii="Times New Roman" w:hAnsi="Times New Roman" w:cs="Times New Roman"/>
          <w:color w:val="000000" w:themeColor="text1"/>
        </w:rPr>
        <w:t xml:space="preserve">., </w:t>
      </w:r>
      <w:r w:rsidRPr="00ED3DCF">
        <w:rPr>
          <w:rFonts w:ascii="Times New Roman" w:hAnsi="Times New Roman" w:cs="Times New Roman"/>
          <w:color w:val="000000" w:themeColor="text1"/>
          <w:lang w:val="en-US"/>
        </w:rPr>
        <w:t>77.</w:t>
      </w:r>
    </w:p>
  </w:footnote>
  <w:footnote w:id="109">
    <w:p w14:paraId="4E4B9253" w14:textId="77777777" w:rsidR="00687D78" w:rsidRPr="00ED3DCF" w:rsidRDefault="00687D78" w:rsidP="00E35C64">
      <w:pPr>
        <w:pStyle w:val="FootnoteText"/>
        <w:rPr>
          <w:rFonts w:ascii="Times New Roman" w:hAnsi="Times New Roman" w:cs="Times New Roman"/>
          <w:color w:val="000000" w:themeColor="text1"/>
          <w:lang w:val="en-US"/>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For an example see: </w:t>
      </w:r>
      <w:r w:rsidRPr="00ED3DCF">
        <w:rPr>
          <w:rFonts w:ascii="Times New Roman" w:hAnsi="Times New Roman" w:cs="Times New Roman"/>
          <w:i/>
          <w:color w:val="000000" w:themeColor="text1"/>
        </w:rPr>
        <w:t>Ibid</w:t>
      </w:r>
      <w:r w:rsidRPr="00ED3DCF">
        <w:rPr>
          <w:rFonts w:ascii="Times New Roman" w:hAnsi="Times New Roman" w:cs="Times New Roman"/>
          <w:color w:val="000000" w:themeColor="text1"/>
        </w:rPr>
        <w:t>.,</w:t>
      </w:r>
      <w:r w:rsidRPr="00ED3DCF">
        <w:rPr>
          <w:rFonts w:ascii="Times New Roman" w:hAnsi="Times New Roman" w:cs="Times New Roman"/>
          <w:i/>
          <w:color w:val="000000" w:themeColor="text1"/>
        </w:rPr>
        <w:t xml:space="preserve"> </w:t>
      </w:r>
      <w:r w:rsidRPr="00ED3DCF">
        <w:rPr>
          <w:rFonts w:ascii="Times New Roman" w:hAnsi="Times New Roman" w:cs="Times New Roman"/>
          <w:color w:val="000000" w:themeColor="text1"/>
        </w:rPr>
        <w:t xml:space="preserve">79. </w:t>
      </w:r>
    </w:p>
  </w:footnote>
  <w:footnote w:id="110">
    <w:p w14:paraId="4439466E" w14:textId="77777777" w:rsidR="00687D78" w:rsidRPr="00ED3DCF" w:rsidRDefault="00687D78" w:rsidP="00E35C64">
      <w:pPr>
        <w:pStyle w:val="FootnoteText"/>
        <w:rPr>
          <w:rFonts w:ascii="Times New Roman" w:hAnsi="Times New Roman" w:cs="Times New Roman"/>
          <w:color w:val="000000" w:themeColor="text1"/>
          <w:lang w:val="en-US"/>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ICTR–96–4–0459/1, </w:t>
      </w:r>
      <w:r w:rsidRPr="00ED3DCF">
        <w:rPr>
          <w:rFonts w:ascii="Times New Roman" w:hAnsi="Times New Roman" w:cs="Times New Roman"/>
          <w:color w:val="000000" w:themeColor="text1"/>
          <w:lang w:val="en-US"/>
        </w:rPr>
        <w:t>42.</w:t>
      </w:r>
    </w:p>
  </w:footnote>
  <w:footnote w:id="111">
    <w:p w14:paraId="644FC05A" w14:textId="77777777" w:rsidR="00687D78" w:rsidRPr="00ED3DCF" w:rsidRDefault="00687D78" w:rsidP="00E35C64">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i/>
          <w:color w:val="000000" w:themeColor="text1"/>
        </w:rPr>
        <w:t>Ibid.,</w:t>
      </w:r>
      <w:r w:rsidRPr="00ED3DCF">
        <w:rPr>
          <w:rFonts w:ascii="Times New Roman" w:hAnsi="Times New Roman" w:cs="Times New Roman"/>
          <w:color w:val="000000" w:themeColor="text1"/>
        </w:rPr>
        <w:t xml:space="preserve"> 106. See also </w:t>
      </w:r>
      <w:r w:rsidRPr="00ED3DCF">
        <w:rPr>
          <w:rFonts w:ascii="Times New Roman" w:hAnsi="Times New Roman" w:cs="Times New Roman"/>
          <w:caps/>
          <w:color w:val="000000" w:themeColor="text1"/>
        </w:rPr>
        <w:t xml:space="preserve">ICTR–96–4, </w:t>
      </w:r>
      <w:r w:rsidRPr="00ED3DCF">
        <w:rPr>
          <w:rFonts w:ascii="Times New Roman" w:hAnsi="Times New Roman" w:cs="Times New Roman"/>
          <w:color w:val="000000" w:themeColor="text1"/>
        </w:rPr>
        <w:t xml:space="preserve">CONTRA001198, </w:t>
      </w:r>
      <w:r w:rsidRPr="00ED3DCF">
        <w:rPr>
          <w:rFonts w:ascii="Times New Roman" w:hAnsi="Times New Roman" w:cs="Times New Roman"/>
          <w:i/>
          <w:color w:val="000000" w:themeColor="text1"/>
        </w:rPr>
        <w:t>Akayesu – Transcript of 6/2/1997</w:t>
      </w:r>
      <w:r w:rsidRPr="00ED3DCF">
        <w:rPr>
          <w:rFonts w:ascii="Times New Roman" w:hAnsi="Times New Roman" w:cs="Times New Roman"/>
          <w:color w:val="000000" w:themeColor="text1"/>
        </w:rPr>
        <w:t>, 06/02/1997, 171.</w:t>
      </w:r>
    </w:p>
  </w:footnote>
  <w:footnote w:id="112">
    <w:p w14:paraId="4FDABE2B" w14:textId="101493DC" w:rsidR="00687D78" w:rsidRPr="00ED3DCF" w:rsidRDefault="00687D78" w:rsidP="00404BCA">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Jabri, ‘Disarming Norms’, 378-85.</w:t>
      </w:r>
    </w:p>
  </w:footnote>
  <w:footnote w:id="113">
    <w:p w14:paraId="02F4CD48" w14:textId="45AB9400" w:rsidR="00687D78" w:rsidRPr="00ED3DCF" w:rsidRDefault="00687D78" w:rsidP="00E35C64">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color w:val="000000" w:themeColor="text1"/>
          <w:lang w:val="en-US"/>
        </w:rPr>
        <w:t>Ruzindana</w:t>
      </w:r>
      <w:r w:rsidRPr="00ED3DCF" w:rsidDel="00500A02">
        <w:rPr>
          <w:rFonts w:ascii="Times New Roman" w:hAnsi="Times New Roman" w:cs="Times New Roman"/>
          <w:color w:val="000000" w:themeColor="text1"/>
        </w:rPr>
        <w:t xml:space="preserve"> </w:t>
      </w:r>
      <w:r w:rsidRPr="00ED3DCF">
        <w:rPr>
          <w:rFonts w:ascii="Times New Roman" w:hAnsi="Times New Roman" w:cs="Times New Roman"/>
          <w:color w:val="000000" w:themeColor="text1"/>
        </w:rPr>
        <w:t>(2015); Interview with former ICTR Appeals Judge (Copenhagen, Denmark: 2016).</w:t>
      </w:r>
    </w:p>
  </w:footnote>
  <w:footnote w:id="114">
    <w:p w14:paraId="0473F117" w14:textId="6E7B4D40" w:rsidR="00687D78" w:rsidRPr="00ED3DCF" w:rsidRDefault="00687D78" w:rsidP="00E35C64">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Interview with ICTR Appeals Attorney</w:t>
      </w:r>
      <w:r w:rsidRPr="00ED3DCF" w:rsidDel="008C2D25">
        <w:rPr>
          <w:rFonts w:ascii="Times New Roman" w:hAnsi="Times New Roman" w:cs="Times New Roman"/>
          <w:color w:val="000000" w:themeColor="text1"/>
        </w:rPr>
        <w:t xml:space="preserve"> </w:t>
      </w:r>
      <w:r w:rsidRPr="00ED3DCF">
        <w:rPr>
          <w:rFonts w:ascii="Times New Roman" w:hAnsi="Times New Roman" w:cs="Times New Roman"/>
          <w:color w:val="000000" w:themeColor="text1"/>
        </w:rPr>
        <w:t>(Arusha, Tanzania: 2015).</w:t>
      </w:r>
    </w:p>
  </w:footnote>
  <w:footnote w:id="115">
    <w:p w14:paraId="6EF4C018" w14:textId="77777777" w:rsidR="00687D78" w:rsidRPr="00ED3DCF" w:rsidRDefault="00687D78" w:rsidP="00E35C64">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i/>
          <w:color w:val="000000" w:themeColor="text1"/>
        </w:rPr>
        <w:t>Ibid</w:t>
      </w:r>
      <w:r w:rsidRPr="00ED3DCF">
        <w:rPr>
          <w:rFonts w:ascii="Times New Roman" w:hAnsi="Times New Roman" w:cs="Times New Roman"/>
          <w:color w:val="000000" w:themeColor="text1"/>
        </w:rPr>
        <w:t>.</w:t>
      </w:r>
    </w:p>
  </w:footnote>
  <w:footnote w:id="116">
    <w:p w14:paraId="3E7A4727" w14:textId="77777777" w:rsidR="00687D78" w:rsidRPr="00ED3DCF" w:rsidRDefault="00687D78" w:rsidP="00E35C64">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ICTR–96–4, CONTRA001183, </w:t>
      </w:r>
      <w:r w:rsidRPr="00ED3DCF">
        <w:rPr>
          <w:rFonts w:ascii="Times New Roman" w:hAnsi="Times New Roman" w:cs="Times New Roman"/>
          <w:i/>
          <w:color w:val="000000" w:themeColor="text1"/>
        </w:rPr>
        <w:t>Akayesu – Transcript of 15/1/1997</w:t>
      </w:r>
      <w:r w:rsidRPr="00ED3DCF">
        <w:rPr>
          <w:rFonts w:ascii="Times New Roman" w:hAnsi="Times New Roman" w:cs="Times New Roman"/>
          <w:color w:val="000000" w:themeColor="text1"/>
        </w:rPr>
        <w:t>, 15/01/1997, 131.</w:t>
      </w:r>
    </w:p>
  </w:footnote>
  <w:footnote w:id="117">
    <w:p w14:paraId="2269B6AA" w14:textId="77777777" w:rsidR="00A8256E" w:rsidRPr="00ED3DCF" w:rsidRDefault="00A8256E" w:rsidP="00E35C64">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Interview with Senior Reviser (Arusha, Tanzania: 2015); CONTRA001189, 172-6.</w:t>
      </w:r>
    </w:p>
  </w:footnote>
  <w:footnote w:id="118">
    <w:p w14:paraId="4C914FE1" w14:textId="6F8946C3" w:rsidR="00A8256E" w:rsidRPr="00ED3DCF" w:rsidRDefault="00A8256E" w:rsidP="00E35C64">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i/>
          <w:color w:val="000000" w:themeColor="text1"/>
        </w:rPr>
        <w:t>Supra note 1</w:t>
      </w:r>
      <w:r w:rsidR="007625F2">
        <w:rPr>
          <w:rFonts w:ascii="Times New Roman" w:hAnsi="Times New Roman" w:cs="Times New Roman"/>
          <w:i/>
          <w:color w:val="000000" w:themeColor="text1"/>
        </w:rPr>
        <w:t>4</w:t>
      </w:r>
      <w:r w:rsidRPr="00ED3DCF">
        <w:rPr>
          <w:rFonts w:ascii="Times New Roman" w:hAnsi="Times New Roman" w:cs="Times New Roman"/>
          <w:color w:val="000000" w:themeColor="text1"/>
        </w:rPr>
        <w:t>, 96.</w:t>
      </w:r>
    </w:p>
  </w:footnote>
  <w:footnote w:id="119">
    <w:p w14:paraId="53AFFA5A" w14:textId="77777777" w:rsidR="00687D78" w:rsidRPr="00ED3DCF" w:rsidRDefault="00687D78" w:rsidP="00E35C64">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eastAsia="Calibri" w:hAnsi="Times New Roman" w:cs="Times New Roman"/>
          <w:color w:val="000000" w:themeColor="text1"/>
        </w:rPr>
        <w:t xml:space="preserve">ICTR, ‘Testifying Before the International Criminal Tribunal for Rwanda’, </w:t>
      </w:r>
      <w:r w:rsidRPr="00ED3DCF">
        <w:rPr>
          <w:rFonts w:ascii="Times New Roman" w:eastAsia="Calibri" w:hAnsi="Times New Roman" w:cs="Times New Roman"/>
          <w:i/>
          <w:color w:val="000000" w:themeColor="text1"/>
        </w:rPr>
        <w:t>06FB002</w:t>
      </w:r>
      <w:r w:rsidRPr="00ED3DCF">
        <w:rPr>
          <w:rFonts w:ascii="Times New Roman" w:eastAsia="Calibri" w:hAnsi="Times New Roman" w:cs="Times New Roman"/>
          <w:color w:val="000000" w:themeColor="text1"/>
        </w:rPr>
        <w:t xml:space="preserve"> (Arusha: 2005).</w:t>
      </w:r>
    </w:p>
  </w:footnote>
  <w:footnote w:id="120">
    <w:p w14:paraId="21242012" w14:textId="77777777" w:rsidR="00687D78" w:rsidRPr="00ED3DCF" w:rsidRDefault="00687D78" w:rsidP="00E35C64">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i/>
          <w:color w:val="000000" w:themeColor="text1"/>
        </w:rPr>
        <w:t xml:space="preserve">Ibid </w:t>
      </w:r>
      <w:r w:rsidRPr="00ED3DCF">
        <w:rPr>
          <w:rFonts w:ascii="Times New Roman" w:hAnsi="Times New Roman" w:cs="Times New Roman"/>
          <w:color w:val="000000" w:themeColor="text1"/>
        </w:rPr>
        <w:t>8-21.</w:t>
      </w:r>
    </w:p>
  </w:footnote>
  <w:footnote w:id="121">
    <w:p w14:paraId="01EF100F" w14:textId="291A34B0" w:rsidR="00687D78" w:rsidRPr="00ED3DCF" w:rsidRDefault="00687D78" w:rsidP="00E35C64">
      <w:pPr>
        <w:pStyle w:val="FootnoteText"/>
        <w:rPr>
          <w:rFonts w:ascii="Times New Roman" w:hAnsi="Times New Roman" w:cs="Times New Roman"/>
          <w:i/>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The manual was also directed at convincing witnesses to testify, noting that ‘</w:t>
      </w:r>
      <w:r w:rsidRPr="00ED3DCF">
        <w:rPr>
          <w:rFonts w:ascii="Times New Roman" w:eastAsia="Calibri" w:hAnsi="Times New Roman" w:cs="Times New Roman"/>
          <w:color w:val="000000" w:themeColor="text1"/>
        </w:rPr>
        <w:t xml:space="preserve">Refusing to testify amounts to showing disregard for the law and for your country. Examine your conscience… to find the answer. Ask yourself this: What good would it really do to have the events of Rwanda happen again? No one but you has the answer to the restoration of trust among the Rwandan people’. </w:t>
      </w:r>
      <w:r w:rsidRPr="00ED3DCF">
        <w:rPr>
          <w:rFonts w:ascii="Times New Roman" w:eastAsia="Calibri" w:hAnsi="Times New Roman" w:cs="Times New Roman"/>
          <w:i/>
          <w:color w:val="000000" w:themeColor="text1"/>
        </w:rPr>
        <w:t>Supra note 105</w:t>
      </w:r>
      <w:r w:rsidRPr="00ED3DCF">
        <w:rPr>
          <w:rFonts w:ascii="Times New Roman" w:eastAsia="Calibri" w:hAnsi="Times New Roman" w:cs="Times New Roman"/>
          <w:color w:val="000000" w:themeColor="text1"/>
        </w:rPr>
        <w:t>, 10</w:t>
      </w:r>
      <w:r w:rsidRPr="00ED3DCF">
        <w:rPr>
          <w:rFonts w:ascii="Times New Roman" w:eastAsia="Calibri" w:hAnsi="Times New Roman" w:cs="Times New Roman"/>
          <w:i/>
          <w:color w:val="000000" w:themeColor="text1"/>
        </w:rPr>
        <w:t>.</w:t>
      </w:r>
      <w:r w:rsidRPr="00ED3DCF">
        <w:rPr>
          <w:rFonts w:ascii="Times New Roman" w:eastAsia="Calibri" w:hAnsi="Times New Roman" w:cs="Times New Roman"/>
          <w:color w:val="000000" w:themeColor="text1"/>
        </w:rPr>
        <w:t xml:space="preserve"> </w:t>
      </w:r>
    </w:p>
  </w:footnote>
  <w:footnote w:id="122">
    <w:p w14:paraId="4B47C7CC" w14:textId="77777777" w:rsidR="00687D78" w:rsidRPr="00ED3DCF" w:rsidRDefault="00687D78" w:rsidP="00E35C64">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UNSC, S/PV.5453, </w:t>
      </w:r>
      <w:r w:rsidRPr="00ED3DCF">
        <w:rPr>
          <w:rFonts w:ascii="Times New Roman" w:hAnsi="Times New Roman" w:cs="Times New Roman"/>
          <w:i/>
          <w:color w:val="000000" w:themeColor="text1"/>
        </w:rPr>
        <w:t>5453</w:t>
      </w:r>
      <w:r w:rsidRPr="00ED3DCF">
        <w:rPr>
          <w:rFonts w:ascii="Times New Roman" w:hAnsi="Times New Roman" w:cs="Times New Roman"/>
          <w:i/>
          <w:color w:val="000000" w:themeColor="text1"/>
          <w:vertAlign w:val="superscript"/>
        </w:rPr>
        <w:t>rd</w:t>
      </w:r>
      <w:r w:rsidRPr="00ED3DCF">
        <w:rPr>
          <w:rFonts w:ascii="Times New Roman" w:hAnsi="Times New Roman" w:cs="Times New Roman"/>
          <w:i/>
          <w:color w:val="000000" w:themeColor="text1"/>
        </w:rPr>
        <w:t xml:space="preserve"> Meeting</w:t>
      </w:r>
      <w:r w:rsidRPr="00ED3DCF">
        <w:rPr>
          <w:rFonts w:ascii="Times New Roman" w:hAnsi="Times New Roman" w:cs="Times New Roman"/>
          <w:color w:val="000000" w:themeColor="text1"/>
        </w:rPr>
        <w:t>,</w:t>
      </w:r>
      <w:r w:rsidRPr="00ED3DCF">
        <w:rPr>
          <w:rFonts w:ascii="Times New Roman" w:hAnsi="Times New Roman" w:cs="Times New Roman"/>
          <w:i/>
          <w:color w:val="000000" w:themeColor="text1"/>
        </w:rPr>
        <w:t xml:space="preserve"> </w:t>
      </w:r>
      <w:r w:rsidRPr="00ED3DCF">
        <w:rPr>
          <w:rFonts w:ascii="Times New Roman" w:hAnsi="Times New Roman" w:cs="Times New Roman"/>
          <w:color w:val="000000" w:themeColor="text1"/>
        </w:rPr>
        <w:t xml:space="preserve">07/06/2006, 32; UNSC, S/PV.5697, </w:t>
      </w:r>
      <w:r w:rsidRPr="00ED3DCF">
        <w:rPr>
          <w:rFonts w:ascii="Times New Roman" w:hAnsi="Times New Roman" w:cs="Times New Roman"/>
          <w:i/>
          <w:color w:val="000000" w:themeColor="text1"/>
        </w:rPr>
        <w:t>5697</w:t>
      </w:r>
      <w:r w:rsidRPr="00ED3DCF">
        <w:rPr>
          <w:rFonts w:ascii="Times New Roman" w:hAnsi="Times New Roman" w:cs="Times New Roman"/>
          <w:i/>
          <w:color w:val="000000" w:themeColor="text1"/>
          <w:vertAlign w:val="superscript"/>
        </w:rPr>
        <w:t>th</w:t>
      </w:r>
      <w:r w:rsidRPr="00ED3DCF">
        <w:rPr>
          <w:rFonts w:ascii="Times New Roman" w:hAnsi="Times New Roman" w:cs="Times New Roman"/>
          <w:i/>
          <w:color w:val="000000" w:themeColor="text1"/>
        </w:rPr>
        <w:t xml:space="preserve"> Meeting</w:t>
      </w:r>
      <w:r w:rsidRPr="00ED3DCF">
        <w:rPr>
          <w:rFonts w:ascii="Times New Roman" w:hAnsi="Times New Roman" w:cs="Times New Roman"/>
          <w:color w:val="000000" w:themeColor="text1"/>
        </w:rPr>
        <w:t xml:space="preserve">, 18/06/2007, 33; UNSC, S/PV.6228, </w:t>
      </w:r>
      <w:r w:rsidRPr="00ED3DCF">
        <w:rPr>
          <w:rFonts w:ascii="Times New Roman" w:hAnsi="Times New Roman" w:cs="Times New Roman"/>
          <w:i/>
          <w:color w:val="000000" w:themeColor="text1"/>
        </w:rPr>
        <w:t>6228</w:t>
      </w:r>
      <w:r w:rsidRPr="00ED3DCF">
        <w:rPr>
          <w:rFonts w:ascii="Times New Roman" w:hAnsi="Times New Roman" w:cs="Times New Roman"/>
          <w:i/>
          <w:color w:val="000000" w:themeColor="text1"/>
          <w:vertAlign w:val="superscript"/>
        </w:rPr>
        <w:t>th</w:t>
      </w:r>
      <w:r w:rsidRPr="00ED3DCF">
        <w:rPr>
          <w:rFonts w:ascii="Times New Roman" w:hAnsi="Times New Roman" w:cs="Times New Roman"/>
          <w:i/>
          <w:color w:val="000000" w:themeColor="text1"/>
        </w:rPr>
        <w:t xml:space="preserve"> Meeting</w:t>
      </w:r>
      <w:r w:rsidRPr="00ED3DCF">
        <w:rPr>
          <w:rFonts w:ascii="Times New Roman" w:hAnsi="Times New Roman" w:cs="Times New Roman"/>
          <w:color w:val="000000" w:themeColor="text1"/>
        </w:rPr>
        <w:t>, 03/12/2009, 33.</w:t>
      </w:r>
    </w:p>
  </w:footnote>
  <w:footnote w:id="123">
    <w:p w14:paraId="1BC8A75E" w14:textId="270EF8E7" w:rsidR="00687D78" w:rsidRPr="00ED3DCF" w:rsidRDefault="00687D78" w:rsidP="00E35C64">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See also Ketlaar, ‘Truths’, 203. </w:t>
      </w:r>
    </w:p>
  </w:footnote>
  <w:footnote w:id="124">
    <w:p w14:paraId="7BC98BD9" w14:textId="77777777" w:rsidR="00687D78" w:rsidRPr="00ED3DCF" w:rsidRDefault="00687D78" w:rsidP="00E35C64">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color w:val="000000" w:themeColor="text1"/>
          <w:lang w:val="en-US"/>
        </w:rPr>
        <w:t xml:space="preserve">UNSC, </w:t>
      </w:r>
      <w:r w:rsidRPr="00ED3DCF">
        <w:rPr>
          <w:rFonts w:ascii="Times New Roman" w:hAnsi="Times New Roman" w:cs="Times New Roman"/>
          <w:color w:val="000000" w:themeColor="text1"/>
        </w:rPr>
        <w:t xml:space="preserve">S/2009/258, </w:t>
      </w:r>
      <w:r w:rsidRPr="00ED3DCF">
        <w:rPr>
          <w:rFonts w:ascii="Times New Roman" w:hAnsi="Times New Roman" w:cs="Times New Roman"/>
          <w:i/>
          <w:color w:val="000000" w:themeColor="text1"/>
        </w:rPr>
        <w:t>Report of the Secretary–General on the Administrative and Budgetary Aspects of the Options for Possible Locations for the Archives of the ICTY and ICTR and the Seat of the Residual Mechanism(s) for the Tribunals</w:t>
      </w:r>
      <w:r w:rsidRPr="00ED3DCF">
        <w:rPr>
          <w:rFonts w:ascii="Times New Roman" w:hAnsi="Times New Roman" w:cs="Times New Roman"/>
          <w:color w:val="000000" w:themeColor="text1"/>
        </w:rPr>
        <w:t>, 21/05/2009, 14.</w:t>
      </w:r>
    </w:p>
  </w:footnote>
  <w:footnote w:id="125">
    <w:p w14:paraId="0F08CB26" w14:textId="061D8031"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This isn’t, however, to claim that the Rwandan government, headed by Paul Kagame and the Rwandan Patriotic Front (RPF), was a passive subject in relation to the tribunal. Indeed, on numerous occasions, the RPF successfully intervened and reshaped the tribunal’s approach to the trials, including preventing the prosecution from opening up indictments that related to crimes committed by the RPF. See Victor Peskin, </w:t>
      </w:r>
      <w:r w:rsidRPr="00ED3DCF">
        <w:rPr>
          <w:rFonts w:ascii="Times New Roman" w:hAnsi="Times New Roman" w:cs="Times New Roman"/>
          <w:i/>
          <w:iCs/>
          <w:color w:val="000000" w:themeColor="text1"/>
        </w:rPr>
        <w:t>International justice in Rwanda and the Balkans: Virtual Trials and the Struggle for State Cooperation</w:t>
      </w:r>
      <w:r w:rsidRPr="00ED3DCF">
        <w:rPr>
          <w:rFonts w:ascii="Times New Roman" w:hAnsi="Times New Roman" w:cs="Times New Roman"/>
          <w:color w:val="000000" w:themeColor="text1"/>
        </w:rPr>
        <w:t xml:space="preserve"> (Cambridge: Cambridge University Press, 2008)</w:t>
      </w:r>
      <w:r w:rsidRPr="00ED3DCF">
        <w:rPr>
          <w:rFonts w:ascii="Times New Roman" w:hAnsi="Times New Roman" w:cs="Times New Roman"/>
          <w:i/>
          <w:color w:val="000000" w:themeColor="text1"/>
        </w:rPr>
        <w:t>.</w:t>
      </w:r>
    </w:p>
  </w:footnote>
  <w:footnote w:id="126">
    <w:p w14:paraId="36F81FEE" w14:textId="7C51F59D" w:rsidR="00687D78" w:rsidRPr="00ED3DCF" w:rsidRDefault="00687D7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The archive, then, prevents what Mignolo calls a ‘pluriversal epistemology’ from emerging, which would be central to a post-colonial approach to knowledge production as it would recognise the diversity of the subaltern as an integral part of community. Mignolo, ‘Introduction’, 159-. See also Spivak, ‘Can the Subaltern Speak?’; </w:t>
      </w:r>
    </w:p>
  </w:footnote>
  <w:footnote w:id="127">
    <w:p w14:paraId="74E40C98" w14:textId="425C2788" w:rsidR="00687D78" w:rsidRPr="00ED3DCF" w:rsidRDefault="00687D78" w:rsidP="002F42C1">
      <w:pPr>
        <w:pStyle w:val="FootnoteText"/>
        <w:rPr>
          <w:rFonts w:ascii="Times New Roman" w:hAnsi="Times New Roman" w:cs="Times New Roman"/>
          <w:i/>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w:t>
      </w:r>
      <w:r w:rsidRPr="00ED3DCF">
        <w:rPr>
          <w:rFonts w:ascii="Times New Roman" w:hAnsi="Times New Roman" w:cs="Times New Roman"/>
          <w:i/>
          <w:color w:val="000000" w:themeColor="text1"/>
        </w:rPr>
        <w:t xml:space="preserve">Supra note 25. </w:t>
      </w:r>
      <w:r w:rsidRPr="00ED3DCF">
        <w:rPr>
          <w:rFonts w:ascii="Times New Roman" w:hAnsi="Times New Roman" w:cs="Times New Roman"/>
          <w:color w:val="000000" w:themeColor="text1"/>
        </w:rPr>
        <w:t xml:space="preserve">See also Clarke, ‘Affective Justice’, 249. This is also not to reproduce the post-colonial subject as a passive subject. As Jabri argues, the post-colonial subject is always already disruptive of the international, simply through the interpellation of such as subject. </w:t>
      </w:r>
      <w:r w:rsidR="00ED3DCF" w:rsidRPr="00ED3DCF">
        <w:rPr>
          <w:rFonts w:ascii="Times New Roman" w:hAnsi="Times New Roman" w:cs="Times New Roman"/>
          <w:color w:val="000000" w:themeColor="text1"/>
        </w:rPr>
        <w:t>Jabri, ‘Disarming Norms</w:t>
      </w:r>
      <w:r w:rsidR="00ED3DCF">
        <w:rPr>
          <w:rFonts w:ascii="Times New Roman" w:hAnsi="Times New Roman" w:cs="Times New Roman"/>
          <w:color w:val="000000" w:themeColor="text1"/>
        </w:rPr>
        <w:t>’</w:t>
      </w:r>
      <w:r w:rsidRPr="00ED3DCF">
        <w:rPr>
          <w:rFonts w:ascii="Times New Roman" w:hAnsi="Times New Roman" w:cs="Times New Roman"/>
          <w:i/>
          <w:color w:val="000000" w:themeColor="text1"/>
        </w:rPr>
        <w:t xml:space="preserve">. </w:t>
      </w:r>
    </w:p>
  </w:footnote>
  <w:footnote w:id="128">
    <w:p w14:paraId="6C6DC2AE" w14:textId="4EEB6E6A" w:rsidR="00687D78" w:rsidRPr="005A7364" w:rsidRDefault="00687D78" w:rsidP="00EF1ED8">
      <w:pPr>
        <w:pStyle w:val="FootnoteText"/>
        <w:rPr>
          <w:rFonts w:ascii="Times New Roman" w:hAnsi="Times New Roman" w:cs="Times New Roman"/>
          <w:color w:val="000000" w:themeColor="text1"/>
        </w:rPr>
      </w:pPr>
      <w:r w:rsidRPr="00ED3DCF">
        <w:rPr>
          <w:rStyle w:val="FootnoteReference"/>
          <w:rFonts w:ascii="Times New Roman" w:hAnsi="Times New Roman" w:cs="Times New Roman"/>
          <w:color w:val="000000" w:themeColor="text1"/>
        </w:rPr>
        <w:footnoteRef/>
      </w:r>
      <w:r w:rsidRPr="00ED3DCF">
        <w:rPr>
          <w:rFonts w:ascii="Times New Roman" w:hAnsi="Times New Roman" w:cs="Times New Roman"/>
          <w:color w:val="000000" w:themeColor="text1"/>
        </w:rPr>
        <w:t xml:space="preserve"> See also Frederic Mégret, ‘From “Savages” to “Unlawful Combatants”: A Postcolonial Look at International Humanitarian Law's “Other”’, in </w:t>
      </w:r>
      <w:r w:rsidRPr="00ED3DCF">
        <w:rPr>
          <w:rFonts w:ascii="Times New Roman" w:hAnsi="Times New Roman" w:cs="Times New Roman"/>
          <w:i/>
          <w:color w:val="000000" w:themeColor="text1"/>
        </w:rPr>
        <w:t>International Law and its Others</w:t>
      </w:r>
      <w:r w:rsidRPr="00ED3DCF">
        <w:rPr>
          <w:rFonts w:ascii="Times New Roman" w:hAnsi="Times New Roman" w:cs="Times New Roman"/>
          <w:color w:val="000000" w:themeColor="text1"/>
        </w:rPr>
        <w:t xml:space="preserve">, eds. Ann Orford (Cambridge: Cambridge University Press, 2006), 265-317; Antony Anghie, </w:t>
      </w:r>
      <w:r w:rsidRPr="00ED3DCF">
        <w:rPr>
          <w:rFonts w:ascii="Times New Roman" w:hAnsi="Times New Roman" w:cs="Times New Roman"/>
          <w:i/>
          <w:color w:val="000000" w:themeColor="text1"/>
        </w:rPr>
        <w:t>Imperialism, Sovereignty and the Making of International Law</w:t>
      </w:r>
      <w:r w:rsidRPr="00ED3DCF">
        <w:rPr>
          <w:rFonts w:ascii="Times New Roman" w:hAnsi="Times New Roman" w:cs="Times New Roman"/>
          <w:color w:val="000000" w:themeColor="text1"/>
        </w:rPr>
        <w:t xml:space="preserve"> (Cambridge: Cambridge University Press, 2005); Clarke, ‘Affective Justice’.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874E5" w14:textId="3C3C546D" w:rsidR="00687D78" w:rsidRDefault="00687D78">
    <w:pPr>
      <w:pStyle w:val="Header"/>
    </w:pPr>
  </w:p>
  <w:p w14:paraId="594647C0" w14:textId="1919EE86" w:rsidR="00687D78" w:rsidRDefault="00687D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366A7" w14:textId="4428D1D1" w:rsidR="00687D78" w:rsidRDefault="00687D78">
    <w:pPr>
      <w:pStyle w:val="Header"/>
    </w:pPr>
  </w:p>
  <w:p w14:paraId="15F7DBF5" w14:textId="5D0FB589" w:rsidR="00687D78" w:rsidRDefault="00687D7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FFCF3" w14:textId="77777777" w:rsidR="00687D78" w:rsidRDefault="00687D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D388B"/>
    <w:multiLevelType w:val="hybridMultilevel"/>
    <w:tmpl w:val="D168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F33AE0"/>
    <w:multiLevelType w:val="hybridMultilevel"/>
    <w:tmpl w:val="4BB49E74"/>
    <w:lvl w:ilvl="0" w:tplc="342257D0">
      <w:start w:val="1115"/>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355F40C8"/>
    <w:multiLevelType w:val="hybridMultilevel"/>
    <w:tmpl w:val="D678501E"/>
    <w:lvl w:ilvl="0" w:tplc="577488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Chicago 16th Footno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rewstxe3sdfepeps9f5xrt55srrdw2s5r9x&quot;&gt;Redwood - ENDNOTE New&lt;record-ids&gt;&lt;item&gt;11&lt;/item&gt;&lt;item&gt;142&lt;/item&gt;&lt;item&gt;144&lt;/item&gt;&lt;item&gt;210&lt;/item&gt;&lt;item&gt;213&lt;/item&gt;&lt;item&gt;228&lt;/item&gt;&lt;item&gt;229&lt;/item&gt;&lt;item&gt;231&lt;/item&gt;&lt;item&gt;238&lt;/item&gt;&lt;item&gt;242&lt;/item&gt;&lt;item&gt;244&lt;/item&gt;&lt;item&gt;247&lt;/item&gt;&lt;item&gt;252&lt;/item&gt;&lt;item&gt;261&lt;/item&gt;&lt;item&gt;262&lt;/item&gt;&lt;item&gt;265&lt;/item&gt;&lt;item&gt;267&lt;/item&gt;&lt;item&gt;269&lt;/item&gt;&lt;item&gt;272&lt;/item&gt;&lt;item&gt;275&lt;/item&gt;&lt;item&gt;279&lt;/item&gt;&lt;item&gt;288&lt;/item&gt;&lt;item&gt;289&lt;/item&gt;&lt;item&gt;290&lt;/item&gt;&lt;item&gt;291&lt;/item&gt;&lt;item&gt;292&lt;/item&gt;&lt;item&gt;312&lt;/item&gt;&lt;item&gt;323&lt;/item&gt;&lt;item&gt;324&lt;/item&gt;&lt;item&gt;326&lt;/item&gt;&lt;item&gt;327&lt;/item&gt;&lt;item&gt;328&lt;/item&gt;&lt;item&gt;329&lt;/item&gt;&lt;item&gt;331&lt;/item&gt;&lt;item&gt;332&lt;/item&gt;&lt;item&gt;333&lt;/item&gt;&lt;item&gt;334&lt;/item&gt;&lt;item&gt;335&lt;/item&gt;&lt;/record-ids&gt;&lt;/item&gt;&lt;/Libraries&gt;"/>
  </w:docVars>
  <w:rsids>
    <w:rsidRoot w:val="00A9309E"/>
    <w:rsid w:val="000008CB"/>
    <w:rsid w:val="00004A46"/>
    <w:rsid w:val="0000631C"/>
    <w:rsid w:val="00007779"/>
    <w:rsid w:val="00007C43"/>
    <w:rsid w:val="000113F6"/>
    <w:rsid w:val="00013AE2"/>
    <w:rsid w:val="00016DB8"/>
    <w:rsid w:val="000233A1"/>
    <w:rsid w:val="000252F2"/>
    <w:rsid w:val="00026135"/>
    <w:rsid w:val="000266A0"/>
    <w:rsid w:val="000338A6"/>
    <w:rsid w:val="00034A62"/>
    <w:rsid w:val="00036E37"/>
    <w:rsid w:val="000375E0"/>
    <w:rsid w:val="00037BE6"/>
    <w:rsid w:val="00037E57"/>
    <w:rsid w:val="00040300"/>
    <w:rsid w:val="00044EF0"/>
    <w:rsid w:val="00050C30"/>
    <w:rsid w:val="00053761"/>
    <w:rsid w:val="00053C7A"/>
    <w:rsid w:val="00054C6E"/>
    <w:rsid w:val="0005681E"/>
    <w:rsid w:val="00056A41"/>
    <w:rsid w:val="00057759"/>
    <w:rsid w:val="00062060"/>
    <w:rsid w:val="0006459B"/>
    <w:rsid w:val="00064CE7"/>
    <w:rsid w:val="0006635B"/>
    <w:rsid w:val="0006679C"/>
    <w:rsid w:val="000700E0"/>
    <w:rsid w:val="000715AF"/>
    <w:rsid w:val="0007183F"/>
    <w:rsid w:val="00073618"/>
    <w:rsid w:val="000737A5"/>
    <w:rsid w:val="000748E4"/>
    <w:rsid w:val="00075EA9"/>
    <w:rsid w:val="00080176"/>
    <w:rsid w:val="000809BF"/>
    <w:rsid w:val="00082535"/>
    <w:rsid w:val="00084E59"/>
    <w:rsid w:val="00085BF2"/>
    <w:rsid w:val="000870D2"/>
    <w:rsid w:val="0009048A"/>
    <w:rsid w:val="000909A4"/>
    <w:rsid w:val="00091503"/>
    <w:rsid w:val="00094A22"/>
    <w:rsid w:val="00095086"/>
    <w:rsid w:val="0009763F"/>
    <w:rsid w:val="000A2CA4"/>
    <w:rsid w:val="000A2CAD"/>
    <w:rsid w:val="000A36E9"/>
    <w:rsid w:val="000A4C77"/>
    <w:rsid w:val="000A5E18"/>
    <w:rsid w:val="000A7A75"/>
    <w:rsid w:val="000B1942"/>
    <w:rsid w:val="000B2C56"/>
    <w:rsid w:val="000B4823"/>
    <w:rsid w:val="000B520F"/>
    <w:rsid w:val="000B737E"/>
    <w:rsid w:val="000B76D2"/>
    <w:rsid w:val="000D24FC"/>
    <w:rsid w:val="000D3309"/>
    <w:rsid w:val="000D3741"/>
    <w:rsid w:val="000D3A70"/>
    <w:rsid w:val="000E2E7F"/>
    <w:rsid w:val="000E3831"/>
    <w:rsid w:val="000E678F"/>
    <w:rsid w:val="000E6BBA"/>
    <w:rsid w:val="000E73DF"/>
    <w:rsid w:val="000F01C4"/>
    <w:rsid w:val="000F0662"/>
    <w:rsid w:val="000F4D3F"/>
    <w:rsid w:val="000F4DC8"/>
    <w:rsid w:val="000F72A8"/>
    <w:rsid w:val="000F77CF"/>
    <w:rsid w:val="00103DD8"/>
    <w:rsid w:val="00104DAC"/>
    <w:rsid w:val="001050D1"/>
    <w:rsid w:val="001060A1"/>
    <w:rsid w:val="00106102"/>
    <w:rsid w:val="00107A24"/>
    <w:rsid w:val="0011051C"/>
    <w:rsid w:val="00112C01"/>
    <w:rsid w:val="00112E62"/>
    <w:rsid w:val="00115011"/>
    <w:rsid w:val="001157B8"/>
    <w:rsid w:val="00116044"/>
    <w:rsid w:val="001171D6"/>
    <w:rsid w:val="00120FB5"/>
    <w:rsid w:val="001214FC"/>
    <w:rsid w:val="001221FD"/>
    <w:rsid w:val="0012252C"/>
    <w:rsid w:val="00123959"/>
    <w:rsid w:val="001252E4"/>
    <w:rsid w:val="001312D4"/>
    <w:rsid w:val="0013149F"/>
    <w:rsid w:val="00133C7F"/>
    <w:rsid w:val="00135C49"/>
    <w:rsid w:val="00136D63"/>
    <w:rsid w:val="00137C54"/>
    <w:rsid w:val="00137FB7"/>
    <w:rsid w:val="00140C28"/>
    <w:rsid w:val="00140CA7"/>
    <w:rsid w:val="00141FD1"/>
    <w:rsid w:val="001474C2"/>
    <w:rsid w:val="00147F82"/>
    <w:rsid w:val="00157F99"/>
    <w:rsid w:val="001647C7"/>
    <w:rsid w:val="00164BB2"/>
    <w:rsid w:val="00164F7E"/>
    <w:rsid w:val="00167574"/>
    <w:rsid w:val="0017296B"/>
    <w:rsid w:val="001747AE"/>
    <w:rsid w:val="0017520E"/>
    <w:rsid w:val="0017575E"/>
    <w:rsid w:val="00176DA8"/>
    <w:rsid w:val="00181C93"/>
    <w:rsid w:val="00182A22"/>
    <w:rsid w:val="00182DD2"/>
    <w:rsid w:val="00182F6C"/>
    <w:rsid w:val="0018498F"/>
    <w:rsid w:val="00186A47"/>
    <w:rsid w:val="00187442"/>
    <w:rsid w:val="00187FA4"/>
    <w:rsid w:val="0019081C"/>
    <w:rsid w:val="00195D35"/>
    <w:rsid w:val="0019634B"/>
    <w:rsid w:val="00196794"/>
    <w:rsid w:val="00196FB1"/>
    <w:rsid w:val="00197F29"/>
    <w:rsid w:val="001A2F92"/>
    <w:rsid w:val="001A3B40"/>
    <w:rsid w:val="001A4372"/>
    <w:rsid w:val="001A5FCD"/>
    <w:rsid w:val="001B33DD"/>
    <w:rsid w:val="001B346E"/>
    <w:rsid w:val="001B46AD"/>
    <w:rsid w:val="001B4EFF"/>
    <w:rsid w:val="001B606D"/>
    <w:rsid w:val="001C0136"/>
    <w:rsid w:val="001C01FF"/>
    <w:rsid w:val="001C18D1"/>
    <w:rsid w:val="001C2DE7"/>
    <w:rsid w:val="001C3373"/>
    <w:rsid w:val="001C6E3B"/>
    <w:rsid w:val="001C74C2"/>
    <w:rsid w:val="001C7807"/>
    <w:rsid w:val="001D0029"/>
    <w:rsid w:val="001D4E6C"/>
    <w:rsid w:val="001D62D4"/>
    <w:rsid w:val="001D6801"/>
    <w:rsid w:val="001D7A72"/>
    <w:rsid w:val="001E2795"/>
    <w:rsid w:val="001E3159"/>
    <w:rsid w:val="001E484C"/>
    <w:rsid w:val="001E6DB2"/>
    <w:rsid w:val="001E738D"/>
    <w:rsid w:val="001F03AF"/>
    <w:rsid w:val="001F1417"/>
    <w:rsid w:val="001F3B4E"/>
    <w:rsid w:val="001F5A8A"/>
    <w:rsid w:val="001F5ED7"/>
    <w:rsid w:val="00201640"/>
    <w:rsid w:val="0020187C"/>
    <w:rsid w:val="00201C4E"/>
    <w:rsid w:val="00202C2A"/>
    <w:rsid w:val="00204BD3"/>
    <w:rsid w:val="00205C5C"/>
    <w:rsid w:val="002102D4"/>
    <w:rsid w:val="002105BD"/>
    <w:rsid w:val="00210AB7"/>
    <w:rsid w:val="00210FA3"/>
    <w:rsid w:val="002124FF"/>
    <w:rsid w:val="00212501"/>
    <w:rsid w:val="00213614"/>
    <w:rsid w:val="00213D51"/>
    <w:rsid w:val="002148CE"/>
    <w:rsid w:val="002157A9"/>
    <w:rsid w:val="002162F1"/>
    <w:rsid w:val="00217165"/>
    <w:rsid w:val="00217BDB"/>
    <w:rsid w:val="00220015"/>
    <w:rsid w:val="00220328"/>
    <w:rsid w:val="00221B39"/>
    <w:rsid w:val="00221F07"/>
    <w:rsid w:val="002235DD"/>
    <w:rsid w:val="002248E6"/>
    <w:rsid w:val="00226683"/>
    <w:rsid w:val="00227239"/>
    <w:rsid w:val="00232EE0"/>
    <w:rsid w:val="00232F51"/>
    <w:rsid w:val="002347C0"/>
    <w:rsid w:val="00236EE9"/>
    <w:rsid w:val="00241191"/>
    <w:rsid w:val="00241C3E"/>
    <w:rsid w:val="002479B0"/>
    <w:rsid w:val="00247C44"/>
    <w:rsid w:val="002506B8"/>
    <w:rsid w:val="002511AB"/>
    <w:rsid w:val="002513FA"/>
    <w:rsid w:val="00252602"/>
    <w:rsid w:val="00253EAA"/>
    <w:rsid w:val="002544A5"/>
    <w:rsid w:val="00254AA3"/>
    <w:rsid w:val="00255599"/>
    <w:rsid w:val="00255D0B"/>
    <w:rsid w:val="00256219"/>
    <w:rsid w:val="002612BE"/>
    <w:rsid w:val="00264E1B"/>
    <w:rsid w:val="0026511E"/>
    <w:rsid w:val="002654AA"/>
    <w:rsid w:val="00265AF0"/>
    <w:rsid w:val="002661EB"/>
    <w:rsid w:val="002672C4"/>
    <w:rsid w:val="002701E0"/>
    <w:rsid w:val="00270254"/>
    <w:rsid w:val="0027036D"/>
    <w:rsid w:val="002705A2"/>
    <w:rsid w:val="00271B69"/>
    <w:rsid w:val="00272B62"/>
    <w:rsid w:val="00272E9B"/>
    <w:rsid w:val="0027334A"/>
    <w:rsid w:val="00275FD1"/>
    <w:rsid w:val="0027605E"/>
    <w:rsid w:val="00280016"/>
    <w:rsid w:val="00280647"/>
    <w:rsid w:val="00280F86"/>
    <w:rsid w:val="0028186A"/>
    <w:rsid w:val="002818A5"/>
    <w:rsid w:val="0028205F"/>
    <w:rsid w:val="00285879"/>
    <w:rsid w:val="00287985"/>
    <w:rsid w:val="00290694"/>
    <w:rsid w:val="002944BE"/>
    <w:rsid w:val="00294891"/>
    <w:rsid w:val="00295079"/>
    <w:rsid w:val="00296F0F"/>
    <w:rsid w:val="002A0621"/>
    <w:rsid w:val="002A1051"/>
    <w:rsid w:val="002A11E6"/>
    <w:rsid w:val="002A73D8"/>
    <w:rsid w:val="002A7BF6"/>
    <w:rsid w:val="002B03C1"/>
    <w:rsid w:val="002B14AF"/>
    <w:rsid w:val="002B23EC"/>
    <w:rsid w:val="002B2DDD"/>
    <w:rsid w:val="002B47EF"/>
    <w:rsid w:val="002B6613"/>
    <w:rsid w:val="002C5279"/>
    <w:rsid w:val="002C621E"/>
    <w:rsid w:val="002D108C"/>
    <w:rsid w:val="002D60E0"/>
    <w:rsid w:val="002D61E5"/>
    <w:rsid w:val="002E12F3"/>
    <w:rsid w:val="002E466D"/>
    <w:rsid w:val="002E5EE3"/>
    <w:rsid w:val="002E6B73"/>
    <w:rsid w:val="002E6E19"/>
    <w:rsid w:val="002E70AF"/>
    <w:rsid w:val="002F20CA"/>
    <w:rsid w:val="002F3307"/>
    <w:rsid w:val="002F35DF"/>
    <w:rsid w:val="002F3CCF"/>
    <w:rsid w:val="002F42C1"/>
    <w:rsid w:val="002F61C8"/>
    <w:rsid w:val="002F6756"/>
    <w:rsid w:val="002F6C6B"/>
    <w:rsid w:val="002F6D69"/>
    <w:rsid w:val="002F7CC8"/>
    <w:rsid w:val="003000C3"/>
    <w:rsid w:val="00301215"/>
    <w:rsid w:val="00301818"/>
    <w:rsid w:val="003025DB"/>
    <w:rsid w:val="003036FC"/>
    <w:rsid w:val="00305159"/>
    <w:rsid w:val="00307F79"/>
    <w:rsid w:val="003101A3"/>
    <w:rsid w:val="00311ACF"/>
    <w:rsid w:val="00313CE3"/>
    <w:rsid w:val="0031497A"/>
    <w:rsid w:val="00316222"/>
    <w:rsid w:val="00317ADC"/>
    <w:rsid w:val="0032174F"/>
    <w:rsid w:val="003222AD"/>
    <w:rsid w:val="00322453"/>
    <w:rsid w:val="0032576D"/>
    <w:rsid w:val="00326233"/>
    <w:rsid w:val="00326303"/>
    <w:rsid w:val="00326ADE"/>
    <w:rsid w:val="00326E2F"/>
    <w:rsid w:val="00331F1B"/>
    <w:rsid w:val="003324EC"/>
    <w:rsid w:val="00335628"/>
    <w:rsid w:val="003356FC"/>
    <w:rsid w:val="003358C0"/>
    <w:rsid w:val="0033753E"/>
    <w:rsid w:val="0034112F"/>
    <w:rsid w:val="003418F3"/>
    <w:rsid w:val="00342B38"/>
    <w:rsid w:val="00344309"/>
    <w:rsid w:val="0034431B"/>
    <w:rsid w:val="00346370"/>
    <w:rsid w:val="00346EDC"/>
    <w:rsid w:val="00351C54"/>
    <w:rsid w:val="00351D13"/>
    <w:rsid w:val="00353446"/>
    <w:rsid w:val="0036066D"/>
    <w:rsid w:val="00360923"/>
    <w:rsid w:val="00360930"/>
    <w:rsid w:val="00360DE7"/>
    <w:rsid w:val="003612DD"/>
    <w:rsid w:val="003617DD"/>
    <w:rsid w:val="00361F3A"/>
    <w:rsid w:val="00362D59"/>
    <w:rsid w:val="00363240"/>
    <w:rsid w:val="0036439B"/>
    <w:rsid w:val="003706B7"/>
    <w:rsid w:val="00370B6E"/>
    <w:rsid w:val="00372D21"/>
    <w:rsid w:val="00372E7A"/>
    <w:rsid w:val="0037366F"/>
    <w:rsid w:val="00374109"/>
    <w:rsid w:val="00376953"/>
    <w:rsid w:val="0037767F"/>
    <w:rsid w:val="00380020"/>
    <w:rsid w:val="003827C7"/>
    <w:rsid w:val="0038310E"/>
    <w:rsid w:val="00385C4F"/>
    <w:rsid w:val="00385E53"/>
    <w:rsid w:val="003877E9"/>
    <w:rsid w:val="0039006D"/>
    <w:rsid w:val="00391D36"/>
    <w:rsid w:val="00392C34"/>
    <w:rsid w:val="003941B9"/>
    <w:rsid w:val="00394C71"/>
    <w:rsid w:val="00394FDD"/>
    <w:rsid w:val="0039734D"/>
    <w:rsid w:val="0039754B"/>
    <w:rsid w:val="003A037A"/>
    <w:rsid w:val="003A07AA"/>
    <w:rsid w:val="003A0B18"/>
    <w:rsid w:val="003A0D39"/>
    <w:rsid w:val="003A100B"/>
    <w:rsid w:val="003A303F"/>
    <w:rsid w:val="003A3067"/>
    <w:rsid w:val="003A39AA"/>
    <w:rsid w:val="003A5C27"/>
    <w:rsid w:val="003A5DD9"/>
    <w:rsid w:val="003B3555"/>
    <w:rsid w:val="003B3A52"/>
    <w:rsid w:val="003B4433"/>
    <w:rsid w:val="003B577C"/>
    <w:rsid w:val="003B73AF"/>
    <w:rsid w:val="003B7ED6"/>
    <w:rsid w:val="003C2796"/>
    <w:rsid w:val="003C4DDC"/>
    <w:rsid w:val="003C50CE"/>
    <w:rsid w:val="003C65DD"/>
    <w:rsid w:val="003C6F96"/>
    <w:rsid w:val="003D03A8"/>
    <w:rsid w:val="003D0CDB"/>
    <w:rsid w:val="003D64CB"/>
    <w:rsid w:val="003D71B8"/>
    <w:rsid w:val="003E2945"/>
    <w:rsid w:val="003F1158"/>
    <w:rsid w:val="003F33E4"/>
    <w:rsid w:val="003F77C7"/>
    <w:rsid w:val="00402B74"/>
    <w:rsid w:val="00402BD7"/>
    <w:rsid w:val="004032B8"/>
    <w:rsid w:val="00404813"/>
    <w:rsid w:val="00404A16"/>
    <w:rsid w:val="00404BCA"/>
    <w:rsid w:val="00404CE5"/>
    <w:rsid w:val="00406B29"/>
    <w:rsid w:val="0040724C"/>
    <w:rsid w:val="00407CBE"/>
    <w:rsid w:val="00407D35"/>
    <w:rsid w:val="00410714"/>
    <w:rsid w:val="00411941"/>
    <w:rsid w:val="00415776"/>
    <w:rsid w:val="0041632F"/>
    <w:rsid w:val="00420E09"/>
    <w:rsid w:val="00421578"/>
    <w:rsid w:val="00422060"/>
    <w:rsid w:val="00423E94"/>
    <w:rsid w:val="00424977"/>
    <w:rsid w:val="004276BF"/>
    <w:rsid w:val="0043034A"/>
    <w:rsid w:val="00431C26"/>
    <w:rsid w:val="00433890"/>
    <w:rsid w:val="004405EF"/>
    <w:rsid w:val="0044070C"/>
    <w:rsid w:val="00443241"/>
    <w:rsid w:val="00444246"/>
    <w:rsid w:val="004442B0"/>
    <w:rsid w:val="004448E2"/>
    <w:rsid w:val="00444B4A"/>
    <w:rsid w:val="00450148"/>
    <w:rsid w:val="00453837"/>
    <w:rsid w:val="004551CF"/>
    <w:rsid w:val="00456870"/>
    <w:rsid w:val="0046136F"/>
    <w:rsid w:val="00462BBE"/>
    <w:rsid w:val="00463EDF"/>
    <w:rsid w:val="00464E1B"/>
    <w:rsid w:val="00465D30"/>
    <w:rsid w:val="004666A7"/>
    <w:rsid w:val="00467036"/>
    <w:rsid w:val="00467B62"/>
    <w:rsid w:val="00467C22"/>
    <w:rsid w:val="00470BA1"/>
    <w:rsid w:val="00472E0E"/>
    <w:rsid w:val="00473709"/>
    <w:rsid w:val="00473A2C"/>
    <w:rsid w:val="004745F4"/>
    <w:rsid w:val="004774AE"/>
    <w:rsid w:val="004801D4"/>
    <w:rsid w:val="0048022A"/>
    <w:rsid w:val="004812AA"/>
    <w:rsid w:val="0048134E"/>
    <w:rsid w:val="004817C1"/>
    <w:rsid w:val="004826D0"/>
    <w:rsid w:val="00482B50"/>
    <w:rsid w:val="00483AA7"/>
    <w:rsid w:val="004841F7"/>
    <w:rsid w:val="00484E25"/>
    <w:rsid w:val="00490476"/>
    <w:rsid w:val="0049339C"/>
    <w:rsid w:val="0049649B"/>
    <w:rsid w:val="004A2471"/>
    <w:rsid w:val="004A3408"/>
    <w:rsid w:val="004A4288"/>
    <w:rsid w:val="004A4A89"/>
    <w:rsid w:val="004A6A61"/>
    <w:rsid w:val="004B03B8"/>
    <w:rsid w:val="004B0450"/>
    <w:rsid w:val="004B0F60"/>
    <w:rsid w:val="004B24D1"/>
    <w:rsid w:val="004B4B1A"/>
    <w:rsid w:val="004B5903"/>
    <w:rsid w:val="004B6449"/>
    <w:rsid w:val="004C1030"/>
    <w:rsid w:val="004C338E"/>
    <w:rsid w:val="004C3BE2"/>
    <w:rsid w:val="004C4D96"/>
    <w:rsid w:val="004C51F3"/>
    <w:rsid w:val="004C6A23"/>
    <w:rsid w:val="004C6B48"/>
    <w:rsid w:val="004C7CC3"/>
    <w:rsid w:val="004D11D0"/>
    <w:rsid w:val="004D4883"/>
    <w:rsid w:val="004D4A8A"/>
    <w:rsid w:val="004E11DF"/>
    <w:rsid w:val="004E3324"/>
    <w:rsid w:val="004E401A"/>
    <w:rsid w:val="004E495E"/>
    <w:rsid w:val="004E5571"/>
    <w:rsid w:val="004E5A1B"/>
    <w:rsid w:val="004E6248"/>
    <w:rsid w:val="004E7788"/>
    <w:rsid w:val="004F0E06"/>
    <w:rsid w:val="004F116E"/>
    <w:rsid w:val="004F1B79"/>
    <w:rsid w:val="004F201E"/>
    <w:rsid w:val="004F3B49"/>
    <w:rsid w:val="004F465F"/>
    <w:rsid w:val="004F52B5"/>
    <w:rsid w:val="004F547D"/>
    <w:rsid w:val="004F5DA1"/>
    <w:rsid w:val="004F7993"/>
    <w:rsid w:val="004F7D9F"/>
    <w:rsid w:val="00501052"/>
    <w:rsid w:val="005034C4"/>
    <w:rsid w:val="0050743D"/>
    <w:rsid w:val="00510AF4"/>
    <w:rsid w:val="00510E02"/>
    <w:rsid w:val="00510EF4"/>
    <w:rsid w:val="00511F9F"/>
    <w:rsid w:val="00513F30"/>
    <w:rsid w:val="00514292"/>
    <w:rsid w:val="00514CB3"/>
    <w:rsid w:val="005174D5"/>
    <w:rsid w:val="00521753"/>
    <w:rsid w:val="005221EE"/>
    <w:rsid w:val="005232C8"/>
    <w:rsid w:val="00525393"/>
    <w:rsid w:val="00525C95"/>
    <w:rsid w:val="00525E2B"/>
    <w:rsid w:val="005278BA"/>
    <w:rsid w:val="00527AFD"/>
    <w:rsid w:val="00530663"/>
    <w:rsid w:val="00531A8F"/>
    <w:rsid w:val="00540134"/>
    <w:rsid w:val="00540484"/>
    <w:rsid w:val="005429C2"/>
    <w:rsid w:val="00542B6C"/>
    <w:rsid w:val="00543D0D"/>
    <w:rsid w:val="00544684"/>
    <w:rsid w:val="005450F2"/>
    <w:rsid w:val="005467C2"/>
    <w:rsid w:val="00552430"/>
    <w:rsid w:val="00552890"/>
    <w:rsid w:val="00556B66"/>
    <w:rsid w:val="0056271E"/>
    <w:rsid w:val="00562BD8"/>
    <w:rsid w:val="00566CBC"/>
    <w:rsid w:val="00570109"/>
    <w:rsid w:val="00570EE2"/>
    <w:rsid w:val="00573654"/>
    <w:rsid w:val="00574312"/>
    <w:rsid w:val="00576533"/>
    <w:rsid w:val="00580676"/>
    <w:rsid w:val="00590FEF"/>
    <w:rsid w:val="00592683"/>
    <w:rsid w:val="00596C3E"/>
    <w:rsid w:val="005A1065"/>
    <w:rsid w:val="005A1AFE"/>
    <w:rsid w:val="005A32C4"/>
    <w:rsid w:val="005A4550"/>
    <w:rsid w:val="005A49AB"/>
    <w:rsid w:val="005A5779"/>
    <w:rsid w:val="005A5EEF"/>
    <w:rsid w:val="005A7364"/>
    <w:rsid w:val="005B0480"/>
    <w:rsid w:val="005B263C"/>
    <w:rsid w:val="005B27DF"/>
    <w:rsid w:val="005B35BD"/>
    <w:rsid w:val="005B5E4F"/>
    <w:rsid w:val="005B5FF8"/>
    <w:rsid w:val="005B6D93"/>
    <w:rsid w:val="005C02BE"/>
    <w:rsid w:val="005C0EDC"/>
    <w:rsid w:val="005C0F39"/>
    <w:rsid w:val="005C4B9E"/>
    <w:rsid w:val="005C6607"/>
    <w:rsid w:val="005C6637"/>
    <w:rsid w:val="005D26FF"/>
    <w:rsid w:val="005D288D"/>
    <w:rsid w:val="005D2B78"/>
    <w:rsid w:val="005D4581"/>
    <w:rsid w:val="005D4AF4"/>
    <w:rsid w:val="005D56C8"/>
    <w:rsid w:val="005D5FD0"/>
    <w:rsid w:val="005D65C5"/>
    <w:rsid w:val="005E13B3"/>
    <w:rsid w:val="005E182C"/>
    <w:rsid w:val="005E1B04"/>
    <w:rsid w:val="005E1EB5"/>
    <w:rsid w:val="005E47DB"/>
    <w:rsid w:val="005E5524"/>
    <w:rsid w:val="005E6810"/>
    <w:rsid w:val="005E6992"/>
    <w:rsid w:val="005E705A"/>
    <w:rsid w:val="005F01DB"/>
    <w:rsid w:val="005F0E7D"/>
    <w:rsid w:val="005F16A8"/>
    <w:rsid w:val="005F17FB"/>
    <w:rsid w:val="005F276C"/>
    <w:rsid w:val="005F3B78"/>
    <w:rsid w:val="005F7F70"/>
    <w:rsid w:val="0060064D"/>
    <w:rsid w:val="00600F24"/>
    <w:rsid w:val="0060128E"/>
    <w:rsid w:val="006015BE"/>
    <w:rsid w:val="00602FCC"/>
    <w:rsid w:val="00604FC0"/>
    <w:rsid w:val="00610BE2"/>
    <w:rsid w:val="00610C66"/>
    <w:rsid w:val="006110A1"/>
    <w:rsid w:val="00611EF6"/>
    <w:rsid w:val="006134BD"/>
    <w:rsid w:val="0061410B"/>
    <w:rsid w:val="00617B42"/>
    <w:rsid w:val="006216BC"/>
    <w:rsid w:val="006229BE"/>
    <w:rsid w:val="006255DF"/>
    <w:rsid w:val="00625B31"/>
    <w:rsid w:val="006262AC"/>
    <w:rsid w:val="00627D08"/>
    <w:rsid w:val="00630287"/>
    <w:rsid w:val="00636E74"/>
    <w:rsid w:val="00637821"/>
    <w:rsid w:val="00642138"/>
    <w:rsid w:val="00644767"/>
    <w:rsid w:val="00646D89"/>
    <w:rsid w:val="00647C88"/>
    <w:rsid w:val="0065160C"/>
    <w:rsid w:val="00652CFB"/>
    <w:rsid w:val="006539DB"/>
    <w:rsid w:val="00654A69"/>
    <w:rsid w:val="00654B6C"/>
    <w:rsid w:val="00656E0D"/>
    <w:rsid w:val="00662439"/>
    <w:rsid w:val="0066519B"/>
    <w:rsid w:val="00665D20"/>
    <w:rsid w:val="00666399"/>
    <w:rsid w:val="006663B1"/>
    <w:rsid w:val="00667DF5"/>
    <w:rsid w:val="00671A27"/>
    <w:rsid w:val="00672ED6"/>
    <w:rsid w:val="0067598C"/>
    <w:rsid w:val="006759E3"/>
    <w:rsid w:val="006776EA"/>
    <w:rsid w:val="0068148D"/>
    <w:rsid w:val="006829AD"/>
    <w:rsid w:val="006842D0"/>
    <w:rsid w:val="00685857"/>
    <w:rsid w:val="00685CD0"/>
    <w:rsid w:val="00687ADB"/>
    <w:rsid w:val="00687D78"/>
    <w:rsid w:val="00694740"/>
    <w:rsid w:val="00695428"/>
    <w:rsid w:val="00695603"/>
    <w:rsid w:val="00695FBB"/>
    <w:rsid w:val="0069659A"/>
    <w:rsid w:val="006A089D"/>
    <w:rsid w:val="006A1DEB"/>
    <w:rsid w:val="006A1E91"/>
    <w:rsid w:val="006A3F34"/>
    <w:rsid w:val="006B1996"/>
    <w:rsid w:val="006B492B"/>
    <w:rsid w:val="006B59DA"/>
    <w:rsid w:val="006B714E"/>
    <w:rsid w:val="006B727D"/>
    <w:rsid w:val="006C049D"/>
    <w:rsid w:val="006C1559"/>
    <w:rsid w:val="006C1DB8"/>
    <w:rsid w:val="006C317F"/>
    <w:rsid w:val="006C463D"/>
    <w:rsid w:val="006C5D9E"/>
    <w:rsid w:val="006D2218"/>
    <w:rsid w:val="006D268C"/>
    <w:rsid w:val="006D2849"/>
    <w:rsid w:val="006D4376"/>
    <w:rsid w:val="006D4939"/>
    <w:rsid w:val="006D4B58"/>
    <w:rsid w:val="006D5E8D"/>
    <w:rsid w:val="006E024C"/>
    <w:rsid w:val="006E0CF1"/>
    <w:rsid w:val="006E2E8D"/>
    <w:rsid w:val="006E316C"/>
    <w:rsid w:val="006E3674"/>
    <w:rsid w:val="006E4821"/>
    <w:rsid w:val="006E4B02"/>
    <w:rsid w:val="006E561B"/>
    <w:rsid w:val="006E74CF"/>
    <w:rsid w:val="006F05A6"/>
    <w:rsid w:val="006F1AFF"/>
    <w:rsid w:val="006F4046"/>
    <w:rsid w:val="006F5F87"/>
    <w:rsid w:val="006F77A0"/>
    <w:rsid w:val="007004FA"/>
    <w:rsid w:val="007005E7"/>
    <w:rsid w:val="00701641"/>
    <w:rsid w:val="00704EDD"/>
    <w:rsid w:val="00705300"/>
    <w:rsid w:val="00706008"/>
    <w:rsid w:val="00707AEF"/>
    <w:rsid w:val="007102DE"/>
    <w:rsid w:val="00711956"/>
    <w:rsid w:val="00712DA3"/>
    <w:rsid w:val="007132D2"/>
    <w:rsid w:val="00713586"/>
    <w:rsid w:val="0071588F"/>
    <w:rsid w:val="00716C17"/>
    <w:rsid w:val="0072090E"/>
    <w:rsid w:val="00721617"/>
    <w:rsid w:val="007221A9"/>
    <w:rsid w:val="00722337"/>
    <w:rsid w:val="00724541"/>
    <w:rsid w:val="007306B9"/>
    <w:rsid w:val="0073265E"/>
    <w:rsid w:val="00734438"/>
    <w:rsid w:val="0073513F"/>
    <w:rsid w:val="00735740"/>
    <w:rsid w:val="007368C7"/>
    <w:rsid w:val="00737066"/>
    <w:rsid w:val="00737EF5"/>
    <w:rsid w:val="0074045B"/>
    <w:rsid w:val="00741205"/>
    <w:rsid w:val="00741B1D"/>
    <w:rsid w:val="0074556D"/>
    <w:rsid w:val="0074658B"/>
    <w:rsid w:val="0074665A"/>
    <w:rsid w:val="00750BCC"/>
    <w:rsid w:val="00752FF7"/>
    <w:rsid w:val="007532D4"/>
    <w:rsid w:val="0075338F"/>
    <w:rsid w:val="00755607"/>
    <w:rsid w:val="00756025"/>
    <w:rsid w:val="007577CE"/>
    <w:rsid w:val="00757BF0"/>
    <w:rsid w:val="0076011A"/>
    <w:rsid w:val="007605F7"/>
    <w:rsid w:val="00760D2E"/>
    <w:rsid w:val="007613D1"/>
    <w:rsid w:val="007625F2"/>
    <w:rsid w:val="007639E6"/>
    <w:rsid w:val="00764867"/>
    <w:rsid w:val="0076509D"/>
    <w:rsid w:val="00766013"/>
    <w:rsid w:val="00770F8E"/>
    <w:rsid w:val="007715D0"/>
    <w:rsid w:val="00771B58"/>
    <w:rsid w:val="0077307A"/>
    <w:rsid w:val="00773DF7"/>
    <w:rsid w:val="00775CC3"/>
    <w:rsid w:val="0077698B"/>
    <w:rsid w:val="00777C59"/>
    <w:rsid w:val="0078511B"/>
    <w:rsid w:val="007870E3"/>
    <w:rsid w:val="00787F74"/>
    <w:rsid w:val="0079140F"/>
    <w:rsid w:val="00791BDB"/>
    <w:rsid w:val="00791FDE"/>
    <w:rsid w:val="00792308"/>
    <w:rsid w:val="0079486D"/>
    <w:rsid w:val="00794FF4"/>
    <w:rsid w:val="00796C57"/>
    <w:rsid w:val="00797CE4"/>
    <w:rsid w:val="007A07CA"/>
    <w:rsid w:val="007A120D"/>
    <w:rsid w:val="007A1C65"/>
    <w:rsid w:val="007A4B34"/>
    <w:rsid w:val="007A5359"/>
    <w:rsid w:val="007A7085"/>
    <w:rsid w:val="007A7662"/>
    <w:rsid w:val="007B1435"/>
    <w:rsid w:val="007B3751"/>
    <w:rsid w:val="007B3922"/>
    <w:rsid w:val="007B6A34"/>
    <w:rsid w:val="007B71A9"/>
    <w:rsid w:val="007B7A4B"/>
    <w:rsid w:val="007B7EDE"/>
    <w:rsid w:val="007C0AA7"/>
    <w:rsid w:val="007C5EA8"/>
    <w:rsid w:val="007C6516"/>
    <w:rsid w:val="007C6D79"/>
    <w:rsid w:val="007D004A"/>
    <w:rsid w:val="007D25B2"/>
    <w:rsid w:val="007D2D17"/>
    <w:rsid w:val="007D2DD5"/>
    <w:rsid w:val="007D2DFB"/>
    <w:rsid w:val="007D2E10"/>
    <w:rsid w:val="007D3E5B"/>
    <w:rsid w:val="007D400A"/>
    <w:rsid w:val="007D433D"/>
    <w:rsid w:val="007E1F4E"/>
    <w:rsid w:val="007E49DE"/>
    <w:rsid w:val="007E4FAD"/>
    <w:rsid w:val="007E51D7"/>
    <w:rsid w:val="007E6083"/>
    <w:rsid w:val="007E70C4"/>
    <w:rsid w:val="007E7457"/>
    <w:rsid w:val="007E79D5"/>
    <w:rsid w:val="007F0D5B"/>
    <w:rsid w:val="007F2197"/>
    <w:rsid w:val="007F2618"/>
    <w:rsid w:val="007F3845"/>
    <w:rsid w:val="007F6D64"/>
    <w:rsid w:val="00800BAE"/>
    <w:rsid w:val="00802A7A"/>
    <w:rsid w:val="00804080"/>
    <w:rsid w:val="0080463A"/>
    <w:rsid w:val="00804F7A"/>
    <w:rsid w:val="00805ED7"/>
    <w:rsid w:val="00806260"/>
    <w:rsid w:val="00810028"/>
    <w:rsid w:val="00810FDF"/>
    <w:rsid w:val="008134B3"/>
    <w:rsid w:val="00813D4E"/>
    <w:rsid w:val="00814BCD"/>
    <w:rsid w:val="00815CBE"/>
    <w:rsid w:val="00816FD8"/>
    <w:rsid w:val="00824264"/>
    <w:rsid w:val="00824F11"/>
    <w:rsid w:val="008251F0"/>
    <w:rsid w:val="00825920"/>
    <w:rsid w:val="00827900"/>
    <w:rsid w:val="00830DD6"/>
    <w:rsid w:val="00834A20"/>
    <w:rsid w:val="00840285"/>
    <w:rsid w:val="00842B4A"/>
    <w:rsid w:val="00844206"/>
    <w:rsid w:val="00846A75"/>
    <w:rsid w:val="00847063"/>
    <w:rsid w:val="00852582"/>
    <w:rsid w:val="00852D83"/>
    <w:rsid w:val="00856664"/>
    <w:rsid w:val="00856829"/>
    <w:rsid w:val="008568A4"/>
    <w:rsid w:val="00860B70"/>
    <w:rsid w:val="00862B87"/>
    <w:rsid w:val="00862CD6"/>
    <w:rsid w:val="008634A8"/>
    <w:rsid w:val="008643AE"/>
    <w:rsid w:val="00866B85"/>
    <w:rsid w:val="0086797B"/>
    <w:rsid w:val="008679BE"/>
    <w:rsid w:val="00874038"/>
    <w:rsid w:val="00874B3C"/>
    <w:rsid w:val="00875A46"/>
    <w:rsid w:val="00877FF7"/>
    <w:rsid w:val="0088121D"/>
    <w:rsid w:val="008824C6"/>
    <w:rsid w:val="00882631"/>
    <w:rsid w:val="008830B7"/>
    <w:rsid w:val="00884310"/>
    <w:rsid w:val="008855AE"/>
    <w:rsid w:val="00885820"/>
    <w:rsid w:val="008869B7"/>
    <w:rsid w:val="00894B0F"/>
    <w:rsid w:val="008959A0"/>
    <w:rsid w:val="00897B5B"/>
    <w:rsid w:val="00897E66"/>
    <w:rsid w:val="008A00D9"/>
    <w:rsid w:val="008A2C4A"/>
    <w:rsid w:val="008A4265"/>
    <w:rsid w:val="008A4FAB"/>
    <w:rsid w:val="008A5641"/>
    <w:rsid w:val="008A63F3"/>
    <w:rsid w:val="008A6568"/>
    <w:rsid w:val="008A7048"/>
    <w:rsid w:val="008A7354"/>
    <w:rsid w:val="008A7CA7"/>
    <w:rsid w:val="008B155A"/>
    <w:rsid w:val="008B2B17"/>
    <w:rsid w:val="008B403A"/>
    <w:rsid w:val="008B5245"/>
    <w:rsid w:val="008B64DA"/>
    <w:rsid w:val="008B7072"/>
    <w:rsid w:val="008B763E"/>
    <w:rsid w:val="008B7E4F"/>
    <w:rsid w:val="008C0A0B"/>
    <w:rsid w:val="008C13F9"/>
    <w:rsid w:val="008C31EE"/>
    <w:rsid w:val="008C32DE"/>
    <w:rsid w:val="008C78EC"/>
    <w:rsid w:val="008D0BD2"/>
    <w:rsid w:val="008D0C84"/>
    <w:rsid w:val="008D1C64"/>
    <w:rsid w:val="008D27C1"/>
    <w:rsid w:val="008D38CF"/>
    <w:rsid w:val="008D4D1B"/>
    <w:rsid w:val="008D4D45"/>
    <w:rsid w:val="008D751A"/>
    <w:rsid w:val="008E291C"/>
    <w:rsid w:val="008E612F"/>
    <w:rsid w:val="008F1435"/>
    <w:rsid w:val="008F7BF2"/>
    <w:rsid w:val="00900224"/>
    <w:rsid w:val="0090579B"/>
    <w:rsid w:val="00906522"/>
    <w:rsid w:val="00907821"/>
    <w:rsid w:val="0091056F"/>
    <w:rsid w:val="00911C7E"/>
    <w:rsid w:val="00912678"/>
    <w:rsid w:val="0091321D"/>
    <w:rsid w:val="00913BEF"/>
    <w:rsid w:val="0091476A"/>
    <w:rsid w:val="0091651E"/>
    <w:rsid w:val="00920188"/>
    <w:rsid w:val="009219E7"/>
    <w:rsid w:val="00922837"/>
    <w:rsid w:val="00923A7C"/>
    <w:rsid w:val="00924071"/>
    <w:rsid w:val="00924F91"/>
    <w:rsid w:val="00926BBB"/>
    <w:rsid w:val="009317C5"/>
    <w:rsid w:val="00932658"/>
    <w:rsid w:val="009350FC"/>
    <w:rsid w:val="009351BE"/>
    <w:rsid w:val="00936E7A"/>
    <w:rsid w:val="00937DC3"/>
    <w:rsid w:val="009460FE"/>
    <w:rsid w:val="0094634C"/>
    <w:rsid w:val="0094672C"/>
    <w:rsid w:val="00946843"/>
    <w:rsid w:val="00946DC4"/>
    <w:rsid w:val="00952985"/>
    <w:rsid w:val="00955A83"/>
    <w:rsid w:val="00960203"/>
    <w:rsid w:val="0096098F"/>
    <w:rsid w:val="009614E0"/>
    <w:rsid w:val="009616AE"/>
    <w:rsid w:val="0096343F"/>
    <w:rsid w:val="00963950"/>
    <w:rsid w:val="00964B9A"/>
    <w:rsid w:val="00965B57"/>
    <w:rsid w:val="00967F11"/>
    <w:rsid w:val="00971573"/>
    <w:rsid w:val="0097450F"/>
    <w:rsid w:val="00975A10"/>
    <w:rsid w:val="009760FC"/>
    <w:rsid w:val="00976ECF"/>
    <w:rsid w:val="009775DB"/>
    <w:rsid w:val="00983294"/>
    <w:rsid w:val="009832A1"/>
    <w:rsid w:val="009838A3"/>
    <w:rsid w:val="00985B21"/>
    <w:rsid w:val="009869CD"/>
    <w:rsid w:val="00992A58"/>
    <w:rsid w:val="009944A1"/>
    <w:rsid w:val="009952DE"/>
    <w:rsid w:val="009952F2"/>
    <w:rsid w:val="00997393"/>
    <w:rsid w:val="00997C61"/>
    <w:rsid w:val="009A16E7"/>
    <w:rsid w:val="009A29ED"/>
    <w:rsid w:val="009A665D"/>
    <w:rsid w:val="009A7E40"/>
    <w:rsid w:val="009B058D"/>
    <w:rsid w:val="009B16D2"/>
    <w:rsid w:val="009B2B31"/>
    <w:rsid w:val="009B3DD0"/>
    <w:rsid w:val="009B3E4E"/>
    <w:rsid w:val="009B5171"/>
    <w:rsid w:val="009C0C12"/>
    <w:rsid w:val="009C1212"/>
    <w:rsid w:val="009C2772"/>
    <w:rsid w:val="009C2BFC"/>
    <w:rsid w:val="009C2CAF"/>
    <w:rsid w:val="009C3663"/>
    <w:rsid w:val="009C73A3"/>
    <w:rsid w:val="009C7792"/>
    <w:rsid w:val="009C7993"/>
    <w:rsid w:val="009C7D0D"/>
    <w:rsid w:val="009D34C4"/>
    <w:rsid w:val="009D3968"/>
    <w:rsid w:val="009D46C2"/>
    <w:rsid w:val="009D4B36"/>
    <w:rsid w:val="009D6462"/>
    <w:rsid w:val="009D6D17"/>
    <w:rsid w:val="009E089E"/>
    <w:rsid w:val="009E13B0"/>
    <w:rsid w:val="009E3823"/>
    <w:rsid w:val="009E3A63"/>
    <w:rsid w:val="009E3E8C"/>
    <w:rsid w:val="009E4528"/>
    <w:rsid w:val="009E5482"/>
    <w:rsid w:val="009E7409"/>
    <w:rsid w:val="009F2CD8"/>
    <w:rsid w:val="009F7E31"/>
    <w:rsid w:val="00A04589"/>
    <w:rsid w:val="00A04CCE"/>
    <w:rsid w:val="00A0501C"/>
    <w:rsid w:val="00A071B2"/>
    <w:rsid w:val="00A112F4"/>
    <w:rsid w:val="00A11BC9"/>
    <w:rsid w:val="00A1383B"/>
    <w:rsid w:val="00A165A9"/>
    <w:rsid w:val="00A16BCD"/>
    <w:rsid w:val="00A249B0"/>
    <w:rsid w:val="00A24F41"/>
    <w:rsid w:val="00A254C4"/>
    <w:rsid w:val="00A258F4"/>
    <w:rsid w:val="00A26B79"/>
    <w:rsid w:val="00A26FEC"/>
    <w:rsid w:val="00A27B1C"/>
    <w:rsid w:val="00A27FB9"/>
    <w:rsid w:val="00A312DD"/>
    <w:rsid w:val="00A315C0"/>
    <w:rsid w:val="00A31EF2"/>
    <w:rsid w:val="00A332E9"/>
    <w:rsid w:val="00A33FD7"/>
    <w:rsid w:val="00A366B9"/>
    <w:rsid w:val="00A40F12"/>
    <w:rsid w:val="00A4107E"/>
    <w:rsid w:val="00A410CF"/>
    <w:rsid w:val="00A44CAE"/>
    <w:rsid w:val="00A51CF5"/>
    <w:rsid w:val="00A521DD"/>
    <w:rsid w:val="00A55CEF"/>
    <w:rsid w:val="00A561D1"/>
    <w:rsid w:val="00A61A57"/>
    <w:rsid w:val="00A6459F"/>
    <w:rsid w:val="00A6544E"/>
    <w:rsid w:val="00A66EC6"/>
    <w:rsid w:val="00A72B92"/>
    <w:rsid w:val="00A76470"/>
    <w:rsid w:val="00A81A6B"/>
    <w:rsid w:val="00A8256E"/>
    <w:rsid w:val="00A8576B"/>
    <w:rsid w:val="00A85A47"/>
    <w:rsid w:val="00A90269"/>
    <w:rsid w:val="00A90A65"/>
    <w:rsid w:val="00A90C0B"/>
    <w:rsid w:val="00A9114D"/>
    <w:rsid w:val="00A9309E"/>
    <w:rsid w:val="00A937F9"/>
    <w:rsid w:val="00A93980"/>
    <w:rsid w:val="00A939BB"/>
    <w:rsid w:val="00A965D0"/>
    <w:rsid w:val="00A97007"/>
    <w:rsid w:val="00AA206A"/>
    <w:rsid w:val="00AA4FE9"/>
    <w:rsid w:val="00AA6127"/>
    <w:rsid w:val="00AB40EF"/>
    <w:rsid w:val="00AB7E13"/>
    <w:rsid w:val="00AC5BB6"/>
    <w:rsid w:val="00AC5E0C"/>
    <w:rsid w:val="00AC758B"/>
    <w:rsid w:val="00AD080B"/>
    <w:rsid w:val="00AD171F"/>
    <w:rsid w:val="00AD20E5"/>
    <w:rsid w:val="00AD28C2"/>
    <w:rsid w:val="00AD2C03"/>
    <w:rsid w:val="00AD4D7E"/>
    <w:rsid w:val="00AE1110"/>
    <w:rsid w:val="00AE16DA"/>
    <w:rsid w:val="00AE5570"/>
    <w:rsid w:val="00AF0E58"/>
    <w:rsid w:val="00AF2AA3"/>
    <w:rsid w:val="00AF43C6"/>
    <w:rsid w:val="00AF4D32"/>
    <w:rsid w:val="00AF5396"/>
    <w:rsid w:val="00AF59DF"/>
    <w:rsid w:val="00B0059D"/>
    <w:rsid w:val="00B017D7"/>
    <w:rsid w:val="00B072E0"/>
    <w:rsid w:val="00B10903"/>
    <w:rsid w:val="00B10A68"/>
    <w:rsid w:val="00B11323"/>
    <w:rsid w:val="00B11B07"/>
    <w:rsid w:val="00B11E33"/>
    <w:rsid w:val="00B125A3"/>
    <w:rsid w:val="00B140B0"/>
    <w:rsid w:val="00B141A5"/>
    <w:rsid w:val="00B14CE0"/>
    <w:rsid w:val="00B155A5"/>
    <w:rsid w:val="00B15896"/>
    <w:rsid w:val="00B2033D"/>
    <w:rsid w:val="00B2077A"/>
    <w:rsid w:val="00B22994"/>
    <w:rsid w:val="00B23CF9"/>
    <w:rsid w:val="00B243D7"/>
    <w:rsid w:val="00B27276"/>
    <w:rsid w:val="00B3073B"/>
    <w:rsid w:val="00B31017"/>
    <w:rsid w:val="00B32299"/>
    <w:rsid w:val="00B358FE"/>
    <w:rsid w:val="00B35B3C"/>
    <w:rsid w:val="00B42298"/>
    <w:rsid w:val="00B431FB"/>
    <w:rsid w:val="00B433DC"/>
    <w:rsid w:val="00B44795"/>
    <w:rsid w:val="00B45BA2"/>
    <w:rsid w:val="00B4601C"/>
    <w:rsid w:val="00B460D2"/>
    <w:rsid w:val="00B475CE"/>
    <w:rsid w:val="00B500CF"/>
    <w:rsid w:val="00B508B9"/>
    <w:rsid w:val="00B51C44"/>
    <w:rsid w:val="00B54BB9"/>
    <w:rsid w:val="00B54F3F"/>
    <w:rsid w:val="00B557E5"/>
    <w:rsid w:val="00B55B24"/>
    <w:rsid w:val="00B6226C"/>
    <w:rsid w:val="00B6374C"/>
    <w:rsid w:val="00B63D12"/>
    <w:rsid w:val="00B73173"/>
    <w:rsid w:val="00B73E7A"/>
    <w:rsid w:val="00B74077"/>
    <w:rsid w:val="00B746B9"/>
    <w:rsid w:val="00B77956"/>
    <w:rsid w:val="00B83457"/>
    <w:rsid w:val="00B83BDF"/>
    <w:rsid w:val="00B8666E"/>
    <w:rsid w:val="00B904E4"/>
    <w:rsid w:val="00B92CB9"/>
    <w:rsid w:val="00B93299"/>
    <w:rsid w:val="00B939AD"/>
    <w:rsid w:val="00B93D20"/>
    <w:rsid w:val="00B94175"/>
    <w:rsid w:val="00B944E7"/>
    <w:rsid w:val="00B952D8"/>
    <w:rsid w:val="00B95496"/>
    <w:rsid w:val="00B9565F"/>
    <w:rsid w:val="00B95AE5"/>
    <w:rsid w:val="00B95D5D"/>
    <w:rsid w:val="00B9752D"/>
    <w:rsid w:val="00BA371A"/>
    <w:rsid w:val="00BA4949"/>
    <w:rsid w:val="00BA70DD"/>
    <w:rsid w:val="00BA7191"/>
    <w:rsid w:val="00BB0760"/>
    <w:rsid w:val="00BB1169"/>
    <w:rsid w:val="00BB1569"/>
    <w:rsid w:val="00BB23D2"/>
    <w:rsid w:val="00BB7A7A"/>
    <w:rsid w:val="00BC156E"/>
    <w:rsid w:val="00BC4B33"/>
    <w:rsid w:val="00BC6C97"/>
    <w:rsid w:val="00BD420D"/>
    <w:rsid w:val="00BD5656"/>
    <w:rsid w:val="00BF0BBC"/>
    <w:rsid w:val="00BF2239"/>
    <w:rsid w:val="00BF262E"/>
    <w:rsid w:val="00BF2B93"/>
    <w:rsid w:val="00BF3524"/>
    <w:rsid w:val="00BF35FC"/>
    <w:rsid w:val="00BF3CE1"/>
    <w:rsid w:val="00BF4098"/>
    <w:rsid w:val="00BF486F"/>
    <w:rsid w:val="00BF4A44"/>
    <w:rsid w:val="00BF7605"/>
    <w:rsid w:val="00C010AB"/>
    <w:rsid w:val="00C01C45"/>
    <w:rsid w:val="00C029A8"/>
    <w:rsid w:val="00C0316C"/>
    <w:rsid w:val="00C03D3D"/>
    <w:rsid w:val="00C05367"/>
    <w:rsid w:val="00C053B7"/>
    <w:rsid w:val="00C05FC8"/>
    <w:rsid w:val="00C06235"/>
    <w:rsid w:val="00C07643"/>
    <w:rsid w:val="00C07802"/>
    <w:rsid w:val="00C078A9"/>
    <w:rsid w:val="00C079E2"/>
    <w:rsid w:val="00C10DF4"/>
    <w:rsid w:val="00C11A70"/>
    <w:rsid w:val="00C11B5D"/>
    <w:rsid w:val="00C11CE2"/>
    <w:rsid w:val="00C1218B"/>
    <w:rsid w:val="00C12258"/>
    <w:rsid w:val="00C125D1"/>
    <w:rsid w:val="00C12CED"/>
    <w:rsid w:val="00C21209"/>
    <w:rsid w:val="00C21D75"/>
    <w:rsid w:val="00C21EF1"/>
    <w:rsid w:val="00C24FC1"/>
    <w:rsid w:val="00C25BCB"/>
    <w:rsid w:val="00C270BD"/>
    <w:rsid w:val="00C348D2"/>
    <w:rsid w:val="00C41773"/>
    <w:rsid w:val="00C42B19"/>
    <w:rsid w:val="00C44DC3"/>
    <w:rsid w:val="00C46A52"/>
    <w:rsid w:val="00C51698"/>
    <w:rsid w:val="00C51EC9"/>
    <w:rsid w:val="00C52415"/>
    <w:rsid w:val="00C52DC7"/>
    <w:rsid w:val="00C549DC"/>
    <w:rsid w:val="00C54AA5"/>
    <w:rsid w:val="00C54AE8"/>
    <w:rsid w:val="00C55575"/>
    <w:rsid w:val="00C63080"/>
    <w:rsid w:val="00C65B78"/>
    <w:rsid w:val="00C66D89"/>
    <w:rsid w:val="00C7096D"/>
    <w:rsid w:val="00C70C6F"/>
    <w:rsid w:val="00C7433C"/>
    <w:rsid w:val="00C75664"/>
    <w:rsid w:val="00C76B99"/>
    <w:rsid w:val="00C80965"/>
    <w:rsid w:val="00C80E06"/>
    <w:rsid w:val="00C81555"/>
    <w:rsid w:val="00C83A7D"/>
    <w:rsid w:val="00C8428B"/>
    <w:rsid w:val="00C97DF4"/>
    <w:rsid w:val="00CA4C7A"/>
    <w:rsid w:val="00CA5B8D"/>
    <w:rsid w:val="00CA5E20"/>
    <w:rsid w:val="00CA6FA9"/>
    <w:rsid w:val="00CA6FB0"/>
    <w:rsid w:val="00CB0027"/>
    <w:rsid w:val="00CB0045"/>
    <w:rsid w:val="00CB2818"/>
    <w:rsid w:val="00CB3462"/>
    <w:rsid w:val="00CB38D5"/>
    <w:rsid w:val="00CB3ED4"/>
    <w:rsid w:val="00CB3FDE"/>
    <w:rsid w:val="00CB4642"/>
    <w:rsid w:val="00CB61A2"/>
    <w:rsid w:val="00CB64C3"/>
    <w:rsid w:val="00CC1275"/>
    <w:rsid w:val="00CC1663"/>
    <w:rsid w:val="00CC1D72"/>
    <w:rsid w:val="00CC21C2"/>
    <w:rsid w:val="00CC35C0"/>
    <w:rsid w:val="00CC468D"/>
    <w:rsid w:val="00CC4D13"/>
    <w:rsid w:val="00CC5A01"/>
    <w:rsid w:val="00CC6BB8"/>
    <w:rsid w:val="00CC74DE"/>
    <w:rsid w:val="00CD1E0E"/>
    <w:rsid w:val="00CD25D1"/>
    <w:rsid w:val="00CD49B4"/>
    <w:rsid w:val="00CD5136"/>
    <w:rsid w:val="00CD7DCC"/>
    <w:rsid w:val="00CE031F"/>
    <w:rsid w:val="00CE24F3"/>
    <w:rsid w:val="00CE2E12"/>
    <w:rsid w:val="00CE4C44"/>
    <w:rsid w:val="00CF0075"/>
    <w:rsid w:val="00CF0EC7"/>
    <w:rsid w:val="00CF1F08"/>
    <w:rsid w:val="00CF35FA"/>
    <w:rsid w:val="00D00EB0"/>
    <w:rsid w:val="00D00F37"/>
    <w:rsid w:val="00D0338A"/>
    <w:rsid w:val="00D03F77"/>
    <w:rsid w:val="00D057B4"/>
    <w:rsid w:val="00D05BD8"/>
    <w:rsid w:val="00D072FD"/>
    <w:rsid w:val="00D10A9B"/>
    <w:rsid w:val="00D122F2"/>
    <w:rsid w:val="00D12612"/>
    <w:rsid w:val="00D12720"/>
    <w:rsid w:val="00D14383"/>
    <w:rsid w:val="00D1680B"/>
    <w:rsid w:val="00D2054C"/>
    <w:rsid w:val="00D209B0"/>
    <w:rsid w:val="00D20BC0"/>
    <w:rsid w:val="00D21877"/>
    <w:rsid w:val="00D219EE"/>
    <w:rsid w:val="00D22219"/>
    <w:rsid w:val="00D2335B"/>
    <w:rsid w:val="00D263B2"/>
    <w:rsid w:val="00D30C23"/>
    <w:rsid w:val="00D310B8"/>
    <w:rsid w:val="00D31DB2"/>
    <w:rsid w:val="00D325E7"/>
    <w:rsid w:val="00D337A9"/>
    <w:rsid w:val="00D35606"/>
    <w:rsid w:val="00D40BCB"/>
    <w:rsid w:val="00D454DC"/>
    <w:rsid w:val="00D45693"/>
    <w:rsid w:val="00D46583"/>
    <w:rsid w:val="00D47992"/>
    <w:rsid w:val="00D50715"/>
    <w:rsid w:val="00D51B43"/>
    <w:rsid w:val="00D529F8"/>
    <w:rsid w:val="00D52DAE"/>
    <w:rsid w:val="00D532CE"/>
    <w:rsid w:val="00D53A9E"/>
    <w:rsid w:val="00D53FC2"/>
    <w:rsid w:val="00D57984"/>
    <w:rsid w:val="00D60656"/>
    <w:rsid w:val="00D6149E"/>
    <w:rsid w:val="00D61C20"/>
    <w:rsid w:val="00D669BA"/>
    <w:rsid w:val="00D674F6"/>
    <w:rsid w:val="00D67C9C"/>
    <w:rsid w:val="00D71F22"/>
    <w:rsid w:val="00D72253"/>
    <w:rsid w:val="00D74394"/>
    <w:rsid w:val="00D748AA"/>
    <w:rsid w:val="00D761B3"/>
    <w:rsid w:val="00D76B42"/>
    <w:rsid w:val="00D81167"/>
    <w:rsid w:val="00D81437"/>
    <w:rsid w:val="00D8166A"/>
    <w:rsid w:val="00D839F8"/>
    <w:rsid w:val="00D839FC"/>
    <w:rsid w:val="00D847E3"/>
    <w:rsid w:val="00D84905"/>
    <w:rsid w:val="00D86317"/>
    <w:rsid w:val="00D8729C"/>
    <w:rsid w:val="00D8773D"/>
    <w:rsid w:val="00D9015B"/>
    <w:rsid w:val="00D910FD"/>
    <w:rsid w:val="00D92DA5"/>
    <w:rsid w:val="00D9446C"/>
    <w:rsid w:val="00D946C6"/>
    <w:rsid w:val="00D94A4D"/>
    <w:rsid w:val="00D96057"/>
    <w:rsid w:val="00D9742B"/>
    <w:rsid w:val="00DA2203"/>
    <w:rsid w:val="00DA3C84"/>
    <w:rsid w:val="00DA67E0"/>
    <w:rsid w:val="00DA7160"/>
    <w:rsid w:val="00DB097D"/>
    <w:rsid w:val="00DB0B32"/>
    <w:rsid w:val="00DB0D01"/>
    <w:rsid w:val="00DB316E"/>
    <w:rsid w:val="00DB4F41"/>
    <w:rsid w:val="00DB7821"/>
    <w:rsid w:val="00DC069D"/>
    <w:rsid w:val="00DC07AC"/>
    <w:rsid w:val="00DC0ECB"/>
    <w:rsid w:val="00DC1DDE"/>
    <w:rsid w:val="00DC6C89"/>
    <w:rsid w:val="00DC7FE8"/>
    <w:rsid w:val="00DD23C0"/>
    <w:rsid w:val="00DD38D6"/>
    <w:rsid w:val="00DD3DFD"/>
    <w:rsid w:val="00DD6920"/>
    <w:rsid w:val="00DD6DB9"/>
    <w:rsid w:val="00DD7BFA"/>
    <w:rsid w:val="00DE0B14"/>
    <w:rsid w:val="00DE27F3"/>
    <w:rsid w:val="00DE354B"/>
    <w:rsid w:val="00DE4789"/>
    <w:rsid w:val="00DE759E"/>
    <w:rsid w:val="00DE7FE3"/>
    <w:rsid w:val="00DF108F"/>
    <w:rsid w:val="00DF1301"/>
    <w:rsid w:val="00DF63C1"/>
    <w:rsid w:val="00E0160D"/>
    <w:rsid w:val="00E02708"/>
    <w:rsid w:val="00E03077"/>
    <w:rsid w:val="00E03888"/>
    <w:rsid w:val="00E04858"/>
    <w:rsid w:val="00E04CD4"/>
    <w:rsid w:val="00E06271"/>
    <w:rsid w:val="00E06EB0"/>
    <w:rsid w:val="00E1307C"/>
    <w:rsid w:val="00E13D29"/>
    <w:rsid w:val="00E14F7E"/>
    <w:rsid w:val="00E15489"/>
    <w:rsid w:val="00E15AD9"/>
    <w:rsid w:val="00E17D58"/>
    <w:rsid w:val="00E20632"/>
    <w:rsid w:val="00E20ADF"/>
    <w:rsid w:val="00E20F26"/>
    <w:rsid w:val="00E238EC"/>
    <w:rsid w:val="00E24840"/>
    <w:rsid w:val="00E2643E"/>
    <w:rsid w:val="00E2681C"/>
    <w:rsid w:val="00E31DC3"/>
    <w:rsid w:val="00E33254"/>
    <w:rsid w:val="00E33F48"/>
    <w:rsid w:val="00E33F93"/>
    <w:rsid w:val="00E35488"/>
    <w:rsid w:val="00E35C64"/>
    <w:rsid w:val="00E36E4B"/>
    <w:rsid w:val="00E3782F"/>
    <w:rsid w:val="00E40510"/>
    <w:rsid w:val="00E41097"/>
    <w:rsid w:val="00E421C0"/>
    <w:rsid w:val="00E42738"/>
    <w:rsid w:val="00E42C5E"/>
    <w:rsid w:val="00E452AA"/>
    <w:rsid w:val="00E4553C"/>
    <w:rsid w:val="00E46F33"/>
    <w:rsid w:val="00E51B6E"/>
    <w:rsid w:val="00E54E44"/>
    <w:rsid w:val="00E55F30"/>
    <w:rsid w:val="00E569D9"/>
    <w:rsid w:val="00E61383"/>
    <w:rsid w:val="00E61765"/>
    <w:rsid w:val="00E71FDE"/>
    <w:rsid w:val="00E73289"/>
    <w:rsid w:val="00E75050"/>
    <w:rsid w:val="00E756D5"/>
    <w:rsid w:val="00E76E21"/>
    <w:rsid w:val="00E80ECB"/>
    <w:rsid w:val="00E81B85"/>
    <w:rsid w:val="00E82BCF"/>
    <w:rsid w:val="00E82E53"/>
    <w:rsid w:val="00E833B1"/>
    <w:rsid w:val="00E8605F"/>
    <w:rsid w:val="00E87DDB"/>
    <w:rsid w:val="00E91BEC"/>
    <w:rsid w:val="00E92298"/>
    <w:rsid w:val="00E92ACF"/>
    <w:rsid w:val="00E97357"/>
    <w:rsid w:val="00E97DD2"/>
    <w:rsid w:val="00EA17D9"/>
    <w:rsid w:val="00EA1CAD"/>
    <w:rsid w:val="00EA2F33"/>
    <w:rsid w:val="00EB239E"/>
    <w:rsid w:val="00EB52A3"/>
    <w:rsid w:val="00EC0FD6"/>
    <w:rsid w:val="00EC18F2"/>
    <w:rsid w:val="00EC2C61"/>
    <w:rsid w:val="00EC2C7E"/>
    <w:rsid w:val="00EC2F69"/>
    <w:rsid w:val="00EC353B"/>
    <w:rsid w:val="00EC35D3"/>
    <w:rsid w:val="00EC40EA"/>
    <w:rsid w:val="00EC471B"/>
    <w:rsid w:val="00EC4F01"/>
    <w:rsid w:val="00EC6C00"/>
    <w:rsid w:val="00EC6EEB"/>
    <w:rsid w:val="00ED026A"/>
    <w:rsid w:val="00ED0FC0"/>
    <w:rsid w:val="00ED3612"/>
    <w:rsid w:val="00ED3DCF"/>
    <w:rsid w:val="00ED497A"/>
    <w:rsid w:val="00ED4A89"/>
    <w:rsid w:val="00EE3805"/>
    <w:rsid w:val="00EE3D36"/>
    <w:rsid w:val="00EE57F6"/>
    <w:rsid w:val="00EF1AD0"/>
    <w:rsid w:val="00EF1ED8"/>
    <w:rsid w:val="00EF3764"/>
    <w:rsid w:val="00EF3B57"/>
    <w:rsid w:val="00EF4145"/>
    <w:rsid w:val="00EF6AA4"/>
    <w:rsid w:val="00F00FF7"/>
    <w:rsid w:val="00F02042"/>
    <w:rsid w:val="00F02A2B"/>
    <w:rsid w:val="00F0539D"/>
    <w:rsid w:val="00F0561D"/>
    <w:rsid w:val="00F074CF"/>
    <w:rsid w:val="00F07B80"/>
    <w:rsid w:val="00F07ED1"/>
    <w:rsid w:val="00F1030F"/>
    <w:rsid w:val="00F116C2"/>
    <w:rsid w:val="00F13725"/>
    <w:rsid w:val="00F137B7"/>
    <w:rsid w:val="00F158A4"/>
    <w:rsid w:val="00F15F87"/>
    <w:rsid w:val="00F16450"/>
    <w:rsid w:val="00F17146"/>
    <w:rsid w:val="00F178F6"/>
    <w:rsid w:val="00F22983"/>
    <w:rsid w:val="00F24D43"/>
    <w:rsid w:val="00F2552B"/>
    <w:rsid w:val="00F26777"/>
    <w:rsid w:val="00F2681D"/>
    <w:rsid w:val="00F26853"/>
    <w:rsid w:val="00F421F9"/>
    <w:rsid w:val="00F42E9A"/>
    <w:rsid w:val="00F44602"/>
    <w:rsid w:val="00F50501"/>
    <w:rsid w:val="00F5175A"/>
    <w:rsid w:val="00F5217E"/>
    <w:rsid w:val="00F55D15"/>
    <w:rsid w:val="00F55F87"/>
    <w:rsid w:val="00F56294"/>
    <w:rsid w:val="00F64E58"/>
    <w:rsid w:val="00F66691"/>
    <w:rsid w:val="00F7092F"/>
    <w:rsid w:val="00F7164B"/>
    <w:rsid w:val="00F77E37"/>
    <w:rsid w:val="00F8010D"/>
    <w:rsid w:val="00F85EB7"/>
    <w:rsid w:val="00F86B8D"/>
    <w:rsid w:val="00F90043"/>
    <w:rsid w:val="00F90233"/>
    <w:rsid w:val="00F9078A"/>
    <w:rsid w:val="00F93DD5"/>
    <w:rsid w:val="00F94EDE"/>
    <w:rsid w:val="00FA1116"/>
    <w:rsid w:val="00FA12F2"/>
    <w:rsid w:val="00FA239B"/>
    <w:rsid w:val="00FA4807"/>
    <w:rsid w:val="00FA724A"/>
    <w:rsid w:val="00FA7269"/>
    <w:rsid w:val="00FB3BD5"/>
    <w:rsid w:val="00FB44AF"/>
    <w:rsid w:val="00FB4B32"/>
    <w:rsid w:val="00FB4FA3"/>
    <w:rsid w:val="00FB5390"/>
    <w:rsid w:val="00FC0BBB"/>
    <w:rsid w:val="00FC10C6"/>
    <w:rsid w:val="00FC6696"/>
    <w:rsid w:val="00FC67FB"/>
    <w:rsid w:val="00FC7502"/>
    <w:rsid w:val="00FD186B"/>
    <w:rsid w:val="00FD2396"/>
    <w:rsid w:val="00FD310A"/>
    <w:rsid w:val="00FD3CBA"/>
    <w:rsid w:val="00FD575D"/>
    <w:rsid w:val="00FD5AB6"/>
    <w:rsid w:val="00FD6695"/>
    <w:rsid w:val="00FD6A32"/>
    <w:rsid w:val="00FD72C9"/>
    <w:rsid w:val="00FD734B"/>
    <w:rsid w:val="00FE2239"/>
    <w:rsid w:val="00FE26DD"/>
    <w:rsid w:val="00FE3558"/>
    <w:rsid w:val="00FE42CD"/>
    <w:rsid w:val="00FE578B"/>
    <w:rsid w:val="00FE5960"/>
    <w:rsid w:val="00FE5F36"/>
    <w:rsid w:val="00FF08D6"/>
    <w:rsid w:val="00FF242E"/>
    <w:rsid w:val="00FF542F"/>
    <w:rsid w:val="00FF60E4"/>
    <w:rsid w:val="00FF650F"/>
    <w:rsid w:val="00FF6574"/>
    <w:rsid w:val="00FF787B"/>
    <w:rsid w:val="00FF7D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E7A4CA"/>
  <w15:docId w15:val="{272EEBBE-3802-C14D-9E4F-252B19B2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D4E"/>
  </w:style>
  <w:style w:type="paragraph" w:styleId="Heading1">
    <w:name w:val="heading 1"/>
    <w:basedOn w:val="Normal"/>
    <w:next w:val="Normal"/>
    <w:link w:val="Heading1Char"/>
    <w:autoRedefine/>
    <w:uiPriority w:val="9"/>
    <w:qFormat/>
    <w:rsid w:val="001A2F92"/>
    <w:pPr>
      <w:keepNext/>
      <w:keepLines/>
      <w:spacing w:before="240"/>
      <w:outlineLvl w:val="0"/>
    </w:pPr>
    <w:rPr>
      <w:rFonts w:ascii="Times New Roman" w:eastAsiaTheme="majorEastAsia" w:hAnsi="Times New Roman" w:cs="Times New Roman"/>
      <w:color w:val="000000" w:themeColor="text1"/>
      <w:sz w:val="36"/>
      <w:szCs w:val="32"/>
    </w:rPr>
  </w:style>
  <w:style w:type="paragraph" w:styleId="Heading2">
    <w:name w:val="heading 2"/>
    <w:basedOn w:val="Normal"/>
    <w:next w:val="Normal"/>
    <w:link w:val="Heading2Char"/>
    <w:autoRedefine/>
    <w:uiPriority w:val="9"/>
    <w:unhideWhenUsed/>
    <w:qFormat/>
    <w:rsid w:val="00735740"/>
    <w:pPr>
      <w:keepNext/>
      <w:keepLines/>
      <w:spacing w:before="80" w:line="360" w:lineRule="auto"/>
      <w:outlineLvl w:val="1"/>
    </w:pPr>
    <w:rPr>
      <w:rFonts w:ascii="Garamond" w:eastAsiaTheme="majorEastAsia" w:hAnsi="Garamond" w:cstheme="majorBidi"/>
      <w:color w:val="000000" w:themeColor="text1"/>
      <w:sz w:val="32"/>
      <w:szCs w:val="32"/>
    </w:rPr>
  </w:style>
  <w:style w:type="paragraph" w:styleId="Heading3">
    <w:name w:val="heading 3"/>
    <w:basedOn w:val="Normal"/>
    <w:next w:val="Normal"/>
    <w:link w:val="Heading3Char"/>
    <w:uiPriority w:val="9"/>
    <w:semiHidden/>
    <w:unhideWhenUsed/>
    <w:qFormat/>
    <w:rsid w:val="006663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76A"/>
    <w:pPr>
      <w:spacing w:after="0" w:line="240" w:lineRule="auto"/>
      <w:ind w:left="720"/>
      <w:contextualSpacing/>
    </w:pPr>
    <w:rPr>
      <w:sz w:val="24"/>
      <w:szCs w:val="24"/>
    </w:rPr>
  </w:style>
  <w:style w:type="paragraph" w:styleId="FootnoteText">
    <w:name w:val="footnote text"/>
    <w:aliases w:val="Footnote Text Char Char Char Char,FA,FA Fußnotentext,Footnote Text Char Char Char Char Char Char Char Char Char Char Char Char Char Char Char Char Char Char Char Char Char Char,Footnote Text Char Char Char Char Char,FA3,Char,Cha,Ch,F, Char"/>
    <w:basedOn w:val="Normal"/>
    <w:link w:val="FootnoteTextChar"/>
    <w:uiPriority w:val="99"/>
    <w:unhideWhenUsed/>
    <w:rsid w:val="001F1417"/>
    <w:pPr>
      <w:spacing w:after="0" w:line="240" w:lineRule="auto"/>
    </w:pPr>
    <w:rPr>
      <w:sz w:val="20"/>
      <w:szCs w:val="20"/>
    </w:rPr>
  </w:style>
  <w:style w:type="character" w:customStyle="1" w:styleId="FootnoteTextChar">
    <w:name w:val="Footnote Text Char"/>
    <w:aliases w:val="Footnote Text Char Char Char Char Char1,FA Char,FA Fußnotentext Char,Footnote Text Char Char Char Char Char Char Char Char Char Char Char Char Char Char Char Char Char Char Char Char Char Char Char,FA3 Char,Char Char,Cha Char,Ch Char"/>
    <w:basedOn w:val="DefaultParagraphFont"/>
    <w:link w:val="FootnoteText"/>
    <w:uiPriority w:val="99"/>
    <w:rsid w:val="001F1417"/>
    <w:rPr>
      <w:sz w:val="20"/>
      <w:szCs w:val="20"/>
    </w:rPr>
  </w:style>
  <w:style w:type="character" w:styleId="FootnoteReference">
    <w:name w:val="footnote reference"/>
    <w:aliases w:val="Appel note de bas de page,Appel note de bas de page Char Char1 Char Char Char,Appel note de bas de page Char1 Char Char Char2 Char Char,Marque note bas de page Char1 Char Char1 Char Char1 Char,Appel note de bas de page Char3 Char1"/>
    <w:basedOn w:val="DefaultParagraphFont"/>
    <w:link w:val="AppelnotedebasdepageCharChar1CharChar"/>
    <w:uiPriority w:val="99"/>
    <w:unhideWhenUsed/>
    <w:rsid w:val="001F1417"/>
    <w:rPr>
      <w:vertAlign w:val="superscript"/>
    </w:rPr>
  </w:style>
  <w:style w:type="paragraph" w:customStyle="1" w:styleId="AppelnotedebasdepageCharChar1CharChar">
    <w:name w:val="Appel note de bas de page Char Char1 Char Char"/>
    <w:aliases w:val="Appel note de bas de page Char1 Char Char Char2 Char,Marque note bas de page Char1 Char Char1 Char Char1,Appel note de bas de page Char2 Char Char Char1 Char Char Char Char"/>
    <w:basedOn w:val="Normal"/>
    <w:link w:val="FootnoteReference"/>
    <w:uiPriority w:val="99"/>
    <w:rsid w:val="001F1417"/>
    <w:pPr>
      <w:spacing w:after="0" w:line="240" w:lineRule="auto"/>
    </w:pPr>
    <w:rPr>
      <w:vertAlign w:val="superscript"/>
    </w:rPr>
  </w:style>
  <w:style w:type="paragraph" w:styleId="NoSpacing">
    <w:name w:val="No Spacing"/>
    <w:uiPriority w:val="1"/>
    <w:qFormat/>
    <w:rsid w:val="001F1417"/>
    <w:pPr>
      <w:spacing w:after="0" w:line="240" w:lineRule="auto"/>
    </w:pPr>
  </w:style>
  <w:style w:type="character" w:customStyle="1" w:styleId="Heading2Char">
    <w:name w:val="Heading 2 Char"/>
    <w:basedOn w:val="DefaultParagraphFont"/>
    <w:link w:val="Heading2"/>
    <w:uiPriority w:val="9"/>
    <w:rsid w:val="00735740"/>
    <w:rPr>
      <w:rFonts w:ascii="Garamond" w:eastAsiaTheme="majorEastAsia" w:hAnsi="Garamond" w:cstheme="majorBidi"/>
      <w:color w:val="000000" w:themeColor="text1"/>
      <w:sz w:val="32"/>
      <w:szCs w:val="32"/>
    </w:rPr>
  </w:style>
  <w:style w:type="character" w:styleId="Hyperlink">
    <w:name w:val="Hyperlink"/>
    <w:basedOn w:val="DefaultParagraphFont"/>
    <w:uiPriority w:val="99"/>
    <w:unhideWhenUsed/>
    <w:rsid w:val="00D057B4"/>
    <w:rPr>
      <w:color w:val="0000FF"/>
      <w:u w:val="single"/>
    </w:rPr>
  </w:style>
  <w:style w:type="paragraph" w:styleId="Title">
    <w:name w:val="Title"/>
    <w:basedOn w:val="Normal"/>
    <w:next w:val="Normal"/>
    <w:link w:val="TitleChar"/>
    <w:uiPriority w:val="10"/>
    <w:qFormat/>
    <w:rsid w:val="006E48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82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A2F92"/>
    <w:rPr>
      <w:rFonts w:ascii="Times New Roman" w:eastAsiaTheme="majorEastAsia" w:hAnsi="Times New Roman" w:cs="Times New Roman"/>
      <w:color w:val="000000" w:themeColor="text1"/>
      <w:sz w:val="36"/>
      <w:szCs w:val="32"/>
    </w:rPr>
  </w:style>
  <w:style w:type="paragraph" w:styleId="Header">
    <w:name w:val="header"/>
    <w:basedOn w:val="Normal"/>
    <w:link w:val="HeaderChar"/>
    <w:uiPriority w:val="99"/>
    <w:unhideWhenUsed/>
    <w:rsid w:val="008D0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BD2"/>
  </w:style>
  <w:style w:type="paragraph" w:styleId="Footer">
    <w:name w:val="footer"/>
    <w:basedOn w:val="Normal"/>
    <w:link w:val="FooterChar"/>
    <w:uiPriority w:val="99"/>
    <w:unhideWhenUsed/>
    <w:rsid w:val="008D0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BD2"/>
  </w:style>
  <w:style w:type="paragraph" w:customStyle="1" w:styleId="EndNoteBibliographyTitle">
    <w:name w:val="EndNote Bibliography Title"/>
    <w:basedOn w:val="Normal"/>
    <w:link w:val="EndNoteBibliographyTitleChar"/>
    <w:rsid w:val="00E20632"/>
    <w:pPr>
      <w:spacing w:after="0"/>
      <w:jc w:val="center"/>
    </w:pPr>
    <w:rPr>
      <w:rFonts w:ascii="Calibri" w:hAnsi="Calibri" w:cs="Calibri"/>
      <w:noProof/>
      <w:lang w:val="en-US"/>
    </w:rPr>
  </w:style>
  <w:style w:type="character" w:customStyle="1" w:styleId="EndNoteBibliographyTitleChar">
    <w:name w:val="EndNote Bibliography Title Char"/>
    <w:basedOn w:val="FootnoteTextChar"/>
    <w:link w:val="EndNoteBibliographyTitle"/>
    <w:rsid w:val="00E20632"/>
    <w:rPr>
      <w:rFonts w:ascii="Calibri" w:hAnsi="Calibri" w:cs="Calibri"/>
      <w:noProof/>
      <w:sz w:val="20"/>
      <w:szCs w:val="20"/>
      <w:lang w:val="en-US"/>
    </w:rPr>
  </w:style>
  <w:style w:type="paragraph" w:customStyle="1" w:styleId="EndNoteBibliography">
    <w:name w:val="EndNote Bibliography"/>
    <w:basedOn w:val="Normal"/>
    <w:link w:val="EndNoteBibliographyChar"/>
    <w:rsid w:val="00E20632"/>
    <w:pPr>
      <w:spacing w:line="240" w:lineRule="auto"/>
    </w:pPr>
    <w:rPr>
      <w:rFonts w:ascii="Calibri" w:hAnsi="Calibri" w:cs="Calibri"/>
      <w:noProof/>
      <w:lang w:val="en-US"/>
    </w:rPr>
  </w:style>
  <w:style w:type="character" w:customStyle="1" w:styleId="EndNoteBibliographyChar">
    <w:name w:val="EndNote Bibliography Char"/>
    <w:basedOn w:val="FootnoteTextChar"/>
    <w:link w:val="EndNoteBibliography"/>
    <w:rsid w:val="00E20632"/>
    <w:rPr>
      <w:rFonts w:ascii="Calibri" w:hAnsi="Calibri" w:cs="Calibri"/>
      <w:noProof/>
      <w:sz w:val="20"/>
      <w:szCs w:val="20"/>
      <w:lang w:val="en-US"/>
    </w:rPr>
  </w:style>
  <w:style w:type="character" w:customStyle="1" w:styleId="UnresolvedMention1">
    <w:name w:val="Unresolved Mention1"/>
    <w:basedOn w:val="DefaultParagraphFont"/>
    <w:uiPriority w:val="99"/>
    <w:semiHidden/>
    <w:unhideWhenUsed/>
    <w:rsid w:val="00E97DD2"/>
    <w:rPr>
      <w:color w:val="605E5C"/>
      <w:shd w:val="clear" w:color="auto" w:fill="E1DFDD"/>
    </w:rPr>
  </w:style>
  <w:style w:type="character" w:styleId="PageNumber">
    <w:name w:val="page number"/>
    <w:basedOn w:val="DefaultParagraphFont"/>
    <w:uiPriority w:val="99"/>
    <w:semiHidden/>
    <w:unhideWhenUsed/>
    <w:rsid w:val="003A303F"/>
  </w:style>
  <w:style w:type="character" w:styleId="CommentReference">
    <w:name w:val="annotation reference"/>
    <w:basedOn w:val="DefaultParagraphFont"/>
    <w:uiPriority w:val="99"/>
    <w:semiHidden/>
    <w:unhideWhenUsed/>
    <w:rsid w:val="00182A22"/>
    <w:rPr>
      <w:sz w:val="16"/>
      <w:szCs w:val="16"/>
    </w:rPr>
  </w:style>
  <w:style w:type="paragraph" w:styleId="CommentText">
    <w:name w:val="annotation text"/>
    <w:basedOn w:val="Normal"/>
    <w:link w:val="CommentTextChar"/>
    <w:uiPriority w:val="99"/>
    <w:unhideWhenUsed/>
    <w:rsid w:val="00182A22"/>
    <w:pPr>
      <w:spacing w:line="240" w:lineRule="auto"/>
    </w:pPr>
    <w:rPr>
      <w:sz w:val="20"/>
      <w:szCs w:val="20"/>
    </w:rPr>
  </w:style>
  <w:style w:type="character" w:customStyle="1" w:styleId="CommentTextChar">
    <w:name w:val="Comment Text Char"/>
    <w:basedOn w:val="DefaultParagraphFont"/>
    <w:link w:val="CommentText"/>
    <w:uiPriority w:val="99"/>
    <w:rsid w:val="00182A22"/>
    <w:rPr>
      <w:sz w:val="20"/>
      <w:szCs w:val="20"/>
    </w:rPr>
  </w:style>
  <w:style w:type="paragraph" w:styleId="CommentSubject">
    <w:name w:val="annotation subject"/>
    <w:basedOn w:val="CommentText"/>
    <w:next w:val="CommentText"/>
    <w:link w:val="CommentSubjectChar"/>
    <w:uiPriority w:val="99"/>
    <w:semiHidden/>
    <w:unhideWhenUsed/>
    <w:rsid w:val="00182A22"/>
    <w:rPr>
      <w:b/>
      <w:bCs/>
    </w:rPr>
  </w:style>
  <w:style w:type="character" w:customStyle="1" w:styleId="CommentSubjectChar">
    <w:name w:val="Comment Subject Char"/>
    <w:basedOn w:val="CommentTextChar"/>
    <w:link w:val="CommentSubject"/>
    <w:uiPriority w:val="99"/>
    <w:semiHidden/>
    <w:rsid w:val="00182A22"/>
    <w:rPr>
      <w:b/>
      <w:bCs/>
      <w:sz w:val="20"/>
      <w:szCs w:val="20"/>
    </w:rPr>
  </w:style>
  <w:style w:type="paragraph" w:styleId="BalloonText">
    <w:name w:val="Balloon Text"/>
    <w:basedOn w:val="Normal"/>
    <w:link w:val="BalloonTextChar"/>
    <w:uiPriority w:val="99"/>
    <w:semiHidden/>
    <w:unhideWhenUsed/>
    <w:rsid w:val="00182A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A22"/>
    <w:rPr>
      <w:rFonts w:ascii="Segoe UI" w:hAnsi="Segoe UI" w:cs="Segoe UI"/>
      <w:sz w:val="18"/>
      <w:szCs w:val="18"/>
    </w:rPr>
  </w:style>
  <w:style w:type="paragraph" w:styleId="Caption">
    <w:name w:val="caption"/>
    <w:basedOn w:val="Normal"/>
    <w:next w:val="Normal"/>
    <w:uiPriority w:val="35"/>
    <w:unhideWhenUsed/>
    <w:qFormat/>
    <w:rsid w:val="00034A62"/>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212501"/>
    <w:pPr>
      <w:outlineLvl w:val="9"/>
    </w:pPr>
    <w:rPr>
      <w:lang w:val="en-US"/>
    </w:rPr>
  </w:style>
  <w:style w:type="paragraph" w:styleId="TOC1">
    <w:name w:val="toc 1"/>
    <w:basedOn w:val="Normal"/>
    <w:next w:val="Normal"/>
    <w:autoRedefine/>
    <w:uiPriority w:val="39"/>
    <w:unhideWhenUsed/>
    <w:rsid w:val="00212501"/>
    <w:pPr>
      <w:spacing w:after="100"/>
    </w:pPr>
  </w:style>
  <w:style w:type="paragraph" w:styleId="TOC2">
    <w:name w:val="toc 2"/>
    <w:basedOn w:val="Normal"/>
    <w:next w:val="Normal"/>
    <w:autoRedefine/>
    <w:uiPriority w:val="39"/>
    <w:unhideWhenUsed/>
    <w:rsid w:val="00212501"/>
    <w:pPr>
      <w:spacing w:after="100"/>
      <w:ind w:left="220"/>
    </w:pPr>
  </w:style>
  <w:style w:type="character" w:customStyle="1" w:styleId="UnresolvedMention2">
    <w:name w:val="Unresolved Mention2"/>
    <w:basedOn w:val="DefaultParagraphFont"/>
    <w:uiPriority w:val="99"/>
    <w:semiHidden/>
    <w:unhideWhenUsed/>
    <w:rsid w:val="00FE2239"/>
    <w:rPr>
      <w:color w:val="605E5C"/>
      <w:shd w:val="clear" w:color="auto" w:fill="E1DFDD"/>
    </w:rPr>
  </w:style>
  <w:style w:type="character" w:styleId="FollowedHyperlink">
    <w:name w:val="FollowedHyperlink"/>
    <w:basedOn w:val="DefaultParagraphFont"/>
    <w:uiPriority w:val="99"/>
    <w:semiHidden/>
    <w:unhideWhenUsed/>
    <w:rsid w:val="00B55B24"/>
    <w:rPr>
      <w:color w:val="954F72" w:themeColor="followedHyperlink"/>
      <w:u w:val="single"/>
    </w:rPr>
  </w:style>
  <w:style w:type="character" w:customStyle="1" w:styleId="UnresolvedMention3">
    <w:name w:val="Unresolved Mention3"/>
    <w:basedOn w:val="DefaultParagraphFont"/>
    <w:uiPriority w:val="99"/>
    <w:semiHidden/>
    <w:unhideWhenUsed/>
    <w:rsid w:val="00B55B24"/>
    <w:rPr>
      <w:color w:val="605E5C"/>
      <w:shd w:val="clear" w:color="auto" w:fill="E1DFDD"/>
    </w:rPr>
  </w:style>
  <w:style w:type="paragraph" w:styleId="NormalWeb">
    <w:name w:val="Normal (Web)"/>
    <w:basedOn w:val="Normal"/>
    <w:uiPriority w:val="99"/>
    <w:semiHidden/>
    <w:unhideWhenUsed/>
    <w:rsid w:val="007F3845"/>
    <w:rPr>
      <w:rFonts w:ascii="Times New Roman" w:hAnsi="Times New Roman" w:cs="Times New Roman"/>
      <w:sz w:val="24"/>
      <w:szCs w:val="24"/>
    </w:rPr>
  </w:style>
  <w:style w:type="paragraph" w:styleId="Revision">
    <w:name w:val="Revision"/>
    <w:hidden/>
    <w:uiPriority w:val="99"/>
    <w:semiHidden/>
    <w:rsid w:val="0005681E"/>
    <w:pPr>
      <w:spacing w:after="0" w:line="240" w:lineRule="auto"/>
    </w:pPr>
  </w:style>
  <w:style w:type="character" w:customStyle="1" w:styleId="Heading3Char">
    <w:name w:val="Heading 3 Char"/>
    <w:basedOn w:val="DefaultParagraphFont"/>
    <w:link w:val="Heading3"/>
    <w:uiPriority w:val="9"/>
    <w:semiHidden/>
    <w:rsid w:val="0066639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7692">
      <w:bodyDiv w:val="1"/>
      <w:marLeft w:val="0"/>
      <w:marRight w:val="0"/>
      <w:marTop w:val="0"/>
      <w:marBottom w:val="0"/>
      <w:divBdr>
        <w:top w:val="none" w:sz="0" w:space="0" w:color="auto"/>
        <w:left w:val="none" w:sz="0" w:space="0" w:color="auto"/>
        <w:bottom w:val="none" w:sz="0" w:space="0" w:color="auto"/>
        <w:right w:val="none" w:sz="0" w:space="0" w:color="auto"/>
      </w:divBdr>
      <w:divsChild>
        <w:div w:id="109589521">
          <w:marLeft w:val="0"/>
          <w:marRight w:val="0"/>
          <w:marTop w:val="0"/>
          <w:marBottom w:val="0"/>
          <w:divBdr>
            <w:top w:val="none" w:sz="0" w:space="0" w:color="auto"/>
            <w:left w:val="none" w:sz="0" w:space="0" w:color="auto"/>
            <w:bottom w:val="none" w:sz="0" w:space="0" w:color="auto"/>
            <w:right w:val="none" w:sz="0" w:space="0" w:color="auto"/>
          </w:divBdr>
          <w:divsChild>
            <w:div w:id="114060699">
              <w:marLeft w:val="0"/>
              <w:marRight w:val="0"/>
              <w:marTop w:val="0"/>
              <w:marBottom w:val="0"/>
              <w:divBdr>
                <w:top w:val="none" w:sz="0" w:space="0" w:color="auto"/>
                <w:left w:val="none" w:sz="0" w:space="0" w:color="auto"/>
                <w:bottom w:val="none" w:sz="0" w:space="0" w:color="auto"/>
                <w:right w:val="none" w:sz="0" w:space="0" w:color="auto"/>
              </w:divBdr>
              <w:divsChild>
                <w:div w:id="790975184">
                  <w:marLeft w:val="0"/>
                  <w:marRight w:val="0"/>
                  <w:marTop w:val="0"/>
                  <w:marBottom w:val="0"/>
                  <w:divBdr>
                    <w:top w:val="none" w:sz="0" w:space="0" w:color="auto"/>
                    <w:left w:val="none" w:sz="0" w:space="0" w:color="auto"/>
                    <w:bottom w:val="none" w:sz="0" w:space="0" w:color="auto"/>
                    <w:right w:val="none" w:sz="0" w:space="0" w:color="auto"/>
                  </w:divBdr>
                  <w:divsChild>
                    <w:div w:id="1368876681">
                      <w:marLeft w:val="0"/>
                      <w:marRight w:val="0"/>
                      <w:marTop w:val="0"/>
                      <w:marBottom w:val="0"/>
                      <w:divBdr>
                        <w:top w:val="none" w:sz="0" w:space="0" w:color="auto"/>
                        <w:left w:val="none" w:sz="0" w:space="0" w:color="auto"/>
                        <w:bottom w:val="none" w:sz="0" w:space="0" w:color="auto"/>
                        <w:right w:val="none" w:sz="0" w:space="0" w:color="auto"/>
                      </w:divBdr>
                    </w:div>
                  </w:divsChild>
                </w:div>
                <w:div w:id="920675396">
                  <w:marLeft w:val="0"/>
                  <w:marRight w:val="0"/>
                  <w:marTop w:val="0"/>
                  <w:marBottom w:val="0"/>
                  <w:divBdr>
                    <w:top w:val="none" w:sz="0" w:space="0" w:color="auto"/>
                    <w:left w:val="none" w:sz="0" w:space="0" w:color="auto"/>
                    <w:bottom w:val="none" w:sz="0" w:space="0" w:color="auto"/>
                    <w:right w:val="none" w:sz="0" w:space="0" w:color="auto"/>
                  </w:divBdr>
                  <w:divsChild>
                    <w:div w:id="633097203">
                      <w:marLeft w:val="0"/>
                      <w:marRight w:val="0"/>
                      <w:marTop w:val="0"/>
                      <w:marBottom w:val="0"/>
                      <w:divBdr>
                        <w:top w:val="none" w:sz="0" w:space="0" w:color="auto"/>
                        <w:left w:val="none" w:sz="0" w:space="0" w:color="auto"/>
                        <w:bottom w:val="none" w:sz="0" w:space="0" w:color="auto"/>
                        <w:right w:val="none" w:sz="0" w:space="0" w:color="auto"/>
                      </w:divBdr>
                    </w:div>
                  </w:divsChild>
                </w:div>
                <w:div w:id="2124416237">
                  <w:marLeft w:val="0"/>
                  <w:marRight w:val="0"/>
                  <w:marTop w:val="0"/>
                  <w:marBottom w:val="0"/>
                  <w:divBdr>
                    <w:top w:val="none" w:sz="0" w:space="0" w:color="auto"/>
                    <w:left w:val="none" w:sz="0" w:space="0" w:color="auto"/>
                    <w:bottom w:val="none" w:sz="0" w:space="0" w:color="auto"/>
                    <w:right w:val="none" w:sz="0" w:space="0" w:color="auto"/>
                  </w:divBdr>
                  <w:divsChild>
                    <w:div w:id="47044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022">
      <w:bodyDiv w:val="1"/>
      <w:marLeft w:val="0"/>
      <w:marRight w:val="0"/>
      <w:marTop w:val="0"/>
      <w:marBottom w:val="0"/>
      <w:divBdr>
        <w:top w:val="none" w:sz="0" w:space="0" w:color="auto"/>
        <w:left w:val="none" w:sz="0" w:space="0" w:color="auto"/>
        <w:bottom w:val="none" w:sz="0" w:space="0" w:color="auto"/>
        <w:right w:val="none" w:sz="0" w:space="0" w:color="auto"/>
      </w:divBdr>
      <w:divsChild>
        <w:div w:id="1729956297">
          <w:marLeft w:val="0"/>
          <w:marRight w:val="0"/>
          <w:marTop w:val="0"/>
          <w:marBottom w:val="0"/>
          <w:divBdr>
            <w:top w:val="none" w:sz="0" w:space="0" w:color="auto"/>
            <w:left w:val="none" w:sz="0" w:space="0" w:color="auto"/>
            <w:bottom w:val="none" w:sz="0" w:space="0" w:color="auto"/>
            <w:right w:val="none" w:sz="0" w:space="0" w:color="auto"/>
          </w:divBdr>
          <w:divsChild>
            <w:div w:id="141890427">
              <w:marLeft w:val="0"/>
              <w:marRight w:val="0"/>
              <w:marTop w:val="0"/>
              <w:marBottom w:val="0"/>
              <w:divBdr>
                <w:top w:val="none" w:sz="0" w:space="0" w:color="auto"/>
                <w:left w:val="none" w:sz="0" w:space="0" w:color="auto"/>
                <w:bottom w:val="none" w:sz="0" w:space="0" w:color="auto"/>
                <w:right w:val="none" w:sz="0" w:space="0" w:color="auto"/>
              </w:divBdr>
              <w:divsChild>
                <w:div w:id="227616120">
                  <w:marLeft w:val="0"/>
                  <w:marRight w:val="0"/>
                  <w:marTop w:val="0"/>
                  <w:marBottom w:val="0"/>
                  <w:divBdr>
                    <w:top w:val="none" w:sz="0" w:space="0" w:color="auto"/>
                    <w:left w:val="none" w:sz="0" w:space="0" w:color="auto"/>
                    <w:bottom w:val="none" w:sz="0" w:space="0" w:color="auto"/>
                    <w:right w:val="none" w:sz="0" w:space="0" w:color="auto"/>
                  </w:divBdr>
                  <w:divsChild>
                    <w:div w:id="6373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96805">
      <w:bodyDiv w:val="1"/>
      <w:marLeft w:val="0"/>
      <w:marRight w:val="0"/>
      <w:marTop w:val="0"/>
      <w:marBottom w:val="0"/>
      <w:divBdr>
        <w:top w:val="none" w:sz="0" w:space="0" w:color="auto"/>
        <w:left w:val="none" w:sz="0" w:space="0" w:color="auto"/>
        <w:bottom w:val="none" w:sz="0" w:space="0" w:color="auto"/>
        <w:right w:val="none" w:sz="0" w:space="0" w:color="auto"/>
      </w:divBdr>
      <w:divsChild>
        <w:div w:id="1014067665">
          <w:marLeft w:val="0"/>
          <w:marRight w:val="0"/>
          <w:marTop w:val="0"/>
          <w:marBottom w:val="0"/>
          <w:divBdr>
            <w:top w:val="none" w:sz="0" w:space="0" w:color="auto"/>
            <w:left w:val="none" w:sz="0" w:space="0" w:color="auto"/>
            <w:bottom w:val="none" w:sz="0" w:space="0" w:color="auto"/>
            <w:right w:val="none" w:sz="0" w:space="0" w:color="auto"/>
          </w:divBdr>
          <w:divsChild>
            <w:div w:id="1379553294">
              <w:marLeft w:val="0"/>
              <w:marRight w:val="0"/>
              <w:marTop w:val="0"/>
              <w:marBottom w:val="0"/>
              <w:divBdr>
                <w:top w:val="none" w:sz="0" w:space="0" w:color="auto"/>
                <w:left w:val="none" w:sz="0" w:space="0" w:color="auto"/>
                <w:bottom w:val="none" w:sz="0" w:space="0" w:color="auto"/>
                <w:right w:val="none" w:sz="0" w:space="0" w:color="auto"/>
              </w:divBdr>
              <w:divsChild>
                <w:div w:id="7630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42049">
      <w:bodyDiv w:val="1"/>
      <w:marLeft w:val="0"/>
      <w:marRight w:val="0"/>
      <w:marTop w:val="0"/>
      <w:marBottom w:val="0"/>
      <w:divBdr>
        <w:top w:val="none" w:sz="0" w:space="0" w:color="auto"/>
        <w:left w:val="none" w:sz="0" w:space="0" w:color="auto"/>
        <w:bottom w:val="none" w:sz="0" w:space="0" w:color="auto"/>
        <w:right w:val="none" w:sz="0" w:space="0" w:color="auto"/>
      </w:divBdr>
      <w:divsChild>
        <w:div w:id="43719482">
          <w:marLeft w:val="0"/>
          <w:marRight w:val="0"/>
          <w:marTop w:val="0"/>
          <w:marBottom w:val="0"/>
          <w:divBdr>
            <w:top w:val="none" w:sz="0" w:space="0" w:color="auto"/>
            <w:left w:val="none" w:sz="0" w:space="0" w:color="auto"/>
            <w:bottom w:val="none" w:sz="0" w:space="0" w:color="auto"/>
            <w:right w:val="none" w:sz="0" w:space="0" w:color="auto"/>
          </w:divBdr>
          <w:divsChild>
            <w:div w:id="1961837306">
              <w:marLeft w:val="0"/>
              <w:marRight w:val="0"/>
              <w:marTop w:val="0"/>
              <w:marBottom w:val="0"/>
              <w:divBdr>
                <w:top w:val="none" w:sz="0" w:space="0" w:color="auto"/>
                <w:left w:val="none" w:sz="0" w:space="0" w:color="auto"/>
                <w:bottom w:val="none" w:sz="0" w:space="0" w:color="auto"/>
                <w:right w:val="none" w:sz="0" w:space="0" w:color="auto"/>
              </w:divBdr>
              <w:divsChild>
                <w:div w:id="5076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9456">
      <w:bodyDiv w:val="1"/>
      <w:marLeft w:val="0"/>
      <w:marRight w:val="0"/>
      <w:marTop w:val="0"/>
      <w:marBottom w:val="0"/>
      <w:divBdr>
        <w:top w:val="none" w:sz="0" w:space="0" w:color="auto"/>
        <w:left w:val="none" w:sz="0" w:space="0" w:color="auto"/>
        <w:bottom w:val="none" w:sz="0" w:space="0" w:color="auto"/>
        <w:right w:val="none" w:sz="0" w:space="0" w:color="auto"/>
      </w:divBdr>
      <w:divsChild>
        <w:div w:id="503477139">
          <w:marLeft w:val="0"/>
          <w:marRight w:val="0"/>
          <w:marTop w:val="0"/>
          <w:marBottom w:val="0"/>
          <w:divBdr>
            <w:top w:val="none" w:sz="0" w:space="0" w:color="auto"/>
            <w:left w:val="none" w:sz="0" w:space="0" w:color="auto"/>
            <w:bottom w:val="none" w:sz="0" w:space="0" w:color="auto"/>
            <w:right w:val="none" w:sz="0" w:space="0" w:color="auto"/>
          </w:divBdr>
          <w:divsChild>
            <w:div w:id="1141579308">
              <w:marLeft w:val="0"/>
              <w:marRight w:val="0"/>
              <w:marTop w:val="0"/>
              <w:marBottom w:val="0"/>
              <w:divBdr>
                <w:top w:val="none" w:sz="0" w:space="0" w:color="auto"/>
                <w:left w:val="none" w:sz="0" w:space="0" w:color="auto"/>
                <w:bottom w:val="none" w:sz="0" w:space="0" w:color="auto"/>
                <w:right w:val="none" w:sz="0" w:space="0" w:color="auto"/>
              </w:divBdr>
              <w:divsChild>
                <w:div w:id="241256614">
                  <w:marLeft w:val="0"/>
                  <w:marRight w:val="0"/>
                  <w:marTop w:val="0"/>
                  <w:marBottom w:val="0"/>
                  <w:divBdr>
                    <w:top w:val="none" w:sz="0" w:space="0" w:color="auto"/>
                    <w:left w:val="none" w:sz="0" w:space="0" w:color="auto"/>
                    <w:bottom w:val="none" w:sz="0" w:space="0" w:color="auto"/>
                    <w:right w:val="none" w:sz="0" w:space="0" w:color="auto"/>
                  </w:divBdr>
                  <w:divsChild>
                    <w:div w:id="1180697744">
                      <w:marLeft w:val="0"/>
                      <w:marRight w:val="0"/>
                      <w:marTop w:val="0"/>
                      <w:marBottom w:val="0"/>
                      <w:divBdr>
                        <w:top w:val="none" w:sz="0" w:space="0" w:color="auto"/>
                        <w:left w:val="none" w:sz="0" w:space="0" w:color="auto"/>
                        <w:bottom w:val="none" w:sz="0" w:space="0" w:color="auto"/>
                        <w:right w:val="none" w:sz="0" w:space="0" w:color="auto"/>
                      </w:divBdr>
                    </w:div>
                  </w:divsChild>
                </w:div>
                <w:div w:id="2126926123">
                  <w:marLeft w:val="0"/>
                  <w:marRight w:val="0"/>
                  <w:marTop w:val="0"/>
                  <w:marBottom w:val="0"/>
                  <w:divBdr>
                    <w:top w:val="none" w:sz="0" w:space="0" w:color="auto"/>
                    <w:left w:val="none" w:sz="0" w:space="0" w:color="auto"/>
                    <w:bottom w:val="none" w:sz="0" w:space="0" w:color="auto"/>
                    <w:right w:val="none" w:sz="0" w:space="0" w:color="auto"/>
                  </w:divBdr>
                  <w:divsChild>
                    <w:div w:id="360664299">
                      <w:marLeft w:val="0"/>
                      <w:marRight w:val="0"/>
                      <w:marTop w:val="0"/>
                      <w:marBottom w:val="0"/>
                      <w:divBdr>
                        <w:top w:val="none" w:sz="0" w:space="0" w:color="auto"/>
                        <w:left w:val="none" w:sz="0" w:space="0" w:color="auto"/>
                        <w:bottom w:val="none" w:sz="0" w:space="0" w:color="auto"/>
                        <w:right w:val="none" w:sz="0" w:space="0" w:color="auto"/>
                      </w:divBdr>
                    </w:div>
                  </w:divsChild>
                </w:div>
                <w:div w:id="697050293">
                  <w:marLeft w:val="0"/>
                  <w:marRight w:val="0"/>
                  <w:marTop w:val="0"/>
                  <w:marBottom w:val="0"/>
                  <w:divBdr>
                    <w:top w:val="none" w:sz="0" w:space="0" w:color="auto"/>
                    <w:left w:val="none" w:sz="0" w:space="0" w:color="auto"/>
                    <w:bottom w:val="none" w:sz="0" w:space="0" w:color="auto"/>
                    <w:right w:val="none" w:sz="0" w:space="0" w:color="auto"/>
                  </w:divBdr>
                  <w:divsChild>
                    <w:div w:id="181837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31881">
      <w:bodyDiv w:val="1"/>
      <w:marLeft w:val="0"/>
      <w:marRight w:val="0"/>
      <w:marTop w:val="0"/>
      <w:marBottom w:val="0"/>
      <w:divBdr>
        <w:top w:val="none" w:sz="0" w:space="0" w:color="auto"/>
        <w:left w:val="none" w:sz="0" w:space="0" w:color="auto"/>
        <w:bottom w:val="none" w:sz="0" w:space="0" w:color="auto"/>
        <w:right w:val="none" w:sz="0" w:space="0" w:color="auto"/>
      </w:divBdr>
      <w:divsChild>
        <w:div w:id="540023253">
          <w:marLeft w:val="0"/>
          <w:marRight w:val="0"/>
          <w:marTop w:val="0"/>
          <w:marBottom w:val="0"/>
          <w:divBdr>
            <w:top w:val="none" w:sz="0" w:space="0" w:color="auto"/>
            <w:left w:val="none" w:sz="0" w:space="0" w:color="auto"/>
            <w:bottom w:val="none" w:sz="0" w:space="0" w:color="auto"/>
            <w:right w:val="none" w:sz="0" w:space="0" w:color="auto"/>
          </w:divBdr>
          <w:divsChild>
            <w:div w:id="315573777">
              <w:marLeft w:val="0"/>
              <w:marRight w:val="0"/>
              <w:marTop w:val="0"/>
              <w:marBottom w:val="0"/>
              <w:divBdr>
                <w:top w:val="none" w:sz="0" w:space="0" w:color="auto"/>
                <w:left w:val="none" w:sz="0" w:space="0" w:color="auto"/>
                <w:bottom w:val="none" w:sz="0" w:space="0" w:color="auto"/>
                <w:right w:val="none" w:sz="0" w:space="0" w:color="auto"/>
              </w:divBdr>
              <w:divsChild>
                <w:div w:id="19100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7310">
      <w:bodyDiv w:val="1"/>
      <w:marLeft w:val="0"/>
      <w:marRight w:val="0"/>
      <w:marTop w:val="0"/>
      <w:marBottom w:val="0"/>
      <w:divBdr>
        <w:top w:val="none" w:sz="0" w:space="0" w:color="auto"/>
        <w:left w:val="none" w:sz="0" w:space="0" w:color="auto"/>
        <w:bottom w:val="none" w:sz="0" w:space="0" w:color="auto"/>
        <w:right w:val="none" w:sz="0" w:space="0" w:color="auto"/>
      </w:divBdr>
    </w:div>
    <w:div w:id="148208903">
      <w:bodyDiv w:val="1"/>
      <w:marLeft w:val="0"/>
      <w:marRight w:val="0"/>
      <w:marTop w:val="0"/>
      <w:marBottom w:val="0"/>
      <w:divBdr>
        <w:top w:val="none" w:sz="0" w:space="0" w:color="auto"/>
        <w:left w:val="none" w:sz="0" w:space="0" w:color="auto"/>
        <w:bottom w:val="none" w:sz="0" w:space="0" w:color="auto"/>
        <w:right w:val="none" w:sz="0" w:space="0" w:color="auto"/>
      </w:divBdr>
    </w:div>
    <w:div w:id="193691042">
      <w:bodyDiv w:val="1"/>
      <w:marLeft w:val="0"/>
      <w:marRight w:val="0"/>
      <w:marTop w:val="0"/>
      <w:marBottom w:val="0"/>
      <w:divBdr>
        <w:top w:val="none" w:sz="0" w:space="0" w:color="auto"/>
        <w:left w:val="none" w:sz="0" w:space="0" w:color="auto"/>
        <w:bottom w:val="none" w:sz="0" w:space="0" w:color="auto"/>
        <w:right w:val="none" w:sz="0" w:space="0" w:color="auto"/>
      </w:divBdr>
    </w:div>
    <w:div w:id="202834555">
      <w:bodyDiv w:val="1"/>
      <w:marLeft w:val="0"/>
      <w:marRight w:val="0"/>
      <w:marTop w:val="0"/>
      <w:marBottom w:val="0"/>
      <w:divBdr>
        <w:top w:val="none" w:sz="0" w:space="0" w:color="auto"/>
        <w:left w:val="none" w:sz="0" w:space="0" w:color="auto"/>
        <w:bottom w:val="none" w:sz="0" w:space="0" w:color="auto"/>
        <w:right w:val="none" w:sz="0" w:space="0" w:color="auto"/>
      </w:divBdr>
      <w:divsChild>
        <w:div w:id="225801858">
          <w:marLeft w:val="0"/>
          <w:marRight w:val="0"/>
          <w:marTop w:val="0"/>
          <w:marBottom w:val="0"/>
          <w:divBdr>
            <w:top w:val="none" w:sz="0" w:space="0" w:color="auto"/>
            <w:left w:val="none" w:sz="0" w:space="0" w:color="auto"/>
            <w:bottom w:val="none" w:sz="0" w:space="0" w:color="auto"/>
            <w:right w:val="none" w:sz="0" w:space="0" w:color="auto"/>
          </w:divBdr>
          <w:divsChild>
            <w:div w:id="1644772086">
              <w:marLeft w:val="0"/>
              <w:marRight w:val="0"/>
              <w:marTop w:val="0"/>
              <w:marBottom w:val="0"/>
              <w:divBdr>
                <w:top w:val="none" w:sz="0" w:space="0" w:color="auto"/>
                <w:left w:val="none" w:sz="0" w:space="0" w:color="auto"/>
                <w:bottom w:val="none" w:sz="0" w:space="0" w:color="auto"/>
                <w:right w:val="none" w:sz="0" w:space="0" w:color="auto"/>
              </w:divBdr>
              <w:divsChild>
                <w:div w:id="97375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866541">
      <w:bodyDiv w:val="1"/>
      <w:marLeft w:val="0"/>
      <w:marRight w:val="0"/>
      <w:marTop w:val="0"/>
      <w:marBottom w:val="0"/>
      <w:divBdr>
        <w:top w:val="none" w:sz="0" w:space="0" w:color="auto"/>
        <w:left w:val="none" w:sz="0" w:space="0" w:color="auto"/>
        <w:bottom w:val="none" w:sz="0" w:space="0" w:color="auto"/>
        <w:right w:val="none" w:sz="0" w:space="0" w:color="auto"/>
      </w:divBdr>
    </w:div>
    <w:div w:id="292950683">
      <w:bodyDiv w:val="1"/>
      <w:marLeft w:val="0"/>
      <w:marRight w:val="0"/>
      <w:marTop w:val="0"/>
      <w:marBottom w:val="0"/>
      <w:divBdr>
        <w:top w:val="none" w:sz="0" w:space="0" w:color="auto"/>
        <w:left w:val="none" w:sz="0" w:space="0" w:color="auto"/>
        <w:bottom w:val="none" w:sz="0" w:space="0" w:color="auto"/>
        <w:right w:val="none" w:sz="0" w:space="0" w:color="auto"/>
      </w:divBdr>
    </w:div>
    <w:div w:id="331107945">
      <w:bodyDiv w:val="1"/>
      <w:marLeft w:val="0"/>
      <w:marRight w:val="0"/>
      <w:marTop w:val="0"/>
      <w:marBottom w:val="0"/>
      <w:divBdr>
        <w:top w:val="none" w:sz="0" w:space="0" w:color="auto"/>
        <w:left w:val="none" w:sz="0" w:space="0" w:color="auto"/>
        <w:bottom w:val="none" w:sz="0" w:space="0" w:color="auto"/>
        <w:right w:val="none" w:sz="0" w:space="0" w:color="auto"/>
      </w:divBdr>
      <w:divsChild>
        <w:div w:id="1911570974">
          <w:marLeft w:val="0"/>
          <w:marRight w:val="0"/>
          <w:marTop w:val="0"/>
          <w:marBottom w:val="0"/>
          <w:divBdr>
            <w:top w:val="none" w:sz="0" w:space="0" w:color="auto"/>
            <w:left w:val="none" w:sz="0" w:space="0" w:color="auto"/>
            <w:bottom w:val="none" w:sz="0" w:space="0" w:color="auto"/>
            <w:right w:val="none" w:sz="0" w:space="0" w:color="auto"/>
          </w:divBdr>
          <w:divsChild>
            <w:div w:id="1719816978">
              <w:marLeft w:val="0"/>
              <w:marRight w:val="0"/>
              <w:marTop w:val="0"/>
              <w:marBottom w:val="0"/>
              <w:divBdr>
                <w:top w:val="none" w:sz="0" w:space="0" w:color="auto"/>
                <w:left w:val="none" w:sz="0" w:space="0" w:color="auto"/>
                <w:bottom w:val="none" w:sz="0" w:space="0" w:color="auto"/>
                <w:right w:val="none" w:sz="0" w:space="0" w:color="auto"/>
              </w:divBdr>
              <w:divsChild>
                <w:div w:id="232204891">
                  <w:marLeft w:val="0"/>
                  <w:marRight w:val="0"/>
                  <w:marTop w:val="0"/>
                  <w:marBottom w:val="0"/>
                  <w:divBdr>
                    <w:top w:val="none" w:sz="0" w:space="0" w:color="auto"/>
                    <w:left w:val="none" w:sz="0" w:space="0" w:color="auto"/>
                    <w:bottom w:val="none" w:sz="0" w:space="0" w:color="auto"/>
                    <w:right w:val="none" w:sz="0" w:space="0" w:color="auto"/>
                  </w:divBdr>
                  <w:divsChild>
                    <w:div w:id="5180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59478">
      <w:bodyDiv w:val="1"/>
      <w:marLeft w:val="0"/>
      <w:marRight w:val="0"/>
      <w:marTop w:val="0"/>
      <w:marBottom w:val="0"/>
      <w:divBdr>
        <w:top w:val="none" w:sz="0" w:space="0" w:color="auto"/>
        <w:left w:val="none" w:sz="0" w:space="0" w:color="auto"/>
        <w:bottom w:val="none" w:sz="0" w:space="0" w:color="auto"/>
        <w:right w:val="none" w:sz="0" w:space="0" w:color="auto"/>
      </w:divBdr>
    </w:div>
    <w:div w:id="368261622">
      <w:bodyDiv w:val="1"/>
      <w:marLeft w:val="0"/>
      <w:marRight w:val="0"/>
      <w:marTop w:val="0"/>
      <w:marBottom w:val="0"/>
      <w:divBdr>
        <w:top w:val="none" w:sz="0" w:space="0" w:color="auto"/>
        <w:left w:val="none" w:sz="0" w:space="0" w:color="auto"/>
        <w:bottom w:val="none" w:sz="0" w:space="0" w:color="auto"/>
        <w:right w:val="none" w:sz="0" w:space="0" w:color="auto"/>
      </w:divBdr>
      <w:divsChild>
        <w:div w:id="193471488">
          <w:marLeft w:val="0"/>
          <w:marRight w:val="0"/>
          <w:marTop w:val="0"/>
          <w:marBottom w:val="0"/>
          <w:divBdr>
            <w:top w:val="none" w:sz="0" w:space="0" w:color="auto"/>
            <w:left w:val="none" w:sz="0" w:space="0" w:color="auto"/>
            <w:bottom w:val="none" w:sz="0" w:space="0" w:color="auto"/>
            <w:right w:val="none" w:sz="0" w:space="0" w:color="auto"/>
          </w:divBdr>
          <w:divsChild>
            <w:div w:id="1807507116">
              <w:marLeft w:val="0"/>
              <w:marRight w:val="0"/>
              <w:marTop w:val="0"/>
              <w:marBottom w:val="0"/>
              <w:divBdr>
                <w:top w:val="none" w:sz="0" w:space="0" w:color="auto"/>
                <w:left w:val="none" w:sz="0" w:space="0" w:color="auto"/>
                <w:bottom w:val="none" w:sz="0" w:space="0" w:color="auto"/>
                <w:right w:val="none" w:sz="0" w:space="0" w:color="auto"/>
              </w:divBdr>
              <w:divsChild>
                <w:div w:id="13743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0818">
      <w:bodyDiv w:val="1"/>
      <w:marLeft w:val="0"/>
      <w:marRight w:val="0"/>
      <w:marTop w:val="0"/>
      <w:marBottom w:val="0"/>
      <w:divBdr>
        <w:top w:val="none" w:sz="0" w:space="0" w:color="auto"/>
        <w:left w:val="none" w:sz="0" w:space="0" w:color="auto"/>
        <w:bottom w:val="none" w:sz="0" w:space="0" w:color="auto"/>
        <w:right w:val="none" w:sz="0" w:space="0" w:color="auto"/>
      </w:divBdr>
      <w:divsChild>
        <w:div w:id="260839446">
          <w:marLeft w:val="0"/>
          <w:marRight w:val="0"/>
          <w:marTop w:val="0"/>
          <w:marBottom w:val="0"/>
          <w:divBdr>
            <w:top w:val="none" w:sz="0" w:space="0" w:color="auto"/>
            <w:left w:val="none" w:sz="0" w:space="0" w:color="auto"/>
            <w:bottom w:val="none" w:sz="0" w:space="0" w:color="auto"/>
            <w:right w:val="none" w:sz="0" w:space="0" w:color="auto"/>
          </w:divBdr>
          <w:divsChild>
            <w:div w:id="338578558">
              <w:marLeft w:val="0"/>
              <w:marRight w:val="0"/>
              <w:marTop w:val="0"/>
              <w:marBottom w:val="0"/>
              <w:divBdr>
                <w:top w:val="none" w:sz="0" w:space="0" w:color="auto"/>
                <w:left w:val="none" w:sz="0" w:space="0" w:color="auto"/>
                <w:bottom w:val="none" w:sz="0" w:space="0" w:color="auto"/>
                <w:right w:val="none" w:sz="0" w:space="0" w:color="auto"/>
              </w:divBdr>
              <w:divsChild>
                <w:div w:id="11288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25110">
      <w:bodyDiv w:val="1"/>
      <w:marLeft w:val="0"/>
      <w:marRight w:val="0"/>
      <w:marTop w:val="0"/>
      <w:marBottom w:val="0"/>
      <w:divBdr>
        <w:top w:val="none" w:sz="0" w:space="0" w:color="auto"/>
        <w:left w:val="none" w:sz="0" w:space="0" w:color="auto"/>
        <w:bottom w:val="none" w:sz="0" w:space="0" w:color="auto"/>
        <w:right w:val="none" w:sz="0" w:space="0" w:color="auto"/>
      </w:divBdr>
      <w:divsChild>
        <w:div w:id="799762984">
          <w:marLeft w:val="0"/>
          <w:marRight w:val="0"/>
          <w:marTop w:val="0"/>
          <w:marBottom w:val="0"/>
          <w:divBdr>
            <w:top w:val="none" w:sz="0" w:space="0" w:color="auto"/>
            <w:left w:val="none" w:sz="0" w:space="0" w:color="auto"/>
            <w:bottom w:val="none" w:sz="0" w:space="0" w:color="auto"/>
            <w:right w:val="none" w:sz="0" w:space="0" w:color="auto"/>
          </w:divBdr>
          <w:divsChild>
            <w:div w:id="1617638598">
              <w:marLeft w:val="0"/>
              <w:marRight w:val="0"/>
              <w:marTop w:val="0"/>
              <w:marBottom w:val="0"/>
              <w:divBdr>
                <w:top w:val="none" w:sz="0" w:space="0" w:color="auto"/>
                <w:left w:val="none" w:sz="0" w:space="0" w:color="auto"/>
                <w:bottom w:val="none" w:sz="0" w:space="0" w:color="auto"/>
                <w:right w:val="none" w:sz="0" w:space="0" w:color="auto"/>
              </w:divBdr>
              <w:divsChild>
                <w:div w:id="1636837319">
                  <w:marLeft w:val="0"/>
                  <w:marRight w:val="0"/>
                  <w:marTop w:val="0"/>
                  <w:marBottom w:val="0"/>
                  <w:divBdr>
                    <w:top w:val="none" w:sz="0" w:space="0" w:color="auto"/>
                    <w:left w:val="none" w:sz="0" w:space="0" w:color="auto"/>
                    <w:bottom w:val="none" w:sz="0" w:space="0" w:color="auto"/>
                    <w:right w:val="none" w:sz="0" w:space="0" w:color="auto"/>
                  </w:divBdr>
                  <w:divsChild>
                    <w:div w:id="1344284053">
                      <w:marLeft w:val="0"/>
                      <w:marRight w:val="0"/>
                      <w:marTop w:val="0"/>
                      <w:marBottom w:val="0"/>
                      <w:divBdr>
                        <w:top w:val="none" w:sz="0" w:space="0" w:color="auto"/>
                        <w:left w:val="none" w:sz="0" w:space="0" w:color="auto"/>
                        <w:bottom w:val="none" w:sz="0" w:space="0" w:color="auto"/>
                        <w:right w:val="none" w:sz="0" w:space="0" w:color="auto"/>
                      </w:divBdr>
                    </w:div>
                  </w:divsChild>
                </w:div>
                <w:div w:id="178466700">
                  <w:marLeft w:val="0"/>
                  <w:marRight w:val="0"/>
                  <w:marTop w:val="0"/>
                  <w:marBottom w:val="0"/>
                  <w:divBdr>
                    <w:top w:val="none" w:sz="0" w:space="0" w:color="auto"/>
                    <w:left w:val="none" w:sz="0" w:space="0" w:color="auto"/>
                    <w:bottom w:val="none" w:sz="0" w:space="0" w:color="auto"/>
                    <w:right w:val="none" w:sz="0" w:space="0" w:color="auto"/>
                  </w:divBdr>
                  <w:divsChild>
                    <w:div w:id="2113360148">
                      <w:marLeft w:val="0"/>
                      <w:marRight w:val="0"/>
                      <w:marTop w:val="0"/>
                      <w:marBottom w:val="0"/>
                      <w:divBdr>
                        <w:top w:val="none" w:sz="0" w:space="0" w:color="auto"/>
                        <w:left w:val="none" w:sz="0" w:space="0" w:color="auto"/>
                        <w:bottom w:val="none" w:sz="0" w:space="0" w:color="auto"/>
                        <w:right w:val="none" w:sz="0" w:space="0" w:color="auto"/>
                      </w:divBdr>
                    </w:div>
                  </w:divsChild>
                </w:div>
                <w:div w:id="1199851764">
                  <w:marLeft w:val="0"/>
                  <w:marRight w:val="0"/>
                  <w:marTop w:val="0"/>
                  <w:marBottom w:val="0"/>
                  <w:divBdr>
                    <w:top w:val="none" w:sz="0" w:space="0" w:color="auto"/>
                    <w:left w:val="none" w:sz="0" w:space="0" w:color="auto"/>
                    <w:bottom w:val="none" w:sz="0" w:space="0" w:color="auto"/>
                    <w:right w:val="none" w:sz="0" w:space="0" w:color="auto"/>
                  </w:divBdr>
                  <w:divsChild>
                    <w:div w:id="70517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88146">
      <w:bodyDiv w:val="1"/>
      <w:marLeft w:val="0"/>
      <w:marRight w:val="0"/>
      <w:marTop w:val="0"/>
      <w:marBottom w:val="0"/>
      <w:divBdr>
        <w:top w:val="none" w:sz="0" w:space="0" w:color="auto"/>
        <w:left w:val="none" w:sz="0" w:space="0" w:color="auto"/>
        <w:bottom w:val="none" w:sz="0" w:space="0" w:color="auto"/>
        <w:right w:val="none" w:sz="0" w:space="0" w:color="auto"/>
      </w:divBdr>
      <w:divsChild>
        <w:div w:id="855075017">
          <w:marLeft w:val="0"/>
          <w:marRight w:val="0"/>
          <w:marTop w:val="0"/>
          <w:marBottom w:val="0"/>
          <w:divBdr>
            <w:top w:val="none" w:sz="0" w:space="0" w:color="auto"/>
            <w:left w:val="none" w:sz="0" w:space="0" w:color="auto"/>
            <w:bottom w:val="none" w:sz="0" w:space="0" w:color="auto"/>
            <w:right w:val="none" w:sz="0" w:space="0" w:color="auto"/>
          </w:divBdr>
          <w:divsChild>
            <w:div w:id="1008944444">
              <w:marLeft w:val="0"/>
              <w:marRight w:val="0"/>
              <w:marTop w:val="0"/>
              <w:marBottom w:val="0"/>
              <w:divBdr>
                <w:top w:val="none" w:sz="0" w:space="0" w:color="auto"/>
                <w:left w:val="none" w:sz="0" w:space="0" w:color="auto"/>
                <w:bottom w:val="none" w:sz="0" w:space="0" w:color="auto"/>
                <w:right w:val="none" w:sz="0" w:space="0" w:color="auto"/>
              </w:divBdr>
              <w:divsChild>
                <w:div w:id="1788428244">
                  <w:marLeft w:val="0"/>
                  <w:marRight w:val="0"/>
                  <w:marTop w:val="0"/>
                  <w:marBottom w:val="0"/>
                  <w:divBdr>
                    <w:top w:val="none" w:sz="0" w:space="0" w:color="auto"/>
                    <w:left w:val="none" w:sz="0" w:space="0" w:color="auto"/>
                    <w:bottom w:val="none" w:sz="0" w:space="0" w:color="auto"/>
                    <w:right w:val="none" w:sz="0" w:space="0" w:color="auto"/>
                  </w:divBdr>
                  <w:divsChild>
                    <w:div w:id="18115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7576">
      <w:bodyDiv w:val="1"/>
      <w:marLeft w:val="0"/>
      <w:marRight w:val="0"/>
      <w:marTop w:val="0"/>
      <w:marBottom w:val="0"/>
      <w:divBdr>
        <w:top w:val="none" w:sz="0" w:space="0" w:color="auto"/>
        <w:left w:val="none" w:sz="0" w:space="0" w:color="auto"/>
        <w:bottom w:val="none" w:sz="0" w:space="0" w:color="auto"/>
        <w:right w:val="none" w:sz="0" w:space="0" w:color="auto"/>
      </w:divBdr>
      <w:divsChild>
        <w:div w:id="1042708319">
          <w:marLeft w:val="0"/>
          <w:marRight w:val="0"/>
          <w:marTop w:val="0"/>
          <w:marBottom w:val="0"/>
          <w:divBdr>
            <w:top w:val="none" w:sz="0" w:space="0" w:color="auto"/>
            <w:left w:val="none" w:sz="0" w:space="0" w:color="auto"/>
            <w:bottom w:val="none" w:sz="0" w:space="0" w:color="auto"/>
            <w:right w:val="none" w:sz="0" w:space="0" w:color="auto"/>
          </w:divBdr>
          <w:divsChild>
            <w:div w:id="276373214">
              <w:marLeft w:val="0"/>
              <w:marRight w:val="0"/>
              <w:marTop w:val="0"/>
              <w:marBottom w:val="0"/>
              <w:divBdr>
                <w:top w:val="none" w:sz="0" w:space="0" w:color="auto"/>
                <w:left w:val="none" w:sz="0" w:space="0" w:color="auto"/>
                <w:bottom w:val="none" w:sz="0" w:space="0" w:color="auto"/>
                <w:right w:val="none" w:sz="0" w:space="0" w:color="auto"/>
              </w:divBdr>
              <w:divsChild>
                <w:div w:id="50771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2725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06">
          <w:marLeft w:val="0"/>
          <w:marRight w:val="0"/>
          <w:marTop w:val="0"/>
          <w:marBottom w:val="0"/>
          <w:divBdr>
            <w:top w:val="none" w:sz="0" w:space="0" w:color="auto"/>
            <w:left w:val="none" w:sz="0" w:space="0" w:color="auto"/>
            <w:bottom w:val="none" w:sz="0" w:space="0" w:color="auto"/>
            <w:right w:val="none" w:sz="0" w:space="0" w:color="auto"/>
          </w:divBdr>
          <w:divsChild>
            <w:div w:id="1690642139">
              <w:marLeft w:val="0"/>
              <w:marRight w:val="0"/>
              <w:marTop w:val="0"/>
              <w:marBottom w:val="0"/>
              <w:divBdr>
                <w:top w:val="none" w:sz="0" w:space="0" w:color="auto"/>
                <w:left w:val="none" w:sz="0" w:space="0" w:color="auto"/>
                <w:bottom w:val="none" w:sz="0" w:space="0" w:color="auto"/>
                <w:right w:val="none" w:sz="0" w:space="0" w:color="auto"/>
              </w:divBdr>
              <w:divsChild>
                <w:div w:id="15782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78884">
      <w:bodyDiv w:val="1"/>
      <w:marLeft w:val="0"/>
      <w:marRight w:val="0"/>
      <w:marTop w:val="0"/>
      <w:marBottom w:val="0"/>
      <w:divBdr>
        <w:top w:val="none" w:sz="0" w:space="0" w:color="auto"/>
        <w:left w:val="none" w:sz="0" w:space="0" w:color="auto"/>
        <w:bottom w:val="none" w:sz="0" w:space="0" w:color="auto"/>
        <w:right w:val="none" w:sz="0" w:space="0" w:color="auto"/>
      </w:divBdr>
      <w:divsChild>
        <w:div w:id="862131466">
          <w:marLeft w:val="0"/>
          <w:marRight w:val="0"/>
          <w:marTop w:val="0"/>
          <w:marBottom w:val="0"/>
          <w:divBdr>
            <w:top w:val="none" w:sz="0" w:space="0" w:color="auto"/>
            <w:left w:val="none" w:sz="0" w:space="0" w:color="auto"/>
            <w:bottom w:val="none" w:sz="0" w:space="0" w:color="auto"/>
            <w:right w:val="none" w:sz="0" w:space="0" w:color="auto"/>
          </w:divBdr>
          <w:divsChild>
            <w:div w:id="278411900">
              <w:marLeft w:val="0"/>
              <w:marRight w:val="0"/>
              <w:marTop w:val="0"/>
              <w:marBottom w:val="0"/>
              <w:divBdr>
                <w:top w:val="none" w:sz="0" w:space="0" w:color="auto"/>
                <w:left w:val="none" w:sz="0" w:space="0" w:color="auto"/>
                <w:bottom w:val="none" w:sz="0" w:space="0" w:color="auto"/>
                <w:right w:val="none" w:sz="0" w:space="0" w:color="auto"/>
              </w:divBdr>
              <w:divsChild>
                <w:div w:id="822283832">
                  <w:marLeft w:val="0"/>
                  <w:marRight w:val="0"/>
                  <w:marTop w:val="0"/>
                  <w:marBottom w:val="0"/>
                  <w:divBdr>
                    <w:top w:val="none" w:sz="0" w:space="0" w:color="auto"/>
                    <w:left w:val="none" w:sz="0" w:space="0" w:color="auto"/>
                    <w:bottom w:val="none" w:sz="0" w:space="0" w:color="auto"/>
                    <w:right w:val="none" w:sz="0" w:space="0" w:color="auto"/>
                  </w:divBdr>
                  <w:divsChild>
                    <w:div w:id="15183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08203">
      <w:bodyDiv w:val="1"/>
      <w:marLeft w:val="0"/>
      <w:marRight w:val="0"/>
      <w:marTop w:val="0"/>
      <w:marBottom w:val="0"/>
      <w:divBdr>
        <w:top w:val="none" w:sz="0" w:space="0" w:color="auto"/>
        <w:left w:val="none" w:sz="0" w:space="0" w:color="auto"/>
        <w:bottom w:val="none" w:sz="0" w:space="0" w:color="auto"/>
        <w:right w:val="none" w:sz="0" w:space="0" w:color="auto"/>
      </w:divBdr>
      <w:divsChild>
        <w:div w:id="924801244">
          <w:marLeft w:val="0"/>
          <w:marRight w:val="0"/>
          <w:marTop w:val="0"/>
          <w:marBottom w:val="0"/>
          <w:divBdr>
            <w:top w:val="none" w:sz="0" w:space="0" w:color="auto"/>
            <w:left w:val="none" w:sz="0" w:space="0" w:color="auto"/>
            <w:bottom w:val="none" w:sz="0" w:space="0" w:color="auto"/>
            <w:right w:val="none" w:sz="0" w:space="0" w:color="auto"/>
          </w:divBdr>
          <w:divsChild>
            <w:div w:id="525292468">
              <w:marLeft w:val="0"/>
              <w:marRight w:val="0"/>
              <w:marTop w:val="0"/>
              <w:marBottom w:val="0"/>
              <w:divBdr>
                <w:top w:val="none" w:sz="0" w:space="0" w:color="auto"/>
                <w:left w:val="none" w:sz="0" w:space="0" w:color="auto"/>
                <w:bottom w:val="none" w:sz="0" w:space="0" w:color="auto"/>
                <w:right w:val="none" w:sz="0" w:space="0" w:color="auto"/>
              </w:divBdr>
              <w:divsChild>
                <w:div w:id="14219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63735">
      <w:bodyDiv w:val="1"/>
      <w:marLeft w:val="0"/>
      <w:marRight w:val="0"/>
      <w:marTop w:val="0"/>
      <w:marBottom w:val="0"/>
      <w:divBdr>
        <w:top w:val="none" w:sz="0" w:space="0" w:color="auto"/>
        <w:left w:val="none" w:sz="0" w:space="0" w:color="auto"/>
        <w:bottom w:val="none" w:sz="0" w:space="0" w:color="auto"/>
        <w:right w:val="none" w:sz="0" w:space="0" w:color="auto"/>
      </w:divBdr>
    </w:div>
    <w:div w:id="596258967">
      <w:bodyDiv w:val="1"/>
      <w:marLeft w:val="0"/>
      <w:marRight w:val="0"/>
      <w:marTop w:val="0"/>
      <w:marBottom w:val="0"/>
      <w:divBdr>
        <w:top w:val="none" w:sz="0" w:space="0" w:color="auto"/>
        <w:left w:val="none" w:sz="0" w:space="0" w:color="auto"/>
        <w:bottom w:val="none" w:sz="0" w:space="0" w:color="auto"/>
        <w:right w:val="none" w:sz="0" w:space="0" w:color="auto"/>
      </w:divBdr>
      <w:divsChild>
        <w:div w:id="2120753962">
          <w:marLeft w:val="0"/>
          <w:marRight w:val="0"/>
          <w:marTop w:val="0"/>
          <w:marBottom w:val="0"/>
          <w:divBdr>
            <w:top w:val="none" w:sz="0" w:space="0" w:color="auto"/>
            <w:left w:val="none" w:sz="0" w:space="0" w:color="auto"/>
            <w:bottom w:val="none" w:sz="0" w:space="0" w:color="auto"/>
            <w:right w:val="none" w:sz="0" w:space="0" w:color="auto"/>
          </w:divBdr>
          <w:divsChild>
            <w:div w:id="420104437">
              <w:marLeft w:val="0"/>
              <w:marRight w:val="75"/>
              <w:marTop w:val="0"/>
              <w:marBottom w:val="0"/>
              <w:divBdr>
                <w:top w:val="none" w:sz="0" w:space="0" w:color="auto"/>
                <w:left w:val="none" w:sz="0" w:space="0" w:color="auto"/>
                <w:bottom w:val="none" w:sz="0" w:space="0" w:color="auto"/>
                <w:right w:val="none" w:sz="0" w:space="0" w:color="auto"/>
              </w:divBdr>
              <w:divsChild>
                <w:div w:id="681931375">
                  <w:marLeft w:val="0"/>
                  <w:marRight w:val="0"/>
                  <w:marTop w:val="150"/>
                  <w:marBottom w:val="150"/>
                  <w:divBdr>
                    <w:top w:val="none" w:sz="0" w:space="0" w:color="auto"/>
                    <w:left w:val="none" w:sz="0" w:space="0" w:color="auto"/>
                    <w:bottom w:val="none" w:sz="0" w:space="0" w:color="auto"/>
                    <w:right w:val="none" w:sz="0" w:space="0" w:color="auto"/>
                  </w:divBdr>
                  <w:divsChild>
                    <w:div w:id="1280986205">
                      <w:marLeft w:val="0"/>
                      <w:marRight w:val="0"/>
                      <w:marTop w:val="0"/>
                      <w:marBottom w:val="0"/>
                      <w:divBdr>
                        <w:top w:val="none" w:sz="0" w:space="0" w:color="auto"/>
                        <w:left w:val="none" w:sz="0" w:space="0" w:color="auto"/>
                        <w:bottom w:val="none" w:sz="0" w:space="0" w:color="auto"/>
                        <w:right w:val="none" w:sz="0" w:space="0" w:color="auto"/>
                      </w:divBdr>
                      <w:divsChild>
                        <w:div w:id="12735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9898">
                  <w:marLeft w:val="0"/>
                  <w:marRight w:val="0"/>
                  <w:marTop w:val="0"/>
                  <w:marBottom w:val="0"/>
                  <w:divBdr>
                    <w:top w:val="none" w:sz="0" w:space="0" w:color="auto"/>
                    <w:left w:val="none" w:sz="0" w:space="0" w:color="auto"/>
                    <w:bottom w:val="none" w:sz="0" w:space="0" w:color="auto"/>
                    <w:right w:val="none" w:sz="0" w:space="0" w:color="auto"/>
                  </w:divBdr>
                </w:div>
              </w:divsChild>
            </w:div>
            <w:div w:id="45510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98231">
      <w:bodyDiv w:val="1"/>
      <w:marLeft w:val="0"/>
      <w:marRight w:val="0"/>
      <w:marTop w:val="0"/>
      <w:marBottom w:val="0"/>
      <w:divBdr>
        <w:top w:val="none" w:sz="0" w:space="0" w:color="auto"/>
        <w:left w:val="none" w:sz="0" w:space="0" w:color="auto"/>
        <w:bottom w:val="none" w:sz="0" w:space="0" w:color="auto"/>
        <w:right w:val="none" w:sz="0" w:space="0" w:color="auto"/>
      </w:divBdr>
      <w:divsChild>
        <w:div w:id="1027372231">
          <w:marLeft w:val="0"/>
          <w:marRight w:val="0"/>
          <w:marTop w:val="0"/>
          <w:marBottom w:val="0"/>
          <w:divBdr>
            <w:top w:val="none" w:sz="0" w:space="0" w:color="auto"/>
            <w:left w:val="none" w:sz="0" w:space="0" w:color="auto"/>
            <w:bottom w:val="none" w:sz="0" w:space="0" w:color="auto"/>
            <w:right w:val="none" w:sz="0" w:space="0" w:color="auto"/>
          </w:divBdr>
          <w:divsChild>
            <w:div w:id="1567301612">
              <w:marLeft w:val="0"/>
              <w:marRight w:val="0"/>
              <w:marTop w:val="0"/>
              <w:marBottom w:val="0"/>
              <w:divBdr>
                <w:top w:val="none" w:sz="0" w:space="0" w:color="auto"/>
                <w:left w:val="none" w:sz="0" w:space="0" w:color="auto"/>
                <w:bottom w:val="none" w:sz="0" w:space="0" w:color="auto"/>
                <w:right w:val="none" w:sz="0" w:space="0" w:color="auto"/>
              </w:divBdr>
              <w:divsChild>
                <w:div w:id="15350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07442">
      <w:bodyDiv w:val="1"/>
      <w:marLeft w:val="0"/>
      <w:marRight w:val="0"/>
      <w:marTop w:val="0"/>
      <w:marBottom w:val="0"/>
      <w:divBdr>
        <w:top w:val="none" w:sz="0" w:space="0" w:color="auto"/>
        <w:left w:val="none" w:sz="0" w:space="0" w:color="auto"/>
        <w:bottom w:val="none" w:sz="0" w:space="0" w:color="auto"/>
        <w:right w:val="none" w:sz="0" w:space="0" w:color="auto"/>
      </w:divBdr>
    </w:div>
    <w:div w:id="658996795">
      <w:bodyDiv w:val="1"/>
      <w:marLeft w:val="0"/>
      <w:marRight w:val="0"/>
      <w:marTop w:val="0"/>
      <w:marBottom w:val="0"/>
      <w:divBdr>
        <w:top w:val="none" w:sz="0" w:space="0" w:color="auto"/>
        <w:left w:val="none" w:sz="0" w:space="0" w:color="auto"/>
        <w:bottom w:val="none" w:sz="0" w:space="0" w:color="auto"/>
        <w:right w:val="none" w:sz="0" w:space="0" w:color="auto"/>
      </w:divBdr>
      <w:divsChild>
        <w:div w:id="74784671">
          <w:marLeft w:val="0"/>
          <w:marRight w:val="0"/>
          <w:marTop w:val="0"/>
          <w:marBottom w:val="0"/>
          <w:divBdr>
            <w:top w:val="none" w:sz="0" w:space="0" w:color="auto"/>
            <w:left w:val="none" w:sz="0" w:space="0" w:color="auto"/>
            <w:bottom w:val="none" w:sz="0" w:space="0" w:color="auto"/>
            <w:right w:val="none" w:sz="0" w:space="0" w:color="auto"/>
          </w:divBdr>
          <w:divsChild>
            <w:div w:id="1087268638">
              <w:marLeft w:val="0"/>
              <w:marRight w:val="0"/>
              <w:marTop w:val="0"/>
              <w:marBottom w:val="0"/>
              <w:divBdr>
                <w:top w:val="none" w:sz="0" w:space="0" w:color="auto"/>
                <w:left w:val="none" w:sz="0" w:space="0" w:color="auto"/>
                <w:bottom w:val="none" w:sz="0" w:space="0" w:color="auto"/>
                <w:right w:val="none" w:sz="0" w:space="0" w:color="auto"/>
              </w:divBdr>
              <w:divsChild>
                <w:div w:id="1946231899">
                  <w:marLeft w:val="0"/>
                  <w:marRight w:val="0"/>
                  <w:marTop w:val="0"/>
                  <w:marBottom w:val="0"/>
                  <w:divBdr>
                    <w:top w:val="none" w:sz="0" w:space="0" w:color="auto"/>
                    <w:left w:val="none" w:sz="0" w:space="0" w:color="auto"/>
                    <w:bottom w:val="none" w:sz="0" w:space="0" w:color="auto"/>
                    <w:right w:val="none" w:sz="0" w:space="0" w:color="auto"/>
                  </w:divBdr>
                  <w:divsChild>
                    <w:div w:id="13097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600814">
      <w:bodyDiv w:val="1"/>
      <w:marLeft w:val="0"/>
      <w:marRight w:val="0"/>
      <w:marTop w:val="0"/>
      <w:marBottom w:val="0"/>
      <w:divBdr>
        <w:top w:val="none" w:sz="0" w:space="0" w:color="auto"/>
        <w:left w:val="none" w:sz="0" w:space="0" w:color="auto"/>
        <w:bottom w:val="none" w:sz="0" w:space="0" w:color="auto"/>
        <w:right w:val="none" w:sz="0" w:space="0" w:color="auto"/>
      </w:divBdr>
    </w:div>
    <w:div w:id="758674233">
      <w:bodyDiv w:val="1"/>
      <w:marLeft w:val="0"/>
      <w:marRight w:val="0"/>
      <w:marTop w:val="0"/>
      <w:marBottom w:val="0"/>
      <w:divBdr>
        <w:top w:val="none" w:sz="0" w:space="0" w:color="auto"/>
        <w:left w:val="none" w:sz="0" w:space="0" w:color="auto"/>
        <w:bottom w:val="none" w:sz="0" w:space="0" w:color="auto"/>
        <w:right w:val="none" w:sz="0" w:space="0" w:color="auto"/>
      </w:divBdr>
      <w:divsChild>
        <w:div w:id="1218324887">
          <w:marLeft w:val="0"/>
          <w:marRight w:val="0"/>
          <w:marTop w:val="0"/>
          <w:marBottom w:val="0"/>
          <w:divBdr>
            <w:top w:val="none" w:sz="0" w:space="0" w:color="auto"/>
            <w:left w:val="none" w:sz="0" w:space="0" w:color="auto"/>
            <w:bottom w:val="none" w:sz="0" w:space="0" w:color="auto"/>
            <w:right w:val="none" w:sz="0" w:space="0" w:color="auto"/>
          </w:divBdr>
          <w:divsChild>
            <w:div w:id="1035499130">
              <w:marLeft w:val="0"/>
              <w:marRight w:val="0"/>
              <w:marTop w:val="0"/>
              <w:marBottom w:val="0"/>
              <w:divBdr>
                <w:top w:val="none" w:sz="0" w:space="0" w:color="auto"/>
                <w:left w:val="none" w:sz="0" w:space="0" w:color="auto"/>
                <w:bottom w:val="none" w:sz="0" w:space="0" w:color="auto"/>
                <w:right w:val="none" w:sz="0" w:space="0" w:color="auto"/>
              </w:divBdr>
              <w:divsChild>
                <w:div w:id="2655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5342">
      <w:bodyDiv w:val="1"/>
      <w:marLeft w:val="0"/>
      <w:marRight w:val="0"/>
      <w:marTop w:val="0"/>
      <w:marBottom w:val="0"/>
      <w:divBdr>
        <w:top w:val="none" w:sz="0" w:space="0" w:color="auto"/>
        <w:left w:val="none" w:sz="0" w:space="0" w:color="auto"/>
        <w:bottom w:val="none" w:sz="0" w:space="0" w:color="auto"/>
        <w:right w:val="none" w:sz="0" w:space="0" w:color="auto"/>
      </w:divBdr>
      <w:divsChild>
        <w:div w:id="389613650">
          <w:marLeft w:val="0"/>
          <w:marRight w:val="0"/>
          <w:marTop w:val="0"/>
          <w:marBottom w:val="0"/>
          <w:divBdr>
            <w:top w:val="none" w:sz="0" w:space="0" w:color="auto"/>
            <w:left w:val="none" w:sz="0" w:space="0" w:color="auto"/>
            <w:bottom w:val="none" w:sz="0" w:space="0" w:color="auto"/>
            <w:right w:val="none" w:sz="0" w:space="0" w:color="auto"/>
          </w:divBdr>
          <w:divsChild>
            <w:div w:id="31271289">
              <w:marLeft w:val="0"/>
              <w:marRight w:val="0"/>
              <w:marTop w:val="0"/>
              <w:marBottom w:val="0"/>
              <w:divBdr>
                <w:top w:val="none" w:sz="0" w:space="0" w:color="auto"/>
                <w:left w:val="none" w:sz="0" w:space="0" w:color="auto"/>
                <w:bottom w:val="none" w:sz="0" w:space="0" w:color="auto"/>
                <w:right w:val="none" w:sz="0" w:space="0" w:color="auto"/>
              </w:divBdr>
              <w:divsChild>
                <w:div w:id="92480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151311">
      <w:bodyDiv w:val="1"/>
      <w:marLeft w:val="0"/>
      <w:marRight w:val="0"/>
      <w:marTop w:val="0"/>
      <w:marBottom w:val="0"/>
      <w:divBdr>
        <w:top w:val="none" w:sz="0" w:space="0" w:color="auto"/>
        <w:left w:val="none" w:sz="0" w:space="0" w:color="auto"/>
        <w:bottom w:val="none" w:sz="0" w:space="0" w:color="auto"/>
        <w:right w:val="none" w:sz="0" w:space="0" w:color="auto"/>
      </w:divBdr>
    </w:div>
    <w:div w:id="833374829">
      <w:bodyDiv w:val="1"/>
      <w:marLeft w:val="0"/>
      <w:marRight w:val="0"/>
      <w:marTop w:val="0"/>
      <w:marBottom w:val="0"/>
      <w:divBdr>
        <w:top w:val="none" w:sz="0" w:space="0" w:color="auto"/>
        <w:left w:val="none" w:sz="0" w:space="0" w:color="auto"/>
        <w:bottom w:val="none" w:sz="0" w:space="0" w:color="auto"/>
        <w:right w:val="none" w:sz="0" w:space="0" w:color="auto"/>
      </w:divBdr>
    </w:div>
    <w:div w:id="839468423">
      <w:bodyDiv w:val="1"/>
      <w:marLeft w:val="0"/>
      <w:marRight w:val="0"/>
      <w:marTop w:val="0"/>
      <w:marBottom w:val="0"/>
      <w:divBdr>
        <w:top w:val="none" w:sz="0" w:space="0" w:color="auto"/>
        <w:left w:val="none" w:sz="0" w:space="0" w:color="auto"/>
        <w:bottom w:val="none" w:sz="0" w:space="0" w:color="auto"/>
        <w:right w:val="none" w:sz="0" w:space="0" w:color="auto"/>
      </w:divBdr>
      <w:divsChild>
        <w:div w:id="1988624722">
          <w:marLeft w:val="0"/>
          <w:marRight w:val="0"/>
          <w:marTop w:val="0"/>
          <w:marBottom w:val="0"/>
          <w:divBdr>
            <w:top w:val="none" w:sz="0" w:space="0" w:color="auto"/>
            <w:left w:val="none" w:sz="0" w:space="0" w:color="auto"/>
            <w:bottom w:val="none" w:sz="0" w:space="0" w:color="auto"/>
            <w:right w:val="none" w:sz="0" w:space="0" w:color="auto"/>
          </w:divBdr>
          <w:divsChild>
            <w:div w:id="561911456">
              <w:marLeft w:val="0"/>
              <w:marRight w:val="0"/>
              <w:marTop w:val="0"/>
              <w:marBottom w:val="0"/>
              <w:divBdr>
                <w:top w:val="none" w:sz="0" w:space="0" w:color="auto"/>
                <w:left w:val="none" w:sz="0" w:space="0" w:color="auto"/>
                <w:bottom w:val="none" w:sz="0" w:space="0" w:color="auto"/>
                <w:right w:val="none" w:sz="0" w:space="0" w:color="auto"/>
              </w:divBdr>
              <w:divsChild>
                <w:div w:id="15920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17494">
      <w:bodyDiv w:val="1"/>
      <w:marLeft w:val="0"/>
      <w:marRight w:val="0"/>
      <w:marTop w:val="0"/>
      <w:marBottom w:val="0"/>
      <w:divBdr>
        <w:top w:val="none" w:sz="0" w:space="0" w:color="auto"/>
        <w:left w:val="none" w:sz="0" w:space="0" w:color="auto"/>
        <w:bottom w:val="none" w:sz="0" w:space="0" w:color="auto"/>
        <w:right w:val="none" w:sz="0" w:space="0" w:color="auto"/>
      </w:divBdr>
    </w:div>
    <w:div w:id="903880610">
      <w:bodyDiv w:val="1"/>
      <w:marLeft w:val="0"/>
      <w:marRight w:val="0"/>
      <w:marTop w:val="0"/>
      <w:marBottom w:val="0"/>
      <w:divBdr>
        <w:top w:val="none" w:sz="0" w:space="0" w:color="auto"/>
        <w:left w:val="none" w:sz="0" w:space="0" w:color="auto"/>
        <w:bottom w:val="none" w:sz="0" w:space="0" w:color="auto"/>
        <w:right w:val="none" w:sz="0" w:space="0" w:color="auto"/>
      </w:divBdr>
    </w:div>
    <w:div w:id="990331389">
      <w:bodyDiv w:val="1"/>
      <w:marLeft w:val="0"/>
      <w:marRight w:val="0"/>
      <w:marTop w:val="0"/>
      <w:marBottom w:val="0"/>
      <w:divBdr>
        <w:top w:val="none" w:sz="0" w:space="0" w:color="auto"/>
        <w:left w:val="none" w:sz="0" w:space="0" w:color="auto"/>
        <w:bottom w:val="none" w:sz="0" w:space="0" w:color="auto"/>
        <w:right w:val="none" w:sz="0" w:space="0" w:color="auto"/>
      </w:divBdr>
      <w:divsChild>
        <w:div w:id="1133788596">
          <w:marLeft w:val="0"/>
          <w:marRight w:val="0"/>
          <w:marTop w:val="0"/>
          <w:marBottom w:val="0"/>
          <w:divBdr>
            <w:top w:val="none" w:sz="0" w:space="0" w:color="auto"/>
            <w:left w:val="none" w:sz="0" w:space="0" w:color="auto"/>
            <w:bottom w:val="none" w:sz="0" w:space="0" w:color="auto"/>
            <w:right w:val="none" w:sz="0" w:space="0" w:color="auto"/>
          </w:divBdr>
          <w:divsChild>
            <w:div w:id="1227910854">
              <w:marLeft w:val="0"/>
              <w:marRight w:val="0"/>
              <w:marTop w:val="0"/>
              <w:marBottom w:val="0"/>
              <w:divBdr>
                <w:top w:val="none" w:sz="0" w:space="0" w:color="auto"/>
                <w:left w:val="none" w:sz="0" w:space="0" w:color="auto"/>
                <w:bottom w:val="none" w:sz="0" w:space="0" w:color="auto"/>
                <w:right w:val="none" w:sz="0" w:space="0" w:color="auto"/>
              </w:divBdr>
              <w:divsChild>
                <w:div w:id="1169097974">
                  <w:marLeft w:val="0"/>
                  <w:marRight w:val="0"/>
                  <w:marTop w:val="0"/>
                  <w:marBottom w:val="0"/>
                  <w:divBdr>
                    <w:top w:val="none" w:sz="0" w:space="0" w:color="auto"/>
                    <w:left w:val="none" w:sz="0" w:space="0" w:color="auto"/>
                    <w:bottom w:val="none" w:sz="0" w:space="0" w:color="auto"/>
                    <w:right w:val="none" w:sz="0" w:space="0" w:color="auto"/>
                  </w:divBdr>
                  <w:divsChild>
                    <w:div w:id="147915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36355">
      <w:bodyDiv w:val="1"/>
      <w:marLeft w:val="0"/>
      <w:marRight w:val="0"/>
      <w:marTop w:val="0"/>
      <w:marBottom w:val="0"/>
      <w:divBdr>
        <w:top w:val="none" w:sz="0" w:space="0" w:color="auto"/>
        <w:left w:val="none" w:sz="0" w:space="0" w:color="auto"/>
        <w:bottom w:val="none" w:sz="0" w:space="0" w:color="auto"/>
        <w:right w:val="none" w:sz="0" w:space="0" w:color="auto"/>
      </w:divBdr>
    </w:div>
    <w:div w:id="1075274478">
      <w:bodyDiv w:val="1"/>
      <w:marLeft w:val="0"/>
      <w:marRight w:val="0"/>
      <w:marTop w:val="0"/>
      <w:marBottom w:val="0"/>
      <w:divBdr>
        <w:top w:val="none" w:sz="0" w:space="0" w:color="auto"/>
        <w:left w:val="none" w:sz="0" w:space="0" w:color="auto"/>
        <w:bottom w:val="none" w:sz="0" w:space="0" w:color="auto"/>
        <w:right w:val="none" w:sz="0" w:space="0" w:color="auto"/>
      </w:divBdr>
      <w:divsChild>
        <w:div w:id="203635424">
          <w:marLeft w:val="0"/>
          <w:marRight w:val="0"/>
          <w:marTop w:val="0"/>
          <w:marBottom w:val="0"/>
          <w:divBdr>
            <w:top w:val="none" w:sz="0" w:space="0" w:color="auto"/>
            <w:left w:val="none" w:sz="0" w:space="0" w:color="auto"/>
            <w:bottom w:val="none" w:sz="0" w:space="0" w:color="auto"/>
            <w:right w:val="none" w:sz="0" w:space="0" w:color="auto"/>
          </w:divBdr>
          <w:divsChild>
            <w:div w:id="492844413">
              <w:marLeft w:val="0"/>
              <w:marRight w:val="0"/>
              <w:marTop w:val="0"/>
              <w:marBottom w:val="0"/>
              <w:divBdr>
                <w:top w:val="none" w:sz="0" w:space="0" w:color="auto"/>
                <w:left w:val="none" w:sz="0" w:space="0" w:color="auto"/>
                <w:bottom w:val="none" w:sz="0" w:space="0" w:color="auto"/>
                <w:right w:val="none" w:sz="0" w:space="0" w:color="auto"/>
              </w:divBdr>
              <w:divsChild>
                <w:div w:id="55203753">
                  <w:marLeft w:val="0"/>
                  <w:marRight w:val="0"/>
                  <w:marTop w:val="0"/>
                  <w:marBottom w:val="0"/>
                  <w:divBdr>
                    <w:top w:val="none" w:sz="0" w:space="0" w:color="auto"/>
                    <w:left w:val="none" w:sz="0" w:space="0" w:color="auto"/>
                    <w:bottom w:val="none" w:sz="0" w:space="0" w:color="auto"/>
                    <w:right w:val="none" w:sz="0" w:space="0" w:color="auto"/>
                  </w:divBdr>
                  <w:divsChild>
                    <w:div w:id="51226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12314">
      <w:bodyDiv w:val="1"/>
      <w:marLeft w:val="0"/>
      <w:marRight w:val="0"/>
      <w:marTop w:val="0"/>
      <w:marBottom w:val="0"/>
      <w:divBdr>
        <w:top w:val="none" w:sz="0" w:space="0" w:color="auto"/>
        <w:left w:val="none" w:sz="0" w:space="0" w:color="auto"/>
        <w:bottom w:val="none" w:sz="0" w:space="0" w:color="auto"/>
        <w:right w:val="none" w:sz="0" w:space="0" w:color="auto"/>
      </w:divBdr>
      <w:divsChild>
        <w:div w:id="1372455551">
          <w:marLeft w:val="0"/>
          <w:marRight w:val="0"/>
          <w:marTop w:val="0"/>
          <w:marBottom w:val="0"/>
          <w:divBdr>
            <w:top w:val="none" w:sz="0" w:space="0" w:color="auto"/>
            <w:left w:val="none" w:sz="0" w:space="0" w:color="auto"/>
            <w:bottom w:val="none" w:sz="0" w:space="0" w:color="auto"/>
            <w:right w:val="none" w:sz="0" w:space="0" w:color="auto"/>
          </w:divBdr>
          <w:divsChild>
            <w:div w:id="443036644">
              <w:marLeft w:val="0"/>
              <w:marRight w:val="0"/>
              <w:marTop w:val="0"/>
              <w:marBottom w:val="0"/>
              <w:divBdr>
                <w:top w:val="none" w:sz="0" w:space="0" w:color="auto"/>
                <w:left w:val="none" w:sz="0" w:space="0" w:color="auto"/>
                <w:bottom w:val="none" w:sz="0" w:space="0" w:color="auto"/>
                <w:right w:val="none" w:sz="0" w:space="0" w:color="auto"/>
              </w:divBdr>
              <w:divsChild>
                <w:div w:id="1098061823">
                  <w:marLeft w:val="0"/>
                  <w:marRight w:val="0"/>
                  <w:marTop w:val="0"/>
                  <w:marBottom w:val="0"/>
                  <w:divBdr>
                    <w:top w:val="none" w:sz="0" w:space="0" w:color="auto"/>
                    <w:left w:val="none" w:sz="0" w:space="0" w:color="auto"/>
                    <w:bottom w:val="none" w:sz="0" w:space="0" w:color="auto"/>
                    <w:right w:val="none" w:sz="0" w:space="0" w:color="auto"/>
                  </w:divBdr>
                  <w:divsChild>
                    <w:div w:id="94472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56744">
      <w:bodyDiv w:val="1"/>
      <w:marLeft w:val="0"/>
      <w:marRight w:val="0"/>
      <w:marTop w:val="0"/>
      <w:marBottom w:val="0"/>
      <w:divBdr>
        <w:top w:val="none" w:sz="0" w:space="0" w:color="auto"/>
        <w:left w:val="none" w:sz="0" w:space="0" w:color="auto"/>
        <w:bottom w:val="none" w:sz="0" w:space="0" w:color="auto"/>
        <w:right w:val="none" w:sz="0" w:space="0" w:color="auto"/>
      </w:divBdr>
      <w:divsChild>
        <w:div w:id="110905477">
          <w:marLeft w:val="0"/>
          <w:marRight w:val="0"/>
          <w:marTop w:val="0"/>
          <w:marBottom w:val="0"/>
          <w:divBdr>
            <w:top w:val="none" w:sz="0" w:space="0" w:color="auto"/>
            <w:left w:val="none" w:sz="0" w:space="0" w:color="auto"/>
            <w:bottom w:val="none" w:sz="0" w:space="0" w:color="auto"/>
            <w:right w:val="none" w:sz="0" w:space="0" w:color="auto"/>
          </w:divBdr>
        </w:div>
      </w:divsChild>
    </w:div>
    <w:div w:id="1138494860">
      <w:bodyDiv w:val="1"/>
      <w:marLeft w:val="0"/>
      <w:marRight w:val="0"/>
      <w:marTop w:val="0"/>
      <w:marBottom w:val="0"/>
      <w:divBdr>
        <w:top w:val="none" w:sz="0" w:space="0" w:color="auto"/>
        <w:left w:val="none" w:sz="0" w:space="0" w:color="auto"/>
        <w:bottom w:val="none" w:sz="0" w:space="0" w:color="auto"/>
        <w:right w:val="none" w:sz="0" w:space="0" w:color="auto"/>
      </w:divBdr>
    </w:div>
    <w:div w:id="1152910133">
      <w:bodyDiv w:val="1"/>
      <w:marLeft w:val="0"/>
      <w:marRight w:val="0"/>
      <w:marTop w:val="0"/>
      <w:marBottom w:val="0"/>
      <w:divBdr>
        <w:top w:val="none" w:sz="0" w:space="0" w:color="auto"/>
        <w:left w:val="none" w:sz="0" w:space="0" w:color="auto"/>
        <w:bottom w:val="none" w:sz="0" w:space="0" w:color="auto"/>
        <w:right w:val="none" w:sz="0" w:space="0" w:color="auto"/>
      </w:divBdr>
      <w:divsChild>
        <w:div w:id="1714191601">
          <w:marLeft w:val="0"/>
          <w:marRight w:val="0"/>
          <w:marTop w:val="0"/>
          <w:marBottom w:val="0"/>
          <w:divBdr>
            <w:top w:val="none" w:sz="0" w:space="0" w:color="auto"/>
            <w:left w:val="none" w:sz="0" w:space="0" w:color="auto"/>
            <w:bottom w:val="none" w:sz="0" w:space="0" w:color="auto"/>
            <w:right w:val="none" w:sz="0" w:space="0" w:color="auto"/>
          </w:divBdr>
          <w:divsChild>
            <w:div w:id="466163453">
              <w:marLeft w:val="0"/>
              <w:marRight w:val="0"/>
              <w:marTop w:val="0"/>
              <w:marBottom w:val="0"/>
              <w:divBdr>
                <w:top w:val="none" w:sz="0" w:space="0" w:color="auto"/>
                <w:left w:val="none" w:sz="0" w:space="0" w:color="auto"/>
                <w:bottom w:val="none" w:sz="0" w:space="0" w:color="auto"/>
                <w:right w:val="none" w:sz="0" w:space="0" w:color="auto"/>
              </w:divBdr>
              <w:divsChild>
                <w:div w:id="12681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95715">
      <w:bodyDiv w:val="1"/>
      <w:marLeft w:val="0"/>
      <w:marRight w:val="0"/>
      <w:marTop w:val="0"/>
      <w:marBottom w:val="0"/>
      <w:divBdr>
        <w:top w:val="none" w:sz="0" w:space="0" w:color="auto"/>
        <w:left w:val="none" w:sz="0" w:space="0" w:color="auto"/>
        <w:bottom w:val="none" w:sz="0" w:space="0" w:color="auto"/>
        <w:right w:val="none" w:sz="0" w:space="0" w:color="auto"/>
      </w:divBdr>
    </w:div>
    <w:div w:id="1177423960">
      <w:bodyDiv w:val="1"/>
      <w:marLeft w:val="0"/>
      <w:marRight w:val="0"/>
      <w:marTop w:val="0"/>
      <w:marBottom w:val="0"/>
      <w:divBdr>
        <w:top w:val="none" w:sz="0" w:space="0" w:color="auto"/>
        <w:left w:val="none" w:sz="0" w:space="0" w:color="auto"/>
        <w:bottom w:val="none" w:sz="0" w:space="0" w:color="auto"/>
        <w:right w:val="none" w:sz="0" w:space="0" w:color="auto"/>
      </w:divBdr>
      <w:divsChild>
        <w:div w:id="1946233897">
          <w:marLeft w:val="0"/>
          <w:marRight w:val="0"/>
          <w:marTop w:val="0"/>
          <w:marBottom w:val="0"/>
          <w:divBdr>
            <w:top w:val="none" w:sz="0" w:space="0" w:color="auto"/>
            <w:left w:val="none" w:sz="0" w:space="0" w:color="auto"/>
            <w:bottom w:val="none" w:sz="0" w:space="0" w:color="auto"/>
            <w:right w:val="none" w:sz="0" w:space="0" w:color="auto"/>
          </w:divBdr>
          <w:divsChild>
            <w:div w:id="1789619714">
              <w:marLeft w:val="0"/>
              <w:marRight w:val="0"/>
              <w:marTop w:val="0"/>
              <w:marBottom w:val="0"/>
              <w:divBdr>
                <w:top w:val="none" w:sz="0" w:space="0" w:color="auto"/>
                <w:left w:val="none" w:sz="0" w:space="0" w:color="auto"/>
                <w:bottom w:val="none" w:sz="0" w:space="0" w:color="auto"/>
                <w:right w:val="none" w:sz="0" w:space="0" w:color="auto"/>
              </w:divBdr>
              <w:divsChild>
                <w:div w:id="2093695277">
                  <w:marLeft w:val="0"/>
                  <w:marRight w:val="0"/>
                  <w:marTop w:val="0"/>
                  <w:marBottom w:val="0"/>
                  <w:divBdr>
                    <w:top w:val="none" w:sz="0" w:space="0" w:color="auto"/>
                    <w:left w:val="none" w:sz="0" w:space="0" w:color="auto"/>
                    <w:bottom w:val="none" w:sz="0" w:space="0" w:color="auto"/>
                    <w:right w:val="none" w:sz="0" w:space="0" w:color="auto"/>
                  </w:divBdr>
                  <w:divsChild>
                    <w:div w:id="114643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52655">
      <w:bodyDiv w:val="1"/>
      <w:marLeft w:val="0"/>
      <w:marRight w:val="0"/>
      <w:marTop w:val="0"/>
      <w:marBottom w:val="0"/>
      <w:divBdr>
        <w:top w:val="none" w:sz="0" w:space="0" w:color="auto"/>
        <w:left w:val="none" w:sz="0" w:space="0" w:color="auto"/>
        <w:bottom w:val="none" w:sz="0" w:space="0" w:color="auto"/>
        <w:right w:val="none" w:sz="0" w:space="0" w:color="auto"/>
      </w:divBdr>
      <w:divsChild>
        <w:div w:id="1529023434">
          <w:marLeft w:val="225"/>
          <w:marRight w:val="0"/>
          <w:marTop w:val="0"/>
          <w:marBottom w:val="0"/>
          <w:divBdr>
            <w:top w:val="none" w:sz="0" w:space="0" w:color="auto"/>
            <w:left w:val="none" w:sz="0" w:space="0" w:color="auto"/>
            <w:bottom w:val="none" w:sz="0" w:space="0" w:color="auto"/>
            <w:right w:val="none" w:sz="0" w:space="0" w:color="auto"/>
          </w:divBdr>
        </w:div>
      </w:divsChild>
    </w:div>
    <w:div w:id="1210802513">
      <w:bodyDiv w:val="1"/>
      <w:marLeft w:val="0"/>
      <w:marRight w:val="0"/>
      <w:marTop w:val="0"/>
      <w:marBottom w:val="0"/>
      <w:divBdr>
        <w:top w:val="none" w:sz="0" w:space="0" w:color="auto"/>
        <w:left w:val="none" w:sz="0" w:space="0" w:color="auto"/>
        <w:bottom w:val="none" w:sz="0" w:space="0" w:color="auto"/>
        <w:right w:val="none" w:sz="0" w:space="0" w:color="auto"/>
      </w:divBdr>
      <w:divsChild>
        <w:div w:id="1283611853">
          <w:marLeft w:val="0"/>
          <w:marRight w:val="0"/>
          <w:marTop w:val="0"/>
          <w:marBottom w:val="0"/>
          <w:divBdr>
            <w:top w:val="none" w:sz="0" w:space="0" w:color="auto"/>
            <w:left w:val="none" w:sz="0" w:space="0" w:color="auto"/>
            <w:bottom w:val="none" w:sz="0" w:space="0" w:color="auto"/>
            <w:right w:val="none" w:sz="0" w:space="0" w:color="auto"/>
          </w:divBdr>
          <w:divsChild>
            <w:div w:id="830291934">
              <w:marLeft w:val="0"/>
              <w:marRight w:val="0"/>
              <w:marTop w:val="0"/>
              <w:marBottom w:val="0"/>
              <w:divBdr>
                <w:top w:val="none" w:sz="0" w:space="0" w:color="auto"/>
                <w:left w:val="none" w:sz="0" w:space="0" w:color="auto"/>
                <w:bottom w:val="none" w:sz="0" w:space="0" w:color="auto"/>
                <w:right w:val="none" w:sz="0" w:space="0" w:color="auto"/>
              </w:divBdr>
              <w:divsChild>
                <w:div w:id="63275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30551">
      <w:bodyDiv w:val="1"/>
      <w:marLeft w:val="0"/>
      <w:marRight w:val="0"/>
      <w:marTop w:val="0"/>
      <w:marBottom w:val="0"/>
      <w:divBdr>
        <w:top w:val="none" w:sz="0" w:space="0" w:color="auto"/>
        <w:left w:val="none" w:sz="0" w:space="0" w:color="auto"/>
        <w:bottom w:val="none" w:sz="0" w:space="0" w:color="auto"/>
        <w:right w:val="none" w:sz="0" w:space="0" w:color="auto"/>
      </w:divBdr>
    </w:div>
    <w:div w:id="1246258022">
      <w:bodyDiv w:val="1"/>
      <w:marLeft w:val="0"/>
      <w:marRight w:val="0"/>
      <w:marTop w:val="0"/>
      <w:marBottom w:val="0"/>
      <w:divBdr>
        <w:top w:val="none" w:sz="0" w:space="0" w:color="auto"/>
        <w:left w:val="none" w:sz="0" w:space="0" w:color="auto"/>
        <w:bottom w:val="none" w:sz="0" w:space="0" w:color="auto"/>
        <w:right w:val="none" w:sz="0" w:space="0" w:color="auto"/>
      </w:divBdr>
    </w:div>
    <w:div w:id="1294095035">
      <w:bodyDiv w:val="1"/>
      <w:marLeft w:val="0"/>
      <w:marRight w:val="0"/>
      <w:marTop w:val="0"/>
      <w:marBottom w:val="0"/>
      <w:divBdr>
        <w:top w:val="none" w:sz="0" w:space="0" w:color="auto"/>
        <w:left w:val="none" w:sz="0" w:space="0" w:color="auto"/>
        <w:bottom w:val="none" w:sz="0" w:space="0" w:color="auto"/>
        <w:right w:val="none" w:sz="0" w:space="0" w:color="auto"/>
      </w:divBdr>
      <w:divsChild>
        <w:div w:id="748042720">
          <w:marLeft w:val="0"/>
          <w:marRight w:val="0"/>
          <w:marTop w:val="0"/>
          <w:marBottom w:val="0"/>
          <w:divBdr>
            <w:top w:val="none" w:sz="0" w:space="0" w:color="auto"/>
            <w:left w:val="none" w:sz="0" w:space="0" w:color="auto"/>
            <w:bottom w:val="none" w:sz="0" w:space="0" w:color="auto"/>
            <w:right w:val="none" w:sz="0" w:space="0" w:color="auto"/>
          </w:divBdr>
          <w:divsChild>
            <w:div w:id="447168187">
              <w:marLeft w:val="0"/>
              <w:marRight w:val="0"/>
              <w:marTop w:val="0"/>
              <w:marBottom w:val="0"/>
              <w:divBdr>
                <w:top w:val="none" w:sz="0" w:space="0" w:color="auto"/>
                <w:left w:val="none" w:sz="0" w:space="0" w:color="auto"/>
                <w:bottom w:val="none" w:sz="0" w:space="0" w:color="auto"/>
                <w:right w:val="none" w:sz="0" w:space="0" w:color="auto"/>
              </w:divBdr>
              <w:divsChild>
                <w:div w:id="1935358640">
                  <w:marLeft w:val="0"/>
                  <w:marRight w:val="0"/>
                  <w:marTop w:val="0"/>
                  <w:marBottom w:val="0"/>
                  <w:divBdr>
                    <w:top w:val="none" w:sz="0" w:space="0" w:color="auto"/>
                    <w:left w:val="none" w:sz="0" w:space="0" w:color="auto"/>
                    <w:bottom w:val="none" w:sz="0" w:space="0" w:color="auto"/>
                    <w:right w:val="none" w:sz="0" w:space="0" w:color="auto"/>
                  </w:divBdr>
                  <w:divsChild>
                    <w:div w:id="6409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315930">
      <w:bodyDiv w:val="1"/>
      <w:marLeft w:val="0"/>
      <w:marRight w:val="0"/>
      <w:marTop w:val="0"/>
      <w:marBottom w:val="0"/>
      <w:divBdr>
        <w:top w:val="none" w:sz="0" w:space="0" w:color="auto"/>
        <w:left w:val="none" w:sz="0" w:space="0" w:color="auto"/>
        <w:bottom w:val="none" w:sz="0" w:space="0" w:color="auto"/>
        <w:right w:val="none" w:sz="0" w:space="0" w:color="auto"/>
      </w:divBdr>
      <w:divsChild>
        <w:div w:id="982152349">
          <w:marLeft w:val="0"/>
          <w:marRight w:val="0"/>
          <w:marTop w:val="0"/>
          <w:marBottom w:val="0"/>
          <w:divBdr>
            <w:top w:val="none" w:sz="0" w:space="0" w:color="auto"/>
            <w:left w:val="none" w:sz="0" w:space="0" w:color="auto"/>
            <w:bottom w:val="none" w:sz="0" w:space="0" w:color="auto"/>
            <w:right w:val="none" w:sz="0" w:space="0" w:color="auto"/>
          </w:divBdr>
          <w:divsChild>
            <w:div w:id="1329361786">
              <w:marLeft w:val="0"/>
              <w:marRight w:val="0"/>
              <w:marTop w:val="0"/>
              <w:marBottom w:val="0"/>
              <w:divBdr>
                <w:top w:val="none" w:sz="0" w:space="0" w:color="auto"/>
                <w:left w:val="none" w:sz="0" w:space="0" w:color="auto"/>
                <w:bottom w:val="none" w:sz="0" w:space="0" w:color="auto"/>
                <w:right w:val="none" w:sz="0" w:space="0" w:color="auto"/>
              </w:divBdr>
              <w:divsChild>
                <w:div w:id="11634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89615">
      <w:bodyDiv w:val="1"/>
      <w:marLeft w:val="0"/>
      <w:marRight w:val="0"/>
      <w:marTop w:val="0"/>
      <w:marBottom w:val="0"/>
      <w:divBdr>
        <w:top w:val="none" w:sz="0" w:space="0" w:color="auto"/>
        <w:left w:val="none" w:sz="0" w:space="0" w:color="auto"/>
        <w:bottom w:val="none" w:sz="0" w:space="0" w:color="auto"/>
        <w:right w:val="none" w:sz="0" w:space="0" w:color="auto"/>
      </w:divBdr>
      <w:divsChild>
        <w:div w:id="2063602488">
          <w:marLeft w:val="0"/>
          <w:marRight w:val="0"/>
          <w:marTop w:val="0"/>
          <w:marBottom w:val="0"/>
          <w:divBdr>
            <w:top w:val="none" w:sz="0" w:space="0" w:color="auto"/>
            <w:left w:val="none" w:sz="0" w:space="0" w:color="auto"/>
            <w:bottom w:val="none" w:sz="0" w:space="0" w:color="auto"/>
            <w:right w:val="none" w:sz="0" w:space="0" w:color="auto"/>
          </w:divBdr>
          <w:divsChild>
            <w:div w:id="42827508">
              <w:marLeft w:val="0"/>
              <w:marRight w:val="0"/>
              <w:marTop w:val="0"/>
              <w:marBottom w:val="0"/>
              <w:divBdr>
                <w:top w:val="none" w:sz="0" w:space="0" w:color="auto"/>
                <w:left w:val="none" w:sz="0" w:space="0" w:color="auto"/>
                <w:bottom w:val="none" w:sz="0" w:space="0" w:color="auto"/>
                <w:right w:val="none" w:sz="0" w:space="0" w:color="auto"/>
              </w:divBdr>
              <w:divsChild>
                <w:div w:id="13051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06422">
      <w:bodyDiv w:val="1"/>
      <w:marLeft w:val="0"/>
      <w:marRight w:val="0"/>
      <w:marTop w:val="0"/>
      <w:marBottom w:val="0"/>
      <w:divBdr>
        <w:top w:val="none" w:sz="0" w:space="0" w:color="auto"/>
        <w:left w:val="none" w:sz="0" w:space="0" w:color="auto"/>
        <w:bottom w:val="none" w:sz="0" w:space="0" w:color="auto"/>
        <w:right w:val="none" w:sz="0" w:space="0" w:color="auto"/>
      </w:divBdr>
    </w:div>
    <w:div w:id="1344164275">
      <w:bodyDiv w:val="1"/>
      <w:marLeft w:val="0"/>
      <w:marRight w:val="0"/>
      <w:marTop w:val="0"/>
      <w:marBottom w:val="0"/>
      <w:divBdr>
        <w:top w:val="none" w:sz="0" w:space="0" w:color="auto"/>
        <w:left w:val="none" w:sz="0" w:space="0" w:color="auto"/>
        <w:bottom w:val="none" w:sz="0" w:space="0" w:color="auto"/>
        <w:right w:val="none" w:sz="0" w:space="0" w:color="auto"/>
      </w:divBdr>
    </w:div>
    <w:div w:id="1349333927">
      <w:bodyDiv w:val="1"/>
      <w:marLeft w:val="0"/>
      <w:marRight w:val="0"/>
      <w:marTop w:val="0"/>
      <w:marBottom w:val="0"/>
      <w:divBdr>
        <w:top w:val="none" w:sz="0" w:space="0" w:color="auto"/>
        <w:left w:val="none" w:sz="0" w:space="0" w:color="auto"/>
        <w:bottom w:val="none" w:sz="0" w:space="0" w:color="auto"/>
        <w:right w:val="none" w:sz="0" w:space="0" w:color="auto"/>
      </w:divBdr>
      <w:divsChild>
        <w:div w:id="848638955">
          <w:marLeft w:val="0"/>
          <w:marRight w:val="0"/>
          <w:marTop w:val="0"/>
          <w:marBottom w:val="0"/>
          <w:divBdr>
            <w:top w:val="none" w:sz="0" w:space="0" w:color="auto"/>
            <w:left w:val="none" w:sz="0" w:space="0" w:color="auto"/>
            <w:bottom w:val="none" w:sz="0" w:space="0" w:color="auto"/>
            <w:right w:val="none" w:sz="0" w:space="0" w:color="auto"/>
          </w:divBdr>
          <w:divsChild>
            <w:div w:id="1447581383">
              <w:marLeft w:val="0"/>
              <w:marRight w:val="0"/>
              <w:marTop w:val="0"/>
              <w:marBottom w:val="0"/>
              <w:divBdr>
                <w:top w:val="none" w:sz="0" w:space="0" w:color="auto"/>
                <w:left w:val="none" w:sz="0" w:space="0" w:color="auto"/>
                <w:bottom w:val="none" w:sz="0" w:space="0" w:color="auto"/>
                <w:right w:val="none" w:sz="0" w:space="0" w:color="auto"/>
              </w:divBdr>
              <w:divsChild>
                <w:div w:id="2139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835125">
      <w:bodyDiv w:val="1"/>
      <w:marLeft w:val="0"/>
      <w:marRight w:val="0"/>
      <w:marTop w:val="0"/>
      <w:marBottom w:val="0"/>
      <w:divBdr>
        <w:top w:val="none" w:sz="0" w:space="0" w:color="auto"/>
        <w:left w:val="none" w:sz="0" w:space="0" w:color="auto"/>
        <w:bottom w:val="none" w:sz="0" w:space="0" w:color="auto"/>
        <w:right w:val="none" w:sz="0" w:space="0" w:color="auto"/>
      </w:divBdr>
      <w:divsChild>
        <w:div w:id="726414942">
          <w:marLeft w:val="0"/>
          <w:marRight w:val="0"/>
          <w:marTop w:val="0"/>
          <w:marBottom w:val="0"/>
          <w:divBdr>
            <w:top w:val="none" w:sz="0" w:space="0" w:color="auto"/>
            <w:left w:val="none" w:sz="0" w:space="0" w:color="auto"/>
            <w:bottom w:val="none" w:sz="0" w:space="0" w:color="auto"/>
            <w:right w:val="none" w:sz="0" w:space="0" w:color="auto"/>
          </w:divBdr>
          <w:divsChild>
            <w:div w:id="977606539">
              <w:marLeft w:val="0"/>
              <w:marRight w:val="0"/>
              <w:marTop w:val="0"/>
              <w:marBottom w:val="0"/>
              <w:divBdr>
                <w:top w:val="none" w:sz="0" w:space="0" w:color="auto"/>
                <w:left w:val="none" w:sz="0" w:space="0" w:color="auto"/>
                <w:bottom w:val="none" w:sz="0" w:space="0" w:color="auto"/>
                <w:right w:val="none" w:sz="0" w:space="0" w:color="auto"/>
              </w:divBdr>
              <w:divsChild>
                <w:div w:id="152351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62408">
      <w:bodyDiv w:val="1"/>
      <w:marLeft w:val="0"/>
      <w:marRight w:val="0"/>
      <w:marTop w:val="0"/>
      <w:marBottom w:val="0"/>
      <w:divBdr>
        <w:top w:val="none" w:sz="0" w:space="0" w:color="auto"/>
        <w:left w:val="none" w:sz="0" w:space="0" w:color="auto"/>
        <w:bottom w:val="none" w:sz="0" w:space="0" w:color="auto"/>
        <w:right w:val="none" w:sz="0" w:space="0" w:color="auto"/>
      </w:divBdr>
    </w:div>
    <w:div w:id="1511681559">
      <w:bodyDiv w:val="1"/>
      <w:marLeft w:val="0"/>
      <w:marRight w:val="0"/>
      <w:marTop w:val="0"/>
      <w:marBottom w:val="0"/>
      <w:divBdr>
        <w:top w:val="none" w:sz="0" w:space="0" w:color="auto"/>
        <w:left w:val="none" w:sz="0" w:space="0" w:color="auto"/>
        <w:bottom w:val="none" w:sz="0" w:space="0" w:color="auto"/>
        <w:right w:val="none" w:sz="0" w:space="0" w:color="auto"/>
      </w:divBdr>
      <w:divsChild>
        <w:div w:id="1669475410">
          <w:marLeft w:val="0"/>
          <w:marRight w:val="0"/>
          <w:marTop w:val="0"/>
          <w:marBottom w:val="0"/>
          <w:divBdr>
            <w:top w:val="none" w:sz="0" w:space="0" w:color="auto"/>
            <w:left w:val="none" w:sz="0" w:space="0" w:color="auto"/>
            <w:bottom w:val="none" w:sz="0" w:space="0" w:color="auto"/>
            <w:right w:val="none" w:sz="0" w:space="0" w:color="auto"/>
          </w:divBdr>
        </w:div>
      </w:divsChild>
    </w:div>
    <w:div w:id="1686783319">
      <w:bodyDiv w:val="1"/>
      <w:marLeft w:val="0"/>
      <w:marRight w:val="0"/>
      <w:marTop w:val="0"/>
      <w:marBottom w:val="0"/>
      <w:divBdr>
        <w:top w:val="none" w:sz="0" w:space="0" w:color="auto"/>
        <w:left w:val="none" w:sz="0" w:space="0" w:color="auto"/>
        <w:bottom w:val="none" w:sz="0" w:space="0" w:color="auto"/>
        <w:right w:val="none" w:sz="0" w:space="0" w:color="auto"/>
      </w:divBdr>
    </w:div>
    <w:div w:id="1689720671">
      <w:bodyDiv w:val="1"/>
      <w:marLeft w:val="0"/>
      <w:marRight w:val="0"/>
      <w:marTop w:val="0"/>
      <w:marBottom w:val="0"/>
      <w:divBdr>
        <w:top w:val="none" w:sz="0" w:space="0" w:color="auto"/>
        <w:left w:val="none" w:sz="0" w:space="0" w:color="auto"/>
        <w:bottom w:val="none" w:sz="0" w:space="0" w:color="auto"/>
        <w:right w:val="none" w:sz="0" w:space="0" w:color="auto"/>
      </w:divBdr>
    </w:div>
    <w:div w:id="1736929606">
      <w:bodyDiv w:val="1"/>
      <w:marLeft w:val="0"/>
      <w:marRight w:val="0"/>
      <w:marTop w:val="0"/>
      <w:marBottom w:val="0"/>
      <w:divBdr>
        <w:top w:val="none" w:sz="0" w:space="0" w:color="auto"/>
        <w:left w:val="none" w:sz="0" w:space="0" w:color="auto"/>
        <w:bottom w:val="none" w:sz="0" w:space="0" w:color="auto"/>
        <w:right w:val="none" w:sz="0" w:space="0" w:color="auto"/>
      </w:divBdr>
    </w:div>
    <w:div w:id="1786541693">
      <w:bodyDiv w:val="1"/>
      <w:marLeft w:val="0"/>
      <w:marRight w:val="0"/>
      <w:marTop w:val="0"/>
      <w:marBottom w:val="0"/>
      <w:divBdr>
        <w:top w:val="none" w:sz="0" w:space="0" w:color="auto"/>
        <w:left w:val="none" w:sz="0" w:space="0" w:color="auto"/>
        <w:bottom w:val="none" w:sz="0" w:space="0" w:color="auto"/>
        <w:right w:val="none" w:sz="0" w:space="0" w:color="auto"/>
      </w:divBdr>
      <w:divsChild>
        <w:div w:id="711686402">
          <w:marLeft w:val="0"/>
          <w:marRight w:val="0"/>
          <w:marTop w:val="0"/>
          <w:marBottom w:val="0"/>
          <w:divBdr>
            <w:top w:val="none" w:sz="0" w:space="0" w:color="auto"/>
            <w:left w:val="none" w:sz="0" w:space="0" w:color="auto"/>
            <w:bottom w:val="none" w:sz="0" w:space="0" w:color="auto"/>
            <w:right w:val="none" w:sz="0" w:space="0" w:color="auto"/>
          </w:divBdr>
          <w:divsChild>
            <w:div w:id="1993832297">
              <w:marLeft w:val="0"/>
              <w:marRight w:val="0"/>
              <w:marTop w:val="0"/>
              <w:marBottom w:val="0"/>
              <w:divBdr>
                <w:top w:val="none" w:sz="0" w:space="0" w:color="auto"/>
                <w:left w:val="none" w:sz="0" w:space="0" w:color="auto"/>
                <w:bottom w:val="none" w:sz="0" w:space="0" w:color="auto"/>
                <w:right w:val="none" w:sz="0" w:space="0" w:color="auto"/>
              </w:divBdr>
              <w:divsChild>
                <w:div w:id="117757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9899">
      <w:bodyDiv w:val="1"/>
      <w:marLeft w:val="0"/>
      <w:marRight w:val="0"/>
      <w:marTop w:val="0"/>
      <w:marBottom w:val="0"/>
      <w:divBdr>
        <w:top w:val="none" w:sz="0" w:space="0" w:color="auto"/>
        <w:left w:val="none" w:sz="0" w:space="0" w:color="auto"/>
        <w:bottom w:val="none" w:sz="0" w:space="0" w:color="auto"/>
        <w:right w:val="none" w:sz="0" w:space="0" w:color="auto"/>
      </w:divBdr>
    </w:div>
    <w:div w:id="1852913825">
      <w:bodyDiv w:val="1"/>
      <w:marLeft w:val="0"/>
      <w:marRight w:val="0"/>
      <w:marTop w:val="0"/>
      <w:marBottom w:val="0"/>
      <w:divBdr>
        <w:top w:val="none" w:sz="0" w:space="0" w:color="auto"/>
        <w:left w:val="none" w:sz="0" w:space="0" w:color="auto"/>
        <w:bottom w:val="none" w:sz="0" w:space="0" w:color="auto"/>
        <w:right w:val="none" w:sz="0" w:space="0" w:color="auto"/>
      </w:divBdr>
    </w:div>
    <w:div w:id="1858225695">
      <w:bodyDiv w:val="1"/>
      <w:marLeft w:val="0"/>
      <w:marRight w:val="0"/>
      <w:marTop w:val="0"/>
      <w:marBottom w:val="0"/>
      <w:divBdr>
        <w:top w:val="none" w:sz="0" w:space="0" w:color="auto"/>
        <w:left w:val="none" w:sz="0" w:space="0" w:color="auto"/>
        <w:bottom w:val="none" w:sz="0" w:space="0" w:color="auto"/>
        <w:right w:val="none" w:sz="0" w:space="0" w:color="auto"/>
      </w:divBdr>
      <w:divsChild>
        <w:div w:id="1093352919">
          <w:marLeft w:val="0"/>
          <w:marRight w:val="0"/>
          <w:marTop w:val="0"/>
          <w:marBottom w:val="0"/>
          <w:divBdr>
            <w:top w:val="none" w:sz="0" w:space="0" w:color="auto"/>
            <w:left w:val="none" w:sz="0" w:space="0" w:color="auto"/>
            <w:bottom w:val="none" w:sz="0" w:space="0" w:color="auto"/>
            <w:right w:val="none" w:sz="0" w:space="0" w:color="auto"/>
          </w:divBdr>
          <w:divsChild>
            <w:div w:id="1353804933">
              <w:marLeft w:val="0"/>
              <w:marRight w:val="0"/>
              <w:marTop w:val="0"/>
              <w:marBottom w:val="0"/>
              <w:divBdr>
                <w:top w:val="none" w:sz="0" w:space="0" w:color="auto"/>
                <w:left w:val="none" w:sz="0" w:space="0" w:color="auto"/>
                <w:bottom w:val="none" w:sz="0" w:space="0" w:color="auto"/>
                <w:right w:val="none" w:sz="0" w:space="0" w:color="auto"/>
              </w:divBdr>
              <w:divsChild>
                <w:div w:id="578444140">
                  <w:marLeft w:val="0"/>
                  <w:marRight w:val="0"/>
                  <w:marTop w:val="0"/>
                  <w:marBottom w:val="0"/>
                  <w:divBdr>
                    <w:top w:val="none" w:sz="0" w:space="0" w:color="auto"/>
                    <w:left w:val="none" w:sz="0" w:space="0" w:color="auto"/>
                    <w:bottom w:val="none" w:sz="0" w:space="0" w:color="auto"/>
                    <w:right w:val="none" w:sz="0" w:space="0" w:color="auto"/>
                  </w:divBdr>
                  <w:divsChild>
                    <w:div w:id="41506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297990">
      <w:bodyDiv w:val="1"/>
      <w:marLeft w:val="0"/>
      <w:marRight w:val="0"/>
      <w:marTop w:val="0"/>
      <w:marBottom w:val="0"/>
      <w:divBdr>
        <w:top w:val="none" w:sz="0" w:space="0" w:color="auto"/>
        <w:left w:val="none" w:sz="0" w:space="0" w:color="auto"/>
        <w:bottom w:val="none" w:sz="0" w:space="0" w:color="auto"/>
        <w:right w:val="none" w:sz="0" w:space="0" w:color="auto"/>
      </w:divBdr>
    </w:div>
    <w:div w:id="1879975216">
      <w:bodyDiv w:val="1"/>
      <w:marLeft w:val="0"/>
      <w:marRight w:val="0"/>
      <w:marTop w:val="0"/>
      <w:marBottom w:val="0"/>
      <w:divBdr>
        <w:top w:val="none" w:sz="0" w:space="0" w:color="auto"/>
        <w:left w:val="none" w:sz="0" w:space="0" w:color="auto"/>
        <w:bottom w:val="none" w:sz="0" w:space="0" w:color="auto"/>
        <w:right w:val="none" w:sz="0" w:space="0" w:color="auto"/>
      </w:divBdr>
      <w:divsChild>
        <w:div w:id="1206216237">
          <w:marLeft w:val="0"/>
          <w:marRight w:val="0"/>
          <w:marTop w:val="0"/>
          <w:marBottom w:val="0"/>
          <w:divBdr>
            <w:top w:val="none" w:sz="0" w:space="0" w:color="auto"/>
            <w:left w:val="none" w:sz="0" w:space="0" w:color="auto"/>
            <w:bottom w:val="none" w:sz="0" w:space="0" w:color="auto"/>
            <w:right w:val="none" w:sz="0" w:space="0" w:color="auto"/>
          </w:divBdr>
          <w:divsChild>
            <w:div w:id="811335722">
              <w:marLeft w:val="0"/>
              <w:marRight w:val="0"/>
              <w:marTop w:val="0"/>
              <w:marBottom w:val="0"/>
              <w:divBdr>
                <w:top w:val="none" w:sz="0" w:space="0" w:color="auto"/>
                <w:left w:val="none" w:sz="0" w:space="0" w:color="auto"/>
                <w:bottom w:val="none" w:sz="0" w:space="0" w:color="auto"/>
                <w:right w:val="none" w:sz="0" w:space="0" w:color="auto"/>
              </w:divBdr>
              <w:divsChild>
                <w:div w:id="15042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19625">
      <w:bodyDiv w:val="1"/>
      <w:marLeft w:val="0"/>
      <w:marRight w:val="0"/>
      <w:marTop w:val="0"/>
      <w:marBottom w:val="0"/>
      <w:divBdr>
        <w:top w:val="none" w:sz="0" w:space="0" w:color="auto"/>
        <w:left w:val="none" w:sz="0" w:space="0" w:color="auto"/>
        <w:bottom w:val="none" w:sz="0" w:space="0" w:color="auto"/>
        <w:right w:val="none" w:sz="0" w:space="0" w:color="auto"/>
      </w:divBdr>
    </w:div>
    <w:div w:id="1947692265">
      <w:bodyDiv w:val="1"/>
      <w:marLeft w:val="0"/>
      <w:marRight w:val="0"/>
      <w:marTop w:val="0"/>
      <w:marBottom w:val="0"/>
      <w:divBdr>
        <w:top w:val="none" w:sz="0" w:space="0" w:color="auto"/>
        <w:left w:val="none" w:sz="0" w:space="0" w:color="auto"/>
        <w:bottom w:val="none" w:sz="0" w:space="0" w:color="auto"/>
        <w:right w:val="none" w:sz="0" w:space="0" w:color="auto"/>
      </w:divBdr>
    </w:div>
    <w:div w:id="1969891234">
      <w:bodyDiv w:val="1"/>
      <w:marLeft w:val="0"/>
      <w:marRight w:val="0"/>
      <w:marTop w:val="0"/>
      <w:marBottom w:val="0"/>
      <w:divBdr>
        <w:top w:val="none" w:sz="0" w:space="0" w:color="auto"/>
        <w:left w:val="none" w:sz="0" w:space="0" w:color="auto"/>
        <w:bottom w:val="none" w:sz="0" w:space="0" w:color="auto"/>
        <w:right w:val="none" w:sz="0" w:space="0" w:color="auto"/>
      </w:divBdr>
    </w:div>
    <w:div w:id="1977445652">
      <w:bodyDiv w:val="1"/>
      <w:marLeft w:val="0"/>
      <w:marRight w:val="0"/>
      <w:marTop w:val="0"/>
      <w:marBottom w:val="0"/>
      <w:divBdr>
        <w:top w:val="none" w:sz="0" w:space="0" w:color="auto"/>
        <w:left w:val="none" w:sz="0" w:space="0" w:color="auto"/>
        <w:bottom w:val="none" w:sz="0" w:space="0" w:color="auto"/>
        <w:right w:val="none" w:sz="0" w:space="0" w:color="auto"/>
      </w:divBdr>
      <w:divsChild>
        <w:div w:id="2071034304">
          <w:marLeft w:val="0"/>
          <w:marRight w:val="0"/>
          <w:marTop w:val="0"/>
          <w:marBottom w:val="0"/>
          <w:divBdr>
            <w:top w:val="none" w:sz="0" w:space="0" w:color="auto"/>
            <w:left w:val="none" w:sz="0" w:space="0" w:color="auto"/>
            <w:bottom w:val="none" w:sz="0" w:space="0" w:color="auto"/>
            <w:right w:val="none" w:sz="0" w:space="0" w:color="auto"/>
          </w:divBdr>
          <w:divsChild>
            <w:div w:id="1320114252">
              <w:marLeft w:val="0"/>
              <w:marRight w:val="0"/>
              <w:marTop w:val="0"/>
              <w:marBottom w:val="0"/>
              <w:divBdr>
                <w:top w:val="none" w:sz="0" w:space="0" w:color="auto"/>
                <w:left w:val="none" w:sz="0" w:space="0" w:color="auto"/>
                <w:bottom w:val="none" w:sz="0" w:space="0" w:color="auto"/>
                <w:right w:val="none" w:sz="0" w:space="0" w:color="auto"/>
              </w:divBdr>
              <w:divsChild>
                <w:div w:id="1903829126">
                  <w:marLeft w:val="0"/>
                  <w:marRight w:val="0"/>
                  <w:marTop w:val="0"/>
                  <w:marBottom w:val="0"/>
                  <w:divBdr>
                    <w:top w:val="none" w:sz="0" w:space="0" w:color="auto"/>
                    <w:left w:val="none" w:sz="0" w:space="0" w:color="auto"/>
                    <w:bottom w:val="none" w:sz="0" w:space="0" w:color="auto"/>
                    <w:right w:val="none" w:sz="0" w:space="0" w:color="auto"/>
                  </w:divBdr>
                  <w:divsChild>
                    <w:div w:id="8525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257603">
      <w:bodyDiv w:val="1"/>
      <w:marLeft w:val="0"/>
      <w:marRight w:val="0"/>
      <w:marTop w:val="0"/>
      <w:marBottom w:val="0"/>
      <w:divBdr>
        <w:top w:val="none" w:sz="0" w:space="0" w:color="auto"/>
        <w:left w:val="none" w:sz="0" w:space="0" w:color="auto"/>
        <w:bottom w:val="none" w:sz="0" w:space="0" w:color="auto"/>
        <w:right w:val="none" w:sz="0" w:space="0" w:color="auto"/>
      </w:divBdr>
    </w:div>
    <w:div w:id="1998798421">
      <w:bodyDiv w:val="1"/>
      <w:marLeft w:val="0"/>
      <w:marRight w:val="0"/>
      <w:marTop w:val="0"/>
      <w:marBottom w:val="0"/>
      <w:divBdr>
        <w:top w:val="none" w:sz="0" w:space="0" w:color="auto"/>
        <w:left w:val="none" w:sz="0" w:space="0" w:color="auto"/>
        <w:bottom w:val="none" w:sz="0" w:space="0" w:color="auto"/>
        <w:right w:val="none" w:sz="0" w:space="0" w:color="auto"/>
      </w:divBdr>
    </w:div>
    <w:div w:id="2034303442">
      <w:bodyDiv w:val="1"/>
      <w:marLeft w:val="0"/>
      <w:marRight w:val="0"/>
      <w:marTop w:val="0"/>
      <w:marBottom w:val="0"/>
      <w:divBdr>
        <w:top w:val="none" w:sz="0" w:space="0" w:color="auto"/>
        <w:left w:val="none" w:sz="0" w:space="0" w:color="auto"/>
        <w:bottom w:val="none" w:sz="0" w:space="0" w:color="auto"/>
        <w:right w:val="none" w:sz="0" w:space="0" w:color="auto"/>
      </w:divBdr>
      <w:divsChild>
        <w:div w:id="182911446">
          <w:marLeft w:val="0"/>
          <w:marRight w:val="0"/>
          <w:marTop w:val="0"/>
          <w:marBottom w:val="0"/>
          <w:divBdr>
            <w:top w:val="none" w:sz="0" w:space="0" w:color="auto"/>
            <w:left w:val="none" w:sz="0" w:space="0" w:color="auto"/>
            <w:bottom w:val="none" w:sz="0" w:space="0" w:color="auto"/>
            <w:right w:val="none" w:sz="0" w:space="0" w:color="auto"/>
          </w:divBdr>
        </w:div>
      </w:divsChild>
    </w:div>
    <w:div w:id="2051302338">
      <w:bodyDiv w:val="1"/>
      <w:marLeft w:val="0"/>
      <w:marRight w:val="0"/>
      <w:marTop w:val="0"/>
      <w:marBottom w:val="0"/>
      <w:divBdr>
        <w:top w:val="none" w:sz="0" w:space="0" w:color="auto"/>
        <w:left w:val="none" w:sz="0" w:space="0" w:color="auto"/>
        <w:bottom w:val="none" w:sz="0" w:space="0" w:color="auto"/>
        <w:right w:val="none" w:sz="0" w:space="0" w:color="auto"/>
      </w:divBdr>
      <w:divsChild>
        <w:div w:id="951588595">
          <w:marLeft w:val="0"/>
          <w:marRight w:val="0"/>
          <w:marTop w:val="0"/>
          <w:marBottom w:val="0"/>
          <w:divBdr>
            <w:top w:val="none" w:sz="0" w:space="0" w:color="auto"/>
            <w:left w:val="none" w:sz="0" w:space="0" w:color="auto"/>
            <w:bottom w:val="none" w:sz="0" w:space="0" w:color="auto"/>
            <w:right w:val="none" w:sz="0" w:space="0" w:color="auto"/>
          </w:divBdr>
          <w:divsChild>
            <w:div w:id="810634437">
              <w:marLeft w:val="0"/>
              <w:marRight w:val="0"/>
              <w:marTop w:val="0"/>
              <w:marBottom w:val="0"/>
              <w:divBdr>
                <w:top w:val="none" w:sz="0" w:space="0" w:color="auto"/>
                <w:left w:val="none" w:sz="0" w:space="0" w:color="auto"/>
                <w:bottom w:val="none" w:sz="0" w:space="0" w:color="auto"/>
                <w:right w:val="none" w:sz="0" w:space="0" w:color="auto"/>
              </w:divBdr>
              <w:divsChild>
                <w:div w:id="17682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03611">
      <w:bodyDiv w:val="1"/>
      <w:marLeft w:val="0"/>
      <w:marRight w:val="0"/>
      <w:marTop w:val="0"/>
      <w:marBottom w:val="0"/>
      <w:divBdr>
        <w:top w:val="none" w:sz="0" w:space="0" w:color="auto"/>
        <w:left w:val="none" w:sz="0" w:space="0" w:color="auto"/>
        <w:bottom w:val="none" w:sz="0" w:space="0" w:color="auto"/>
        <w:right w:val="none" w:sz="0" w:space="0" w:color="auto"/>
      </w:divBdr>
      <w:divsChild>
        <w:div w:id="1854881352">
          <w:marLeft w:val="0"/>
          <w:marRight w:val="0"/>
          <w:marTop w:val="0"/>
          <w:marBottom w:val="0"/>
          <w:divBdr>
            <w:top w:val="none" w:sz="0" w:space="0" w:color="auto"/>
            <w:left w:val="none" w:sz="0" w:space="0" w:color="auto"/>
            <w:bottom w:val="none" w:sz="0" w:space="0" w:color="auto"/>
            <w:right w:val="none" w:sz="0" w:space="0" w:color="auto"/>
          </w:divBdr>
          <w:divsChild>
            <w:div w:id="510073067">
              <w:marLeft w:val="0"/>
              <w:marRight w:val="0"/>
              <w:marTop w:val="0"/>
              <w:marBottom w:val="0"/>
              <w:divBdr>
                <w:top w:val="none" w:sz="0" w:space="0" w:color="auto"/>
                <w:left w:val="none" w:sz="0" w:space="0" w:color="auto"/>
                <w:bottom w:val="none" w:sz="0" w:space="0" w:color="auto"/>
                <w:right w:val="none" w:sz="0" w:space="0" w:color="auto"/>
              </w:divBdr>
              <w:divsChild>
                <w:div w:id="106502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89804">
      <w:bodyDiv w:val="1"/>
      <w:marLeft w:val="0"/>
      <w:marRight w:val="0"/>
      <w:marTop w:val="0"/>
      <w:marBottom w:val="0"/>
      <w:divBdr>
        <w:top w:val="none" w:sz="0" w:space="0" w:color="auto"/>
        <w:left w:val="none" w:sz="0" w:space="0" w:color="auto"/>
        <w:bottom w:val="none" w:sz="0" w:space="0" w:color="auto"/>
        <w:right w:val="none" w:sz="0" w:space="0" w:color="auto"/>
      </w:divBdr>
      <w:divsChild>
        <w:div w:id="1477063146">
          <w:marLeft w:val="0"/>
          <w:marRight w:val="0"/>
          <w:marTop w:val="0"/>
          <w:marBottom w:val="0"/>
          <w:divBdr>
            <w:top w:val="none" w:sz="0" w:space="0" w:color="auto"/>
            <w:left w:val="none" w:sz="0" w:space="0" w:color="auto"/>
            <w:bottom w:val="none" w:sz="0" w:space="0" w:color="auto"/>
            <w:right w:val="none" w:sz="0" w:space="0" w:color="auto"/>
          </w:divBdr>
          <w:divsChild>
            <w:div w:id="1955213384">
              <w:marLeft w:val="0"/>
              <w:marRight w:val="0"/>
              <w:marTop w:val="0"/>
              <w:marBottom w:val="0"/>
              <w:divBdr>
                <w:top w:val="none" w:sz="0" w:space="0" w:color="auto"/>
                <w:left w:val="none" w:sz="0" w:space="0" w:color="auto"/>
                <w:bottom w:val="none" w:sz="0" w:space="0" w:color="auto"/>
                <w:right w:val="none" w:sz="0" w:space="0" w:color="auto"/>
              </w:divBdr>
              <w:divsChild>
                <w:div w:id="99472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41136">
      <w:bodyDiv w:val="1"/>
      <w:marLeft w:val="0"/>
      <w:marRight w:val="0"/>
      <w:marTop w:val="0"/>
      <w:marBottom w:val="0"/>
      <w:divBdr>
        <w:top w:val="none" w:sz="0" w:space="0" w:color="auto"/>
        <w:left w:val="none" w:sz="0" w:space="0" w:color="auto"/>
        <w:bottom w:val="none" w:sz="0" w:space="0" w:color="auto"/>
        <w:right w:val="none" w:sz="0" w:space="0" w:color="auto"/>
      </w:divBdr>
    </w:div>
    <w:div w:id="2122451780">
      <w:bodyDiv w:val="1"/>
      <w:marLeft w:val="0"/>
      <w:marRight w:val="0"/>
      <w:marTop w:val="0"/>
      <w:marBottom w:val="0"/>
      <w:divBdr>
        <w:top w:val="none" w:sz="0" w:space="0" w:color="auto"/>
        <w:left w:val="none" w:sz="0" w:space="0" w:color="auto"/>
        <w:bottom w:val="none" w:sz="0" w:space="0" w:color="auto"/>
        <w:right w:val="none" w:sz="0" w:space="0" w:color="auto"/>
      </w:divBdr>
      <w:divsChild>
        <w:div w:id="1965194028">
          <w:marLeft w:val="0"/>
          <w:marRight w:val="0"/>
          <w:marTop w:val="0"/>
          <w:marBottom w:val="0"/>
          <w:divBdr>
            <w:top w:val="none" w:sz="0" w:space="0" w:color="auto"/>
            <w:left w:val="none" w:sz="0" w:space="0" w:color="auto"/>
            <w:bottom w:val="none" w:sz="0" w:space="0" w:color="auto"/>
            <w:right w:val="none" w:sz="0" w:space="0" w:color="auto"/>
          </w:divBdr>
          <w:divsChild>
            <w:div w:id="449473593">
              <w:marLeft w:val="0"/>
              <w:marRight w:val="0"/>
              <w:marTop w:val="0"/>
              <w:marBottom w:val="0"/>
              <w:divBdr>
                <w:top w:val="none" w:sz="0" w:space="0" w:color="auto"/>
                <w:left w:val="none" w:sz="0" w:space="0" w:color="auto"/>
                <w:bottom w:val="none" w:sz="0" w:space="0" w:color="auto"/>
                <w:right w:val="none" w:sz="0" w:space="0" w:color="auto"/>
              </w:divBdr>
              <w:divsChild>
                <w:div w:id="194137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buzzfeed.com/jinamoore/this-is-the-story-a-un-court-didnt-want-three-rape-survivors?utm_term=.efwZxxYY8" TargetMode="External"/><Relationship Id="rId2" Type="http://schemas.openxmlformats.org/officeDocument/2006/relationships/hyperlink" Target="http://www.bt.dk/sites/default/files&#8211;dk/node&#8211;files/511/6/6511917&#8211;letter&#8211;english.pdf" TargetMode="External"/><Relationship Id="rId1" Type="http://schemas.openxmlformats.org/officeDocument/2006/relationships/hyperlink" Target="http://www.irmct.org/en/arch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9BA69-A285-9E4D-A43D-EFEC7A325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8301</Words>
  <Characters>47316</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Redwood, Henry</dc:creator>
  <cp:keywords/>
  <dc:description/>
  <cp:lastModifiedBy>Redwood, Henry</cp:lastModifiedBy>
  <cp:revision>2</cp:revision>
  <cp:lastPrinted>2019-09-15T13:40:00Z</cp:lastPrinted>
  <dcterms:created xsi:type="dcterms:W3CDTF">2020-11-11T15:33:00Z</dcterms:created>
  <dcterms:modified xsi:type="dcterms:W3CDTF">2020-11-11T15:33:00Z</dcterms:modified>
</cp:coreProperties>
</file>