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68503" w14:textId="77777777" w:rsidR="00E45965" w:rsidRPr="00D22AFF" w:rsidRDefault="00E45965" w:rsidP="00E45965">
      <w:pPr>
        <w:pStyle w:val="SUMMARY"/>
        <w:spacing w:before="0" w:line="480" w:lineRule="auto"/>
        <w:jc w:val="center"/>
        <w:rPr>
          <w:rFonts w:ascii="Times New Roman" w:hAnsi="Times New Roman"/>
          <w:b/>
          <w:caps/>
          <w:sz w:val="28"/>
          <w:szCs w:val="28"/>
          <w:lang w:val="en-US"/>
        </w:rPr>
      </w:pPr>
      <w:r w:rsidRPr="00D22AFF">
        <w:rPr>
          <w:rFonts w:ascii="Times New Roman" w:hAnsi="Times New Roman"/>
          <w:b/>
          <w:caps/>
          <w:sz w:val="28"/>
          <w:szCs w:val="28"/>
          <w:lang w:val="en-US"/>
        </w:rPr>
        <w:t>An economic</w:t>
      </w:r>
      <w:r>
        <w:rPr>
          <w:rFonts w:ascii="Times New Roman" w:hAnsi="Times New Roman"/>
          <w:b/>
          <w:caps/>
          <w:sz w:val="28"/>
          <w:szCs w:val="28"/>
          <w:lang w:val="en-US"/>
        </w:rPr>
        <w:t xml:space="preserve"> efficiency</w:t>
      </w:r>
      <w:r w:rsidRPr="00D22AFF">
        <w:rPr>
          <w:rFonts w:ascii="Times New Roman" w:hAnsi="Times New Roman"/>
          <w:b/>
          <w:caps/>
          <w:sz w:val="28"/>
          <w:szCs w:val="28"/>
          <w:lang w:val="en-US"/>
        </w:rPr>
        <w:t xml:space="preserve"> indicator </w:t>
      </w:r>
      <w:r>
        <w:rPr>
          <w:rFonts w:ascii="Times New Roman" w:hAnsi="Times New Roman"/>
          <w:b/>
          <w:caps/>
          <w:sz w:val="28"/>
          <w:szCs w:val="28"/>
          <w:lang w:val="en-US"/>
        </w:rPr>
        <w:t>FOR</w:t>
      </w:r>
      <w:r w:rsidRPr="00D22AFF">
        <w:rPr>
          <w:rFonts w:ascii="Times New Roman" w:hAnsi="Times New Roman"/>
          <w:b/>
          <w:caps/>
          <w:sz w:val="28"/>
          <w:szCs w:val="28"/>
          <w:lang w:val="en-US"/>
        </w:rPr>
        <w:t xml:space="preserve"> assess</w:t>
      </w:r>
      <w:r>
        <w:rPr>
          <w:rFonts w:ascii="Times New Roman" w:hAnsi="Times New Roman"/>
          <w:b/>
          <w:caps/>
          <w:sz w:val="28"/>
          <w:szCs w:val="28"/>
          <w:lang w:val="en-US"/>
        </w:rPr>
        <w:t>ing</w:t>
      </w:r>
      <w:r w:rsidRPr="00D22AFF">
        <w:rPr>
          <w:rFonts w:ascii="Times New Roman" w:hAnsi="Times New Roman"/>
          <w:b/>
          <w:caps/>
          <w:sz w:val="28"/>
          <w:szCs w:val="28"/>
          <w:lang w:val="en-US"/>
        </w:rPr>
        <w:t xml:space="preserve"> </w:t>
      </w:r>
      <w:r>
        <w:rPr>
          <w:rFonts w:ascii="Times New Roman" w:hAnsi="Times New Roman"/>
          <w:b/>
          <w:caps/>
          <w:sz w:val="28"/>
          <w:szCs w:val="28"/>
          <w:lang w:val="en-US"/>
        </w:rPr>
        <w:t>income opportunities</w:t>
      </w:r>
      <w:r w:rsidRPr="00D22AFF">
        <w:rPr>
          <w:rFonts w:ascii="Times New Roman" w:hAnsi="Times New Roman"/>
          <w:b/>
          <w:caps/>
          <w:sz w:val="28"/>
          <w:szCs w:val="28"/>
          <w:lang w:val="en-US"/>
        </w:rPr>
        <w:t xml:space="preserve"> in </w:t>
      </w:r>
      <w:r>
        <w:rPr>
          <w:rFonts w:ascii="Times New Roman" w:hAnsi="Times New Roman"/>
          <w:b/>
          <w:caps/>
          <w:sz w:val="28"/>
          <w:szCs w:val="28"/>
          <w:lang w:val="en-US"/>
        </w:rPr>
        <w:t>sustainable waste management</w:t>
      </w:r>
      <w:r>
        <w:rPr>
          <w:rStyle w:val="Rimandonotaapidipagina"/>
          <w:rFonts w:ascii="Times New Roman" w:hAnsi="Times New Roman"/>
          <w:b/>
          <w:caps/>
          <w:sz w:val="28"/>
          <w:szCs w:val="28"/>
          <w:lang w:val="en-US"/>
        </w:rPr>
        <w:footnoteReference w:id="1"/>
      </w:r>
    </w:p>
    <w:p w14:paraId="3409B216" w14:textId="77777777" w:rsidR="00E45965" w:rsidRDefault="00E45965" w:rsidP="00E45965">
      <w:pPr>
        <w:spacing w:line="360" w:lineRule="auto"/>
        <w:rPr>
          <w:lang w:val="en-US"/>
        </w:rPr>
      </w:pPr>
    </w:p>
    <w:p w14:paraId="7301C257" w14:textId="77777777" w:rsidR="00E45965" w:rsidRPr="00253AE7" w:rsidRDefault="00E45965" w:rsidP="00E45965">
      <w:pPr>
        <w:spacing w:line="360" w:lineRule="auto"/>
        <w:rPr>
          <w:lang w:val="en-US"/>
        </w:rPr>
      </w:pPr>
    </w:p>
    <w:p w14:paraId="25898755" w14:textId="77777777" w:rsidR="00E45965" w:rsidRDefault="00E45965" w:rsidP="00E45965">
      <w:pPr>
        <w:rPr>
          <w:lang w:val="en-US"/>
        </w:rPr>
      </w:pPr>
      <w:r w:rsidRPr="00A95976">
        <w:rPr>
          <w:lang w:val="en-US"/>
        </w:rPr>
        <w:t>FRANCESCA B</w:t>
      </w:r>
      <w:r>
        <w:rPr>
          <w:lang w:val="en-US"/>
        </w:rPr>
        <w:t>ARTOLACCI (corresponding author)</w:t>
      </w:r>
    </w:p>
    <w:p w14:paraId="281987F2" w14:textId="77777777" w:rsidR="00E45965" w:rsidRDefault="00E45965" w:rsidP="00E45965">
      <w:pPr>
        <w:rPr>
          <w:lang w:val="en-US"/>
        </w:rPr>
      </w:pPr>
      <w:r w:rsidRPr="00377C87">
        <w:rPr>
          <w:lang w:val="en-US"/>
        </w:rPr>
        <w:t>University of Macerata, Department of Economics and Law</w:t>
      </w:r>
    </w:p>
    <w:p w14:paraId="76810E00" w14:textId="77777777" w:rsidR="00E45965" w:rsidRDefault="00E45965" w:rsidP="00E45965">
      <w:r w:rsidRPr="009A4BAF">
        <w:t xml:space="preserve">Via </w:t>
      </w:r>
      <w:r>
        <w:t>Armaroli, 43</w:t>
      </w:r>
    </w:p>
    <w:p w14:paraId="500313F4" w14:textId="77777777" w:rsidR="00E45965" w:rsidRPr="009A4BAF" w:rsidRDefault="00E45965" w:rsidP="00E45965">
      <w:r>
        <w:t xml:space="preserve">62100 </w:t>
      </w:r>
      <w:r w:rsidRPr="009A4BAF">
        <w:t xml:space="preserve">Macerata </w:t>
      </w:r>
      <w:r>
        <w:t>–</w:t>
      </w:r>
      <w:r w:rsidRPr="009A4BAF">
        <w:t xml:space="preserve"> Italy</w:t>
      </w:r>
    </w:p>
    <w:p w14:paraId="21215E85" w14:textId="77777777" w:rsidR="00E45965" w:rsidRDefault="00E45965" w:rsidP="00E45965">
      <w:hyperlink r:id="rId8" w:history="1">
        <w:r w:rsidRPr="00D31B13">
          <w:rPr>
            <w:rStyle w:val="Collegamentoipertestuale"/>
          </w:rPr>
          <w:t>francesca.bartolacci@unimc.it</w:t>
        </w:r>
      </w:hyperlink>
    </w:p>
    <w:p w14:paraId="1833D6DB" w14:textId="77777777" w:rsidR="00E45965" w:rsidRPr="00EC0200" w:rsidRDefault="00E45965" w:rsidP="00E45965"/>
    <w:p w14:paraId="17C64E6D" w14:textId="77777777" w:rsidR="00E45965" w:rsidRPr="00EC0200" w:rsidRDefault="00E45965" w:rsidP="00E45965">
      <w:pPr>
        <w:spacing w:line="360" w:lineRule="auto"/>
      </w:pPr>
    </w:p>
    <w:p w14:paraId="2DBB6E49" w14:textId="77777777" w:rsidR="00E45965" w:rsidRPr="009A4BAF" w:rsidRDefault="00E45965" w:rsidP="00E45965">
      <w:pPr>
        <w:rPr>
          <w:lang w:val="en-US"/>
        </w:rPr>
      </w:pPr>
      <w:r>
        <w:rPr>
          <w:lang w:val="en-US"/>
        </w:rPr>
        <w:t>ROY CERQUETI</w:t>
      </w:r>
    </w:p>
    <w:p w14:paraId="0A82B353" w14:textId="77777777" w:rsidR="00E45965" w:rsidRDefault="00E45965" w:rsidP="00E45965">
      <w:pPr>
        <w:rPr>
          <w:lang w:val="en-US"/>
        </w:rPr>
      </w:pPr>
      <w:r w:rsidRPr="00377C87">
        <w:rPr>
          <w:lang w:val="en-US"/>
        </w:rPr>
        <w:t>University of Macerata, Department of Economics and Law</w:t>
      </w:r>
    </w:p>
    <w:p w14:paraId="53263198" w14:textId="77777777" w:rsidR="00E45965" w:rsidRDefault="00E45965" w:rsidP="00E45965">
      <w:r w:rsidRPr="008A454A">
        <w:t xml:space="preserve">Via </w:t>
      </w:r>
      <w:r>
        <w:t>Crescimbeni, 14</w:t>
      </w:r>
    </w:p>
    <w:p w14:paraId="7B498821" w14:textId="77777777" w:rsidR="00E45965" w:rsidRPr="00651A0E" w:rsidRDefault="00E45965" w:rsidP="00E45965">
      <w:r>
        <w:t xml:space="preserve">62100 </w:t>
      </w:r>
      <w:r w:rsidRPr="00651A0E">
        <w:t>Macerata</w:t>
      </w:r>
      <w:r>
        <w:t xml:space="preserve"> –</w:t>
      </w:r>
      <w:r w:rsidRPr="00A55156">
        <w:t xml:space="preserve"> Italy</w:t>
      </w:r>
    </w:p>
    <w:p w14:paraId="4EF85A1D" w14:textId="77777777" w:rsidR="00E45965" w:rsidRDefault="00E45965" w:rsidP="00E45965">
      <w:hyperlink r:id="rId9" w:history="1">
        <w:r w:rsidRPr="00073F81">
          <w:rPr>
            <w:rStyle w:val="Collegamentoipertestuale"/>
          </w:rPr>
          <w:t>roy.cerqueti@unimc.it</w:t>
        </w:r>
      </w:hyperlink>
    </w:p>
    <w:p w14:paraId="28A5FBC1" w14:textId="77777777" w:rsidR="00E45965" w:rsidRPr="00EC0200" w:rsidRDefault="00E45965" w:rsidP="00E45965">
      <w:pPr>
        <w:spacing w:line="360" w:lineRule="auto"/>
      </w:pPr>
    </w:p>
    <w:p w14:paraId="02B7E034" w14:textId="77777777" w:rsidR="00E45965" w:rsidRPr="00EC0200" w:rsidRDefault="00E45965" w:rsidP="00E45965">
      <w:pPr>
        <w:spacing w:line="360" w:lineRule="auto"/>
      </w:pPr>
    </w:p>
    <w:p w14:paraId="6320CA22" w14:textId="77777777" w:rsidR="00E45965" w:rsidRPr="00BF56E5" w:rsidRDefault="00E45965" w:rsidP="00E45965">
      <w:pPr>
        <w:rPr>
          <w:lang w:val="en-US"/>
        </w:rPr>
      </w:pPr>
      <w:r w:rsidRPr="00BF56E5">
        <w:rPr>
          <w:lang w:val="en-US"/>
        </w:rPr>
        <w:t xml:space="preserve">ANTONELLA PAOLINI </w:t>
      </w:r>
    </w:p>
    <w:p w14:paraId="7BF770BD" w14:textId="77777777" w:rsidR="00E45965" w:rsidRDefault="00E45965" w:rsidP="00E45965">
      <w:pPr>
        <w:rPr>
          <w:lang w:val="en-US"/>
        </w:rPr>
      </w:pPr>
      <w:r w:rsidRPr="00377C87">
        <w:rPr>
          <w:lang w:val="en-US"/>
        </w:rPr>
        <w:t>University of Macerata, Department of Economics and Law</w:t>
      </w:r>
    </w:p>
    <w:p w14:paraId="5EACF333" w14:textId="77777777" w:rsidR="00E45965" w:rsidRDefault="00E45965" w:rsidP="00E45965">
      <w:r w:rsidRPr="008A454A">
        <w:t>Via Armaroli</w:t>
      </w:r>
      <w:r>
        <w:t>, 43</w:t>
      </w:r>
    </w:p>
    <w:p w14:paraId="2BFAE523" w14:textId="77777777" w:rsidR="00E45965" w:rsidRPr="00651A0E" w:rsidRDefault="00E45965" w:rsidP="00E45965">
      <w:r>
        <w:t xml:space="preserve">62100 </w:t>
      </w:r>
      <w:r w:rsidRPr="00651A0E">
        <w:t>Macerata</w:t>
      </w:r>
      <w:r>
        <w:t xml:space="preserve"> –</w:t>
      </w:r>
      <w:r w:rsidRPr="00A55156">
        <w:t xml:space="preserve"> Italy</w:t>
      </w:r>
    </w:p>
    <w:p w14:paraId="533541FC" w14:textId="77777777" w:rsidR="00E45965" w:rsidRDefault="00E45965" w:rsidP="00E45965">
      <w:hyperlink r:id="rId10" w:history="1">
        <w:r w:rsidRPr="00D31B13">
          <w:rPr>
            <w:rStyle w:val="Collegamentoipertestuale"/>
          </w:rPr>
          <w:t>antonella.paolini@unimc.it</w:t>
        </w:r>
      </w:hyperlink>
    </w:p>
    <w:p w14:paraId="3D314B52" w14:textId="77777777" w:rsidR="00E45965" w:rsidRDefault="00E45965" w:rsidP="00E45965">
      <w:pPr>
        <w:spacing w:line="360" w:lineRule="auto"/>
      </w:pPr>
    </w:p>
    <w:p w14:paraId="27235C69" w14:textId="77777777" w:rsidR="00E45965" w:rsidRPr="00377C87" w:rsidRDefault="00E45965" w:rsidP="00E45965">
      <w:pPr>
        <w:spacing w:line="360" w:lineRule="auto"/>
      </w:pPr>
    </w:p>
    <w:p w14:paraId="129CF6E6" w14:textId="77777777" w:rsidR="00E45965" w:rsidRPr="001D620A" w:rsidRDefault="00E45965" w:rsidP="00E45965">
      <w:pPr>
        <w:rPr>
          <w:lang w:val="en-US"/>
        </w:rPr>
      </w:pPr>
      <w:r w:rsidRPr="001D620A">
        <w:rPr>
          <w:lang w:val="en-US"/>
        </w:rPr>
        <w:t>MICHELA SOVERCHIA</w:t>
      </w:r>
      <w:r>
        <w:rPr>
          <w:lang w:val="en-US"/>
        </w:rPr>
        <w:t xml:space="preserve"> </w:t>
      </w:r>
    </w:p>
    <w:p w14:paraId="2AB8855C" w14:textId="77777777" w:rsidR="00E45965" w:rsidRDefault="00E45965" w:rsidP="00E45965">
      <w:pPr>
        <w:rPr>
          <w:lang w:val="en-US"/>
        </w:rPr>
      </w:pPr>
      <w:r w:rsidRPr="00377C87">
        <w:rPr>
          <w:lang w:val="en-US"/>
        </w:rPr>
        <w:t>University of Macerata, Department of Economics and Law</w:t>
      </w:r>
    </w:p>
    <w:p w14:paraId="03E0EFEB" w14:textId="77777777" w:rsidR="00E45965" w:rsidRDefault="00E45965" w:rsidP="00E45965">
      <w:r w:rsidRPr="008A454A">
        <w:t>Via Armaroli</w:t>
      </w:r>
      <w:r>
        <w:t>, 43</w:t>
      </w:r>
    </w:p>
    <w:p w14:paraId="6760C783" w14:textId="77777777" w:rsidR="00E45965" w:rsidRPr="00651A0E" w:rsidRDefault="00E45965" w:rsidP="00E45965">
      <w:r>
        <w:t xml:space="preserve">62100 </w:t>
      </w:r>
      <w:r w:rsidRPr="00651A0E">
        <w:t>Macerata</w:t>
      </w:r>
      <w:r>
        <w:t xml:space="preserve"> –</w:t>
      </w:r>
      <w:r w:rsidRPr="00A55156">
        <w:t xml:space="preserve"> Italy</w:t>
      </w:r>
    </w:p>
    <w:p w14:paraId="06D2CED3" w14:textId="77777777" w:rsidR="00E45965" w:rsidRDefault="00E45965" w:rsidP="00E45965">
      <w:hyperlink r:id="rId11" w:history="1">
        <w:r w:rsidRPr="00D31B13">
          <w:rPr>
            <w:rStyle w:val="Collegamentoipertestuale"/>
          </w:rPr>
          <w:t>michela.soverchia@unimc.it</w:t>
        </w:r>
      </w:hyperlink>
    </w:p>
    <w:p w14:paraId="60552D26" w14:textId="77777777" w:rsidR="00E45965" w:rsidRPr="00651A0E" w:rsidRDefault="00E45965" w:rsidP="00E45965">
      <w:pPr>
        <w:spacing w:line="360" w:lineRule="auto"/>
      </w:pPr>
    </w:p>
    <w:p w14:paraId="76243C76" w14:textId="77777777" w:rsidR="009C1D37" w:rsidRPr="00E215E1" w:rsidRDefault="009C1D37" w:rsidP="00D539F1">
      <w:pPr>
        <w:pStyle w:val="SUMMARY"/>
        <w:spacing w:before="0" w:line="480" w:lineRule="auto"/>
        <w:jc w:val="left"/>
        <w:rPr>
          <w:rFonts w:ascii="Times New Roman" w:hAnsi="Times New Roman"/>
          <w:sz w:val="24"/>
          <w:szCs w:val="24"/>
          <w:lang w:val="en-US"/>
        </w:rPr>
      </w:pPr>
      <w:bookmarkStart w:id="0" w:name="_GoBack"/>
      <w:bookmarkEnd w:id="0"/>
    </w:p>
    <w:p w14:paraId="67307F43" w14:textId="77777777" w:rsidR="005175FC" w:rsidRPr="00E215E1" w:rsidRDefault="005175FC" w:rsidP="00A34E98">
      <w:pPr>
        <w:pStyle w:val="SUMMARY"/>
        <w:spacing w:before="0" w:line="480" w:lineRule="auto"/>
        <w:jc w:val="left"/>
        <w:rPr>
          <w:rFonts w:ascii="Times New Roman" w:hAnsi="Times New Roman"/>
          <w:b/>
          <w:sz w:val="24"/>
          <w:szCs w:val="24"/>
          <w:lang w:val="en-US"/>
        </w:rPr>
      </w:pPr>
      <w:r w:rsidRPr="00E215E1">
        <w:rPr>
          <w:rFonts w:ascii="Times New Roman" w:hAnsi="Times New Roman"/>
          <w:b/>
          <w:sz w:val="24"/>
          <w:szCs w:val="24"/>
          <w:lang w:val="en-US"/>
        </w:rPr>
        <w:t>ABSTRACT</w:t>
      </w:r>
    </w:p>
    <w:p w14:paraId="44D95706" w14:textId="7604D614" w:rsidR="00810A77" w:rsidRDefault="0041038B" w:rsidP="00A34E98">
      <w:pPr>
        <w:pStyle w:val="SUMMARY"/>
        <w:spacing w:before="0" w:line="480" w:lineRule="auto"/>
        <w:jc w:val="left"/>
        <w:rPr>
          <w:rFonts w:ascii="Times New Roman" w:hAnsi="Times New Roman"/>
          <w:sz w:val="24"/>
          <w:lang w:val="en-US"/>
        </w:rPr>
      </w:pPr>
      <w:r>
        <w:rPr>
          <w:rFonts w:ascii="Times New Roman" w:hAnsi="Times New Roman"/>
          <w:sz w:val="24"/>
          <w:szCs w:val="24"/>
          <w:lang w:val="en-US"/>
        </w:rPr>
        <w:t>T</w:t>
      </w:r>
      <w:r w:rsidRPr="0041038B">
        <w:rPr>
          <w:rFonts w:ascii="Times New Roman" w:hAnsi="Times New Roman"/>
          <w:sz w:val="24"/>
          <w:szCs w:val="24"/>
          <w:lang w:val="en-US"/>
        </w:rPr>
        <w:t>his paper propose</w:t>
      </w:r>
      <w:r>
        <w:rPr>
          <w:rFonts w:ascii="Times New Roman" w:hAnsi="Times New Roman"/>
          <w:sz w:val="24"/>
          <w:szCs w:val="24"/>
          <w:lang w:val="en-US"/>
        </w:rPr>
        <w:t>s</w:t>
      </w:r>
      <w:r w:rsidRPr="0041038B">
        <w:rPr>
          <w:rFonts w:ascii="Times New Roman" w:hAnsi="Times New Roman"/>
          <w:sz w:val="24"/>
          <w:szCs w:val="24"/>
          <w:lang w:val="en-US"/>
        </w:rPr>
        <w:t xml:space="preserve"> a new economic efficiency indicator </w:t>
      </w:r>
      <w:r w:rsidR="005443FD">
        <w:rPr>
          <w:rFonts w:ascii="Times New Roman" w:hAnsi="Times New Roman"/>
          <w:sz w:val="24"/>
          <w:szCs w:val="24"/>
          <w:lang w:val="en-US"/>
        </w:rPr>
        <w:t>for</w:t>
      </w:r>
      <w:r w:rsidRPr="0041038B">
        <w:rPr>
          <w:rFonts w:ascii="Times New Roman" w:hAnsi="Times New Roman"/>
          <w:sz w:val="24"/>
          <w:szCs w:val="24"/>
          <w:lang w:val="en-US"/>
        </w:rPr>
        <w:t xml:space="preserve"> measur</w:t>
      </w:r>
      <w:r w:rsidR="005443FD">
        <w:rPr>
          <w:rFonts w:ascii="Times New Roman" w:hAnsi="Times New Roman"/>
          <w:sz w:val="24"/>
          <w:szCs w:val="24"/>
          <w:lang w:val="en-US"/>
        </w:rPr>
        <w:t>ing</w:t>
      </w:r>
      <w:r w:rsidRPr="0041038B">
        <w:rPr>
          <w:rFonts w:ascii="Times New Roman" w:hAnsi="Times New Roman"/>
          <w:sz w:val="24"/>
          <w:szCs w:val="24"/>
          <w:lang w:val="en-US"/>
        </w:rPr>
        <w:t xml:space="preserve"> and analyz</w:t>
      </w:r>
      <w:r w:rsidR="005443FD">
        <w:rPr>
          <w:rFonts w:ascii="Times New Roman" w:hAnsi="Times New Roman"/>
          <w:sz w:val="24"/>
          <w:szCs w:val="24"/>
          <w:lang w:val="en-US"/>
        </w:rPr>
        <w:t>ing</w:t>
      </w:r>
      <w:r w:rsidRPr="0041038B">
        <w:rPr>
          <w:rFonts w:ascii="Times New Roman" w:hAnsi="Times New Roman"/>
          <w:sz w:val="24"/>
          <w:szCs w:val="24"/>
          <w:lang w:val="en-US"/>
        </w:rPr>
        <w:t xml:space="preserve"> the income </w:t>
      </w:r>
      <w:r>
        <w:rPr>
          <w:rFonts w:ascii="Times New Roman" w:hAnsi="Times New Roman"/>
          <w:sz w:val="24"/>
          <w:szCs w:val="24"/>
          <w:lang w:val="en-US"/>
        </w:rPr>
        <w:t xml:space="preserve">opportunities </w:t>
      </w:r>
      <w:r w:rsidR="005443FD">
        <w:rPr>
          <w:rFonts w:ascii="Times New Roman" w:hAnsi="Times New Roman"/>
          <w:sz w:val="24"/>
          <w:szCs w:val="24"/>
          <w:lang w:val="en-US"/>
        </w:rPr>
        <w:t>for</w:t>
      </w:r>
      <w:r w:rsidRPr="0041038B">
        <w:rPr>
          <w:rFonts w:ascii="Times New Roman" w:hAnsi="Times New Roman"/>
          <w:sz w:val="24"/>
          <w:szCs w:val="24"/>
          <w:lang w:val="en-US"/>
        </w:rPr>
        <w:t xml:space="preserve"> companies operating in the collection, transport and treatment of </w:t>
      </w:r>
      <w:r>
        <w:rPr>
          <w:rFonts w:ascii="Times New Roman" w:hAnsi="Times New Roman"/>
          <w:sz w:val="24"/>
          <w:szCs w:val="24"/>
          <w:lang w:val="en-US"/>
        </w:rPr>
        <w:t>municipal solid waste</w:t>
      </w:r>
      <w:r w:rsidR="005443FD">
        <w:rPr>
          <w:rFonts w:ascii="Times New Roman" w:hAnsi="Times New Roman"/>
          <w:sz w:val="24"/>
          <w:szCs w:val="24"/>
          <w:lang w:val="en-US"/>
        </w:rPr>
        <w:t>, while also</w:t>
      </w:r>
      <w:r>
        <w:rPr>
          <w:rFonts w:ascii="Times New Roman" w:hAnsi="Times New Roman"/>
          <w:sz w:val="24"/>
          <w:szCs w:val="24"/>
          <w:lang w:val="en-US"/>
        </w:rPr>
        <w:t xml:space="preserve"> </w:t>
      </w:r>
      <w:r w:rsidR="00D032C0">
        <w:rPr>
          <w:rFonts w:ascii="Times New Roman" w:hAnsi="Times New Roman"/>
          <w:sz w:val="24"/>
          <w:szCs w:val="24"/>
          <w:lang w:val="en-US"/>
        </w:rPr>
        <w:t>taking</w:t>
      </w:r>
      <w:r>
        <w:rPr>
          <w:rFonts w:ascii="Times New Roman" w:hAnsi="Times New Roman"/>
          <w:sz w:val="24"/>
          <w:szCs w:val="24"/>
          <w:lang w:val="en-US"/>
        </w:rPr>
        <w:t xml:space="preserve"> </w:t>
      </w:r>
      <w:r w:rsidR="00D032C0">
        <w:rPr>
          <w:rFonts w:ascii="Times New Roman" w:hAnsi="Times New Roman"/>
          <w:sz w:val="24"/>
          <w:szCs w:val="24"/>
          <w:lang w:val="en-US"/>
        </w:rPr>
        <w:t xml:space="preserve">into account the environmental </w:t>
      </w:r>
      <w:r w:rsidR="00D032C0" w:rsidRPr="00810A77">
        <w:rPr>
          <w:rFonts w:ascii="Times New Roman" w:hAnsi="Times New Roman"/>
          <w:sz w:val="24"/>
          <w:szCs w:val="24"/>
          <w:lang w:val="en-US"/>
        </w:rPr>
        <w:t xml:space="preserve">perspective. </w:t>
      </w:r>
      <w:r w:rsidR="00C20E87">
        <w:rPr>
          <w:rFonts w:ascii="Times New Roman" w:hAnsi="Times New Roman"/>
          <w:sz w:val="24"/>
          <w:szCs w:val="24"/>
          <w:lang w:val="en-US"/>
        </w:rPr>
        <w:lastRenderedPageBreak/>
        <w:t>Specifically, the followed approach</w:t>
      </w:r>
      <w:r w:rsidR="00C20E87" w:rsidRPr="00A34E98">
        <w:rPr>
          <w:rFonts w:ascii="Times New Roman" w:hAnsi="Times New Roman"/>
          <w:sz w:val="24"/>
          <w:szCs w:val="24"/>
          <w:lang w:val="en-US"/>
        </w:rPr>
        <w:t xml:space="preserve"> </w:t>
      </w:r>
      <w:r w:rsidR="00C20E87">
        <w:rPr>
          <w:rFonts w:ascii="Times New Roman" w:hAnsi="Times New Roman"/>
          <w:sz w:val="24"/>
          <w:szCs w:val="24"/>
          <w:lang w:val="en-US"/>
        </w:rPr>
        <w:t>is</w:t>
      </w:r>
      <w:r w:rsidR="00C20E87" w:rsidRPr="00A34E98">
        <w:rPr>
          <w:rFonts w:ascii="Times New Roman" w:hAnsi="Times New Roman"/>
          <w:sz w:val="24"/>
          <w:szCs w:val="24"/>
          <w:lang w:val="en-US"/>
        </w:rPr>
        <w:t xml:space="preserve"> based on a mixed economic and environmental perspective, with a focus on the income advantage stemming from the exploitation of secondary raw materials obtained </w:t>
      </w:r>
      <w:r w:rsidR="00C20E87">
        <w:rPr>
          <w:rFonts w:ascii="Times New Roman" w:hAnsi="Times New Roman"/>
          <w:sz w:val="24"/>
          <w:szCs w:val="24"/>
          <w:lang w:val="en-US"/>
        </w:rPr>
        <w:t>from</w:t>
      </w:r>
      <w:r w:rsidR="00C20E87" w:rsidRPr="00A34E98">
        <w:rPr>
          <w:rFonts w:ascii="Times New Roman" w:hAnsi="Times New Roman"/>
          <w:sz w:val="24"/>
          <w:szCs w:val="24"/>
          <w:lang w:val="en-US"/>
        </w:rPr>
        <w:t xml:space="preserve"> </w:t>
      </w:r>
      <w:r w:rsidR="00C20E87">
        <w:rPr>
          <w:rFonts w:ascii="Times New Roman" w:hAnsi="Times New Roman"/>
          <w:sz w:val="24"/>
          <w:szCs w:val="24"/>
          <w:lang w:val="en-US"/>
        </w:rPr>
        <w:t>differentiated waste</w:t>
      </w:r>
      <w:r w:rsidR="00C20E87" w:rsidRPr="00810A77">
        <w:rPr>
          <w:rFonts w:ascii="Times New Roman" w:hAnsi="Times New Roman"/>
          <w:sz w:val="24"/>
          <w:szCs w:val="24"/>
          <w:lang w:val="en-US"/>
        </w:rPr>
        <w:t>.</w:t>
      </w:r>
      <w:r w:rsidR="00C20E87">
        <w:rPr>
          <w:rFonts w:ascii="Times New Roman" w:hAnsi="Times New Roman"/>
          <w:sz w:val="24"/>
          <w:szCs w:val="24"/>
          <w:lang w:val="en-US"/>
        </w:rPr>
        <w:t xml:space="preserve"> </w:t>
      </w:r>
      <w:r w:rsidR="00810A77" w:rsidRPr="00A34E98">
        <w:rPr>
          <w:rFonts w:ascii="Times New Roman" w:hAnsi="Times New Roman"/>
          <w:sz w:val="24"/>
          <w:szCs w:val="24"/>
          <w:lang w:val="en-US"/>
        </w:rPr>
        <w:t xml:space="preserve">To pursue this scope, an indicator at </w:t>
      </w:r>
      <w:r w:rsidR="005443FD">
        <w:rPr>
          <w:rFonts w:ascii="Times New Roman" w:hAnsi="Times New Roman"/>
          <w:sz w:val="24"/>
          <w:szCs w:val="24"/>
          <w:lang w:val="en-US"/>
        </w:rPr>
        <w:t xml:space="preserve">the </w:t>
      </w:r>
      <w:r w:rsidR="00810A77" w:rsidRPr="00A34E98">
        <w:rPr>
          <w:rFonts w:ascii="Times New Roman" w:hAnsi="Times New Roman"/>
          <w:sz w:val="24"/>
          <w:szCs w:val="24"/>
          <w:lang w:val="en-US"/>
        </w:rPr>
        <w:t xml:space="preserve">company level </w:t>
      </w:r>
      <w:r w:rsidR="00C20E87">
        <w:rPr>
          <w:rFonts w:ascii="Times New Roman" w:hAnsi="Times New Roman"/>
          <w:sz w:val="24"/>
          <w:szCs w:val="24"/>
          <w:lang w:val="en-US"/>
        </w:rPr>
        <w:t>is</w:t>
      </w:r>
      <w:r w:rsidR="00810A77" w:rsidRPr="00A34E98">
        <w:rPr>
          <w:rFonts w:ascii="Times New Roman" w:hAnsi="Times New Roman"/>
          <w:sz w:val="24"/>
          <w:szCs w:val="24"/>
          <w:lang w:val="en-US"/>
        </w:rPr>
        <w:t xml:space="preserve"> </w:t>
      </w:r>
      <w:r w:rsidR="00810A77" w:rsidRPr="00810A77">
        <w:rPr>
          <w:rFonts w:ascii="Times New Roman" w:hAnsi="Times New Roman"/>
          <w:sz w:val="24"/>
          <w:szCs w:val="24"/>
          <w:lang w:val="en-US"/>
        </w:rPr>
        <w:t>preliminarily identified</w:t>
      </w:r>
      <w:r w:rsidR="00C20E87">
        <w:rPr>
          <w:rFonts w:ascii="Times New Roman" w:hAnsi="Times New Roman"/>
          <w:sz w:val="24"/>
          <w:szCs w:val="24"/>
          <w:lang w:val="en-US"/>
        </w:rPr>
        <w:t>; then,</w:t>
      </w:r>
      <w:r w:rsidR="00810A77">
        <w:rPr>
          <w:rFonts w:ascii="Times New Roman" w:hAnsi="Times New Roman"/>
          <w:sz w:val="24"/>
          <w:szCs w:val="24"/>
          <w:lang w:val="en-US"/>
        </w:rPr>
        <w:t xml:space="preserve"> </w:t>
      </w:r>
      <w:r w:rsidR="00810A77" w:rsidRPr="00A34E98">
        <w:rPr>
          <w:rFonts w:ascii="Times New Roman" w:hAnsi="Times New Roman"/>
          <w:sz w:val="24"/>
          <w:szCs w:val="24"/>
          <w:lang w:val="en-US"/>
        </w:rPr>
        <w:t>a systemic indicator</w:t>
      </w:r>
      <w:r w:rsidR="00C20E87">
        <w:rPr>
          <w:rFonts w:ascii="Times New Roman" w:hAnsi="Times New Roman"/>
          <w:sz w:val="24"/>
          <w:szCs w:val="24"/>
          <w:lang w:val="en-US"/>
        </w:rPr>
        <w:t xml:space="preserve"> is introduced</w:t>
      </w:r>
      <w:r w:rsidR="00810A77" w:rsidRPr="00A34E98">
        <w:rPr>
          <w:rFonts w:ascii="Times New Roman" w:hAnsi="Times New Roman"/>
          <w:sz w:val="24"/>
          <w:szCs w:val="24"/>
          <w:lang w:val="en-US"/>
        </w:rPr>
        <w:t xml:space="preserve"> by implementing a</w:t>
      </w:r>
      <w:r w:rsidR="00810A77">
        <w:rPr>
          <w:rFonts w:ascii="Times New Roman" w:hAnsi="Times New Roman"/>
          <w:sz w:val="24"/>
          <w:szCs w:val="24"/>
          <w:lang w:val="en-US"/>
        </w:rPr>
        <w:t>n a</w:t>
      </w:r>
      <w:r w:rsidR="00810A77" w:rsidRPr="00A34E98">
        <w:rPr>
          <w:rFonts w:ascii="Times New Roman" w:hAnsi="Times New Roman"/>
          <w:sz w:val="24"/>
          <w:szCs w:val="24"/>
          <w:lang w:val="en-US"/>
        </w:rPr>
        <w:t xml:space="preserve">ggregation of the individual ones. </w:t>
      </w:r>
      <w:r w:rsidR="00810A77" w:rsidRPr="005175FC">
        <w:rPr>
          <w:rFonts w:ascii="Times New Roman" w:hAnsi="Times New Roman"/>
          <w:sz w:val="24"/>
          <w:szCs w:val="24"/>
          <w:lang w:val="en-US"/>
        </w:rPr>
        <w:t>The</w:t>
      </w:r>
      <w:r w:rsidR="00C20E87">
        <w:rPr>
          <w:rFonts w:ascii="Times New Roman" w:hAnsi="Times New Roman"/>
          <w:sz w:val="24"/>
          <w:szCs w:val="24"/>
          <w:lang w:val="en-US"/>
        </w:rPr>
        <w:t xml:space="preserve"> adopted methodological tool</w:t>
      </w:r>
      <w:r w:rsidR="00810A77" w:rsidRPr="005175FC">
        <w:rPr>
          <w:rFonts w:ascii="Times New Roman" w:hAnsi="Times New Roman"/>
          <w:sz w:val="24"/>
          <w:szCs w:val="24"/>
          <w:lang w:val="en-US"/>
        </w:rPr>
        <w:t xml:space="preserve"> is of </w:t>
      </w:r>
      <w:r w:rsidR="005443FD">
        <w:rPr>
          <w:rFonts w:ascii="Times New Roman" w:hAnsi="Times New Roman"/>
          <w:sz w:val="24"/>
          <w:szCs w:val="24"/>
          <w:lang w:val="en-US"/>
        </w:rPr>
        <w:t xml:space="preserve">the </w:t>
      </w:r>
      <w:r w:rsidR="00810A77" w:rsidRPr="005175FC">
        <w:rPr>
          <w:rFonts w:ascii="Times New Roman" w:hAnsi="Times New Roman"/>
          <w:sz w:val="24"/>
          <w:szCs w:val="24"/>
          <w:lang w:val="en-US"/>
        </w:rPr>
        <w:t xml:space="preserve">rank-size type, which is </w:t>
      </w:r>
      <w:r w:rsidR="00810A77">
        <w:rPr>
          <w:rFonts w:ascii="Times New Roman" w:hAnsi="Times New Roman"/>
          <w:sz w:val="24"/>
          <w:szCs w:val="24"/>
          <w:lang w:val="en-US"/>
        </w:rPr>
        <w:t xml:space="preserve">particularly appropriate for inferring insights at </w:t>
      </w:r>
      <w:r w:rsidR="005443FD">
        <w:rPr>
          <w:rFonts w:ascii="Times New Roman" w:hAnsi="Times New Roman"/>
          <w:sz w:val="24"/>
          <w:szCs w:val="24"/>
          <w:lang w:val="en-US"/>
        </w:rPr>
        <w:t xml:space="preserve">the </w:t>
      </w:r>
      <w:r w:rsidR="00810A77">
        <w:rPr>
          <w:rFonts w:ascii="Times New Roman" w:hAnsi="Times New Roman"/>
          <w:sz w:val="24"/>
          <w:szCs w:val="24"/>
          <w:lang w:val="en-US"/>
        </w:rPr>
        <w:t xml:space="preserve">system level from </w:t>
      </w:r>
      <w:r w:rsidR="00810A77" w:rsidRPr="00494122">
        <w:rPr>
          <w:rFonts w:ascii="Times New Roman" w:hAnsi="Times New Roman"/>
          <w:sz w:val="24"/>
          <w:szCs w:val="24"/>
          <w:lang w:val="en-US"/>
        </w:rPr>
        <w:t>e</w:t>
      </w:r>
      <w:r w:rsidR="00810A77">
        <w:rPr>
          <w:rFonts w:ascii="Times New Roman" w:hAnsi="Times New Roman"/>
          <w:sz w:val="24"/>
          <w:szCs w:val="24"/>
          <w:lang w:val="en-US"/>
        </w:rPr>
        <w:t>mpirical data</w:t>
      </w:r>
      <w:r w:rsidR="00C20E87">
        <w:rPr>
          <w:rFonts w:ascii="Times New Roman" w:hAnsi="Times New Roman"/>
          <w:sz w:val="24"/>
          <w:szCs w:val="24"/>
          <w:lang w:val="en-US"/>
        </w:rPr>
        <w:t xml:space="preserve"> at single company level</w:t>
      </w:r>
      <w:r w:rsidR="00810A77" w:rsidRPr="005175FC">
        <w:rPr>
          <w:rFonts w:ascii="Times New Roman" w:hAnsi="Times New Roman"/>
          <w:sz w:val="24"/>
          <w:szCs w:val="24"/>
          <w:lang w:val="en-US"/>
        </w:rPr>
        <w:t>.</w:t>
      </w:r>
      <w:r w:rsidR="00810A77">
        <w:rPr>
          <w:rFonts w:ascii="Times New Roman" w:hAnsi="Times New Roman"/>
          <w:sz w:val="24"/>
          <w:szCs w:val="24"/>
          <w:lang w:val="en-US"/>
        </w:rPr>
        <w:t xml:space="preserve"> </w:t>
      </w:r>
      <w:r w:rsidR="001B1C9C" w:rsidRPr="003E47E3">
        <w:rPr>
          <w:rFonts w:ascii="Times New Roman" w:hAnsi="Times New Roman"/>
          <w:sz w:val="24"/>
          <w:szCs w:val="24"/>
          <w:lang w:val="en-US"/>
        </w:rPr>
        <w:t xml:space="preserve">To validate </w:t>
      </w:r>
      <w:r w:rsidR="005443FD">
        <w:rPr>
          <w:rFonts w:ascii="Times New Roman" w:hAnsi="Times New Roman"/>
          <w:sz w:val="24"/>
          <w:szCs w:val="24"/>
          <w:lang w:val="en-US"/>
        </w:rPr>
        <w:t xml:space="preserve">the indicator </w:t>
      </w:r>
      <w:r w:rsidR="001B1C9C" w:rsidRPr="003E47E3">
        <w:rPr>
          <w:rFonts w:ascii="Times New Roman" w:hAnsi="Times New Roman"/>
          <w:sz w:val="24"/>
          <w:szCs w:val="24"/>
          <w:lang w:val="en-US"/>
        </w:rPr>
        <w:t xml:space="preserve">and apply </w:t>
      </w:r>
      <w:r w:rsidR="005443FD">
        <w:rPr>
          <w:rFonts w:ascii="Times New Roman" w:hAnsi="Times New Roman"/>
          <w:sz w:val="24"/>
          <w:szCs w:val="24"/>
          <w:lang w:val="en-US"/>
        </w:rPr>
        <w:t>it to</w:t>
      </w:r>
      <w:r w:rsidR="001B1C9C" w:rsidRPr="003E47E3">
        <w:rPr>
          <w:rFonts w:ascii="Times New Roman" w:hAnsi="Times New Roman"/>
          <w:sz w:val="24"/>
          <w:szCs w:val="24"/>
          <w:lang w:val="en-US"/>
        </w:rPr>
        <w:t xml:space="preserve"> real data </w:t>
      </w:r>
      <w:r w:rsidR="005443FD">
        <w:rPr>
          <w:rFonts w:ascii="Times New Roman" w:hAnsi="Times New Roman"/>
          <w:sz w:val="24"/>
          <w:szCs w:val="24"/>
          <w:lang w:val="en-US"/>
        </w:rPr>
        <w:t>in</w:t>
      </w:r>
      <w:r w:rsidR="001B1C9C" w:rsidRPr="003E47E3">
        <w:rPr>
          <w:rFonts w:ascii="Times New Roman" w:hAnsi="Times New Roman"/>
          <w:sz w:val="24"/>
          <w:szCs w:val="24"/>
          <w:lang w:val="en-US"/>
        </w:rPr>
        <w:t xml:space="preserve"> the sector of interest, an empirical analysis </w:t>
      </w:r>
      <w:r w:rsidR="00C20E87">
        <w:rPr>
          <w:rFonts w:ascii="Times New Roman" w:hAnsi="Times New Roman"/>
          <w:sz w:val="24"/>
          <w:szCs w:val="24"/>
          <w:lang w:val="en-US"/>
        </w:rPr>
        <w:t>i</w:t>
      </w:r>
      <w:r w:rsidR="001B1C9C" w:rsidRPr="003E47E3">
        <w:rPr>
          <w:rFonts w:ascii="Times New Roman" w:hAnsi="Times New Roman"/>
          <w:sz w:val="24"/>
          <w:szCs w:val="24"/>
          <w:lang w:val="en-US"/>
        </w:rPr>
        <w:t xml:space="preserve">s conducted on a group of Italian </w:t>
      </w:r>
      <w:r w:rsidR="001B1C9C">
        <w:rPr>
          <w:rFonts w:ascii="Times New Roman" w:hAnsi="Times New Roman"/>
          <w:sz w:val="24"/>
          <w:szCs w:val="24"/>
          <w:lang w:val="en-US"/>
        </w:rPr>
        <w:t xml:space="preserve">waste management </w:t>
      </w:r>
      <w:r w:rsidR="001B1C9C" w:rsidRPr="003E47E3">
        <w:rPr>
          <w:rFonts w:ascii="Times New Roman" w:hAnsi="Times New Roman"/>
          <w:sz w:val="24"/>
          <w:szCs w:val="24"/>
          <w:lang w:val="en-US"/>
        </w:rPr>
        <w:t xml:space="preserve">companies. </w:t>
      </w:r>
      <w:r w:rsidR="00C20E87">
        <w:rPr>
          <w:rFonts w:ascii="Times New Roman" w:hAnsi="Times New Roman"/>
          <w:sz w:val="24"/>
          <w:szCs w:val="24"/>
          <w:lang w:val="en-US"/>
        </w:rPr>
        <w:t>It is shown that t</w:t>
      </w:r>
      <w:r w:rsidR="005443FD">
        <w:rPr>
          <w:rFonts w:ascii="Times New Roman" w:hAnsi="Times New Roman"/>
          <w:sz w:val="24"/>
          <w:szCs w:val="24"/>
          <w:lang w:val="en-US"/>
        </w:rPr>
        <w:t>he indicator</w:t>
      </w:r>
      <w:r w:rsidR="00810A77" w:rsidRPr="00A34E98">
        <w:rPr>
          <w:rFonts w:ascii="Times New Roman" w:hAnsi="Times New Roman"/>
          <w:sz w:val="24"/>
          <w:szCs w:val="24"/>
          <w:lang w:val="en-US"/>
        </w:rPr>
        <w:t xml:space="preserve"> can be</w:t>
      </w:r>
      <w:r w:rsidR="00810A77">
        <w:rPr>
          <w:rFonts w:ascii="Times New Roman" w:hAnsi="Times New Roman"/>
          <w:sz w:val="24"/>
          <w:szCs w:val="24"/>
          <w:lang w:val="en-US"/>
        </w:rPr>
        <w:t xml:space="preserve"> a </w:t>
      </w:r>
      <w:r w:rsidR="00810A77" w:rsidRPr="00A34E98">
        <w:rPr>
          <w:rFonts w:ascii="Times New Roman" w:hAnsi="Times New Roman"/>
          <w:sz w:val="24"/>
          <w:szCs w:val="24"/>
          <w:lang w:val="en-US"/>
        </w:rPr>
        <w:t xml:space="preserve">useful tool </w:t>
      </w:r>
      <w:r w:rsidR="005443FD">
        <w:rPr>
          <w:rFonts w:ascii="Times New Roman" w:hAnsi="Times New Roman"/>
          <w:sz w:val="24"/>
          <w:szCs w:val="24"/>
          <w:lang w:val="en-US"/>
        </w:rPr>
        <w:t>for</w:t>
      </w:r>
      <w:r w:rsidR="00810A77" w:rsidRPr="00A34E98">
        <w:rPr>
          <w:rFonts w:ascii="Times New Roman" w:hAnsi="Times New Roman"/>
          <w:sz w:val="24"/>
          <w:szCs w:val="24"/>
          <w:lang w:val="en-US"/>
        </w:rPr>
        <w:t xml:space="preserve"> </w:t>
      </w:r>
      <w:r w:rsidR="00A34E98">
        <w:rPr>
          <w:rFonts w:ascii="Times New Roman" w:hAnsi="Times New Roman"/>
          <w:sz w:val="24"/>
          <w:szCs w:val="24"/>
          <w:lang w:val="en-US"/>
        </w:rPr>
        <w:t>generat</w:t>
      </w:r>
      <w:r w:rsidR="005443FD">
        <w:rPr>
          <w:rFonts w:ascii="Times New Roman" w:hAnsi="Times New Roman"/>
          <w:sz w:val="24"/>
          <w:szCs w:val="24"/>
          <w:lang w:val="en-US"/>
        </w:rPr>
        <w:t>ing</w:t>
      </w:r>
      <w:r w:rsidR="00A34E98">
        <w:rPr>
          <w:rFonts w:ascii="Times New Roman" w:hAnsi="Times New Roman"/>
          <w:sz w:val="24"/>
          <w:szCs w:val="24"/>
          <w:lang w:val="en-US"/>
        </w:rPr>
        <w:t xml:space="preserve"> valuable</w:t>
      </w:r>
      <w:r w:rsidR="00A34E98">
        <w:rPr>
          <w:rFonts w:ascii="Times New Roman" w:hAnsi="Times New Roman"/>
          <w:sz w:val="24"/>
          <w:lang w:val="en-US"/>
        </w:rPr>
        <w:t xml:space="preserve"> information </w:t>
      </w:r>
      <w:r w:rsidR="00A34E98" w:rsidRPr="00E215E1">
        <w:rPr>
          <w:rFonts w:ascii="Times New Roman" w:hAnsi="Times New Roman"/>
          <w:sz w:val="24"/>
          <w:lang w:val="en-US"/>
        </w:rPr>
        <w:t xml:space="preserve">for </w:t>
      </w:r>
      <w:r w:rsidR="00A34E98">
        <w:rPr>
          <w:rFonts w:ascii="Times New Roman" w:hAnsi="Times New Roman"/>
          <w:sz w:val="24"/>
          <w:lang w:val="en-US"/>
        </w:rPr>
        <w:t>waste management</w:t>
      </w:r>
      <w:r w:rsidR="00A34E98" w:rsidRPr="00E215E1">
        <w:rPr>
          <w:rFonts w:ascii="Times New Roman" w:hAnsi="Times New Roman"/>
          <w:sz w:val="24"/>
          <w:lang w:val="en-US"/>
        </w:rPr>
        <w:t xml:space="preserve"> companies</w:t>
      </w:r>
      <w:r w:rsidR="001468F7">
        <w:rPr>
          <w:rFonts w:ascii="Times New Roman" w:hAnsi="Times New Roman"/>
          <w:sz w:val="24"/>
          <w:lang w:val="en-US"/>
        </w:rPr>
        <w:t xml:space="preserve"> and</w:t>
      </w:r>
      <w:r w:rsidR="00A34E98" w:rsidRPr="00E215E1">
        <w:rPr>
          <w:rFonts w:ascii="Times New Roman" w:hAnsi="Times New Roman"/>
          <w:sz w:val="24"/>
          <w:lang w:val="en-US"/>
        </w:rPr>
        <w:t xml:space="preserve"> policy-makers</w:t>
      </w:r>
      <w:r w:rsidR="00A34E98">
        <w:rPr>
          <w:rFonts w:ascii="Times New Roman" w:hAnsi="Times New Roman"/>
          <w:sz w:val="24"/>
          <w:lang w:val="en-US"/>
        </w:rPr>
        <w:t>,</w:t>
      </w:r>
      <w:r w:rsidR="00A34E98" w:rsidRPr="00E215E1">
        <w:rPr>
          <w:rFonts w:ascii="Times New Roman" w:hAnsi="Times New Roman"/>
          <w:sz w:val="24"/>
          <w:lang w:val="en-US"/>
        </w:rPr>
        <w:t xml:space="preserve"> </w:t>
      </w:r>
      <w:r w:rsidR="001468F7">
        <w:rPr>
          <w:rFonts w:ascii="Times New Roman" w:hAnsi="Times New Roman"/>
          <w:sz w:val="24"/>
          <w:lang w:val="en-US"/>
        </w:rPr>
        <w:t>who</w:t>
      </w:r>
      <w:r w:rsidR="00A34E98" w:rsidRPr="00E215E1">
        <w:rPr>
          <w:rFonts w:ascii="Times New Roman" w:hAnsi="Times New Roman"/>
          <w:sz w:val="24"/>
          <w:lang w:val="en-US"/>
        </w:rPr>
        <w:t xml:space="preserve"> </w:t>
      </w:r>
      <w:r w:rsidR="001468F7">
        <w:rPr>
          <w:rFonts w:ascii="Times New Roman" w:hAnsi="Times New Roman"/>
          <w:sz w:val="24"/>
          <w:lang w:val="en-US"/>
        </w:rPr>
        <w:t xml:space="preserve">are </w:t>
      </w:r>
      <w:r w:rsidR="00A34E98" w:rsidRPr="00E215E1">
        <w:rPr>
          <w:rFonts w:ascii="Times New Roman" w:hAnsi="Times New Roman"/>
          <w:sz w:val="24"/>
          <w:lang w:val="en-US"/>
        </w:rPr>
        <w:t>responsib</w:t>
      </w:r>
      <w:r w:rsidR="001468F7">
        <w:rPr>
          <w:rFonts w:ascii="Times New Roman" w:hAnsi="Times New Roman"/>
          <w:sz w:val="24"/>
          <w:lang w:val="en-US"/>
        </w:rPr>
        <w:t>le</w:t>
      </w:r>
      <w:r w:rsidR="00A34E98" w:rsidRPr="00E215E1">
        <w:rPr>
          <w:rFonts w:ascii="Times New Roman" w:hAnsi="Times New Roman"/>
          <w:sz w:val="24"/>
          <w:lang w:val="en-US"/>
        </w:rPr>
        <w:t xml:space="preserve"> </w:t>
      </w:r>
      <w:r w:rsidR="001468F7">
        <w:rPr>
          <w:rFonts w:ascii="Times New Roman" w:hAnsi="Times New Roman"/>
          <w:sz w:val="24"/>
          <w:lang w:val="en-US"/>
        </w:rPr>
        <w:t>for</w:t>
      </w:r>
      <w:r w:rsidR="00A34E98" w:rsidRPr="00E215E1">
        <w:rPr>
          <w:rFonts w:ascii="Times New Roman" w:hAnsi="Times New Roman"/>
          <w:sz w:val="24"/>
          <w:lang w:val="en-US"/>
        </w:rPr>
        <w:t xml:space="preserve"> defin</w:t>
      </w:r>
      <w:r w:rsidR="001468F7">
        <w:rPr>
          <w:rFonts w:ascii="Times New Roman" w:hAnsi="Times New Roman"/>
          <w:sz w:val="24"/>
          <w:lang w:val="en-US"/>
        </w:rPr>
        <w:t>ing</w:t>
      </w:r>
      <w:r w:rsidR="00A34E98" w:rsidRPr="00E215E1">
        <w:rPr>
          <w:rFonts w:ascii="Times New Roman" w:hAnsi="Times New Roman"/>
          <w:sz w:val="24"/>
          <w:lang w:val="en-US"/>
        </w:rPr>
        <w:t xml:space="preserve"> </w:t>
      </w:r>
      <w:r w:rsidR="00A34E98">
        <w:rPr>
          <w:rFonts w:ascii="Times New Roman" w:hAnsi="Times New Roman"/>
          <w:sz w:val="24"/>
          <w:lang w:val="en-US"/>
        </w:rPr>
        <w:t xml:space="preserve">policies and </w:t>
      </w:r>
      <w:r w:rsidR="00A34E98" w:rsidRPr="00E215E1">
        <w:rPr>
          <w:rFonts w:ascii="Times New Roman" w:hAnsi="Times New Roman"/>
          <w:sz w:val="24"/>
          <w:lang w:val="en-US"/>
        </w:rPr>
        <w:t xml:space="preserve">programs </w:t>
      </w:r>
      <w:r w:rsidR="00A34E98">
        <w:rPr>
          <w:rFonts w:ascii="Times New Roman" w:hAnsi="Times New Roman"/>
          <w:sz w:val="24"/>
          <w:lang w:val="en-US"/>
        </w:rPr>
        <w:t>that make the</w:t>
      </w:r>
      <w:r w:rsidR="00A34E98" w:rsidRPr="00E215E1">
        <w:rPr>
          <w:rFonts w:ascii="Times New Roman" w:hAnsi="Times New Roman"/>
          <w:sz w:val="24"/>
          <w:lang w:val="en-US"/>
        </w:rPr>
        <w:t xml:space="preserve"> </w:t>
      </w:r>
      <w:r w:rsidR="00A34E98">
        <w:rPr>
          <w:rFonts w:ascii="Times New Roman" w:hAnsi="Times New Roman"/>
          <w:sz w:val="24"/>
          <w:lang w:val="en-US"/>
        </w:rPr>
        <w:t xml:space="preserve">overall waste management </w:t>
      </w:r>
      <w:r w:rsidR="00A34E98" w:rsidRPr="00E215E1">
        <w:rPr>
          <w:rFonts w:ascii="Times New Roman" w:hAnsi="Times New Roman"/>
          <w:sz w:val="24"/>
          <w:lang w:val="en-US"/>
        </w:rPr>
        <w:t>system</w:t>
      </w:r>
      <w:r w:rsidR="00A34E98">
        <w:rPr>
          <w:rFonts w:ascii="Times New Roman" w:hAnsi="Times New Roman"/>
          <w:sz w:val="24"/>
          <w:lang w:val="en-US"/>
        </w:rPr>
        <w:t xml:space="preserve"> more sustainable,</w:t>
      </w:r>
      <w:r w:rsidR="00A34E98" w:rsidRPr="00E215E1">
        <w:rPr>
          <w:rFonts w:ascii="Times New Roman" w:hAnsi="Times New Roman"/>
          <w:sz w:val="24"/>
          <w:lang w:val="en-US"/>
        </w:rPr>
        <w:t xml:space="preserve"> </w:t>
      </w:r>
      <w:r w:rsidR="001468F7">
        <w:rPr>
          <w:rFonts w:ascii="Times New Roman" w:hAnsi="Times New Roman"/>
          <w:sz w:val="24"/>
          <w:lang w:val="en-US"/>
        </w:rPr>
        <w:t>thus materia</w:t>
      </w:r>
      <w:r w:rsidR="00A34E98" w:rsidRPr="00E215E1">
        <w:rPr>
          <w:rFonts w:ascii="Times New Roman" w:hAnsi="Times New Roman"/>
          <w:sz w:val="24"/>
          <w:lang w:val="en-US"/>
        </w:rPr>
        <w:t>lizing environmental and social benefits.</w:t>
      </w:r>
    </w:p>
    <w:p w14:paraId="12CB0F4A" w14:textId="77777777" w:rsidR="00460DD0" w:rsidRPr="00E215E1" w:rsidRDefault="00460DD0" w:rsidP="00D539F1">
      <w:pPr>
        <w:pStyle w:val="SUMMARY"/>
        <w:spacing w:before="0" w:line="480" w:lineRule="auto"/>
        <w:jc w:val="left"/>
        <w:rPr>
          <w:rFonts w:ascii="Times New Roman" w:hAnsi="Times New Roman"/>
          <w:sz w:val="24"/>
          <w:szCs w:val="24"/>
          <w:lang w:val="en-US"/>
        </w:rPr>
      </w:pPr>
    </w:p>
    <w:p w14:paraId="14DD76AC" w14:textId="4820760D" w:rsidR="00C94609" w:rsidRPr="00E215E1" w:rsidRDefault="00C94609" w:rsidP="00D539F1">
      <w:pPr>
        <w:pStyle w:val="SUMMARY"/>
        <w:spacing w:before="0" w:line="480" w:lineRule="auto"/>
        <w:jc w:val="left"/>
        <w:rPr>
          <w:rFonts w:ascii="Times New Roman" w:hAnsi="Times New Roman"/>
          <w:sz w:val="24"/>
          <w:szCs w:val="24"/>
          <w:lang w:val="en-US"/>
        </w:rPr>
      </w:pPr>
      <w:r w:rsidRPr="00E215E1">
        <w:rPr>
          <w:rFonts w:ascii="Times New Roman" w:hAnsi="Times New Roman"/>
          <w:i/>
          <w:sz w:val="24"/>
          <w:szCs w:val="24"/>
          <w:lang w:val="en-US"/>
        </w:rPr>
        <w:t>K</w:t>
      </w:r>
      <w:r w:rsidR="001606AB" w:rsidRPr="00E215E1">
        <w:rPr>
          <w:rFonts w:ascii="Times New Roman" w:hAnsi="Times New Roman"/>
          <w:i/>
          <w:sz w:val="24"/>
          <w:szCs w:val="24"/>
          <w:lang w:val="en-US"/>
        </w:rPr>
        <w:t xml:space="preserve">eywords: </w:t>
      </w:r>
      <w:r w:rsidR="00692C73" w:rsidRPr="00E215E1">
        <w:rPr>
          <w:rFonts w:ascii="Times New Roman" w:hAnsi="Times New Roman"/>
          <w:sz w:val="24"/>
          <w:szCs w:val="24"/>
          <w:lang w:val="en-US"/>
        </w:rPr>
        <w:t>e</w:t>
      </w:r>
      <w:r w:rsidR="00A56F13" w:rsidRPr="00E215E1">
        <w:rPr>
          <w:rFonts w:ascii="Times New Roman" w:hAnsi="Times New Roman"/>
          <w:sz w:val="24"/>
          <w:szCs w:val="24"/>
          <w:lang w:val="en-US"/>
        </w:rPr>
        <w:t>conomic</w:t>
      </w:r>
      <w:r w:rsidR="001C1AF1" w:rsidRPr="00E215E1">
        <w:rPr>
          <w:rFonts w:ascii="Times New Roman" w:hAnsi="Times New Roman"/>
          <w:sz w:val="24"/>
          <w:szCs w:val="24"/>
          <w:lang w:val="en-US"/>
        </w:rPr>
        <w:t xml:space="preserve"> indicator; </w:t>
      </w:r>
      <w:r w:rsidRPr="00E215E1">
        <w:rPr>
          <w:rFonts w:ascii="Times New Roman" w:hAnsi="Times New Roman"/>
          <w:sz w:val="24"/>
          <w:szCs w:val="24"/>
          <w:lang w:val="en-US"/>
        </w:rPr>
        <w:t>efficiency</w:t>
      </w:r>
      <w:r w:rsidR="00880D17">
        <w:rPr>
          <w:rFonts w:ascii="Times New Roman" w:hAnsi="Times New Roman"/>
          <w:sz w:val="24"/>
          <w:szCs w:val="24"/>
          <w:lang w:val="en-US"/>
        </w:rPr>
        <w:t xml:space="preserve"> assessment</w:t>
      </w:r>
      <w:r w:rsidRPr="00E215E1">
        <w:rPr>
          <w:rFonts w:ascii="Times New Roman" w:hAnsi="Times New Roman"/>
          <w:sz w:val="24"/>
          <w:szCs w:val="24"/>
          <w:lang w:val="en-US"/>
        </w:rPr>
        <w:t xml:space="preserve">; </w:t>
      </w:r>
      <w:r w:rsidR="000E04D2">
        <w:rPr>
          <w:rFonts w:ascii="Times New Roman" w:hAnsi="Times New Roman"/>
          <w:sz w:val="24"/>
          <w:szCs w:val="24"/>
          <w:lang w:val="en-US"/>
        </w:rPr>
        <w:t>rank-size analysis</w:t>
      </w:r>
      <w:r w:rsidR="00826D16">
        <w:rPr>
          <w:rFonts w:ascii="Times New Roman" w:hAnsi="Times New Roman"/>
          <w:sz w:val="24"/>
          <w:szCs w:val="24"/>
          <w:lang w:val="en-US"/>
        </w:rPr>
        <w:t xml:space="preserve">; </w:t>
      </w:r>
      <w:r w:rsidR="007A29F3" w:rsidRPr="00E215E1">
        <w:rPr>
          <w:rFonts w:ascii="Times New Roman" w:hAnsi="Times New Roman"/>
          <w:sz w:val="24"/>
          <w:szCs w:val="24"/>
          <w:lang w:val="en-US"/>
        </w:rPr>
        <w:t xml:space="preserve">production costs; </w:t>
      </w:r>
      <w:r w:rsidR="0091722E" w:rsidRPr="00E215E1">
        <w:rPr>
          <w:rFonts w:ascii="Times New Roman" w:hAnsi="Times New Roman"/>
          <w:sz w:val="24"/>
          <w:szCs w:val="24"/>
          <w:lang w:val="en-US"/>
        </w:rPr>
        <w:t>environmental protection;</w:t>
      </w:r>
      <w:r w:rsidR="00A56F13" w:rsidRPr="00E215E1">
        <w:rPr>
          <w:rFonts w:ascii="Times New Roman" w:hAnsi="Times New Roman"/>
          <w:sz w:val="24"/>
          <w:szCs w:val="24"/>
          <w:lang w:val="en-US"/>
        </w:rPr>
        <w:t xml:space="preserve"> </w:t>
      </w:r>
      <w:r w:rsidR="007A29F3" w:rsidRPr="00E215E1">
        <w:rPr>
          <w:rFonts w:ascii="Times New Roman" w:hAnsi="Times New Roman"/>
          <w:sz w:val="24"/>
          <w:szCs w:val="24"/>
          <w:lang w:val="en-US"/>
        </w:rPr>
        <w:t>waste management</w:t>
      </w:r>
      <w:r w:rsidR="001C1AF1" w:rsidRPr="00E215E1">
        <w:rPr>
          <w:rFonts w:ascii="Times New Roman" w:hAnsi="Times New Roman"/>
          <w:sz w:val="24"/>
          <w:szCs w:val="24"/>
          <w:lang w:val="en-US"/>
        </w:rPr>
        <w:t>.</w:t>
      </w:r>
    </w:p>
    <w:p w14:paraId="43E1FD17" w14:textId="77777777" w:rsidR="001606AB" w:rsidRPr="00E215E1" w:rsidRDefault="001606AB" w:rsidP="00D539F1">
      <w:pPr>
        <w:pStyle w:val="TITLE1"/>
        <w:spacing w:before="0" w:after="0" w:line="480" w:lineRule="auto"/>
        <w:jc w:val="left"/>
        <w:rPr>
          <w:rFonts w:ascii="Times New Roman" w:hAnsi="Times New Roman"/>
          <w:sz w:val="24"/>
          <w:lang w:val="en-US"/>
        </w:rPr>
      </w:pPr>
    </w:p>
    <w:p w14:paraId="58A423B7" w14:textId="77777777" w:rsidR="00CB6FA4" w:rsidRPr="00E215E1" w:rsidRDefault="00CB6FA4" w:rsidP="00D539F1">
      <w:pPr>
        <w:pStyle w:val="TITLE1"/>
        <w:spacing w:before="0" w:after="0" w:line="480" w:lineRule="auto"/>
        <w:jc w:val="left"/>
        <w:rPr>
          <w:rFonts w:ascii="Times New Roman" w:hAnsi="Times New Roman"/>
          <w:sz w:val="24"/>
          <w:lang w:val="en-US"/>
        </w:rPr>
      </w:pPr>
      <w:r w:rsidRPr="00E215E1">
        <w:rPr>
          <w:rFonts w:ascii="Times New Roman" w:hAnsi="Times New Roman"/>
          <w:sz w:val="24"/>
          <w:lang w:val="en-US"/>
        </w:rPr>
        <w:t>1. INTRODUCTION</w:t>
      </w:r>
    </w:p>
    <w:p w14:paraId="6BF7087E" w14:textId="63B1B451" w:rsidR="004A201D" w:rsidRPr="00B83A1E" w:rsidRDefault="007A559F">
      <w:pPr>
        <w:spacing w:line="480" w:lineRule="auto"/>
        <w:ind w:firstLine="0"/>
        <w:jc w:val="left"/>
        <w:rPr>
          <w:rFonts w:ascii="Times New Roman" w:hAnsi="Times New Roman"/>
          <w:szCs w:val="24"/>
          <w:lang w:val="en-US"/>
        </w:rPr>
      </w:pPr>
      <w:r w:rsidRPr="00B83A1E">
        <w:rPr>
          <w:rFonts w:ascii="Times New Roman" w:hAnsi="Times New Roman"/>
          <w:szCs w:val="24"/>
          <w:lang w:val="en-US"/>
        </w:rPr>
        <w:t>Waste</w:t>
      </w:r>
      <w:r w:rsidR="002820EC">
        <w:rPr>
          <w:rFonts w:ascii="Times New Roman" w:hAnsi="Times New Roman"/>
          <w:szCs w:val="24"/>
          <w:lang w:val="en-US"/>
        </w:rPr>
        <w:t xml:space="preserve">, </w:t>
      </w:r>
      <w:r w:rsidR="002820EC" w:rsidRPr="00B83A1E">
        <w:rPr>
          <w:rFonts w:ascii="Times New Roman" w:hAnsi="Times New Roman"/>
          <w:szCs w:val="24"/>
          <w:lang w:val="en-US"/>
        </w:rPr>
        <w:t xml:space="preserve">linked </w:t>
      </w:r>
      <w:r w:rsidR="002820EC" w:rsidRPr="00B83A1E">
        <w:rPr>
          <w:lang w:val="en-US"/>
        </w:rPr>
        <w:t xml:space="preserve">directly to the </w:t>
      </w:r>
      <w:r w:rsidR="002820EC">
        <w:rPr>
          <w:lang w:val="en-US"/>
        </w:rPr>
        <w:t xml:space="preserve">production and consumption </w:t>
      </w:r>
      <w:r w:rsidR="002820EC" w:rsidRPr="001B1C9C">
        <w:rPr>
          <w:lang w:val="en-US"/>
        </w:rPr>
        <w:t>models</w:t>
      </w:r>
      <w:r w:rsidR="002820EC">
        <w:rPr>
          <w:lang w:val="en-US"/>
        </w:rPr>
        <w:t>,</w:t>
      </w:r>
      <w:r w:rsidR="002820EC" w:rsidRPr="00B83A1E" w:rsidDel="0092584C">
        <w:rPr>
          <w:rFonts w:ascii="Times New Roman" w:hAnsi="Times New Roman"/>
          <w:szCs w:val="24"/>
          <w:lang w:val="en-US"/>
        </w:rPr>
        <w:t xml:space="preserve"> </w:t>
      </w:r>
      <w:r w:rsidRPr="00B83A1E">
        <w:rPr>
          <w:rFonts w:ascii="Times New Roman" w:hAnsi="Times New Roman"/>
          <w:szCs w:val="24"/>
          <w:lang w:val="en-US"/>
        </w:rPr>
        <w:t xml:space="preserve">is a </w:t>
      </w:r>
      <w:r w:rsidR="000B1ABD" w:rsidRPr="00B83A1E">
        <w:rPr>
          <w:rFonts w:ascii="Times New Roman" w:hAnsi="Times New Roman"/>
          <w:szCs w:val="24"/>
          <w:lang w:val="en-US"/>
        </w:rPr>
        <w:t>growing</w:t>
      </w:r>
      <w:r w:rsidR="002E56C8" w:rsidRPr="009932BD">
        <w:rPr>
          <w:rFonts w:ascii="Times New Roman" w:hAnsi="Times New Roman"/>
          <w:szCs w:val="24"/>
          <w:lang w:val="en-US"/>
        </w:rPr>
        <w:t xml:space="preserve"> issue</w:t>
      </w:r>
      <w:r w:rsidR="00F45D84" w:rsidRPr="009932BD">
        <w:rPr>
          <w:rFonts w:ascii="Times New Roman" w:hAnsi="Times New Roman"/>
          <w:szCs w:val="24"/>
          <w:lang w:val="en-US"/>
        </w:rPr>
        <w:t xml:space="preserve"> </w:t>
      </w:r>
      <w:r w:rsidR="002820EC">
        <w:rPr>
          <w:rFonts w:ascii="Times New Roman" w:hAnsi="Times New Roman"/>
          <w:szCs w:val="24"/>
          <w:lang w:val="en-US"/>
        </w:rPr>
        <w:t>for</w:t>
      </w:r>
      <w:r w:rsidR="00F45D84" w:rsidRPr="009932BD">
        <w:rPr>
          <w:rFonts w:ascii="Times New Roman" w:hAnsi="Times New Roman"/>
          <w:szCs w:val="24"/>
          <w:lang w:val="en-US"/>
        </w:rPr>
        <w:t xml:space="preserve"> territories all over the world</w:t>
      </w:r>
      <w:r w:rsidR="002820EC">
        <w:rPr>
          <w:rFonts w:ascii="Times New Roman" w:hAnsi="Times New Roman"/>
          <w:szCs w:val="24"/>
          <w:lang w:val="en-US"/>
        </w:rPr>
        <w:t>;</w:t>
      </w:r>
      <w:r w:rsidR="00B83A1E" w:rsidRPr="00726EE8">
        <w:rPr>
          <w:rFonts w:ascii="Times New Roman" w:hAnsi="Times New Roman"/>
          <w:szCs w:val="24"/>
          <w:lang w:val="en-US"/>
        </w:rPr>
        <w:t xml:space="preserve"> </w:t>
      </w:r>
      <w:r w:rsidR="002820EC">
        <w:rPr>
          <w:rFonts w:ascii="Times New Roman" w:hAnsi="Times New Roman"/>
          <w:szCs w:val="24"/>
          <w:lang w:val="en-US"/>
        </w:rPr>
        <w:t xml:space="preserve">it </w:t>
      </w:r>
      <w:r w:rsidR="000B1ABD" w:rsidRPr="00B83A1E">
        <w:rPr>
          <w:rFonts w:ascii="Times New Roman" w:hAnsi="Times New Roman"/>
          <w:szCs w:val="24"/>
          <w:lang w:val="en-US"/>
        </w:rPr>
        <w:t>can pose a threat to public health and the environment</w:t>
      </w:r>
      <w:r w:rsidR="00513835" w:rsidRPr="00513835">
        <w:rPr>
          <w:rFonts w:ascii="Times New Roman" w:hAnsi="Times New Roman"/>
          <w:szCs w:val="24"/>
          <w:lang w:val="en-US"/>
        </w:rPr>
        <w:t xml:space="preserve"> </w:t>
      </w:r>
      <w:r w:rsidR="00513835" w:rsidRPr="00726EE8">
        <w:rPr>
          <w:rFonts w:ascii="Times New Roman" w:hAnsi="Times New Roman"/>
          <w:szCs w:val="24"/>
          <w:lang w:val="en-US"/>
        </w:rPr>
        <w:t>if</w:t>
      </w:r>
      <w:r w:rsidR="00513835" w:rsidRPr="00B83A1E">
        <w:rPr>
          <w:rFonts w:ascii="Times New Roman" w:hAnsi="Times New Roman"/>
          <w:szCs w:val="24"/>
          <w:lang w:val="en-US"/>
        </w:rPr>
        <w:t xml:space="preserve"> not dealt with</w:t>
      </w:r>
      <w:r w:rsidR="002820EC">
        <w:rPr>
          <w:rFonts w:ascii="Times New Roman" w:hAnsi="Times New Roman"/>
          <w:szCs w:val="24"/>
          <w:lang w:val="en-US"/>
        </w:rPr>
        <w:t xml:space="preserve"> properly</w:t>
      </w:r>
      <w:r w:rsidR="00F45D84" w:rsidRPr="00B83A1E">
        <w:rPr>
          <w:rFonts w:ascii="Times New Roman" w:hAnsi="Times New Roman"/>
          <w:szCs w:val="24"/>
          <w:lang w:val="en-US"/>
        </w:rPr>
        <w:t xml:space="preserve">. </w:t>
      </w:r>
      <w:r w:rsidR="00F45D84" w:rsidRPr="00726EE8">
        <w:rPr>
          <w:lang w:val="en-US"/>
        </w:rPr>
        <w:t>Waste management</w:t>
      </w:r>
      <w:r w:rsidR="00B83A1E">
        <w:rPr>
          <w:lang w:val="en-US"/>
        </w:rPr>
        <w:t xml:space="preserve"> (WM)</w:t>
      </w:r>
      <w:r w:rsidR="00F45D84" w:rsidRPr="00726EE8">
        <w:rPr>
          <w:lang w:val="en-US"/>
        </w:rPr>
        <w:t xml:space="preserve"> is one of the essential utility services underpinning </w:t>
      </w:r>
      <w:r w:rsidR="00B83A1E">
        <w:rPr>
          <w:lang w:val="en-US"/>
        </w:rPr>
        <w:t>citizens</w:t>
      </w:r>
      <w:r w:rsidR="00EB6AB5">
        <w:rPr>
          <w:lang w:val="en-US"/>
        </w:rPr>
        <w:t>’</w:t>
      </w:r>
      <w:r w:rsidR="00F45D84" w:rsidRPr="00726EE8">
        <w:rPr>
          <w:lang w:val="en-US"/>
        </w:rPr>
        <w:t xml:space="preserve"> </w:t>
      </w:r>
      <w:r w:rsidR="00513835">
        <w:rPr>
          <w:lang w:val="en-US"/>
        </w:rPr>
        <w:t>well-being</w:t>
      </w:r>
      <w:r w:rsidR="00F45D84" w:rsidRPr="00726EE8">
        <w:rPr>
          <w:lang w:val="en-US"/>
        </w:rPr>
        <w:t xml:space="preserve">, particularly in urban areas. </w:t>
      </w:r>
      <w:r w:rsidR="006F15C1" w:rsidRPr="00B83A1E">
        <w:rPr>
          <w:rFonts w:ascii="Times New Roman" w:hAnsi="Times New Roman"/>
          <w:szCs w:val="24"/>
          <w:lang w:val="en-US"/>
        </w:rPr>
        <w:t>In 2016</w:t>
      </w:r>
      <w:r w:rsidR="00F45D84" w:rsidRPr="00B83A1E">
        <w:rPr>
          <w:rFonts w:ascii="Times New Roman" w:hAnsi="Times New Roman"/>
          <w:szCs w:val="24"/>
          <w:lang w:val="en-US"/>
        </w:rPr>
        <w:t xml:space="preserve"> </w:t>
      </w:r>
      <w:r w:rsidR="009D7B8B" w:rsidRPr="00B83A1E">
        <w:rPr>
          <w:rFonts w:ascii="Times New Roman" w:hAnsi="Times New Roman"/>
          <w:szCs w:val="24"/>
          <w:lang w:val="en-US"/>
        </w:rPr>
        <w:t xml:space="preserve">in </w:t>
      </w:r>
      <w:r w:rsidR="00EB6AB5">
        <w:rPr>
          <w:rFonts w:ascii="Times New Roman" w:hAnsi="Times New Roman"/>
          <w:szCs w:val="24"/>
          <w:lang w:val="en-US"/>
        </w:rPr>
        <w:t xml:space="preserve">the </w:t>
      </w:r>
      <w:r w:rsidR="009D7B8B" w:rsidRPr="00B83A1E">
        <w:rPr>
          <w:rFonts w:ascii="Times New Roman" w:hAnsi="Times New Roman"/>
          <w:szCs w:val="24"/>
          <w:lang w:val="en-US"/>
        </w:rPr>
        <w:t>EU-28</w:t>
      </w:r>
      <w:r w:rsidR="00EB6AB5">
        <w:rPr>
          <w:rFonts w:ascii="Times New Roman" w:hAnsi="Times New Roman"/>
          <w:szCs w:val="24"/>
          <w:lang w:val="en-US"/>
        </w:rPr>
        <w:t>,</w:t>
      </w:r>
      <w:r w:rsidR="00F45D84" w:rsidRPr="00B83A1E">
        <w:rPr>
          <w:rFonts w:ascii="Times New Roman" w:hAnsi="Times New Roman"/>
          <w:szCs w:val="24"/>
          <w:lang w:val="en-US"/>
        </w:rPr>
        <w:t xml:space="preserve"> </w:t>
      </w:r>
      <w:r w:rsidR="009D7B8B" w:rsidRPr="00B83A1E">
        <w:rPr>
          <w:rFonts w:ascii="Times New Roman" w:hAnsi="Times New Roman"/>
          <w:szCs w:val="24"/>
          <w:lang w:val="en-US"/>
        </w:rPr>
        <w:t xml:space="preserve">the total waste generated by all economic activities and households amounted </w:t>
      </w:r>
      <w:r w:rsidR="00EB6AB5">
        <w:rPr>
          <w:rFonts w:ascii="Times New Roman" w:hAnsi="Times New Roman"/>
          <w:szCs w:val="24"/>
          <w:lang w:val="en-US"/>
        </w:rPr>
        <w:t xml:space="preserve">to </w:t>
      </w:r>
      <w:r w:rsidR="009D7B8B" w:rsidRPr="00B83A1E">
        <w:rPr>
          <w:rFonts w:ascii="Times New Roman" w:hAnsi="Times New Roman"/>
          <w:szCs w:val="24"/>
          <w:lang w:val="en-US"/>
        </w:rPr>
        <w:t>about 2</w:t>
      </w:r>
      <w:r w:rsidR="00B83A1E">
        <w:rPr>
          <w:rFonts w:ascii="Times New Roman" w:hAnsi="Times New Roman"/>
          <w:szCs w:val="24"/>
          <w:lang w:val="en-US"/>
        </w:rPr>
        <w:t>,</w:t>
      </w:r>
      <w:r w:rsidR="009D7B8B" w:rsidRPr="00B83A1E">
        <w:rPr>
          <w:rFonts w:ascii="Times New Roman" w:hAnsi="Times New Roman"/>
          <w:szCs w:val="24"/>
          <w:lang w:val="en-US"/>
        </w:rPr>
        <w:t>500 million tons</w:t>
      </w:r>
      <w:r w:rsidR="004A201D" w:rsidRPr="00B83A1E">
        <w:rPr>
          <w:rFonts w:ascii="Times New Roman" w:hAnsi="Times New Roman"/>
          <w:szCs w:val="24"/>
          <w:lang w:val="en-US"/>
        </w:rPr>
        <w:t xml:space="preserve"> (Eurostat, 2018)</w:t>
      </w:r>
      <w:r w:rsidR="006F15C1" w:rsidRPr="00B83A1E">
        <w:rPr>
          <w:lang w:val="en-US"/>
        </w:rPr>
        <w:t>; this was the highest amount recorded during</w:t>
      </w:r>
      <w:r w:rsidR="00513835">
        <w:rPr>
          <w:lang w:val="en-US"/>
        </w:rPr>
        <w:t xml:space="preserve"> the</w:t>
      </w:r>
      <w:r w:rsidR="006F15C1" w:rsidRPr="00B83A1E">
        <w:rPr>
          <w:lang w:val="en-US"/>
        </w:rPr>
        <w:t xml:space="preserve"> last 10 years. </w:t>
      </w:r>
      <w:r w:rsidR="006F15C1" w:rsidRPr="00B83A1E">
        <w:rPr>
          <w:rFonts w:ascii="Times New Roman" w:hAnsi="Times New Roman"/>
          <w:szCs w:val="24"/>
          <w:lang w:val="en-US"/>
        </w:rPr>
        <w:t>Given</w:t>
      </w:r>
      <w:r w:rsidR="006F15C1" w:rsidRPr="00726EE8">
        <w:rPr>
          <w:rFonts w:ascii="Times New Roman" w:hAnsi="Times New Roman"/>
          <w:szCs w:val="24"/>
          <w:lang w:val="en-US"/>
        </w:rPr>
        <w:t xml:space="preserve"> the world’s increasing population and economic development, this </w:t>
      </w:r>
      <w:r w:rsidR="00EB6AB5">
        <w:rPr>
          <w:rFonts w:ascii="Times New Roman" w:hAnsi="Times New Roman"/>
          <w:szCs w:val="24"/>
          <w:lang w:val="en-US"/>
        </w:rPr>
        <w:t>amount</w:t>
      </w:r>
      <w:r w:rsidR="006F15C1" w:rsidRPr="00726EE8">
        <w:rPr>
          <w:rFonts w:ascii="Times New Roman" w:hAnsi="Times New Roman"/>
          <w:szCs w:val="24"/>
          <w:lang w:val="en-US"/>
        </w:rPr>
        <w:t xml:space="preserve"> could </w:t>
      </w:r>
      <w:r w:rsidR="006F15C1" w:rsidRPr="00B83A1E">
        <w:rPr>
          <w:rFonts w:ascii="Times New Roman" w:hAnsi="Times New Roman"/>
          <w:szCs w:val="24"/>
          <w:lang w:val="en-US"/>
        </w:rPr>
        <w:t>increase</w:t>
      </w:r>
      <w:r w:rsidR="006F15C1" w:rsidRPr="00726EE8">
        <w:rPr>
          <w:rFonts w:ascii="Times New Roman" w:hAnsi="Times New Roman"/>
          <w:szCs w:val="24"/>
          <w:lang w:val="en-US"/>
        </w:rPr>
        <w:t xml:space="preserve"> even more significantly</w:t>
      </w:r>
      <w:r w:rsidR="006F15C1" w:rsidRPr="00B83A1E">
        <w:rPr>
          <w:rFonts w:ascii="Times New Roman" w:hAnsi="Times New Roman"/>
          <w:szCs w:val="24"/>
          <w:lang w:val="en-US"/>
        </w:rPr>
        <w:t xml:space="preserve"> in the future</w:t>
      </w:r>
      <w:r w:rsidR="006F15C1" w:rsidRPr="00726EE8">
        <w:rPr>
          <w:rFonts w:ascii="Times New Roman" w:hAnsi="Times New Roman"/>
          <w:szCs w:val="24"/>
          <w:lang w:val="en-US"/>
        </w:rPr>
        <w:t>.</w:t>
      </w:r>
    </w:p>
    <w:p w14:paraId="2452F1B2" w14:textId="24A3988E" w:rsidR="00D32621" w:rsidRDefault="00D32621" w:rsidP="004E5FCA">
      <w:pPr>
        <w:spacing w:line="480" w:lineRule="auto"/>
        <w:ind w:firstLine="0"/>
        <w:jc w:val="left"/>
        <w:rPr>
          <w:rFonts w:ascii="Times New Roman" w:hAnsi="Times New Roman"/>
          <w:szCs w:val="24"/>
          <w:lang w:val="en-US"/>
        </w:rPr>
      </w:pPr>
      <w:r>
        <w:rPr>
          <w:rFonts w:ascii="Times New Roman" w:hAnsi="Times New Roman"/>
          <w:szCs w:val="24"/>
          <w:lang w:val="en-US"/>
        </w:rPr>
        <w:lastRenderedPageBreak/>
        <w:t xml:space="preserve">This paper focuses on </w:t>
      </w:r>
      <w:r w:rsidR="002E56C8">
        <w:rPr>
          <w:rFonts w:ascii="Times New Roman" w:hAnsi="Times New Roman"/>
          <w:szCs w:val="24"/>
          <w:lang w:val="en-US"/>
        </w:rPr>
        <w:t xml:space="preserve">municipal solid waste (MSW), paying particular attention to the level of economic efficiency that </w:t>
      </w:r>
      <w:r>
        <w:rPr>
          <w:rFonts w:ascii="Times New Roman" w:hAnsi="Times New Roman"/>
          <w:szCs w:val="24"/>
          <w:lang w:val="en-US"/>
        </w:rPr>
        <w:t xml:space="preserve">companies operating </w:t>
      </w:r>
      <w:r w:rsidR="002E56C8">
        <w:rPr>
          <w:rFonts w:ascii="Times New Roman" w:hAnsi="Times New Roman"/>
          <w:szCs w:val="24"/>
          <w:lang w:val="en-US"/>
        </w:rPr>
        <w:t xml:space="preserve">in </w:t>
      </w:r>
      <w:r w:rsidR="00EB6AB5">
        <w:rPr>
          <w:rFonts w:ascii="Times New Roman" w:hAnsi="Times New Roman"/>
          <w:szCs w:val="24"/>
          <w:lang w:val="en-US"/>
        </w:rPr>
        <w:t>waste</w:t>
      </w:r>
      <w:r>
        <w:rPr>
          <w:rFonts w:ascii="Times New Roman" w:hAnsi="Times New Roman"/>
          <w:szCs w:val="24"/>
          <w:lang w:val="en-US"/>
        </w:rPr>
        <w:t xml:space="preserve"> collection, transport and treatment may achieve. </w:t>
      </w:r>
      <w:r w:rsidR="006D4838">
        <w:rPr>
          <w:rFonts w:ascii="Times New Roman" w:hAnsi="Times New Roman"/>
          <w:szCs w:val="24"/>
          <w:lang w:val="en-US"/>
        </w:rPr>
        <w:t>Th</w:t>
      </w:r>
      <w:r w:rsidR="00EB6AB5">
        <w:rPr>
          <w:rFonts w:ascii="Times New Roman" w:hAnsi="Times New Roman"/>
          <w:szCs w:val="24"/>
          <w:lang w:val="en-US"/>
        </w:rPr>
        <w:t>e</w:t>
      </w:r>
      <w:r w:rsidR="006D4838">
        <w:rPr>
          <w:rFonts w:ascii="Times New Roman" w:hAnsi="Times New Roman"/>
          <w:szCs w:val="24"/>
          <w:lang w:val="en-US"/>
        </w:rPr>
        <w:t>s</w:t>
      </w:r>
      <w:r w:rsidR="00EB6AB5">
        <w:rPr>
          <w:rFonts w:ascii="Times New Roman" w:hAnsi="Times New Roman"/>
          <w:szCs w:val="24"/>
          <w:lang w:val="en-US"/>
        </w:rPr>
        <w:t>e</w:t>
      </w:r>
      <w:r w:rsidR="006D4838">
        <w:rPr>
          <w:rFonts w:ascii="Times New Roman" w:hAnsi="Times New Roman"/>
          <w:szCs w:val="24"/>
          <w:lang w:val="en-US"/>
        </w:rPr>
        <w:t xml:space="preserve"> kind</w:t>
      </w:r>
      <w:r w:rsidR="00EB6AB5">
        <w:rPr>
          <w:rFonts w:ascii="Times New Roman" w:hAnsi="Times New Roman"/>
          <w:szCs w:val="24"/>
          <w:lang w:val="en-US"/>
        </w:rPr>
        <w:t>s</w:t>
      </w:r>
      <w:r w:rsidR="006D4838">
        <w:rPr>
          <w:rFonts w:ascii="Times New Roman" w:hAnsi="Times New Roman"/>
          <w:szCs w:val="24"/>
          <w:lang w:val="en-US"/>
        </w:rPr>
        <w:t xml:space="preserve"> of companies provide services that influence social well-being</w:t>
      </w:r>
      <w:r w:rsidR="00EB6AB5">
        <w:rPr>
          <w:rFonts w:ascii="Times New Roman" w:hAnsi="Times New Roman"/>
          <w:szCs w:val="24"/>
          <w:lang w:val="en-US"/>
        </w:rPr>
        <w:t>;</w:t>
      </w:r>
      <w:r w:rsidR="006D4838">
        <w:rPr>
          <w:rFonts w:ascii="Times New Roman" w:hAnsi="Times New Roman"/>
          <w:szCs w:val="24"/>
          <w:lang w:val="en-US"/>
        </w:rPr>
        <w:t xml:space="preserve"> thus</w:t>
      </w:r>
      <w:r w:rsidR="00EB6AB5">
        <w:rPr>
          <w:rFonts w:ascii="Times New Roman" w:hAnsi="Times New Roman"/>
          <w:szCs w:val="24"/>
          <w:lang w:val="en-US"/>
        </w:rPr>
        <w:t>,</w:t>
      </w:r>
      <w:r w:rsidR="006D4838">
        <w:rPr>
          <w:rFonts w:ascii="Times New Roman" w:hAnsi="Times New Roman"/>
          <w:szCs w:val="24"/>
          <w:lang w:val="en-US"/>
        </w:rPr>
        <w:t xml:space="preserve"> they should be sustainable in environmental and economic terms </w:t>
      </w:r>
      <w:r w:rsidR="006D4838" w:rsidRPr="005B1DF3">
        <w:rPr>
          <w:rFonts w:ascii="Times New Roman" w:hAnsi="Times New Roman"/>
          <w:szCs w:val="24"/>
          <w:lang w:val="en-US"/>
        </w:rPr>
        <w:t>(</w:t>
      </w:r>
      <w:r w:rsidR="005B1DF3" w:rsidRPr="00320DC9">
        <w:rPr>
          <w:rFonts w:ascii="Times New Roman" w:hAnsi="Times New Roman"/>
          <w:szCs w:val="24"/>
          <w:lang w:val="en-US"/>
        </w:rPr>
        <w:t>Agovino</w:t>
      </w:r>
      <w:r w:rsidR="005B1DF3" w:rsidRPr="00726EE8">
        <w:rPr>
          <w:rFonts w:ascii="Times New Roman" w:hAnsi="Times New Roman"/>
          <w:szCs w:val="24"/>
          <w:lang w:val="en-US"/>
        </w:rPr>
        <w:t xml:space="preserve"> et al., 2018</w:t>
      </w:r>
      <w:r w:rsidR="006D4838" w:rsidRPr="00B83A1E">
        <w:rPr>
          <w:rFonts w:ascii="Times New Roman" w:hAnsi="Times New Roman"/>
          <w:szCs w:val="24"/>
          <w:lang w:val="en-US"/>
        </w:rPr>
        <w:t>; Bartolacci et al., 2018a</w:t>
      </w:r>
      <w:r w:rsidR="006D4838" w:rsidRPr="009932BD">
        <w:rPr>
          <w:rFonts w:ascii="Times New Roman" w:hAnsi="Times New Roman"/>
          <w:szCs w:val="24"/>
          <w:lang w:val="en-US"/>
        </w:rPr>
        <w:t>)</w:t>
      </w:r>
      <w:r w:rsidR="008435FB">
        <w:rPr>
          <w:rFonts w:ascii="Times New Roman" w:hAnsi="Times New Roman"/>
          <w:szCs w:val="24"/>
          <w:lang w:val="en-US"/>
        </w:rPr>
        <w:t>. T</w:t>
      </w:r>
      <w:r w:rsidR="00513835">
        <w:rPr>
          <w:rFonts w:ascii="Times New Roman" w:hAnsi="Times New Roman"/>
          <w:szCs w:val="24"/>
          <w:lang w:val="en-US"/>
        </w:rPr>
        <w:t>his condition</w:t>
      </w:r>
      <w:r w:rsidR="00C04C01" w:rsidRPr="009932BD">
        <w:rPr>
          <w:rFonts w:ascii="Times New Roman" w:hAnsi="Times New Roman"/>
          <w:szCs w:val="24"/>
          <w:lang w:val="en-US"/>
        </w:rPr>
        <w:t xml:space="preserve"> may </w:t>
      </w:r>
      <w:r w:rsidR="008435FB">
        <w:rPr>
          <w:rFonts w:ascii="Times New Roman" w:hAnsi="Times New Roman"/>
          <w:szCs w:val="24"/>
          <w:lang w:val="en-US"/>
        </w:rPr>
        <w:t xml:space="preserve">also </w:t>
      </w:r>
      <w:r w:rsidR="00C04C01" w:rsidRPr="009932BD">
        <w:rPr>
          <w:rFonts w:ascii="Times New Roman" w:hAnsi="Times New Roman"/>
          <w:szCs w:val="24"/>
          <w:lang w:val="en-US"/>
        </w:rPr>
        <w:t>be achieved by reintroducing</w:t>
      </w:r>
      <w:r w:rsidR="00C04C01" w:rsidRPr="00B83A1E">
        <w:rPr>
          <w:rFonts w:ascii="Times New Roman" w:hAnsi="Times New Roman"/>
          <w:szCs w:val="24"/>
          <w:lang w:val="en-US"/>
        </w:rPr>
        <w:t xml:space="preserve"> materials recovered </w:t>
      </w:r>
      <w:r w:rsidR="008435FB">
        <w:rPr>
          <w:rFonts w:ascii="Times New Roman" w:hAnsi="Times New Roman"/>
          <w:szCs w:val="24"/>
          <w:lang w:val="en-US"/>
        </w:rPr>
        <w:t xml:space="preserve">from </w:t>
      </w:r>
      <w:r w:rsidR="00C04C01" w:rsidRPr="00B83A1E">
        <w:rPr>
          <w:rFonts w:ascii="Times New Roman" w:hAnsi="Times New Roman"/>
          <w:szCs w:val="24"/>
          <w:lang w:val="en-US"/>
        </w:rPr>
        <w:t>waste</w:t>
      </w:r>
      <w:r w:rsidR="00C04C01">
        <w:rPr>
          <w:rFonts w:ascii="Times New Roman" w:hAnsi="Times New Roman"/>
          <w:szCs w:val="24"/>
          <w:lang w:val="en-US"/>
        </w:rPr>
        <w:t xml:space="preserve"> into the economic system. </w:t>
      </w:r>
    </w:p>
    <w:p w14:paraId="2497BC70" w14:textId="6D205F80" w:rsidR="004E5FCA" w:rsidRDefault="008435FB" w:rsidP="004E5FCA">
      <w:pPr>
        <w:spacing w:line="480" w:lineRule="auto"/>
        <w:ind w:firstLine="0"/>
        <w:jc w:val="left"/>
        <w:rPr>
          <w:rFonts w:ascii="Times New Roman" w:hAnsi="Times New Roman"/>
          <w:szCs w:val="24"/>
          <w:lang w:val="en-US"/>
        </w:rPr>
      </w:pPr>
      <w:r>
        <w:rPr>
          <w:rFonts w:ascii="Times New Roman" w:hAnsi="Times New Roman"/>
          <w:szCs w:val="24"/>
          <w:lang w:val="en-US"/>
        </w:rPr>
        <w:t>R</w:t>
      </w:r>
      <w:r w:rsidR="00890872" w:rsidRPr="00890872">
        <w:rPr>
          <w:rFonts w:ascii="Times New Roman" w:hAnsi="Times New Roman"/>
          <w:szCs w:val="24"/>
          <w:lang w:val="en-US"/>
        </w:rPr>
        <w:t xml:space="preserve">ecent EU </w:t>
      </w:r>
      <w:r>
        <w:rPr>
          <w:rFonts w:ascii="Times New Roman" w:hAnsi="Times New Roman"/>
          <w:szCs w:val="24"/>
          <w:lang w:val="en-US"/>
        </w:rPr>
        <w:t xml:space="preserve">waste </w:t>
      </w:r>
      <w:r w:rsidR="00890872" w:rsidRPr="00890872">
        <w:rPr>
          <w:rFonts w:ascii="Times New Roman" w:hAnsi="Times New Roman"/>
          <w:szCs w:val="24"/>
          <w:lang w:val="en-US"/>
        </w:rPr>
        <w:t xml:space="preserve">strategies </w:t>
      </w:r>
      <w:r>
        <w:rPr>
          <w:rFonts w:ascii="Times New Roman" w:hAnsi="Times New Roman"/>
          <w:szCs w:val="24"/>
          <w:lang w:val="en-US"/>
        </w:rPr>
        <w:t xml:space="preserve">have been </w:t>
      </w:r>
      <w:r w:rsidR="00890872" w:rsidRPr="00890872">
        <w:rPr>
          <w:rFonts w:ascii="Times New Roman" w:hAnsi="Times New Roman"/>
          <w:szCs w:val="24"/>
          <w:lang w:val="en-US"/>
        </w:rPr>
        <w:t xml:space="preserve">strongly based on the concepts of resource efficiency and </w:t>
      </w:r>
      <w:r w:rsidR="001778EA">
        <w:rPr>
          <w:rFonts w:ascii="Times New Roman" w:hAnsi="Times New Roman"/>
          <w:szCs w:val="24"/>
          <w:lang w:val="en-US"/>
        </w:rPr>
        <w:t>promot</w:t>
      </w:r>
      <w:r>
        <w:rPr>
          <w:rFonts w:ascii="Times New Roman" w:hAnsi="Times New Roman"/>
          <w:szCs w:val="24"/>
          <w:lang w:val="en-US"/>
        </w:rPr>
        <w:t>ing</w:t>
      </w:r>
      <w:r w:rsidR="001778EA">
        <w:rPr>
          <w:rFonts w:ascii="Times New Roman" w:hAnsi="Times New Roman"/>
          <w:szCs w:val="24"/>
          <w:lang w:val="en-US"/>
        </w:rPr>
        <w:t xml:space="preserve"> the</w:t>
      </w:r>
      <w:r w:rsidR="00890872" w:rsidRPr="00890872">
        <w:rPr>
          <w:rFonts w:ascii="Times New Roman" w:hAnsi="Times New Roman"/>
          <w:szCs w:val="24"/>
          <w:lang w:val="en-US"/>
        </w:rPr>
        <w:t xml:space="preserve"> </w:t>
      </w:r>
      <w:r>
        <w:rPr>
          <w:rFonts w:ascii="Times New Roman" w:hAnsi="Times New Roman"/>
          <w:szCs w:val="24"/>
          <w:lang w:val="en-US"/>
        </w:rPr>
        <w:t>exploitation</w:t>
      </w:r>
      <w:r w:rsidRPr="00890872">
        <w:rPr>
          <w:rFonts w:ascii="Times New Roman" w:hAnsi="Times New Roman"/>
          <w:szCs w:val="24"/>
          <w:lang w:val="en-US"/>
        </w:rPr>
        <w:t xml:space="preserve"> </w:t>
      </w:r>
      <w:r>
        <w:rPr>
          <w:rFonts w:ascii="Times New Roman" w:hAnsi="Times New Roman"/>
          <w:szCs w:val="24"/>
          <w:lang w:val="en-US"/>
        </w:rPr>
        <w:t xml:space="preserve">of </w:t>
      </w:r>
      <w:r w:rsidR="00890872" w:rsidRPr="00890872">
        <w:rPr>
          <w:rFonts w:ascii="Times New Roman" w:hAnsi="Times New Roman"/>
          <w:szCs w:val="24"/>
          <w:lang w:val="en-US"/>
        </w:rPr>
        <w:t xml:space="preserve">secondary raw materials. These principles </w:t>
      </w:r>
      <w:r>
        <w:rPr>
          <w:rFonts w:ascii="Times New Roman" w:hAnsi="Times New Roman"/>
          <w:szCs w:val="24"/>
          <w:lang w:val="en-US"/>
        </w:rPr>
        <w:t xml:space="preserve">have been </w:t>
      </w:r>
      <w:r w:rsidR="00890872" w:rsidRPr="00890872">
        <w:rPr>
          <w:rFonts w:ascii="Times New Roman" w:hAnsi="Times New Roman"/>
          <w:szCs w:val="24"/>
          <w:lang w:val="en-US"/>
        </w:rPr>
        <w:t xml:space="preserve">confirmed by the circular economy approach (European Commission, </w:t>
      </w:r>
      <w:r w:rsidR="001778EA">
        <w:rPr>
          <w:rFonts w:ascii="Times New Roman" w:hAnsi="Times New Roman"/>
          <w:szCs w:val="24"/>
          <w:lang w:val="en-US"/>
        </w:rPr>
        <w:t xml:space="preserve">2011; </w:t>
      </w:r>
      <w:r w:rsidR="00890872" w:rsidRPr="00890872">
        <w:rPr>
          <w:rFonts w:ascii="Times New Roman" w:hAnsi="Times New Roman"/>
          <w:szCs w:val="24"/>
          <w:lang w:val="en-US"/>
        </w:rPr>
        <w:t>2015)</w:t>
      </w:r>
      <w:r>
        <w:rPr>
          <w:rFonts w:ascii="Times New Roman" w:hAnsi="Times New Roman"/>
          <w:szCs w:val="24"/>
          <w:lang w:val="en-US"/>
        </w:rPr>
        <w:t>. C</w:t>
      </w:r>
      <w:r w:rsidR="00890872" w:rsidRPr="00890872">
        <w:rPr>
          <w:rFonts w:ascii="Times New Roman" w:hAnsi="Times New Roman"/>
          <w:szCs w:val="24"/>
          <w:lang w:val="en-US"/>
        </w:rPr>
        <w:t>onsidering that EU countries are often characterized by natural resource scarcity, a more efficient use of waste that may feed</w:t>
      </w:r>
      <w:r w:rsidR="00513835">
        <w:rPr>
          <w:rFonts w:ascii="Times New Roman" w:hAnsi="Times New Roman"/>
          <w:szCs w:val="24"/>
          <w:lang w:val="en-US"/>
        </w:rPr>
        <w:t>-</w:t>
      </w:r>
      <w:r w:rsidR="00890872" w:rsidRPr="00890872">
        <w:rPr>
          <w:rFonts w:ascii="Times New Roman" w:hAnsi="Times New Roman"/>
          <w:szCs w:val="24"/>
          <w:lang w:val="en-US"/>
        </w:rPr>
        <w:t>back into the economy as secondary raw materials</w:t>
      </w:r>
      <w:r>
        <w:rPr>
          <w:rFonts w:ascii="Times New Roman" w:hAnsi="Times New Roman"/>
          <w:szCs w:val="24"/>
          <w:lang w:val="en-US"/>
        </w:rPr>
        <w:t xml:space="preserve"> has</w:t>
      </w:r>
      <w:r w:rsidR="00890872" w:rsidRPr="00890872">
        <w:rPr>
          <w:rFonts w:ascii="Times New Roman" w:hAnsi="Times New Roman"/>
          <w:szCs w:val="24"/>
          <w:lang w:val="en-US"/>
        </w:rPr>
        <w:t xml:space="preserve"> become</w:t>
      </w:r>
      <w:r w:rsidR="00B83A1E">
        <w:rPr>
          <w:rFonts w:ascii="Times New Roman" w:hAnsi="Times New Roman"/>
          <w:szCs w:val="24"/>
          <w:lang w:val="en-US"/>
        </w:rPr>
        <w:t xml:space="preserve"> a</w:t>
      </w:r>
      <w:r>
        <w:rPr>
          <w:rFonts w:ascii="Times New Roman" w:hAnsi="Times New Roman"/>
          <w:szCs w:val="24"/>
          <w:lang w:val="en-US"/>
        </w:rPr>
        <w:t>n</w:t>
      </w:r>
      <w:r w:rsidR="00890872" w:rsidRPr="00890872">
        <w:rPr>
          <w:rFonts w:ascii="Times New Roman" w:hAnsi="Times New Roman"/>
          <w:szCs w:val="24"/>
          <w:lang w:val="en-US"/>
        </w:rPr>
        <w:t xml:space="preserve"> </w:t>
      </w:r>
      <w:r>
        <w:rPr>
          <w:rFonts w:ascii="Times New Roman" w:hAnsi="Times New Roman"/>
          <w:szCs w:val="24"/>
          <w:lang w:val="en-US"/>
        </w:rPr>
        <w:t>increasingly</w:t>
      </w:r>
      <w:r w:rsidR="00890872" w:rsidRPr="00890872">
        <w:rPr>
          <w:rFonts w:ascii="Times New Roman" w:hAnsi="Times New Roman"/>
          <w:szCs w:val="24"/>
          <w:lang w:val="en-US"/>
        </w:rPr>
        <w:t xml:space="preserve"> crucial issue. </w:t>
      </w:r>
      <w:r w:rsidR="004E5FCA" w:rsidRPr="004E5FCA">
        <w:rPr>
          <w:rFonts w:ascii="Times New Roman" w:hAnsi="Times New Roman"/>
          <w:szCs w:val="24"/>
          <w:lang w:val="en-US"/>
        </w:rPr>
        <w:t>The Earth</w:t>
      </w:r>
      <w:r>
        <w:rPr>
          <w:rFonts w:ascii="Times New Roman" w:hAnsi="Times New Roman"/>
          <w:szCs w:val="24"/>
          <w:lang w:val="en-US"/>
        </w:rPr>
        <w:t>’</w:t>
      </w:r>
      <w:r w:rsidR="004E5FCA" w:rsidRPr="004E5FCA">
        <w:rPr>
          <w:rFonts w:ascii="Times New Roman" w:hAnsi="Times New Roman"/>
          <w:szCs w:val="24"/>
          <w:lang w:val="en-US"/>
        </w:rPr>
        <w:t>s resources (</w:t>
      </w:r>
      <w:r>
        <w:rPr>
          <w:rFonts w:ascii="Times New Roman" w:hAnsi="Times New Roman"/>
          <w:szCs w:val="24"/>
          <w:lang w:val="en-US"/>
        </w:rPr>
        <w:t xml:space="preserve">e.g. </w:t>
      </w:r>
      <w:r w:rsidR="004E5FCA" w:rsidRPr="004E5FCA">
        <w:rPr>
          <w:rFonts w:ascii="Times New Roman" w:hAnsi="Times New Roman"/>
          <w:szCs w:val="24"/>
          <w:lang w:val="en-US"/>
        </w:rPr>
        <w:t>water, clean air, metals</w:t>
      </w:r>
      <w:r>
        <w:rPr>
          <w:rFonts w:ascii="Times New Roman" w:hAnsi="Times New Roman"/>
          <w:szCs w:val="24"/>
          <w:lang w:val="en-US"/>
        </w:rPr>
        <w:t>, and</w:t>
      </w:r>
      <w:r w:rsidR="004E5FCA" w:rsidRPr="004E5FCA">
        <w:rPr>
          <w:rFonts w:ascii="Times New Roman" w:hAnsi="Times New Roman"/>
          <w:szCs w:val="24"/>
          <w:lang w:val="en-US"/>
        </w:rPr>
        <w:t xml:space="preserve"> minerals), which are the basis of the </w:t>
      </w:r>
      <w:r>
        <w:rPr>
          <w:rFonts w:ascii="Times New Roman" w:hAnsi="Times New Roman"/>
          <w:szCs w:val="24"/>
          <w:lang w:val="en-US"/>
        </w:rPr>
        <w:t xml:space="preserve">raw material </w:t>
      </w:r>
      <w:r w:rsidR="004E5FCA" w:rsidRPr="004E5FCA">
        <w:rPr>
          <w:rFonts w:ascii="Times New Roman" w:hAnsi="Times New Roman"/>
          <w:szCs w:val="24"/>
          <w:lang w:val="en-US"/>
        </w:rPr>
        <w:t>production, should be used in a sustainable manner, allowing the economic system to generate higher</w:t>
      </w:r>
      <w:r>
        <w:rPr>
          <w:rFonts w:ascii="Times New Roman" w:hAnsi="Times New Roman"/>
          <w:szCs w:val="24"/>
          <w:lang w:val="en-US"/>
        </w:rPr>
        <w:t>-</w:t>
      </w:r>
      <w:r w:rsidR="004E5FCA" w:rsidRPr="004E5FCA">
        <w:rPr>
          <w:rFonts w:ascii="Times New Roman" w:hAnsi="Times New Roman"/>
          <w:szCs w:val="24"/>
          <w:lang w:val="en-US"/>
        </w:rPr>
        <w:t xml:space="preserve">value output with less input. Acting on resource efficiency and income </w:t>
      </w:r>
      <w:r w:rsidR="001778EA">
        <w:rPr>
          <w:rFonts w:ascii="Times New Roman" w:hAnsi="Times New Roman"/>
          <w:szCs w:val="24"/>
          <w:lang w:val="en-US"/>
        </w:rPr>
        <w:t>deriv</w:t>
      </w:r>
      <w:r>
        <w:rPr>
          <w:rFonts w:ascii="Times New Roman" w:hAnsi="Times New Roman"/>
          <w:szCs w:val="24"/>
          <w:lang w:val="en-US"/>
        </w:rPr>
        <w:t>ed</w:t>
      </w:r>
      <w:r w:rsidR="001778EA">
        <w:rPr>
          <w:rFonts w:ascii="Times New Roman" w:hAnsi="Times New Roman"/>
          <w:szCs w:val="24"/>
          <w:lang w:val="en-US"/>
        </w:rPr>
        <w:t xml:space="preserve"> from</w:t>
      </w:r>
      <w:r w:rsidR="004E5FCA" w:rsidRPr="004E5FCA">
        <w:rPr>
          <w:rFonts w:ascii="Times New Roman" w:hAnsi="Times New Roman"/>
          <w:szCs w:val="24"/>
          <w:lang w:val="en-US"/>
        </w:rPr>
        <w:t xml:space="preserve"> recycling could create sustainable business and job opportunities from WM activities.</w:t>
      </w:r>
    </w:p>
    <w:p w14:paraId="2D06F497" w14:textId="32C6F1BA" w:rsidR="00974A8A" w:rsidRPr="00E215E1" w:rsidRDefault="00974A8A" w:rsidP="00974A8A">
      <w:pPr>
        <w:spacing w:line="480" w:lineRule="auto"/>
        <w:ind w:firstLine="0"/>
        <w:jc w:val="left"/>
        <w:rPr>
          <w:rFonts w:ascii="Times New Roman" w:hAnsi="Times New Roman"/>
          <w:szCs w:val="24"/>
          <w:lang w:val="en-US"/>
        </w:rPr>
      </w:pPr>
      <w:r w:rsidRPr="00E215E1">
        <w:rPr>
          <w:rFonts w:ascii="Times New Roman" w:hAnsi="Times New Roman"/>
          <w:szCs w:val="24"/>
          <w:lang w:val="en-US"/>
        </w:rPr>
        <w:t xml:space="preserve">In </w:t>
      </w:r>
      <w:r w:rsidR="00D64031">
        <w:rPr>
          <w:rFonts w:ascii="Times New Roman" w:hAnsi="Times New Roman"/>
          <w:szCs w:val="24"/>
          <w:lang w:val="en-US"/>
        </w:rPr>
        <w:t>general</w:t>
      </w:r>
      <w:r w:rsidRPr="00E215E1">
        <w:rPr>
          <w:rFonts w:ascii="Times New Roman" w:hAnsi="Times New Roman"/>
          <w:szCs w:val="24"/>
          <w:lang w:val="en-US"/>
        </w:rPr>
        <w:t xml:space="preserve"> terms, </w:t>
      </w:r>
      <w:r w:rsidR="00B83A1E">
        <w:rPr>
          <w:rFonts w:ascii="Times New Roman" w:hAnsi="Times New Roman"/>
          <w:szCs w:val="24"/>
          <w:lang w:val="en-US"/>
        </w:rPr>
        <w:t>WM</w:t>
      </w:r>
      <w:r w:rsidRPr="00E215E1">
        <w:rPr>
          <w:rFonts w:ascii="Times New Roman" w:hAnsi="Times New Roman"/>
          <w:szCs w:val="24"/>
          <w:lang w:val="en-US"/>
        </w:rPr>
        <w:t xml:space="preserve"> companies’ </w:t>
      </w:r>
      <w:r w:rsidR="00280E7E">
        <w:rPr>
          <w:rFonts w:ascii="Times New Roman" w:hAnsi="Times New Roman"/>
          <w:szCs w:val="24"/>
          <w:lang w:val="en-US"/>
        </w:rPr>
        <w:t>income</w:t>
      </w:r>
      <w:r w:rsidR="008435FB">
        <w:rPr>
          <w:rFonts w:ascii="Times New Roman" w:hAnsi="Times New Roman"/>
          <w:szCs w:val="24"/>
          <w:lang w:val="en-US"/>
        </w:rPr>
        <w:t>s</w:t>
      </w:r>
      <w:r w:rsidR="00280E7E">
        <w:rPr>
          <w:rFonts w:ascii="Times New Roman" w:hAnsi="Times New Roman"/>
          <w:szCs w:val="24"/>
          <w:lang w:val="en-US"/>
        </w:rPr>
        <w:t xml:space="preserve"> depend</w:t>
      </w:r>
      <w:r w:rsidRPr="00E215E1">
        <w:rPr>
          <w:rFonts w:ascii="Times New Roman" w:hAnsi="Times New Roman"/>
          <w:szCs w:val="24"/>
          <w:lang w:val="en-US"/>
        </w:rPr>
        <w:t xml:space="preserve"> on the relationship between the costs incurred for the resource’ supply (input) and the revenues obtained by exploiting and selling those resources recovered </w:t>
      </w:r>
      <w:r w:rsidR="008435FB">
        <w:rPr>
          <w:rFonts w:ascii="Times New Roman" w:hAnsi="Times New Roman"/>
          <w:szCs w:val="24"/>
          <w:lang w:val="en-US"/>
        </w:rPr>
        <w:t>from</w:t>
      </w:r>
      <w:r w:rsidRPr="00E215E1">
        <w:rPr>
          <w:rFonts w:ascii="Times New Roman" w:hAnsi="Times New Roman"/>
          <w:szCs w:val="24"/>
          <w:lang w:val="en-US"/>
        </w:rPr>
        <w:t xml:space="preserve"> waste on the market (output)</w:t>
      </w:r>
      <w:r w:rsidR="008C0D5B">
        <w:rPr>
          <w:rFonts w:ascii="Times New Roman" w:hAnsi="Times New Roman"/>
          <w:szCs w:val="24"/>
          <w:lang w:val="en-US"/>
        </w:rPr>
        <w:t>, after</w:t>
      </w:r>
      <w:r w:rsidR="00280E7E">
        <w:rPr>
          <w:lang w:val="en-US"/>
        </w:rPr>
        <w:t xml:space="preserve"> </w:t>
      </w:r>
      <w:r w:rsidRPr="00E215E1">
        <w:rPr>
          <w:rFonts w:ascii="Times New Roman" w:hAnsi="Times New Roman"/>
          <w:szCs w:val="24"/>
          <w:lang w:val="en-US"/>
        </w:rPr>
        <w:t>waste treatment process</w:t>
      </w:r>
      <w:r w:rsidR="00280E7E">
        <w:rPr>
          <w:rFonts w:ascii="Times New Roman" w:hAnsi="Times New Roman"/>
          <w:szCs w:val="24"/>
          <w:lang w:val="en-US"/>
        </w:rPr>
        <w:t>es</w:t>
      </w:r>
      <w:r w:rsidRPr="00E215E1">
        <w:rPr>
          <w:rFonts w:ascii="Times New Roman" w:hAnsi="Times New Roman"/>
          <w:szCs w:val="24"/>
          <w:lang w:val="en-US"/>
        </w:rPr>
        <w:t xml:space="preserve"> for obtaining </w:t>
      </w:r>
      <w:r w:rsidR="007571B9">
        <w:rPr>
          <w:rFonts w:ascii="Times New Roman" w:hAnsi="Times New Roman"/>
          <w:szCs w:val="24"/>
          <w:lang w:val="en-US"/>
        </w:rPr>
        <w:t xml:space="preserve">valuable </w:t>
      </w:r>
      <w:r w:rsidRPr="00E215E1">
        <w:rPr>
          <w:rFonts w:ascii="Times New Roman" w:hAnsi="Times New Roman"/>
          <w:szCs w:val="24"/>
          <w:lang w:val="en-US"/>
        </w:rPr>
        <w:t>secondary raw materials</w:t>
      </w:r>
      <w:r w:rsidR="008435FB">
        <w:rPr>
          <w:rFonts w:ascii="Times New Roman" w:hAnsi="Times New Roman"/>
          <w:szCs w:val="24"/>
          <w:lang w:val="en-US"/>
        </w:rPr>
        <w:t xml:space="preserve"> are carried out</w:t>
      </w:r>
      <w:r w:rsidRPr="00E215E1">
        <w:rPr>
          <w:rFonts w:ascii="Times New Roman" w:hAnsi="Times New Roman"/>
          <w:szCs w:val="24"/>
          <w:lang w:val="en-US"/>
        </w:rPr>
        <w:t>.</w:t>
      </w:r>
      <w:r w:rsidR="00D64031">
        <w:rPr>
          <w:rFonts w:ascii="Times New Roman" w:hAnsi="Times New Roman"/>
          <w:szCs w:val="24"/>
          <w:lang w:val="en-US"/>
        </w:rPr>
        <w:t xml:space="preserve"> </w:t>
      </w:r>
      <w:r w:rsidRPr="00E215E1">
        <w:rPr>
          <w:rFonts w:ascii="Times New Roman" w:hAnsi="Times New Roman"/>
          <w:szCs w:val="24"/>
          <w:lang w:val="en-US"/>
        </w:rPr>
        <w:t xml:space="preserve">Thus, the analysis </w:t>
      </w:r>
      <w:r w:rsidR="008435FB" w:rsidRPr="00E215E1">
        <w:rPr>
          <w:rFonts w:ascii="Times New Roman" w:hAnsi="Times New Roman"/>
          <w:szCs w:val="24"/>
          <w:lang w:val="en-US"/>
        </w:rPr>
        <w:t xml:space="preserve">proposed </w:t>
      </w:r>
      <w:r w:rsidRPr="00E215E1">
        <w:rPr>
          <w:rFonts w:ascii="Times New Roman" w:hAnsi="Times New Roman"/>
          <w:szCs w:val="24"/>
          <w:lang w:val="en-US"/>
        </w:rPr>
        <w:t xml:space="preserve">here focuses on the income opportunity that may derive </w:t>
      </w:r>
      <w:r w:rsidR="008435FB">
        <w:rPr>
          <w:rFonts w:ascii="Times New Roman" w:hAnsi="Times New Roman"/>
          <w:szCs w:val="24"/>
          <w:lang w:val="en-US"/>
        </w:rPr>
        <w:t xml:space="preserve">from </w:t>
      </w:r>
      <w:r w:rsidRPr="00E215E1">
        <w:rPr>
          <w:rFonts w:ascii="Times New Roman" w:hAnsi="Times New Roman"/>
          <w:szCs w:val="24"/>
          <w:lang w:val="en-US"/>
        </w:rPr>
        <w:t xml:space="preserve">recovery activities, especially concerning the recycling of </w:t>
      </w:r>
      <w:r w:rsidR="00D64031" w:rsidRPr="00D64031">
        <w:rPr>
          <w:rFonts w:ascii="Times New Roman" w:hAnsi="Times New Roman"/>
          <w:szCs w:val="24"/>
          <w:lang w:val="en-US"/>
        </w:rPr>
        <w:t xml:space="preserve">differentiated waste collection </w:t>
      </w:r>
      <w:r w:rsidR="00D64031">
        <w:rPr>
          <w:rFonts w:ascii="Times New Roman" w:hAnsi="Times New Roman"/>
          <w:szCs w:val="24"/>
          <w:lang w:val="en-US"/>
        </w:rPr>
        <w:t>(</w:t>
      </w:r>
      <w:r w:rsidRPr="00E215E1">
        <w:rPr>
          <w:rFonts w:ascii="Times New Roman" w:hAnsi="Times New Roman"/>
          <w:szCs w:val="24"/>
          <w:lang w:val="en-US"/>
        </w:rPr>
        <w:t>DWC</w:t>
      </w:r>
      <w:r w:rsidR="00D64031">
        <w:rPr>
          <w:rFonts w:ascii="Times New Roman" w:hAnsi="Times New Roman"/>
          <w:szCs w:val="24"/>
          <w:lang w:val="en-US"/>
        </w:rPr>
        <w:t>)</w:t>
      </w:r>
      <w:r w:rsidRPr="00E215E1">
        <w:rPr>
          <w:rFonts w:ascii="Times New Roman" w:hAnsi="Times New Roman"/>
          <w:szCs w:val="24"/>
          <w:lang w:val="en-US"/>
        </w:rPr>
        <w:t xml:space="preserve">. According to this approach, companies’ strategies should provide for waste recovery-based alternative treatment processes that lead to </w:t>
      </w:r>
      <w:r w:rsidR="008435FB">
        <w:rPr>
          <w:rFonts w:ascii="Times New Roman" w:hAnsi="Times New Roman"/>
          <w:szCs w:val="24"/>
          <w:lang w:val="en-US"/>
        </w:rPr>
        <w:t>the</w:t>
      </w:r>
      <w:r w:rsidRPr="00E215E1">
        <w:rPr>
          <w:rFonts w:ascii="Times New Roman" w:hAnsi="Times New Roman"/>
          <w:szCs w:val="24"/>
          <w:lang w:val="en-US"/>
        </w:rPr>
        <w:t xml:space="preserve"> closed-cycle management of resources and the substitution of raw materials (Bergeron, 2017; Massarutto, 2015). It follows that waste </w:t>
      </w:r>
      <w:r w:rsidR="008435FB">
        <w:rPr>
          <w:rFonts w:ascii="Times New Roman" w:hAnsi="Times New Roman"/>
          <w:szCs w:val="24"/>
          <w:lang w:val="en-US"/>
        </w:rPr>
        <w:t>should not be seen as</w:t>
      </w:r>
      <w:r w:rsidRPr="00E215E1">
        <w:rPr>
          <w:rFonts w:ascii="Times New Roman" w:hAnsi="Times New Roman"/>
          <w:szCs w:val="24"/>
          <w:lang w:val="en-US"/>
        </w:rPr>
        <w:t xml:space="preserve"> only an </w:t>
      </w:r>
      <w:r w:rsidRPr="00E215E1">
        <w:rPr>
          <w:rFonts w:ascii="Times New Roman" w:hAnsi="Times New Roman"/>
          <w:szCs w:val="24"/>
          <w:lang w:val="en-US"/>
        </w:rPr>
        <w:lastRenderedPageBreak/>
        <w:t xml:space="preserve">externality of production and consumption processes and </w:t>
      </w:r>
      <w:r w:rsidR="008435FB">
        <w:rPr>
          <w:rFonts w:ascii="Times New Roman" w:hAnsi="Times New Roman"/>
          <w:szCs w:val="24"/>
          <w:lang w:val="en-US"/>
        </w:rPr>
        <w:t xml:space="preserve">should not be </w:t>
      </w:r>
      <w:r w:rsidRPr="00E215E1">
        <w:rPr>
          <w:rFonts w:ascii="Times New Roman" w:hAnsi="Times New Roman"/>
          <w:szCs w:val="24"/>
          <w:lang w:val="en-US"/>
        </w:rPr>
        <w:t xml:space="preserve">regarded </w:t>
      </w:r>
      <w:r w:rsidR="008435FB">
        <w:rPr>
          <w:rFonts w:ascii="Times New Roman" w:hAnsi="Times New Roman"/>
          <w:szCs w:val="24"/>
          <w:lang w:val="en-US"/>
        </w:rPr>
        <w:t xml:space="preserve">solely </w:t>
      </w:r>
      <w:r w:rsidRPr="00E215E1">
        <w:rPr>
          <w:rFonts w:ascii="Times New Roman" w:hAnsi="Times New Roman"/>
          <w:szCs w:val="24"/>
          <w:lang w:val="en-US"/>
        </w:rPr>
        <w:t xml:space="preserve">as a problematic </w:t>
      </w:r>
      <w:r w:rsidR="008435FB">
        <w:rPr>
          <w:rFonts w:ascii="Times New Roman" w:hAnsi="Times New Roman"/>
          <w:szCs w:val="24"/>
          <w:lang w:val="en-US"/>
        </w:rPr>
        <w:t xml:space="preserve">item that </w:t>
      </w:r>
      <w:r w:rsidRPr="00E215E1">
        <w:rPr>
          <w:rFonts w:ascii="Times New Roman" w:hAnsi="Times New Roman"/>
          <w:szCs w:val="24"/>
          <w:lang w:val="en-US"/>
        </w:rPr>
        <w:t xml:space="preserve">must </w:t>
      </w:r>
      <w:r w:rsidR="008435FB">
        <w:rPr>
          <w:rFonts w:ascii="Times New Roman" w:hAnsi="Times New Roman"/>
          <w:szCs w:val="24"/>
          <w:lang w:val="en-US"/>
        </w:rPr>
        <w:t xml:space="preserve">be </w:t>
      </w:r>
      <w:r w:rsidRPr="00E215E1">
        <w:rPr>
          <w:rFonts w:ascii="Times New Roman" w:hAnsi="Times New Roman"/>
          <w:szCs w:val="24"/>
          <w:lang w:val="en-US"/>
        </w:rPr>
        <w:t xml:space="preserve">disposed </w:t>
      </w:r>
      <w:r w:rsidR="008435FB">
        <w:rPr>
          <w:rFonts w:ascii="Times New Roman" w:hAnsi="Times New Roman"/>
          <w:szCs w:val="24"/>
          <w:lang w:val="en-US"/>
        </w:rPr>
        <w:t xml:space="preserve">of </w:t>
      </w:r>
      <w:r w:rsidRPr="00E215E1">
        <w:rPr>
          <w:rFonts w:ascii="Times New Roman" w:hAnsi="Times New Roman"/>
          <w:szCs w:val="24"/>
          <w:lang w:val="en-US"/>
        </w:rPr>
        <w:t xml:space="preserve">to minimize its negative impacts on </w:t>
      </w:r>
      <w:r w:rsidR="008435FB">
        <w:rPr>
          <w:rFonts w:ascii="Times New Roman" w:hAnsi="Times New Roman"/>
          <w:szCs w:val="24"/>
          <w:lang w:val="en-US"/>
        </w:rPr>
        <w:t xml:space="preserve">the </w:t>
      </w:r>
      <w:r w:rsidRPr="00E215E1">
        <w:rPr>
          <w:rFonts w:ascii="Times New Roman" w:hAnsi="Times New Roman"/>
          <w:szCs w:val="24"/>
          <w:lang w:val="en-US"/>
        </w:rPr>
        <w:t>environment and public health. Rather, it can constitute a secondary resource to exploit in order to ensure sustainable</w:t>
      </w:r>
      <w:r w:rsidR="008C0D5B">
        <w:rPr>
          <w:rFonts w:ascii="Times New Roman" w:hAnsi="Times New Roman"/>
          <w:szCs w:val="24"/>
          <w:lang w:val="en-US"/>
        </w:rPr>
        <w:t xml:space="preserve"> production and</w:t>
      </w:r>
      <w:r w:rsidRPr="00E215E1">
        <w:rPr>
          <w:rFonts w:ascii="Times New Roman" w:hAnsi="Times New Roman"/>
          <w:szCs w:val="24"/>
          <w:lang w:val="en-US"/>
        </w:rPr>
        <w:t xml:space="preserve"> consumption from an environmental and economic point of view (UNEP, 2015).</w:t>
      </w:r>
    </w:p>
    <w:p w14:paraId="0B71BBDC" w14:textId="0FE8AE0E" w:rsidR="005703BF" w:rsidRDefault="007571B9" w:rsidP="007571B9">
      <w:pPr>
        <w:spacing w:line="480" w:lineRule="auto"/>
        <w:ind w:firstLine="0"/>
        <w:jc w:val="left"/>
        <w:rPr>
          <w:rFonts w:ascii="Times New Roman" w:hAnsi="Times New Roman"/>
          <w:szCs w:val="24"/>
          <w:lang w:val="en-US"/>
        </w:rPr>
      </w:pPr>
      <w:r w:rsidRPr="00E215E1">
        <w:rPr>
          <w:rFonts w:ascii="Times New Roman" w:hAnsi="Times New Roman"/>
          <w:szCs w:val="24"/>
          <w:lang w:val="en-US"/>
        </w:rPr>
        <w:t>Within this context, it is necessary to clarify that WM companies</w:t>
      </w:r>
      <w:r w:rsidR="008435FB">
        <w:rPr>
          <w:rFonts w:ascii="Times New Roman" w:hAnsi="Times New Roman"/>
          <w:szCs w:val="24"/>
          <w:lang w:val="en-US"/>
        </w:rPr>
        <w:t>’</w:t>
      </w:r>
      <w:r w:rsidRPr="00E215E1">
        <w:rPr>
          <w:rFonts w:ascii="Times New Roman" w:hAnsi="Times New Roman"/>
          <w:szCs w:val="24"/>
          <w:lang w:val="en-US"/>
        </w:rPr>
        <w:t xml:space="preserve"> </w:t>
      </w:r>
      <w:r>
        <w:rPr>
          <w:rFonts w:ascii="Times New Roman" w:hAnsi="Times New Roman"/>
          <w:szCs w:val="24"/>
          <w:lang w:val="en-US"/>
        </w:rPr>
        <w:t>income</w:t>
      </w:r>
      <w:r w:rsidR="008435FB">
        <w:rPr>
          <w:rFonts w:ascii="Times New Roman" w:hAnsi="Times New Roman"/>
          <w:szCs w:val="24"/>
          <w:lang w:val="en-US"/>
        </w:rPr>
        <w:t>s</w:t>
      </w:r>
      <w:r>
        <w:rPr>
          <w:rFonts w:ascii="Times New Roman" w:hAnsi="Times New Roman"/>
          <w:szCs w:val="24"/>
          <w:lang w:val="en-US"/>
        </w:rPr>
        <w:t xml:space="preserve"> </w:t>
      </w:r>
      <w:r w:rsidRPr="00E215E1">
        <w:rPr>
          <w:rFonts w:ascii="Times New Roman" w:hAnsi="Times New Roman"/>
          <w:szCs w:val="24"/>
          <w:lang w:val="en-US"/>
        </w:rPr>
        <w:t xml:space="preserve">depend not only on the </w:t>
      </w:r>
      <w:r>
        <w:rPr>
          <w:rFonts w:ascii="Times New Roman" w:hAnsi="Times New Roman"/>
          <w:szCs w:val="24"/>
          <w:lang w:val="en-US"/>
        </w:rPr>
        <w:t>opportunity</w:t>
      </w:r>
      <w:r w:rsidRPr="00E215E1">
        <w:rPr>
          <w:rFonts w:ascii="Times New Roman" w:hAnsi="Times New Roman"/>
          <w:szCs w:val="24"/>
          <w:lang w:val="en-US"/>
        </w:rPr>
        <w:t xml:space="preserve"> to </w:t>
      </w:r>
      <w:r w:rsidR="009C3788">
        <w:rPr>
          <w:rFonts w:ascii="Times New Roman" w:hAnsi="Times New Roman"/>
          <w:szCs w:val="24"/>
          <w:lang w:val="en-US"/>
        </w:rPr>
        <w:t>realize</w:t>
      </w:r>
      <w:r w:rsidRPr="00E215E1">
        <w:rPr>
          <w:rFonts w:ascii="Times New Roman" w:hAnsi="Times New Roman"/>
          <w:szCs w:val="24"/>
          <w:lang w:val="en-US"/>
        </w:rPr>
        <w:t xml:space="preserve"> the highest possible DWC rate, but also on the companies’ abilit</w:t>
      </w:r>
      <w:r w:rsidR="008435FB">
        <w:rPr>
          <w:rFonts w:ascii="Times New Roman" w:hAnsi="Times New Roman"/>
          <w:szCs w:val="24"/>
          <w:lang w:val="en-US"/>
        </w:rPr>
        <w:t>ies</w:t>
      </w:r>
      <w:r w:rsidRPr="00E215E1">
        <w:rPr>
          <w:rFonts w:ascii="Times New Roman" w:hAnsi="Times New Roman"/>
          <w:szCs w:val="24"/>
          <w:lang w:val="en-US"/>
        </w:rPr>
        <w:t xml:space="preserve"> to transform differentiated waste in</w:t>
      </w:r>
      <w:r w:rsidR="00C231AB">
        <w:rPr>
          <w:rFonts w:ascii="Times New Roman" w:hAnsi="Times New Roman"/>
          <w:szCs w:val="24"/>
          <w:lang w:val="en-US"/>
        </w:rPr>
        <w:t>to</w:t>
      </w:r>
      <w:r w:rsidRPr="00E215E1">
        <w:rPr>
          <w:rFonts w:ascii="Times New Roman" w:hAnsi="Times New Roman"/>
          <w:szCs w:val="24"/>
          <w:lang w:val="en-US"/>
        </w:rPr>
        <w:t xml:space="preserve"> resources that may</w:t>
      </w:r>
      <w:r w:rsidR="009C3788">
        <w:rPr>
          <w:rFonts w:ascii="Times New Roman" w:hAnsi="Times New Roman"/>
          <w:szCs w:val="24"/>
          <w:lang w:val="en-US"/>
        </w:rPr>
        <w:t xml:space="preserve"> be used to</w:t>
      </w:r>
      <w:r w:rsidRPr="00E215E1">
        <w:rPr>
          <w:rFonts w:ascii="Times New Roman" w:hAnsi="Times New Roman"/>
          <w:szCs w:val="24"/>
          <w:lang w:val="en-US"/>
        </w:rPr>
        <w:t xml:space="preserve"> generate</w:t>
      </w:r>
      <w:r>
        <w:rPr>
          <w:rFonts w:ascii="Times New Roman" w:hAnsi="Times New Roman"/>
          <w:szCs w:val="24"/>
          <w:lang w:val="en-US"/>
        </w:rPr>
        <w:t xml:space="preserve"> new products and</w:t>
      </w:r>
      <w:r w:rsidR="00C231AB">
        <w:rPr>
          <w:rFonts w:ascii="Times New Roman" w:hAnsi="Times New Roman"/>
          <w:szCs w:val="24"/>
          <w:lang w:val="en-US"/>
        </w:rPr>
        <w:t>,</w:t>
      </w:r>
      <w:r>
        <w:rPr>
          <w:rFonts w:ascii="Times New Roman" w:hAnsi="Times New Roman"/>
          <w:szCs w:val="24"/>
          <w:lang w:val="en-US"/>
        </w:rPr>
        <w:t xml:space="preserve"> therefore</w:t>
      </w:r>
      <w:r w:rsidR="00C231AB">
        <w:rPr>
          <w:rFonts w:ascii="Times New Roman" w:hAnsi="Times New Roman"/>
          <w:szCs w:val="24"/>
          <w:lang w:val="en-US"/>
        </w:rPr>
        <w:t>,</w:t>
      </w:r>
      <w:r w:rsidRPr="00E215E1">
        <w:rPr>
          <w:rFonts w:ascii="Times New Roman" w:hAnsi="Times New Roman"/>
          <w:szCs w:val="24"/>
          <w:lang w:val="en-US"/>
        </w:rPr>
        <w:t xml:space="preserve"> </w:t>
      </w:r>
      <w:r>
        <w:rPr>
          <w:rFonts w:ascii="Times New Roman" w:hAnsi="Times New Roman"/>
          <w:szCs w:val="24"/>
          <w:lang w:val="en-US"/>
        </w:rPr>
        <w:t>revenues</w:t>
      </w:r>
      <w:r w:rsidRPr="00E215E1">
        <w:rPr>
          <w:rFonts w:ascii="Times New Roman" w:hAnsi="Times New Roman"/>
          <w:szCs w:val="24"/>
          <w:lang w:val="en-US"/>
        </w:rPr>
        <w:t>. Otherwise,</w:t>
      </w:r>
      <w:r>
        <w:rPr>
          <w:rFonts w:ascii="Times New Roman" w:hAnsi="Times New Roman"/>
          <w:szCs w:val="24"/>
          <w:lang w:val="en-US"/>
        </w:rPr>
        <w:t xml:space="preserve"> the</w:t>
      </w:r>
      <w:r w:rsidRPr="00E215E1">
        <w:rPr>
          <w:rFonts w:ascii="Times New Roman" w:hAnsi="Times New Roman"/>
          <w:szCs w:val="24"/>
          <w:lang w:val="en-US"/>
        </w:rPr>
        <w:t xml:space="preserve"> environmental advantage</w:t>
      </w:r>
      <w:r w:rsidR="005703BF">
        <w:rPr>
          <w:rFonts w:ascii="Times New Roman" w:hAnsi="Times New Roman"/>
          <w:szCs w:val="24"/>
          <w:lang w:val="en-US"/>
        </w:rPr>
        <w:t>s</w:t>
      </w:r>
      <w:r w:rsidRPr="00E215E1">
        <w:rPr>
          <w:rFonts w:ascii="Times New Roman" w:hAnsi="Times New Roman"/>
          <w:szCs w:val="24"/>
          <w:lang w:val="en-US"/>
        </w:rPr>
        <w:t xml:space="preserve"> deriving from DWC </w:t>
      </w:r>
      <w:r w:rsidR="00C231AB">
        <w:rPr>
          <w:rFonts w:ascii="Times New Roman" w:hAnsi="Times New Roman"/>
          <w:szCs w:val="24"/>
          <w:lang w:val="en-US"/>
        </w:rPr>
        <w:t>w</w:t>
      </w:r>
      <w:r w:rsidRPr="00E215E1">
        <w:rPr>
          <w:rFonts w:ascii="Times New Roman" w:hAnsi="Times New Roman"/>
          <w:szCs w:val="24"/>
          <w:lang w:val="en-US"/>
        </w:rPr>
        <w:t xml:space="preserve">ould not be </w:t>
      </w:r>
      <w:r w:rsidR="00C231AB">
        <w:rPr>
          <w:rFonts w:ascii="Times New Roman" w:hAnsi="Times New Roman"/>
          <w:szCs w:val="24"/>
          <w:lang w:val="en-US"/>
        </w:rPr>
        <w:t xml:space="preserve">economically </w:t>
      </w:r>
      <w:r w:rsidRPr="00E215E1">
        <w:rPr>
          <w:rFonts w:ascii="Times New Roman" w:hAnsi="Times New Roman"/>
          <w:szCs w:val="24"/>
          <w:lang w:val="en-US"/>
        </w:rPr>
        <w:t xml:space="preserve">sustainable and </w:t>
      </w:r>
      <w:r w:rsidR="00C231AB">
        <w:rPr>
          <w:rFonts w:ascii="Times New Roman" w:hAnsi="Times New Roman"/>
          <w:szCs w:val="24"/>
          <w:lang w:val="en-US"/>
        </w:rPr>
        <w:t xml:space="preserve">would, </w:t>
      </w:r>
      <w:r w:rsidRPr="00E215E1">
        <w:rPr>
          <w:rFonts w:ascii="Times New Roman" w:hAnsi="Times New Roman"/>
          <w:szCs w:val="24"/>
          <w:lang w:val="en-US"/>
        </w:rPr>
        <w:t>therefore</w:t>
      </w:r>
      <w:r w:rsidR="00C231AB">
        <w:rPr>
          <w:rFonts w:ascii="Times New Roman" w:hAnsi="Times New Roman"/>
          <w:szCs w:val="24"/>
          <w:lang w:val="en-US"/>
        </w:rPr>
        <w:t>,</w:t>
      </w:r>
      <w:r w:rsidRPr="00E215E1">
        <w:rPr>
          <w:rFonts w:ascii="Times New Roman" w:hAnsi="Times New Roman"/>
          <w:szCs w:val="24"/>
          <w:lang w:val="en-US"/>
        </w:rPr>
        <w:t xml:space="preserve"> </w:t>
      </w:r>
      <w:r w:rsidR="00C231AB">
        <w:rPr>
          <w:rFonts w:ascii="Times New Roman" w:hAnsi="Times New Roman"/>
          <w:szCs w:val="24"/>
          <w:lang w:val="en-US"/>
        </w:rPr>
        <w:t xml:space="preserve">be </w:t>
      </w:r>
      <w:r w:rsidRPr="00E215E1">
        <w:rPr>
          <w:rFonts w:ascii="Times New Roman" w:hAnsi="Times New Roman"/>
          <w:szCs w:val="24"/>
          <w:lang w:val="en-US"/>
        </w:rPr>
        <w:t xml:space="preserve">difficult to </w:t>
      </w:r>
      <w:r w:rsidRPr="00B83A1E">
        <w:rPr>
          <w:rFonts w:ascii="Times New Roman" w:hAnsi="Times New Roman"/>
          <w:szCs w:val="24"/>
          <w:lang w:val="en-US"/>
        </w:rPr>
        <w:t>achieve</w:t>
      </w:r>
      <w:r w:rsidR="00513835">
        <w:rPr>
          <w:rFonts w:ascii="Times New Roman" w:hAnsi="Times New Roman"/>
          <w:szCs w:val="24"/>
          <w:lang w:val="en-US"/>
        </w:rPr>
        <w:t xml:space="preserve"> and maintain</w:t>
      </w:r>
      <w:r w:rsidR="00BD030C" w:rsidRPr="009932BD">
        <w:rPr>
          <w:rFonts w:ascii="Times New Roman" w:hAnsi="Times New Roman"/>
          <w:szCs w:val="24"/>
          <w:lang w:val="en-US"/>
        </w:rPr>
        <w:t xml:space="preserve"> (Bartolacci et al., </w:t>
      </w:r>
      <w:r w:rsidR="00BD030C" w:rsidRPr="00726EE8">
        <w:rPr>
          <w:rFonts w:ascii="Times New Roman" w:hAnsi="Times New Roman"/>
          <w:szCs w:val="24"/>
          <w:lang w:val="en-US"/>
        </w:rPr>
        <w:t>2018b</w:t>
      </w:r>
      <w:r w:rsidR="00BD030C" w:rsidRPr="00B83A1E">
        <w:rPr>
          <w:rFonts w:ascii="Times New Roman" w:hAnsi="Times New Roman"/>
          <w:szCs w:val="24"/>
          <w:lang w:val="en-US"/>
        </w:rPr>
        <w:t>)</w:t>
      </w:r>
      <w:r w:rsidRPr="00B83A1E">
        <w:rPr>
          <w:rFonts w:ascii="Times New Roman" w:hAnsi="Times New Roman"/>
          <w:szCs w:val="24"/>
          <w:lang w:val="en-US"/>
        </w:rPr>
        <w:t>.</w:t>
      </w:r>
      <w:r w:rsidRPr="00E215E1">
        <w:rPr>
          <w:rFonts w:ascii="Times New Roman" w:hAnsi="Times New Roman"/>
          <w:szCs w:val="24"/>
          <w:lang w:val="en-US"/>
        </w:rPr>
        <w:t xml:space="preserve"> </w:t>
      </w:r>
    </w:p>
    <w:p w14:paraId="2AA85556" w14:textId="45D941B4" w:rsidR="005703BF" w:rsidRDefault="005703BF" w:rsidP="005703BF">
      <w:pPr>
        <w:spacing w:line="480" w:lineRule="auto"/>
        <w:ind w:firstLine="0"/>
        <w:jc w:val="left"/>
        <w:rPr>
          <w:rFonts w:ascii="Times New Roman" w:hAnsi="Times New Roman"/>
          <w:szCs w:val="24"/>
          <w:lang w:val="en-US"/>
        </w:rPr>
      </w:pPr>
      <w:r>
        <w:rPr>
          <w:rFonts w:ascii="Times New Roman" w:hAnsi="Times New Roman"/>
          <w:szCs w:val="24"/>
          <w:lang w:val="en-US"/>
        </w:rPr>
        <w:t xml:space="preserve">These </w:t>
      </w:r>
      <w:r w:rsidR="00182647">
        <w:rPr>
          <w:rFonts w:ascii="Times New Roman" w:hAnsi="Times New Roman"/>
          <w:szCs w:val="24"/>
          <w:lang w:val="en-US"/>
        </w:rPr>
        <w:t xml:space="preserve">critical </w:t>
      </w:r>
      <w:r w:rsidR="00182647" w:rsidRPr="00974A8A">
        <w:rPr>
          <w:rFonts w:ascii="Times New Roman" w:hAnsi="Times New Roman"/>
          <w:szCs w:val="24"/>
          <w:lang w:val="en-US"/>
        </w:rPr>
        <w:t>economic and environmental</w:t>
      </w:r>
      <w:r w:rsidR="00182647">
        <w:rPr>
          <w:rFonts w:ascii="Times New Roman" w:hAnsi="Times New Roman"/>
          <w:szCs w:val="24"/>
          <w:lang w:val="en-US"/>
        </w:rPr>
        <w:t xml:space="preserve"> </w:t>
      </w:r>
      <w:r w:rsidR="00096D28">
        <w:rPr>
          <w:rFonts w:ascii="Times New Roman" w:hAnsi="Times New Roman"/>
          <w:szCs w:val="24"/>
          <w:lang w:val="en-US"/>
        </w:rPr>
        <w:t>i</w:t>
      </w:r>
      <w:r w:rsidR="00096D28" w:rsidRPr="00974A8A">
        <w:rPr>
          <w:rFonts w:ascii="Times New Roman" w:hAnsi="Times New Roman"/>
          <w:szCs w:val="24"/>
          <w:lang w:val="en-US"/>
        </w:rPr>
        <w:t xml:space="preserve">ssues </w:t>
      </w:r>
      <w:r w:rsidR="00182647">
        <w:rPr>
          <w:rFonts w:ascii="Times New Roman" w:hAnsi="Times New Roman"/>
          <w:szCs w:val="24"/>
          <w:lang w:val="en-US"/>
        </w:rPr>
        <w:t>should be properly evaluated</w:t>
      </w:r>
      <w:r w:rsidRPr="00974A8A">
        <w:rPr>
          <w:rFonts w:ascii="Times New Roman" w:hAnsi="Times New Roman"/>
          <w:szCs w:val="24"/>
          <w:lang w:val="en-US"/>
        </w:rPr>
        <w:t xml:space="preserve"> </w:t>
      </w:r>
      <w:r>
        <w:rPr>
          <w:rFonts w:ascii="Times New Roman" w:hAnsi="Times New Roman"/>
          <w:szCs w:val="24"/>
          <w:lang w:val="en-US"/>
        </w:rPr>
        <w:t xml:space="preserve">for </w:t>
      </w:r>
      <w:r w:rsidRPr="00974A8A">
        <w:rPr>
          <w:rFonts w:ascii="Times New Roman" w:hAnsi="Times New Roman"/>
          <w:szCs w:val="24"/>
          <w:lang w:val="en-US"/>
        </w:rPr>
        <w:t xml:space="preserve">supporting </w:t>
      </w:r>
      <w:r w:rsidR="00182647">
        <w:rPr>
          <w:rFonts w:ascii="Times New Roman" w:hAnsi="Times New Roman"/>
          <w:szCs w:val="24"/>
          <w:lang w:val="en-US"/>
        </w:rPr>
        <w:t>WM</w:t>
      </w:r>
      <w:r w:rsidRPr="00974A8A">
        <w:rPr>
          <w:rFonts w:ascii="Times New Roman" w:hAnsi="Times New Roman"/>
          <w:szCs w:val="24"/>
          <w:lang w:val="en-US"/>
        </w:rPr>
        <w:t xml:space="preserve"> decisions</w:t>
      </w:r>
      <w:r>
        <w:rPr>
          <w:rFonts w:ascii="Times New Roman" w:hAnsi="Times New Roman"/>
          <w:szCs w:val="24"/>
          <w:lang w:val="en-US"/>
        </w:rPr>
        <w:t xml:space="preserve"> from collecting to recycling</w:t>
      </w:r>
      <w:r w:rsidRPr="00974A8A">
        <w:rPr>
          <w:rFonts w:ascii="Times New Roman" w:hAnsi="Times New Roman"/>
          <w:szCs w:val="24"/>
          <w:lang w:val="en-US"/>
        </w:rPr>
        <w:t>.</w:t>
      </w:r>
      <w:r w:rsidR="00F461FA">
        <w:rPr>
          <w:rFonts w:ascii="Times New Roman" w:hAnsi="Times New Roman"/>
          <w:szCs w:val="24"/>
          <w:lang w:val="en-US"/>
        </w:rPr>
        <w:t xml:space="preserve"> I</w:t>
      </w:r>
      <w:r w:rsidR="00F461FA" w:rsidRPr="00F461FA">
        <w:rPr>
          <w:rFonts w:ascii="Times New Roman" w:hAnsi="Times New Roman"/>
          <w:szCs w:val="24"/>
          <w:lang w:val="en-US"/>
        </w:rPr>
        <w:t xml:space="preserve">t follows that the need to </w:t>
      </w:r>
      <w:r w:rsidR="00F461FA">
        <w:rPr>
          <w:rFonts w:ascii="Times New Roman" w:hAnsi="Times New Roman"/>
          <w:szCs w:val="24"/>
          <w:lang w:val="en-US"/>
        </w:rPr>
        <w:t>identify economic and environmental</w:t>
      </w:r>
      <w:r w:rsidR="00F461FA" w:rsidRPr="00F461FA">
        <w:rPr>
          <w:rFonts w:ascii="Times New Roman" w:hAnsi="Times New Roman"/>
          <w:szCs w:val="24"/>
          <w:lang w:val="en-US"/>
        </w:rPr>
        <w:t xml:space="preserve"> indicators</w:t>
      </w:r>
      <w:r w:rsidR="00F461FA">
        <w:rPr>
          <w:rFonts w:ascii="Times New Roman" w:hAnsi="Times New Roman"/>
          <w:szCs w:val="24"/>
          <w:lang w:val="en-US"/>
        </w:rPr>
        <w:t xml:space="preserve"> is </w:t>
      </w:r>
      <w:r w:rsidR="00182647">
        <w:rPr>
          <w:rFonts w:ascii="Times New Roman" w:hAnsi="Times New Roman"/>
          <w:szCs w:val="24"/>
          <w:lang w:val="en-US"/>
        </w:rPr>
        <w:t>particularly</w:t>
      </w:r>
      <w:r w:rsidR="00F461FA">
        <w:rPr>
          <w:rFonts w:ascii="Times New Roman" w:hAnsi="Times New Roman"/>
          <w:szCs w:val="24"/>
          <w:lang w:val="en-US"/>
        </w:rPr>
        <w:t xml:space="preserve"> relevant</w:t>
      </w:r>
      <w:r w:rsidR="00182647">
        <w:rPr>
          <w:rFonts w:ascii="Times New Roman" w:hAnsi="Times New Roman"/>
          <w:szCs w:val="24"/>
          <w:lang w:val="en-US"/>
        </w:rPr>
        <w:t xml:space="preserve"> in this scenario</w:t>
      </w:r>
      <w:r w:rsidR="00F461FA">
        <w:rPr>
          <w:rFonts w:ascii="Times New Roman" w:hAnsi="Times New Roman"/>
          <w:szCs w:val="24"/>
          <w:lang w:val="en-US"/>
        </w:rPr>
        <w:t>.</w:t>
      </w:r>
    </w:p>
    <w:p w14:paraId="04622727" w14:textId="318AB206" w:rsidR="00F461FA" w:rsidRPr="00E215E1" w:rsidRDefault="00F461FA" w:rsidP="00F461FA">
      <w:pPr>
        <w:spacing w:line="480" w:lineRule="auto"/>
        <w:ind w:firstLine="0"/>
        <w:jc w:val="left"/>
        <w:rPr>
          <w:rFonts w:ascii="Times New Roman" w:hAnsi="Times New Roman"/>
          <w:szCs w:val="24"/>
          <w:lang w:val="en-US"/>
        </w:rPr>
      </w:pPr>
      <w:r w:rsidRPr="00E215E1">
        <w:rPr>
          <w:rFonts w:ascii="Times New Roman" w:hAnsi="Times New Roman"/>
          <w:szCs w:val="24"/>
          <w:lang w:val="en-US"/>
        </w:rPr>
        <w:t xml:space="preserve">The concept that waste can generate value has already been highlighted </w:t>
      </w:r>
      <w:r w:rsidR="00C231AB">
        <w:rPr>
          <w:rFonts w:ascii="Times New Roman" w:hAnsi="Times New Roman"/>
          <w:szCs w:val="24"/>
          <w:lang w:val="en-US"/>
        </w:rPr>
        <w:t>in</w:t>
      </w:r>
      <w:r w:rsidRPr="00E215E1">
        <w:rPr>
          <w:rFonts w:ascii="Times New Roman" w:hAnsi="Times New Roman"/>
          <w:szCs w:val="24"/>
          <w:lang w:val="en-US"/>
        </w:rPr>
        <w:t xml:space="preserve"> the literature. Some authors state that recycling is a good example of this issue, not just because it might generate additional revenue, but also because it avoids disposal costs and negative externalities (</w:t>
      </w:r>
      <w:r w:rsidR="00E93ECA" w:rsidRPr="00E215E1">
        <w:rPr>
          <w:rFonts w:ascii="Times New Roman" w:hAnsi="Times New Roman"/>
          <w:szCs w:val="24"/>
          <w:lang w:val="en-US"/>
        </w:rPr>
        <w:t>Kinnaman, 2006</w:t>
      </w:r>
      <w:r w:rsidR="00E93ECA">
        <w:rPr>
          <w:rFonts w:ascii="Times New Roman" w:hAnsi="Times New Roman"/>
          <w:szCs w:val="24"/>
          <w:lang w:val="en-US"/>
        </w:rPr>
        <w:t xml:space="preserve">; </w:t>
      </w:r>
      <w:r w:rsidRPr="00E215E1">
        <w:rPr>
          <w:rFonts w:ascii="Times New Roman" w:hAnsi="Times New Roman"/>
          <w:szCs w:val="24"/>
          <w:lang w:val="en-US"/>
        </w:rPr>
        <w:t xml:space="preserve">Marques et al., 2012). </w:t>
      </w:r>
    </w:p>
    <w:p w14:paraId="38F46B1A" w14:textId="2B5F6A78" w:rsidR="00F858FA" w:rsidRDefault="0071509E" w:rsidP="0071509E">
      <w:pPr>
        <w:spacing w:line="480" w:lineRule="auto"/>
        <w:ind w:firstLine="0"/>
        <w:jc w:val="left"/>
        <w:rPr>
          <w:rFonts w:ascii="Times New Roman" w:hAnsi="Times New Roman"/>
          <w:szCs w:val="24"/>
          <w:lang w:val="en-US"/>
        </w:rPr>
      </w:pPr>
      <w:r>
        <w:rPr>
          <w:rFonts w:ascii="Times New Roman" w:hAnsi="Times New Roman"/>
          <w:szCs w:val="24"/>
          <w:lang w:val="en-US"/>
        </w:rPr>
        <w:t>T</w:t>
      </w:r>
      <w:r w:rsidRPr="0071509E">
        <w:rPr>
          <w:rFonts w:ascii="Times New Roman" w:hAnsi="Times New Roman"/>
          <w:szCs w:val="24"/>
          <w:lang w:val="en-US"/>
        </w:rPr>
        <w:t>he assessment of the</w:t>
      </w:r>
      <w:r>
        <w:rPr>
          <w:rFonts w:ascii="Times New Roman" w:hAnsi="Times New Roman"/>
          <w:szCs w:val="24"/>
          <w:lang w:val="en-US"/>
        </w:rPr>
        <w:t xml:space="preserve"> </w:t>
      </w:r>
      <w:r w:rsidRPr="0071509E">
        <w:rPr>
          <w:rFonts w:ascii="Times New Roman" w:hAnsi="Times New Roman"/>
          <w:szCs w:val="24"/>
          <w:lang w:val="en-US"/>
        </w:rPr>
        <w:t xml:space="preserve">economic impacts </w:t>
      </w:r>
      <w:r w:rsidR="00C231AB">
        <w:rPr>
          <w:rFonts w:ascii="Times New Roman" w:hAnsi="Times New Roman"/>
          <w:szCs w:val="24"/>
          <w:lang w:val="en-US"/>
        </w:rPr>
        <w:t xml:space="preserve">of WM </w:t>
      </w:r>
      <w:r w:rsidR="00413110">
        <w:rPr>
          <w:rFonts w:ascii="Times New Roman" w:hAnsi="Times New Roman"/>
          <w:szCs w:val="24"/>
          <w:lang w:val="en-US"/>
        </w:rPr>
        <w:t>h</w:t>
      </w:r>
      <w:r w:rsidR="00C231AB">
        <w:rPr>
          <w:rFonts w:ascii="Times New Roman" w:hAnsi="Times New Roman"/>
          <w:szCs w:val="24"/>
          <w:lang w:val="en-US"/>
        </w:rPr>
        <w:t xml:space="preserve">as </w:t>
      </w:r>
      <w:r>
        <w:rPr>
          <w:rFonts w:ascii="Times New Roman" w:hAnsi="Times New Roman"/>
          <w:szCs w:val="24"/>
          <w:lang w:val="en-US"/>
        </w:rPr>
        <w:t>gain</w:t>
      </w:r>
      <w:r w:rsidR="00C231AB">
        <w:rPr>
          <w:rFonts w:ascii="Times New Roman" w:hAnsi="Times New Roman"/>
          <w:szCs w:val="24"/>
          <w:lang w:val="en-US"/>
        </w:rPr>
        <w:t>ed</w:t>
      </w:r>
      <w:r w:rsidR="00F461FA" w:rsidRPr="00E215E1">
        <w:rPr>
          <w:rFonts w:ascii="Times New Roman" w:hAnsi="Times New Roman"/>
          <w:szCs w:val="24"/>
          <w:lang w:val="en-US"/>
        </w:rPr>
        <w:t xml:space="preserve"> particular interest in </w:t>
      </w:r>
      <w:r w:rsidR="00C231AB">
        <w:rPr>
          <w:rFonts w:ascii="Times New Roman" w:hAnsi="Times New Roman"/>
          <w:szCs w:val="24"/>
          <w:lang w:val="en-US"/>
        </w:rPr>
        <w:t xml:space="preserve">the </w:t>
      </w:r>
      <w:r w:rsidR="00F461FA" w:rsidRPr="00E215E1">
        <w:rPr>
          <w:rFonts w:ascii="Times New Roman" w:hAnsi="Times New Roman"/>
          <w:szCs w:val="24"/>
          <w:lang w:val="en-US"/>
        </w:rPr>
        <w:t xml:space="preserve">literature because </w:t>
      </w:r>
      <w:r>
        <w:rPr>
          <w:rFonts w:ascii="Times New Roman" w:hAnsi="Times New Roman"/>
          <w:szCs w:val="24"/>
          <w:lang w:val="en-US"/>
        </w:rPr>
        <w:t>it</w:t>
      </w:r>
      <w:r w:rsidR="00D37E5C">
        <w:rPr>
          <w:rFonts w:ascii="Times New Roman" w:hAnsi="Times New Roman"/>
          <w:szCs w:val="24"/>
          <w:lang w:val="en-US"/>
        </w:rPr>
        <w:t xml:space="preserve"> concern</w:t>
      </w:r>
      <w:r w:rsidR="008D3859">
        <w:rPr>
          <w:rFonts w:ascii="Times New Roman" w:hAnsi="Times New Roman"/>
          <w:szCs w:val="24"/>
          <w:lang w:val="en-US"/>
        </w:rPr>
        <w:t>s</w:t>
      </w:r>
      <w:r w:rsidR="00D37E5C">
        <w:rPr>
          <w:rFonts w:ascii="Times New Roman" w:hAnsi="Times New Roman"/>
          <w:szCs w:val="24"/>
          <w:lang w:val="en-US"/>
        </w:rPr>
        <w:t xml:space="preserve"> the possibility of </w:t>
      </w:r>
      <w:r w:rsidR="00F461FA" w:rsidRPr="00E215E1">
        <w:rPr>
          <w:rFonts w:ascii="Times New Roman" w:hAnsi="Times New Roman"/>
          <w:szCs w:val="24"/>
          <w:lang w:val="en-US"/>
        </w:rPr>
        <w:t xml:space="preserve">realizing the specific EU targets mentioned above </w:t>
      </w:r>
      <w:r w:rsidR="00C231AB">
        <w:rPr>
          <w:rFonts w:ascii="Times New Roman" w:hAnsi="Times New Roman"/>
          <w:szCs w:val="24"/>
          <w:lang w:val="en-US"/>
        </w:rPr>
        <w:t>for</w:t>
      </w:r>
      <w:r w:rsidR="00F461FA" w:rsidRPr="00E215E1">
        <w:rPr>
          <w:rFonts w:ascii="Times New Roman" w:hAnsi="Times New Roman"/>
          <w:szCs w:val="24"/>
          <w:lang w:val="en-US"/>
        </w:rPr>
        <w:t xml:space="preserve"> the life cycle of waste</w:t>
      </w:r>
      <w:r w:rsidR="00D37E5C">
        <w:rPr>
          <w:rFonts w:ascii="Times New Roman" w:hAnsi="Times New Roman"/>
          <w:szCs w:val="24"/>
          <w:lang w:val="en-US"/>
        </w:rPr>
        <w:t>. However, the literature</w:t>
      </w:r>
      <w:r w:rsidR="00D37E5C" w:rsidRPr="00D37E5C">
        <w:rPr>
          <w:rFonts w:ascii="Times New Roman" w:hAnsi="Times New Roman"/>
          <w:szCs w:val="24"/>
          <w:lang w:val="en-US"/>
        </w:rPr>
        <w:t xml:space="preserve"> does not propose economic indicators to assess </w:t>
      </w:r>
      <w:r w:rsidR="00D37E5C">
        <w:rPr>
          <w:rFonts w:ascii="Times New Roman" w:hAnsi="Times New Roman"/>
          <w:szCs w:val="24"/>
          <w:lang w:val="en-US"/>
        </w:rPr>
        <w:t>recycling</w:t>
      </w:r>
      <w:r w:rsidR="00D37E5C" w:rsidRPr="00D37E5C">
        <w:rPr>
          <w:rFonts w:ascii="Times New Roman" w:hAnsi="Times New Roman"/>
          <w:szCs w:val="24"/>
          <w:lang w:val="en-US"/>
        </w:rPr>
        <w:t xml:space="preserve"> income </w:t>
      </w:r>
      <w:r w:rsidR="00D37E5C">
        <w:rPr>
          <w:rFonts w:ascii="Times New Roman" w:hAnsi="Times New Roman"/>
          <w:szCs w:val="24"/>
          <w:lang w:val="en-US"/>
        </w:rPr>
        <w:t>opportunities</w:t>
      </w:r>
      <w:r w:rsidR="00F461FA" w:rsidRPr="00E215E1">
        <w:rPr>
          <w:rFonts w:ascii="Times New Roman" w:hAnsi="Times New Roman"/>
          <w:szCs w:val="24"/>
          <w:lang w:val="en-US"/>
        </w:rPr>
        <w:t xml:space="preserve">. In this respect, </w:t>
      </w:r>
      <w:r w:rsidR="00D37E5C">
        <w:rPr>
          <w:rFonts w:ascii="Times New Roman" w:hAnsi="Times New Roman"/>
          <w:szCs w:val="24"/>
          <w:lang w:val="en-US"/>
        </w:rPr>
        <w:t xml:space="preserve">in fact, </w:t>
      </w:r>
      <w:r w:rsidR="00F461FA" w:rsidRPr="00E215E1">
        <w:rPr>
          <w:rFonts w:ascii="Times New Roman" w:hAnsi="Times New Roman"/>
          <w:szCs w:val="24"/>
          <w:lang w:val="en-US"/>
        </w:rPr>
        <w:t>some studies focus on the</w:t>
      </w:r>
      <w:r w:rsidR="002F1844">
        <w:rPr>
          <w:rFonts w:ascii="Times New Roman" w:hAnsi="Times New Roman"/>
          <w:szCs w:val="24"/>
          <w:lang w:val="en-US"/>
        </w:rPr>
        <w:t xml:space="preserve"> cost</w:t>
      </w:r>
      <w:r w:rsidR="00F461FA" w:rsidRPr="00E215E1">
        <w:rPr>
          <w:rFonts w:ascii="Times New Roman" w:hAnsi="Times New Roman"/>
          <w:szCs w:val="24"/>
          <w:lang w:val="en-US"/>
        </w:rPr>
        <w:t xml:space="preserve"> analysis of waste collection processes (</w:t>
      </w:r>
      <w:r w:rsidR="00E93ECA" w:rsidRPr="00E215E1">
        <w:rPr>
          <w:rFonts w:ascii="Times New Roman" w:hAnsi="Times New Roman"/>
          <w:szCs w:val="24"/>
          <w:lang w:val="en-US"/>
        </w:rPr>
        <w:t xml:space="preserve">Benito-López et al., 2011; </w:t>
      </w:r>
      <w:r w:rsidR="00F461FA" w:rsidRPr="00E215E1">
        <w:rPr>
          <w:rFonts w:ascii="Times New Roman" w:hAnsi="Times New Roman"/>
          <w:szCs w:val="24"/>
          <w:lang w:val="en-US"/>
        </w:rPr>
        <w:t>Dijkgraaf and Gradus, 20</w:t>
      </w:r>
      <w:r w:rsidR="00F461FA">
        <w:rPr>
          <w:rFonts w:ascii="Times New Roman" w:hAnsi="Times New Roman"/>
          <w:szCs w:val="24"/>
          <w:lang w:val="en-US"/>
        </w:rPr>
        <w:t>03</w:t>
      </w:r>
      <w:r w:rsidR="00F461FA" w:rsidRPr="00E215E1">
        <w:rPr>
          <w:rFonts w:ascii="Times New Roman" w:hAnsi="Times New Roman"/>
          <w:szCs w:val="24"/>
          <w:lang w:val="en-US"/>
        </w:rPr>
        <w:t xml:space="preserve">; </w:t>
      </w:r>
      <w:r w:rsidR="00E93ECA" w:rsidRPr="00E215E1">
        <w:rPr>
          <w:rFonts w:ascii="Times New Roman" w:hAnsi="Times New Roman"/>
          <w:szCs w:val="24"/>
          <w:lang w:val="en-US"/>
        </w:rPr>
        <w:t xml:space="preserve">Elia et al., 2016; </w:t>
      </w:r>
      <w:r w:rsidR="00F461FA" w:rsidRPr="00E215E1">
        <w:rPr>
          <w:rFonts w:ascii="Times New Roman" w:hAnsi="Times New Roman"/>
          <w:szCs w:val="24"/>
          <w:lang w:val="en-US"/>
        </w:rPr>
        <w:t>Passarini et al., 2011)</w:t>
      </w:r>
      <w:r w:rsidR="00C231AB">
        <w:rPr>
          <w:rFonts w:ascii="Times New Roman" w:hAnsi="Times New Roman"/>
          <w:szCs w:val="24"/>
          <w:lang w:val="en-US"/>
        </w:rPr>
        <w:t>. O</w:t>
      </w:r>
      <w:r w:rsidR="00F461FA" w:rsidRPr="00E215E1">
        <w:rPr>
          <w:rFonts w:ascii="Times New Roman" w:hAnsi="Times New Roman"/>
          <w:szCs w:val="24"/>
          <w:lang w:val="en-US"/>
        </w:rPr>
        <w:t xml:space="preserve">ther papers deal with waste management and disposal (Albores et al., 2016; </w:t>
      </w:r>
      <w:r w:rsidR="00E93ECA" w:rsidRPr="00E215E1">
        <w:rPr>
          <w:rFonts w:ascii="Times New Roman" w:hAnsi="Times New Roman"/>
          <w:szCs w:val="24"/>
          <w:lang w:val="en-US"/>
        </w:rPr>
        <w:t>Beigl and Salhofer, 2004</w:t>
      </w:r>
      <w:r w:rsidR="00E93ECA">
        <w:rPr>
          <w:rFonts w:ascii="Times New Roman" w:hAnsi="Times New Roman"/>
          <w:szCs w:val="24"/>
          <w:lang w:val="en-US"/>
        </w:rPr>
        <w:t xml:space="preserve">; </w:t>
      </w:r>
      <w:r w:rsidR="00F461FA" w:rsidRPr="00E215E1">
        <w:rPr>
          <w:rFonts w:ascii="Times New Roman" w:hAnsi="Times New Roman"/>
          <w:szCs w:val="24"/>
          <w:lang w:val="en-US"/>
        </w:rPr>
        <w:t xml:space="preserve">Fricke et al., 2011; Lombrano, 2009; Okuda and Thomson, </w:t>
      </w:r>
      <w:r w:rsidR="00F461FA" w:rsidRPr="00E215E1">
        <w:rPr>
          <w:rFonts w:ascii="Times New Roman" w:hAnsi="Times New Roman"/>
          <w:szCs w:val="24"/>
          <w:lang w:val="en-US"/>
        </w:rPr>
        <w:lastRenderedPageBreak/>
        <w:t xml:space="preserve">2007). </w:t>
      </w:r>
      <w:r w:rsidR="008D3859">
        <w:rPr>
          <w:rFonts w:ascii="Times New Roman" w:hAnsi="Times New Roman"/>
          <w:szCs w:val="24"/>
          <w:lang w:val="en-US"/>
        </w:rPr>
        <w:t>Some</w:t>
      </w:r>
      <w:r w:rsidR="00F461FA" w:rsidRPr="00E215E1">
        <w:rPr>
          <w:rFonts w:ascii="Times New Roman" w:hAnsi="Times New Roman"/>
          <w:szCs w:val="24"/>
          <w:lang w:val="en-US"/>
        </w:rPr>
        <w:t xml:space="preserve"> studies take into account the </w:t>
      </w:r>
      <w:r>
        <w:rPr>
          <w:rFonts w:ascii="Times New Roman" w:hAnsi="Times New Roman"/>
          <w:szCs w:val="24"/>
          <w:lang w:val="en-US"/>
        </w:rPr>
        <w:t>income</w:t>
      </w:r>
      <w:r w:rsidR="00F461FA" w:rsidRPr="00E215E1">
        <w:rPr>
          <w:rFonts w:ascii="Times New Roman" w:hAnsi="Times New Roman"/>
          <w:szCs w:val="24"/>
          <w:lang w:val="en-US"/>
        </w:rPr>
        <w:t xml:space="preserve"> benefits of waste </w:t>
      </w:r>
      <w:r>
        <w:rPr>
          <w:rFonts w:ascii="Times New Roman" w:hAnsi="Times New Roman"/>
          <w:szCs w:val="24"/>
          <w:lang w:val="en-US"/>
        </w:rPr>
        <w:t>recycling</w:t>
      </w:r>
      <w:r w:rsidR="008D3859">
        <w:rPr>
          <w:rFonts w:ascii="Times New Roman" w:hAnsi="Times New Roman"/>
          <w:szCs w:val="24"/>
          <w:lang w:val="en-US"/>
        </w:rPr>
        <w:t xml:space="preserve">, but only a </w:t>
      </w:r>
      <w:r w:rsidR="00C231AB">
        <w:rPr>
          <w:rFonts w:ascii="Times New Roman" w:hAnsi="Times New Roman"/>
          <w:szCs w:val="24"/>
          <w:lang w:val="en-US"/>
        </w:rPr>
        <w:t>few</w:t>
      </w:r>
      <w:r w:rsidR="008D3859">
        <w:rPr>
          <w:rFonts w:ascii="Times New Roman" w:hAnsi="Times New Roman"/>
          <w:szCs w:val="24"/>
          <w:lang w:val="en-US"/>
        </w:rPr>
        <w:t xml:space="preserve"> of them specifically focus on MSW (da </w:t>
      </w:r>
      <w:r w:rsidR="008D3859" w:rsidRPr="00B14AA9">
        <w:rPr>
          <w:rFonts w:ascii="Times New Roman" w:hAnsi="Times New Roman"/>
          <w:szCs w:val="24"/>
          <w:lang w:val="en-US"/>
        </w:rPr>
        <w:t>Cruz et al., 2012; De Feo et al., 2019; de Oliveira Neto et</w:t>
      </w:r>
      <w:r w:rsidR="008D3859">
        <w:rPr>
          <w:rFonts w:ascii="Times New Roman" w:hAnsi="Times New Roman"/>
          <w:szCs w:val="24"/>
          <w:lang w:val="en-US"/>
        </w:rPr>
        <w:t xml:space="preserve"> al., 2017; </w:t>
      </w:r>
      <w:r w:rsidR="008D3859" w:rsidRPr="00E215E1">
        <w:rPr>
          <w:rFonts w:ascii="Times New Roman" w:hAnsi="Times New Roman"/>
          <w:szCs w:val="24"/>
          <w:lang w:val="en-US"/>
        </w:rPr>
        <w:t>Hellweg et al., 2005</w:t>
      </w:r>
      <w:r w:rsidR="008D3859">
        <w:rPr>
          <w:rFonts w:ascii="Times New Roman" w:hAnsi="Times New Roman"/>
          <w:szCs w:val="24"/>
          <w:lang w:val="en-US"/>
        </w:rPr>
        <w:t>)</w:t>
      </w:r>
      <w:r w:rsidR="00F461FA" w:rsidRPr="00E215E1">
        <w:rPr>
          <w:rFonts w:ascii="Times New Roman" w:hAnsi="Times New Roman"/>
          <w:szCs w:val="24"/>
          <w:lang w:val="en-US"/>
        </w:rPr>
        <w:t>. The scientific relevance of this latter issue is further increased by the critical conditions in which WM companies operate, since DWC activities are normally expensive (Greco et al., 2015; Koushki et al., 2004)</w:t>
      </w:r>
      <w:r w:rsidR="00D37E5C">
        <w:rPr>
          <w:rFonts w:ascii="Times New Roman" w:hAnsi="Times New Roman"/>
          <w:szCs w:val="24"/>
          <w:lang w:val="en-US"/>
        </w:rPr>
        <w:t xml:space="preserve"> and </w:t>
      </w:r>
      <w:r w:rsidR="00D37E5C" w:rsidRPr="00E215E1">
        <w:rPr>
          <w:rFonts w:ascii="Times New Roman" w:hAnsi="Times New Roman"/>
          <w:szCs w:val="24"/>
          <w:lang w:val="en-US"/>
        </w:rPr>
        <w:t xml:space="preserve">revenues deriving from DWC </w:t>
      </w:r>
      <w:r w:rsidR="00C231AB">
        <w:rPr>
          <w:rFonts w:ascii="Times New Roman" w:hAnsi="Times New Roman"/>
          <w:szCs w:val="24"/>
          <w:lang w:val="en-US"/>
        </w:rPr>
        <w:t>sales</w:t>
      </w:r>
      <w:r w:rsidR="00D37E5C" w:rsidRPr="00E215E1">
        <w:rPr>
          <w:rFonts w:ascii="Times New Roman" w:hAnsi="Times New Roman"/>
          <w:szCs w:val="24"/>
          <w:lang w:val="en-US"/>
        </w:rPr>
        <w:t xml:space="preserve"> may not be sufficient to cover the relevant costs (Simões et al., 2012)</w:t>
      </w:r>
      <w:r>
        <w:rPr>
          <w:rFonts w:ascii="Times New Roman" w:hAnsi="Times New Roman"/>
          <w:szCs w:val="24"/>
          <w:lang w:val="en-US"/>
        </w:rPr>
        <w:t>. This</w:t>
      </w:r>
      <w:r w:rsidR="00F461FA" w:rsidRPr="00E215E1">
        <w:rPr>
          <w:rFonts w:ascii="Times New Roman" w:hAnsi="Times New Roman"/>
          <w:szCs w:val="24"/>
          <w:lang w:val="en-US"/>
        </w:rPr>
        <w:t xml:space="preserve"> </w:t>
      </w:r>
      <w:r w:rsidR="00C231AB">
        <w:rPr>
          <w:rFonts w:ascii="Times New Roman" w:hAnsi="Times New Roman"/>
          <w:szCs w:val="24"/>
          <w:lang w:val="en-US"/>
        </w:rPr>
        <w:t xml:space="preserve">is </w:t>
      </w:r>
      <w:r w:rsidR="00F461FA" w:rsidRPr="00E215E1">
        <w:rPr>
          <w:rFonts w:ascii="Times New Roman" w:hAnsi="Times New Roman"/>
          <w:szCs w:val="24"/>
          <w:lang w:val="en-US"/>
        </w:rPr>
        <w:t>because waste collection and treatment for recover</w:t>
      </w:r>
      <w:r w:rsidR="00C231AB">
        <w:rPr>
          <w:rFonts w:ascii="Times New Roman" w:hAnsi="Times New Roman"/>
          <w:szCs w:val="24"/>
          <w:lang w:val="en-US"/>
        </w:rPr>
        <w:t>y</w:t>
      </w:r>
      <w:r w:rsidR="00F461FA" w:rsidRPr="00E215E1">
        <w:rPr>
          <w:rFonts w:ascii="Times New Roman" w:hAnsi="Times New Roman"/>
          <w:szCs w:val="24"/>
          <w:lang w:val="en-US"/>
        </w:rPr>
        <w:t xml:space="preserve"> </w:t>
      </w:r>
      <w:r w:rsidR="00C231AB">
        <w:rPr>
          <w:rFonts w:ascii="Times New Roman" w:hAnsi="Times New Roman"/>
          <w:szCs w:val="24"/>
          <w:lang w:val="en-US"/>
        </w:rPr>
        <w:t>require</w:t>
      </w:r>
      <w:r w:rsidR="00F461FA" w:rsidRPr="00E215E1">
        <w:rPr>
          <w:rFonts w:ascii="Times New Roman" w:hAnsi="Times New Roman"/>
          <w:szCs w:val="24"/>
          <w:lang w:val="en-US"/>
        </w:rPr>
        <w:t xml:space="preserve"> an organized operating system that produce</w:t>
      </w:r>
      <w:r w:rsidR="000D00C0">
        <w:rPr>
          <w:rFonts w:ascii="Times New Roman" w:hAnsi="Times New Roman"/>
          <w:szCs w:val="24"/>
          <w:lang w:val="en-US"/>
        </w:rPr>
        <w:t>s</w:t>
      </w:r>
      <w:r w:rsidR="00F461FA" w:rsidRPr="00E215E1">
        <w:rPr>
          <w:rFonts w:ascii="Times New Roman" w:hAnsi="Times New Roman"/>
          <w:szCs w:val="24"/>
          <w:lang w:val="en-US"/>
        </w:rPr>
        <w:t xml:space="preserve"> significant recurring operation</w:t>
      </w:r>
      <w:r w:rsidR="00C231AB">
        <w:rPr>
          <w:rFonts w:ascii="Times New Roman" w:hAnsi="Times New Roman"/>
          <w:szCs w:val="24"/>
          <w:lang w:val="en-US"/>
        </w:rPr>
        <w:t>al cost</w:t>
      </w:r>
      <w:r w:rsidR="00F461FA" w:rsidRPr="00E215E1">
        <w:rPr>
          <w:rFonts w:ascii="Times New Roman" w:hAnsi="Times New Roman"/>
          <w:szCs w:val="24"/>
          <w:lang w:val="en-US"/>
        </w:rPr>
        <w:t>s (</w:t>
      </w:r>
      <w:r w:rsidR="00C231AB">
        <w:rPr>
          <w:rFonts w:ascii="Times New Roman" w:hAnsi="Times New Roman"/>
          <w:szCs w:val="24"/>
          <w:lang w:val="en-US"/>
        </w:rPr>
        <w:t xml:space="preserve">e.g., </w:t>
      </w:r>
      <w:r w:rsidR="00F461FA" w:rsidRPr="00E215E1">
        <w:rPr>
          <w:rFonts w:ascii="Times New Roman" w:hAnsi="Times New Roman"/>
          <w:szCs w:val="24"/>
          <w:lang w:val="en-US"/>
        </w:rPr>
        <w:t>employees’ wages; amortization, maintenance and leasing of vehicles; fuel; services) and investments (</w:t>
      </w:r>
      <w:r w:rsidR="00C231AB">
        <w:rPr>
          <w:rFonts w:ascii="Times New Roman" w:hAnsi="Times New Roman"/>
          <w:szCs w:val="24"/>
          <w:lang w:val="en-US"/>
        </w:rPr>
        <w:t xml:space="preserve">e.g., </w:t>
      </w:r>
      <w:r w:rsidR="00F461FA" w:rsidRPr="00E215E1">
        <w:rPr>
          <w:rFonts w:ascii="Times New Roman" w:hAnsi="Times New Roman"/>
          <w:szCs w:val="24"/>
          <w:lang w:val="en-US"/>
        </w:rPr>
        <w:t>buildings; plants; machiner</w:t>
      </w:r>
      <w:r w:rsidR="00C231AB">
        <w:rPr>
          <w:rFonts w:ascii="Times New Roman" w:hAnsi="Times New Roman"/>
          <w:szCs w:val="24"/>
          <w:lang w:val="en-US"/>
        </w:rPr>
        <w:t>y</w:t>
      </w:r>
      <w:r w:rsidR="00F461FA" w:rsidRPr="00E215E1">
        <w:rPr>
          <w:rFonts w:ascii="Times New Roman" w:hAnsi="Times New Roman"/>
          <w:szCs w:val="24"/>
          <w:lang w:val="en-US"/>
        </w:rPr>
        <w:t xml:space="preserve">; vehicles). </w:t>
      </w:r>
    </w:p>
    <w:p w14:paraId="379BED8A" w14:textId="1CE4DEB8" w:rsidR="005B1DF3" w:rsidRDefault="002F1844" w:rsidP="0071509E">
      <w:pPr>
        <w:spacing w:line="480" w:lineRule="auto"/>
        <w:ind w:firstLine="0"/>
        <w:jc w:val="left"/>
        <w:rPr>
          <w:rFonts w:ascii="Times New Roman" w:hAnsi="Times New Roman"/>
          <w:szCs w:val="24"/>
          <w:lang w:val="en-US"/>
        </w:rPr>
      </w:pPr>
      <w:r>
        <w:rPr>
          <w:rFonts w:ascii="Times New Roman" w:hAnsi="Times New Roman"/>
          <w:szCs w:val="24"/>
          <w:lang w:val="en-US"/>
        </w:rPr>
        <w:t>T</w:t>
      </w:r>
      <w:r w:rsidR="00F858FA" w:rsidRPr="00E215E1">
        <w:rPr>
          <w:rFonts w:ascii="Times New Roman" w:hAnsi="Times New Roman"/>
          <w:szCs w:val="24"/>
          <w:lang w:val="en-US"/>
        </w:rPr>
        <w:t xml:space="preserve">he literature focuses mainly on the building of indicators with the aim </w:t>
      </w:r>
      <w:r w:rsidR="00C231AB">
        <w:rPr>
          <w:rFonts w:ascii="Times New Roman" w:hAnsi="Times New Roman"/>
          <w:szCs w:val="24"/>
          <w:lang w:val="en-US"/>
        </w:rPr>
        <w:t>of</w:t>
      </w:r>
      <w:r w:rsidR="00F858FA" w:rsidRPr="00E215E1">
        <w:rPr>
          <w:rFonts w:ascii="Times New Roman" w:hAnsi="Times New Roman"/>
          <w:szCs w:val="24"/>
          <w:lang w:val="en-US"/>
        </w:rPr>
        <w:t xml:space="preserve"> measur</w:t>
      </w:r>
      <w:r w:rsidR="00C231AB">
        <w:rPr>
          <w:rFonts w:ascii="Times New Roman" w:hAnsi="Times New Roman"/>
          <w:szCs w:val="24"/>
          <w:lang w:val="en-US"/>
        </w:rPr>
        <w:t>ing</w:t>
      </w:r>
      <w:r w:rsidR="00F858FA" w:rsidRPr="00E215E1">
        <w:rPr>
          <w:rFonts w:ascii="Times New Roman" w:hAnsi="Times New Roman"/>
          <w:szCs w:val="24"/>
          <w:lang w:val="en-US"/>
        </w:rPr>
        <w:t xml:space="preserve"> performance in terms of waste collected</w:t>
      </w:r>
      <w:r w:rsidR="00093ED5">
        <w:rPr>
          <w:rFonts w:ascii="Times New Roman" w:hAnsi="Times New Roman"/>
          <w:szCs w:val="24"/>
          <w:lang w:val="en-US"/>
        </w:rPr>
        <w:t xml:space="preserve"> </w:t>
      </w:r>
      <w:r w:rsidR="00C231AB">
        <w:rPr>
          <w:rFonts w:ascii="Times New Roman" w:hAnsi="Times New Roman"/>
          <w:szCs w:val="24"/>
          <w:lang w:val="en-US"/>
        </w:rPr>
        <w:t xml:space="preserve">and </w:t>
      </w:r>
      <w:r w:rsidR="00093ED5">
        <w:rPr>
          <w:rFonts w:ascii="Times New Roman" w:hAnsi="Times New Roman"/>
          <w:szCs w:val="24"/>
          <w:lang w:val="en-US"/>
        </w:rPr>
        <w:t>costs incurred</w:t>
      </w:r>
      <w:r w:rsidR="00F858FA" w:rsidRPr="00E215E1">
        <w:rPr>
          <w:rFonts w:ascii="Times New Roman" w:hAnsi="Times New Roman"/>
          <w:szCs w:val="24"/>
          <w:lang w:val="en-US"/>
        </w:rPr>
        <w:t xml:space="preserve"> and thus, looking for methods and tools that can improve and optimize </w:t>
      </w:r>
      <w:r w:rsidR="000D00C0">
        <w:rPr>
          <w:rFonts w:ascii="Times New Roman" w:hAnsi="Times New Roman"/>
          <w:szCs w:val="24"/>
          <w:lang w:val="en-US"/>
        </w:rPr>
        <w:t>treatment</w:t>
      </w:r>
      <w:r w:rsidR="00F858FA" w:rsidRPr="00E215E1">
        <w:rPr>
          <w:rFonts w:ascii="Times New Roman" w:hAnsi="Times New Roman"/>
          <w:szCs w:val="24"/>
          <w:lang w:val="en-US"/>
        </w:rPr>
        <w:t xml:space="preserve"> activities (D’Alisa et al., 2012; Larsen et al., 2010</w:t>
      </w:r>
      <w:r w:rsidR="00E93ECA">
        <w:rPr>
          <w:rFonts w:ascii="Times New Roman" w:hAnsi="Times New Roman"/>
          <w:szCs w:val="24"/>
          <w:lang w:val="en-US"/>
        </w:rPr>
        <w:t>;</w:t>
      </w:r>
      <w:r w:rsidR="00E93ECA" w:rsidRPr="00E93ECA">
        <w:rPr>
          <w:rFonts w:ascii="Times New Roman" w:hAnsi="Times New Roman"/>
          <w:szCs w:val="24"/>
          <w:lang w:val="en-US"/>
        </w:rPr>
        <w:t xml:space="preserve"> </w:t>
      </w:r>
      <w:r w:rsidR="00E93ECA" w:rsidRPr="00E215E1">
        <w:rPr>
          <w:rFonts w:ascii="Times New Roman" w:hAnsi="Times New Roman"/>
          <w:szCs w:val="24"/>
          <w:lang w:val="en-US"/>
        </w:rPr>
        <w:t>Rodrigues et al., 2016</w:t>
      </w:r>
      <w:r w:rsidR="00F858FA" w:rsidRPr="00E215E1">
        <w:rPr>
          <w:rFonts w:ascii="Times New Roman" w:hAnsi="Times New Roman"/>
          <w:szCs w:val="24"/>
          <w:lang w:val="en-US"/>
        </w:rPr>
        <w:t xml:space="preserve">). </w:t>
      </w:r>
      <w:r w:rsidR="00261EC1">
        <w:rPr>
          <w:rFonts w:ascii="Times New Roman" w:hAnsi="Times New Roman"/>
          <w:szCs w:val="24"/>
          <w:lang w:val="en-US"/>
        </w:rPr>
        <w:t>Sometimes</w:t>
      </w:r>
      <w:r w:rsidR="00F858FA" w:rsidRPr="00E215E1">
        <w:rPr>
          <w:rFonts w:ascii="Times New Roman" w:hAnsi="Times New Roman"/>
          <w:szCs w:val="24"/>
          <w:lang w:val="en-US"/>
        </w:rPr>
        <w:t>, the assessment of economic aspects is part of the</w:t>
      </w:r>
      <w:r w:rsidR="00093ED5">
        <w:rPr>
          <w:rFonts w:ascii="Times New Roman" w:hAnsi="Times New Roman"/>
          <w:szCs w:val="24"/>
          <w:lang w:val="en-US"/>
        </w:rPr>
        <w:t xml:space="preserve"> cost-benefit analysis </w:t>
      </w:r>
      <w:r w:rsidR="00261EC1">
        <w:rPr>
          <w:rFonts w:ascii="Times New Roman" w:hAnsi="Times New Roman"/>
          <w:szCs w:val="24"/>
          <w:lang w:val="en-US"/>
        </w:rPr>
        <w:t>to take into account</w:t>
      </w:r>
      <w:r w:rsidR="00F858FA" w:rsidRPr="00E215E1">
        <w:rPr>
          <w:rFonts w:ascii="Times New Roman" w:hAnsi="Times New Roman"/>
          <w:szCs w:val="24"/>
          <w:lang w:val="en-US"/>
        </w:rPr>
        <w:t xml:space="preserve"> </w:t>
      </w:r>
      <w:r w:rsidR="00C231AB">
        <w:rPr>
          <w:rFonts w:ascii="Times New Roman" w:hAnsi="Times New Roman"/>
          <w:szCs w:val="24"/>
          <w:lang w:val="en-US"/>
        </w:rPr>
        <w:t>a</w:t>
      </w:r>
      <w:r w:rsidR="00F858FA" w:rsidRPr="00E215E1">
        <w:rPr>
          <w:rFonts w:ascii="Times New Roman" w:hAnsi="Times New Roman"/>
          <w:szCs w:val="24"/>
          <w:lang w:val="en-US"/>
        </w:rPr>
        <w:t xml:space="preserve"> diverse </w:t>
      </w:r>
      <w:r w:rsidR="00261EC1" w:rsidRPr="00E215E1">
        <w:rPr>
          <w:rFonts w:ascii="Times New Roman" w:hAnsi="Times New Roman"/>
          <w:szCs w:val="24"/>
          <w:lang w:val="en-US"/>
        </w:rPr>
        <w:t>p</w:t>
      </w:r>
      <w:r w:rsidR="00C231AB">
        <w:rPr>
          <w:rFonts w:ascii="Times New Roman" w:hAnsi="Times New Roman"/>
          <w:szCs w:val="24"/>
          <w:lang w:val="en-US"/>
        </w:rPr>
        <w:t>ers</w:t>
      </w:r>
      <w:r w:rsidR="00261EC1" w:rsidRPr="00E215E1">
        <w:rPr>
          <w:rFonts w:ascii="Times New Roman" w:hAnsi="Times New Roman"/>
          <w:szCs w:val="24"/>
          <w:lang w:val="en-US"/>
        </w:rPr>
        <w:t>pective</w:t>
      </w:r>
      <w:r w:rsidR="00F858FA" w:rsidRPr="00E215E1">
        <w:rPr>
          <w:rFonts w:ascii="Times New Roman" w:hAnsi="Times New Roman"/>
          <w:szCs w:val="24"/>
          <w:lang w:val="en-US"/>
        </w:rPr>
        <w:t xml:space="preserve"> beyond the environmental and social ones</w:t>
      </w:r>
      <w:r w:rsidR="00261EC1">
        <w:rPr>
          <w:rFonts w:ascii="Times New Roman" w:hAnsi="Times New Roman"/>
          <w:szCs w:val="24"/>
          <w:lang w:val="en-US"/>
        </w:rPr>
        <w:t>; d</w:t>
      </w:r>
      <w:r w:rsidR="00F858FA" w:rsidRPr="00E215E1">
        <w:rPr>
          <w:rFonts w:ascii="Times New Roman" w:hAnsi="Times New Roman"/>
          <w:szCs w:val="24"/>
          <w:lang w:val="en-US"/>
        </w:rPr>
        <w:t>ifferent methods have been implemented to achieve such a target (Akhshik et al. 2017;  Lo Storto, 2016</w:t>
      </w:r>
      <w:r w:rsidR="00E93ECA">
        <w:rPr>
          <w:rFonts w:ascii="Times New Roman" w:hAnsi="Times New Roman"/>
          <w:szCs w:val="24"/>
          <w:lang w:val="en-US"/>
        </w:rPr>
        <w:t>;</w:t>
      </w:r>
      <w:r w:rsidR="00E93ECA" w:rsidRPr="00E93ECA">
        <w:rPr>
          <w:rFonts w:ascii="Times New Roman" w:hAnsi="Times New Roman"/>
          <w:szCs w:val="24"/>
          <w:lang w:val="en-US"/>
        </w:rPr>
        <w:t xml:space="preserve"> </w:t>
      </w:r>
      <w:r w:rsidR="00E93ECA" w:rsidRPr="00E215E1">
        <w:rPr>
          <w:rFonts w:ascii="Times New Roman" w:hAnsi="Times New Roman"/>
          <w:szCs w:val="24"/>
          <w:lang w:val="en-US"/>
        </w:rPr>
        <w:t>Soler et al., 2017</w:t>
      </w:r>
      <w:r w:rsidR="00F858FA" w:rsidRPr="00E215E1">
        <w:rPr>
          <w:rFonts w:ascii="Times New Roman" w:hAnsi="Times New Roman"/>
          <w:szCs w:val="24"/>
          <w:lang w:val="en-US"/>
        </w:rPr>
        <w:t xml:space="preserve">). This kind of evaluation can be useful </w:t>
      </w:r>
      <w:r w:rsidR="00FE5C53">
        <w:rPr>
          <w:rFonts w:ascii="Times New Roman" w:hAnsi="Times New Roman"/>
          <w:szCs w:val="24"/>
          <w:lang w:val="en-US"/>
        </w:rPr>
        <w:t xml:space="preserve">for </w:t>
      </w:r>
      <w:r w:rsidR="008555EB">
        <w:rPr>
          <w:rFonts w:ascii="Times New Roman" w:hAnsi="Times New Roman"/>
          <w:szCs w:val="24"/>
          <w:lang w:val="en-US"/>
        </w:rPr>
        <w:t>set</w:t>
      </w:r>
      <w:r w:rsidR="00FE5C53">
        <w:rPr>
          <w:rFonts w:ascii="Times New Roman" w:hAnsi="Times New Roman"/>
          <w:szCs w:val="24"/>
          <w:lang w:val="en-US"/>
        </w:rPr>
        <w:t>ting</w:t>
      </w:r>
      <w:r w:rsidR="00F858FA" w:rsidRPr="00E215E1">
        <w:rPr>
          <w:rFonts w:ascii="Times New Roman" w:hAnsi="Times New Roman"/>
          <w:szCs w:val="24"/>
          <w:lang w:val="en-US"/>
        </w:rPr>
        <w:t xml:space="preserve"> strategies </w:t>
      </w:r>
      <w:r w:rsidR="008555EB">
        <w:rPr>
          <w:rFonts w:ascii="Times New Roman" w:hAnsi="Times New Roman"/>
          <w:szCs w:val="24"/>
          <w:lang w:val="en-US"/>
        </w:rPr>
        <w:t xml:space="preserve">for sustainable WM </w:t>
      </w:r>
      <w:r w:rsidR="00F858FA" w:rsidRPr="00E215E1">
        <w:rPr>
          <w:rFonts w:ascii="Times New Roman" w:hAnsi="Times New Roman"/>
          <w:szCs w:val="24"/>
          <w:lang w:val="en-US"/>
        </w:rPr>
        <w:t xml:space="preserve">monitoring </w:t>
      </w:r>
      <w:r w:rsidR="00FE5C53">
        <w:rPr>
          <w:rFonts w:ascii="Times New Roman" w:hAnsi="Times New Roman"/>
          <w:szCs w:val="24"/>
          <w:lang w:val="en-US"/>
        </w:rPr>
        <w:t xml:space="preserve">and measuring </w:t>
      </w:r>
      <w:r w:rsidR="00F858FA" w:rsidRPr="00E215E1">
        <w:rPr>
          <w:rFonts w:ascii="Times New Roman" w:hAnsi="Times New Roman"/>
          <w:szCs w:val="24"/>
          <w:lang w:val="en-US"/>
        </w:rPr>
        <w:t>the</w:t>
      </w:r>
      <w:r w:rsidR="008555EB">
        <w:rPr>
          <w:rFonts w:ascii="Times New Roman" w:hAnsi="Times New Roman"/>
          <w:szCs w:val="24"/>
          <w:lang w:val="en-US"/>
        </w:rPr>
        <w:t xml:space="preserve"> </w:t>
      </w:r>
      <w:r w:rsidR="00FE5C53">
        <w:rPr>
          <w:rFonts w:ascii="Times New Roman" w:hAnsi="Times New Roman"/>
          <w:szCs w:val="24"/>
          <w:lang w:val="en-US"/>
        </w:rPr>
        <w:t xml:space="preserve">strategies’ </w:t>
      </w:r>
      <w:r w:rsidR="00F858FA" w:rsidRPr="00E215E1">
        <w:rPr>
          <w:rFonts w:ascii="Times New Roman" w:hAnsi="Times New Roman"/>
          <w:szCs w:val="24"/>
          <w:lang w:val="en-US"/>
        </w:rPr>
        <w:t>performance during the</w:t>
      </w:r>
      <w:r w:rsidR="00F67253">
        <w:rPr>
          <w:rFonts w:ascii="Times New Roman" w:hAnsi="Times New Roman"/>
          <w:szCs w:val="24"/>
          <w:lang w:val="en-US"/>
        </w:rPr>
        <w:t>ir</w:t>
      </w:r>
      <w:r w:rsidR="00F858FA" w:rsidRPr="00E215E1">
        <w:rPr>
          <w:rFonts w:ascii="Times New Roman" w:hAnsi="Times New Roman"/>
          <w:szCs w:val="24"/>
          <w:lang w:val="en-US"/>
        </w:rPr>
        <w:t xml:space="preserve"> realization (Hay and Noonan 2002; Kijak and Moy, 2004; Zurbrügg et al., 2014). In this specific field, some authors propose decision</w:t>
      </w:r>
      <w:r w:rsidR="00FE5C53">
        <w:rPr>
          <w:rFonts w:ascii="Times New Roman" w:hAnsi="Times New Roman"/>
          <w:szCs w:val="24"/>
          <w:lang w:val="en-US"/>
        </w:rPr>
        <w:t>-</w:t>
      </w:r>
      <w:r w:rsidR="00F858FA" w:rsidRPr="00E215E1">
        <w:rPr>
          <w:rFonts w:ascii="Times New Roman" w:hAnsi="Times New Roman"/>
          <w:szCs w:val="24"/>
          <w:lang w:val="en-US"/>
        </w:rPr>
        <w:t xml:space="preserve">making tools for </w:t>
      </w:r>
      <w:r w:rsidR="005B1DF3">
        <w:rPr>
          <w:rFonts w:ascii="Times New Roman" w:hAnsi="Times New Roman"/>
          <w:szCs w:val="24"/>
          <w:lang w:val="en-US"/>
        </w:rPr>
        <w:t>WM companies</w:t>
      </w:r>
      <w:r w:rsidR="00F858FA" w:rsidRPr="00E215E1">
        <w:rPr>
          <w:rFonts w:ascii="Times New Roman" w:hAnsi="Times New Roman"/>
          <w:szCs w:val="24"/>
          <w:lang w:val="en-US"/>
        </w:rPr>
        <w:t xml:space="preserve"> whose priorities are the rationalization of costs and, at the same time, the achievement of specific environmental targets (</w:t>
      </w:r>
      <w:r w:rsidR="00E93ECA" w:rsidRPr="00E215E1">
        <w:rPr>
          <w:rFonts w:ascii="Times New Roman" w:hAnsi="Times New Roman"/>
          <w:szCs w:val="24"/>
          <w:lang w:val="en-US"/>
        </w:rPr>
        <w:t>Rigamonti et al., 2016</w:t>
      </w:r>
      <w:r w:rsidR="00E93ECA">
        <w:rPr>
          <w:rFonts w:ascii="Times New Roman" w:hAnsi="Times New Roman"/>
          <w:szCs w:val="24"/>
          <w:lang w:val="en-US"/>
        </w:rPr>
        <w:t>;</w:t>
      </w:r>
      <w:r w:rsidR="00E93ECA" w:rsidRPr="00E215E1">
        <w:rPr>
          <w:rFonts w:ascii="Times New Roman" w:hAnsi="Times New Roman"/>
          <w:szCs w:val="24"/>
          <w:lang w:val="en-US"/>
        </w:rPr>
        <w:t xml:space="preserve"> </w:t>
      </w:r>
      <w:r w:rsidR="00F858FA" w:rsidRPr="00E215E1">
        <w:rPr>
          <w:rFonts w:ascii="Times New Roman" w:hAnsi="Times New Roman"/>
          <w:szCs w:val="24"/>
          <w:lang w:val="en-US"/>
        </w:rPr>
        <w:t>Sarra et al., 2017;</w:t>
      </w:r>
      <w:r w:rsidR="00093ED5">
        <w:rPr>
          <w:rFonts w:ascii="Times New Roman" w:hAnsi="Times New Roman"/>
          <w:szCs w:val="24"/>
          <w:lang w:val="en-US"/>
        </w:rPr>
        <w:t xml:space="preserve"> </w:t>
      </w:r>
      <w:r w:rsidR="00F858FA" w:rsidRPr="00E215E1">
        <w:rPr>
          <w:rFonts w:ascii="Times New Roman" w:hAnsi="Times New Roman"/>
          <w:szCs w:val="24"/>
          <w:lang w:val="en-US"/>
        </w:rPr>
        <w:t xml:space="preserve">Yuan, 2013). </w:t>
      </w:r>
    </w:p>
    <w:p w14:paraId="4484A676" w14:textId="0B496B24" w:rsidR="00F461FA" w:rsidRPr="009932BD" w:rsidRDefault="005B1DF3" w:rsidP="00815573">
      <w:pPr>
        <w:spacing w:line="480" w:lineRule="auto"/>
        <w:ind w:firstLine="0"/>
        <w:jc w:val="left"/>
        <w:rPr>
          <w:rFonts w:ascii="Times New Roman" w:hAnsi="Times New Roman"/>
          <w:szCs w:val="24"/>
          <w:lang w:val="en-US"/>
        </w:rPr>
      </w:pPr>
      <w:r>
        <w:rPr>
          <w:rFonts w:ascii="Times New Roman" w:hAnsi="Times New Roman"/>
          <w:szCs w:val="24"/>
          <w:lang w:val="en-US"/>
        </w:rPr>
        <w:t xml:space="preserve">Within the </w:t>
      </w:r>
      <w:r w:rsidR="00FE5C53">
        <w:rPr>
          <w:rFonts w:ascii="Times New Roman" w:hAnsi="Times New Roman"/>
          <w:szCs w:val="24"/>
          <w:lang w:val="en-US"/>
        </w:rPr>
        <w:t>afore</w:t>
      </w:r>
      <w:r>
        <w:rPr>
          <w:rFonts w:ascii="Times New Roman" w:hAnsi="Times New Roman"/>
          <w:szCs w:val="24"/>
          <w:lang w:val="en-US"/>
        </w:rPr>
        <w:t xml:space="preserve">mentioned context, this study tries to shed light on </w:t>
      </w:r>
      <w:r w:rsidR="004F74AA" w:rsidRPr="004F74AA">
        <w:rPr>
          <w:rFonts w:ascii="Times New Roman" w:hAnsi="Times New Roman"/>
          <w:szCs w:val="24"/>
          <w:lang w:val="en-US"/>
        </w:rPr>
        <w:t>the</w:t>
      </w:r>
      <w:r w:rsidR="00815573">
        <w:rPr>
          <w:rFonts w:ascii="Times New Roman" w:hAnsi="Times New Roman"/>
          <w:szCs w:val="24"/>
          <w:lang w:val="en-US"/>
        </w:rPr>
        <w:t xml:space="preserve"> opportunity to </w:t>
      </w:r>
      <w:r w:rsidR="00FE5C53">
        <w:rPr>
          <w:rFonts w:ascii="Times New Roman" w:hAnsi="Times New Roman"/>
          <w:szCs w:val="24"/>
          <w:lang w:val="en-US"/>
        </w:rPr>
        <w:t>gain</w:t>
      </w:r>
      <w:r w:rsidR="004F74AA" w:rsidRPr="004F74AA">
        <w:rPr>
          <w:rFonts w:ascii="Times New Roman" w:hAnsi="Times New Roman"/>
          <w:szCs w:val="24"/>
          <w:lang w:val="en-US"/>
        </w:rPr>
        <w:t xml:space="preserve"> </w:t>
      </w:r>
      <w:r w:rsidR="004F74AA">
        <w:rPr>
          <w:rFonts w:ascii="Times New Roman" w:hAnsi="Times New Roman"/>
          <w:szCs w:val="24"/>
          <w:lang w:val="en-US"/>
        </w:rPr>
        <w:t>income</w:t>
      </w:r>
      <w:r w:rsidR="004F74AA" w:rsidRPr="004F74AA">
        <w:rPr>
          <w:rFonts w:ascii="Times New Roman" w:hAnsi="Times New Roman"/>
          <w:szCs w:val="24"/>
          <w:lang w:val="en-US"/>
        </w:rPr>
        <w:t xml:space="preserve"> </w:t>
      </w:r>
      <w:r w:rsidR="00815573">
        <w:rPr>
          <w:rFonts w:ascii="Times New Roman" w:hAnsi="Times New Roman"/>
          <w:szCs w:val="24"/>
          <w:lang w:val="en-US"/>
        </w:rPr>
        <w:t>from</w:t>
      </w:r>
      <w:r w:rsidR="004F74AA" w:rsidRPr="004F74AA">
        <w:rPr>
          <w:rFonts w:ascii="Times New Roman" w:hAnsi="Times New Roman"/>
          <w:szCs w:val="24"/>
          <w:lang w:val="en-US"/>
        </w:rPr>
        <w:t xml:space="preserve"> </w:t>
      </w:r>
      <w:r w:rsidR="00815573">
        <w:rPr>
          <w:rFonts w:ascii="Times New Roman" w:hAnsi="Times New Roman"/>
          <w:szCs w:val="24"/>
          <w:lang w:val="en-US"/>
        </w:rPr>
        <w:t xml:space="preserve">DWC </w:t>
      </w:r>
      <w:r w:rsidR="004F74AA" w:rsidRPr="004F74AA">
        <w:rPr>
          <w:rFonts w:ascii="Times New Roman" w:hAnsi="Times New Roman"/>
          <w:szCs w:val="24"/>
          <w:lang w:val="en-US"/>
        </w:rPr>
        <w:t>recycling</w:t>
      </w:r>
      <w:r w:rsidR="0071509E">
        <w:rPr>
          <w:rFonts w:ascii="Times New Roman" w:hAnsi="Times New Roman"/>
          <w:szCs w:val="24"/>
          <w:lang w:val="en-US"/>
        </w:rPr>
        <w:t xml:space="preserve">, </w:t>
      </w:r>
      <w:r w:rsidR="00815573">
        <w:rPr>
          <w:rFonts w:ascii="Times New Roman" w:hAnsi="Times New Roman"/>
          <w:szCs w:val="24"/>
          <w:lang w:val="en-US"/>
        </w:rPr>
        <w:t>paying</w:t>
      </w:r>
      <w:r w:rsidR="00F461FA" w:rsidRPr="00E215E1">
        <w:rPr>
          <w:rFonts w:ascii="Times New Roman" w:hAnsi="Times New Roman"/>
          <w:szCs w:val="24"/>
          <w:lang w:val="en-US"/>
        </w:rPr>
        <w:t xml:space="preserve"> </w:t>
      </w:r>
      <w:r w:rsidR="00815573">
        <w:rPr>
          <w:rFonts w:ascii="Times New Roman" w:hAnsi="Times New Roman"/>
          <w:szCs w:val="24"/>
          <w:lang w:val="en-US"/>
        </w:rPr>
        <w:t xml:space="preserve">particular </w:t>
      </w:r>
      <w:r w:rsidR="00F461FA" w:rsidRPr="00E215E1">
        <w:rPr>
          <w:rFonts w:ascii="Times New Roman" w:hAnsi="Times New Roman"/>
          <w:szCs w:val="24"/>
          <w:lang w:val="en-US"/>
        </w:rPr>
        <w:t xml:space="preserve">attention to the </w:t>
      </w:r>
      <w:r w:rsidR="00815573">
        <w:rPr>
          <w:rFonts w:ascii="Times New Roman" w:hAnsi="Times New Roman"/>
          <w:szCs w:val="24"/>
          <w:lang w:val="en-US"/>
        </w:rPr>
        <w:t>measurement need</w:t>
      </w:r>
      <w:r w:rsidR="00FF6AB0">
        <w:rPr>
          <w:rFonts w:ascii="Times New Roman" w:hAnsi="Times New Roman"/>
          <w:szCs w:val="24"/>
          <w:lang w:val="en-US"/>
        </w:rPr>
        <w:t xml:space="preserve"> of the </w:t>
      </w:r>
      <w:r w:rsidR="0071509E">
        <w:rPr>
          <w:rFonts w:ascii="Times New Roman" w:hAnsi="Times New Roman"/>
          <w:szCs w:val="24"/>
          <w:lang w:val="en-US"/>
        </w:rPr>
        <w:t>WM</w:t>
      </w:r>
      <w:r w:rsidR="00F461FA" w:rsidRPr="00E215E1">
        <w:rPr>
          <w:rFonts w:ascii="Times New Roman" w:hAnsi="Times New Roman"/>
          <w:szCs w:val="24"/>
          <w:lang w:val="en-US"/>
        </w:rPr>
        <w:t xml:space="preserve"> </w:t>
      </w:r>
      <w:r w:rsidR="00F858FA" w:rsidRPr="00E215E1">
        <w:rPr>
          <w:rFonts w:ascii="Times New Roman" w:hAnsi="Times New Roman"/>
          <w:szCs w:val="24"/>
          <w:lang w:val="en-US"/>
        </w:rPr>
        <w:t>companies’</w:t>
      </w:r>
      <w:r w:rsidR="00F461FA" w:rsidRPr="00E215E1">
        <w:rPr>
          <w:rFonts w:ascii="Times New Roman" w:hAnsi="Times New Roman"/>
          <w:szCs w:val="24"/>
          <w:lang w:val="en-US"/>
        </w:rPr>
        <w:t xml:space="preserve"> </w:t>
      </w:r>
      <w:r w:rsidR="00FF6AB0" w:rsidRPr="00E215E1">
        <w:rPr>
          <w:rFonts w:ascii="Times New Roman" w:hAnsi="Times New Roman"/>
          <w:szCs w:val="24"/>
          <w:lang w:val="en-US"/>
        </w:rPr>
        <w:t xml:space="preserve">capacity </w:t>
      </w:r>
      <w:r w:rsidR="00F461FA" w:rsidRPr="00E215E1">
        <w:rPr>
          <w:rFonts w:ascii="Times New Roman" w:hAnsi="Times New Roman"/>
          <w:szCs w:val="24"/>
          <w:lang w:val="en-US"/>
        </w:rPr>
        <w:t xml:space="preserve">to cover their production costs </w:t>
      </w:r>
      <w:r w:rsidR="00655625">
        <w:rPr>
          <w:rFonts w:ascii="Times New Roman" w:hAnsi="Times New Roman"/>
          <w:szCs w:val="24"/>
          <w:lang w:val="en-US"/>
        </w:rPr>
        <w:t xml:space="preserve">by earning </w:t>
      </w:r>
      <w:r w:rsidR="00F461FA" w:rsidRPr="00E215E1">
        <w:rPr>
          <w:rFonts w:ascii="Times New Roman" w:hAnsi="Times New Roman"/>
          <w:szCs w:val="24"/>
          <w:lang w:val="en-US"/>
        </w:rPr>
        <w:t>sufficient revenues</w:t>
      </w:r>
      <w:r w:rsidR="00815573">
        <w:rPr>
          <w:rFonts w:ascii="Times New Roman" w:hAnsi="Times New Roman"/>
          <w:szCs w:val="24"/>
          <w:lang w:val="en-US"/>
        </w:rPr>
        <w:t>. In so doing, the</w:t>
      </w:r>
      <w:r w:rsidR="00655625">
        <w:rPr>
          <w:rFonts w:ascii="Times New Roman" w:hAnsi="Times New Roman"/>
          <w:szCs w:val="24"/>
          <w:lang w:val="en-US"/>
        </w:rPr>
        <w:t xml:space="preserve"> companies </w:t>
      </w:r>
      <w:r w:rsidR="00815573">
        <w:rPr>
          <w:rFonts w:ascii="Times New Roman" w:hAnsi="Times New Roman"/>
          <w:szCs w:val="24"/>
          <w:lang w:val="en-US"/>
        </w:rPr>
        <w:t>can</w:t>
      </w:r>
      <w:r w:rsidR="002F1844">
        <w:rPr>
          <w:rFonts w:ascii="Times New Roman" w:hAnsi="Times New Roman"/>
          <w:szCs w:val="24"/>
          <w:lang w:val="en-US"/>
        </w:rPr>
        <w:t xml:space="preserve"> be</w:t>
      </w:r>
      <w:r w:rsidR="00655625">
        <w:rPr>
          <w:rFonts w:ascii="Times New Roman" w:hAnsi="Times New Roman"/>
          <w:szCs w:val="24"/>
          <w:lang w:val="en-US"/>
        </w:rPr>
        <w:t>come</w:t>
      </w:r>
      <w:r w:rsidR="002F1844">
        <w:rPr>
          <w:rFonts w:ascii="Times New Roman" w:hAnsi="Times New Roman"/>
          <w:szCs w:val="24"/>
          <w:lang w:val="en-US"/>
        </w:rPr>
        <w:t xml:space="preserve"> economically sustainable and</w:t>
      </w:r>
      <w:r w:rsidR="00F461FA" w:rsidRPr="00E215E1">
        <w:rPr>
          <w:rFonts w:ascii="Times New Roman" w:hAnsi="Times New Roman"/>
          <w:szCs w:val="24"/>
          <w:lang w:val="en-US"/>
        </w:rPr>
        <w:t xml:space="preserve"> </w:t>
      </w:r>
      <w:r w:rsidR="00655625">
        <w:rPr>
          <w:rFonts w:ascii="Times New Roman" w:hAnsi="Times New Roman"/>
          <w:szCs w:val="24"/>
          <w:lang w:val="en-US"/>
        </w:rPr>
        <w:t xml:space="preserve">can </w:t>
      </w:r>
      <w:r w:rsidR="00815573">
        <w:rPr>
          <w:rFonts w:ascii="Times New Roman" w:hAnsi="Times New Roman"/>
          <w:szCs w:val="24"/>
          <w:lang w:val="en-US"/>
        </w:rPr>
        <w:t xml:space="preserve">continue to </w:t>
      </w:r>
      <w:r w:rsidR="00655625">
        <w:rPr>
          <w:rFonts w:ascii="Times New Roman" w:hAnsi="Times New Roman"/>
          <w:szCs w:val="24"/>
          <w:lang w:val="en-US"/>
        </w:rPr>
        <w:t>en</w:t>
      </w:r>
      <w:r w:rsidR="00815573">
        <w:rPr>
          <w:rFonts w:ascii="Times New Roman" w:hAnsi="Times New Roman"/>
          <w:szCs w:val="24"/>
          <w:lang w:val="en-US"/>
        </w:rPr>
        <w:t xml:space="preserve">sure sustainable WM </w:t>
      </w:r>
      <w:r w:rsidR="00815573">
        <w:rPr>
          <w:rFonts w:ascii="Times New Roman" w:hAnsi="Times New Roman"/>
          <w:szCs w:val="24"/>
          <w:lang w:val="en-US"/>
        </w:rPr>
        <w:lastRenderedPageBreak/>
        <w:t>services to citizens over</w:t>
      </w:r>
      <w:r w:rsidR="00655625">
        <w:rPr>
          <w:rFonts w:ascii="Times New Roman" w:hAnsi="Times New Roman"/>
          <w:szCs w:val="24"/>
          <w:lang w:val="en-US"/>
        </w:rPr>
        <w:t xml:space="preserve"> </w:t>
      </w:r>
      <w:r w:rsidR="00815573">
        <w:rPr>
          <w:rFonts w:ascii="Times New Roman" w:hAnsi="Times New Roman"/>
          <w:szCs w:val="24"/>
          <w:lang w:val="en-US"/>
        </w:rPr>
        <w:t>time</w:t>
      </w:r>
      <w:r w:rsidR="00F461FA" w:rsidRPr="009932BD">
        <w:rPr>
          <w:rFonts w:ascii="Times New Roman" w:hAnsi="Times New Roman"/>
          <w:szCs w:val="24"/>
          <w:lang w:val="en-US"/>
        </w:rPr>
        <w:t>.</w:t>
      </w:r>
    </w:p>
    <w:p w14:paraId="605420C6" w14:textId="0FA0166B" w:rsidR="004F74AA" w:rsidRPr="009932BD" w:rsidRDefault="004F74AA" w:rsidP="004F74AA">
      <w:pPr>
        <w:spacing w:line="480" w:lineRule="auto"/>
        <w:ind w:firstLine="0"/>
        <w:jc w:val="left"/>
        <w:rPr>
          <w:rFonts w:ascii="Times New Roman" w:hAnsi="Times New Roman"/>
          <w:szCs w:val="24"/>
          <w:lang w:val="en-US"/>
        </w:rPr>
      </w:pPr>
      <w:r w:rsidRPr="009932BD">
        <w:rPr>
          <w:rFonts w:ascii="Times New Roman" w:hAnsi="Times New Roman"/>
          <w:szCs w:val="24"/>
          <w:lang w:val="en-US"/>
        </w:rPr>
        <w:t>The main purpose of this paper is to</w:t>
      </w:r>
      <w:r w:rsidRPr="009932BD">
        <w:rPr>
          <w:lang w:val="en-US"/>
        </w:rPr>
        <w:t xml:space="preserve"> propose</w:t>
      </w:r>
      <w:r w:rsidR="0041038B">
        <w:rPr>
          <w:lang w:val="en-US"/>
        </w:rPr>
        <w:t xml:space="preserve"> </w:t>
      </w:r>
      <w:r w:rsidR="0041038B" w:rsidRPr="0041038B">
        <w:rPr>
          <w:rFonts w:ascii="Times New Roman" w:hAnsi="Times New Roman"/>
          <w:szCs w:val="24"/>
          <w:lang w:val="en-US"/>
        </w:rPr>
        <w:t xml:space="preserve">a new economic efficiency indicator to measure and analyze the income </w:t>
      </w:r>
      <w:r w:rsidR="0041038B">
        <w:rPr>
          <w:rFonts w:ascii="Times New Roman" w:hAnsi="Times New Roman"/>
          <w:szCs w:val="24"/>
          <w:lang w:val="en-US"/>
        </w:rPr>
        <w:t>opportunities of</w:t>
      </w:r>
      <w:r w:rsidR="0041038B" w:rsidRPr="0041038B">
        <w:rPr>
          <w:rFonts w:ascii="Times New Roman" w:hAnsi="Times New Roman"/>
          <w:szCs w:val="24"/>
          <w:lang w:val="en-US"/>
        </w:rPr>
        <w:t xml:space="preserve"> companies</w:t>
      </w:r>
      <w:r w:rsidRPr="009932BD">
        <w:rPr>
          <w:lang w:val="en-US"/>
        </w:rPr>
        <w:t xml:space="preserve"> </w:t>
      </w:r>
      <w:r w:rsidRPr="009932BD">
        <w:rPr>
          <w:rFonts w:ascii="Times New Roman" w:hAnsi="Times New Roman"/>
          <w:szCs w:val="24"/>
          <w:lang w:val="en-US"/>
        </w:rPr>
        <w:t>operating in the collection, transport and treatment of MSW</w:t>
      </w:r>
      <w:r w:rsidR="0041038B">
        <w:rPr>
          <w:rFonts w:ascii="Times New Roman" w:hAnsi="Times New Roman"/>
          <w:szCs w:val="24"/>
          <w:lang w:val="en-US"/>
        </w:rPr>
        <w:t xml:space="preserve">, </w:t>
      </w:r>
      <w:r w:rsidR="00655625">
        <w:rPr>
          <w:rFonts w:ascii="Times New Roman" w:hAnsi="Times New Roman"/>
          <w:szCs w:val="24"/>
          <w:lang w:val="en-US"/>
        </w:rPr>
        <w:t xml:space="preserve">while </w:t>
      </w:r>
      <w:r w:rsidR="0041038B">
        <w:rPr>
          <w:rFonts w:ascii="Times New Roman" w:hAnsi="Times New Roman"/>
          <w:szCs w:val="24"/>
          <w:lang w:val="en-US"/>
        </w:rPr>
        <w:t xml:space="preserve">also </w:t>
      </w:r>
      <w:r w:rsidR="00655625">
        <w:rPr>
          <w:rFonts w:ascii="Times New Roman" w:hAnsi="Times New Roman"/>
          <w:szCs w:val="24"/>
          <w:lang w:val="en-US"/>
        </w:rPr>
        <w:t xml:space="preserve">taking </w:t>
      </w:r>
      <w:r w:rsidR="0041038B">
        <w:rPr>
          <w:rFonts w:ascii="Times New Roman" w:hAnsi="Times New Roman"/>
          <w:szCs w:val="24"/>
          <w:lang w:val="en-US"/>
        </w:rPr>
        <w:t>into account the environmental perspective</w:t>
      </w:r>
      <w:r w:rsidR="00C908C6">
        <w:rPr>
          <w:rFonts w:ascii="Times New Roman" w:hAnsi="Times New Roman"/>
          <w:szCs w:val="24"/>
          <w:lang w:val="en-US"/>
        </w:rPr>
        <w:t>. To pursue this scope,</w:t>
      </w:r>
      <w:r w:rsidRPr="009932BD">
        <w:rPr>
          <w:rFonts w:ascii="Times New Roman" w:hAnsi="Times New Roman"/>
          <w:szCs w:val="24"/>
          <w:lang w:val="en-US"/>
        </w:rPr>
        <w:t xml:space="preserve"> an indicator at </w:t>
      </w:r>
      <w:r w:rsidR="00655625">
        <w:rPr>
          <w:rFonts w:ascii="Times New Roman" w:hAnsi="Times New Roman"/>
          <w:szCs w:val="24"/>
          <w:lang w:val="en-US"/>
        </w:rPr>
        <w:t xml:space="preserve">the </w:t>
      </w:r>
      <w:r w:rsidRPr="009932BD">
        <w:rPr>
          <w:rFonts w:ascii="Times New Roman" w:hAnsi="Times New Roman"/>
          <w:szCs w:val="24"/>
          <w:lang w:val="en-US"/>
        </w:rPr>
        <w:t>company level</w:t>
      </w:r>
      <w:r w:rsidR="00CD1867" w:rsidRPr="009932BD">
        <w:rPr>
          <w:rFonts w:ascii="Times New Roman" w:hAnsi="Times New Roman"/>
          <w:szCs w:val="24"/>
          <w:lang w:val="en-US"/>
        </w:rPr>
        <w:t xml:space="preserve"> is</w:t>
      </w:r>
      <w:r w:rsidR="00EB211F" w:rsidRPr="00810A77">
        <w:rPr>
          <w:rFonts w:ascii="Times New Roman" w:hAnsi="Times New Roman"/>
          <w:szCs w:val="24"/>
          <w:lang w:val="en-US"/>
        </w:rPr>
        <w:t xml:space="preserve"> </w:t>
      </w:r>
      <w:r w:rsidR="00404D71" w:rsidRPr="009932BD">
        <w:rPr>
          <w:rFonts w:ascii="Times New Roman" w:hAnsi="Times New Roman"/>
          <w:szCs w:val="24"/>
          <w:lang w:val="en-US"/>
        </w:rPr>
        <w:t>identified</w:t>
      </w:r>
      <w:r w:rsidR="00EB211F">
        <w:rPr>
          <w:rFonts w:ascii="Times New Roman" w:hAnsi="Times New Roman"/>
          <w:szCs w:val="24"/>
          <w:lang w:val="en-US"/>
        </w:rPr>
        <w:t xml:space="preserve"> in order to define </w:t>
      </w:r>
      <w:r w:rsidRPr="009932BD">
        <w:rPr>
          <w:rFonts w:ascii="Times New Roman" w:hAnsi="Times New Roman"/>
          <w:szCs w:val="24"/>
          <w:lang w:val="en-US"/>
        </w:rPr>
        <w:t>a systemic indicator by implementing a</w:t>
      </w:r>
      <w:r w:rsidR="00EB211F">
        <w:rPr>
          <w:rFonts w:ascii="Times New Roman" w:hAnsi="Times New Roman"/>
          <w:szCs w:val="24"/>
          <w:lang w:val="en-US"/>
        </w:rPr>
        <w:t xml:space="preserve">n </w:t>
      </w:r>
      <w:r w:rsidRPr="009932BD">
        <w:rPr>
          <w:rFonts w:ascii="Times New Roman" w:hAnsi="Times New Roman"/>
          <w:szCs w:val="24"/>
          <w:lang w:val="en-US"/>
        </w:rPr>
        <w:t xml:space="preserve">aggregation of the individual ones. Such indicators are based on a mixed economic and environmental perspective, with a focus on the </w:t>
      </w:r>
      <w:r w:rsidR="00CD1867" w:rsidRPr="009932BD">
        <w:rPr>
          <w:rFonts w:ascii="Times New Roman" w:hAnsi="Times New Roman"/>
          <w:szCs w:val="24"/>
          <w:lang w:val="en-US"/>
        </w:rPr>
        <w:t>income</w:t>
      </w:r>
      <w:r w:rsidRPr="009932BD">
        <w:rPr>
          <w:rFonts w:ascii="Times New Roman" w:hAnsi="Times New Roman"/>
          <w:szCs w:val="24"/>
          <w:lang w:val="en-US"/>
        </w:rPr>
        <w:t xml:space="preserve"> advantage stemming from the exploitation of </w:t>
      </w:r>
      <w:r w:rsidR="002F1844">
        <w:rPr>
          <w:rFonts w:ascii="Times New Roman" w:hAnsi="Times New Roman"/>
          <w:szCs w:val="24"/>
          <w:lang w:val="en-US"/>
        </w:rPr>
        <w:t>secondary raw materials</w:t>
      </w:r>
      <w:r w:rsidRPr="009932BD">
        <w:rPr>
          <w:rFonts w:ascii="Times New Roman" w:hAnsi="Times New Roman"/>
          <w:szCs w:val="24"/>
          <w:lang w:val="en-US"/>
        </w:rPr>
        <w:t xml:space="preserve"> obtained through DWC. These indicators can be useful tools </w:t>
      </w:r>
      <w:r w:rsidR="00655625">
        <w:rPr>
          <w:rFonts w:ascii="Times New Roman" w:hAnsi="Times New Roman"/>
          <w:szCs w:val="24"/>
          <w:lang w:val="en-US"/>
        </w:rPr>
        <w:t>for</w:t>
      </w:r>
      <w:r w:rsidRPr="009932BD">
        <w:rPr>
          <w:rFonts w:ascii="Times New Roman" w:hAnsi="Times New Roman"/>
          <w:szCs w:val="24"/>
          <w:lang w:val="en-US"/>
        </w:rPr>
        <w:t xml:space="preserve"> understand</w:t>
      </w:r>
      <w:r w:rsidR="00655625">
        <w:rPr>
          <w:rFonts w:ascii="Times New Roman" w:hAnsi="Times New Roman"/>
          <w:szCs w:val="24"/>
          <w:lang w:val="en-US"/>
        </w:rPr>
        <w:t>ing</w:t>
      </w:r>
      <w:r w:rsidRPr="009932BD">
        <w:rPr>
          <w:rFonts w:ascii="Times New Roman" w:hAnsi="Times New Roman"/>
          <w:szCs w:val="24"/>
          <w:lang w:val="en-US"/>
        </w:rPr>
        <w:t xml:space="preserve"> if and how companies are able to cover their total production costs</w:t>
      </w:r>
      <w:r w:rsidRPr="009932BD">
        <w:rPr>
          <w:rStyle w:val="Rimandonotaapidipagina"/>
          <w:rFonts w:ascii="Times New Roman" w:hAnsi="Times New Roman"/>
          <w:szCs w:val="24"/>
          <w:lang w:val="en-US"/>
        </w:rPr>
        <w:footnoteReference w:id="2"/>
      </w:r>
      <w:r w:rsidRPr="009932BD">
        <w:rPr>
          <w:rFonts w:ascii="Times New Roman" w:hAnsi="Times New Roman"/>
          <w:szCs w:val="24"/>
          <w:lang w:val="en-US"/>
        </w:rPr>
        <w:t xml:space="preserve"> with revenues deriving from an “economic use” of DWC.</w:t>
      </w:r>
    </w:p>
    <w:p w14:paraId="50F18CB0" w14:textId="4893FA90" w:rsidR="00CD1867" w:rsidRPr="00E215E1" w:rsidRDefault="00CD1867" w:rsidP="00CD1867">
      <w:pPr>
        <w:spacing w:line="480" w:lineRule="auto"/>
        <w:ind w:firstLine="0"/>
        <w:jc w:val="left"/>
        <w:rPr>
          <w:rFonts w:ascii="Times New Roman" w:hAnsi="Times New Roman"/>
          <w:szCs w:val="24"/>
          <w:lang w:val="en-US"/>
        </w:rPr>
      </w:pPr>
      <w:r w:rsidRPr="009932BD">
        <w:rPr>
          <w:rFonts w:ascii="Times New Roman" w:hAnsi="Times New Roman"/>
          <w:szCs w:val="24"/>
          <w:lang w:val="en-US"/>
        </w:rPr>
        <w:t xml:space="preserve">The rest of the paper is structured as follows: </w:t>
      </w:r>
      <w:r w:rsidR="00475493">
        <w:rPr>
          <w:rFonts w:ascii="Times New Roman" w:hAnsi="Times New Roman"/>
          <w:szCs w:val="24"/>
          <w:lang w:val="en-US"/>
        </w:rPr>
        <w:t>S</w:t>
      </w:r>
      <w:r w:rsidRPr="009932BD">
        <w:rPr>
          <w:rFonts w:ascii="Times New Roman" w:hAnsi="Times New Roman"/>
          <w:szCs w:val="24"/>
          <w:lang w:val="en-US"/>
        </w:rPr>
        <w:t xml:space="preserve">ection 2 describes the methodology; </w:t>
      </w:r>
      <w:r w:rsidR="00475493">
        <w:rPr>
          <w:rFonts w:ascii="Times New Roman" w:hAnsi="Times New Roman"/>
          <w:szCs w:val="24"/>
          <w:lang w:val="en-US"/>
        </w:rPr>
        <w:t>S</w:t>
      </w:r>
      <w:r w:rsidRPr="009932BD">
        <w:rPr>
          <w:rFonts w:ascii="Times New Roman" w:hAnsi="Times New Roman"/>
          <w:szCs w:val="24"/>
          <w:lang w:val="en-US"/>
        </w:rPr>
        <w:t>ection 3 analyzes the ec</w:t>
      </w:r>
      <w:r w:rsidR="00667004" w:rsidRPr="009932BD">
        <w:rPr>
          <w:rFonts w:ascii="Times New Roman" w:hAnsi="Times New Roman"/>
          <w:szCs w:val="24"/>
          <w:lang w:val="en-US"/>
        </w:rPr>
        <w:t>onomic efficiency indicators,</w:t>
      </w:r>
      <w:r w:rsidRPr="009932BD">
        <w:rPr>
          <w:rFonts w:ascii="Times New Roman" w:hAnsi="Times New Roman"/>
          <w:szCs w:val="24"/>
          <w:lang w:val="en-US"/>
        </w:rPr>
        <w:t xml:space="preserve"> their properties</w:t>
      </w:r>
      <w:r w:rsidR="00667004" w:rsidRPr="009932BD">
        <w:rPr>
          <w:rFonts w:ascii="Times New Roman" w:hAnsi="Times New Roman"/>
          <w:szCs w:val="24"/>
          <w:lang w:val="en-US"/>
        </w:rPr>
        <w:t xml:space="preserve"> and limitations</w:t>
      </w:r>
      <w:r w:rsidRPr="009932BD">
        <w:rPr>
          <w:rFonts w:ascii="Times New Roman" w:hAnsi="Times New Roman"/>
          <w:szCs w:val="24"/>
          <w:lang w:val="en-US"/>
        </w:rPr>
        <w:t xml:space="preserve">; </w:t>
      </w:r>
      <w:r w:rsidR="00475493">
        <w:rPr>
          <w:rFonts w:ascii="Times New Roman" w:hAnsi="Times New Roman"/>
          <w:szCs w:val="24"/>
          <w:lang w:val="en-US"/>
        </w:rPr>
        <w:t>S</w:t>
      </w:r>
      <w:r w:rsidRPr="009932BD">
        <w:rPr>
          <w:rFonts w:ascii="Times New Roman" w:hAnsi="Times New Roman"/>
          <w:szCs w:val="24"/>
          <w:lang w:val="en-US"/>
        </w:rPr>
        <w:t xml:space="preserve">ection 4 contains data and </w:t>
      </w:r>
      <w:r w:rsidR="00475493">
        <w:rPr>
          <w:rFonts w:ascii="Times New Roman" w:hAnsi="Times New Roman"/>
          <w:szCs w:val="24"/>
          <w:lang w:val="en-US"/>
        </w:rPr>
        <w:t xml:space="preserve">the </w:t>
      </w:r>
      <w:r w:rsidRPr="009932BD">
        <w:rPr>
          <w:rFonts w:ascii="Times New Roman" w:hAnsi="Times New Roman"/>
          <w:szCs w:val="24"/>
          <w:lang w:val="en-US"/>
        </w:rPr>
        <w:t xml:space="preserve">results of the empirical analysis; </w:t>
      </w:r>
      <w:r w:rsidR="00475493">
        <w:rPr>
          <w:rFonts w:ascii="Times New Roman" w:hAnsi="Times New Roman"/>
          <w:szCs w:val="24"/>
          <w:lang w:val="en-US"/>
        </w:rPr>
        <w:t xml:space="preserve">and the </w:t>
      </w:r>
      <w:r w:rsidRPr="009932BD">
        <w:rPr>
          <w:rFonts w:ascii="Times New Roman" w:hAnsi="Times New Roman"/>
          <w:szCs w:val="24"/>
          <w:lang w:val="en-US"/>
        </w:rPr>
        <w:t xml:space="preserve">conclusions and research perspectives are given in </w:t>
      </w:r>
      <w:r w:rsidR="00475493">
        <w:rPr>
          <w:rFonts w:ascii="Times New Roman" w:hAnsi="Times New Roman"/>
          <w:szCs w:val="24"/>
          <w:lang w:val="en-US"/>
        </w:rPr>
        <w:t>S</w:t>
      </w:r>
      <w:r w:rsidRPr="009932BD">
        <w:rPr>
          <w:rFonts w:ascii="Times New Roman" w:hAnsi="Times New Roman"/>
          <w:szCs w:val="24"/>
          <w:lang w:val="en-US"/>
        </w:rPr>
        <w:t>ection 5.</w:t>
      </w:r>
    </w:p>
    <w:p w14:paraId="61A86C5E" w14:textId="77777777" w:rsidR="00CD1867" w:rsidRPr="00E215E1" w:rsidRDefault="00CD1867" w:rsidP="00CD1867">
      <w:pPr>
        <w:spacing w:line="480" w:lineRule="auto"/>
        <w:jc w:val="left"/>
        <w:rPr>
          <w:rFonts w:ascii="Times New Roman" w:hAnsi="Times New Roman"/>
          <w:szCs w:val="24"/>
          <w:lang w:val="en-US"/>
        </w:rPr>
      </w:pPr>
    </w:p>
    <w:p w14:paraId="476D4EEC" w14:textId="2F91F1C2" w:rsidR="00CD1867" w:rsidRPr="00420399" w:rsidRDefault="00CD1867" w:rsidP="00CD1867">
      <w:pPr>
        <w:spacing w:line="480" w:lineRule="auto"/>
        <w:ind w:firstLine="0"/>
        <w:jc w:val="left"/>
        <w:rPr>
          <w:rFonts w:ascii="Times New Roman" w:hAnsi="Times New Roman"/>
          <w:b/>
          <w:szCs w:val="24"/>
          <w:lang w:val="en-US"/>
        </w:rPr>
      </w:pPr>
      <w:r w:rsidRPr="00420399">
        <w:rPr>
          <w:rFonts w:ascii="Times New Roman" w:hAnsi="Times New Roman"/>
          <w:b/>
          <w:lang w:val="en-US"/>
        </w:rPr>
        <w:t xml:space="preserve">2. </w:t>
      </w:r>
      <w:r w:rsidR="001D5D1E" w:rsidRPr="00420399">
        <w:rPr>
          <w:rFonts w:ascii="Times New Roman" w:hAnsi="Times New Roman"/>
          <w:b/>
          <w:lang w:val="en-US"/>
        </w:rPr>
        <w:t>METHODOLOGY</w:t>
      </w:r>
    </w:p>
    <w:p w14:paraId="7C2CA2A5" w14:textId="76782599" w:rsidR="00F8153A" w:rsidRDefault="001D5D1E" w:rsidP="00D539F1">
      <w:pPr>
        <w:spacing w:line="480" w:lineRule="auto"/>
        <w:ind w:firstLine="0"/>
        <w:jc w:val="left"/>
        <w:rPr>
          <w:rFonts w:ascii="Times New Roman" w:hAnsi="Times New Roman"/>
          <w:szCs w:val="24"/>
          <w:lang w:val="en-US"/>
        </w:rPr>
      </w:pPr>
      <w:r>
        <w:rPr>
          <w:rFonts w:ascii="Times New Roman" w:hAnsi="Times New Roman"/>
          <w:szCs w:val="24"/>
          <w:lang w:val="en-US"/>
        </w:rPr>
        <w:t>A</w:t>
      </w:r>
      <w:r w:rsidRPr="00E215E1">
        <w:rPr>
          <w:rFonts w:ascii="Times New Roman" w:hAnsi="Times New Roman"/>
          <w:szCs w:val="24"/>
          <w:lang w:val="en-US"/>
        </w:rPr>
        <w:t xml:space="preserve"> </w:t>
      </w:r>
      <w:r w:rsidR="00F8153A" w:rsidRPr="00E215E1">
        <w:rPr>
          <w:rFonts w:ascii="Times New Roman" w:hAnsi="Times New Roman"/>
          <w:szCs w:val="24"/>
          <w:lang w:val="en-US"/>
        </w:rPr>
        <w:t xml:space="preserve">rank-size </w:t>
      </w:r>
      <w:r w:rsidR="000E04D2">
        <w:rPr>
          <w:rFonts w:ascii="Times New Roman" w:hAnsi="Times New Roman"/>
          <w:szCs w:val="24"/>
          <w:lang w:val="en-US"/>
        </w:rPr>
        <w:t>approach</w:t>
      </w:r>
      <w:r>
        <w:rPr>
          <w:rFonts w:ascii="Times New Roman" w:hAnsi="Times New Roman"/>
          <w:szCs w:val="24"/>
          <w:lang w:val="en-US"/>
        </w:rPr>
        <w:t xml:space="preserve"> </w:t>
      </w:r>
      <w:r w:rsidR="0051638F">
        <w:rPr>
          <w:rFonts w:ascii="Times New Roman" w:hAnsi="Times New Roman"/>
          <w:szCs w:val="24"/>
          <w:lang w:val="en-US"/>
        </w:rPr>
        <w:t>was</w:t>
      </w:r>
      <w:r>
        <w:rPr>
          <w:rFonts w:ascii="Times New Roman" w:hAnsi="Times New Roman"/>
          <w:szCs w:val="24"/>
          <w:lang w:val="en-US"/>
        </w:rPr>
        <w:t xml:space="preserve"> implemented</w:t>
      </w:r>
      <w:r w:rsidR="000E04D2">
        <w:rPr>
          <w:rFonts w:ascii="Times New Roman" w:hAnsi="Times New Roman"/>
          <w:szCs w:val="24"/>
          <w:lang w:val="en-US"/>
        </w:rPr>
        <w:t xml:space="preserve"> by ranking companies </w:t>
      </w:r>
      <w:r w:rsidR="000E04D2" w:rsidRPr="009932BD">
        <w:rPr>
          <w:rFonts w:ascii="Times New Roman" w:hAnsi="Times New Roman"/>
          <w:szCs w:val="24"/>
          <w:lang w:val="en-US"/>
        </w:rPr>
        <w:t xml:space="preserve">according to </w:t>
      </w:r>
      <w:r w:rsidR="00F8153A" w:rsidRPr="009932BD">
        <w:rPr>
          <w:rFonts w:ascii="Times New Roman" w:hAnsi="Times New Roman"/>
          <w:szCs w:val="24"/>
          <w:lang w:val="en-US"/>
        </w:rPr>
        <w:t>the</w:t>
      </w:r>
      <w:r w:rsidR="000E7588" w:rsidRPr="009932BD">
        <w:rPr>
          <w:rFonts w:ascii="Times New Roman" w:hAnsi="Times New Roman"/>
          <w:szCs w:val="24"/>
          <w:lang w:val="en-US"/>
        </w:rPr>
        <w:t>ir</w:t>
      </w:r>
      <w:r w:rsidR="00F8153A" w:rsidRPr="009932BD">
        <w:rPr>
          <w:rFonts w:ascii="Times New Roman" w:hAnsi="Times New Roman"/>
          <w:szCs w:val="24"/>
          <w:lang w:val="en-US"/>
        </w:rPr>
        <w:t xml:space="preserve"> production cost function</w:t>
      </w:r>
      <w:r w:rsidR="000E7588" w:rsidRPr="009932BD">
        <w:rPr>
          <w:rFonts w:ascii="Times New Roman" w:hAnsi="Times New Roman"/>
          <w:szCs w:val="24"/>
          <w:lang w:val="en-US"/>
        </w:rPr>
        <w:t>s</w:t>
      </w:r>
      <w:r w:rsidR="00F8153A" w:rsidRPr="009932BD">
        <w:rPr>
          <w:rFonts w:ascii="Times New Roman" w:hAnsi="Times New Roman"/>
          <w:szCs w:val="24"/>
          <w:lang w:val="en-US"/>
        </w:rPr>
        <w:t xml:space="preserve">. </w:t>
      </w:r>
      <w:r w:rsidR="009932BD">
        <w:rPr>
          <w:rFonts w:ascii="Times New Roman" w:hAnsi="Times New Roman"/>
          <w:szCs w:val="24"/>
          <w:lang w:val="en-US"/>
        </w:rPr>
        <w:t>In particular, t</w:t>
      </w:r>
      <w:r w:rsidR="009932BD" w:rsidRPr="009932BD">
        <w:rPr>
          <w:rFonts w:ascii="Times New Roman" w:hAnsi="Times New Roman"/>
          <w:szCs w:val="24"/>
          <w:lang w:val="en-US"/>
        </w:rPr>
        <w:t xml:space="preserve">he </w:t>
      </w:r>
      <w:r w:rsidR="00AA1243" w:rsidRPr="009932BD">
        <w:rPr>
          <w:rFonts w:ascii="Times New Roman" w:hAnsi="Times New Roman"/>
          <w:szCs w:val="24"/>
          <w:lang w:val="en-US"/>
        </w:rPr>
        <w:t>opportunity to cover</w:t>
      </w:r>
      <w:r w:rsidR="009932BD">
        <w:rPr>
          <w:rFonts w:ascii="Times New Roman" w:hAnsi="Times New Roman"/>
          <w:szCs w:val="24"/>
          <w:lang w:val="en-US"/>
        </w:rPr>
        <w:t xml:space="preserve"> such</w:t>
      </w:r>
      <w:r w:rsidR="00AA1243" w:rsidRPr="009932BD">
        <w:rPr>
          <w:rFonts w:ascii="Times New Roman" w:hAnsi="Times New Roman"/>
          <w:szCs w:val="24"/>
          <w:lang w:val="en-US"/>
        </w:rPr>
        <w:t xml:space="preserve"> costs </w:t>
      </w:r>
      <w:r w:rsidR="0051638F">
        <w:rPr>
          <w:rFonts w:ascii="Times New Roman" w:hAnsi="Times New Roman"/>
          <w:szCs w:val="24"/>
          <w:lang w:val="en-US"/>
        </w:rPr>
        <w:t xml:space="preserve">was </w:t>
      </w:r>
      <w:r w:rsidR="009932BD">
        <w:rPr>
          <w:rFonts w:ascii="Times New Roman" w:hAnsi="Times New Roman"/>
          <w:szCs w:val="24"/>
          <w:lang w:val="en-US"/>
        </w:rPr>
        <w:t>verified by using</w:t>
      </w:r>
      <w:r w:rsidR="00F8153A" w:rsidRPr="009932BD">
        <w:rPr>
          <w:rFonts w:ascii="Times New Roman" w:hAnsi="Times New Roman"/>
          <w:szCs w:val="24"/>
          <w:lang w:val="en-US"/>
        </w:rPr>
        <w:t xml:space="preserve"> a parameter </w:t>
      </w:r>
      <w:r w:rsidR="0051638F">
        <w:rPr>
          <w:rFonts w:ascii="Times New Roman" w:hAnsi="Times New Roman"/>
          <w:szCs w:val="24"/>
          <w:lang w:val="en-US"/>
        </w:rPr>
        <w:t>that</w:t>
      </w:r>
      <w:r w:rsidR="0051638F" w:rsidRPr="009932BD">
        <w:rPr>
          <w:rFonts w:ascii="Times New Roman" w:hAnsi="Times New Roman"/>
          <w:szCs w:val="24"/>
          <w:lang w:val="en-US"/>
        </w:rPr>
        <w:t xml:space="preserve"> </w:t>
      </w:r>
      <w:r w:rsidR="00F8153A" w:rsidRPr="009932BD">
        <w:rPr>
          <w:rFonts w:ascii="Times New Roman" w:hAnsi="Times New Roman"/>
          <w:szCs w:val="24"/>
          <w:lang w:val="en-US"/>
        </w:rPr>
        <w:t>is a proxy of the economic efficiency</w:t>
      </w:r>
      <w:r w:rsidR="009932BD">
        <w:rPr>
          <w:rFonts w:ascii="Times New Roman" w:hAnsi="Times New Roman"/>
          <w:szCs w:val="24"/>
          <w:lang w:val="en-US"/>
        </w:rPr>
        <w:t xml:space="preserve"> that represents the</w:t>
      </w:r>
      <w:r>
        <w:rPr>
          <w:rFonts w:ascii="Times New Roman" w:hAnsi="Times New Roman"/>
          <w:szCs w:val="24"/>
          <w:lang w:val="en-US"/>
        </w:rPr>
        <w:t xml:space="preserve"> income opportunity</w:t>
      </w:r>
      <w:r w:rsidR="003D3F42" w:rsidRPr="00E215E1">
        <w:rPr>
          <w:rFonts w:ascii="Times New Roman" w:hAnsi="Times New Roman"/>
          <w:szCs w:val="24"/>
          <w:lang w:val="en-US"/>
        </w:rPr>
        <w:t xml:space="preserve"> </w:t>
      </w:r>
      <w:r w:rsidR="0051638F">
        <w:rPr>
          <w:rFonts w:ascii="Times New Roman" w:hAnsi="Times New Roman"/>
          <w:szCs w:val="24"/>
          <w:lang w:val="en-US"/>
        </w:rPr>
        <w:t>offered</w:t>
      </w:r>
      <w:r>
        <w:rPr>
          <w:rFonts w:ascii="Times New Roman" w:hAnsi="Times New Roman"/>
          <w:szCs w:val="24"/>
          <w:lang w:val="en-US"/>
        </w:rPr>
        <w:t xml:space="preserve"> </w:t>
      </w:r>
      <w:r w:rsidR="003D3F42" w:rsidRPr="00E215E1">
        <w:rPr>
          <w:rFonts w:ascii="Times New Roman" w:hAnsi="Times New Roman"/>
          <w:szCs w:val="24"/>
          <w:lang w:val="en-US"/>
        </w:rPr>
        <w:t xml:space="preserve">by </w:t>
      </w:r>
      <w:r w:rsidR="00AA1243" w:rsidRPr="00E215E1">
        <w:rPr>
          <w:rFonts w:ascii="Times New Roman" w:hAnsi="Times New Roman"/>
          <w:szCs w:val="24"/>
          <w:lang w:val="en-US"/>
        </w:rPr>
        <w:t>the</w:t>
      </w:r>
      <w:r w:rsidR="00F8153A" w:rsidRPr="00E215E1">
        <w:rPr>
          <w:rFonts w:ascii="Times New Roman" w:hAnsi="Times New Roman"/>
          <w:szCs w:val="24"/>
          <w:lang w:val="en-US"/>
        </w:rPr>
        <w:t xml:space="preserve"> </w:t>
      </w:r>
      <w:r w:rsidR="00AA1243" w:rsidRPr="00E215E1">
        <w:rPr>
          <w:rFonts w:ascii="Times New Roman" w:hAnsi="Times New Roman"/>
          <w:szCs w:val="24"/>
          <w:lang w:val="en-US"/>
        </w:rPr>
        <w:t xml:space="preserve">exploitation </w:t>
      </w:r>
      <w:r w:rsidR="00F8153A" w:rsidRPr="00E215E1">
        <w:rPr>
          <w:rFonts w:ascii="Times New Roman" w:hAnsi="Times New Roman"/>
          <w:szCs w:val="24"/>
          <w:lang w:val="en-US"/>
        </w:rPr>
        <w:t xml:space="preserve">of </w:t>
      </w:r>
      <w:r w:rsidR="0051638F">
        <w:rPr>
          <w:rFonts w:ascii="Times New Roman" w:hAnsi="Times New Roman"/>
          <w:szCs w:val="24"/>
          <w:lang w:val="en-US"/>
        </w:rPr>
        <w:t xml:space="preserve">revenue-generating </w:t>
      </w:r>
      <w:r w:rsidR="003D69B1" w:rsidRPr="00E215E1">
        <w:rPr>
          <w:rFonts w:ascii="Times New Roman" w:hAnsi="Times New Roman"/>
          <w:szCs w:val="24"/>
          <w:lang w:val="en-US"/>
        </w:rPr>
        <w:t>DWC.</w:t>
      </w:r>
      <w:r w:rsidR="00F8153A" w:rsidRPr="00E215E1">
        <w:rPr>
          <w:rFonts w:ascii="Times New Roman" w:hAnsi="Times New Roman"/>
          <w:szCs w:val="24"/>
          <w:lang w:val="en-US"/>
        </w:rPr>
        <w:t xml:space="preserve"> In so doing,</w:t>
      </w:r>
      <w:r w:rsidR="00DF6807" w:rsidRPr="00E215E1">
        <w:rPr>
          <w:rFonts w:ascii="Times New Roman" w:hAnsi="Times New Roman"/>
          <w:szCs w:val="24"/>
          <w:lang w:val="en-US"/>
        </w:rPr>
        <w:t xml:space="preserve"> </w:t>
      </w:r>
      <w:r w:rsidR="00A21611" w:rsidRPr="00E215E1">
        <w:rPr>
          <w:rFonts w:ascii="Times New Roman" w:hAnsi="Times New Roman"/>
          <w:szCs w:val="24"/>
          <w:lang w:val="en-US"/>
        </w:rPr>
        <w:t>the WM companies</w:t>
      </w:r>
      <w:r w:rsidR="00A11620" w:rsidRPr="00E215E1">
        <w:rPr>
          <w:rFonts w:ascii="Times New Roman" w:hAnsi="Times New Roman"/>
          <w:szCs w:val="24"/>
          <w:lang w:val="en-US"/>
        </w:rPr>
        <w:t>’</w:t>
      </w:r>
      <w:r w:rsidR="000B2433">
        <w:rPr>
          <w:rFonts w:ascii="Times New Roman" w:hAnsi="Times New Roman"/>
          <w:szCs w:val="24"/>
          <w:lang w:val="en-US"/>
        </w:rPr>
        <w:t xml:space="preserve"> net production costs –  those costs not covered by the aforementioned revenues – </w:t>
      </w:r>
      <w:r w:rsidR="00870ABF">
        <w:rPr>
          <w:rFonts w:ascii="Times New Roman" w:hAnsi="Times New Roman"/>
          <w:szCs w:val="24"/>
          <w:lang w:val="en-US"/>
        </w:rPr>
        <w:t>we</w:t>
      </w:r>
      <w:r w:rsidR="000B2433">
        <w:rPr>
          <w:rFonts w:ascii="Times New Roman" w:hAnsi="Times New Roman"/>
          <w:szCs w:val="24"/>
          <w:lang w:val="en-US"/>
        </w:rPr>
        <w:t xml:space="preserve">re assessed. </w:t>
      </w:r>
      <w:r w:rsidR="002F1844">
        <w:rPr>
          <w:rFonts w:ascii="Times New Roman" w:hAnsi="Times New Roman"/>
          <w:szCs w:val="24"/>
          <w:lang w:val="en-US"/>
        </w:rPr>
        <w:t>Such values</w:t>
      </w:r>
      <w:r w:rsidR="00E8787D">
        <w:rPr>
          <w:rFonts w:ascii="Times New Roman" w:hAnsi="Times New Roman"/>
          <w:szCs w:val="24"/>
          <w:lang w:val="en-US"/>
        </w:rPr>
        <w:t xml:space="preserve"> </w:t>
      </w:r>
      <w:r w:rsidR="00E8787D" w:rsidRPr="00E8787D">
        <w:rPr>
          <w:rFonts w:ascii="Times New Roman" w:hAnsi="Times New Roman"/>
          <w:szCs w:val="24"/>
          <w:lang w:val="en-US"/>
        </w:rPr>
        <w:t xml:space="preserve">significantly influence </w:t>
      </w:r>
      <w:r w:rsidR="00E8787D">
        <w:rPr>
          <w:rFonts w:ascii="Times New Roman" w:hAnsi="Times New Roman"/>
          <w:szCs w:val="24"/>
          <w:lang w:val="en-US"/>
        </w:rPr>
        <w:t>the</w:t>
      </w:r>
      <w:r w:rsidR="00A21611" w:rsidRPr="00E215E1">
        <w:rPr>
          <w:rFonts w:ascii="Times New Roman" w:hAnsi="Times New Roman"/>
          <w:szCs w:val="24"/>
          <w:lang w:val="en-US"/>
        </w:rPr>
        <w:t xml:space="preserve"> economic sustainability </w:t>
      </w:r>
      <w:r w:rsidR="00870ABF">
        <w:rPr>
          <w:rFonts w:ascii="Times New Roman" w:hAnsi="Times New Roman"/>
          <w:szCs w:val="24"/>
          <w:lang w:val="en-US"/>
        </w:rPr>
        <w:t>of</w:t>
      </w:r>
      <w:r w:rsidR="00A21611" w:rsidRPr="00E215E1">
        <w:rPr>
          <w:rFonts w:ascii="Times New Roman" w:hAnsi="Times New Roman"/>
          <w:szCs w:val="24"/>
          <w:lang w:val="en-US"/>
        </w:rPr>
        <w:t xml:space="preserve"> implementing EU policies through the realization of activities </w:t>
      </w:r>
      <w:r w:rsidR="00DF6807" w:rsidRPr="00E215E1">
        <w:rPr>
          <w:rFonts w:ascii="Times New Roman" w:hAnsi="Times New Roman"/>
          <w:szCs w:val="24"/>
          <w:lang w:val="en-US"/>
        </w:rPr>
        <w:t xml:space="preserve">that </w:t>
      </w:r>
      <w:r w:rsidR="00105587" w:rsidRPr="00E215E1">
        <w:rPr>
          <w:rFonts w:ascii="Times New Roman" w:hAnsi="Times New Roman"/>
          <w:szCs w:val="24"/>
          <w:lang w:val="en-US"/>
        </w:rPr>
        <w:t>should</w:t>
      </w:r>
      <w:r w:rsidR="00DF6807" w:rsidRPr="00E215E1">
        <w:rPr>
          <w:rFonts w:ascii="Times New Roman" w:hAnsi="Times New Roman"/>
          <w:szCs w:val="24"/>
          <w:lang w:val="en-US"/>
        </w:rPr>
        <w:t xml:space="preserve"> </w:t>
      </w:r>
      <w:r w:rsidR="00105587" w:rsidRPr="00E215E1">
        <w:rPr>
          <w:rFonts w:ascii="Times New Roman" w:hAnsi="Times New Roman"/>
          <w:szCs w:val="24"/>
          <w:lang w:val="en-US"/>
        </w:rPr>
        <w:t>protect the environment and</w:t>
      </w:r>
      <w:r w:rsidR="00A11620" w:rsidRPr="00E215E1">
        <w:rPr>
          <w:rFonts w:ascii="Times New Roman" w:hAnsi="Times New Roman"/>
          <w:szCs w:val="24"/>
          <w:lang w:val="en-US"/>
        </w:rPr>
        <w:t xml:space="preserve"> guarantee </w:t>
      </w:r>
      <w:r w:rsidR="00105587" w:rsidRPr="00E215E1">
        <w:rPr>
          <w:rFonts w:ascii="Times New Roman" w:hAnsi="Times New Roman"/>
          <w:szCs w:val="24"/>
          <w:lang w:val="en-US"/>
        </w:rPr>
        <w:t>social well-being</w:t>
      </w:r>
      <w:r w:rsidR="004F1D46" w:rsidRPr="00E215E1">
        <w:rPr>
          <w:rFonts w:ascii="Times New Roman" w:hAnsi="Times New Roman"/>
          <w:szCs w:val="24"/>
          <w:lang w:val="en-US"/>
        </w:rPr>
        <w:t>, i.e.</w:t>
      </w:r>
      <w:r w:rsidR="00AA1243" w:rsidRPr="00E215E1">
        <w:rPr>
          <w:rFonts w:ascii="Times New Roman" w:hAnsi="Times New Roman"/>
          <w:szCs w:val="24"/>
          <w:lang w:val="en-US"/>
        </w:rPr>
        <w:t xml:space="preserve"> </w:t>
      </w:r>
      <w:r w:rsidR="00870ABF">
        <w:rPr>
          <w:rFonts w:ascii="Times New Roman" w:hAnsi="Times New Roman"/>
          <w:szCs w:val="24"/>
          <w:lang w:val="en-US"/>
        </w:rPr>
        <w:t xml:space="preserve">by </w:t>
      </w:r>
      <w:r w:rsidR="00AA1243" w:rsidRPr="00E215E1">
        <w:rPr>
          <w:rFonts w:ascii="Times New Roman" w:hAnsi="Times New Roman"/>
          <w:szCs w:val="24"/>
          <w:lang w:val="en-US"/>
        </w:rPr>
        <w:t>reduc</w:t>
      </w:r>
      <w:r w:rsidR="00B22A4B" w:rsidRPr="00E215E1">
        <w:rPr>
          <w:rFonts w:ascii="Times New Roman" w:hAnsi="Times New Roman"/>
          <w:szCs w:val="24"/>
          <w:lang w:val="en-US"/>
        </w:rPr>
        <w:t>ing</w:t>
      </w:r>
      <w:r w:rsidR="00AA1243" w:rsidRPr="00E215E1">
        <w:rPr>
          <w:rFonts w:ascii="Times New Roman" w:hAnsi="Times New Roman"/>
          <w:szCs w:val="24"/>
          <w:lang w:val="en-US"/>
        </w:rPr>
        <w:t xml:space="preserve"> waste and transform</w:t>
      </w:r>
      <w:r w:rsidR="004F1D46" w:rsidRPr="00E215E1">
        <w:rPr>
          <w:rFonts w:ascii="Times New Roman" w:hAnsi="Times New Roman"/>
          <w:szCs w:val="24"/>
          <w:lang w:val="en-US"/>
        </w:rPr>
        <w:t>ing</w:t>
      </w:r>
      <w:r w:rsidR="00AA1243" w:rsidRPr="00E215E1">
        <w:rPr>
          <w:rFonts w:ascii="Times New Roman" w:hAnsi="Times New Roman"/>
          <w:szCs w:val="24"/>
          <w:lang w:val="en-US"/>
        </w:rPr>
        <w:t xml:space="preserve"> </w:t>
      </w:r>
      <w:r w:rsidR="000E7588">
        <w:rPr>
          <w:rFonts w:ascii="Times New Roman" w:hAnsi="Times New Roman"/>
          <w:szCs w:val="24"/>
          <w:lang w:val="en-US"/>
        </w:rPr>
        <w:t>the</w:t>
      </w:r>
      <w:r w:rsidR="00B22A4B" w:rsidRPr="00E215E1">
        <w:rPr>
          <w:rFonts w:ascii="Times New Roman" w:hAnsi="Times New Roman"/>
          <w:szCs w:val="24"/>
          <w:lang w:val="en-US"/>
        </w:rPr>
        <w:t xml:space="preserve"> </w:t>
      </w:r>
      <w:r w:rsidR="000E7588">
        <w:rPr>
          <w:rFonts w:ascii="Times New Roman" w:hAnsi="Times New Roman"/>
          <w:szCs w:val="24"/>
          <w:lang w:val="en-US"/>
        </w:rPr>
        <w:t>un</w:t>
      </w:r>
      <w:r w:rsidR="00B22A4B" w:rsidRPr="00E215E1">
        <w:rPr>
          <w:rFonts w:ascii="Times New Roman" w:hAnsi="Times New Roman"/>
          <w:szCs w:val="24"/>
          <w:lang w:val="en-US"/>
        </w:rPr>
        <w:t>avoid</w:t>
      </w:r>
      <w:r w:rsidR="000E7588">
        <w:rPr>
          <w:rFonts w:ascii="Times New Roman" w:hAnsi="Times New Roman"/>
          <w:szCs w:val="24"/>
          <w:lang w:val="en-US"/>
        </w:rPr>
        <w:t>able</w:t>
      </w:r>
      <w:r w:rsidR="00B22A4B" w:rsidRPr="00E215E1">
        <w:rPr>
          <w:rFonts w:ascii="Times New Roman" w:hAnsi="Times New Roman"/>
          <w:szCs w:val="24"/>
          <w:lang w:val="en-US"/>
        </w:rPr>
        <w:t xml:space="preserve"> </w:t>
      </w:r>
      <w:r w:rsidR="00870ABF">
        <w:rPr>
          <w:rFonts w:ascii="Times New Roman" w:hAnsi="Times New Roman"/>
          <w:szCs w:val="24"/>
          <w:lang w:val="en-US"/>
        </w:rPr>
        <w:t xml:space="preserve">waste </w:t>
      </w:r>
      <w:r w:rsidR="00AA1243" w:rsidRPr="00E215E1">
        <w:rPr>
          <w:rFonts w:ascii="Times New Roman" w:hAnsi="Times New Roman"/>
          <w:szCs w:val="24"/>
          <w:lang w:val="en-US"/>
        </w:rPr>
        <w:t>in</w:t>
      </w:r>
      <w:r w:rsidR="00870ABF">
        <w:rPr>
          <w:rFonts w:ascii="Times New Roman" w:hAnsi="Times New Roman"/>
          <w:szCs w:val="24"/>
          <w:lang w:val="en-US"/>
        </w:rPr>
        <w:t>to</w:t>
      </w:r>
      <w:r w:rsidR="00AA1243" w:rsidRPr="00E215E1">
        <w:rPr>
          <w:rFonts w:ascii="Times New Roman" w:hAnsi="Times New Roman"/>
          <w:szCs w:val="24"/>
          <w:lang w:val="en-US"/>
        </w:rPr>
        <w:t xml:space="preserve"> </w:t>
      </w:r>
      <w:r w:rsidR="00460DD0" w:rsidRPr="00E215E1">
        <w:rPr>
          <w:rFonts w:ascii="Times New Roman" w:hAnsi="Times New Roman"/>
          <w:szCs w:val="24"/>
          <w:lang w:val="en-US"/>
        </w:rPr>
        <w:t xml:space="preserve">reusable and </w:t>
      </w:r>
      <w:r w:rsidR="00AA1243" w:rsidRPr="00E215E1">
        <w:rPr>
          <w:rFonts w:ascii="Times New Roman" w:hAnsi="Times New Roman"/>
          <w:szCs w:val="24"/>
          <w:lang w:val="en-US"/>
        </w:rPr>
        <w:t>valuable resource</w:t>
      </w:r>
      <w:r w:rsidR="00B22A4B" w:rsidRPr="00E215E1">
        <w:rPr>
          <w:rFonts w:ascii="Times New Roman" w:hAnsi="Times New Roman"/>
          <w:szCs w:val="24"/>
          <w:lang w:val="en-US"/>
        </w:rPr>
        <w:t>s</w:t>
      </w:r>
      <w:r w:rsidR="00F8153A" w:rsidRPr="00E215E1">
        <w:rPr>
          <w:rFonts w:ascii="Times New Roman" w:hAnsi="Times New Roman"/>
          <w:szCs w:val="24"/>
          <w:lang w:val="en-US"/>
        </w:rPr>
        <w:t>.</w:t>
      </w:r>
      <w:r w:rsidR="000E7588">
        <w:rPr>
          <w:rFonts w:ascii="Times New Roman" w:hAnsi="Times New Roman"/>
          <w:szCs w:val="24"/>
          <w:lang w:val="en-US"/>
        </w:rPr>
        <w:t xml:space="preserve"> </w:t>
      </w:r>
      <w:r w:rsidR="000E7588">
        <w:rPr>
          <w:rFonts w:ascii="Times New Roman" w:hAnsi="Times New Roman"/>
          <w:szCs w:val="24"/>
          <w:lang w:val="en-US"/>
        </w:rPr>
        <w:lastRenderedPageBreak/>
        <w:t xml:space="preserve">The systemic indicator </w:t>
      </w:r>
      <w:r w:rsidR="00870ABF">
        <w:rPr>
          <w:rFonts w:ascii="Times New Roman" w:hAnsi="Times New Roman"/>
          <w:szCs w:val="24"/>
          <w:lang w:val="en-US"/>
        </w:rPr>
        <w:t xml:space="preserve">was </w:t>
      </w:r>
      <w:r w:rsidR="000E7588">
        <w:rPr>
          <w:rFonts w:ascii="Times New Roman" w:hAnsi="Times New Roman"/>
          <w:szCs w:val="24"/>
          <w:lang w:val="en-US"/>
        </w:rPr>
        <w:t>obtained by aggregating over the best-fit rank-size law obtained through the analysis of the individual companies.</w:t>
      </w:r>
    </w:p>
    <w:p w14:paraId="072DF2D6" w14:textId="4902300A" w:rsidR="000E7588" w:rsidRDefault="00870ABF" w:rsidP="00A857A8">
      <w:pPr>
        <w:spacing w:line="480" w:lineRule="auto"/>
        <w:ind w:firstLine="0"/>
        <w:jc w:val="left"/>
        <w:rPr>
          <w:rFonts w:ascii="Times New Roman" w:hAnsi="Times New Roman"/>
          <w:szCs w:val="24"/>
          <w:lang w:val="en-US"/>
        </w:rPr>
      </w:pPr>
      <w:r>
        <w:rPr>
          <w:rFonts w:ascii="Times New Roman" w:hAnsi="Times New Roman"/>
          <w:szCs w:val="24"/>
          <w:lang w:val="en-US"/>
        </w:rPr>
        <w:t>R</w:t>
      </w:r>
      <w:r w:rsidR="000E7588">
        <w:rPr>
          <w:rFonts w:ascii="Times New Roman" w:hAnsi="Times New Roman"/>
          <w:szCs w:val="24"/>
          <w:lang w:val="en-US"/>
        </w:rPr>
        <w:t xml:space="preserve">ank-size analysis </w:t>
      </w:r>
      <w:r>
        <w:rPr>
          <w:rFonts w:ascii="Times New Roman" w:hAnsi="Times New Roman"/>
          <w:szCs w:val="24"/>
          <w:lang w:val="en-US"/>
        </w:rPr>
        <w:t xml:space="preserve">has </w:t>
      </w:r>
      <w:r w:rsidR="000E7588">
        <w:rPr>
          <w:rFonts w:ascii="Times New Roman" w:hAnsi="Times New Roman"/>
          <w:szCs w:val="24"/>
          <w:lang w:val="en-US"/>
        </w:rPr>
        <w:t>f</w:t>
      </w:r>
      <w:r>
        <w:rPr>
          <w:rFonts w:ascii="Times New Roman" w:hAnsi="Times New Roman"/>
          <w:szCs w:val="24"/>
          <w:lang w:val="en-US"/>
        </w:rPr>
        <w:t>ou</w:t>
      </w:r>
      <w:r w:rsidR="000E7588">
        <w:rPr>
          <w:rFonts w:ascii="Times New Roman" w:hAnsi="Times New Roman"/>
          <w:szCs w:val="24"/>
          <w:lang w:val="en-US"/>
        </w:rPr>
        <w:t>nd applications in several applied science</w:t>
      </w:r>
      <w:r>
        <w:rPr>
          <w:rFonts w:ascii="Times New Roman" w:hAnsi="Times New Roman"/>
          <w:szCs w:val="24"/>
          <w:lang w:val="en-US"/>
        </w:rPr>
        <w:t>s,</w:t>
      </w:r>
      <w:r w:rsidR="000E7588">
        <w:rPr>
          <w:rFonts w:ascii="Times New Roman" w:hAnsi="Times New Roman"/>
          <w:szCs w:val="24"/>
          <w:lang w:val="en-US"/>
        </w:rPr>
        <w:t xml:space="preserve"> </w:t>
      </w:r>
      <w:r w:rsidR="001D5D1E">
        <w:rPr>
          <w:rFonts w:ascii="Times New Roman" w:hAnsi="Times New Roman"/>
          <w:szCs w:val="24"/>
          <w:lang w:val="en-US"/>
        </w:rPr>
        <w:t>given</w:t>
      </w:r>
      <w:r w:rsidR="000E7588">
        <w:rPr>
          <w:rFonts w:ascii="Times New Roman" w:hAnsi="Times New Roman"/>
          <w:szCs w:val="24"/>
          <w:lang w:val="en-US"/>
        </w:rPr>
        <w:t xml:space="preserve"> its versatility and remarkable properties (e.g.</w:t>
      </w:r>
      <w:r>
        <w:rPr>
          <w:rFonts w:ascii="Times New Roman" w:hAnsi="Times New Roman"/>
          <w:szCs w:val="24"/>
          <w:lang w:val="en-US"/>
        </w:rPr>
        <w:t>,</w:t>
      </w:r>
      <w:r w:rsidR="000E7588">
        <w:rPr>
          <w:rFonts w:ascii="Times New Roman" w:hAnsi="Times New Roman"/>
          <w:szCs w:val="24"/>
          <w:lang w:val="en-US"/>
        </w:rPr>
        <w:t xml:space="preserve"> Ausloos and Cerqueti, 2016; Axtell, 2001; Bottazzi et al., 2015; Cerqueti and Ausloos, 2015a, 2015b</w:t>
      </w:r>
      <w:r w:rsidR="00E93ECA">
        <w:rPr>
          <w:rFonts w:ascii="Times New Roman" w:hAnsi="Times New Roman"/>
          <w:szCs w:val="24"/>
          <w:lang w:val="en-US"/>
        </w:rPr>
        <w:t>;</w:t>
      </w:r>
      <w:r w:rsidR="000E7588">
        <w:rPr>
          <w:rFonts w:ascii="Times New Roman" w:hAnsi="Times New Roman"/>
          <w:szCs w:val="24"/>
          <w:lang w:val="en-US"/>
        </w:rPr>
        <w:t xml:space="preserve"> Cristelli et al., 2012</w:t>
      </w:r>
      <w:r w:rsidR="00E93ECA">
        <w:rPr>
          <w:rFonts w:ascii="Times New Roman" w:hAnsi="Times New Roman"/>
          <w:szCs w:val="24"/>
          <w:lang w:val="en-US"/>
        </w:rPr>
        <w:t>;</w:t>
      </w:r>
      <w:r w:rsidR="000E7588">
        <w:rPr>
          <w:rFonts w:ascii="Times New Roman" w:hAnsi="Times New Roman"/>
          <w:szCs w:val="24"/>
          <w:lang w:val="en-US"/>
        </w:rPr>
        <w:t xml:space="preserve"> Gabaix, 1999</w:t>
      </w:r>
      <w:r>
        <w:rPr>
          <w:rFonts w:ascii="Times New Roman" w:hAnsi="Times New Roman"/>
          <w:szCs w:val="24"/>
          <w:lang w:val="en-US"/>
        </w:rPr>
        <w:t>; f</w:t>
      </w:r>
      <w:r w:rsidR="000E7588">
        <w:rPr>
          <w:rFonts w:ascii="Times New Roman" w:hAnsi="Times New Roman"/>
          <w:szCs w:val="24"/>
          <w:lang w:val="en-US"/>
        </w:rPr>
        <w:t>or a review, see Pinto et al., 2012).</w:t>
      </w:r>
      <w:r w:rsidR="003664CA">
        <w:rPr>
          <w:rFonts w:ascii="Times New Roman" w:hAnsi="Times New Roman"/>
          <w:szCs w:val="24"/>
          <w:lang w:val="en-US"/>
        </w:rPr>
        <w:t xml:space="preserve"> Adopting a rank-size approach</w:t>
      </w:r>
      <w:r w:rsidR="00E8787D">
        <w:rPr>
          <w:rFonts w:ascii="Times New Roman" w:hAnsi="Times New Roman"/>
          <w:szCs w:val="24"/>
          <w:lang w:val="en-US"/>
        </w:rPr>
        <w:t xml:space="preserve"> </w:t>
      </w:r>
      <w:r w:rsidR="003664CA">
        <w:rPr>
          <w:rFonts w:ascii="Times New Roman" w:hAnsi="Times New Roman"/>
          <w:szCs w:val="24"/>
          <w:lang w:val="en-US"/>
        </w:rPr>
        <w:t xml:space="preserve">is </w:t>
      </w:r>
      <w:r>
        <w:rPr>
          <w:rFonts w:ascii="Times New Roman" w:hAnsi="Times New Roman"/>
          <w:szCs w:val="24"/>
          <w:lang w:val="en-US"/>
        </w:rPr>
        <w:t xml:space="preserve">also </w:t>
      </w:r>
      <w:r w:rsidR="003664CA">
        <w:rPr>
          <w:rFonts w:ascii="Times New Roman" w:hAnsi="Times New Roman"/>
          <w:szCs w:val="24"/>
          <w:lang w:val="en-US"/>
        </w:rPr>
        <w:t>in line with a more specialized strand of literature dealing with this procedure as a mean</w:t>
      </w:r>
      <w:r>
        <w:rPr>
          <w:rFonts w:ascii="Times New Roman" w:hAnsi="Times New Roman"/>
          <w:szCs w:val="24"/>
          <w:lang w:val="en-US"/>
        </w:rPr>
        <w:t>s</w:t>
      </w:r>
      <w:r w:rsidR="003664CA">
        <w:rPr>
          <w:rFonts w:ascii="Times New Roman" w:hAnsi="Times New Roman"/>
          <w:szCs w:val="24"/>
          <w:lang w:val="en-US"/>
        </w:rPr>
        <w:t xml:space="preserve"> </w:t>
      </w:r>
      <w:r>
        <w:rPr>
          <w:rFonts w:ascii="Times New Roman" w:hAnsi="Times New Roman"/>
          <w:szCs w:val="24"/>
          <w:lang w:val="en-US"/>
        </w:rPr>
        <w:t xml:space="preserve">of </w:t>
      </w:r>
      <w:r w:rsidR="003664CA">
        <w:rPr>
          <w:rFonts w:ascii="Times New Roman" w:hAnsi="Times New Roman"/>
          <w:szCs w:val="24"/>
          <w:lang w:val="en-US"/>
        </w:rPr>
        <w:t>defining ecological indicators (e.g.</w:t>
      </w:r>
      <w:r>
        <w:rPr>
          <w:rFonts w:ascii="Times New Roman" w:hAnsi="Times New Roman"/>
          <w:szCs w:val="24"/>
          <w:lang w:val="en-US"/>
        </w:rPr>
        <w:t>,</w:t>
      </w:r>
      <w:r w:rsidR="003664CA">
        <w:rPr>
          <w:rFonts w:ascii="Times New Roman" w:hAnsi="Times New Roman"/>
          <w:szCs w:val="24"/>
          <w:lang w:val="en-US"/>
        </w:rPr>
        <w:t xml:space="preserve"> Di Bari, 2004). </w:t>
      </w:r>
      <w:r w:rsidR="000E7588">
        <w:rPr>
          <w:rFonts w:ascii="Times New Roman" w:hAnsi="Times New Roman"/>
          <w:szCs w:val="24"/>
          <w:lang w:val="en-US"/>
        </w:rPr>
        <w:t xml:space="preserve">Such a technique is particularly appropriate for </w:t>
      </w:r>
      <w:r w:rsidR="00A857A8">
        <w:rPr>
          <w:rFonts w:ascii="Times New Roman" w:hAnsi="Times New Roman"/>
          <w:szCs w:val="24"/>
          <w:lang w:val="en-US"/>
        </w:rPr>
        <w:t xml:space="preserve">the analyzed </w:t>
      </w:r>
      <w:r w:rsidR="000E7588">
        <w:rPr>
          <w:rFonts w:ascii="Times New Roman" w:hAnsi="Times New Roman"/>
          <w:szCs w:val="24"/>
          <w:lang w:val="en-US"/>
        </w:rPr>
        <w:t xml:space="preserve">context, in that it allows </w:t>
      </w:r>
      <w:r w:rsidR="009D2630">
        <w:rPr>
          <w:rFonts w:ascii="Times New Roman" w:hAnsi="Times New Roman"/>
          <w:szCs w:val="24"/>
          <w:lang w:val="en-US"/>
        </w:rPr>
        <w:t xml:space="preserve">one </w:t>
      </w:r>
      <w:r w:rsidR="000E7588">
        <w:rPr>
          <w:rFonts w:ascii="Times New Roman" w:hAnsi="Times New Roman"/>
          <w:szCs w:val="24"/>
          <w:lang w:val="en-US"/>
        </w:rPr>
        <w:t xml:space="preserve">to properly </w:t>
      </w:r>
      <w:r w:rsidR="000E7588" w:rsidRPr="00E63DA3">
        <w:rPr>
          <w:rFonts w:ascii="Times New Roman" w:hAnsi="Times New Roman"/>
          <w:szCs w:val="24"/>
          <w:lang w:val="en-US"/>
        </w:rPr>
        <w:t>create a rich synthetic system</w:t>
      </w:r>
      <w:r w:rsidR="000E7588">
        <w:rPr>
          <w:rFonts w:ascii="Times New Roman" w:hAnsi="Times New Roman"/>
          <w:szCs w:val="24"/>
          <w:lang w:val="en-US"/>
        </w:rPr>
        <w:t xml:space="preserve"> on the basis of </w:t>
      </w:r>
      <w:r w:rsidR="000E7588" w:rsidRPr="0045218B">
        <w:rPr>
          <w:rFonts w:ascii="Times New Roman" w:hAnsi="Times New Roman"/>
          <w:szCs w:val="24"/>
          <w:lang w:val="en-US"/>
        </w:rPr>
        <w:t xml:space="preserve">reference empirical data. Indeed, the rank-size analysis is grounded </w:t>
      </w:r>
      <w:r w:rsidR="009D2630" w:rsidRPr="0045218B">
        <w:rPr>
          <w:rFonts w:ascii="Times New Roman" w:hAnsi="Times New Roman"/>
          <w:szCs w:val="24"/>
          <w:lang w:val="en-US"/>
        </w:rPr>
        <w:t xml:space="preserve">in </w:t>
      </w:r>
      <w:r w:rsidR="000E7588" w:rsidRPr="0045218B">
        <w:rPr>
          <w:rFonts w:ascii="Times New Roman" w:hAnsi="Times New Roman"/>
          <w:szCs w:val="24"/>
          <w:lang w:val="en-US"/>
        </w:rPr>
        <w:t xml:space="preserve">a </w:t>
      </w:r>
      <w:r w:rsidR="000E7588" w:rsidRPr="006107BD">
        <w:rPr>
          <w:rFonts w:ascii="Times New Roman" w:hAnsi="Times New Roman"/>
          <w:szCs w:val="24"/>
          <w:lang w:val="en-US"/>
        </w:rPr>
        <w:t>best</w:t>
      </w:r>
      <w:r w:rsidR="009D2630" w:rsidRPr="006107BD">
        <w:rPr>
          <w:rFonts w:ascii="Times New Roman" w:hAnsi="Times New Roman"/>
          <w:szCs w:val="24"/>
          <w:lang w:val="en-US"/>
        </w:rPr>
        <w:t>-</w:t>
      </w:r>
      <w:r w:rsidR="000E7588" w:rsidRPr="006107BD">
        <w:rPr>
          <w:rFonts w:ascii="Times New Roman" w:hAnsi="Times New Roman"/>
          <w:szCs w:val="24"/>
          <w:lang w:val="en-US"/>
        </w:rPr>
        <w:t xml:space="preserve">fit procedure performed </w:t>
      </w:r>
      <w:r w:rsidR="000E7588" w:rsidRPr="0045218B">
        <w:rPr>
          <w:rFonts w:ascii="Times New Roman" w:hAnsi="Times New Roman"/>
          <w:szCs w:val="24"/>
          <w:lang w:val="en-US"/>
        </w:rPr>
        <w:t>over a large family of</w:t>
      </w:r>
      <w:r w:rsidR="000E7588">
        <w:rPr>
          <w:rFonts w:ascii="Times New Roman" w:hAnsi="Times New Roman"/>
          <w:szCs w:val="24"/>
          <w:lang w:val="en-US"/>
        </w:rPr>
        <w:t xml:space="preserve"> </w:t>
      </w:r>
      <w:r w:rsidR="009D2630">
        <w:rPr>
          <w:rFonts w:ascii="Times New Roman" w:hAnsi="Times New Roman"/>
          <w:szCs w:val="24"/>
          <w:lang w:val="en-US"/>
        </w:rPr>
        <w:t xml:space="preserve">decreasing </w:t>
      </w:r>
      <w:r w:rsidR="000E7588">
        <w:rPr>
          <w:rFonts w:ascii="Times New Roman" w:hAnsi="Times New Roman"/>
          <w:szCs w:val="24"/>
          <w:lang w:val="en-US"/>
        </w:rPr>
        <w:t xml:space="preserve">parametric curves. The effectiveness of the calibration exercise leads to a representation curve </w:t>
      </w:r>
      <w:r w:rsidR="009D2630">
        <w:rPr>
          <w:rFonts w:ascii="Times New Roman" w:hAnsi="Times New Roman"/>
          <w:szCs w:val="24"/>
          <w:lang w:val="en-US"/>
        </w:rPr>
        <w:t xml:space="preserve">that </w:t>
      </w:r>
      <w:r w:rsidR="000E7588">
        <w:rPr>
          <w:rFonts w:ascii="Times New Roman" w:hAnsi="Times New Roman"/>
          <w:szCs w:val="24"/>
          <w:lang w:val="en-US"/>
        </w:rPr>
        <w:t xml:space="preserve">is able to widely describe </w:t>
      </w:r>
      <w:r w:rsidR="000E7588" w:rsidRPr="00E8787D">
        <w:rPr>
          <w:rFonts w:ascii="Times New Roman" w:hAnsi="Times New Roman"/>
          <w:szCs w:val="24"/>
          <w:lang w:val="en-US"/>
        </w:rPr>
        <w:t>the net production costs of</w:t>
      </w:r>
      <w:r w:rsidR="000E7588">
        <w:rPr>
          <w:rFonts w:ascii="Times New Roman" w:hAnsi="Times New Roman"/>
          <w:szCs w:val="24"/>
          <w:lang w:val="en-US"/>
        </w:rPr>
        <w:t xml:space="preserve"> the companies beyond the mere dataset. </w:t>
      </w:r>
      <w:r w:rsidR="009D2630">
        <w:rPr>
          <w:rFonts w:ascii="Times New Roman" w:hAnsi="Times New Roman"/>
          <w:szCs w:val="24"/>
          <w:lang w:val="en-US"/>
        </w:rPr>
        <w:t>Essentially</w:t>
      </w:r>
      <w:r w:rsidR="000E7588">
        <w:rPr>
          <w:rFonts w:ascii="Times New Roman" w:hAnsi="Times New Roman"/>
          <w:szCs w:val="24"/>
          <w:lang w:val="en-US"/>
        </w:rPr>
        <w:t xml:space="preserve">, </w:t>
      </w:r>
      <w:r w:rsidR="009D2630">
        <w:rPr>
          <w:rFonts w:ascii="Times New Roman" w:hAnsi="Times New Roman"/>
          <w:szCs w:val="24"/>
          <w:lang w:val="en-US"/>
        </w:rPr>
        <w:t xml:space="preserve">it </w:t>
      </w:r>
      <w:r w:rsidR="000E7588">
        <w:rPr>
          <w:rFonts w:ascii="Times New Roman" w:hAnsi="Times New Roman"/>
          <w:szCs w:val="24"/>
          <w:lang w:val="en-US"/>
        </w:rPr>
        <w:t xml:space="preserve">can </w:t>
      </w:r>
      <w:r w:rsidR="009D2630">
        <w:rPr>
          <w:rFonts w:ascii="Times New Roman" w:hAnsi="Times New Roman"/>
          <w:szCs w:val="24"/>
          <w:lang w:val="en-US"/>
        </w:rPr>
        <w:t xml:space="preserve">be </w:t>
      </w:r>
      <w:r w:rsidR="000E7588">
        <w:rPr>
          <w:rFonts w:ascii="Times New Roman" w:hAnsi="Times New Roman"/>
          <w:szCs w:val="24"/>
          <w:lang w:val="en-US"/>
        </w:rPr>
        <w:t>state</w:t>
      </w:r>
      <w:r w:rsidR="009D2630">
        <w:rPr>
          <w:rFonts w:ascii="Times New Roman" w:hAnsi="Times New Roman"/>
          <w:szCs w:val="24"/>
          <w:lang w:val="en-US"/>
        </w:rPr>
        <w:t>d</w:t>
      </w:r>
      <w:r w:rsidR="000E7588">
        <w:rPr>
          <w:rFonts w:ascii="Times New Roman" w:hAnsi="Times New Roman"/>
          <w:szCs w:val="24"/>
          <w:lang w:val="en-US"/>
        </w:rPr>
        <w:t xml:space="preserve"> that </w:t>
      </w:r>
      <w:r w:rsidR="00A857A8">
        <w:rPr>
          <w:rFonts w:ascii="Times New Roman" w:hAnsi="Times New Roman"/>
          <w:szCs w:val="24"/>
          <w:lang w:val="en-US"/>
        </w:rPr>
        <w:t xml:space="preserve">the described </w:t>
      </w:r>
      <w:r w:rsidR="000E7588">
        <w:rPr>
          <w:rFonts w:ascii="Times New Roman" w:hAnsi="Times New Roman"/>
          <w:szCs w:val="24"/>
          <w:lang w:val="en-US"/>
        </w:rPr>
        <w:t xml:space="preserve">procedure allows moving from a disaggregated individual analysis to a more informative one of </w:t>
      </w:r>
      <w:r w:rsidR="009D2630">
        <w:rPr>
          <w:rFonts w:ascii="Times New Roman" w:hAnsi="Times New Roman"/>
          <w:szCs w:val="24"/>
          <w:lang w:val="en-US"/>
        </w:rPr>
        <w:t xml:space="preserve">a </w:t>
      </w:r>
      <w:r w:rsidR="000E7588">
        <w:rPr>
          <w:rFonts w:ascii="Times New Roman" w:hAnsi="Times New Roman"/>
          <w:szCs w:val="24"/>
          <w:lang w:val="en-US"/>
        </w:rPr>
        <w:t>systemic type. In this respect, the considered group (leading to the individual indicators) can be viewed as the generator of the system described by the best-fit rank-size law (</w:t>
      </w:r>
      <w:r w:rsidR="009D2630">
        <w:rPr>
          <w:rFonts w:ascii="Times New Roman" w:hAnsi="Times New Roman"/>
          <w:szCs w:val="24"/>
          <w:lang w:val="en-US"/>
        </w:rPr>
        <w:t xml:space="preserve">a </w:t>
      </w:r>
      <w:r w:rsidR="000E7588">
        <w:rPr>
          <w:rFonts w:ascii="Times New Roman" w:hAnsi="Times New Roman"/>
          <w:szCs w:val="24"/>
          <w:lang w:val="en-US"/>
        </w:rPr>
        <w:t>systemic indicator).</w:t>
      </w:r>
    </w:p>
    <w:p w14:paraId="0FFC738D" w14:textId="77777777" w:rsidR="005175FC" w:rsidRPr="00E215E1" w:rsidRDefault="005175FC" w:rsidP="00D539F1">
      <w:pPr>
        <w:spacing w:line="480" w:lineRule="auto"/>
        <w:jc w:val="left"/>
        <w:rPr>
          <w:rFonts w:ascii="Times New Roman" w:hAnsi="Times New Roman"/>
          <w:szCs w:val="24"/>
          <w:lang w:val="en-US"/>
        </w:rPr>
      </w:pPr>
    </w:p>
    <w:p w14:paraId="62E9B1E0" w14:textId="770D6026" w:rsidR="00614543" w:rsidRPr="00E215E1" w:rsidRDefault="00667004" w:rsidP="00D539F1">
      <w:pPr>
        <w:pStyle w:val="TITLE2"/>
        <w:spacing w:before="0" w:after="0" w:line="480" w:lineRule="auto"/>
        <w:jc w:val="left"/>
        <w:rPr>
          <w:rFonts w:ascii="Times New Roman" w:hAnsi="Times New Roman"/>
          <w:sz w:val="24"/>
        </w:rPr>
      </w:pPr>
      <w:r>
        <w:rPr>
          <w:rFonts w:ascii="Times New Roman" w:hAnsi="Times New Roman"/>
          <w:sz w:val="24"/>
        </w:rPr>
        <w:t>3</w:t>
      </w:r>
      <w:r w:rsidR="00614543" w:rsidRPr="00E215E1">
        <w:rPr>
          <w:rFonts w:ascii="Times New Roman" w:hAnsi="Times New Roman"/>
          <w:sz w:val="24"/>
        </w:rPr>
        <w:t xml:space="preserve">. </w:t>
      </w:r>
      <w:r w:rsidR="00565E10">
        <w:rPr>
          <w:rFonts w:ascii="Times New Roman" w:hAnsi="Times New Roman"/>
          <w:sz w:val="24"/>
        </w:rPr>
        <w:t>DEFINITION OF THE ECONOMIC EFFICIENCY INDICATORS AND THEIR PROPERTIES</w:t>
      </w:r>
      <w:r w:rsidR="00FD6F16">
        <w:rPr>
          <w:rFonts w:ascii="Times New Roman" w:hAnsi="Times New Roman"/>
          <w:sz w:val="24"/>
        </w:rPr>
        <w:t xml:space="preserve"> AND LIMITATIONS</w:t>
      </w:r>
    </w:p>
    <w:p w14:paraId="54A2E053" w14:textId="49170443" w:rsidR="00B46739" w:rsidRPr="00E215E1" w:rsidRDefault="00B46739" w:rsidP="00B46739">
      <w:pPr>
        <w:spacing w:line="480" w:lineRule="auto"/>
        <w:ind w:firstLine="0"/>
        <w:jc w:val="left"/>
        <w:rPr>
          <w:rFonts w:ascii="Times New Roman" w:hAnsi="Times New Roman"/>
          <w:szCs w:val="24"/>
          <w:lang w:val="en-US"/>
        </w:rPr>
      </w:pPr>
      <w:r>
        <w:rPr>
          <w:rFonts w:ascii="Times New Roman" w:hAnsi="Times New Roman"/>
          <w:szCs w:val="24"/>
          <w:lang w:val="en-US"/>
        </w:rPr>
        <w:t>Consider</w:t>
      </w:r>
      <w:r w:rsidR="00473AAC">
        <w:rPr>
          <w:rFonts w:ascii="Times New Roman" w:hAnsi="Times New Roman"/>
          <w:szCs w:val="24"/>
          <w:lang w:val="en-US"/>
        </w:rPr>
        <w:t>ing</w:t>
      </w:r>
      <w:r>
        <w:rPr>
          <w:rFonts w:ascii="Times New Roman" w:hAnsi="Times New Roman"/>
          <w:szCs w:val="24"/>
          <w:lang w:val="en-US"/>
        </w:rPr>
        <w:t xml:space="preserve"> a set of </w:t>
      </w:r>
      <w:r w:rsidRPr="00020CCD">
        <w:rPr>
          <w:rFonts w:ascii="Times New Roman" w:hAnsi="Times New Roman"/>
          <w:i/>
          <w:szCs w:val="24"/>
          <w:lang w:val="en-US"/>
        </w:rPr>
        <w:t>N</w:t>
      </w:r>
      <w:r>
        <w:rPr>
          <w:rFonts w:ascii="Times New Roman" w:hAnsi="Times New Roman"/>
          <w:szCs w:val="24"/>
          <w:lang w:val="en-US"/>
        </w:rPr>
        <w:t xml:space="preserve"> companies operating in the context of MSW</w:t>
      </w:r>
      <w:r w:rsidR="00473AAC">
        <w:rPr>
          <w:rFonts w:ascii="Times New Roman" w:hAnsi="Times New Roman"/>
          <w:szCs w:val="24"/>
          <w:lang w:val="en-US"/>
        </w:rPr>
        <w:t>, t</w:t>
      </w:r>
      <w:r>
        <w:rPr>
          <w:rFonts w:ascii="Times New Roman" w:hAnsi="Times New Roman"/>
          <w:szCs w:val="24"/>
          <w:lang w:val="en-US"/>
        </w:rPr>
        <w:t>he indicators are defined by employing the</w:t>
      </w:r>
      <w:r w:rsidR="003626B6">
        <w:rPr>
          <w:rFonts w:ascii="Times New Roman" w:hAnsi="Times New Roman"/>
          <w:szCs w:val="24"/>
          <w:lang w:val="en-US"/>
        </w:rPr>
        <w:t xml:space="preserve"> companies’</w:t>
      </w:r>
      <w:r>
        <w:rPr>
          <w:rFonts w:ascii="Times New Roman" w:hAnsi="Times New Roman"/>
          <w:szCs w:val="24"/>
          <w:lang w:val="en-US"/>
        </w:rPr>
        <w:t xml:space="preserve"> production costs. The economic efficiency</w:t>
      </w:r>
      <w:r w:rsidR="00E8787D">
        <w:rPr>
          <w:rFonts w:ascii="Times New Roman" w:hAnsi="Times New Roman"/>
          <w:szCs w:val="24"/>
          <w:lang w:val="en-US"/>
        </w:rPr>
        <w:t xml:space="preserve"> in terms of income opportunities</w:t>
      </w:r>
      <w:r>
        <w:rPr>
          <w:rFonts w:ascii="Times New Roman" w:hAnsi="Times New Roman"/>
          <w:szCs w:val="24"/>
          <w:lang w:val="en-US"/>
        </w:rPr>
        <w:t xml:space="preserve"> derived from DWC is introduced through an appropriate discounting procedure, where the discount term is based on an efficiency parameter. All the </w:t>
      </w:r>
      <w:r w:rsidR="00826638">
        <w:rPr>
          <w:rFonts w:ascii="Times New Roman" w:hAnsi="Times New Roman"/>
          <w:szCs w:val="24"/>
          <w:lang w:val="en-US"/>
        </w:rPr>
        <w:t>quantities</w:t>
      </w:r>
      <w:r>
        <w:rPr>
          <w:rFonts w:ascii="Times New Roman" w:hAnsi="Times New Roman"/>
          <w:szCs w:val="24"/>
          <w:lang w:val="en-US"/>
        </w:rPr>
        <w:t xml:space="preserve"> are measured in a fixed reference period. Formally,</w:t>
      </w:r>
    </w:p>
    <w:p w14:paraId="0784BC0E" w14:textId="77777777" w:rsidR="00B46739" w:rsidRPr="00E215E1" w:rsidRDefault="00B46739" w:rsidP="00B46739">
      <w:pPr>
        <w:spacing w:line="480" w:lineRule="auto"/>
        <w:ind w:firstLine="0"/>
        <w:jc w:val="left"/>
        <w:rPr>
          <w:rFonts w:ascii="Times New Roman" w:hAnsi="Times New Roman"/>
          <w:szCs w:val="24"/>
          <w:lang w:val="en-US"/>
        </w:rPr>
      </w:pPr>
    </w:p>
    <w:p w14:paraId="0A2F07C8" w14:textId="130B6525" w:rsidR="00B46739" w:rsidRPr="00E215E1" w:rsidRDefault="00B46739" w:rsidP="00B46739">
      <w:pPr>
        <w:spacing w:line="480" w:lineRule="auto"/>
        <w:jc w:val="left"/>
        <w:rPr>
          <w:rFonts w:ascii="Times New Roman" w:hAnsi="Times New Roman"/>
          <w:szCs w:val="24"/>
          <w:lang w:val="en-US"/>
        </w:rPr>
      </w:pPr>
      <w:r w:rsidRPr="00E215E1">
        <w:rPr>
          <w:rFonts w:ascii="Times New Roman" w:hAnsi="Times New Roman"/>
          <w:szCs w:val="24"/>
          <w:lang w:val="en-US"/>
        </w:rPr>
        <w:lastRenderedPageBreak/>
        <w:t xml:space="preserve">                                                </w:t>
      </w:r>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j</m:t>
            </m:r>
          </m:sub>
        </m:sSub>
        <m:d>
          <m:dPr>
            <m:ctrlPr>
              <w:rPr>
                <w:rFonts w:ascii="Cambria Math" w:hAnsi="Cambria Math"/>
                <w:i/>
                <w:lang w:val="en-US"/>
              </w:rPr>
            </m:ctrlPr>
          </m:dPr>
          <m:e>
            <m:r>
              <w:rPr>
                <w:rFonts w:ascii="Cambria Math" w:hAnsi="Cambria Math"/>
                <w:lang w:val="en-US"/>
              </w:rPr>
              <m:t>α</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PC</m:t>
            </m:r>
          </m:e>
          <m:sub>
            <m:r>
              <w:rPr>
                <w:rFonts w:ascii="Cambria Math" w:hAnsi="Cambria Math"/>
                <w:lang w:val="en-US"/>
              </w:rPr>
              <m:t>j</m:t>
            </m:r>
          </m:sub>
        </m:sSub>
        <m:d>
          <m:dPr>
            <m:ctrlPr>
              <w:rPr>
                <w:rFonts w:ascii="Cambria Math" w:hAnsi="Cambria Math"/>
                <w:i/>
                <w:lang w:val="en-US"/>
              </w:rPr>
            </m:ctrlPr>
          </m:dPr>
          <m:e>
            <m:r>
              <w:rPr>
                <w:rFonts w:ascii="Cambria Math" w:hAnsi="Cambria Math"/>
                <w:lang w:val="en-US"/>
              </w:rPr>
              <m:t xml:space="preserve">1-α </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j</m:t>
                </m:r>
              </m:sub>
            </m:sSub>
          </m:e>
        </m:d>
        <m:r>
          <w:rPr>
            <w:rFonts w:ascii="Cambria Math" w:hAnsi="Cambria Math"/>
            <w:lang w:val="en-US"/>
          </w:rPr>
          <m:t>,    j=1, …52</m:t>
        </m:r>
      </m:oMath>
      <w:r w:rsidRPr="00E215E1">
        <w:rPr>
          <w:rFonts w:ascii="Times New Roman" w:hAnsi="Times New Roman"/>
          <w:szCs w:val="24"/>
          <w:lang w:val="en-US"/>
        </w:rPr>
        <w:t xml:space="preserve">                                   (1)</w:t>
      </w:r>
    </w:p>
    <w:p w14:paraId="494A3AF4" w14:textId="77777777" w:rsidR="00B46739" w:rsidRPr="00E215E1" w:rsidRDefault="00B46739" w:rsidP="00B46739">
      <w:pPr>
        <w:spacing w:line="480" w:lineRule="auto"/>
        <w:jc w:val="left"/>
        <w:rPr>
          <w:rFonts w:ascii="Times New Roman" w:hAnsi="Times New Roman"/>
          <w:szCs w:val="24"/>
          <w:lang w:val="en-US"/>
        </w:rPr>
      </w:pPr>
    </w:p>
    <w:p w14:paraId="3FC47E6E" w14:textId="5DFD9667" w:rsidR="00B46739" w:rsidRPr="00E215E1" w:rsidRDefault="00B46739" w:rsidP="00071A8C">
      <w:pPr>
        <w:spacing w:line="480" w:lineRule="auto"/>
        <w:ind w:firstLine="0"/>
        <w:jc w:val="left"/>
        <w:rPr>
          <w:rFonts w:ascii="Times New Roman" w:hAnsi="Times New Roman"/>
          <w:szCs w:val="24"/>
          <w:lang w:val="en-US"/>
        </w:rPr>
      </w:pPr>
      <w:r w:rsidRPr="00E215E1">
        <w:rPr>
          <w:rFonts w:ascii="Times New Roman" w:hAnsi="Times New Roman"/>
          <w:szCs w:val="24"/>
          <w:lang w:val="en-US"/>
        </w:rPr>
        <w:t xml:space="preserve">where </w:t>
      </w:r>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j</m:t>
            </m:r>
          </m:sub>
        </m:sSub>
        <m:d>
          <m:dPr>
            <m:ctrlPr>
              <w:rPr>
                <w:rFonts w:ascii="Cambria Math" w:hAnsi="Cambria Math"/>
                <w:i/>
                <w:lang w:val="en-US"/>
              </w:rPr>
            </m:ctrlPr>
          </m:dPr>
          <m:e>
            <m:r>
              <w:rPr>
                <w:rFonts w:ascii="Cambria Math" w:hAnsi="Cambria Math"/>
                <w:lang w:val="en-US"/>
              </w:rPr>
              <m:t>α</m:t>
            </m:r>
          </m:e>
        </m:d>
      </m:oMath>
      <w:r w:rsidRPr="00E215E1">
        <w:rPr>
          <w:rFonts w:ascii="Times New Roman" w:hAnsi="Times New Roman"/>
          <w:szCs w:val="24"/>
          <w:lang w:val="en-US"/>
        </w:rPr>
        <w:t xml:space="preserve"> represents the net production costs of the company </w:t>
      </w:r>
      <m:oMath>
        <m:r>
          <w:rPr>
            <w:rFonts w:ascii="Cambria Math" w:hAnsi="Cambria Math"/>
            <w:lang w:val="en-US"/>
          </w:rPr>
          <m:t>j</m:t>
        </m:r>
      </m:oMath>
      <w:r w:rsidRPr="00E215E1">
        <w:rPr>
          <w:rFonts w:ascii="Times New Roman" w:hAnsi="Times New Roman"/>
          <w:szCs w:val="24"/>
          <w:lang w:val="en-US"/>
        </w:rPr>
        <w:t xml:space="preserve">, being </w:t>
      </w:r>
      <m:oMath>
        <m:sSub>
          <m:sSubPr>
            <m:ctrlPr>
              <w:rPr>
                <w:rFonts w:ascii="Cambria Math" w:hAnsi="Cambria Math"/>
                <w:i/>
                <w:lang w:val="en-US"/>
              </w:rPr>
            </m:ctrlPr>
          </m:sSubPr>
          <m:e>
            <m:r>
              <w:rPr>
                <w:rFonts w:ascii="Cambria Math" w:hAnsi="Cambria Math"/>
                <w:lang w:val="en-US"/>
              </w:rPr>
              <m:t>PC</m:t>
            </m:r>
          </m:e>
          <m:sub>
            <m:r>
              <w:rPr>
                <w:rFonts w:ascii="Cambria Math" w:hAnsi="Cambria Math"/>
                <w:lang w:val="en-US"/>
              </w:rPr>
              <m:t>j</m:t>
            </m:r>
          </m:sub>
        </m:sSub>
      </m:oMath>
      <w:r w:rsidRPr="00E215E1">
        <w:rPr>
          <w:rFonts w:ascii="Times New Roman" w:hAnsi="Times New Roman"/>
          <w:szCs w:val="24"/>
          <w:lang w:val="en-US"/>
        </w:rPr>
        <w:t xml:space="preserve"> and </w:t>
      </w:r>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j</m:t>
            </m:r>
          </m:sub>
        </m:sSub>
      </m:oMath>
      <w:r w:rsidR="00BF371C">
        <w:rPr>
          <w:rFonts w:ascii="Times New Roman" w:hAnsi="Times New Roman"/>
          <w:szCs w:val="24"/>
          <w:lang w:val="en-US"/>
        </w:rPr>
        <w:t xml:space="preserve">, respectively, </w:t>
      </w:r>
      <w:r w:rsidRPr="00E215E1">
        <w:rPr>
          <w:rFonts w:ascii="Times New Roman" w:hAnsi="Times New Roman"/>
          <w:szCs w:val="24"/>
          <w:lang w:val="en-US"/>
        </w:rPr>
        <w:t xml:space="preserve">the total production costs and the DWC rate of the company </w:t>
      </w:r>
      <m:oMath>
        <m:r>
          <w:rPr>
            <w:rFonts w:ascii="Cambria Math" w:hAnsi="Cambria Math"/>
            <w:lang w:val="en-US"/>
          </w:rPr>
          <m:t>j</m:t>
        </m:r>
      </m:oMath>
      <w:r w:rsidRPr="00E215E1">
        <w:rPr>
          <w:rFonts w:ascii="Times New Roman" w:hAnsi="Times New Roman"/>
          <w:szCs w:val="24"/>
          <w:lang w:val="en-US"/>
        </w:rPr>
        <w:t xml:space="preserve"> </w:t>
      </w:r>
      <w:r>
        <w:rPr>
          <w:rFonts w:ascii="Times New Roman" w:hAnsi="Times New Roman"/>
          <w:szCs w:val="24"/>
          <w:lang w:val="en-US"/>
        </w:rPr>
        <w:t>in the referenced period</w:t>
      </w:r>
      <w:r w:rsidRPr="00E215E1">
        <w:rPr>
          <w:rFonts w:ascii="Times New Roman" w:hAnsi="Times New Roman"/>
          <w:szCs w:val="24"/>
          <w:lang w:val="en-US"/>
        </w:rPr>
        <w:t xml:space="preserve">, and </w:t>
      </w:r>
      <m:oMath>
        <m:r>
          <w:rPr>
            <w:rFonts w:ascii="Cambria Math" w:hAnsi="Cambria Math"/>
            <w:lang w:val="en-US"/>
          </w:rPr>
          <m:t>α∈[0,1]</m:t>
        </m:r>
      </m:oMath>
      <w:r w:rsidRPr="00E215E1">
        <w:rPr>
          <w:rFonts w:ascii="Times New Roman" w:hAnsi="Times New Roman"/>
          <w:szCs w:val="24"/>
          <w:lang w:val="en-US"/>
        </w:rPr>
        <w:t xml:space="preserve"> the economic efficiency parameter of the DWC. In particular, </w:t>
      </w:r>
      <w:r w:rsidR="00071A8C" w:rsidRPr="001B1C9C">
        <w:rPr>
          <w:rFonts w:ascii="Cambria Math" w:hAnsi="Cambria Math"/>
          <w:i/>
          <w:lang w:val="en-US"/>
        </w:rPr>
        <w:t>α</w:t>
      </w:r>
      <w:r w:rsidR="00071A8C" w:rsidRPr="00071A8C">
        <w:rPr>
          <w:rFonts w:ascii="Times New Roman" w:hAnsi="Times New Roman"/>
          <w:szCs w:val="24"/>
          <w:lang w:val="en-US"/>
        </w:rPr>
        <w:t xml:space="preserve"> depends on the ability of the company to obtain </w:t>
      </w:r>
      <w:r w:rsidR="00071A8C">
        <w:rPr>
          <w:rFonts w:ascii="Times New Roman" w:hAnsi="Times New Roman"/>
          <w:szCs w:val="24"/>
          <w:lang w:val="en-US"/>
        </w:rPr>
        <w:t>income</w:t>
      </w:r>
      <w:r w:rsidR="00071A8C" w:rsidRPr="00071A8C">
        <w:rPr>
          <w:rFonts w:ascii="Times New Roman" w:hAnsi="Times New Roman"/>
          <w:szCs w:val="24"/>
          <w:lang w:val="en-US"/>
        </w:rPr>
        <w:t xml:space="preserve"> from recycled materials. It is a parameter whose value is influenced </w:t>
      </w:r>
      <w:r w:rsidR="003626B6">
        <w:rPr>
          <w:rFonts w:ascii="Times New Roman" w:hAnsi="Times New Roman"/>
          <w:szCs w:val="24"/>
          <w:lang w:val="en-US"/>
        </w:rPr>
        <w:t xml:space="preserve">by </w:t>
      </w:r>
      <w:r w:rsidR="00071A8C" w:rsidRPr="00071A8C">
        <w:rPr>
          <w:rFonts w:ascii="Times New Roman" w:hAnsi="Times New Roman"/>
          <w:szCs w:val="24"/>
          <w:lang w:val="en-US"/>
        </w:rPr>
        <w:t>both micro and macroeconomic factors, such as the behavior of the company (i.e.</w:t>
      </w:r>
      <w:r w:rsidR="003626B6">
        <w:rPr>
          <w:rFonts w:ascii="Times New Roman" w:hAnsi="Times New Roman"/>
          <w:szCs w:val="24"/>
          <w:lang w:val="en-US"/>
        </w:rPr>
        <w:t>,</w:t>
      </w:r>
      <w:r w:rsidR="00071A8C" w:rsidRPr="00071A8C">
        <w:rPr>
          <w:rFonts w:ascii="Times New Roman" w:hAnsi="Times New Roman"/>
          <w:szCs w:val="24"/>
          <w:lang w:val="en-US"/>
        </w:rPr>
        <w:t xml:space="preserve"> </w:t>
      </w:r>
      <w:r w:rsidR="00071A8C">
        <w:rPr>
          <w:rFonts w:ascii="Times New Roman" w:hAnsi="Times New Roman"/>
          <w:szCs w:val="24"/>
          <w:lang w:val="en-US"/>
        </w:rPr>
        <w:t xml:space="preserve">the </w:t>
      </w:r>
      <w:r w:rsidR="00071A8C" w:rsidRPr="00071A8C">
        <w:rPr>
          <w:rFonts w:ascii="Times New Roman" w:hAnsi="Times New Roman"/>
          <w:szCs w:val="24"/>
          <w:lang w:val="en-US"/>
        </w:rPr>
        <w:t>ability to prepare waste for recycling) and the level of development of the secondary raw materials market</w:t>
      </w:r>
      <w:r w:rsidR="00EB4BBA">
        <w:rPr>
          <w:rFonts w:ascii="Times New Roman" w:hAnsi="Times New Roman"/>
          <w:szCs w:val="24"/>
          <w:lang w:val="en-US"/>
        </w:rPr>
        <w:t>s</w:t>
      </w:r>
      <w:r w:rsidR="00071A8C" w:rsidRPr="00071A8C">
        <w:rPr>
          <w:rFonts w:ascii="Times New Roman" w:hAnsi="Times New Roman"/>
          <w:szCs w:val="24"/>
          <w:lang w:val="en-US"/>
        </w:rPr>
        <w:t>.</w:t>
      </w:r>
      <w:r w:rsidR="00071A8C">
        <w:rPr>
          <w:rFonts w:ascii="Times New Roman" w:hAnsi="Times New Roman"/>
          <w:szCs w:val="24"/>
          <w:lang w:val="en-US"/>
        </w:rPr>
        <w:t xml:space="preserve"> </w:t>
      </w:r>
      <w:r w:rsidR="00071A8C" w:rsidRPr="00071A8C">
        <w:rPr>
          <w:rFonts w:ascii="Times New Roman" w:hAnsi="Times New Roman"/>
          <w:szCs w:val="24"/>
          <w:lang w:val="en-US"/>
        </w:rPr>
        <w:t xml:space="preserve">If </w:t>
      </w:r>
      <w:r w:rsidR="00071A8C" w:rsidRPr="001B1C9C">
        <w:rPr>
          <w:rFonts w:ascii="Times New Roman" w:hAnsi="Times New Roman"/>
          <w:i/>
          <w:szCs w:val="24"/>
          <w:lang w:val="en-US"/>
        </w:rPr>
        <w:t>α</w:t>
      </w:r>
      <w:r w:rsidR="00071A8C" w:rsidRPr="00071A8C">
        <w:rPr>
          <w:rFonts w:ascii="Times New Roman" w:hAnsi="Times New Roman"/>
          <w:szCs w:val="24"/>
          <w:lang w:val="en-US"/>
        </w:rPr>
        <w:t xml:space="preserve"> is zero, the net production cost is equal to the total production cost</w:t>
      </w:r>
      <w:r w:rsidR="003626B6">
        <w:rPr>
          <w:rFonts w:ascii="Times New Roman" w:hAnsi="Times New Roman"/>
          <w:szCs w:val="24"/>
          <w:lang w:val="en-US"/>
        </w:rPr>
        <w:t>;</w:t>
      </w:r>
      <w:r w:rsidR="00071A8C" w:rsidRPr="00071A8C">
        <w:rPr>
          <w:rFonts w:ascii="Times New Roman" w:hAnsi="Times New Roman"/>
          <w:szCs w:val="24"/>
          <w:lang w:val="en-US"/>
        </w:rPr>
        <w:t xml:space="preserve"> this means that no revenues have been generated from the sale</w:t>
      </w:r>
      <w:r w:rsidR="00E379DC">
        <w:rPr>
          <w:rFonts w:ascii="Times New Roman" w:hAnsi="Times New Roman"/>
          <w:szCs w:val="24"/>
          <w:lang w:val="en-US"/>
        </w:rPr>
        <w:t xml:space="preserve"> of</w:t>
      </w:r>
      <w:r w:rsidR="00071A8C" w:rsidRPr="00071A8C">
        <w:rPr>
          <w:rFonts w:ascii="Times New Roman" w:hAnsi="Times New Roman"/>
          <w:szCs w:val="24"/>
          <w:lang w:val="en-US"/>
        </w:rPr>
        <w:t xml:space="preserve"> </w:t>
      </w:r>
      <w:r w:rsidR="00E379DC">
        <w:rPr>
          <w:rFonts w:ascii="Times New Roman" w:hAnsi="Times New Roman"/>
          <w:szCs w:val="24"/>
          <w:lang w:val="en-US"/>
        </w:rPr>
        <w:t>differentiated waste</w:t>
      </w:r>
      <w:r w:rsidR="00071A8C" w:rsidRPr="00071A8C">
        <w:rPr>
          <w:rFonts w:ascii="Times New Roman" w:hAnsi="Times New Roman"/>
          <w:szCs w:val="24"/>
          <w:lang w:val="en-US"/>
        </w:rPr>
        <w:t xml:space="preserve">. On the contrary, the value of </w:t>
      </w:r>
      <w:r w:rsidR="00071A8C" w:rsidRPr="001B1C9C">
        <w:rPr>
          <w:rFonts w:ascii="Times New Roman" w:hAnsi="Times New Roman"/>
          <w:i/>
          <w:szCs w:val="24"/>
          <w:lang w:val="en-US"/>
        </w:rPr>
        <w:t>α</w:t>
      </w:r>
      <w:r w:rsidR="00071A8C" w:rsidRPr="00071A8C">
        <w:rPr>
          <w:rFonts w:ascii="Times New Roman" w:hAnsi="Times New Roman"/>
          <w:szCs w:val="24"/>
          <w:lang w:val="en-US"/>
        </w:rPr>
        <w:t xml:space="preserve"> begins to rise (0.1</w:t>
      </w:r>
      <w:r w:rsidR="003626B6">
        <w:rPr>
          <w:rFonts w:ascii="Times New Roman" w:hAnsi="Times New Roman"/>
          <w:szCs w:val="24"/>
          <w:lang w:val="en-US"/>
        </w:rPr>
        <w:t>,</w:t>
      </w:r>
      <w:r w:rsidR="00071A8C" w:rsidRPr="00071A8C">
        <w:rPr>
          <w:rFonts w:ascii="Times New Roman" w:hAnsi="Times New Roman"/>
          <w:szCs w:val="24"/>
          <w:lang w:val="en-US"/>
        </w:rPr>
        <w:t xml:space="preserve"> 0.2</w:t>
      </w:r>
      <w:r w:rsidR="003626B6">
        <w:rPr>
          <w:rFonts w:ascii="Times New Roman" w:hAnsi="Times New Roman"/>
          <w:szCs w:val="24"/>
          <w:lang w:val="en-US"/>
        </w:rPr>
        <w:t>,</w:t>
      </w:r>
      <w:r w:rsidR="00071A8C" w:rsidRPr="00071A8C">
        <w:rPr>
          <w:rFonts w:ascii="Times New Roman" w:hAnsi="Times New Roman"/>
          <w:szCs w:val="24"/>
          <w:lang w:val="en-US"/>
        </w:rPr>
        <w:t xml:space="preserve"> 0.3</w:t>
      </w:r>
      <w:r w:rsidR="003626B6">
        <w:rPr>
          <w:rFonts w:ascii="Times New Roman" w:hAnsi="Times New Roman"/>
          <w:szCs w:val="24"/>
          <w:lang w:val="en-US"/>
        </w:rPr>
        <w:t>,</w:t>
      </w:r>
      <w:r w:rsidR="00071A8C" w:rsidRPr="00071A8C">
        <w:rPr>
          <w:rFonts w:ascii="Times New Roman" w:hAnsi="Times New Roman"/>
          <w:szCs w:val="24"/>
          <w:lang w:val="en-US"/>
        </w:rPr>
        <w:t xml:space="preserve"> etc.) when </w:t>
      </w:r>
      <w:r w:rsidR="00071A8C">
        <w:rPr>
          <w:rFonts w:ascii="Times New Roman" w:hAnsi="Times New Roman"/>
          <w:szCs w:val="24"/>
          <w:lang w:val="en-US"/>
        </w:rPr>
        <w:t xml:space="preserve">the </w:t>
      </w:r>
      <w:r w:rsidR="00071A8C" w:rsidRPr="00071A8C">
        <w:rPr>
          <w:rFonts w:ascii="Times New Roman" w:hAnsi="Times New Roman"/>
          <w:szCs w:val="24"/>
          <w:lang w:val="en-US"/>
        </w:rPr>
        <w:t>compan</w:t>
      </w:r>
      <w:r w:rsidR="00071A8C">
        <w:rPr>
          <w:rFonts w:ascii="Times New Roman" w:hAnsi="Times New Roman"/>
          <w:szCs w:val="24"/>
          <w:lang w:val="en-US"/>
        </w:rPr>
        <w:t>y</w:t>
      </w:r>
      <w:r w:rsidR="00071A8C" w:rsidRPr="00071A8C">
        <w:rPr>
          <w:rFonts w:ascii="Times New Roman" w:hAnsi="Times New Roman"/>
          <w:szCs w:val="24"/>
          <w:lang w:val="en-US"/>
        </w:rPr>
        <w:t xml:space="preserve"> </w:t>
      </w:r>
      <w:r w:rsidR="00E379DC">
        <w:rPr>
          <w:rFonts w:ascii="Times New Roman" w:hAnsi="Times New Roman"/>
          <w:szCs w:val="24"/>
          <w:lang w:val="en-US"/>
        </w:rPr>
        <w:t>is able to</w:t>
      </w:r>
      <w:r w:rsidR="00071A8C" w:rsidRPr="00071A8C">
        <w:rPr>
          <w:rFonts w:ascii="Times New Roman" w:hAnsi="Times New Roman"/>
          <w:szCs w:val="24"/>
          <w:lang w:val="en-US"/>
        </w:rPr>
        <w:t xml:space="preserve"> sell the aforementioned materials</w:t>
      </w:r>
      <w:r w:rsidR="003626B6">
        <w:rPr>
          <w:rFonts w:ascii="Times New Roman" w:hAnsi="Times New Roman"/>
          <w:szCs w:val="24"/>
          <w:lang w:val="en-US"/>
        </w:rPr>
        <w:t xml:space="preserve">; the </w:t>
      </w:r>
      <w:r w:rsidR="00071A8C" w:rsidRPr="00071A8C">
        <w:rPr>
          <w:rFonts w:ascii="Times New Roman" w:hAnsi="Times New Roman"/>
          <w:szCs w:val="24"/>
          <w:lang w:val="en-US"/>
        </w:rPr>
        <w:t xml:space="preserve">obtained revenues make it possible to cover part of the production costs. The maximum value of </w:t>
      </w:r>
      <w:r w:rsidR="00071A8C" w:rsidRPr="001B1C9C">
        <w:rPr>
          <w:rFonts w:ascii="Times New Roman" w:hAnsi="Times New Roman"/>
          <w:i/>
          <w:szCs w:val="24"/>
          <w:lang w:val="en-US"/>
        </w:rPr>
        <w:t>α</w:t>
      </w:r>
      <w:r w:rsidR="00071A8C" w:rsidRPr="00071A8C">
        <w:rPr>
          <w:rFonts w:ascii="Times New Roman" w:hAnsi="Times New Roman"/>
          <w:szCs w:val="24"/>
          <w:lang w:val="en-US"/>
        </w:rPr>
        <w:t xml:space="preserve"> (</w:t>
      </w:r>
      <w:r w:rsidR="00E8787D">
        <w:rPr>
          <w:rFonts w:ascii="Times New Roman" w:hAnsi="Times New Roman"/>
          <w:szCs w:val="24"/>
          <w:lang w:val="en-US"/>
        </w:rPr>
        <w:t>1</w:t>
      </w:r>
      <w:r w:rsidR="00071A8C" w:rsidRPr="00071A8C">
        <w:rPr>
          <w:rFonts w:ascii="Times New Roman" w:hAnsi="Times New Roman"/>
          <w:szCs w:val="24"/>
          <w:lang w:val="en-US"/>
        </w:rPr>
        <w:t xml:space="preserve">) represents the maximum efficiency situation, given a certain </w:t>
      </w:r>
      <w:r w:rsidR="00071A8C">
        <w:rPr>
          <w:rFonts w:ascii="Times New Roman" w:hAnsi="Times New Roman"/>
          <w:szCs w:val="24"/>
          <w:lang w:val="en-US"/>
        </w:rPr>
        <w:t>lev</w:t>
      </w:r>
      <w:r w:rsidR="00071A8C" w:rsidRPr="00071A8C">
        <w:rPr>
          <w:rFonts w:ascii="Times New Roman" w:hAnsi="Times New Roman"/>
          <w:szCs w:val="24"/>
          <w:lang w:val="en-US"/>
        </w:rPr>
        <w:t xml:space="preserve">el </w:t>
      </w:r>
      <w:r w:rsidR="00071A8C">
        <w:rPr>
          <w:rFonts w:ascii="Times New Roman" w:hAnsi="Times New Roman"/>
          <w:szCs w:val="24"/>
          <w:lang w:val="en-US"/>
        </w:rPr>
        <w:t xml:space="preserve">of </w:t>
      </w:r>
      <w:r w:rsidR="00071A8C" w:rsidRPr="00071A8C">
        <w:rPr>
          <w:rFonts w:ascii="Times New Roman" w:hAnsi="Times New Roman"/>
          <w:szCs w:val="24"/>
          <w:lang w:val="en-US"/>
        </w:rPr>
        <w:t>DWC (</w:t>
      </w:r>
      <w:r w:rsidR="00071A8C" w:rsidRPr="001B1C9C">
        <w:rPr>
          <w:rFonts w:ascii="Times New Roman" w:hAnsi="Times New Roman"/>
          <w:i/>
          <w:szCs w:val="24"/>
          <w:lang w:val="en-US"/>
        </w:rPr>
        <w:t>d</w:t>
      </w:r>
      <w:r w:rsidR="00071A8C" w:rsidRPr="00071A8C">
        <w:rPr>
          <w:rFonts w:ascii="Times New Roman" w:hAnsi="Times New Roman"/>
          <w:szCs w:val="24"/>
          <w:lang w:val="en-US"/>
        </w:rPr>
        <w:t xml:space="preserve"> in rate)</w:t>
      </w:r>
      <w:r w:rsidR="003626B6">
        <w:rPr>
          <w:rFonts w:ascii="Times New Roman" w:hAnsi="Times New Roman"/>
          <w:szCs w:val="24"/>
          <w:lang w:val="en-US"/>
        </w:rPr>
        <w:t xml:space="preserve">; </w:t>
      </w:r>
      <w:r w:rsidR="00071A8C" w:rsidRPr="00071A8C">
        <w:rPr>
          <w:rFonts w:ascii="Times New Roman" w:hAnsi="Times New Roman"/>
          <w:szCs w:val="24"/>
          <w:lang w:val="en-US"/>
        </w:rPr>
        <w:t>in this case</w:t>
      </w:r>
      <w:r w:rsidR="003626B6">
        <w:rPr>
          <w:rFonts w:ascii="Times New Roman" w:hAnsi="Times New Roman"/>
          <w:szCs w:val="24"/>
          <w:lang w:val="en-US"/>
        </w:rPr>
        <w:t>,</w:t>
      </w:r>
      <w:r w:rsidR="00071A8C" w:rsidRPr="00071A8C">
        <w:rPr>
          <w:rFonts w:ascii="Times New Roman" w:hAnsi="Times New Roman"/>
          <w:szCs w:val="24"/>
          <w:lang w:val="en-US"/>
        </w:rPr>
        <w:t xml:space="preserve"> the company gets the maximum income from the secondary raw materials market. It</w:t>
      </w:r>
      <w:r w:rsidR="003626B6">
        <w:rPr>
          <w:rFonts w:ascii="Times New Roman" w:hAnsi="Times New Roman"/>
          <w:szCs w:val="24"/>
          <w:lang w:val="en-US"/>
        </w:rPr>
        <w:t xml:space="preserve"> i</w:t>
      </w:r>
      <w:r w:rsidR="00071A8C" w:rsidRPr="00071A8C">
        <w:rPr>
          <w:rFonts w:ascii="Times New Roman" w:hAnsi="Times New Roman"/>
          <w:szCs w:val="24"/>
          <w:lang w:val="en-US"/>
        </w:rPr>
        <w:t xml:space="preserve">s important to highlight that the net production cost does not depend only on </w:t>
      </w:r>
      <w:r w:rsidR="00E8787D" w:rsidRPr="001B1C9C">
        <w:rPr>
          <w:rFonts w:ascii="Times New Roman" w:hAnsi="Times New Roman"/>
          <w:i/>
          <w:szCs w:val="24"/>
          <w:lang w:val="en-US"/>
        </w:rPr>
        <w:t>α</w:t>
      </w:r>
      <w:r w:rsidR="00071A8C" w:rsidRPr="00071A8C">
        <w:rPr>
          <w:rFonts w:ascii="Times New Roman" w:hAnsi="Times New Roman"/>
          <w:szCs w:val="24"/>
          <w:lang w:val="en-US"/>
        </w:rPr>
        <w:t xml:space="preserve">, but also on the level of </w:t>
      </w:r>
      <w:r w:rsidR="00071A8C" w:rsidRPr="001B1C9C">
        <w:rPr>
          <w:rFonts w:ascii="Times New Roman" w:hAnsi="Times New Roman"/>
          <w:i/>
          <w:szCs w:val="24"/>
          <w:lang w:val="en-US"/>
        </w:rPr>
        <w:t>d</w:t>
      </w:r>
      <w:r w:rsidR="003626B6">
        <w:rPr>
          <w:rFonts w:ascii="Times New Roman" w:hAnsi="Times New Roman"/>
          <w:szCs w:val="24"/>
          <w:lang w:val="en-US"/>
        </w:rPr>
        <w:t>;</w:t>
      </w:r>
      <w:r w:rsidR="00071A8C" w:rsidRPr="00071A8C">
        <w:rPr>
          <w:rFonts w:ascii="Times New Roman" w:hAnsi="Times New Roman"/>
          <w:szCs w:val="24"/>
          <w:lang w:val="en-US"/>
        </w:rPr>
        <w:t xml:space="preserve"> if the latter is low, even with </w:t>
      </w:r>
      <w:r w:rsidR="00E8787D" w:rsidRPr="001B1C9C">
        <w:rPr>
          <w:rFonts w:ascii="Times New Roman" w:hAnsi="Times New Roman"/>
          <w:i/>
          <w:szCs w:val="24"/>
          <w:lang w:val="en-US"/>
        </w:rPr>
        <w:t>α</w:t>
      </w:r>
      <w:r w:rsidR="00071A8C" w:rsidRPr="00071A8C">
        <w:rPr>
          <w:rFonts w:ascii="Times New Roman" w:hAnsi="Times New Roman"/>
          <w:szCs w:val="24"/>
          <w:lang w:val="en-US"/>
        </w:rPr>
        <w:t xml:space="preserve"> equal to 1</w:t>
      </w:r>
      <w:r w:rsidR="003626B6">
        <w:rPr>
          <w:rFonts w:ascii="Times New Roman" w:hAnsi="Times New Roman"/>
          <w:szCs w:val="24"/>
          <w:lang w:val="en-US"/>
        </w:rPr>
        <w:t>,</w:t>
      </w:r>
      <w:r w:rsidR="00071A8C" w:rsidRPr="00071A8C">
        <w:rPr>
          <w:rFonts w:ascii="Times New Roman" w:hAnsi="Times New Roman"/>
          <w:szCs w:val="24"/>
          <w:lang w:val="en-US"/>
        </w:rPr>
        <w:t xml:space="preserve"> the coverage of the total production cost would be limited. </w:t>
      </w:r>
      <w:r w:rsidR="00071A8C">
        <w:rPr>
          <w:rFonts w:ascii="Times New Roman" w:hAnsi="Times New Roman"/>
          <w:szCs w:val="24"/>
          <w:lang w:val="en-US"/>
        </w:rPr>
        <w:t>W</w:t>
      </w:r>
      <w:r w:rsidR="00071A8C" w:rsidRPr="00071A8C">
        <w:rPr>
          <w:rFonts w:ascii="Times New Roman" w:hAnsi="Times New Roman"/>
          <w:szCs w:val="24"/>
          <w:lang w:val="en-US"/>
        </w:rPr>
        <w:t xml:space="preserve">ith a full </w:t>
      </w:r>
      <w:r w:rsidR="00071A8C" w:rsidRPr="003626B6">
        <w:rPr>
          <w:rFonts w:ascii="Times New Roman" w:hAnsi="Times New Roman"/>
          <w:i/>
          <w:szCs w:val="24"/>
          <w:lang w:val="en-US"/>
        </w:rPr>
        <w:t>d</w:t>
      </w:r>
      <w:r w:rsidR="00071A8C" w:rsidRPr="00071A8C">
        <w:rPr>
          <w:rFonts w:ascii="Times New Roman" w:hAnsi="Times New Roman"/>
          <w:szCs w:val="24"/>
          <w:lang w:val="en-US"/>
        </w:rPr>
        <w:t xml:space="preserve"> (100%) and </w:t>
      </w:r>
      <w:r w:rsidR="00E8787D" w:rsidRPr="001B1C9C">
        <w:rPr>
          <w:rFonts w:ascii="Times New Roman" w:hAnsi="Times New Roman"/>
          <w:i/>
          <w:szCs w:val="24"/>
          <w:lang w:val="en-US"/>
        </w:rPr>
        <w:t>α</w:t>
      </w:r>
      <w:r w:rsidR="00071A8C" w:rsidRPr="00071A8C">
        <w:rPr>
          <w:rFonts w:ascii="Times New Roman" w:hAnsi="Times New Roman"/>
          <w:szCs w:val="24"/>
          <w:lang w:val="en-US"/>
        </w:rPr>
        <w:t xml:space="preserve"> equal to 1, the net production cost would be zero; this means that </w:t>
      </w:r>
      <w:r w:rsidR="003626B6">
        <w:rPr>
          <w:rFonts w:ascii="Times New Roman" w:hAnsi="Times New Roman"/>
          <w:szCs w:val="24"/>
          <w:lang w:val="en-US"/>
        </w:rPr>
        <w:t xml:space="preserve">the </w:t>
      </w:r>
      <w:r w:rsidR="00071A8C" w:rsidRPr="00071A8C">
        <w:rPr>
          <w:rFonts w:ascii="Times New Roman" w:hAnsi="Times New Roman"/>
          <w:szCs w:val="24"/>
          <w:lang w:val="en-US"/>
        </w:rPr>
        <w:t>revenues deriv</w:t>
      </w:r>
      <w:r w:rsidR="003626B6">
        <w:rPr>
          <w:rFonts w:ascii="Times New Roman" w:hAnsi="Times New Roman"/>
          <w:szCs w:val="24"/>
          <w:lang w:val="en-US"/>
        </w:rPr>
        <w:t>ed</w:t>
      </w:r>
      <w:r w:rsidR="00071A8C" w:rsidRPr="00071A8C">
        <w:rPr>
          <w:rFonts w:ascii="Times New Roman" w:hAnsi="Times New Roman"/>
          <w:szCs w:val="24"/>
          <w:lang w:val="en-US"/>
        </w:rPr>
        <w:t xml:space="preserve"> from DWC are able to cover all </w:t>
      </w:r>
      <w:r w:rsidR="003626B6">
        <w:rPr>
          <w:rFonts w:ascii="Times New Roman" w:hAnsi="Times New Roman"/>
          <w:szCs w:val="24"/>
          <w:lang w:val="en-US"/>
        </w:rPr>
        <w:t xml:space="preserve">the </w:t>
      </w:r>
      <w:r w:rsidR="00071A8C" w:rsidRPr="00071A8C">
        <w:rPr>
          <w:rFonts w:ascii="Times New Roman" w:hAnsi="Times New Roman"/>
          <w:szCs w:val="24"/>
          <w:lang w:val="en-US"/>
        </w:rPr>
        <w:t xml:space="preserve">production costs. </w:t>
      </w:r>
    </w:p>
    <w:p w14:paraId="703308FE" w14:textId="2C0145C5" w:rsidR="00B46739" w:rsidRPr="00E215E1" w:rsidRDefault="00B46739" w:rsidP="00B46739">
      <w:pPr>
        <w:spacing w:line="480" w:lineRule="auto"/>
        <w:ind w:firstLine="0"/>
        <w:jc w:val="left"/>
        <w:rPr>
          <w:rFonts w:ascii="Times New Roman" w:hAnsi="Times New Roman"/>
          <w:szCs w:val="24"/>
          <w:lang w:val="en-US"/>
        </w:rPr>
      </w:pPr>
      <w:r w:rsidRPr="00726EE8">
        <w:rPr>
          <w:rFonts w:ascii="Times New Roman" w:hAnsi="Times New Roman"/>
          <w:szCs w:val="24"/>
          <w:lang w:val="en-US"/>
        </w:rPr>
        <w:t>The individual</w:t>
      </w:r>
      <w:r w:rsidR="003626B6">
        <w:rPr>
          <w:rFonts w:ascii="Times New Roman" w:hAnsi="Times New Roman"/>
          <w:szCs w:val="24"/>
          <w:lang w:val="en-US"/>
        </w:rPr>
        <w:t>-</w:t>
      </w:r>
      <w:r w:rsidRPr="00726EE8">
        <w:rPr>
          <w:rFonts w:ascii="Times New Roman" w:hAnsi="Times New Roman"/>
          <w:szCs w:val="24"/>
          <w:lang w:val="en-US"/>
        </w:rPr>
        <w:t>level</w:t>
      </w:r>
      <w:r w:rsidR="00DA308D">
        <w:rPr>
          <w:rFonts w:ascii="Times New Roman" w:hAnsi="Times New Roman"/>
          <w:szCs w:val="24"/>
          <w:lang w:val="en-US"/>
        </w:rPr>
        <w:t xml:space="preserve"> </w:t>
      </w:r>
      <w:r w:rsidRPr="00726EE8">
        <w:rPr>
          <w:rFonts w:ascii="Times New Roman" w:hAnsi="Times New Roman"/>
          <w:szCs w:val="24"/>
          <w:lang w:val="en-US"/>
        </w:rPr>
        <w:t>indicator</w:t>
      </w:r>
      <w:r w:rsidRPr="00E215E1">
        <w:rPr>
          <w:rFonts w:ascii="Times New Roman" w:hAnsi="Times New Roman"/>
          <w:szCs w:val="24"/>
          <w:lang w:val="en-US"/>
        </w:rPr>
        <w:t xml:space="preserve"> is then obtained by implementing a rank-size procedure of the net production costs over the entire set of analyzed companies. </w:t>
      </w:r>
      <w:r w:rsidR="003626B6">
        <w:rPr>
          <w:rFonts w:ascii="Times New Roman" w:hAnsi="Times New Roman"/>
          <w:szCs w:val="24"/>
          <w:lang w:val="en-US"/>
        </w:rPr>
        <w:t>For</w:t>
      </w:r>
      <w:r w:rsidR="003626B6" w:rsidRPr="00E215E1">
        <w:rPr>
          <w:rFonts w:ascii="Times New Roman" w:hAnsi="Times New Roman"/>
          <w:szCs w:val="24"/>
          <w:lang w:val="en-US"/>
        </w:rPr>
        <w:t xml:space="preserve"> </w:t>
      </w:r>
      <w:r w:rsidRPr="00E215E1">
        <w:rPr>
          <w:rFonts w:ascii="Times New Roman" w:hAnsi="Times New Roman"/>
          <w:szCs w:val="24"/>
          <w:lang w:val="en-US"/>
        </w:rPr>
        <w:t xml:space="preserve">this aim, the </w:t>
      </w:r>
      <w:r w:rsidR="00C20E87">
        <w:rPr>
          <w:rFonts w:ascii="Times New Roman" w:hAnsi="Times New Roman"/>
          <w:szCs w:val="24"/>
          <w:lang w:val="en-US"/>
        </w:rPr>
        <w:t xml:space="preserve">52 </w:t>
      </w:r>
      <w:r w:rsidRPr="00E215E1">
        <w:rPr>
          <w:rFonts w:ascii="Times New Roman" w:hAnsi="Times New Roman"/>
          <w:szCs w:val="24"/>
          <w:lang w:val="en-US"/>
        </w:rPr>
        <w:t xml:space="preserve">companies </w:t>
      </w:r>
      <w:r w:rsidR="003626B6">
        <w:rPr>
          <w:rFonts w:ascii="Times New Roman" w:hAnsi="Times New Roman"/>
          <w:szCs w:val="24"/>
          <w:lang w:val="en-US"/>
        </w:rPr>
        <w:t xml:space="preserve">are sorted </w:t>
      </w:r>
      <w:r w:rsidRPr="00E215E1">
        <w:rPr>
          <w:rFonts w:ascii="Times New Roman" w:hAnsi="Times New Roman"/>
          <w:szCs w:val="24"/>
          <w:lang w:val="en-US"/>
        </w:rPr>
        <w:t xml:space="preserve">in terms of their </w:t>
      </w:r>
      <m:oMath>
        <m:r>
          <w:rPr>
            <w:rFonts w:ascii="Cambria Math" w:hAnsi="Cambria Math"/>
            <w:lang w:val="en-US"/>
          </w:rPr>
          <m:t>Γ</m:t>
        </m:r>
        <m:d>
          <m:dPr>
            <m:ctrlPr>
              <w:rPr>
                <w:rFonts w:ascii="Cambria Math" w:hAnsi="Cambria Math"/>
                <w:i/>
                <w:lang w:val="en-US"/>
              </w:rPr>
            </m:ctrlPr>
          </m:dPr>
          <m:e>
            <m:r>
              <w:rPr>
                <w:rFonts w:ascii="Cambria Math" w:hAnsi="Cambria Math"/>
                <w:lang w:val="en-US"/>
              </w:rPr>
              <m:t>α</m:t>
            </m:r>
          </m:e>
        </m:d>
      </m:oMath>
      <w:r w:rsidRPr="00E215E1">
        <w:rPr>
          <w:rFonts w:ascii="Times New Roman" w:hAnsi="Times New Roman"/>
          <w:szCs w:val="24"/>
          <w:lang w:val="en-US"/>
        </w:rPr>
        <w:t xml:space="preserve">’s, from the highest value (rank </w:t>
      </w:r>
      <m:oMath>
        <m:r>
          <w:rPr>
            <w:rFonts w:ascii="Cambria Math" w:hAnsi="Cambria Math"/>
            <w:lang w:val="en-US"/>
          </w:rPr>
          <m:t>r=1</m:t>
        </m:r>
      </m:oMath>
      <w:r w:rsidRPr="00E215E1">
        <w:rPr>
          <w:rFonts w:ascii="Times New Roman" w:hAnsi="Times New Roman"/>
          <w:szCs w:val="24"/>
          <w:lang w:val="en-US"/>
        </w:rPr>
        <w:t xml:space="preserve">) to the lowest one (rank </w:t>
      </w:r>
      <m:oMath>
        <m:r>
          <w:rPr>
            <w:rFonts w:ascii="Cambria Math" w:hAnsi="Cambria Math"/>
            <w:lang w:val="en-US"/>
          </w:rPr>
          <m:t>r=52)</m:t>
        </m:r>
      </m:oMath>
      <w:r w:rsidRPr="00E215E1">
        <w:rPr>
          <w:rFonts w:ascii="Times New Roman" w:hAnsi="Times New Roman"/>
          <w:lang w:val="en-US"/>
        </w:rPr>
        <w:t xml:space="preserve">, on the basis of </w:t>
      </w:r>
      <w:r w:rsidR="004A7392">
        <w:rPr>
          <w:rFonts w:ascii="Times New Roman" w:hAnsi="Times New Roman"/>
          <w:lang w:val="en-US"/>
        </w:rPr>
        <w:t xml:space="preserve">equation </w:t>
      </w:r>
      <w:r w:rsidRPr="00E215E1">
        <w:rPr>
          <w:rFonts w:ascii="Times New Roman" w:hAnsi="Times New Roman"/>
          <w:lang w:val="en-US"/>
        </w:rPr>
        <w:t>(1)</w:t>
      </w:r>
      <w:r w:rsidRPr="00E215E1">
        <w:rPr>
          <w:rFonts w:ascii="Times New Roman" w:hAnsi="Times New Roman"/>
          <w:szCs w:val="24"/>
          <w:lang w:val="en-US"/>
        </w:rPr>
        <w:t>. Then, a best fit procedure according to a power law</w:t>
      </w:r>
      <w:r w:rsidR="001409E6">
        <w:rPr>
          <w:rFonts w:ascii="Times New Roman" w:hAnsi="Times New Roman"/>
          <w:szCs w:val="24"/>
          <w:lang w:val="en-US"/>
        </w:rPr>
        <w:t xml:space="preserve"> is implemented</w:t>
      </w:r>
      <w:r w:rsidRPr="00E215E1">
        <w:rPr>
          <w:rFonts w:ascii="Times New Roman" w:hAnsi="Times New Roman"/>
          <w:szCs w:val="24"/>
          <w:lang w:val="en-US"/>
        </w:rPr>
        <w:t xml:space="preserve">, so that size </w:t>
      </w:r>
      <m:oMath>
        <m:r>
          <w:rPr>
            <w:rFonts w:ascii="Cambria Math" w:hAnsi="Cambria Math"/>
            <w:lang w:val="en-US"/>
          </w:rPr>
          <m:t>z</m:t>
        </m:r>
      </m:oMath>
      <w:r w:rsidRPr="00E215E1">
        <w:rPr>
          <w:rFonts w:ascii="Times New Roman" w:hAnsi="Times New Roman"/>
          <w:szCs w:val="24"/>
          <w:lang w:val="en-US"/>
        </w:rPr>
        <w:t xml:space="preserve"> can be approximated by a function of the rank as follows:</w:t>
      </w:r>
    </w:p>
    <w:p w14:paraId="70ECD99A" w14:textId="77777777" w:rsidR="00B46739" w:rsidRPr="00E215E1" w:rsidRDefault="00B46739" w:rsidP="00B46739">
      <w:pPr>
        <w:spacing w:line="480" w:lineRule="auto"/>
        <w:ind w:firstLine="0"/>
        <w:jc w:val="left"/>
        <w:rPr>
          <w:rFonts w:ascii="Times New Roman" w:hAnsi="Times New Roman"/>
          <w:szCs w:val="24"/>
          <w:lang w:val="en-US"/>
        </w:rPr>
      </w:pPr>
    </w:p>
    <w:p w14:paraId="4964E759" w14:textId="77777777" w:rsidR="00B46739" w:rsidRPr="00E215E1" w:rsidRDefault="00B46739" w:rsidP="00B46739">
      <w:pPr>
        <w:spacing w:line="480" w:lineRule="auto"/>
        <w:jc w:val="left"/>
        <w:rPr>
          <w:rFonts w:ascii="Times New Roman" w:hAnsi="Times New Roman"/>
          <w:szCs w:val="24"/>
          <w:lang w:val="en-US"/>
        </w:rPr>
      </w:pPr>
      <w:r w:rsidRPr="00E215E1">
        <w:rPr>
          <w:rFonts w:ascii="Times New Roman" w:hAnsi="Times New Roman"/>
          <w:szCs w:val="24"/>
          <w:lang w:val="en-US"/>
        </w:rPr>
        <w:lastRenderedPageBreak/>
        <w:t xml:space="preserve">                                                  </w:t>
      </w:r>
      <m:oMath>
        <m:r>
          <w:rPr>
            <w:rFonts w:ascii="Cambria Math" w:hAnsi="Cambria Math"/>
            <w:lang w:val="en-US"/>
          </w:rPr>
          <m:t>Γ</m:t>
        </m:r>
        <m:d>
          <m:dPr>
            <m:ctrlPr>
              <w:rPr>
                <w:rFonts w:ascii="Cambria Math" w:hAnsi="Cambria Math"/>
                <w:i/>
                <w:lang w:val="en-US"/>
              </w:rPr>
            </m:ctrlPr>
          </m:dPr>
          <m:e>
            <m:r>
              <w:rPr>
                <w:rFonts w:ascii="Cambria Math" w:hAnsi="Cambria Math"/>
                <w:lang w:val="en-US"/>
              </w:rPr>
              <m:t>α</m:t>
            </m:r>
          </m:e>
        </m:d>
        <m:r>
          <w:rPr>
            <w:rFonts w:ascii="Cambria Math" w:hAnsi="Cambria Math"/>
            <w:lang w:val="en-US"/>
          </w:rPr>
          <m:t>=z≃f</m:t>
        </m:r>
        <m:d>
          <m:dPr>
            <m:ctrlPr>
              <w:rPr>
                <w:rFonts w:ascii="Cambria Math" w:hAnsi="Cambria Math"/>
                <w:i/>
                <w:lang w:val="en-US"/>
              </w:rPr>
            </m:ctrlPr>
          </m:dPr>
          <m:e>
            <m:r>
              <w:rPr>
                <w:rFonts w:ascii="Cambria Math" w:hAnsi="Cambria Math"/>
                <w:lang w:val="en-US"/>
              </w:rPr>
              <m:t>r</m:t>
            </m:r>
          </m:e>
        </m:d>
        <m:r>
          <w:rPr>
            <w:rFonts w:ascii="Cambria Math" w:hAnsi="Cambria Math"/>
            <w:lang w:val="en-US"/>
          </w:rPr>
          <m:t>=a×</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b</m:t>
            </m:r>
          </m:sup>
        </m:sSup>
      </m:oMath>
      <w:r w:rsidRPr="00E215E1">
        <w:rPr>
          <w:rFonts w:ascii="Times New Roman" w:hAnsi="Times New Roman"/>
          <w:szCs w:val="24"/>
          <w:lang w:val="en-US"/>
        </w:rPr>
        <w:t xml:space="preserve">                                             (2) </w:t>
      </w:r>
    </w:p>
    <w:p w14:paraId="3F0C2BA8" w14:textId="77777777" w:rsidR="00B46739" w:rsidRPr="00E215E1" w:rsidRDefault="00B46739" w:rsidP="00B46739">
      <w:pPr>
        <w:spacing w:line="480" w:lineRule="auto"/>
        <w:jc w:val="left"/>
        <w:rPr>
          <w:rFonts w:ascii="Times New Roman" w:hAnsi="Times New Roman"/>
          <w:szCs w:val="24"/>
          <w:lang w:val="en-US"/>
        </w:rPr>
      </w:pPr>
    </w:p>
    <w:p w14:paraId="50F39C34" w14:textId="73AEB5A1" w:rsidR="00B46739" w:rsidRPr="00E215E1" w:rsidRDefault="00B46739" w:rsidP="00B46739">
      <w:pPr>
        <w:spacing w:line="480" w:lineRule="auto"/>
        <w:ind w:firstLine="0"/>
        <w:jc w:val="left"/>
        <w:rPr>
          <w:rFonts w:ascii="Times New Roman" w:hAnsi="Times New Roman"/>
          <w:szCs w:val="24"/>
          <w:lang w:val="en-US"/>
        </w:rPr>
      </w:pPr>
      <w:r w:rsidRPr="00E215E1">
        <w:rPr>
          <w:rFonts w:ascii="Times New Roman" w:hAnsi="Times New Roman"/>
          <w:szCs w:val="24"/>
          <w:lang w:val="en-US"/>
        </w:rPr>
        <w:t xml:space="preserve">where </w:t>
      </w:r>
      <m:oMath>
        <m:r>
          <w:rPr>
            <w:rFonts w:ascii="Cambria Math" w:hAnsi="Cambria Math"/>
            <w:lang w:val="en-US"/>
          </w:rPr>
          <m:t>a,b</m:t>
        </m:r>
        <m:r>
          <m:rPr>
            <m:scr m:val="double-struck"/>
          </m:rPr>
          <w:rPr>
            <w:rFonts w:ascii="Cambria Math" w:hAnsi="Cambria Math"/>
            <w:lang w:val="en-US"/>
          </w:rPr>
          <m:t>∈R</m:t>
        </m:r>
      </m:oMath>
      <w:r w:rsidRPr="00E215E1">
        <w:rPr>
          <w:rFonts w:ascii="Times New Roman" w:hAnsi="Times New Roman"/>
          <w:szCs w:val="24"/>
          <w:lang w:val="en-US"/>
        </w:rPr>
        <w:t xml:space="preserve"> are the parameters to be calibrated. Of course, the best</w:t>
      </w:r>
      <w:r w:rsidR="003626B6">
        <w:rPr>
          <w:rFonts w:ascii="Times New Roman" w:hAnsi="Times New Roman"/>
          <w:szCs w:val="24"/>
          <w:lang w:val="en-US"/>
        </w:rPr>
        <w:t>-</w:t>
      </w:r>
      <w:r w:rsidRPr="00E215E1">
        <w:rPr>
          <w:rFonts w:ascii="Times New Roman" w:hAnsi="Times New Roman"/>
          <w:szCs w:val="24"/>
          <w:lang w:val="en-US"/>
        </w:rPr>
        <w:t xml:space="preserve">fit parameters depend on the considered value of </w:t>
      </w:r>
      <m:oMath>
        <m:r>
          <w:rPr>
            <w:rFonts w:ascii="Cambria Math" w:hAnsi="Cambria Math"/>
            <w:lang w:val="en-US"/>
          </w:rPr>
          <m:t>α</m:t>
        </m:r>
      </m:oMath>
      <w:r w:rsidRPr="00E215E1">
        <w:rPr>
          <w:rFonts w:ascii="Times New Roman" w:hAnsi="Times New Roman"/>
          <w:szCs w:val="24"/>
          <w:lang w:val="en-US"/>
        </w:rPr>
        <w:t xml:space="preserve">. </w:t>
      </w:r>
      <w:r w:rsidR="003626B6">
        <w:rPr>
          <w:rFonts w:ascii="Times New Roman" w:hAnsi="Times New Roman"/>
          <w:szCs w:val="24"/>
          <w:lang w:val="en-US"/>
        </w:rPr>
        <w:t>S</w:t>
      </w:r>
      <w:r w:rsidRPr="00E215E1">
        <w:rPr>
          <w:rFonts w:ascii="Times New Roman" w:hAnsi="Times New Roman"/>
          <w:szCs w:val="24"/>
          <w:lang w:val="en-US"/>
        </w:rPr>
        <w:t xml:space="preserve">uch a dependence </w:t>
      </w:r>
      <w:r w:rsidR="003626B6">
        <w:rPr>
          <w:rFonts w:ascii="Times New Roman" w:hAnsi="Times New Roman"/>
          <w:szCs w:val="24"/>
          <w:lang w:val="en-US"/>
        </w:rPr>
        <w:t xml:space="preserve">is omitted </w:t>
      </w:r>
      <w:r w:rsidRPr="00E215E1">
        <w:rPr>
          <w:rFonts w:ascii="Times New Roman" w:hAnsi="Times New Roman"/>
          <w:szCs w:val="24"/>
          <w:lang w:val="en-US"/>
        </w:rPr>
        <w:t xml:space="preserve">in </w:t>
      </w:r>
      <w:r w:rsidR="004A7392">
        <w:rPr>
          <w:rFonts w:ascii="Times New Roman" w:hAnsi="Times New Roman"/>
          <w:szCs w:val="24"/>
          <w:lang w:val="en-US"/>
        </w:rPr>
        <w:t>equation</w:t>
      </w:r>
      <w:r w:rsidR="004A7392" w:rsidRPr="00E215E1">
        <w:rPr>
          <w:rFonts w:ascii="Times New Roman" w:hAnsi="Times New Roman"/>
          <w:szCs w:val="24"/>
          <w:lang w:val="en-US"/>
        </w:rPr>
        <w:t xml:space="preserve"> </w:t>
      </w:r>
      <w:r w:rsidRPr="00E215E1">
        <w:rPr>
          <w:rFonts w:ascii="Times New Roman" w:hAnsi="Times New Roman"/>
          <w:szCs w:val="24"/>
          <w:lang w:val="en-US"/>
        </w:rPr>
        <w:t>(2) for the sake of notation.</w:t>
      </w:r>
    </w:p>
    <w:p w14:paraId="2CBC5E5E" w14:textId="3EFFA084" w:rsidR="00B46739" w:rsidRPr="00E215E1" w:rsidRDefault="00B46739" w:rsidP="00B46739">
      <w:pPr>
        <w:spacing w:line="480" w:lineRule="auto"/>
        <w:ind w:firstLine="0"/>
        <w:jc w:val="left"/>
        <w:rPr>
          <w:rFonts w:ascii="Times New Roman" w:hAnsi="Times New Roman"/>
          <w:szCs w:val="24"/>
          <w:lang w:val="en-US"/>
        </w:rPr>
      </w:pPr>
      <w:r w:rsidRPr="00E215E1">
        <w:rPr>
          <w:rFonts w:ascii="Times New Roman" w:hAnsi="Times New Roman"/>
          <w:szCs w:val="24"/>
          <w:lang w:val="en-US"/>
        </w:rPr>
        <w:t xml:space="preserve">According to (2), the aggregated net production cost </w:t>
      </w:r>
      <w:r>
        <w:rPr>
          <w:rFonts w:ascii="Times New Roman" w:hAnsi="Times New Roman"/>
          <w:szCs w:val="24"/>
          <w:lang w:val="en-US"/>
        </w:rPr>
        <w:t xml:space="preserve">of the system generated by the companies through a systemic </w:t>
      </w:r>
      <w:r w:rsidRPr="00E215E1">
        <w:rPr>
          <w:rFonts w:ascii="Times New Roman" w:hAnsi="Times New Roman"/>
          <w:szCs w:val="24"/>
          <w:lang w:val="en-US"/>
        </w:rPr>
        <w:t>indicator</w:t>
      </w:r>
      <w:r w:rsidR="003626B6">
        <w:rPr>
          <w:rFonts w:ascii="Times New Roman" w:hAnsi="Times New Roman"/>
          <w:szCs w:val="24"/>
          <w:lang w:val="en-US"/>
        </w:rPr>
        <w:t xml:space="preserve"> is described</w:t>
      </w:r>
      <w:r w:rsidRPr="00E215E1">
        <w:rPr>
          <w:rFonts w:ascii="Times New Roman" w:hAnsi="Times New Roman"/>
          <w:szCs w:val="24"/>
          <w:lang w:val="en-US"/>
        </w:rPr>
        <w:t xml:space="preserve"> as</w:t>
      </w:r>
      <w:r>
        <w:rPr>
          <w:rFonts w:ascii="Times New Roman" w:hAnsi="Times New Roman"/>
          <w:szCs w:val="24"/>
          <w:lang w:val="en-US"/>
        </w:rPr>
        <w:t xml:space="preserve"> follows:</w:t>
      </w:r>
    </w:p>
    <w:p w14:paraId="517D1011" w14:textId="77777777" w:rsidR="00B46739" w:rsidRPr="00E215E1" w:rsidRDefault="00B46739" w:rsidP="00B46739">
      <w:pPr>
        <w:spacing w:line="480" w:lineRule="auto"/>
        <w:ind w:firstLine="0"/>
        <w:jc w:val="left"/>
        <w:rPr>
          <w:rFonts w:ascii="Times New Roman" w:hAnsi="Times New Roman"/>
          <w:szCs w:val="24"/>
          <w:lang w:val="en-US"/>
        </w:rPr>
      </w:pPr>
    </w:p>
    <w:p w14:paraId="45DE46CC" w14:textId="77777777" w:rsidR="00B46739" w:rsidRPr="00E215E1" w:rsidRDefault="00B46739" w:rsidP="00B46739">
      <w:pPr>
        <w:spacing w:line="480" w:lineRule="auto"/>
        <w:jc w:val="left"/>
        <w:rPr>
          <w:rFonts w:ascii="Times New Roman" w:hAnsi="Times New Roman"/>
          <w:szCs w:val="24"/>
          <w:lang w:val="en-US"/>
        </w:rPr>
      </w:pPr>
      <w:r w:rsidRPr="00E215E1">
        <w:rPr>
          <w:rFonts w:ascii="Times New Roman" w:hAnsi="Times New Roman"/>
          <w:szCs w:val="24"/>
          <w:lang w:val="en-US"/>
        </w:rPr>
        <w:t xml:space="preserve">                                               </w:t>
      </w:r>
      <m:oMath>
        <m:r>
          <w:rPr>
            <w:rFonts w:ascii="Cambria Math" w:hAnsi="Cambria Math"/>
            <w:lang w:val="en-US"/>
          </w:rPr>
          <m:t>C</m:t>
        </m:r>
        <m:d>
          <m:dPr>
            <m:ctrlPr>
              <w:rPr>
                <w:rFonts w:ascii="Cambria Math" w:hAnsi="Cambria Math"/>
                <w:i/>
                <w:lang w:val="en-US"/>
              </w:rPr>
            </m:ctrlPr>
          </m:dPr>
          <m:e>
            <m:r>
              <w:rPr>
                <w:rFonts w:ascii="Cambria Math" w:hAnsi="Cambria Math"/>
                <w:lang w:val="en-US"/>
              </w:rPr>
              <m:t>α</m:t>
            </m:r>
          </m:e>
        </m:d>
        <m:r>
          <w:rPr>
            <w:rFonts w:ascii="Cambria Math" w:hAnsi="Cambria Math"/>
            <w:lang w:val="en-US"/>
          </w:rPr>
          <m:t>=</m:t>
        </m:r>
        <m:nary>
          <m:naryPr>
            <m:limLoc m:val="subSup"/>
            <m:ctrlPr>
              <w:rPr>
                <w:rFonts w:ascii="Cambria Math" w:hAnsi="Cambria Math"/>
                <w:i/>
                <w:lang w:val="en-US"/>
              </w:rPr>
            </m:ctrlPr>
          </m:naryPr>
          <m:sub>
            <m:r>
              <w:rPr>
                <w:rFonts w:ascii="Cambria Math" w:hAnsi="Cambria Math"/>
                <w:lang w:val="en-US"/>
              </w:rPr>
              <m:t>0</m:t>
            </m:r>
          </m:sub>
          <m:sup>
            <m:r>
              <w:rPr>
                <w:rFonts w:ascii="Cambria Math" w:hAnsi="Cambria Math"/>
                <w:lang w:val="en-US"/>
              </w:rPr>
              <m:t>52</m:t>
            </m:r>
          </m:sup>
          <m:e>
            <m:acc>
              <m:accPr>
                <m:ctrlPr>
                  <w:rPr>
                    <w:rFonts w:ascii="Cambria Math" w:hAnsi="Cambria Math"/>
                    <w:i/>
                    <w:lang w:val="en-US"/>
                  </w:rPr>
                </m:ctrlPr>
              </m:accPr>
              <m:e>
                <m:r>
                  <w:rPr>
                    <w:rFonts w:ascii="Cambria Math" w:hAnsi="Cambria Math"/>
                    <w:lang w:val="en-US"/>
                  </w:rPr>
                  <m:t>a</m:t>
                </m:r>
              </m:e>
            </m:acc>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acc>
                  <m:accPr>
                    <m:ctrlPr>
                      <w:rPr>
                        <w:rFonts w:ascii="Cambria Math" w:hAnsi="Cambria Math"/>
                        <w:i/>
                        <w:lang w:val="en-US"/>
                      </w:rPr>
                    </m:ctrlPr>
                  </m:accPr>
                  <m:e>
                    <m:r>
                      <w:rPr>
                        <w:rFonts w:ascii="Cambria Math" w:hAnsi="Cambria Math"/>
                        <w:lang w:val="en-US"/>
                      </w:rPr>
                      <m:t>b</m:t>
                    </m:r>
                  </m:e>
                </m:acc>
              </m:sup>
            </m:sSup>
            <m:r>
              <w:rPr>
                <w:rFonts w:ascii="Cambria Math" w:hAnsi="Cambria Math"/>
                <w:lang w:val="en-US"/>
              </w:rPr>
              <m:t xml:space="preserve"> dr</m:t>
            </m:r>
          </m:e>
        </m:nary>
        <m:r>
          <w:rPr>
            <w:rFonts w:ascii="Cambria Math" w:hAnsi="Cambria Math"/>
            <w:lang w:val="en-US"/>
          </w:rPr>
          <m:t>=</m:t>
        </m:r>
        <m:f>
          <m:fPr>
            <m:ctrlPr>
              <w:rPr>
                <w:rFonts w:ascii="Cambria Math" w:hAnsi="Cambria Math"/>
                <w:i/>
                <w:lang w:val="en-US"/>
              </w:rPr>
            </m:ctrlPr>
          </m:fPr>
          <m:num>
            <m:acc>
              <m:accPr>
                <m:ctrlPr>
                  <w:rPr>
                    <w:rFonts w:ascii="Cambria Math" w:hAnsi="Cambria Math"/>
                    <w:i/>
                    <w:lang w:val="en-US"/>
                  </w:rPr>
                </m:ctrlPr>
              </m:accPr>
              <m:e>
                <m:r>
                  <w:rPr>
                    <w:rFonts w:ascii="Cambria Math" w:hAnsi="Cambria Math"/>
                    <w:lang w:val="en-US"/>
                  </w:rPr>
                  <m:t>a</m:t>
                </m:r>
              </m:e>
            </m:acc>
            <m:r>
              <w:rPr>
                <w:rFonts w:ascii="Cambria Math" w:hAnsi="Cambria Math"/>
                <w:lang w:val="en-US"/>
              </w:rPr>
              <m:t>×</m:t>
            </m:r>
            <m:sSup>
              <m:sSupPr>
                <m:ctrlPr>
                  <w:rPr>
                    <w:rFonts w:ascii="Cambria Math" w:hAnsi="Cambria Math"/>
                    <w:i/>
                    <w:lang w:val="en-US"/>
                  </w:rPr>
                </m:ctrlPr>
              </m:sSupPr>
              <m:e>
                <m:r>
                  <w:rPr>
                    <w:rFonts w:ascii="Cambria Math" w:hAnsi="Cambria Math"/>
                    <w:lang w:val="en-US"/>
                  </w:rPr>
                  <m:t>52</m:t>
                </m:r>
              </m:e>
              <m:sup>
                <m:acc>
                  <m:accPr>
                    <m:ctrlPr>
                      <w:rPr>
                        <w:rFonts w:ascii="Cambria Math" w:hAnsi="Cambria Math"/>
                        <w:i/>
                        <w:lang w:val="en-US"/>
                      </w:rPr>
                    </m:ctrlPr>
                  </m:accPr>
                  <m:e>
                    <m:r>
                      <w:rPr>
                        <w:rFonts w:ascii="Cambria Math" w:hAnsi="Cambria Math"/>
                        <w:lang w:val="en-US"/>
                      </w:rPr>
                      <m:t>b</m:t>
                    </m:r>
                  </m:e>
                </m:acc>
                <m:r>
                  <w:rPr>
                    <w:rFonts w:ascii="Cambria Math" w:hAnsi="Cambria Math"/>
                    <w:lang w:val="en-US"/>
                  </w:rPr>
                  <m:t>+1</m:t>
                </m:r>
              </m:sup>
            </m:sSup>
          </m:num>
          <m:den>
            <m:acc>
              <m:accPr>
                <m:ctrlPr>
                  <w:rPr>
                    <w:rFonts w:ascii="Cambria Math" w:hAnsi="Cambria Math"/>
                    <w:i/>
                    <w:lang w:val="en-US"/>
                  </w:rPr>
                </m:ctrlPr>
              </m:accPr>
              <m:e>
                <m:r>
                  <w:rPr>
                    <w:rFonts w:ascii="Cambria Math" w:hAnsi="Cambria Math"/>
                    <w:lang w:val="en-US"/>
                  </w:rPr>
                  <m:t>b</m:t>
                </m:r>
              </m:e>
            </m:acc>
            <m:r>
              <w:rPr>
                <w:rFonts w:ascii="Cambria Math" w:hAnsi="Cambria Math"/>
                <w:lang w:val="en-US"/>
              </w:rPr>
              <m:t>+1</m:t>
            </m:r>
          </m:den>
        </m:f>
      </m:oMath>
      <w:r w:rsidRPr="00E215E1">
        <w:rPr>
          <w:rFonts w:ascii="Times New Roman" w:hAnsi="Times New Roman"/>
          <w:szCs w:val="24"/>
          <w:lang w:val="en-US"/>
        </w:rPr>
        <w:t xml:space="preserve">                                      (3) </w:t>
      </w:r>
    </w:p>
    <w:p w14:paraId="7B4EEC27" w14:textId="77777777" w:rsidR="00B46739" w:rsidRPr="00E215E1" w:rsidRDefault="00B46739" w:rsidP="00B46739">
      <w:pPr>
        <w:spacing w:line="480" w:lineRule="auto"/>
        <w:jc w:val="left"/>
        <w:rPr>
          <w:rFonts w:ascii="Times New Roman" w:hAnsi="Times New Roman"/>
          <w:szCs w:val="24"/>
          <w:lang w:val="en-US"/>
        </w:rPr>
      </w:pPr>
    </w:p>
    <w:p w14:paraId="45157B13" w14:textId="77777777" w:rsidR="00B46739" w:rsidRDefault="00B46739" w:rsidP="00B46739">
      <w:pPr>
        <w:spacing w:line="480" w:lineRule="auto"/>
        <w:ind w:firstLine="0"/>
        <w:jc w:val="left"/>
        <w:rPr>
          <w:rFonts w:ascii="Times New Roman" w:hAnsi="Times New Roman"/>
          <w:szCs w:val="24"/>
          <w:lang w:val="en-US"/>
        </w:rPr>
      </w:pPr>
      <w:r w:rsidRPr="00E215E1">
        <w:rPr>
          <w:rFonts w:ascii="Times New Roman" w:hAnsi="Times New Roman"/>
          <w:szCs w:val="24"/>
          <w:lang w:val="en-US"/>
        </w:rPr>
        <w:t xml:space="preserve">where </w:t>
      </w:r>
      <m:oMath>
        <m:acc>
          <m:accPr>
            <m:ctrlPr>
              <w:rPr>
                <w:rFonts w:ascii="Cambria Math" w:hAnsi="Cambria Math"/>
                <w:i/>
                <w:lang w:val="en-US"/>
              </w:rPr>
            </m:ctrlPr>
          </m:accPr>
          <m:e>
            <m:r>
              <w:rPr>
                <w:rFonts w:ascii="Cambria Math" w:hAnsi="Cambria Math"/>
                <w:lang w:val="en-US"/>
              </w:rPr>
              <m:t>a</m:t>
            </m:r>
          </m:e>
        </m:acc>
        <m:r>
          <w:rPr>
            <w:rFonts w:ascii="Cambria Math" w:hAnsi="Cambria Math"/>
            <w:lang w:val="en-US"/>
          </w:rPr>
          <m:t xml:space="preserve">, </m:t>
        </m:r>
        <m:acc>
          <m:accPr>
            <m:ctrlPr>
              <w:rPr>
                <w:rFonts w:ascii="Cambria Math" w:hAnsi="Cambria Math"/>
                <w:i/>
                <w:lang w:val="en-US"/>
              </w:rPr>
            </m:ctrlPr>
          </m:accPr>
          <m:e>
            <m:r>
              <w:rPr>
                <w:rFonts w:ascii="Cambria Math" w:hAnsi="Cambria Math"/>
                <w:lang w:val="en-US"/>
              </w:rPr>
              <m:t>b</m:t>
            </m:r>
          </m:e>
        </m:acc>
        <m:r>
          <m:rPr>
            <m:scr m:val="double-struck"/>
          </m:rPr>
          <w:rPr>
            <w:rFonts w:ascii="Cambria Math" w:hAnsi="Cambria Math"/>
            <w:lang w:val="en-US"/>
          </w:rPr>
          <m:t xml:space="preserve"> ∈R</m:t>
        </m:r>
      </m:oMath>
      <w:r w:rsidRPr="00E215E1">
        <w:rPr>
          <w:rFonts w:ascii="Times New Roman" w:hAnsi="Times New Roman"/>
          <w:lang w:val="en-US"/>
        </w:rPr>
        <w:t xml:space="preserve"> are </w:t>
      </w:r>
      <w:r w:rsidRPr="00E215E1">
        <w:rPr>
          <w:rFonts w:ascii="Times New Roman" w:hAnsi="Times New Roman"/>
          <w:szCs w:val="24"/>
          <w:lang w:val="en-US"/>
        </w:rPr>
        <w:t>the calibrated parameters.</w:t>
      </w:r>
    </w:p>
    <w:p w14:paraId="313DF7EF" w14:textId="37D608D7" w:rsidR="00B46739" w:rsidRPr="00CF13A3" w:rsidRDefault="00B46739" w:rsidP="00B46739">
      <w:pPr>
        <w:spacing w:line="480" w:lineRule="auto"/>
        <w:ind w:firstLine="0"/>
        <w:rPr>
          <w:rFonts w:ascii="Times New Roman" w:hAnsi="Times New Roman"/>
          <w:lang w:val="en-GB"/>
        </w:rPr>
      </w:pPr>
      <w:r w:rsidRPr="0017642A">
        <w:rPr>
          <w:rFonts w:ascii="Times New Roman" w:hAnsi="Times New Roman"/>
          <w:szCs w:val="24"/>
          <w:lang w:val="en-US"/>
        </w:rPr>
        <w:t xml:space="preserve">The term </w:t>
      </w:r>
      <m:oMath>
        <m:r>
          <m:rPr>
            <m:sty m:val="p"/>
          </m:rPr>
          <w:rPr>
            <w:rFonts w:ascii="Cambria Math" w:hAnsi="Cambria Math"/>
            <w:szCs w:val="24"/>
            <w:lang w:val="en-US"/>
          </w:rPr>
          <m:t>C</m:t>
        </m:r>
        <m:d>
          <m:dPr>
            <m:ctrlPr>
              <w:rPr>
                <w:rFonts w:ascii="Cambria Math" w:hAnsi="Cambria Math"/>
                <w:szCs w:val="24"/>
                <w:lang w:val="en-US"/>
              </w:rPr>
            </m:ctrlPr>
          </m:dPr>
          <m:e>
            <m:r>
              <w:rPr>
                <w:rFonts w:ascii="Cambria Math" w:hAnsi="Cambria Math"/>
                <w:szCs w:val="24"/>
                <w:lang w:val="en-US"/>
              </w:rPr>
              <m:t>α</m:t>
            </m:r>
          </m:e>
        </m:d>
      </m:oMath>
      <w:r w:rsidRPr="0017642A">
        <w:rPr>
          <w:rFonts w:ascii="Times New Roman" w:hAnsi="Times New Roman"/>
          <w:szCs w:val="24"/>
          <w:lang w:val="en-US"/>
        </w:rPr>
        <w:t xml:space="preserve"> in </w:t>
      </w:r>
      <w:r w:rsidR="004A7392">
        <w:rPr>
          <w:rFonts w:ascii="Times New Roman" w:hAnsi="Times New Roman"/>
          <w:szCs w:val="24"/>
          <w:lang w:val="en-US"/>
        </w:rPr>
        <w:t>equation</w:t>
      </w:r>
      <w:r w:rsidR="004A7392" w:rsidRPr="0017642A">
        <w:rPr>
          <w:rFonts w:ascii="Times New Roman" w:hAnsi="Times New Roman"/>
          <w:szCs w:val="24"/>
          <w:lang w:val="en-US"/>
        </w:rPr>
        <w:t xml:space="preserve"> </w:t>
      </w:r>
      <w:r w:rsidRPr="0017642A">
        <w:rPr>
          <w:rFonts w:ascii="Times New Roman" w:hAnsi="Times New Roman"/>
          <w:szCs w:val="24"/>
          <w:lang w:val="en-US"/>
        </w:rPr>
        <w:t xml:space="preserve">(3) </w:t>
      </w:r>
      <w:r w:rsidRPr="00056982">
        <w:rPr>
          <w:rFonts w:ascii="Times New Roman" w:hAnsi="Times New Roman"/>
          <w:szCs w:val="24"/>
          <w:lang w:val="en-US"/>
        </w:rPr>
        <w:t>represents the economic efficiency indicator at the overall</w:t>
      </w:r>
      <w:r w:rsidRPr="0017642A">
        <w:rPr>
          <w:rFonts w:ascii="Times New Roman" w:hAnsi="Times New Roman"/>
          <w:szCs w:val="24"/>
          <w:lang w:val="en-US"/>
        </w:rPr>
        <w:t xml:space="preserve"> system level, and is obtained as an aggregation </w:t>
      </w:r>
      <w:r>
        <w:rPr>
          <w:rFonts w:ascii="Times New Roman" w:hAnsi="Times New Roman"/>
          <w:szCs w:val="24"/>
          <w:lang w:val="en-US"/>
        </w:rPr>
        <w:t>based on</w:t>
      </w:r>
      <w:r w:rsidRPr="0017642A">
        <w:rPr>
          <w:rFonts w:ascii="Times New Roman" w:hAnsi="Times New Roman"/>
          <w:szCs w:val="24"/>
          <w:lang w:val="en-US"/>
        </w:rPr>
        <w:t xml:space="preserve"> the economic efficiency indicator at the individual compan</w:t>
      </w:r>
      <w:r w:rsidR="00614DE3">
        <w:rPr>
          <w:rFonts w:ascii="Times New Roman" w:hAnsi="Times New Roman"/>
          <w:szCs w:val="24"/>
          <w:lang w:val="en-US"/>
        </w:rPr>
        <w:t>y</w:t>
      </w:r>
      <w:r w:rsidRPr="0017642A">
        <w:rPr>
          <w:rFonts w:ascii="Times New Roman" w:hAnsi="Times New Roman"/>
          <w:szCs w:val="24"/>
          <w:lang w:val="en-US"/>
        </w:rPr>
        <w:t xml:space="preserve"> level</w:t>
      </w:r>
      <w:r>
        <w:rPr>
          <w:rFonts w:ascii="Times New Roman" w:hAnsi="Times New Roman"/>
          <w:szCs w:val="24"/>
          <w:lang w:val="en-US"/>
        </w:rPr>
        <w:t xml:space="preserve"> (see </w:t>
      </w:r>
      <w:r w:rsidR="004A7392">
        <w:rPr>
          <w:rFonts w:ascii="Times New Roman" w:hAnsi="Times New Roman"/>
          <w:szCs w:val="24"/>
          <w:lang w:val="en-US"/>
        </w:rPr>
        <w:t xml:space="preserve">equation </w:t>
      </w:r>
      <w:r>
        <w:rPr>
          <w:rFonts w:ascii="Times New Roman" w:hAnsi="Times New Roman"/>
          <w:szCs w:val="24"/>
          <w:lang w:val="en-US"/>
        </w:rPr>
        <w:t>(2</w:t>
      </w:r>
      <w:r w:rsidR="00E6039C">
        <w:rPr>
          <w:rFonts w:ascii="Times New Roman" w:hAnsi="Times New Roman"/>
          <w:szCs w:val="24"/>
          <w:lang w:val="en-US"/>
        </w:rPr>
        <w:t>)</w:t>
      </w:r>
      <w:r>
        <w:rPr>
          <w:rFonts w:ascii="Times New Roman" w:hAnsi="Times New Roman"/>
          <w:szCs w:val="24"/>
          <w:lang w:val="en-US"/>
        </w:rPr>
        <w:t>).</w:t>
      </w:r>
    </w:p>
    <w:p w14:paraId="315D533B" w14:textId="77777777" w:rsidR="00B46739" w:rsidRPr="00CF13A3" w:rsidRDefault="00B46739" w:rsidP="00B46739">
      <w:pPr>
        <w:spacing w:line="480" w:lineRule="auto"/>
        <w:ind w:firstLine="0"/>
        <w:rPr>
          <w:rFonts w:ascii="Times New Roman" w:hAnsi="Times New Roman"/>
          <w:lang w:val="en-GB"/>
        </w:rPr>
      </w:pPr>
      <w:r>
        <w:rPr>
          <w:rFonts w:ascii="Times New Roman" w:hAnsi="Times New Roman"/>
          <w:szCs w:val="24"/>
          <w:lang w:val="en-US"/>
        </w:rPr>
        <w:t xml:space="preserve">An interpretation of the calibrated parameters </w:t>
      </w:r>
      <m:oMath>
        <m:acc>
          <m:accPr>
            <m:ctrlPr>
              <w:rPr>
                <w:rFonts w:ascii="Cambria Math" w:hAnsi="Cambria Math"/>
                <w:i/>
              </w:rPr>
            </m:ctrlPr>
          </m:accPr>
          <m:e>
            <m:r>
              <w:rPr>
                <w:rFonts w:ascii="Cambria Math" w:hAnsi="Cambria Math"/>
              </w:rPr>
              <m:t>a</m:t>
            </m:r>
          </m:e>
        </m:acc>
      </m:oMath>
      <w:r>
        <w:rPr>
          <w:rFonts w:ascii="Times New Roman" w:hAnsi="Times New Roman"/>
          <w:lang w:val="en-GB"/>
        </w:rPr>
        <w:t xml:space="preserve"> and </w:t>
      </w:r>
      <m:oMath>
        <m:acc>
          <m:accPr>
            <m:ctrlPr>
              <w:rPr>
                <w:rFonts w:ascii="Cambria Math" w:hAnsi="Cambria Math"/>
                <w:i/>
              </w:rPr>
            </m:ctrlPr>
          </m:accPr>
          <m:e>
            <m:r>
              <w:rPr>
                <w:rFonts w:ascii="Cambria Math" w:hAnsi="Cambria Math"/>
              </w:rPr>
              <m:t>b</m:t>
            </m:r>
          </m:e>
        </m:acc>
      </m:oMath>
      <w:r w:rsidRPr="00CF13A3">
        <w:rPr>
          <w:rFonts w:ascii="Times New Roman" w:hAnsi="Times New Roman"/>
          <w:lang w:val="en-GB"/>
        </w:rPr>
        <w:t xml:space="preserve"> is in order. </w:t>
      </w:r>
    </w:p>
    <w:p w14:paraId="644EDC3E" w14:textId="7B4A4A44" w:rsidR="00B46739" w:rsidRPr="00CF13A3" w:rsidRDefault="00B46739" w:rsidP="00B46739">
      <w:pPr>
        <w:spacing w:line="480" w:lineRule="auto"/>
        <w:ind w:firstLine="0"/>
        <w:rPr>
          <w:rFonts w:ascii="Times New Roman" w:hAnsi="Times New Roman"/>
          <w:lang w:val="en-GB"/>
        </w:rPr>
      </w:pPr>
      <w:r w:rsidRPr="00CF13A3">
        <w:rPr>
          <w:rFonts w:ascii="Times New Roman" w:hAnsi="Times New Roman"/>
          <w:lang w:val="en-GB"/>
        </w:rPr>
        <w:t xml:space="preserve">The value of </w:t>
      </w:r>
      <m:oMath>
        <m:acc>
          <m:accPr>
            <m:ctrlPr>
              <w:rPr>
                <w:rFonts w:ascii="Cambria Math" w:hAnsi="Cambria Math"/>
                <w:i/>
              </w:rPr>
            </m:ctrlPr>
          </m:accPr>
          <m:e>
            <m:r>
              <w:rPr>
                <w:rFonts w:ascii="Cambria Math" w:hAnsi="Cambria Math"/>
              </w:rPr>
              <m:t>a</m:t>
            </m:r>
          </m:e>
        </m:acc>
      </m:oMath>
      <w:r w:rsidRPr="00CF13A3">
        <w:rPr>
          <w:rFonts w:ascii="Times New Roman" w:hAnsi="Times New Roman"/>
          <w:lang w:val="en-GB"/>
        </w:rPr>
        <w:t xml:space="preserve"> gives information on the maximum level of the net production costs in the overall sample. In particular, the highest ranked production costs are of high (low) value </w:t>
      </w:r>
      <w:r w:rsidR="00D42B10">
        <w:rPr>
          <w:rFonts w:ascii="Times New Roman" w:hAnsi="Times New Roman"/>
          <w:lang w:val="en-GB"/>
        </w:rPr>
        <w:t>if</w:t>
      </w:r>
      <w:r w:rsidR="00D42B10" w:rsidRPr="00CF13A3">
        <w:rPr>
          <w:rFonts w:ascii="Times New Roman" w:hAnsi="Times New Roman"/>
          <w:lang w:val="en-GB"/>
        </w:rPr>
        <w:t xml:space="preserve"> </w:t>
      </w:r>
      <w:r w:rsidRPr="00CF13A3">
        <w:rPr>
          <w:rFonts w:ascii="Times New Roman" w:hAnsi="Times New Roman"/>
          <w:lang w:val="en-GB"/>
        </w:rPr>
        <w:t xml:space="preserve">the value of such a parameter is high (low). </w:t>
      </w:r>
    </w:p>
    <w:p w14:paraId="5C35F60A" w14:textId="50AF9DF0" w:rsidR="00B46739" w:rsidRPr="00CF13A3" w:rsidRDefault="00B46739" w:rsidP="00B46739">
      <w:pPr>
        <w:spacing w:line="480" w:lineRule="auto"/>
        <w:ind w:firstLine="0"/>
        <w:rPr>
          <w:rFonts w:ascii="Times New Roman" w:hAnsi="Times New Roman"/>
          <w:lang w:val="en-GB"/>
        </w:rPr>
      </w:pPr>
      <w:r w:rsidRPr="00CF13A3">
        <w:rPr>
          <w:rFonts w:ascii="Times New Roman" w:hAnsi="Times New Roman"/>
          <w:lang w:val="en-GB"/>
        </w:rPr>
        <w:t xml:space="preserve">The calibrated parameter </w:t>
      </w:r>
      <m:oMath>
        <m:acc>
          <m:accPr>
            <m:ctrlPr>
              <w:rPr>
                <w:rFonts w:ascii="Cambria Math" w:hAnsi="Cambria Math"/>
                <w:i/>
              </w:rPr>
            </m:ctrlPr>
          </m:accPr>
          <m:e>
            <m:r>
              <w:rPr>
                <w:rFonts w:ascii="Cambria Math" w:hAnsi="Cambria Math"/>
              </w:rPr>
              <m:t>b</m:t>
            </m:r>
          </m:e>
        </m:acc>
      </m:oMath>
      <w:r w:rsidRPr="00CF13A3">
        <w:rPr>
          <w:rFonts w:ascii="Times New Roman" w:hAnsi="Times New Roman"/>
          <w:lang w:val="en-GB"/>
        </w:rPr>
        <w:t xml:space="preserve"> captures the concavity of the best-fit curve, hence describing how the net prod</w:t>
      </w:r>
      <w:r>
        <w:rPr>
          <w:rFonts w:ascii="Times New Roman" w:hAnsi="Times New Roman"/>
          <w:lang w:val="en-GB"/>
        </w:rPr>
        <w:t>u</w:t>
      </w:r>
      <w:r w:rsidRPr="00CF13A3">
        <w:rPr>
          <w:rFonts w:ascii="Times New Roman" w:hAnsi="Times New Roman"/>
          <w:lang w:val="en-GB"/>
        </w:rPr>
        <w:t xml:space="preserve">ction costs pass from high ranks to low ones. Substantially, a small (large) deviation among the costs ranked at high and medium levels would lead to a calibrated parameter </w:t>
      </w:r>
      <m:oMath>
        <m:acc>
          <m:accPr>
            <m:ctrlPr>
              <w:rPr>
                <w:rFonts w:ascii="Cambria Math" w:hAnsi="Cambria Math"/>
                <w:i/>
              </w:rPr>
            </m:ctrlPr>
          </m:accPr>
          <m:e>
            <m:r>
              <w:rPr>
                <w:rFonts w:ascii="Cambria Math" w:hAnsi="Cambria Math"/>
              </w:rPr>
              <m:t>b</m:t>
            </m:r>
          </m:e>
        </m:acc>
      </m:oMath>
      <w:r w:rsidRPr="00CF13A3">
        <w:rPr>
          <w:rFonts w:ascii="Times New Roman" w:hAnsi="Times New Roman"/>
          <w:lang w:val="en-GB"/>
        </w:rPr>
        <w:t xml:space="preserve"> of small (large) absolute value. Thus, the value of the systemic indicator in </w:t>
      </w:r>
      <w:r w:rsidR="004A7392">
        <w:rPr>
          <w:rFonts w:ascii="Times New Roman" w:hAnsi="Times New Roman"/>
          <w:lang w:val="en-GB"/>
        </w:rPr>
        <w:t>equation</w:t>
      </w:r>
      <w:r w:rsidR="004A7392" w:rsidRPr="00CF13A3">
        <w:rPr>
          <w:rFonts w:ascii="Times New Roman" w:hAnsi="Times New Roman"/>
          <w:lang w:val="en-GB"/>
        </w:rPr>
        <w:t xml:space="preserve"> </w:t>
      </w:r>
      <w:r w:rsidRPr="00CF13A3">
        <w:rPr>
          <w:rFonts w:ascii="Times New Roman" w:hAnsi="Times New Roman"/>
          <w:lang w:val="en-GB"/>
        </w:rPr>
        <w:t xml:space="preserve">(3) might be viewed as an increasing function of </w:t>
      </w:r>
      <m:oMath>
        <m:acc>
          <m:accPr>
            <m:ctrlPr>
              <w:rPr>
                <w:rFonts w:ascii="Cambria Math" w:hAnsi="Cambria Math"/>
                <w:i/>
              </w:rPr>
            </m:ctrlPr>
          </m:accPr>
          <m:e>
            <m:r>
              <w:rPr>
                <w:rFonts w:ascii="Cambria Math" w:hAnsi="Cambria Math"/>
              </w:rPr>
              <m:t>a</m:t>
            </m:r>
          </m:e>
        </m:acc>
      </m:oMath>
      <w:r w:rsidRPr="00CF13A3">
        <w:rPr>
          <w:rFonts w:ascii="Times New Roman" w:hAnsi="Times New Roman"/>
          <w:lang w:val="en-GB"/>
        </w:rPr>
        <w:t xml:space="preserve"> and a decreasing function of </w:t>
      </w:r>
      <m:oMath>
        <m:acc>
          <m:accPr>
            <m:ctrlPr>
              <w:rPr>
                <w:rFonts w:ascii="Cambria Math" w:hAnsi="Cambria Math"/>
                <w:i/>
              </w:rPr>
            </m:ctrlPr>
          </m:accPr>
          <m:e>
            <m:r>
              <w:rPr>
                <w:rFonts w:ascii="Cambria Math" w:hAnsi="Cambria Math"/>
              </w:rPr>
              <m:t>b</m:t>
            </m:r>
          </m:e>
        </m:acc>
      </m:oMath>
      <w:r w:rsidRPr="00CF13A3">
        <w:rPr>
          <w:rFonts w:ascii="Times New Roman" w:hAnsi="Times New Roman"/>
          <w:lang w:val="en-GB"/>
        </w:rPr>
        <w:t>.</w:t>
      </w:r>
    </w:p>
    <w:p w14:paraId="1D2CBFB7" w14:textId="79754299" w:rsidR="00B46739" w:rsidRDefault="00B46739" w:rsidP="00B46739">
      <w:pPr>
        <w:spacing w:line="480" w:lineRule="auto"/>
        <w:ind w:firstLine="0"/>
        <w:rPr>
          <w:rFonts w:ascii="Times New Roman" w:hAnsi="Times New Roman"/>
          <w:szCs w:val="24"/>
          <w:lang w:val="en-US"/>
        </w:rPr>
      </w:pPr>
      <w:r w:rsidRPr="00CF13A3">
        <w:rPr>
          <w:rFonts w:ascii="Times New Roman" w:hAnsi="Times New Roman"/>
          <w:lang w:val="en-GB"/>
        </w:rPr>
        <w:t>Moreover, notice that the company</w:t>
      </w:r>
      <w:r w:rsidR="00131C32">
        <w:rPr>
          <w:rFonts w:ascii="Times New Roman" w:hAnsi="Times New Roman"/>
          <w:lang w:val="en-GB"/>
        </w:rPr>
        <w:t>-</w:t>
      </w:r>
      <w:r w:rsidRPr="00CF13A3">
        <w:rPr>
          <w:rFonts w:ascii="Times New Roman" w:hAnsi="Times New Roman"/>
          <w:lang w:val="en-GB"/>
        </w:rPr>
        <w:t xml:space="preserve">level indicator </w:t>
      </w:r>
      <m:oMath>
        <m:sSub>
          <m:sSubPr>
            <m:ctrlPr>
              <w:rPr>
                <w:rFonts w:ascii="Cambria Math" w:hAnsi="Cambria Math"/>
                <w:i/>
              </w:rPr>
            </m:ctrlPr>
          </m:sSubPr>
          <m:e>
            <m:r>
              <w:rPr>
                <w:rFonts w:ascii="Cambria Math" w:hAnsi="Cambria Math"/>
              </w:rPr>
              <m:t>Γ</m:t>
            </m:r>
          </m:e>
          <m:sub>
            <m:r>
              <w:rPr>
                <w:rFonts w:ascii="Cambria Math" w:hAnsi="Cambria Math"/>
              </w:rPr>
              <m:t>j</m:t>
            </m:r>
          </m:sub>
        </m:sSub>
        <m:d>
          <m:dPr>
            <m:ctrlPr>
              <w:rPr>
                <w:rFonts w:ascii="Cambria Math" w:hAnsi="Cambria Math"/>
                <w:i/>
              </w:rPr>
            </m:ctrlPr>
          </m:dPr>
          <m:e>
            <m:r>
              <w:rPr>
                <w:rFonts w:ascii="Cambria Math" w:hAnsi="Cambria Math"/>
              </w:rPr>
              <m:t>α</m:t>
            </m:r>
          </m:e>
        </m:d>
      </m:oMath>
      <w:r w:rsidRPr="00CF13A3">
        <w:rPr>
          <w:rFonts w:ascii="Times New Roman" w:hAnsi="Times New Roman"/>
          <w:lang w:val="en-GB"/>
        </w:rPr>
        <w:t xml:space="preserve"> </w:t>
      </w:r>
      <w:r w:rsidR="00131C32" w:rsidRPr="00CF13A3">
        <w:rPr>
          <w:rFonts w:ascii="Times New Roman" w:hAnsi="Times New Roman"/>
          <w:lang w:val="en-GB"/>
        </w:rPr>
        <w:t>(</w:t>
      </w:r>
      <w:r w:rsidR="00131C32">
        <w:rPr>
          <w:rFonts w:ascii="Times New Roman" w:hAnsi="Times New Roman"/>
          <w:lang w:val="en-GB"/>
        </w:rPr>
        <w:t>defined in</w:t>
      </w:r>
      <w:r w:rsidR="00131C32" w:rsidRPr="00CF13A3">
        <w:rPr>
          <w:rFonts w:ascii="Times New Roman" w:hAnsi="Times New Roman"/>
          <w:lang w:val="en-GB"/>
        </w:rPr>
        <w:t xml:space="preserve"> (1))</w:t>
      </w:r>
      <w:r w:rsidR="00131C32">
        <w:rPr>
          <w:rFonts w:ascii="Times New Roman" w:hAnsi="Times New Roman"/>
          <w:lang w:val="en-GB"/>
        </w:rPr>
        <w:t xml:space="preserve"> </w:t>
      </w:r>
      <w:r w:rsidRPr="00CF13A3">
        <w:rPr>
          <w:rFonts w:ascii="Times New Roman" w:hAnsi="Times New Roman"/>
          <w:lang w:val="en-GB"/>
        </w:rPr>
        <w:t xml:space="preserve">decreases with respect to the efficiency parameter </w:t>
      </w:r>
      <m:oMath>
        <m:r>
          <w:rPr>
            <w:rFonts w:ascii="Cambria Math" w:hAnsi="Cambria Math"/>
          </w:rPr>
          <m:t>α</m:t>
        </m:r>
      </m:oMath>
      <w:r w:rsidRPr="00CF13A3">
        <w:rPr>
          <w:rFonts w:ascii="Times New Roman" w:hAnsi="Times New Roman"/>
          <w:lang w:val="en-GB"/>
        </w:rPr>
        <w:t xml:space="preserve">, for each </w:t>
      </w:r>
      <m:oMath>
        <m:r>
          <w:rPr>
            <w:rFonts w:ascii="Cambria Math" w:hAnsi="Cambria Math"/>
          </w:rPr>
          <m:t>j</m:t>
        </m:r>
        <m:r>
          <w:rPr>
            <w:rFonts w:ascii="Cambria Math" w:hAnsi="Cambria Math"/>
            <w:lang w:val="en-GB"/>
          </w:rPr>
          <m:t xml:space="preserve">=1, …, </m:t>
        </m:r>
        <m:r>
          <w:rPr>
            <w:rFonts w:ascii="Cambria Math" w:hAnsi="Cambria Math"/>
          </w:rPr>
          <m:t>N</m:t>
        </m:r>
      </m:oMath>
      <w:r w:rsidRPr="00CF13A3">
        <w:rPr>
          <w:rFonts w:ascii="Times New Roman" w:hAnsi="Times New Roman"/>
          <w:lang w:val="en-GB"/>
        </w:rPr>
        <w:t>.</w:t>
      </w:r>
      <w:r>
        <w:rPr>
          <w:rFonts w:ascii="Times New Roman" w:hAnsi="Times New Roman"/>
          <w:szCs w:val="24"/>
          <w:lang w:val="en-US"/>
        </w:rPr>
        <w:t xml:space="preserve"> Since the aggregation operator defining the </w:t>
      </w:r>
      <w:r>
        <w:rPr>
          <w:rFonts w:ascii="Times New Roman" w:hAnsi="Times New Roman"/>
          <w:szCs w:val="24"/>
          <w:lang w:val="en-US"/>
        </w:rPr>
        <w:lastRenderedPageBreak/>
        <w:t xml:space="preserve">systemic indicator increases with respect to its argument, </w:t>
      </w:r>
      <w:r w:rsidR="004A7392">
        <w:rPr>
          <w:rFonts w:ascii="Times New Roman" w:hAnsi="Times New Roman"/>
          <w:szCs w:val="24"/>
          <w:lang w:val="en-US"/>
        </w:rPr>
        <w:t xml:space="preserve">equation </w:t>
      </w:r>
      <w:r>
        <w:rPr>
          <w:rFonts w:ascii="Times New Roman" w:hAnsi="Times New Roman"/>
          <w:szCs w:val="24"/>
          <w:lang w:val="en-US"/>
        </w:rPr>
        <w:t xml:space="preserve">(3) suggests that the systemic economic indicator is </w:t>
      </w:r>
      <w:r w:rsidR="00131C32">
        <w:rPr>
          <w:rFonts w:ascii="Times New Roman" w:hAnsi="Times New Roman"/>
          <w:szCs w:val="24"/>
          <w:lang w:val="en-US"/>
        </w:rPr>
        <w:t xml:space="preserve">also </w:t>
      </w:r>
      <w:r>
        <w:rPr>
          <w:rFonts w:ascii="Times New Roman" w:hAnsi="Times New Roman"/>
          <w:szCs w:val="24"/>
          <w:lang w:val="en-US"/>
        </w:rPr>
        <w:t xml:space="preserve">a decreasing function of </w:t>
      </w:r>
      <m:oMath>
        <m:r>
          <w:rPr>
            <w:rFonts w:ascii="Cambria Math" w:hAnsi="Cambria Math"/>
            <w:szCs w:val="24"/>
            <w:lang w:val="en-US"/>
          </w:rPr>
          <m:t>α</m:t>
        </m:r>
      </m:oMath>
      <w:r>
        <w:rPr>
          <w:rFonts w:ascii="Times New Roman" w:hAnsi="Times New Roman"/>
          <w:szCs w:val="24"/>
          <w:lang w:val="en-US"/>
        </w:rPr>
        <w:t xml:space="preserve">. This comment is based on the assumption that the economic efficiency derived from DWC is not a company-specific term, but is the same for the entire set of companies. This aspect is then crucial, in that it allows </w:t>
      </w:r>
      <w:r w:rsidR="00131C32">
        <w:rPr>
          <w:rFonts w:ascii="Times New Roman" w:hAnsi="Times New Roman"/>
          <w:szCs w:val="24"/>
          <w:lang w:val="en-US"/>
        </w:rPr>
        <w:t xml:space="preserve">one </w:t>
      </w:r>
      <w:r>
        <w:rPr>
          <w:rFonts w:ascii="Times New Roman" w:hAnsi="Times New Roman"/>
          <w:szCs w:val="24"/>
          <w:lang w:val="en-US"/>
        </w:rPr>
        <w:t xml:space="preserve">to understand the impact of the technological improvements in the </w:t>
      </w:r>
      <w:r w:rsidR="001409E6">
        <w:rPr>
          <w:rFonts w:ascii="Times New Roman" w:hAnsi="Times New Roman"/>
          <w:szCs w:val="24"/>
          <w:lang w:val="en-US"/>
        </w:rPr>
        <w:t>WM</w:t>
      </w:r>
      <w:r>
        <w:rPr>
          <w:rFonts w:ascii="Times New Roman" w:hAnsi="Times New Roman"/>
          <w:szCs w:val="24"/>
          <w:lang w:val="en-US"/>
        </w:rPr>
        <w:t xml:space="preserve"> processes due to general polic</w:t>
      </w:r>
      <w:r w:rsidR="00131C32">
        <w:rPr>
          <w:rFonts w:ascii="Times New Roman" w:hAnsi="Times New Roman"/>
          <w:szCs w:val="24"/>
          <w:lang w:val="en-US"/>
        </w:rPr>
        <w:t>y</w:t>
      </w:r>
      <w:r>
        <w:rPr>
          <w:rFonts w:ascii="Times New Roman" w:hAnsi="Times New Roman"/>
          <w:szCs w:val="24"/>
          <w:lang w:val="en-US"/>
        </w:rPr>
        <w:t xml:space="preserve"> implementation, and so </w:t>
      </w:r>
      <w:r w:rsidR="00131C32">
        <w:rPr>
          <w:rFonts w:ascii="Times New Roman" w:hAnsi="Times New Roman"/>
          <w:szCs w:val="24"/>
          <w:lang w:val="en-US"/>
        </w:rPr>
        <w:t xml:space="preserve">it </w:t>
      </w:r>
      <w:r>
        <w:rPr>
          <w:rFonts w:ascii="Times New Roman" w:hAnsi="Times New Roman"/>
          <w:szCs w:val="24"/>
          <w:lang w:val="en-US"/>
        </w:rPr>
        <w:t>hold</w:t>
      </w:r>
      <w:r w:rsidR="00131C32">
        <w:rPr>
          <w:rFonts w:ascii="Times New Roman" w:hAnsi="Times New Roman"/>
          <w:szCs w:val="24"/>
          <w:lang w:val="en-US"/>
        </w:rPr>
        <w:t>s</w:t>
      </w:r>
      <w:r>
        <w:rPr>
          <w:rFonts w:ascii="Times New Roman" w:hAnsi="Times New Roman"/>
          <w:szCs w:val="24"/>
          <w:lang w:val="en-US"/>
        </w:rPr>
        <w:t xml:space="preserve"> for the entire economic environment.</w:t>
      </w:r>
    </w:p>
    <w:p w14:paraId="44F03C6D" w14:textId="3CCA1827" w:rsidR="004F62F6" w:rsidRDefault="00FD6F16" w:rsidP="00EC2805">
      <w:pPr>
        <w:spacing w:line="480" w:lineRule="auto"/>
        <w:ind w:firstLine="0"/>
        <w:rPr>
          <w:rFonts w:ascii="Times New Roman" w:hAnsi="Times New Roman"/>
          <w:szCs w:val="24"/>
          <w:lang w:val="en-US"/>
        </w:rPr>
      </w:pPr>
      <w:r>
        <w:rPr>
          <w:rFonts w:ascii="Times New Roman" w:hAnsi="Times New Roman"/>
          <w:szCs w:val="24"/>
          <w:lang w:val="en-US"/>
        </w:rPr>
        <w:t xml:space="preserve">Along with the properties and the positive sides of the considered indicators, one </w:t>
      </w:r>
      <w:r w:rsidR="00131C32">
        <w:rPr>
          <w:rFonts w:ascii="Times New Roman" w:hAnsi="Times New Roman"/>
          <w:szCs w:val="24"/>
          <w:lang w:val="en-US"/>
        </w:rPr>
        <w:t>must also</w:t>
      </w:r>
      <w:r>
        <w:rPr>
          <w:rFonts w:ascii="Times New Roman" w:hAnsi="Times New Roman"/>
          <w:szCs w:val="24"/>
          <w:lang w:val="en-US"/>
        </w:rPr>
        <w:t xml:space="preserve"> give credit to the presence of some limitations of the approach. In this respect, we identify at least two critical aspects. The first one lies in the methodological approach employed for the definition of the indicators. Indeed, the analysis is based on a </w:t>
      </w:r>
      <w:r w:rsidR="00131C32">
        <w:rPr>
          <w:rFonts w:ascii="Times New Roman" w:hAnsi="Times New Roman"/>
          <w:szCs w:val="24"/>
          <w:lang w:val="en-US"/>
        </w:rPr>
        <w:t>particular</w:t>
      </w:r>
      <w:r>
        <w:rPr>
          <w:rFonts w:ascii="Times New Roman" w:hAnsi="Times New Roman"/>
          <w:szCs w:val="24"/>
          <w:lang w:val="en-US"/>
        </w:rPr>
        <w:t xml:space="preserve"> </w:t>
      </w:r>
      <w:r w:rsidR="004F62F6">
        <w:rPr>
          <w:rFonts w:ascii="Times New Roman" w:hAnsi="Times New Roman"/>
          <w:szCs w:val="24"/>
          <w:lang w:val="en-US"/>
        </w:rPr>
        <w:t xml:space="preserve">rank-size </w:t>
      </w:r>
      <w:r>
        <w:rPr>
          <w:rFonts w:ascii="Times New Roman" w:hAnsi="Times New Roman"/>
          <w:szCs w:val="24"/>
          <w:lang w:val="en-US"/>
        </w:rPr>
        <w:t>regression</w:t>
      </w:r>
      <w:r w:rsidR="002771AA">
        <w:rPr>
          <w:rFonts w:ascii="Times New Roman" w:hAnsi="Times New Roman"/>
          <w:szCs w:val="24"/>
          <w:lang w:val="en-US"/>
        </w:rPr>
        <w:t xml:space="preserve">, hence being grounded </w:t>
      </w:r>
      <w:r w:rsidR="00131C32">
        <w:rPr>
          <w:rFonts w:ascii="Times New Roman" w:hAnsi="Times New Roman"/>
          <w:szCs w:val="24"/>
          <w:lang w:val="en-US"/>
        </w:rPr>
        <w:t>in</w:t>
      </w:r>
      <w:r w:rsidR="002771AA">
        <w:rPr>
          <w:rFonts w:ascii="Times New Roman" w:hAnsi="Times New Roman"/>
          <w:szCs w:val="24"/>
          <w:lang w:val="en-US"/>
        </w:rPr>
        <w:t xml:space="preserve"> </w:t>
      </w:r>
      <w:r w:rsidR="00E62578">
        <w:rPr>
          <w:rFonts w:ascii="Times New Roman" w:hAnsi="Times New Roman"/>
          <w:szCs w:val="24"/>
          <w:lang w:val="en-US"/>
        </w:rPr>
        <w:t>an approximation on the basis of an observe</w:t>
      </w:r>
      <w:r w:rsidR="00011696">
        <w:rPr>
          <w:rFonts w:ascii="Times New Roman" w:hAnsi="Times New Roman"/>
          <w:szCs w:val="24"/>
          <w:lang w:val="en-US"/>
        </w:rPr>
        <w:t>d</w:t>
      </w:r>
      <w:r w:rsidR="00E62578">
        <w:rPr>
          <w:rFonts w:ascii="Times New Roman" w:hAnsi="Times New Roman"/>
          <w:szCs w:val="24"/>
          <w:lang w:val="en-US"/>
        </w:rPr>
        <w:t xml:space="preserve"> sample</w:t>
      </w:r>
      <w:r>
        <w:rPr>
          <w:rFonts w:ascii="Times New Roman" w:hAnsi="Times New Roman"/>
          <w:szCs w:val="24"/>
          <w:lang w:val="en-US"/>
        </w:rPr>
        <w:t xml:space="preserve">. </w:t>
      </w:r>
      <w:r w:rsidR="002771AA">
        <w:rPr>
          <w:rFonts w:ascii="Times New Roman" w:hAnsi="Times New Roman"/>
          <w:szCs w:val="24"/>
          <w:lang w:val="en-US"/>
        </w:rPr>
        <w:t xml:space="preserve">Of course, approximation is only apparently a limitation in this context. </w:t>
      </w:r>
      <w:r w:rsidR="00D5678D">
        <w:rPr>
          <w:rFonts w:ascii="Times New Roman" w:hAnsi="Times New Roman"/>
          <w:szCs w:val="24"/>
          <w:lang w:val="en-US"/>
        </w:rPr>
        <w:t>In particular</w:t>
      </w:r>
      <w:r w:rsidR="002771AA">
        <w:rPr>
          <w:rFonts w:ascii="Times New Roman" w:hAnsi="Times New Roman"/>
          <w:szCs w:val="24"/>
          <w:lang w:val="en-US"/>
        </w:rPr>
        <w:t xml:space="preserve">, as already </w:t>
      </w:r>
      <w:r w:rsidR="00D5678D">
        <w:rPr>
          <w:rFonts w:ascii="Times New Roman" w:hAnsi="Times New Roman"/>
          <w:szCs w:val="24"/>
          <w:lang w:val="en-US"/>
        </w:rPr>
        <w:t xml:space="preserve">mentioned above, </w:t>
      </w:r>
      <w:r w:rsidR="008874C6">
        <w:rPr>
          <w:rFonts w:ascii="Times New Roman" w:hAnsi="Times New Roman"/>
          <w:szCs w:val="24"/>
          <w:lang w:val="en-US"/>
        </w:rPr>
        <w:t xml:space="preserve">the approximating curve obtained through the employed regression procedure allows </w:t>
      </w:r>
      <w:r w:rsidR="00D129BA">
        <w:rPr>
          <w:rFonts w:ascii="Times New Roman" w:hAnsi="Times New Roman"/>
          <w:szCs w:val="24"/>
          <w:lang w:val="en-US"/>
        </w:rPr>
        <w:t xml:space="preserve">the </w:t>
      </w:r>
      <w:r w:rsidR="008874C6">
        <w:rPr>
          <w:rFonts w:ascii="Times New Roman" w:hAnsi="Times New Roman"/>
          <w:szCs w:val="24"/>
          <w:lang w:val="en-US"/>
        </w:rPr>
        <w:t>build</w:t>
      </w:r>
      <w:r w:rsidR="00D129BA">
        <w:rPr>
          <w:rFonts w:ascii="Times New Roman" w:hAnsi="Times New Roman"/>
          <w:szCs w:val="24"/>
          <w:lang w:val="en-US"/>
        </w:rPr>
        <w:t>ing</w:t>
      </w:r>
      <w:r w:rsidR="00D5678D">
        <w:rPr>
          <w:rFonts w:ascii="Times New Roman" w:hAnsi="Times New Roman"/>
          <w:szCs w:val="24"/>
          <w:lang w:val="en-US"/>
        </w:rPr>
        <w:t xml:space="preserve"> </w:t>
      </w:r>
      <w:r w:rsidR="00D129BA">
        <w:rPr>
          <w:rFonts w:ascii="Times New Roman" w:hAnsi="Times New Roman"/>
          <w:szCs w:val="24"/>
          <w:lang w:val="en-US"/>
        </w:rPr>
        <w:t xml:space="preserve">of </w:t>
      </w:r>
      <w:r w:rsidR="00D5678D">
        <w:rPr>
          <w:rFonts w:ascii="Times New Roman" w:hAnsi="Times New Roman"/>
          <w:szCs w:val="24"/>
          <w:lang w:val="en-US"/>
        </w:rPr>
        <w:t>a generalized system from</w:t>
      </w:r>
      <w:r w:rsidR="008874C6">
        <w:rPr>
          <w:rFonts w:ascii="Times New Roman" w:hAnsi="Times New Roman"/>
          <w:szCs w:val="24"/>
          <w:lang w:val="en-US"/>
        </w:rPr>
        <w:t xml:space="preserve"> a set </w:t>
      </w:r>
      <w:r w:rsidR="008874C6" w:rsidRPr="00D42B10">
        <w:rPr>
          <w:rFonts w:ascii="Times New Roman" w:hAnsi="Times New Roman"/>
          <w:szCs w:val="24"/>
          <w:lang w:val="en-US"/>
        </w:rPr>
        <w:t>of</w:t>
      </w:r>
      <w:r w:rsidR="00D5678D" w:rsidRPr="00D42B10">
        <w:rPr>
          <w:rFonts w:ascii="Times New Roman" w:hAnsi="Times New Roman"/>
          <w:szCs w:val="24"/>
          <w:lang w:val="en-US"/>
        </w:rPr>
        <w:t xml:space="preserve"> </w:t>
      </w:r>
      <w:r w:rsidR="008874C6">
        <w:rPr>
          <w:rFonts w:ascii="Times New Roman" w:hAnsi="Times New Roman"/>
          <w:szCs w:val="24"/>
          <w:lang w:val="en-US"/>
        </w:rPr>
        <w:t>data</w:t>
      </w:r>
      <w:r w:rsidR="00D42B10">
        <w:rPr>
          <w:rFonts w:ascii="Times New Roman" w:hAnsi="Times New Roman"/>
          <w:szCs w:val="24"/>
          <w:lang w:val="en-US"/>
        </w:rPr>
        <w:t xml:space="preserve"> at individual company level</w:t>
      </w:r>
      <w:r w:rsidR="008874C6">
        <w:rPr>
          <w:rFonts w:ascii="Times New Roman" w:hAnsi="Times New Roman"/>
          <w:szCs w:val="24"/>
          <w:lang w:val="en-US"/>
        </w:rPr>
        <w:t>.</w:t>
      </w:r>
      <w:r w:rsidR="00D5678D">
        <w:rPr>
          <w:rFonts w:ascii="Times New Roman" w:hAnsi="Times New Roman"/>
          <w:szCs w:val="24"/>
          <w:lang w:val="en-US"/>
        </w:rPr>
        <w:t xml:space="preserve"> </w:t>
      </w:r>
      <w:r w:rsidR="008874C6">
        <w:rPr>
          <w:rFonts w:ascii="Times New Roman" w:hAnsi="Times New Roman"/>
          <w:szCs w:val="24"/>
          <w:lang w:val="en-US"/>
        </w:rPr>
        <w:t xml:space="preserve">The second critical aspect is based on the </w:t>
      </w:r>
      <w:r w:rsidR="004F62F6">
        <w:rPr>
          <w:rFonts w:ascii="Times New Roman" w:hAnsi="Times New Roman"/>
          <w:szCs w:val="24"/>
          <w:lang w:val="en-US"/>
        </w:rPr>
        <w:t>considered dataset</w:t>
      </w:r>
      <w:r w:rsidR="008874C6">
        <w:rPr>
          <w:rFonts w:ascii="Times New Roman" w:hAnsi="Times New Roman"/>
          <w:szCs w:val="24"/>
          <w:lang w:val="en-US"/>
        </w:rPr>
        <w:t xml:space="preserve">. Specifically, </w:t>
      </w:r>
      <w:r w:rsidR="004F62F6">
        <w:rPr>
          <w:rFonts w:ascii="Times New Roman" w:hAnsi="Times New Roman"/>
          <w:szCs w:val="24"/>
          <w:lang w:val="en-US"/>
        </w:rPr>
        <w:t xml:space="preserve">the obtained results are strongly dependent on the </w:t>
      </w:r>
      <w:r w:rsidR="00D129BA">
        <w:rPr>
          <w:rFonts w:ascii="Times New Roman" w:hAnsi="Times New Roman"/>
          <w:szCs w:val="24"/>
          <w:lang w:val="en-US"/>
        </w:rPr>
        <w:t xml:space="preserve">particular </w:t>
      </w:r>
      <w:r w:rsidR="004F62F6">
        <w:rPr>
          <w:rFonts w:ascii="Times New Roman" w:hAnsi="Times New Roman"/>
          <w:szCs w:val="24"/>
          <w:lang w:val="en-US"/>
        </w:rPr>
        <w:t xml:space="preserve">collection of data employed for the analysis; therefore, they cannot be adapted to different </w:t>
      </w:r>
      <w:r w:rsidR="00EC2805">
        <w:rPr>
          <w:rFonts w:ascii="Times New Roman" w:hAnsi="Times New Roman"/>
          <w:szCs w:val="24"/>
          <w:lang w:val="en-US"/>
        </w:rPr>
        <w:t>settings</w:t>
      </w:r>
      <w:r w:rsidR="004F62F6">
        <w:rPr>
          <w:rFonts w:ascii="Times New Roman" w:hAnsi="Times New Roman"/>
          <w:szCs w:val="24"/>
          <w:lang w:val="en-US"/>
        </w:rPr>
        <w:t>. Also</w:t>
      </w:r>
      <w:r w:rsidR="00D129BA">
        <w:rPr>
          <w:rFonts w:ascii="Times New Roman" w:hAnsi="Times New Roman"/>
          <w:szCs w:val="24"/>
          <w:lang w:val="en-US"/>
        </w:rPr>
        <w:t>,</w:t>
      </w:r>
      <w:r w:rsidR="004F62F6">
        <w:rPr>
          <w:rFonts w:ascii="Times New Roman" w:hAnsi="Times New Roman"/>
          <w:szCs w:val="24"/>
          <w:lang w:val="en-US"/>
        </w:rPr>
        <w:t xml:space="preserve"> in this case, such an unavoidable limit does not affect the </w:t>
      </w:r>
      <w:r w:rsidR="00B03E18">
        <w:rPr>
          <w:rFonts w:ascii="Times New Roman" w:hAnsi="Times New Roman"/>
          <w:szCs w:val="24"/>
          <w:lang w:val="en-US"/>
        </w:rPr>
        <w:t>re</w:t>
      </w:r>
      <w:r w:rsidR="004F62F6">
        <w:rPr>
          <w:rFonts w:ascii="Times New Roman" w:hAnsi="Times New Roman"/>
          <w:szCs w:val="24"/>
          <w:lang w:val="en-US"/>
        </w:rPr>
        <w:t xml:space="preserve">al target of the paper; indeed, </w:t>
      </w:r>
      <w:r w:rsidR="00D129BA">
        <w:rPr>
          <w:rFonts w:ascii="Times New Roman" w:hAnsi="Times New Roman"/>
          <w:szCs w:val="24"/>
          <w:lang w:val="en-US"/>
        </w:rPr>
        <w:t>the</w:t>
      </w:r>
      <w:r w:rsidR="004F62F6">
        <w:rPr>
          <w:rFonts w:ascii="Times New Roman" w:hAnsi="Times New Roman"/>
          <w:szCs w:val="24"/>
          <w:lang w:val="en-US"/>
        </w:rPr>
        <w:t xml:space="preserve"> aim </w:t>
      </w:r>
      <w:r w:rsidR="00D129BA">
        <w:rPr>
          <w:rFonts w:ascii="Times New Roman" w:hAnsi="Times New Roman"/>
          <w:szCs w:val="24"/>
          <w:lang w:val="en-US"/>
        </w:rPr>
        <w:t>here is to</w:t>
      </w:r>
      <w:r w:rsidR="004F62F6">
        <w:rPr>
          <w:rFonts w:ascii="Times New Roman" w:hAnsi="Times New Roman"/>
          <w:szCs w:val="24"/>
          <w:lang w:val="en-US"/>
        </w:rPr>
        <w:t xml:space="preserve"> provid</w:t>
      </w:r>
      <w:r w:rsidR="00D129BA">
        <w:rPr>
          <w:rFonts w:ascii="Times New Roman" w:hAnsi="Times New Roman"/>
          <w:szCs w:val="24"/>
          <w:lang w:val="en-US"/>
        </w:rPr>
        <w:t>e</w:t>
      </w:r>
      <w:r w:rsidR="004F62F6">
        <w:rPr>
          <w:rFonts w:ascii="Times New Roman" w:hAnsi="Times New Roman"/>
          <w:szCs w:val="24"/>
          <w:lang w:val="en-US"/>
        </w:rPr>
        <w:t xml:space="preserve"> a general </w:t>
      </w:r>
      <w:r w:rsidR="00056982" w:rsidRPr="00056982">
        <w:rPr>
          <w:rFonts w:ascii="Times New Roman" w:hAnsi="Times New Roman"/>
          <w:szCs w:val="24"/>
          <w:lang w:val="en-US"/>
        </w:rPr>
        <w:t>procedure</w:t>
      </w:r>
      <w:r w:rsidR="004F62F6" w:rsidRPr="00056982">
        <w:rPr>
          <w:rFonts w:ascii="Times New Roman" w:hAnsi="Times New Roman"/>
          <w:szCs w:val="24"/>
          <w:lang w:val="en-US"/>
        </w:rPr>
        <w:t xml:space="preserve"> for</w:t>
      </w:r>
      <w:r w:rsidR="004F62F6">
        <w:rPr>
          <w:rFonts w:ascii="Times New Roman" w:hAnsi="Times New Roman"/>
          <w:szCs w:val="24"/>
          <w:lang w:val="en-US"/>
        </w:rPr>
        <w:t xml:space="preserve"> measuring the </w:t>
      </w:r>
      <w:r w:rsidR="00056982">
        <w:rPr>
          <w:rFonts w:ascii="Times New Roman" w:hAnsi="Times New Roman"/>
          <w:szCs w:val="24"/>
          <w:lang w:val="en-US"/>
        </w:rPr>
        <w:t>income opportunities</w:t>
      </w:r>
      <w:r w:rsidR="004F62F6">
        <w:rPr>
          <w:rFonts w:ascii="Times New Roman" w:hAnsi="Times New Roman"/>
          <w:szCs w:val="24"/>
          <w:lang w:val="en-US"/>
        </w:rPr>
        <w:t xml:space="preserve"> in </w:t>
      </w:r>
      <w:r w:rsidR="00056982">
        <w:rPr>
          <w:rFonts w:ascii="Times New Roman" w:hAnsi="Times New Roman"/>
          <w:szCs w:val="24"/>
          <w:lang w:val="en-US"/>
        </w:rPr>
        <w:t>WM</w:t>
      </w:r>
      <w:r w:rsidR="004F62F6">
        <w:rPr>
          <w:rFonts w:ascii="Times New Roman" w:hAnsi="Times New Roman"/>
          <w:szCs w:val="24"/>
          <w:lang w:val="en-US"/>
        </w:rPr>
        <w:t xml:space="preserve"> by </w:t>
      </w:r>
      <w:r w:rsidR="00D129BA">
        <w:rPr>
          <w:rFonts w:ascii="Times New Roman" w:hAnsi="Times New Roman"/>
          <w:szCs w:val="24"/>
          <w:lang w:val="en-US"/>
        </w:rPr>
        <w:t xml:space="preserve">also </w:t>
      </w:r>
      <w:r w:rsidR="004F62F6">
        <w:rPr>
          <w:rFonts w:ascii="Times New Roman" w:hAnsi="Times New Roman"/>
          <w:szCs w:val="24"/>
          <w:lang w:val="en-US"/>
        </w:rPr>
        <w:t xml:space="preserve">including an environmental perspective. Reasonably, such </w:t>
      </w:r>
      <w:r w:rsidR="004F62F6" w:rsidRPr="00056982">
        <w:rPr>
          <w:rFonts w:ascii="Times New Roman" w:hAnsi="Times New Roman"/>
          <w:szCs w:val="24"/>
          <w:lang w:val="en-US"/>
        </w:rPr>
        <w:t xml:space="preserve">a </w:t>
      </w:r>
      <w:r w:rsidR="00056982" w:rsidRPr="00056982">
        <w:rPr>
          <w:rFonts w:ascii="Times New Roman" w:hAnsi="Times New Roman"/>
          <w:szCs w:val="24"/>
          <w:lang w:val="en-US"/>
        </w:rPr>
        <w:t>methodology</w:t>
      </w:r>
      <w:r w:rsidR="004F62F6">
        <w:rPr>
          <w:rFonts w:ascii="Times New Roman" w:hAnsi="Times New Roman"/>
          <w:szCs w:val="24"/>
          <w:lang w:val="en-US"/>
        </w:rPr>
        <w:t xml:space="preserve"> does not depend on the </w:t>
      </w:r>
      <w:r w:rsidR="00D129BA">
        <w:rPr>
          <w:rFonts w:ascii="Times New Roman" w:hAnsi="Times New Roman"/>
          <w:szCs w:val="24"/>
          <w:lang w:val="en-US"/>
        </w:rPr>
        <w:t xml:space="preserve">special dataset being </w:t>
      </w:r>
      <w:r w:rsidR="00EC2805">
        <w:rPr>
          <w:rFonts w:ascii="Times New Roman" w:hAnsi="Times New Roman"/>
          <w:szCs w:val="24"/>
          <w:lang w:val="en-US"/>
        </w:rPr>
        <w:t>considered</w:t>
      </w:r>
      <w:r w:rsidR="004F62F6">
        <w:rPr>
          <w:rFonts w:ascii="Times New Roman" w:hAnsi="Times New Roman"/>
          <w:szCs w:val="24"/>
          <w:lang w:val="en-US"/>
        </w:rPr>
        <w:t xml:space="preserve"> and </w:t>
      </w:r>
      <w:r w:rsidR="00D129BA">
        <w:rPr>
          <w:rFonts w:ascii="Times New Roman" w:hAnsi="Times New Roman"/>
          <w:szCs w:val="24"/>
          <w:lang w:val="en-US"/>
        </w:rPr>
        <w:t>can</w:t>
      </w:r>
      <w:r w:rsidR="004F62F6">
        <w:rPr>
          <w:rFonts w:ascii="Times New Roman" w:hAnsi="Times New Roman"/>
          <w:szCs w:val="24"/>
          <w:lang w:val="en-US"/>
        </w:rPr>
        <w:t xml:space="preserve"> be employed in</w:t>
      </w:r>
      <w:r w:rsidR="00EC2805">
        <w:rPr>
          <w:rFonts w:ascii="Times New Roman" w:hAnsi="Times New Roman"/>
          <w:szCs w:val="24"/>
          <w:lang w:val="en-US"/>
        </w:rPr>
        <w:t xml:space="preserve"> any country or regional context.</w:t>
      </w:r>
      <w:r w:rsidR="004F62F6">
        <w:rPr>
          <w:rFonts w:ascii="Times New Roman" w:hAnsi="Times New Roman"/>
          <w:szCs w:val="24"/>
          <w:lang w:val="en-US"/>
        </w:rPr>
        <w:t xml:space="preserve"> </w:t>
      </w:r>
    </w:p>
    <w:p w14:paraId="58C3A067" w14:textId="77777777" w:rsidR="00B46739" w:rsidRPr="00CF13A3" w:rsidRDefault="00B46739" w:rsidP="00B46739">
      <w:pPr>
        <w:spacing w:line="480" w:lineRule="auto"/>
        <w:ind w:firstLine="0"/>
        <w:rPr>
          <w:rFonts w:ascii="Times New Roman" w:hAnsi="Times New Roman"/>
          <w:lang w:val="en-GB"/>
        </w:rPr>
      </w:pPr>
      <w:r w:rsidRPr="00CF13A3">
        <w:rPr>
          <w:rFonts w:ascii="Times New Roman" w:hAnsi="Times New Roman"/>
          <w:lang w:val="en-GB"/>
        </w:rPr>
        <w:t xml:space="preserve">It is important to point out that the theoretical proposal has to be properly validated through a meaningful empirical exercise. Indeed, the defined indicators are based on a best-fit procedure, whose validity is then strongly related to acceptable performances in terms of goodness of fit. </w:t>
      </w:r>
    </w:p>
    <w:p w14:paraId="1D5BF92C" w14:textId="77777777" w:rsidR="00B46739" w:rsidRPr="00826638" w:rsidRDefault="00B46739" w:rsidP="00B46739">
      <w:pPr>
        <w:spacing w:line="480" w:lineRule="auto"/>
        <w:ind w:firstLine="0"/>
        <w:jc w:val="left"/>
        <w:rPr>
          <w:rFonts w:ascii="Times New Roman" w:hAnsi="Times New Roman"/>
          <w:szCs w:val="24"/>
          <w:lang w:val="en-US"/>
        </w:rPr>
      </w:pPr>
    </w:p>
    <w:p w14:paraId="67E74F62" w14:textId="66940E23" w:rsidR="00B46739" w:rsidRPr="00826638" w:rsidRDefault="00667004" w:rsidP="00B46739">
      <w:pPr>
        <w:spacing w:line="480" w:lineRule="auto"/>
        <w:ind w:firstLine="0"/>
        <w:jc w:val="left"/>
        <w:rPr>
          <w:rFonts w:ascii="Times New Roman" w:hAnsi="Times New Roman"/>
          <w:b/>
          <w:szCs w:val="24"/>
          <w:lang w:val="en-US"/>
        </w:rPr>
      </w:pPr>
      <w:r>
        <w:rPr>
          <w:rFonts w:ascii="Times New Roman" w:hAnsi="Times New Roman"/>
          <w:b/>
          <w:lang w:val="en-US"/>
        </w:rPr>
        <w:lastRenderedPageBreak/>
        <w:t>4</w:t>
      </w:r>
      <w:r w:rsidR="00B46739" w:rsidRPr="00826638">
        <w:rPr>
          <w:rFonts w:ascii="Times New Roman" w:hAnsi="Times New Roman"/>
          <w:b/>
          <w:lang w:val="en-US"/>
        </w:rPr>
        <w:t xml:space="preserve">. EMPIRICAL </w:t>
      </w:r>
      <w:r w:rsidR="00D2509F" w:rsidRPr="00826638">
        <w:rPr>
          <w:rFonts w:ascii="Times New Roman" w:hAnsi="Times New Roman"/>
          <w:b/>
          <w:lang w:val="en-US"/>
        </w:rPr>
        <w:t>ANALYSIS</w:t>
      </w:r>
    </w:p>
    <w:p w14:paraId="06684EB8" w14:textId="58EF41BC" w:rsidR="00B46739" w:rsidRPr="00826638" w:rsidRDefault="00667004" w:rsidP="00B46739">
      <w:pPr>
        <w:spacing w:line="480" w:lineRule="auto"/>
        <w:ind w:firstLine="0"/>
        <w:jc w:val="left"/>
        <w:rPr>
          <w:rFonts w:ascii="Times New Roman" w:hAnsi="Times New Roman"/>
          <w:b/>
          <w:szCs w:val="24"/>
          <w:lang w:val="en-US"/>
        </w:rPr>
      </w:pPr>
      <w:r>
        <w:rPr>
          <w:rFonts w:ascii="Times New Roman" w:hAnsi="Times New Roman"/>
          <w:b/>
          <w:szCs w:val="24"/>
          <w:lang w:val="en-US"/>
        </w:rPr>
        <w:t>4</w:t>
      </w:r>
      <w:r w:rsidR="00B46739" w:rsidRPr="00826638">
        <w:rPr>
          <w:rFonts w:ascii="Times New Roman" w:hAnsi="Times New Roman"/>
          <w:b/>
          <w:szCs w:val="24"/>
          <w:lang w:val="en-US"/>
        </w:rPr>
        <w:t>.1 Data</w:t>
      </w:r>
    </w:p>
    <w:p w14:paraId="208A760F" w14:textId="103AA034" w:rsidR="00614543" w:rsidRDefault="00B7198A" w:rsidP="00B46739">
      <w:pPr>
        <w:spacing w:line="480" w:lineRule="auto"/>
        <w:ind w:firstLine="0"/>
        <w:jc w:val="left"/>
        <w:rPr>
          <w:rFonts w:ascii="Times New Roman" w:hAnsi="Times New Roman"/>
          <w:szCs w:val="24"/>
          <w:lang w:val="en-US"/>
        </w:rPr>
      </w:pPr>
      <w:r w:rsidRPr="00E215E1">
        <w:rPr>
          <w:rFonts w:ascii="Times New Roman" w:hAnsi="Times New Roman"/>
          <w:szCs w:val="24"/>
          <w:lang w:val="en-US"/>
        </w:rPr>
        <w:t xml:space="preserve">To </w:t>
      </w:r>
      <w:r w:rsidR="00AE0DEF" w:rsidRPr="00E215E1">
        <w:rPr>
          <w:rFonts w:ascii="Times New Roman" w:hAnsi="Times New Roman"/>
          <w:szCs w:val="24"/>
          <w:lang w:val="en-US"/>
        </w:rPr>
        <w:t>validate the theoretical proposal</w:t>
      </w:r>
      <w:r w:rsidRPr="00E215E1">
        <w:rPr>
          <w:rFonts w:ascii="Times New Roman" w:hAnsi="Times New Roman"/>
          <w:szCs w:val="24"/>
          <w:lang w:val="en-US"/>
        </w:rPr>
        <w:t xml:space="preserve"> and apply the indicator </w:t>
      </w:r>
      <w:r w:rsidR="0043385A">
        <w:rPr>
          <w:rFonts w:ascii="Times New Roman" w:hAnsi="Times New Roman"/>
          <w:szCs w:val="24"/>
          <w:lang w:val="en-US"/>
        </w:rPr>
        <w:t>to</w:t>
      </w:r>
      <w:r w:rsidR="0043385A" w:rsidRPr="00E215E1">
        <w:rPr>
          <w:rFonts w:ascii="Times New Roman" w:hAnsi="Times New Roman"/>
          <w:szCs w:val="24"/>
          <w:lang w:val="en-US"/>
        </w:rPr>
        <w:t xml:space="preserve"> </w:t>
      </w:r>
      <w:r w:rsidRPr="00E215E1">
        <w:rPr>
          <w:rFonts w:ascii="Times New Roman" w:hAnsi="Times New Roman"/>
          <w:szCs w:val="24"/>
          <w:lang w:val="en-US"/>
        </w:rPr>
        <w:t>real data</w:t>
      </w:r>
      <w:r w:rsidR="00213557" w:rsidRPr="00E215E1">
        <w:rPr>
          <w:rFonts w:ascii="Times New Roman" w:hAnsi="Times New Roman"/>
          <w:szCs w:val="24"/>
          <w:lang w:val="en-US"/>
        </w:rPr>
        <w:t xml:space="preserve"> related to the sector of interest</w:t>
      </w:r>
      <w:r w:rsidRPr="00E215E1">
        <w:rPr>
          <w:rFonts w:ascii="Times New Roman" w:hAnsi="Times New Roman"/>
          <w:szCs w:val="24"/>
          <w:lang w:val="en-US"/>
        </w:rPr>
        <w:t>,</w:t>
      </w:r>
      <w:r w:rsidR="00614543" w:rsidRPr="00E215E1">
        <w:rPr>
          <w:rFonts w:ascii="Times New Roman" w:hAnsi="Times New Roman"/>
          <w:szCs w:val="24"/>
          <w:lang w:val="en-US"/>
        </w:rPr>
        <w:t xml:space="preserve"> an </w:t>
      </w:r>
      <w:r w:rsidR="00614543" w:rsidRPr="00B1255D">
        <w:rPr>
          <w:rFonts w:ascii="Times New Roman" w:hAnsi="Times New Roman"/>
          <w:szCs w:val="24"/>
          <w:lang w:val="en-US"/>
        </w:rPr>
        <w:t>empirical analysis</w:t>
      </w:r>
      <w:r w:rsidR="00C07BD0" w:rsidRPr="00B1255D">
        <w:rPr>
          <w:rFonts w:ascii="Times New Roman" w:hAnsi="Times New Roman"/>
          <w:szCs w:val="24"/>
          <w:lang w:val="en-US"/>
        </w:rPr>
        <w:t xml:space="preserve"> was conducted</w:t>
      </w:r>
      <w:r w:rsidR="00614543" w:rsidRPr="00E215E1">
        <w:rPr>
          <w:rFonts w:ascii="Times New Roman" w:hAnsi="Times New Roman"/>
          <w:szCs w:val="24"/>
          <w:lang w:val="en-US"/>
        </w:rPr>
        <w:t xml:space="preserve"> on a group of Italian companies operating in the field of </w:t>
      </w:r>
      <w:r w:rsidR="0043385A" w:rsidRPr="00E215E1">
        <w:rPr>
          <w:rFonts w:ascii="Times New Roman" w:hAnsi="Times New Roman"/>
          <w:szCs w:val="24"/>
          <w:lang w:val="en-US"/>
        </w:rPr>
        <w:t xml:space="preserve">MSW </w:t>
      </w:r>
      <w:r w:rsidR="00614543" w:rsidRPr="00E215E1">
        <w:rPr>
          <w:rFonts w:ascii="Times New Roman" w:hAnsi="Times New Roman"/>
          <w:szCs w:val="24"/>
          <w:lang w:val="en-US"/>
        </w:rPr>
        <w:t xml:space="preserve">collection and disposal in municipalities with a population greater than 50,000 inhabitants, </w:t>
      </w:r>
      <w:r w:rsidR="0043385A">
        <w:rPr>
          <w:rFonts w:ascii="Times New Roman" w:hAnsi="Times New Roman"/>
          <w:szCs w:val="24"/>
          <w:lang w:val="en-US"/>
        </w:rPr>
        <w:t>over</w:t>
      </w:r>
      <w:r w:rsidR="00614543" w:rsidRPr="00E215E1">
        <w:rPr>
          <w:rFonts w:ascii="Times New Roman" w:hAnsi="Times New Roman"/>
          <w:szCs w:val="24"/>
          <w:lang w:val="en-US"/>
        </w:rPr>
        <w:t xml:space="preserve"> the period 2012-2015. These companies deliver WM services in one or more municipalities.</w:t>
      </w:r>
    </w:p>
    <w:p w14:paraId="7ADFEA06" w14:textId="4BCC50DE" w:rsidR="00614543" w:rsidRPr="00E215E1" w:rsidRDefault="00C20E87" w:rsidP="00D539F1">
      <w:pPr>
        <w:spacing w:line="480" w:lineRule="auto"/>
        <w:ind w:firstLine="0"/>
        <w:jc w:val="left"/>
        <w:rPr>
          <w:rFonts w:ascii="Times New Roman" w:hAnsi="Times New Roman"/>
          <w:szCs w:val="24"/>
          <w:lang w:val="en-US"/>
        </w:rPr>
      </w:pPr>
      <w:r>
        <w:rPr>
          <w:rFonts w:ascii="Times New Roman" w:hAnsi="Times New Roman"/>
          <w:szCs w:val="24"/>
          <w:lang w:val="en-US"/>
        </w:rPr>
        <w:t>The basis of the empirical experiment is the computation of the individual indicators in equation (1). C</w:t>
      </w:r>
      <w:r w:rsidR="00614543" w:rsidRPr="00E215E1">
        <w:rPr>
          <w:rFonts w:ascii="Times New Roman" w:hAnsi="Times New Roman"/>
          <w:szCs w:val="24"/>
          <w:lang w:val="en-US"/>
        </w:rPr>
        <w:t xml:space="preserve">oncerning data sources, </w:t>
      </w:r>
      <w:r w:rsidR="0043385A">
        <w:rPr>
          <w:rFonts w:ascii="Times New Roman" w:hAnsi="Times New Roman"/>
          <w:szCs w:val="24"/>
          <w:lang w:val="en-US"/>
        </w:rPr>
        <w:t xml:space="preserve">a </w:t>
      </w:r>
      <w:r w:rsidR="006B3C2F" w:rsidRPr="00E215E1">
        <w:rPr>
          <w:rFonts w:ascii="Times New Roman" w:hAnsi="Times New Roman"/>
          <w:szCs w:val="24"/>
          <w:lang w:val="en-US"/>
        </w:rPr>
        <w:t>high</w:t>
      </w:r>
      <w:r w:rsidR="0043385A">
        <w:rPr>
          <w:rFonts w:ascii="Times New Roman" w:hAnsi="Times New Roman"/>
          <w:szCs w:val="24"/>
          <w:lang w:val="en-US"/>
        </w:rPr>
        <w:t>-</w:t>
      </w:r>
      <w:r w:rsidR="006B3C2F" w:rsidRPr="00E215E1">
        <w:rPr>
          <w:rFonts w:ascii="Times New Roman" w:hAnsi="Times New Roman"/>
          <w:szCs w:val="24"/>
          <w:lang w:val="en-US"/>
        </w:rPr>
        <w:t>quality data</w:t>
      </w:r>
      <w:r w:rsidR="0043385A">
        <w:rPr>
          <w:rFonts w:ascii="Times New Roman" w:hAnsi="Times New Roman"/>
          <w:szCs w:val="24"/>
          <w:lang w:val="en-US"/>
        </w:rPr>
        <w:t>-</w:t>
      </w:r>
      <w:r w:rsidR="006B3C2F" w:rsidRPr="00E215E1">
        <w:rPr>
          <w:rFonts w:ascii="Times New Roman" w:hAnsi="Times New Roman"/>
          <w:szCs w:val="24"/>
          <w:lang w:val="en-US"/>
        </w:rPr>
        <w:t xml:space="preserve">set has been </w:t>
      </w:r>
      <w:r w:rsidR="0043385A">
        <w:rPr>
          <w:rFonts w:ascii="Times New Roman" w:hAnsi="Times New Roman"/>
          <w:szCs w:val="24"/>
          <w:lang w:val="en-US"/>
        </w:rPr>
        <w:t>en</w:t>
      </w:r>
      <w:r w:rsidR="00187946" w:rsidRPr="00E215E1">
        <w:rPr>
          <w:rFonts w:ascii="Times New Roman" w:hAnsi="Times New Roman"/>
          <w:szCs w:val="24"/>
          <w:lang w:val="en-US"/>
        </w:rPr>
        <w:t>sured</w:t>
      </w:r>
      <w:r w:rsidR="001409E6">
        <w:rPr>
          <w:rFonts w:ascii="Times New Roman" w:hAnsi="Times New Roman"/>
          <w:szCs w:val="24"/>
          <w:lang w:val="en-US"/>
        </w:rPr>
        <w:t xml:space="preserve">, as only official sources </w:t>
      </w:r>
      <w:r w:rsidR="0043385A">
        <w:rPr>
          <w:rFonts w:ascii="Times New Roman" w:hAnsi="Times New Roman"/>
          <w:szCs w:val="24"/>
          <w:lang w:val="en-US"/>
        </w:rPr>
        <w:t xml:space="preserve">were </w:t>
      </w:r>
      <w:r w:rsidR="001409E6">
        <w:rPr>
          <w:rFonts w:ascii="Times New Roman" w:hAnsi="Times New Roman"/>
          <w:szCs w:val="24"/>
          <w:lang w:val="en-US"/>
        </w:rPr>
        <w:t>used</w:t>
      </w:r>
      <w:r w:rsidR="006B3C2F" w:rsidRPr="00E215E1">
        <w:rPr>
          <w:rFonts w:ascii="Times New Roman" w:hAnsi="Times New Roman"/>
          <w:szCs w:val="24"/>
          <w:lang w:val="en-US"/>
        </w:rPr>
        <w:t xml:space="preserve">: </w:t>
      </w:r>
      <w:r w:rsidR="001409E6">
        <w:rPr>
          <w:rFonts w:ascii="Times New Roman" w:hAnsi="Times New Roman"/>
          <w:szCs w:val="24"/>
          <w:lang w:val="en-US"/>
        </w:rPr>
        <w:t>total production costs (</w:t>
      </w:r>
      <w:r>
        <w:rPr>
          <w:rFonts w:ascii="Times New Roman" w:hAnsi="Times New Roman"/>
          <w:szCs w:val="24"/>
          <w:lang w:val="en-US"/>
        </w:rPr>
        <w:t xml:space="preserve">the </w:t>
      </w:r>
      <w:r w:rsidR="001409E6" w:rsidRPr="00FF30AD">
        <w:rPr>
          <w:rFonts w:ascii="Times New Roman" w:hAnsi="Times New Roman"/>
          <w:i/>
          <w:szCs w:val="24"/>
          <w:lang w:val="en-US"/>
        </w:rPr>
        <w:t>PC</w:t>
      </w:r>
      <w:r>
        <w:rPr>
          <w:rFonts w:ascii="Times New Roman" w:hAnsi="Times New Roman"/>
          <w:szCs w:val="24"/>
          <w:lang w:val="en-US"/>
        </w:rPr>
        <w:t>’s in equation (1)</w:t>
      </w:r>
      <w:r w:rsidR="001409E6">
        <w:rPr>
          <w:rFonts w:ascii="Times New Roman" w:hAnsi="Times New Roman"/>
          <w:szCs w:val="24"/>
          <w:lang w:val="en-US"/>
        </w:rPr>
        <w:t>, expressed in euro</w:t>
      </w:r>
      <w:r w:rsidR="0043385A">
        <w:rPr>
          <w:rFonts w:ascii="Times New Roman" w:hAnsi="Times New Roman"/>
          <w:szCs w:val="24"/>
          <w:lang w:val="en-US"/>
        </w:rPr>
        <w:t>s</w:t>
      </w:r>
      <w:r w:rsidR="001409E6">
        <w:rPr>
          <w:rFonts w:ascii="Times New Roman" w:hAnsi="Times New Roman"/>
          <w:szCs w:val="24"/>
          <w:lang w:val="en-US"/>
        </w:rPr>
        <w:t xml:space="preserve">) were taken from official companies’ </w:t>
      </w:r>
      <w:r w:rsidR="00614543" w:rsidRPr="00E215E1">
        <w:rPr>
          <w:rFonts w:ascii="Times New Roman" w:hAnsi="Times New Roman"/>
          <w:szCs w:val="24"/>
          <w:lang w:val="en-US"/>
        </w:rPr>
        <w:t>financial statements (in particular</w:t>
      </w:r>
      <w:r w:rsidR="0043385A">
        <w:rPr>
          <w:rFonts w:ascii="Times New Roman" w:hAnsi="Times New Roman"/>
          <w:szCs w:val="24"/>
          <w:lang w:val="en-US"/>
        </w:rPr>
        <w:t>,</w:t>
      </w:r>
      <w:r w:rsidR="00614543" w:rsidRPr="00E215E1">
        <w:rPr>
          <w:rFonts w:ascii="Times New Roman" w:hAnsi="Times New Roman"/>
          <w:szCs w:val="24"/>
          <w:lang w:val="en-US"/>
        </w:rPr>
        <w:t xml:space="preserve"> the income statement</w:t>
      </w:r>
      <w:r w:rsidR="006B3C2F" w:rsidRPr="00E215E1">
        <w:rPr>
          <w:rFonts w:ascii="Times New Roman" w:hAnsi="Times New Roman"/>
          <w:szCs w:val="24"/>
          <w:lang w:val="en-US"/>
        </w:rPr>
        <w:t>s</w:t>
      </w:r>
      <w:r w:rsidR="00614543" w:rsidRPr="00E215E1">
        <w:rPr>
          <w:rFonts w:ascii="Times New Roman" w:hAnsi="Times New Roman"/>
          <w:szCs w:val="24"/>
          <w:lang w:val="en-US"/>
        </w:rPr>
        <w:t>) retrieved from companies’ websites</w:t>
      </w:r>
      <w:r>
        <w:rPr>
          <w:rFonts w:ascii="Times New Roman" w:hAnsi="Times New Roman"/>
          <w:szCs w:val="24"/>
          <w:lang w:val="en-US"/>
        </w:rPr>
        <w:t>.</w:t>
      </w:r>
      <w:r w:rsidR="00614543" w:rsidRPr="00E215E1">
        <w:rPr>
          <w:rFonts w:ascii="Times New Roman" w:hAnsi="Times New Roman"/>
          <w:szCs w:val="24"/>
          <w:lang w:val="en-US"/>
        </w:rPr>
        <w:t xml:space="preserve"> </w:t>
      </w:r>
      <w:r>
        <w:rPr>
          <w:rFonts w:ascii="Times New Roman" w:hAnsi="Times New Roman"/>
          <w:szCs w:val="24"/>
          <w:lang w:val="en-US"/>
        </w:rPr>
        <w:t xml:space="preserve">The DWC rates (the </w:t>
      </w:r>
      <w:r w:rsidRPr="0043385A">
        <w:rPr>
          <w:rFonts w:ascii="Times New Roman" w:hAnsi="Times New Roman"/>
          <w:i/>
          <w:szCs w:val="24"/>
          <w:lang w:val="en-US"/>
        </w:rPr>
        <w:t>d</w:t>
      </w:r>
      <w:r w:rsidRPr="00FF30AD">
        <w:rPr>
          <w:rFonts w:ascii="Times New Roman" w:hAnsi="Times New Roman"/>
          <w:szCs w:val="24"/>
          <w:lang w:val="en-US"/>
        </w:rPr>
        <w:t>’s</w:t>
      </w:r>
      <w:r>
        <w:rPr>
          <w:rFonts w:ascii="Times New Roman" w:hAnsi="Times New Roman"/>
          <w:szCs w:val="24"/>
          <w:lang w:val="en-US"/>
        </w:rPr>
        <w:t xml:space="preserve"> in equation (1)) w</w:t>
      </w:r>
      <w:r w:rsidR="00D42B10">
        <w:rPr>
          <w:rFonts w:ascii="Times New Roman" w:hAnsi="Times New Roman"/>
          <w:szCs w:val="24"/>
          <w:lang w:val="en-US"/>
        </w:rPr>
        <w:t>ere</w:t>
      </w:r>
      <w:r>
        <w:rPr>
          <w:rFonts w:ascii="Times New Roman" w:hAnsi="Times New Roman"/>
          <w:szCs w:val="24"/>
          <w:lang w:val="en-US"/>
        </w:rPr>
        <w:t xml:space="preserve"> calculated by dividing the DWC by the total waste collected (differentiated and undifferentiated).</w:t>
      </w:r>
      <w:r w:rsidR="00D42B10">
        <w:rPr>
          <w:rFonts w:ascii="Times New Roman" w:hAnsi="Times New Roman"/>
          <w:szCs w:val="24"/>
          <w:lang w:val="en-US"/>
        </w:rPr>
        <w:t xml:space="preserve"> </w:t>
      </w:r>
      <w:r>
        <w:rPr>
          <w:rFonts w:ascii="Times New Roman" w:hAnsi="Times New Roman"/>
          <w:szCs w:val="24"/>
          <w:lang w:val="en-US"/>
        </w:rPr>
        <w:t xml:space="preserve">For the computation of the </w:t>
      </w:r>
      <w:r w:rsidRPr="00FF30AD">
        <w:rPr>
          <w:rFonts w:ascii="Times New Roman" w:hAnsi="Times New Roman"/>
          <w:i/>
          <w:szCs w:val="24"/>
          <w:lang w:val="en-US"/>
        </w:rPr>
        <w:t>d</w:t>
      </w:r>
      <w:r>
        <w:rPr>
          <w:rFonts w:ascii="Times New Roman" w:hAnsi="Times New Roman"/>
          <w:szCs w:val="24"/>
          <w:lang w:val="en-US"/>
        </w:rPr>
        <w:t>’s, the</w:t>
      </w:r>
      <w:r w:rsidRPr="00E215E1">
        <w:rPr>
          <w:rFonts w:ascii="Times New Roman" w:hAnsi="Times New Roman"/>
          <w:szCs w:val="24"/>
          <w:lang w:val="en-US"/>
        </w:rPr>
        <w:t xml:space="preserve"> </w:t>
      </w:r>
      <w:r w:rsidR="003D69B1" w:rsidRPr="00E215E1">
        <w:rPr>
          <w:rFonts w:ascii="Times New Roman" w:hAnsi="Times New Roman"/>
          <w:szCs w:val="24"/>
          <w:lang w:val="en-US"/>
        </w:rPr>
        <w:t>DWC</w:t>
      </w:r>
      <w:r>
        <w:rPr>
          <w:rFonts w:ascii="Times New Roman" w:hAnsi="Times New Roman"/>
          <w:szCs w:val="24"/>
          <w:lang w:val="en-US"/>
        </w:rPr>
        <w:t xml:space="preserve"> and the total waste collected</w:t>
      </w:r>
      <w:r w:rsidR="00614543" w:rsidRPr="00E215E1">
        <w:rPr>
          <w:rFonts w:ascii="Times New Roman" w:hAnsi="Times New Roman"/>
          <w:szCs w:val="24"/>
          <w:lang w:val="en-US"/>
        </w:rPr>
        <w:t xml:space="preserve"> data</w:t>
      </w:r>
      <w:r w:rsidR="001409E6">
        <w:rPr>
          <w:rFonts w:ascii="Times New Roman" w:hAnsi="Times New Roman"/>
          <w:szCs w:val="24"/>
          <w:lang w:val="en-US"/>
        </w:rPr>
        <w:t xml:space="preserve"> (expressed in tons)</w:t>
      </w:r>
      <w:r w:rsidR="00614543" w:rsidRPr="00E215E1">
        <w:rPr>
          <w:rFonts w:ascii="Times New Roman" w:hAnsi="Times New Roman"/>
          <w:szCs w:val="24"/>
          <w:lang w:val="en-US"/>
        </w:rPr>
        <w:t xml:space="preserve"> </w:t>
      </w:r>
      <w:r w:rsidR="0043385A">
        <w:rPr>
          <w:rFonts w:ascii="Times New Roman" w:hAnsi="Times New Roman"/>
          <w:szCs w:val="24"/>
          <w:lang w:val="en-US"/>
        </w:rPr>
        <w:t>for</w:t>
      </w:r>
      <w:r w:rsidR="00614543" w:rsidRPr="00E215E1">
        <w:rPr>
          <w:rFonts w:ascii="Times New Roman" w:hAnsi="Times New Roman"/>
          <w:szCs w:val="24"/>
          <w:lang w:val="en-US"/>
        </w:rPr>
        <w:t xml:space="preserve"> </w:t>
      </w:r>
      <w:r w:rsidR="006B3C2F" w:rsidRPr="00E215E1">
        <w:rPr>
          <w:rFonts w:ascii="Times New Roman" w:hAnsi="Times New Roman"/>
          <w:szCs w:val="24"/>
          <w:lang w:val="en-US"/>
        </w:rPr>
        <w:t xml:space="preserve">each </w:t>
      </w:r>
      <w:r w:rsidR="00614543" w:rsidRPr="00E215E1">
        <w:rPr>
          <w:rFonts w:ascii="Times New Roman" w:hAnsi="Times New Roman"/>
          <w:szCs w:val="24"/>
          <w:lang w:val="en-US"/>
        </w:rPr>
        <w:t>municipalit</w:t>
      </w:r>
      <w:r w:rsidR="009A16B4" w:rsidRPr="00E215E1">
        <w:rPr>
          <w:rFonts w:ascii="Times New Roman" w:hAnsi="Times New Roman"/>
          <w:szCs w:val="24"/>
          <w:lang w:val="en-US"/>
        </w:rPr>
        <w:t>y</w:t>
      </w:r>
      <w:r w:rsidR="00614543" w:rsidRPr="00E215E1">
        <w:rPr>
          <w:rFonts w:ascii="Times New Roman" w:hAnsi="Times New Roman"/>
          <w:szCs w:val="24"/>
          <w:lang w:val="en-US"/>
        </w:rPr>
        <w:t xml:space="preserve"> </w:t>
      </w:r>
      <w:r w:rsidR="0043385A" w:rsidRPr="00E215E1">
        <w:rPr>
          <w:rFonts w:ascii="Times New Roman" w:hAnsi="Times New Roman"/>
          <w:szCs w:val="24"/>
          <w:lang w:val="en-US"/>
        </w:rPr>
        <w:t xml:space="preserve">served </w:t>
      </w:r>
      <w:r w:rsidR="0043385A">
        <w:rPr>
          <w:rFonts w:ascii="Times New Roman" w:hAnsi="Times New Roman"/>
          <w:szCs w:val="24"/>
          <w:lang w:val="en-US"/>
        </w:rPr>
        <w:t>were</w:t>
      </w:r>
      <w:r w:rsidR="00614543" w:rsidRPr="00E215E1">
        <w:rPr>
          <w:rFonts w:ascii="Times New Roman" w:hAnsi="Times New Roman"/>
          <w:szCs w:val="24"/>
          <w:lang w:val="en-US"/>
        </w:rPr>
        <w:t xml:space="preserve"> retrieved from</w:t>
      </w:r>
      <w:r w:rsidR="00D14C69">
        <w:rPr>
          <w:rFonts w:ascii="Times New Roman" w:hAnsi="Times New Roman"/>
          <w:szCs w:val="24"/>
          <w:lang w:val="en-US"/>
        </w:rPr>
        <w:t xml:space="preserve"> the</w:t>
      </w:r>
      <w:r w:rsidR="00614543" w:rsidRPr="00E215E1">
        <w:rPr>
          <w:rFonts w:ascii="Times New Roman" w:hAnsi="Times New Roman"/>
          <w:szCs w:val="24"/>
          <w:lang w:val="en-US"/>
        </w:rPr>
        <w:t xml:space="preserve"> </w:t>
      </w:r>
      <w:r w:rsidR="00853356" w:rsidRPr="00E215E1">
        <w:rPr>
          <w:rFonts w:ascii="Times New Roman" w:hAnsi="Times New Roman"/>
          <w:szCs w:val="24"/>
          <w:lang w:val="en-US"/>
        </w:rPr>
        <w:t xml:space="preserve">Institute for Environmental Protection and Research (ISPRA) data base (Italian </w:t>
      </w:r>
      <w:r w:rsidR="00614543" w:rsidRPr="00E215E1">
        <w:rPr>
          <w:rFonts w:ascii="Times New Roman" w:hAnsi="Times New Roman"/>
          <w:szCs w:val="24"/>
          <w:lang w:val="en-US"/>
        </w:rPr>
        <w:t>Ministry of Environment</w:t>
      </w:r>
      <w:r w:rsidR="00853356" w:rsidRPr="00E215E1">
        <w:rPr>
          <w:rFonts w:ascii="Times New Roman" w:hAnsi="Times New Roman"/>
          <w:szCs w:val="24"/>
          <w:lang w:val="en-US"/>
        </w:rPr>
        <w:t>)</w:t>
      </w:r>
      <w:r w:rsidR="00614543" w:rsidRPr="00E215E1">
        <w:rPr>
          <w:rFonts w:ascii="Times New Roman" w:hAnsi="Times New Roman"/>
          <w:szCs w:val="24"/>
          <w:lang w:val="en-US"/>
        </w:rPr>
        <w:t xml:space="preserve">. </w:t>
      </w:r>
    </w:p>
    <w:p w14:paraId="7B21DA71" w14:textId="2F39D92E" w:rsidR="00614543" w:rsidRPr="00E215E1" w:rsidRDefault="00614543" w:rsidP="00D539F1">
      <w:pPr>
        <w:spacing w:line="480" w:lineRule="auto"/>
        <w:ind w:firstLine="0"/>
        <w:jc w:val="left"/>
        <w:rPr>
          <w:rFonts w:ascii="Times New Roman" w:hAnsi="Times New Roman"/>
          <w:szCs w:val="24"/>
          <w:lang w:val="en-US"/>
        </w:rPr>
      </w:pPr>
      <w:r w:rsidRPr="00E215E1">
        <w:rPr>
          <w:rFonts w:ascii="Times New Roman" w:hAnsi="Times New Roman"/>
          <w:szCs w:val="24"/>
          <w:lang w:val="en-US"/>
        </w:rPr>
        <w:t xml:space="preserve">To </w:t>
      </w:r>
      <w:r w:rsidR="0043385A">
        <w:rPr>
          <w:rFonts w:ascii="Times New Roman" w:hAnsi="Times New Roman"/>
          <w:szCs w:val="24"/>
          <w:lang w:val="en-US"/>
        </w:rPr>
        <w:t>en</w:t>
      </w:r>
      <w:r w:rsidRPr="00E215E1">
        <w:rPr>
          <w:rFonts w:ascii="Times New Roman" w:hAnsi="Times New Roman"/>
          <w:szCs w:val="24"/>
          <w:lang w:val="en-US"/>
        </w:rPr>
        <w:t>sure good data comparability, only mono-utility</w:t>
      </w:r>
      <w:r w:rsidR="00C22265" w:rsidRPr="00E215E1">
        <w:rPr>
          <w:rFonts w:ascii="Times New Roman" w:hAnsi="Times New Roman"/>
          <w:szCs w:val="24"/>
          <w:lang w:val="en-US"/>
        </w:rPr>
        <w:t>, predominantly medium</w:t>
      </w:r>
      <w:r w:rsidR="0043385A">
        <w:rPr>
          <w:rFonts w:ascii="Times New Roman" w:hAnsi="Times New Roman"/>
          <w:szCs w:val="24"/>
          <w:lang w:val="en-US"/>
        </w:rPr>
        <w:t>–</w:t>
      </w:r>
      <w:r w:rsidR="00C22265" w:rsidRPr="00E215E1">
        <w:rPr>
          <w:rFonts w:ascii="Times New Roman" w:hAnsi="Times New Roman"/>
          <w:szCs w:val="24"/>
          <w:lang w:val="en-US"/>
        </w:rPr>
        <w:t>size</w:t>
      </w:r>
      <w:r w:rsidR="0043385A">
        <w:rPr>
          <w:rFonts w:ascii="Times New Roman" w:hAnsi="Times New Roman"/>
          <w:szCs w:val="24"/>
          <w:lang w:val="en-US"/>
        </w:rPr>
        <w:t>d,</w:t>
      </w:r>
      <w:r w:rsidRPr="00E215E1">
        <w:rPr>
          <w:rFonts w:ascii="Times New Roman" w:hAnsi="Times New Roman"/>
          <w:szCs w:val="24"/>
          <w:lang w:val="en-US"/>
        </w:rPr>
        <w:t xml:space="preserve"> no</w:t>
      </w:r>
      <w:r w:rsidR="0043385A">
        <w:rPr>
          <w:rFonts w:ascii="Times New Roman" w:hAnsi="Times New Roman"/>
          <w:szCs w:val="24"/>
          <w:lang w:val="en-US"/>
        </w:rPr>
        <w:t>-</w:t>
      </w:r>
      <w:r w:rsidRPr="00E215E1">
        <w:rPr>
          <w:rFonts w:ascii="Times New Roman" w:hAnsi="Times New Roman"/>
          <w:szCs w:val="24"/>
          <w:lang w:val="en-US"/>
        </w:rPr>
        <w:t>listed companies having similar</w:t>
      </w:r>
      <w:r w:rsidR="0069274D" w:rsidRPr="00E215E1">
        <w:rPr>
          <w:rFonts w:ascii="Times New Roman" w:hAnsi="Times New Roman"/>
          <w:szCs w:val="24"/>
          <w:lang w:val="en-US"/>
        </w:rPr>
        <w:t xml:space="preserve"> and comparable</w:t>
      </w:r>
      <w:r w:rsidRPr="00E215E1">
        <w:rPr>
          <w:rFonts w:ascii="Times New Roman" w:hAnsi="Times New Roman"/>
          <w:szCs w:val="24"/>
          <w:lang w:val="en-US"/>
        </w:rPr>
        <w:t xml:space="preserve"> financial statements in form and content</w:t>
      </w:r>
      <w:r w:rsidR="0043385A">
        <w:rPr>
          <w:rFonts w:ascii="Times New Roman" w:hAnsi="Times New Roman"/>
          <w:szCs w:val="24"/>
          <w:lang w:val="en-US"/>
        </w:rPr>
        <w:t xml:space="preserve"> were considered</w:t>
      </w:r>
      <w:r w:rsidR="00D82C3E" w:rsidRPr="00E215E1">
        <w:rPr>
          <w:rFonts w:ascii="Times New Roman" w:hAnsi="Times New Roman"/>
          <w:szCs w:val="24"/>
          <w:lang w:val="en-US"/>
        </w:rPr>
        <w:t>,</w:t>
      </w:r>
      <w:r w:rsidR="005309AD" w:rsidRPr="00E215E1">
        <w:rPr>
          <w:rFonts w:ascii="Times New Roman" w:hAnsi="Times New Roman"/>
          <w:szCs w:val="24"/>
          <w:lang w:val="en-US"/>
        </w:rPr>
        <w:t xml:space="preserve"> since they use the same accounting standards</w:t>
      </w:r>
      <w:r w:rsidRPr="00E215E1">
        <w:rPr>
          <w:rFonts w:ascii="Times New Roman" w:hAnsi="Times New Roman"/>
          <w:szCs w:val="24"/>
          <w:lang w:val="en-US"/>
        </w:rPr>
        <w:t>.</w:t>
      </w:r>
    </w:p>
    <w:p w14:paraId="2E68EF48" w14:textId="131ECDE3" w:rsidR="00C017E9" w:rsidRPr="00E215E1" w:rsidRDefault="00614543" w:rsidP="00D539F1">
      <w:pPr>
        <w:spacing w:line="480" w:lineRule="auto"/>
        <w:ind w:firstLine="0"/>
        <w:jc w:val="left"/>
        <w:rPr>
          <w:rFonts w:ascii="Times New Roman" w:hAnsi="Times New Roman"/>
          <w:szCs w:val="24"/>
          <w:lang w:val="en-US"/>
        </w:rPr>
      </w:pPr>
      <w:r w:rsidRPr="00E215E1">
        <w:rPr>
          <w:rFonts w:ascii="Times New Roman" w:hAnsi="Times New Roman"/>
          <w:szCs w:val="24"/>
          <w:lang w:val="en-US"/>
        </w:rPr>
        <w:t xml:space="preserve">Thus, </w:t>
      </w:r>
      <w:r w:rsidR="00282BEA">
        <w:rPr>
          <w:rFonts w:ascii="Times New Roman" w:hAnsi="Times New Roman"/>
          <w:szCs w:val="24"/>
          <w:lang w:val="en-US"/>
        </w:rPr>
        <w:t>a</w:t>
      </w:r>
      <w:r w:rsidRPr="00E215E1">
        <w:rPr>
          <w:rFonts w:ascii="Times New Roman" w:hAnsi="Times New Roman"/>
          <w:szCs w:val="24"/>
          <w:lang w:val="en-US"/>
        </w:rPr>
        <w:t xml:space="preserve"> total</w:t>
      </w:r>
      <w:r w:rsidR="00282BEA">
        <w:rPr>
          <w:rFonts w:ascii="Times New Roman" w:hAnsi="Times New Roman"/>
          <w:szCs w:val="24"/>
          <w:lang w:val="en-US"/>
        </w:rPr>
        <w:t xml:space="preserve"> of</w:t>
      </w:r>
      <w:r w:rsidRPr="00E215E1">
        <w:rPr>
          <w:rFonts w:ascii="Times New Roman" w:hAnsi="Times New Roman"/>
          <w:szCs w:val="24"/>
          <w:lang w:val="en-US"/>
        </w:rPr>
        <w:t xml:space="preserve"> 52 WM </w:t>
      </w:r>
      <w:r w:rsidR="00033D91" w:rsidRPr="00E215E1">
        <w:rPr>
          <w:rFonts w:ascii="Times New Roman" w:hAnsi="Times New Roman"/>
          <w:szCs w:val="24"/>
          <w:lang w:val="en-US"/>
        </w:rPr>
        <w:t>companies</w:t>
      </w:r>
      <w:r w:rsidR="00282BEA">
        <w:rPr>
          <w:rFonts w:ascii="Times New Roman" w:hAnsi="Times New Roman"/>
          <w:szCs w:val="24"/>
          <w:lang w:val="en-US"/>
        </w:rPr>
        <w:t xml:space="preserve"> were investigated</w:t>
      </w:r>
      <w:r w:rsidR="00A877D1" w:rsidRPr="00E215E1">
        <w:rPr>
          <w:rFonts w:ascii="Times New Roman" w:hAnsi="Times New Roman"/>
          <w:szCs w:val="24"/>
          <w:lang w:val="en-US"/>
        </w:rPr>
        <w:t xml:space="preserve">, all </w:t>
      </w:r>
      <w:r w:rsidRPr="00E215E1">
        <w:rPr>
          <w:rFonts w:ascii="Times New Roman" w:hAnsi="Times New Roman"/>
          <w:szCs w:val="24"/>
          <w:lang w:val="en-US"/>
        </w:rPr>
        <w:t>owned or controlled by municipalities</w:t>
      </w:r>
      <w:r w:rsidR="00A877D1" w:rsidRPr="00E215E1">
        <w:rPr>
          <w:rFonts w:ascii="Times New Roman" w:hAnsi="Times New Roman"/>
          <w:szCs w:val="24"/>
          <w:lang w:val="en-US"/>
        </w:rPr>
        <w:t xml:space="preserve">. </w:t>
      </w:r>
      <w:r w:rsidR="00B7198A" w:rsidRPr="00E215E1">
        <w:rPr>
          <w:rFonts w:ascii="Times New Roman" w:hAnsi="Times New Roman"/>
          <w:szCs w:val="24"/>
          <w:lang w:val="en-US"/>
        </w:rPr>
        <w:t xml:space="preserve">The public nature of the considered companies meets the evidence of the Italian </w:t>
      </w:r>
      <w:r w:rsidR="00A877D1" w:rsidRPr="00E215E1">
        <w:rPr>
          <w:rFonts w:ascii="Times New Roman" w:hAnsi="Times New Roman"/>
          <w:szCs w:val="24"/>
          <w:lang w:val="en-US"/>
        </w:rPr>
        <w:t>WM sector</w:t>
      </w:r>
      <w:r w:rsidR="00B7198A" w:rsidRPr="00E215E1">
        <w:rPr>
          <w:rFonts w:ascii="Times New Roman" w:hAnsi="Times New Roman"/>
          <w:szCs w:val="24"/>
          <w:lang w:val="en-US"/>
        </w:rPr>
        <w:t xml:space="preserve"> </w:t>
      </w:r>
      <w:r w:rsidR="00A877D1" w:rsidRPr="00E215E1">
        <w:rPr>
          <w:rFonts w:ascii="Times New Roman" w:hAnsi="Times New Roman"/>
          <w:szCs w:val="24"/>
          <w:lang w:val="en-US"/>
        </w:rPr>
        <w:t>(</w:t>
      </w:r>
      <w:r w:rsidRPr="00E215E1">
        <w:rPr>
          <w:rFonts w:ascii="Times New Roman" w:hAnsi="Times New Roman"/>
          <w:szCs w:val="24"/>
          <w:lang w:val="en-US"/>
        </w:rPr>
        <w:t>Utilitatis</w:t>
      </w:r>
      <w:r w:rsidR="00A877D1" w:rsidRPr="00E215E1">
        <w:rPr>
          <w:rFonts w:ascii="Times New Roman" w:hAnsi="Times New Roman"/>
          <w:szCs w:val="24"/>
          <w:lang w:val="en-US"/>
        </w:rPr>
        <w:t>,</w:t>
      </w:r>
      <w:r w:rsidR="009A16B4" w:rsidRPr="00E215E1">
        <w:rPr>
          <w:rFonts w:ascii="Times New Roman" w:hAnsi="Times New Roman"/>
          <w:szCs w:val="24"/>
          <w:lang w:val="en-US"/>
        </w:rPr>
        <w:t xml:space="preserve"> </w:t>
      </w:r>
      <w:r w:rsidRPr="00E215E1">
        <w:rPr>
          <w:rFonts w:ascii="Times New Roman" w:hAnsi="Times New Roman"/>
          <w:szCs w:val="24"/>
          <w:lang w:val="en-US"/>
        </w:rPr>
        <w:t>2016)</w:t>
      </w:r>
      <w:r w:rsidR="00014269" w:rsidRPr="00E215E1">
        <w:rPr>
          <w:rFonts w:ascii="Times New Roman" w:hAnsi="Times New Roman"/>
          <w:szCs w:val="24"/>
          <w:lang w:val="en-US"/>
        </w:rPr>
        <w:t xml:space="preserve">. </w:t>
      </w:r>
      <w:r w:rsidR="00A877D1" w:rsidRPr="00E215E1">
        <w:rPr>
          <w:rFonts w:ascii="Times New Roman" w:hAnsi="Times New Roman"/>
          <w:szCs w:val="24"/>
          <w:lang w:val="en-US"/>
        </w:rPr>
        <w:t xml:space="preserve">Furthermore, the 52 analyzed companies </w:t>
      </w:r>
      <w:r w:rsidR="00B7198A" w:rsidRPr="00E215E1">
        <w:rPr>
          <w:rFonts w:ascii="Times New Roman" w:hAnsi="Times New Roman"/>
          <w:szCs w:val="24"/>
          <w:lang w:val="en-US"/>
        </w:rPr>
        <w:t>represent</w:t>
      </w:r>
      <w:r w:rsidR="00014269" w:rsidRPr="00E215E1">
        <w:rPr>
          <w:rFonts w:ascii="Times New Roman" w:hAnsi="Times New Roman"/>
          <w:szCs w:val="24"/>
          <w:lang w:val="en-US"/>
        </w:rPr>
        <w:t xml:space="preserve"> the 37% and 42% of those operating in the WM sector, respectively, in terms of sales revenues and employee numbers, according to the Green Book survey for medium and medium-large size classes (Utilitatis, 2016).</w:t>
      </w:r>
      <w:r w:rsidRPr="00E215E1">
        <w:rPr>
          <w:rFonts w:ascii="Times New Roman" w:hAnsi="Times New Roman"/>
          <w:szCs w:val="24"/>
          <w:lang w:val="en-US"/>
        </w:rPr>
        <w:t xml:space="preserve"> </w:t>
      </w:r>
      <w:r w:rsidR="00014269" w:rsidRPr="00E215E1">
        <w:rPr>
          <w:rFonts w:ascii="Times New Roman" w:hAnsi="Times New Roman"/>
          <w:szCs w:val="24"/>
          <w:lang w:val="en-US"/>
        </w:rPr>
        <w:t>Such companies</w:t>
      </w:r>
      <w:r w:rsidRPr="00E215E1">
        <w:rPr>
          <w:rFonts w:ascii="Times New Roman" w:hAnsi="Times New Roman"/>
          <w:szCs w:val="24"/>
          <w:lang w:val="en-US"/>
        </w:rPr>
        <w:t xml:space="preserve"> serve about 880 municipalities (with a very slight variation during the four-year </w:t>
      </w:r>
      <w:r w:rsidRPr="00E215E1">
        <w:rPr>
          <w:rFonts w:ascii="Times New Roman" w:hAnsi="Times New Roman"/>
          <w:szCs w:val="24"/>
          <w:lang w:val="en-US"/>
        </w:rPr>
        <w:lastRenderedPageBreak/>
        <w:t>period), spread over</w:t>
      </w:r>
      <w:r w:rsidR="00282BEA">
        <w:rPr>
          <w:rFonts w:ascii="Times New Roman" w:hAnsi="Times New Roman"/>
          <w:szCs w:val="24"/>
          <w:lang w:val="en-US"/>
        </w:rPr>
        <w:t xml:space="preserve"> </w:t>
      </w:r>
      <w:r w:rsidRPr="00E215E1">
        <w:rPr>
          <w:rFonts w:ascii="Times New Roman" w:hAnsi="Times New Roman"/>
          <w:szCs w:val="24"/>
          <w:lang w:val="en-US"/>
        </w:rPr>
        <w:t>all the Italian territory</w:t>
      </w:r>
      <w:r w:rsidR="006B3C2F" w:rsidRPr="00E215E1">
        <w:rPr>
          <w:rFonts w:ascii="Times New Roman" w:hAnsi="Times New Roman"/>
          <w:szCs w:val="24"/>
          <w:lang w:val="en-US"/>
        </w:rPr>
        <w:t xml:space="preserve"> (40% North, 27% Center, 33% South and islands)</w:t>
      </w:r>
      <w:r w:rsidRPr="00E215E1">
        <w:rPr>
          <w:rFonts w:ascii="Times New Roman" w:hAnsi="Times New Roman"/>
          <w:szCs w:val="24"/>
          <w:lang w:val="en-US"/>
        </w:rPr>
        <w:t xml:space="preserve">. </w:t>
      </w:r>
      <w:r w:rsidR="00282BEA">
        <w:rPr>
          <w:rFonts w:ascii="Times New Roman" w:hAnsi="Times New Roman"/>
          <w:szCs w:val="24"/>
          <w:lang w:val="en-US"/>
        </w:rPr>
        <w:t>The</w:t>
      </w:r>
      <w:r w:rsidR="00282BEA" w:rsidRPr="00E215E1">
        <w:rPr>
          <w:rFonts w:ascii="Times New Roman" w:hAnsi="Times New Roman"/>
          <w:szCs w:val="24"/>
          <w:lang w:val="en-US"/>
        </w:rPr>
        <w:t xml:space="preserve"> </w:t>
      </w:r>
      <w:r w:rsidRPr="00E215E1">
        <w:rPr>
          <w:rFonts w:ascii="Times New Roman" w:hAnsi="Times New Roman"/>
          <w:szCs w:val="24"/>
          <w:lang w:val="en-US"/>
        </w:rPr>
        <w:t xml:space="preserve">analysis </w:t>
      </w:r>
      <w:r w:rsidR="00282BEA">
        <w:rPr>
          <w:rFonts w:ascii="Times New Roman" w:hAnsi="Times New Roman"/>
          <w:szCs w:val="24"/>
          <w:lang w:val="en-US"/>
        </w:rPr>
        <w:t>used data from</w:t>
      </w:r>
      <w:r w:rsidRPr="00E215E1">
        <w:rPr>
          <w:rFonts w:ascii="Times New Roman" w:hAnsi="Times New Roman"/>
          <w:szCs w:val="24"/>
          <w:lang w:val="en-US"/>
        </w:rPr>
        <w:t xml:space="preserve"> four years,</w:t>
      </w:r>
      <w:r w:rsidR="00014269" w:rsidRPr="00E215E1">
        <w:rPr>
          <w:rFonts w:ascii="Times New Roman" w:hAnsi="Times New Roman"/>
          <w:szCs w:val="24"/>
          <w:lang w:val="en-US"/>
        </w:rPr>
        <w:t xml:space="preserve"> </w:t>
      </w:r>
      <w:r w:rsidR="00282BEA">
        <w:rPr>
          <w:rFonts w:ascii="Times New Roman" w:hAnsi="Times New Roman"/>
          <w:szCs w:val="24"/>
          <w:lang w:val="en-US"/>
        </w:rPr>
        <w:t>with a total of</w:t>
      </w:r>
      <w:r w:rsidR="00014269" w:rsidRPr="00E215E1">
        <w:rPr>
          <w:rFonts w:ascii="Times New Roman" w:hAnsi="Times New Roman"/>
          <w:szCs w:val="24"/>
          <w:lang w:val="en-US"/>
        </w:rPr>
        <w:t xml:space="preserve"> </w:t>
      </w:r>
      <w:r w:rsidR="00A944A5" w:rsidRPr="00E215E1">
        <w:rPr>
          <w:rFonts w:ascii="Times New Roman" w:hAnsi="Times New Roman"/>
          <w:szCs w:val="24"/>
          <w:lang w:val="en-US"/>
        </w:rPr>
        <w:t>3</w:t>
      </w:r>
      <w:r w:rsidR="00D82C3E" w:rsidRPr="00E215E1">
        <w:rPr>
          <w:rFonts w:ascii="Times New Roman" w:hAnsi="Times New Roman"/>
          <w:szCs w:val="24"/>
          <w:lang w:val="en-US"/>
        </w:rPr>
        <w:t>,</w:t>
      </w:r>
      <w:r w:rsidR="00A944A5" w:rsidRPr="00E215E1">
        <w:rPr>
          <w:rFonts w:ascii="Times New Roman" w:hAnsi="Times New Roman"/>
          <w:szCs w:val="24"/>
          <w:lang w:val="en-US"/>
        </w:rPr>
        <w:t>497</w:t>
      </w:r>
      <w:r w:rsidRPr="00E215E1">
        <w:rPr>
          <w:rFonts w:ascii="Times New Roman" w:hAnsi="Times New Roman"/>
          <w:szCs w:val="24"/>
          <w:lang w:val="en-US"/>
        </w:rPr>
        <w:t xml:space="preserve"> observations.</w:t>
      </w:r>
    </w:p>
    <w:p w14:paraId="7A27E5CC" w14:textId="77777777" w:rsidR="001606AB" w:rsidRPr="00E215E1" w:rsidRDefault="001606AB" w:rsidP="00D539F1">
      <w:pPr>
        <w:pStyle w:val="TITLE2"/>
        <w:spacing w:before="0" w:after="0" w:line="480" w:lineRule="auto"/>
        <w:jc w:val="left"/>
        <w:rPr>
          <w:rFonts w:ascii="Times New Roman" w:hAnsi="Times New Roman"/>
          <w:sz w:val="24"/>
        </w:rPr>
      </w:pPr>
    </w:p>
    <w:p w14:paraId="0E99D9C5" w14:textId="1FCD3B35" w:rsidR="00112770" w:rsidRPr="00E215E1" w:rsidRDefault="00667004" w:rsidP="00D539F1">
      <w:pPr>
        <w:pStyle w:val="TITLE2"/>
        <w:spacing w:before="0" w:after="0" w:line="480" w:lineRule="auto"/>
        <w:jc w:val="left"/>
        <w:rPr>
          <w:rFonts w:ascii="Times New Roman" w:hAnsi="Times New Roman"/>
          <w:sz w:val="24"/>
        </w:rPr>
      </w:pPr>
      <w:r>
        <w:rPr>
          <w:rFonts w:ascii="Times New Roman" w:hAnsi="Times New Roman"/>
          <w:sz w:val="24"/>
        </w:rPr>
        <w:t>4</w:t>
      </w:r>
      <w:r w:rsidR="00112770" w:rsidRPr="00E215E1">
        <w:rPr>
          <w:rFonts w:ascii="Times New Roman" w:hAnsi="Times New Roman"/>
          <w:sz w:val="24"/>
        </w:rPr>
        <w:t>.</w:t>
      </w:r>
      <w:r w:rsidR="00B46739">
        <w:rPr>
          <w:rFonts w:ascii="Times New Roman" w:hAnsi="Times New Roman"/>
          <w:sz w:val="24"/>
        </w:rPr>
        <w:t xml:space="preserve">2 </w:t>
      </w:r>
      <w:r w:rsidR="00112770" w:rsidRPr="00E215E1">
        <w:rPr>
          <w:rFonts w:ascii="Times New Roman" w:hAnsi="Times New Roman"/>
          <w:sz w:val="24"/>
        </w:rPr>
        <w:t>R</w:t>
      </w:r>
      <w:r w:rsidR="00B46739">
        <w:rPr>
          <w:rFonts w:ascii="Times New Roman" w:hAnsi="Times New Roman"/>
          <w:sz w:val="24"/>
        </w:rPr>
        <w:t>esults and discussion</w:t>
      </w:r>
    </w:p>
    <w:p w14:paraId="29223B0C" w14:textId="1F652D82" w:rsidR="00C36823" w:rsidRPr="00E215E1" w:rsidRDefault="00AC15D6" w:rsidP="00D539F1">
      <w:pPr>
        <w:spacing w:line="480" w:lineRule="auto"/>
        <w:ind w:firstLine="0"/>
        <w:jc w:val="left"/>
        <w:rPr>
          <w:rFonts w:ascii="Times New Roman" w:hAnsi="Times New Roman"/>
          <w:szCs w:val="24"/>
          <w:lang w:val="en-US"/>
        </w:rPr>
      </w:pPr>
      <w:r w:rsidRPr="00E215E1">
        <w:rPr>
          <w:rFonts w:ascii="Times New Roman" w:hAnsi="Times New Roman"/>
          <w:szCs w:val="24"/>
          <w:lang w:val="en-US"/>
        </w:rPr>
        <w:t xml:space="preserve">In order to explore the behavior of the indicator on the basis of the </w:t>
      </w:r>
      <w:r w:rsidR="00726EE8">
        <w:rPr>
          <w:rFonts w:ascii="Times New Roman" w:hAnsi="Times New Roman"/>
          <w:szCs w:val="24"/>
          <w:lang w:val="en-US"/>
        </w:rPr>
        <w:t xml:space="preserve">economic </w:t>
      </w:r>
      <w:r w:rsidRPr="00E215E1">
        <w:rPr>
          <w:rFonts w:ascii="Times New Roman" w:hAnsi="Times New Roman"/>
          <w:szCs w:val="24"/>
          <w:lang w:val="en-US"/>
        </w:rPr>
        <w:t xml:space="preserve">efficiency in </w:t>
      </w:r>
      <w:r w:rsidR="00726EE8">
        <w:rPr>
          <w:rFonts w:ascii="Times New Roman" w:hAnsi="Times New Roman"/>
          <w:szCs w:val="24"/>
          <w:lang w:val="en-US"/>
        </w:rPr>
        <w:t xml:space="preserve">terms of income </w:t>
      </w:r>
      <w:r w:rsidRPr="00E215E1">
        <w:rPr>
          <w:rFonts w:ascii="Times New Roman" w:hAnsi="Times New Roman"/>
          <w:szCs w:val="24"/>
          <w:lang w:val="en-US"/>
        </w:rPr>
        <w:t>managing the DWC</w:t>
      </w:r>
      <w:r w:rsidR="00C36823" w:rsidRPr="00E215E1">
        <w:rPr>
          <w:rFonts w:ascii="Times New Roman" w:hAnsi="Times New Roman"/>
          <w:szCs w:val="24"/>
          <w:lang w:val="en-US"/>
        </w:rPr>
        <w:t xml:space="preserve">, the set </w:t>
      </w:r>
      <m:oMath>
        <m:r>
          <w:rPr>
            <w:rFonts w:ascii="Cambria Math" w:hAnsi="Cambria Math"/>
            <w:lang w:val="en-US"/>
          </w:rPr>
          <m:t>[0,1]</m:t>
        </m:r>
      </m:oMath>
      <w:r w:rsidR="00C36823" w:rsidRPr="00E215E1">
        <w:rPr>
          <w:rFonts w:ascii="Times New Roman" w:hAnsi="Times New Roman"/>
          <w:szCs w:val="24"/>
          <w:lang w:val="en-US"/>
        </w:rPr>
        <w:t xml:space="preserve"> </w:t>
      </w:r>
      <w:r w:rsidR="000C4CFB">
        <w:rPr>
          <w:rFonts w:ascii="Times New Roman" w:hAnsi="Times New Roman"/>
          <w:szCs w:val="24"/>
          <w:lang w:val="en-US"/>
        </w:rPr>
        <w:t xml:space="preserve">is discretized </w:t>
      </w:r>
      <w:r w:rsidR="00C36823" w:rsidRPr="00E215E1">
        <w:rPr>
          <w:rFonts w:ascii="Times New Roman" w:hAnsi="Times New Roman"/>
          <w:szCs w:val="24"/>
          <w:lang w:val="en-US"/>
        </w:rPr>
        <w:t xml:space="preserve">as </w:t>
      </w:r>
      <m:oMath>
        <m:r>
          <w:rPr>
            <w:rFonts w:ascii="Cambria Math" w:hAnsi="Cambria Math"/>
            <w:lang w:val="en-US"/>
          </w:rPr>
          <m:t>I={0;0.1;0.2;…;0.9;1}</m:t>
        </m:r>
      </m:oMath>
      <w:r w:rsidRPr="00E215E1">
        <w:rPr>
          <w:rFonts w:ascii="Times New Roman" w:hAnsi="Times New Roman"/>
          <w:szCs w:val="24"/>
          <w:lang w:val="en-US"/>
        </w:rPr>
        <w:t xml:space="preserve"> and</w:t>
      </w:r>
      <w:r w:rsidR="00C36823" w:rsidRPr="00E215E1">
        <w:rPr>
          <w:rFonts w:ascii="Times New Roman" w:hAnsi="Times New Roman"/>
          <w:szCs w:val="24"/>
          <w:lang w:val="en-US"/>
        </w:rPr>
        <w:t xml:space="preserve"> </w:t>
      </w:r>
      <w:r w:rsidRPr="00E215E1">
        <w:rPr>
          <w:rFonts w:ascii="Times New Roman" w:hAnsi="Times New Roman"/>
          <w:szCs w:val="24"/>
          <w:lang w:val="en-US"/>
        </w:rPr>
        <w:t>consider</w:t>
      </w:r>
      <w:r w:rsidR="00C36823" w:rsidRPr="00E215E1">
        <w:rPr>
          <w:rFonts w:ascii="Times New Roman" w:hAnsi="Times New Roman"/>
          <w:szCs w:val="24"/>
          <w:lang w:val="en-US"/>
        </w:rPr>
        <w:t xml:space="preserve"> </w:t>
      </w:r>
      <m:oMath>
        <m:r>
          <w:rPr>
            <w:rFonts w:ascii="Cambria Math" w:hAnsi="Cambria Math"/>
            <w:lang w:val="en-US"/>
          </w:rPr>
          <m:t>α ∈I</m:t>
        </m:r>
      </m:oMath>
      <w:r w:rsidRPr="00E215E1">
        <w:rPr>
          <w:rFonts w:ascii="Times New Roman" w:hAnsi="Times New Roman"/>
          <w:lang w:val="en-US"/>
        </w:rPr>
        <w:t>.</w:t>
      </w:r>
    </w:p>
    <w:p w14:paraId="3245BD60" w14:textId="3319BF7C" w:rsidR="007E5DAD" w:rsidRPr="00E215E1" w:rsidRDefault="005A34B0" w:rsidP="00D539F1">
      <w:pPr>
        <w:spacing w:line="480" w:lineRule="auto"/>
        <w:ind w:firstLine="0"/>
        <w:jc w:val="left"/>
        <w:rPr>
          <w:rFonts w:ascii="Times New Roman" w:hAnsi="Times New Roman"/>
          <w:szCs w:val="24"/>
          <w:lang w:val="en-US"/>
        </w:rPr>
      </w:pPr>
      <w:r w:rsidRPr="00E215E1">
        <w:rPr>
          <w:rFonts w:ascii="Times New Roman" w:hAnsi="Times New Roman"/>
          <w:szCs w:val="24"/>
          <w:lang w:val="en-US"/>
        </w:rPr>
        <w:t xml:space="preserve">The </w:t>
      </w:r>
      <w:r w:rsidR="007E5DAD" w:rsidRPr="00E215E1">
        <w:rPr>
          <w:rFonts w:ascii="Times New Roman" w:hAnsi="Times New Roman"/>
          <w:szCs w:val="24"/>
          <w:lang w:val="en-US"/>
        </w:rPr>
        <w:t xml:space="preserve">values of the calibrated parameters </w:t>
      </w:r>
      <m:oMath>
        <m:acc>
          <m:accPr>
            <m:ctrlPr>
              <w:rPr>
                <w:rFonts w:ascii="Cambria Math" w:hAnsi="Cambria Math"/>
                <w:i/>
                <w:lang w:val="en-US"/>
              </w:rPr>
            </m:ctrlPr>
          </m:accPr>
          <m:e>
            <m:r>
              <w:rPr>
                <w:rFonts w:ascii="Cambria Math" w:hAnsi="Cambria Math"/>
                <w:lang w:val="en-US"/>
              </w:rPr>
              <m:t>a</m:t>
            </m:r>
          </m:e>
        </m:acc>
        <m:r>
          <w:rPr>
            <w:rFonts w:ascii="Cambria Math" w:hAnsi="Cambria Math"/>
            <w:lang w:val="en-US"/>
          </w:rPr>
          <m:t xml:space="preserve">, </m:t>
        </m:r>
        <m:acc>
          <m:accPr>
            <m:ctrlPr>
              <w:rPr>
                <w:rFonts w:ascii="Cambria Math" w:hAnsi="Cambria Math"/>
                <w:i/>
                <w:lang w:val="en-US"/>
              </w:rPr>
            </m:ctrlPr>
          </m:accPr>
          <m:e>
            <m:r>
              <w:rPr>
                <w:rFonts w:ascii="Cambria Math" w:hAnsi="Cambria Math"/>
                <w:lang w:val="en-US"/>
              </w:rPr>
              <m:t>b</m:t>
            </m:r>
          </m:e>
        </m:acc>
        <m:r>
          <m:rPr>
            <m:scr m:val="double-struck"/>
          </m:rPr>
          <w:rPr>
            <w:rFonts w:ascii="Cambria Math" w:hAnsi="Cambria Math"/>
            <w:lang w:val="en-US"/>
          </w:rPr>
          <m:t xml:space="preserve"> ∈R</m:t>
        </m:r>
      </m:oMath>
      <w:r w:rsidR="007E5DAD" w:rsidRPr="00E215E1">
        <w:rPr>
          <w:rFonts w:ascii="Times New Roman" w:hAnsi="Times New Roman"/>
          <w:szCs w:val="24"/>
          <w:lang w:val="en-US"/>
        </w:rPr>
        <w:t xml:space="preserve"> and the goodness of fit </w:t>
      </w:r>
      <m:oMath>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oMath>
      <w:r w:rsidR="007E5DAD" w:rsidRPr="00E215E1">
        <w:rPr>
          <w:rFonts w:ascii="Times New Roman" w:hAnsi="Times New Roman"/>
          <w:szCs w:val="24"/>
          <w:lang w:val="en-US"/>
        </w:rPr>
        <w:t xml:space="preserve"> as the value of </w:t>
      </w:r>
      <m:oMath>
        <m:r>
          <w:rPr>
            <w:rFonts w:ascii="Cambria Math" w:hAnsi="Cambria Math"/>
            <w:lang w:val="en-US"/>
          </w:rPr>
          <m:t>α</m:t>
        </m:r>
      </m:oMath>
      <w:r w:rsidR="007E5DAD" w:rsidRPr="00E215E1">
        <w:rPr>
          <w:rFonts w:ascii="Times New Roman" w:hAnsi="Times New Roman"/>
          <w:szCs w:val="24"/>
          <w:lang w:val="en-US"/>
        </w:rPr>
        <w:t xml:space="preserve"> changes</w:t>
      </w:r>
      <w:r w:rsidRPr="00E215E1">
        <w:rPr>
          <w:rFonts w:ascii="Times New Roman" w:hAnsi="Times New Roman"/>
          <w:szCs w:val="24"/>
          <w:lang w:val="en-US"/>
        </w:rPr>
        <w:t xml:space="preserve"> are shown in</w:t>
      </w:r>
      <w:r w:rsidR="005309AD" w:rsidRPr="00E215E1">
        <w:rPr>
          <w:rFonts w:ascii="Times New Roman" w:hAnsi="Times New Roman"/>
          <w:szCs w:val="24"/>
          <w:lang w:val="en-US"/>
        </w:rPr>
        <w:t xml:space="preserve"> </w:t>
      </w:r>
      <w:r w:rsidRPr="00E215E1">
        <w:rPr>
          <w:rFonts w:ascii="Times New Roman" w:hAnsi="Times New Roman"/>
          <w:szCs w:val="24"/>
          <w:lang w:val="en-US"/>
        </w:rPr>
        <w:t>Table 1</w:t>
      </w:r>
      <w:r w:rsidR="007E5DAD" w:rsidRPr="00E215E1">
        <w:rPr>
          <w:rFonts w:ascii="Times New Roman" w:hAnsi="Times New Roman"/>
          <w:szCs w:val="24"/>
          <w:lang w:val="en-US"/>
        </w:rPr>
        <w:t xml:space="preserve">. The goodness of fit is satisfactory in all the considered cases, with all </w:t>
      </w:r>
      <w:r w:rsidR="00246AEB" w:rsidRPr="00E215E1">
        <w:rPr>
          <w:rFonts w:ascii="Times New Roman" w:hAnsi="Times New Roman"/>
          <w:szCs w:val="24"/>
          <w:lang w:val="en-US"/>
        </w:rPr>
        <w:t xml:space="preserve">the </w:t>
      </w:r>
      <m:oMath>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oMath>
      <w:r w:rsidR="007E5DAD" w:rsidRPr="00E215E1">
        <w:rPr>
          <w:rFonts w:ascii="Times New Roman" w:hAnsi="Times New Roman"/>
          <w:szCs w:val="24"/>
          <w:lang w:val="en-US"/>
        </w:rPr>
        <w:t xml:space="preserve"> values</w:t>
      </w:r>
      <w:r w:rsidR="00246AEB" w:rsidRPr="00E215E1">
        <w:rPr>
          <w:rFonts w:ascii="Times New Roman" w:hAnsi="Times New Roman"/>
          <w:szCs w:val="24"/>
          <w:lang w:val="en-US"/>
        </w:rPr>
        <w:t xml:space="preserve"> </w:t>
      </w:r>
      <w:r w:rsidR="007E5DAD" w:rsidRPr="00E215E1">
        <w:rPr>
          <w:rFonts w:ascii="Times New Roman" w:hAnsi="Times New Roman"/>
          <w:szCs w:val="24"/>
          <w:lang w:val="en-US"/>
        </w:rPr>
        <w:t>gr</w:t>
      </w:r>
      <w:r w:rsidR="00246AEB" w:rsidRPr="00E215E1">
        <w:rPr>
          <w:rFonts w:ascii="Times New Roman" w:hAnsi="Times New Roman"/>
          <w:szCs w:val="24"/>
          <w:lang w:val="en-US"/>
        </w:rPr>
        <w:t>e</w:t>
      </w:r>
      <w:r w:rsidR="007E5DAD" w:rsidRPr="00E215E1">
        <w:rPr>
          <w:rFonts w:ascii="Times New Roman" w:hAnsi="Times New Roman"/>
          <w:szCs w:val="24"/>
          <w:lang w:val="en-US"/>
        </w:rPr>
        <w:t xml:space="preserve">ater than 0.93. Thus, according to rank-size theory, </w:t>
      </w:r>
      <m:oMath>
        <m:r>
          <w:rPr>
            <w:rFonts w:ascii="Cambria Math" w:hAnsi="Cambria Math"/>
            <w:lang w:val="en-US"/>
          </w:rPr>
          <m:t>f</m:t>
        </m:r>
        <m:d>
          <m:dPr>
            <m:ctrlPr>
              <w:rPr>
                <w:rFonts w:ascii="Cambria Math" w:hAnsi="Cambria Math"/>
                <w:i/>
                <w:lang w:val="en-US"/>
              </w:rPr>
            </m:ctrlPr>
          </m:dPr>
          <m:e>
            <m:r>
              <w:rPr>
                <w:rFonts w:ascii="Cambria Math" w:hAnsi="Cambria Math"/>
                <w:lang w:val="en-US"/>
              </w:rPr>
              <m:t>r</m:t>
            </m:r>
          </m:e>
        </m:d>
      </m:oMath>
      <w:r w:rsidR="007E5DAD" w:rsidRPr="00E215E1">
        <w:rPr>
          <w:rFonts w:ascii="Times New Roman" w:hAnsi="Times New Roman"/>
          <w:szCs w:val="24"/>
          <w:lang w:val="en-US"/>
        </w:rPr>
        <w:t xml:space="preserve"> </w:t>
      </w:r>
      <w:r w:rsidR="000C4CFB">
        <w:rPr>
          <w:rFonts w:ascii="Times New Roman" w:hAnsi="Times New Roman"/>
          <w:szCs w:val="24"/>
          <w:lang w:val="en-US"/>
        </w:rPr>
        <w:t xml:space="preserve">can be used </w:t>
      </w:r>
      <w:r w:rsidR="007E5DAD" w:rsidRPr="00E215E1">
        <w:rPr>
          <w:rFonts w:ascii="Times New Roman" w:hAnsi="Times New Roman"/>
          <w:szCs w:val="24"/>
          <w:lang w:val="en-US"/>
        </w:rPr>
        <w:t xml:space="preserve">in </w:t>
      </w:r>
      <w:r w:rsidR="004A7392">
        <w:rPr>
          <w:rFonts w:ascii="Times New Roman" w:hAnsi="Times New Roman"/>
          <w:szCs w:val="24"/>
          <w:lang w:val="en-US"/>
        </w:rPr>
        <w:t>equation</w:t>
      </w:r>
      <w:r w:rsidR="004A7392" w:rsidRPr="00E215E1">
        <w:rPr>
          <w:rFonts w:ascii="Times New Roman" w:hAnsi="Times New Roman"/>
          <w:szCs w:val="24"/>
          <w:lang w:val="en-US"/>
        </w:rPr>
        <w:t xml:space="preserve"> </w:t>
      </w:r>
      <w:r w:rsidR="007E5DAD" w:rsidRPr="00E215E1">
        <w:rPr>
          <w:rFonts w:ascii="Times New Roman" w:hAnsi="Times New Roman"/>
          <w:szCs w:val="24"/>
          <w:lang w:val="en-US"/>
        </w:rPr>
        <w:t xml:space="preserve">(2) </w:t>
      </w:r>
      <w:r w:rsidR="000C4CFB">
        <w:rPr>
          <w:rFonts w:ascii="Times New Roman" w:hAnsi="Times New Roman"/>
          <w:szCs w:val="24"/>
          <w:lang w:val="en-US"/>
        </w:rPr>
        <w:t>to</w:t>
      </w:r>
      <w:r w:rsidR="007E5DAD" w:rsidRPr="00E215E1">
        <w:rPr>
          <w:rFonts w:ascii="Times New Roman" w:hAnsi="Times New Roman"/>
          <w:szCs w:val="24"/>
          <w:lang w:val="en-US"/>
        </w:rPr>
        <w:t xml:space="preserve"> prov</w:t>
      </w:r>
      <w:r w:rsidR="000C4CFB">
        <w:rPr>
          <w:rFonts w:ascii="Times New Roman" w:hAnsi="Times New Roman"/>
          <w:szCs w:val="24"/>
          <w:lang w:val="en-US"/>
        </w:rPr>
        <w:t>e</w:t>
      </w:r>
      <w:r w:rsidR="007E5DAD" w:rsidRPr="00E215E1">
        <w:rPr>
          <w:rFonts w:ascii="Times New Roman" w:hAnsi="Times New Roman"/>
          <w:szCs w:val="24"/>
          <w:lang w:val="en-US"/>
        </w:rPr>
        <w:t xml:space="preserve"> a</w:t>
      </w:r>
      <w:r w:rsidR="00E30550" w:rsidRPr="00E215E1">
        <w:rPr>
          <w:rFonts w:ascii="Times New Roman" w:hAnsi="Times New Roman"/>
          <w:szCs w:val="24"/>
          <w:lang w:val="en-US"/>
        </w:rPr>
        <w:t xml:space="preserve">n </w:t>
      </w:r>
      <w:r w:rsidR="002977EB" w:rsidRPr="00E215E1">
        <w:rPr>
          <w:rFonts w:ascii="Times New Roman" w:hAnsi="Times New Roman"/>
          <w:szCs w:val="24"/>
          <w:lang w:val="en-US"/>
        </w:rPr>
        <w:t>economic</w:t>
      </w:r>
      <w:r w:rsidR="00D14C69">
        <w:rPr>
          <w:rFonts w:ascii="Times New Roman" w:hAnsi="Times New Roman"/>
          <w:szCs w:val="24"/>
          <w:lang w:val="en-US"/>
        </w:rPr>
        <w:t xml:space="preserve"> efficiency</w:t>
      </w:r>
      <w:r w:rsidR="007E5DAD" w:rsidRPr="00E215E1">
        <w:rPr>
          <w:rFonts w:ascii="Times New Roman" w:hAnsi="Times New Roman"/>
          <w:szCs w:val="24"/>
          <w:lang w:val="en-US"/>
        </w:rPr>
        <w:t xml:space="preserve"> indicator in a setting more general than the one described by the </w:t>
      </w:r>
      <w:r w:rsidR="00A944A5" w:rsidRPr="00E215E1">
        <w:rPr>
          <w:rFonts w:ascii="Times New Roman" w:hAnsi="Times New Roman"/>
          <w:szCs w:val="24"/>
          <w:lang w:val="en-US"/>
        </w:rPr>
        <w:t>analyzed</w:t>
      </w:r>
      <w:r w:rsidR="00246AEB" w:rsidRPr="00E215E1">
        <w:rPr>
          <w:rFonts w:ascii="Times New Roman" w:hAnsi="Times New Roman"/>
          <w:szCs w:val="24"/>
          <w:lang w:val="en-US"/>
        </w:rPr>
        <w:t xml:space="preserve"> group</w:t>
      </w:r>
      <w:r w:rsidR="007E5DAD" w:rsidRPr="00E215E1">
        <w:rPr>
          <w:rFonts w:ascii="Times New Roman" w:hAnsi="Times New Roman"/>
          <w:szCs w:val="24"/>
          <w:lang w:val="en-US"/>
        </w:rPr>
        <w:t xml:space="preserve">. </w:t>
      </w:r>
    </w:p>
    <w:p w14:paraId="387ED0BC" w14:textId="77777777" w:rsidR="00112770" w:rsidRPr="00E215E1" w:rsidRDefault="00112770" w:rsidP="00D539F1">
      <w:pPr>
        <w:spacing w:line="480" w:lineRule="auto"/>
        <w:jc w:val="left"/>
        <w:rPr>
          <w:rFonts w:ascii="Times New Roman" w:hAnsi="Times New Roman"/>
          <w:szCs w:val="24"/>
          <w:lang w:val="en-US"/>
        </w:rPr>
      </w:pPr>
    </w:p>
    <w:tbl>
      <w:tblPr>
        <w:tblW w:w="4711" w:type="dxa"/>
        <w:jc w:val="center"/>
        <w:tblCellMar>
          <w:left w:w="70" w:type="dxa"/>
          <w:right w:w="70" w:type="dxa"/>
        </w:tblCellMar>
        <w:tblLook w:val="04A0" w:firstRow="1" w:lastRow="0" w:firstColumn="1" w:lastColumn="0" w:noHBand="0" w:noVBand="1"/>
      </w:tblPr>
      <w:tblGrid>
        <w:gridCol w:w="786"/>
        <w:gridCol w:w="1624"/>
        <w:gridCol w:w="1297"/>
        <w:gridCol w:w="1008"/>
      </w:tblGrid>
      <w:tr w:rsidR="007E5DAD" w:rsidRPr="00E215E1" w14:paraId="33583F83" w14:textId="77777777" w:rsidTr="00AC5612">
        <w:trPr>
          <w:trHeight w:val="284"/>
          <w:jc w:val="center"/>
        </w:trPr>
        <w:tc>
          <w:tcPr>
            <w:tcW w:w="78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41A935C"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α</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14:paraId="3A94332C" w14:textId="77777777" w:rsidR="007E5DAD" w:rsidRPr="00E215E1" w:rsidRDefault="00A30C96" w:rsidP="00D539F1">
            <w:pPr>
              <w:spacing w:line="240" w:lineRule="auto"/>
              <w:jc w:val="left"/>
              <w:rPr>
                <w:rFonts w:ascii="Times New Roman" w:hAnsi="Times New Roman"/>
                <w:color w:val="000000"/>
                <w:szCs w:val="24"/>
                <w:lang w:val="en-US"/>
              </w:rPr>
            </w:pPr>
            <m:oMathPara>
              <m:oMath>
                <m:acc>
                  <m:accPr>
                    <m:ctrlPr>
                      <w:rPr>
                        <w:rFonts w:ascii="Cambria Math" w:hAnsi="Cambria Math"/>
                        <w:i/>
                        <w:lang w:val="en-US"/>
                      </w:rPr>
                    </m:ctrlPr>
                  </m:accPr>
                  <m:e>
                    <m:r>
                      <w:rPr>
                        <w:rFonts w:ascii="Cambria Math" w:hAnsi="Cambria Math"/>
                        <w:lang w:val="en-US"/>
                      </w:rPr>
                      <m:t>a</m:t>
                    </m:r>
                  </m:e>
                </m:acc>
              </m:oMath>
            </m:oMathPara>
          </w:p>
        </w:tc>
        <w:tc>
          <w:tcPr>
            <w:tcW w:w="1297" w:type="dxa"/>
            <w:tcBorders>
              <w:top w:val="single" w:sz="8" w:space="0" w:color="auto"/>
              <w:left w:val="nil"/>
              <w:bottom w:val="single" w:sz="4" w:space="0" w:color="auto"/>
              <w:right w:val="single" w:sz="4" w:space="0" w:color="auto"/>
            </w:tcBorders>
            <w:shd w:val="clear" w:color="auto" w:fill="auto"/>
            <w:noWrap/>
            <w:vAlign w:val="bottom"/>
            <w:hideMark/>
          </w:tcPr>
          <w:p w14:paraId="627BF779" w14:textId="77777777" w:rsidR="007E5DAD" w:rsidRPr="00E215E1" w:rsidRDefault="00A30C96" w:rsidP="00D539F1">
            <w:pPr>
              <w:spacing w:line="240" w:lineRule="auto"/>
              <w:jc w:val="left"/>
              <w:rPr>
                <w:rFonts w:ascii="Times New Roman" w:hAnsi="Times New Roman"/>
                <w:color w:val="000000"/>
                <w:szCs w:val="24"/>
                <w:lang w:val="en-US"/>
              </w:rPr>
            </w:pPr>
            <m:oMathPara>
              <m:oMath>
                <m:acc>
                  <m:accPr>
                    <m:ctrlPr>
                      <w:rPr>
                        <w:rFonts w:ascii="Cambria Math" w:hAnsi="Cambria Math"/>
                        <w:i/>
                        <w:lang w:val="en-US"/>
                      </w:rPr>
                    </m:ctrlPr>
                  </m:accPr>
                  <m:e>
                    <m:r>
                      <w:rPr>
                        <w:rFonts w:ascii="Cambria Math" w:hAnsi="Cambria Math"/>
                        <w:lang w:val="en-US"/>
                      </w:rPr>
                      <m:t>b</m:t>
                    </m:r>
                  </m:e>
                </m:acc>
              </m:oMath>
            </m:oMathPara>
          </w:p>
        </w:tc>
        <w:tc>
          <w:tcPr>
            <w:tcW w:w="1008" w:type="dxa"/>
            <w:tcBorders>
              <w:top w:val="single" w:sz="8" w:space="0" w:color="auto"/>
              <w:left w:val="nil"/>
              <w:bottom w:val="single" w:sz="4" w:space="0" w:color="auto"/>
              <w:right w:val="single" w:sz="8" w:space="0" w:color="auto"/>
            </w:tcBorders>
            <w:shd w:val="clear" w:color="auto" w:fill="auto"/>
            <w:noWrap/>
            <w:vAlign w:val="bottom"/>
            <w:hideMark/>
          </w:tcPr>
          <w:p w14:paraId="48D1CAA7" w14:textId="77777777" w:rsidR="007E5DAD" w:rsidRPr="00E215E1" w:rsidRDefault="00A30C96" w:rsidP="00D539F1">
            <w:pPr>
              <w:spacing w:line="240" w:lineRule="auto"/>
              <w:jc w:val="left"/>
              <w:rPr>
                <w:rFonts w:ascii="Times New Roman" w:hAnsi="Times New Roman"/>
                <w:color w:val="000000"/>
                <w:szCs w:val="24"/>
                <w:lang w:val="en-US"/>
              </w:rPr>
            </w:pPr>
            <m:oMathPara>
              <m:oMath>
                <m:sSup>
                  <m:sSupPr>
                    <m:ctrlPr>
                      <w:rPr>
                        <w:rFonts w:ascii="Cambria Math" w:hAnsi="Cambria Math"/>
                        <w:i/>
                        <w:color w:val="000000"/>
                        <w:lang w:val="en-US"/>
                      </w:rPr>
                    </m:ctrlPr>
                  </m:sSupPr>
                  <m:e>
                    <m:r>
                      <w:rPr>
                        <w:rFonts w:ascii="Cambria Math" w:hAnsi="Cambria Math"/>
                        <w:color w:val="000000"/>
                        <w:lang w:val="en-US"/>
                      </w:rPr>
                      <m:t>R</m:t>
                    </m:r>
                  </m:e>
                  <m:sup>
                    <m:r>
                      <w:rPr>
                        <w:rFonts w:ascii="Cambria Math" w:hAnsi="Cambria Math"/>
                        <w:color w:val="000000"/>
                        <w:lang w:val="en-US"/>
                      </w:rPr>
                      <m:t>2</m:t>
                    </m:r>
                  </m:sup>
                </m:sSup>
              </m:oMath>
            </m:oMathPara>
          </w:p>
        </w:tc>
      </w:tr>
      <w:tr w:rsidR="007E5DAD" w:rsidRPr="00E215E1" w14:paraId="1D4A8B1A" w14:textId="77777777" w:rsidTr="00AC5612">
        <w:trPr>
          <w:trHeight w:val="284"/>
          <w:jc w:val="center"/>
        </w:trPr>
        <w:tc>
          <w:tcPr>
            <w:tcW w:w="786" w:type="dxa"/>
            <w:tcBorders>
              <w:top w:val="nil"/>
              <w:left w:val="single" w:sz="8" w:space="0" w:color="auto"/>
              <w:bottom w:val="single" w:sz="4" w:space="0" w:color="auto"/>
              <w:right w:val="single" w:sz="4" w:space="0" w:color="auto"/>
            </w:tcBorders>
            <w:shd w:val="clear" w:color="auto" w:fill="auto"/>
            <w:vAlign w:val="center"/>
            <w:hideMark/>
          </w:tcPr>
          <w:p w14:paraId="5B894C12"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w:t>
            </w:r>
          </w:p>
        </w:tc>
        <w:tc>
          <w:tcPr>
            <w:tcW w:w="1620" w:type="dxa"/>
            <w:tcBorders>
              <w:top w:val="nil"/>
              <w:left w:val="nil"/>
              <w:bottom w:val="single" w:sz="4" w:space="0" w:color="auto"/>
              <w:right w:val="single" w:sz="4" w:space="0" w:color="auto"/>
            </w:tcBorders>
            <w:shd w:val="clear" w:color="auto" w:fill="auto"/>
            <w:noWrap/>
            <w:vAlign w:val="bottom"/>
            <w:hideMark/>
          </w:tcPr>
          <w:p w14:paraId="3D383351"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180,000,000</w:t>
            </w:r>
          </w:p>
        </w:tc>
        <w:tc>
          <w:tcPr>
            <w:tcW w:w="1297" w:type="dxa"/>
            <w:tcBorders>
              <w:top w:val="nil"/>
              <w:left w:val="nil"/>
              <w:bottom w:val="single" w:sz="4" w:space="0" w:color="auto"/>
              <w:right w:val="single" w:sz="4" w:space="0" w:color="auto"/>
            </w:tcBorders>
            <w:shd w:val="clear" w:color="auto" w:fill="auto"/>
            <w:noWrap/>
            <w:vAlign w:val="bottom"/>
            <w:hideMark/>
          </w:tcPr>
          <w:p w14:paraId="30159008" w14:textId="1D589069"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-0.6773</w:t>
            </w:r>
          </w:p>
        </w:tc>
        <w:tc>
          <w:tcPr>
            <w:tcW w:w="1008" w:type="dxa"/>
            <w:tcBorders>
              <w:top w:val="nil"/>
              <w:left w:val="nil"/>
              <w:bottom w:val="single" w:sz="4" w:space="0" w:color="auto"/>
              <w:right w:val="single" w:sz="8" w:space="0" w:color="auto"/>
            </w:tcBorders>
            <w:shd w:val="clear" w:color="auto" w:fill="auto"/>
            <w:vAlign w:val="center"/>
            <w:hideMark/>
          </w:tcPr>
          <w:p w14:paraId="46434212"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0.948</w:t>
            </w:r>
          </w:p>
        </w:tc>
      </w:tr>
      <w:tr w:rsidR="007E5DAD" w:rsidRPr="00E215E1" w14:paraId="7E220FE8" w14:textId="77777777" w:rsidTr="00AC5612">
        <w:trPr>
          <w:trHeight w:val="284"/>
          <w:jc w:val="center"/>
        </w:trPr>
        <w:tc>
          <w:tcPr>
            <w:tcW w:w="786" w:type="dxa"/>
            <w:tcBorders>
              <w:top w:val="nil"/>
              <w:left w:val="single" w:sz="8" w:space="0" w:color="auto"/>
              <w:bottom w:val="single" w:sz="4" w:space="0" w:color="auto"/>
              <w:right w:val="single" w:sz="4" w:space="0" w:color="auto"/>
            </w:tcBorders>
            <w:shd w:val="clear" w:color="auto" w:fill="auto"/>
            <w:vAlign w:val="center"/>
            <w:hideMark/>
          </w:tcPr>
          <w:p w14:paraId="4FC720C3"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0.1</w:t>
            </w:r>
          </w:p>
        </w:tc>
        <w:tc>
          <w:tcPr>
            <w:tcW w:w="1620" w:type="dxa"/>
            <w:tcBorders>
              <w:top w:val="nil"/>
              <w:left w:val="nil"/>
              <w:bottom w:val="single" w:sz="4" w:space="0" w:color="auto"/>
              <w:right w:val="single" w:sz="4" w:space="0" w:color="auto"/>
            </w:tcBorders>
            <w:shd w:val="clear" w:color="auto" w:fill="auto"/>
            <w:noWrap/>
            <w:vAlign w:val="bottom"/>
            <w:hideMark/>
          </w:tcPr>
          <w:p w14:paraId="2540BB26"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175,000,000</w:t>
            </w:r>
          </w:p>
        </w:tc>
        <w:tc>
          <w:tcPr>
            <w:tcW w:w="1297" w:type="dxa"/>
            <w:tcBorders>
              <w:top w:val="nil"/>
              <w:left w:val="nil"/>
              <w:bottom w:val="single" w:sz="4" w:space="0" w:color="auto"/>
              <w:right w:val="single" w:sz="4" w:space="0" w:color="auto"/>
            </w:tcBorders>
            <w:shd w:val="clear" w:color="auto" w:fill="auto"/>
            <w:noWrap/>
            <w:vAlign w:val="bottom"/>
            <w:hideMark/>
          </w:tcPr>
          <w:p w14:paraId="3F586045"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-0.6838</w:t>
            </w:r>
          </w:p>
        </w:tc>
        <w:tc>
          <w:tcPr>
            <w:tcW w:w="1008" w:type="dxa"/>
            <w:tcBorders>
              <w:top w:val="nil"/>
              <w:left w:val="nil"/>
              <w:bottom w:val="single" w:sz="4" w:space="0" w:color="auto"/>
              <w:right w:val="single" w:sz="8" w:space="0" w:color="auto"/>
            </w:tcBorders>
            <w:shd w:val="clear" w:color="auto" w:fill="auto"/>
            <w:vAlign w:val="center"/>
            <w:hideMark/>
          </w:tcPr>
          <w:p w14:paraId="3C720B23"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0.953</w:t>
            </w:r>
          </w:p>
        </w:tc>
      </w:tr>
      <w:tr w:rsidR="007E5DAD" w:rsidRPr="00E215E1" w14:paraId="5246ACC5" w14:textId="77777777" w:rsidTr="00AC5612">
        <w:trPr>
          <w:trHeight w:val="284"/>
          <w:jc w:val="center"/>
        </w:trPr>
        <w:tc>
          <w:tcPr>
            <w:tcW w:w="786" w:type="dxa"/>
            <w:tcBorders>
              <w:top w:val="nil"/>
              <w:left w:val="single" w:sz="8" w:space="0" w:color="auto"/>
              <w:bottom w:val="single" w:sz="4" w:space="0" w:color="auto"/>
              <w:right w:val="single" w:sz="4" w:space="0" w:color="auto"/>
            </w:tcBorders>
            <w:shd w:val="clear" w:color="auto" w:fill="auto"/>
            <w:vAlign w:val="center"/>
            <w:hideMark/>
          </w:tcPr>
          <w:p w14:paraId="7BC94172"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0.2</w:t>
            </w:r>
          </w:p>
        </w:tc>
        <w:tc>
          <w:tcPr>
            <w:tcW w:w="1620" w:type="dxa"/>
            <w:tcBorders>
              <w:top w:val="nil"/>
              <w:left w:val="nil"/>
              <w:bottom w:val="single" w:sz="4" w:space="0" w:color="auto"/>
              <w:right w:val="single" w:sz="4" w:space="0" w:color="auto"/>
            </w:tcBorders>
            <w:shd w:val="clear" w:color="auto" w:fill="auto"/>
            <w:noWrap/>
            <w:vAlign w:val="bottom"/>
            <w:hideMark/>
          </w:tcPr>
          <w:p w14:paraId="72E0B084"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169,000,000</w:t>
            </w:r>
          </w:p>
        </w:tc>
        <w:tc>
          <w:tcPr>
            <w:tcW w:w="1297" w:type="dxa"/>
            <w:tcBorders>
              <w:top w:val="nil"/>
              <w:left w:val="nil"/>
              <w:bottom w:val="single" w:sz="4" w:space="0" w:color="auto"/>
              <w:right w:val="single" w:sz="4" w:space="0" w:color="auto"/>
            </w:tcBorders>
            <w:shd w:val="clear" w:color="auto" w:fill="auto"/>
            <w:noWrap/>
            <w:vAlign w:val="bottom"/>
            <w:hideMark/>
          </w:tcPr>
          <w:p w14:paraId="30E0ACC5"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-0.6909</w:t>
            </w:r>
          </w:p>
        </w:tc>
        <w:tc>
          <w:tcPr>
            <w:tcW w:w="1008" w:type="dxa"/>
            <w:tcBorders>
              <w:top w:val="nil"/>
              <w:left w:val="nil"/>
              <w:bottom w:val="single" w:sz="4" w:space="0" w:color="auto"/>
              <w:right w:val="single" w:sz="8" w:space="0" w:color="auto"/>
            </w:tcBorders>
            <w:shd w:val="clear" w:color="auto" w:fill="auto"/>
            <w:vAlign w:val="center"/>
            <w:hideMark/>
          </w:tcPr>
          <w:p w14:paraId="3650BBF0"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0.957</w:t>
            </w:r>
          </w:p>
        </w:tc>
      </w:tr>
      <w:tr w:rsidR="007E5DAD" w:rsidRPr="00E215E1" w14:paraId="1AF9B489" w14:textId="77777777" w:rsidTr="00AC5612">
        <w:trPr>
          <w:trHeight w:val="284"/>
          <w:jc w:val="center"/>
        </w:trPr>
        <w:tc>
          <w:tcPr>
            <w:tcW w:w="786" w:type="dxa"/>
            <w:tcBorders>
              <w:top w:val="nil"/>
              <w:left w:val="single" w:sz="8" w:space="0" w:color="auto"/>
              <w:bottom w:val="single" w:sz="4" w:space="0" w:color="auto"/>
              <w:right w:val="single" w:sz="4" w:space="0" w:color="auto"/>
            </w:tcBorders>
            <w:shd w:val="clear" w:color="auto" w:fill="auto"/>
            <w:vAlign w:val="center"/>
            <w:hideMark/>
          </w:tcPr>
          <w:p w14:paraId="7C5EDF73"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0.3</w:t>
            </w:r>
          </w:p>
        </w:tc>
        <w:tc>
          <w:tcPr>
            <w:tcW w:w="1620" w:type="dxa"/>
            <w:tcBorders>
              <w:top w:val="nil"/>
              <w:left w:val="nil"/>
              <w:bottom w:val="single" w:sz="4" w:space="0" w:color="auto"/>
              <w:right w:val="single" w:sz="4" w:space="0" w:color="auto"/>
            </w:tcBorders>
            <w:shd w:val="clear" w:color="auto" w:fill="auto"/>
            <w:noWrap/>
            <w:vAlign w:val="bottom"/>
            <w:hideMark/>
          </w:tcPr>
          <w:p w14:paraId="5EAF2F78"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164,000,000</w:t>
            </w:r>
          </w:p>
        </w:tc>
        <w:tc>
          <w:tcPr>
            <w:tcW w:w="1297" w:type="dxa"/>
            <w:tcBorders>
              <w:top w:val="nil"/>
              <w:left w:val="nil"/>
              <w:bottom w:val="single" w:sz="4" w:space="0" w:color="auto"/>
              <w:right w:val="single" w:sz="4" w:space="0" w:color="auto"/>
            </w:tcBorders>
            <w:shd w:val="clear" w:color="auto" w:fill="auto"/>
            <w:noWrap/>
            <w:vAlign w:val="bottom"/>
            <w:hideMark/>
          </w:tcPr>
          <w:p w14:paraId="01BCEFA1" w14:textId="69A8C11E"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-0.6988</w:t>
            </w:r>
          </w:p>
        </w:tc>
        <w:tc>
          <w:tcPr>
            <w:tcW w:w="1008" w:type="dxa"/>
            <w:tcBorders>
              <w:top w:val="nil"/>
              <w:left w:val="nil"/>
              <w:bottom w:val="single" w:sz="4" w:space="0" w:color="auto"/>
              <w:right w:val="single" w:sz="8" w:space="0" w:color="auto"/>
            </w:tcBorders>
            <w:shd w:val="clear" w:color="auto" w:fill="auto"/>
            <w:vAlign w:val="center"/>
            <w:hideMark/>
          </w:tcPr>
          <w:p w14:paraId="4841AF95"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0.961</w:t>
            </w:r>
          </w:p>
        </w:tc>
      </w:tr>
      <w:tr w:rsidR="007E5DAD" w:rsidRPr="00E215E1" w14:paraId="3DF97231" w14:textId="77777777" w:rsidTr="00AC5612">
        <w:trPr>
          <w:trHeight w:val="284"/>
          <w:jc w:val="center"/>
        </w:trPr>
        <w:tc>
          <w:tcPr>
            <w:tcW w:w="786" w:type="dxa"/>
            <w:tcBorders>
              <w:top w:val="nil"/>
              <w:left w:val="single" w:sz="8" w:space="0" w:color="auto"/>
              <w:bottom w:val="single" w:sz="4" w:space="0" w:color="auto"/>
              <w:right w:val="single" w:sz="4" w:space="0" w:color="auto"/>
            </w:tcBorders>
            <w:shd w:val="clear" w:color="auto" w:fill="auto"/>
            <w:vAlign w:val="center"/>
            <w:hideMark/>
          </w:tcPr>
          <w:p w14:paraId="788FA83C"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0.4</w:t>
            </w:r>
          </w:p>
        </w:tc>
        <w:tc>
          <w:tcPr>
            <w:tcW w:w="1620" w:type="dxa"/>
            <w:tcBorders>
              <w:top w:val="nil"/>
              <w:left w:val="nil"/>
              <w:bottom w:val="single" w:sz="4" w:space="0" w:color="auto"/>
              <w:right w:val="single" w:sz="4" w:space="0" w:color="auto"/>
            </w:tcBorders>
            <w:shd w:val="clear" w:color="auto" w:fill="auto"/>
            <w:noWrap/>
            <w:vAlign w:val="bottom"/>
            <w:hideMark/>
          </w:tcPr>
          <w:p w14:paraId="3A35F60A"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159,000,000</w:t>
            </w:r>
          </w:p>
        </w:tc>
        <w:tc>
          <w:tcPr>
            <w:tcW w:w="1297" w:type="dxa"/>
            <w:tcBorders>
              <w:top w:val="nil"/>
              <w:left w:val="nil"/>
              <w:bottom w:val="single" w:sz="4" w:space="0" w:color="auto"/>
              <w:right w:val="single" w:sz="4" w:space="0" w:color="auto"/>
            </w:tcBorders>
            <w:shd w:val="clear" w:color="auto" w:fill="auto"/>
            <w:noWrap/>
            <w:vAlign w:val="bottom"/>
            <w:hideMark/>
          </w:tcPr>
          <w:p w14:paraId="432CBB5E"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-0.7076</w:t>
            </w:r>
          </w:p>
        </w:tc>
        <w:tc>
          <w:tcPr>
            <w:tcW w:w="1008" w:type="dxa"/>
            <w:tcBorders>
              <w:top w:val="nil"/>
              <w:left w:val="nil"/>
              <w:bottom w:val="single" w:sz="4" w:space="0" w:color="auto"/>
              <w:right w:val="single" w:sz="8" w:space="0" w:color="auto"/>
            </w:tcBorders>
            <w:shd w:val="clear" w:color="auto" w:fill="auto"/>
            <w:vAlign w:val="center"/>
            <w:hideMark/>
          </w:tcPr>
          <w:p w14:paraId="261CE7E8"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0.963</w:t>
            </w:r>
          </w:p>
        </w:tc>
      </w:tr>
      <w:tr w:rsidR="007E5DAD" w:rsidRPr="00E215E1" w14:paraId="05E8B156" w14:textId="77777777" w:rsidTr="00AC5612">
        <w:trPr>
          <w:trHeight w:val="284"/>
          <w:jc w:val="center"/>
        </w:trPr>
        <w:tc>
          <w:tcPr>
            <w:tcW w:w="786" w:type="dxa"/>
            <w:tcBorders>
              <w:top w:val="nil"/>
              <w:left w:val="single" w:sz="8" w:space="0" w:color="auto"/>
              <w:bottom w:val="single" w:sz="4" w:space="0" w:color="auto"/>
              <w:right w:val="single" w:sz="4" w:space="0" w:color="auto"/>
            </w:tcBorders>
            <w:shd w:val="clear" w:color="auto" w:fill="auto"/>
            <w:vAlign w:val="center"/>
            <w:hideMark/>
          </w:tcPr>
          <w:p w14:paraId="259EA382"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0.5</w:t>
            </w:r>
          </w:p>
        </w:tc>
        <w:tc>
          <w:tcPr>
            <w:tcW w:w="1620" w:type="dxa"/>
            <w:tcBorders>
              <w:top w:val="nil"/>
              <w:left w:val="nil"/>
              <w:bottom w:val="single" w:sz="4" w:space="0" w:color="auto"/>
              <w:right w:val="single" w:sz="4" w:space="0" w:color="auto"/>
            </w:tcBorders>
            <w:shd w:val="clear" w:color="auto" w:fill="auto"/>
            <w:noWrap/>
            <w:vAlign w:val="bottom"/>
            <w:hideMark/>
          </w:tcPr>
          <w:p w14:paraId="51F386AC"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153,000,000</w:t>
            </w:r>
          </w:p>
        </w:tc>
        <w:tc>
          <w:tcPr>
            <w:tcW w:w="1297" w:type="dxa"/>
            <w:tcBorders>
              <w:top w:val="nil"/>
              <w:left w:val="nil"/>
              <w:bottom w:val="single" w:sz="4" w:space="0" w:color="auto"/>
              <w:right w:val="single" w:sz="4" w:space="0" w:color="auto"/>
            </w:tcBorders>
            <w:shd w:val="clear" w:color="auto" w:fill="auto"/>
            <w:noWrap/>
            <w:vAlign w:val="bottom"/>
            <w:hideMark/>
          </w:tcPr>
          <w:p w14:paraId="0682432A"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-0.7174</w:t>
            </w:r>
          </w:p>
        </w:tc>
        <w:tc>
          <w:tcPr>
            <w:tcW w:w="1008" w:type="dxa"/>
            <w:tcBorders>
              <w:top w:val="nil"/>
              <w:left w:val="nil"/>
              <w:bottom w:val="single" w:sz="4" w:space="0" w:color="auto"/>
              <w:right w:val="single" w:sz="8" w:space="0" w:color="auto"/>
            </w:tcBorders>
            <w:shd w:val="clear" w:color="auto" w:fill="auto"/>
            <w:vAlign w:val="center"/>
            <w:hideMark/>
          </w:tcPr>
          <w:p w14:paraId="4E574B18"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0.964</w:t>
            </w:r>
          </w:p>
        </w:tc>
      </w:tr>
      <w:tr w:rsidR="007E5DAD" w:rsidRPr="00E215E1" w14:paraId="5D2C91AC" w14:textId="77777777" w:rsidTr="00AC5612">
        <w:trPr>
          <w:trHeight w:val="284"/>
          <w:jc w:val="center"/>
        </w:trPr>
        <w:tc>
          <w:tcPr>
            <w:tcW w:w="786" w:type="dxa"/>
            <w:tcBorders>
              <w:top w:val="nil"/>
              <w:left w:val="single" w:sz="8" w:space="0" w:color="auto"/>
              <w:bottom w:val="single" w:sz="4" w:space="0" w:color="auto"/>
              <w:right w:val="single" w:sz="4" w:space="0" w:color="auto"/>
            </w:tcBorders>
            <w:shd w:val="clear" w:color="auto" w:fill="auto"/>
            <w:vAlign w:val="center"/>
            <w:hideMark/>
          </w:tcPr>
          <w:p w14:paraId="4AE7ED02"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0.6</w:t>
            </w:r>
          </w:p>
        </w:tc>
        <w:tc>
          <w:tcPr>
            <w:tcW w:w="1620" w:type="dxa"/>
            <w:tcBorders>
              <w:top w:val="nil"/>
              <w:left w:val="nil"/>
              <w:bottom w:val="single" w:sz="4" w:space="0" w:color="auto"/>
              <w:right w:val="single" w:sz="4" w:space="0" w:color="auto"/>
            </w:tcBorders>
            <w:shd w:val="clear" w:color="auto" w:fill="auto"/>
            <w:noWrap/>
            <w:vAlign w:val="bottom"/>
            <w:hideMark/>
          </w:tcPr>
          <w:p w14:paraId="3E7C4B7B"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148,000,000</w:t>
            </w:r>
          </w:p>
        </w:tc>
        <w:tc>
          <w:tcPr>
            <w:tcW w:w="1297" w:type="dxa"/>
            <w:tcBorders>
              <w:top w:val="nil"/>
              <w:left w:val="nil"/>
              <w:bottom w:val="single" w:sz="4" w:space="0" w:color="auto"/>
              <w:right w:val="single" w:sz="4" w:space="0" w:color="auto"/>
            </w:tcBorders>
            <w:shd w:val="clear" w:color="auto" w:fill="auto"/>
            <w:noWrap/>
            <w:vAlign w:val="bottom"/>
            <w:hideMark/>
          </w:tcPr>
          <w:p w14:paraId="41687AC9"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-0.7284</w:t>
            </w:r>
          </w:p>
        </w:tc>
        <w:tc>
          <w:tcPr>
            <w:tcW w:w="1008" w:type="dxa"/>
            <w:tcBorders>
              <w:top w:val="nil"/>
              <w:left w:val="nil"/>
              <w:bottom w:val="single" w:sz="4" w:space="0" w:color="auto"/>
              <w:right w:val="single" w:sz="8" w:space="0" w:color="auto"/>
            </w:tcBorders>
            <w:shd w:val="clear" w:color="auto" w:fill="auto"/>
            <w:vAlign w:val="center"/>
            <w:hideMark/>
          </w:tcPr>
          <w:p w14:paraId="603B4756"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0.964</w:t>
            </w:r>
          </w:p>
        </w:tc>
      </w:tr>
      <w:tr w:rsidR="007E5DAD" w:rsidRPr="00E215E1" w14:paraId="59ECD078" w14:textId="77777777" w:rsidTr="00AC5612">
        <w:trPr>
          <w:trHeight w:val="284"/>
          <w:jc w:val="center"/>
        </w:trPr>
        <w:tc>
          <w:tcPr>
            <w:tcW w:w="786" w:type="dxa"/>
            <w:tcBorders>
              <w:top w:val="nil"/>
              <w:left w:val="single" w:sz="8" w:space="0" w:color="auto"/>
              <w:bottom w:val="single" w:sz="4" w:space="0" w:color="auto"/>
              <w:right w:val="single" w:sz="4" w:space="0" w:color="auto"/>
            </w:tcBorders>
            <w:shd w:val="clear" w:color="auto" w:fill="auto"/>
            <w:vAlign w:val="center"/>
            <w:hideMark/>
          </w:tcPr>
          <w:p w14:paraId="11DD4EC0"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0.7</w:t>
            </w:r>
          </w:p>
        </w:tc>
        <w:tc>
          <w:tcPr>
            <w:tcW w:w="1620" w:type="dxa"/>
            <w:tcBorders>
              <w:top w:val="nil"/>
              <w:left w:val="nil"/>
              <w:bottom w:val="single" w:sz="4" w:space="0" w:color="auto"/>
              <w:right w:val="single" w:sz="4" w:space="0" w:color="auto"/>
            </w:tcBorders>
            <w:shd w:val="clear" w:color="auto" w:fill="auto"/>
            <w:noWrap/>
            <w:vAlign w:val="bottom"/>
            <w:hideMark/>
          </w:tcPr>
          <w:p w14:paraId="7222D85D"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143,000,000</w:t>
            </w:r>
          </w:p>
        </w:tc>
        <w:tc>
          <w:tcPr>
            <w:tcW w:w="1297" w:type="dxa"/>
            <w:tcBorders>
              <w:top w:val="nil"/>
              <w:left w:val="nil"/>
              <w:bottom w:val="single" w:sz="4" w:space="0" w:color="auto"/>
              <w:right w:val="single" w:sz="4" w:space="0" w:color="auto"/>
            </w:tcBorders>
            <w:shd w:val="clear" w:color="auto" w:fill="auto"/>
            <w:noWrap/>
            <w:vAlign w:val="bottom"/>
            <w:hideMark/>
          </w:tcPr>
          <w:p w14:paraId="3DD365F7"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-0.7410</w:t>
            </w:r>
          </w:p>
        </w:tc>
        <w:tc>
          <w:tcPr>
            <w:tcW w:w="1008" w:type="dxa"/>
            <w:tcBorders>
              <w:top w:val="nil"/>
              <w:left w:val="nil"/>
              <w:bottom w:val="single" w:sz="4" w:space="0" w:color="auto"/>
              <w:right w:val="single" w:sz="8" w:space="0" w:color="auto"/>
            </w:tcBorders>
            <w:shd w:val="clear" w:color="auto" w:fill="auto"/>
            <w:vAlign w:val="center"/>
            <w:hideMark/>
          </w:tcPr>
          <w:p w14:paraId="71FB8A12"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0.960</w:t>
            </w:r>
          </w:p>
        </w:tc>
      </w:tr>
      <w:tr w:rsidR="007E5DAD" w:rsidRPr="00E215E1" w14:paraId="2C060DE8" w14:textId="77777777" w:rsidTr="00AC5612">
        <w:trPr>
          <w:trHeight w:val="284"/>
          <w:jc w:val="center"/>
        </w:trPr>
        <w:tc>
          <w:tcPr>
            <w:tcW w:w="786" w:type="dxa"/>
            <w:tcBorders>
              <w:top w:val="nil"/>
              <w:left w:val="single" w:sz="8" w:space="0" w:color="auto"/>
              <w:bottom w:val="single" w:sz="4" w:space="0" w:color="auto"/>
              <w:right w:val="single" w:sz="4" w:space="0" w:color="auto"/>
            </w:tcBorders>
            <w:shd w:val="clear" w:color="auto" w:fill="auto"/>
            <w:vAlign w:val="center"/>
            <w:hideMark/>
          </w:tcPr>
          <w:p w14:paraId="6D067637"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0.8</w:t>
            </w:r>
          </w:p>
        </w:tc>
        <w:tc>
          <w:tcPr>
            <w:tcW w:w="1620" w:type="dxa"/>
            <w:tcBorders>
              <w:top w:val="nil"/>
              <w:left w:val="nil"/>
              <w:bottom w:val="single" w:sz="4" w:space="0" w:color="auto"/>
              <w:right w:val="single" w:sz="4" w:space="0" w:color="auto"/>
            </w:tcBorders>
            <w:shd w:val="clear" w:color="auto" w:fill="auto"/>
            <w:noWrap/>
            <w:vAlign w:val="bottom"/>
            <w:hideMark/>
          </w:tcPr>
          <w:p w14:paraId="2BF20807"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138,000,000</w:t>
            </w:r>
          </w:p>
        </w:tc>
        <w:tc>
          <w:tcPr>
            <w:tcW w:w="1297" w:type="dxa"/>
            <w:tcBorders>
              <w:top w:val="nil"/>
              <w:left w:val="nil"/>
              <w:bottom w:val="single" w:sz="4" w:space="0" w:color="auto"/>
              <w:right w:val="single" w:sz="4" w:space="0" w:color="auto"/>
            </w:tcBorders>
            <w:shd w:val="clear" w:color="auto" w:fill="auto"/>
            <w:noWrap/>
            <w:vAlign w:val="bottom"/>
            <w:hideMark/>
          </w:tcPr>
          <w:p w14:paraId="7F2ACBAE"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-0.7553</w:t>
            </w:r>
          </w:p>
        </w:tc>
        <w:tc>
          <w:tcPr>
            <w:tcW w:w="1008" w:type="dxa"/>
            <w:tcBorders>
              <w:top w:val="nil"/>
              <w:left w:val="nil"/>
              <w:bottom w:val="single" w:sz="4" w:space="0" w:color="auto"/>
              <w:right w:val="single" w:sz="8" w:space="0" w:color="auto"/>
            </w:tcBorders>
            <w:shd w:val="clear" w:color="auto" w:fill="auto"/>
            <w:vAlign w:val="center"/>
            <w:hideMark/>
          </w:tcPr>
          <w:p w14:paraId="27D4DBEE"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0.955</w:t>
            </w:r>
          </w:p>
        </w:tc>
      </w:tr>
      <w:tr w:rsidR="007E5DAD" w:rsidRPr="00E215E1" w14:paraId="5201F7EA" w14:textId="77777777" w:rsidTr="00AC5612">
        <w:trPr>
          <w:trHeight w:val="284"/>
          <w:jc w:val="center"/>
        </w:trPr>
        <w:tc>
          <w:tcPr>
            <w:tcW w:w="786" w:type="dxa"/>
            <w:tcBorders>
              <w:top w:val="nil"/>
              <w:left w:val="single" w:sz="8" w:space="0" w:color="auto"/>
              <w:bottom w:val="single" w:sz="4" w:space="0" w:color="auto"/>
              <w:right w:val="single" w:sz="4" w:space="0" w:color="auto"/>
            </w:tcBorders>
            <w:shd w:val="clear" w:color="auto" w:fill="auto"/>
            <w:vAlign w:val="center"/>
            <w:hideMark/>
          </w:tcPr>
          <w:p w14:paraId="7F504BF4"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0.9</w:t>
            </w:r>
          </w:p>
        </w:tc>
        <w:tc>
          <w:tcPr>
            <w:tcW w:w="1620" w:type="dxa"/>
            <w:tcBorders>
              <w:top w:val="nil"/>
              <w:left w:val="nil"/>
              <w:bottom w:val="single" w:sz="4" w:space="0" w:color="auto"/>
              <w:right w:val="single" w:sz="4" w:space="0" w:color="auto"/>
            </w:tcBorders>
            <w:shd w:val="clear" w:color="auto" w:fill="auto"/>
            <w:noWrap/>
            <w:vAlign w:val="bottom"/>
            <w:hideMark/>
          </w:tcPr>
          <w:p w14:paraId="467EC534"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133,000,000</w:t>
            </w:r>
          </w:p>
        </w:tc>
        <w:tc>
          <w:tcPr>
            <w:tcW w:w="1297" w:type="dxa"/>
            <w:tcBorders>
              <w:top w:val="nil"/>
              <w:left w:val="nil"/>
              <w:bottom w:val="single" w:sz="4" w:space="0" w:color="auto"/>
              <w:right w:val="single" w:sz="4" w:space="0" w:color="auto"/>
            </w:tcBorders>
            <w:shd w:val="clear" w:color="auto" w:fill="auto"/>
            <w:noWrap/>
            <w:vAlign w:val="bottom"/>
            <w:hideMark/>
          </w:tcPr>
          <w:p w14:paraId="08603595"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-0.7719</w:t>
            </w:r>
          </w:p>
        </w:tc>
        <w:tc>
          <w:tcPr>
            <w:tcW w:w="1008" w:type="dxa"/>
            <w:tcBorders>
              <w:top w:val="nil"/>
              <w:left w:val="nil"/>
              <w:bottom w:val="single" w:sz="4" w:space="0" w:color="auto"/>
              <w:right w:val="single" w:sz="8" w:space="0" w:color="auto"/>
            </w:tcBorders>
            <w:shd w:val="clear" w:color="auto" w:fill="auto"/>
            <w:vAlign w:val="center"/>
            <w:hideMark/>
          </w:tcPr>
          <w:p w14:paraId="6DF458DD"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0.945</w:t>
            </w:r>
          </w:p>
        </w:tc>
      </w:tr>
      <w:tr w:rsidR="007E5DAD" w:rsidRPr="00E215E1" w14:paraId="7B6AC844" w14:textId="77777777" w:rsidTr="00AC5612">
        <w:trPr>
          <w:trHeight w:val="284"/>
          <w:jc w:val="center"/>
        </w:trPr>
        <w:tc>
          <w:tcPr>
            <w:tcW w:w="786" w:type="dxa"/>
            <w:tcBorders>
              <w:top w:val="nil"/>
              <w:left w:val="single" w:sz="8" w:space="0" w:color="auto"/>
              <w:bottom w:val="single" w:sz="8" w:space="0" w:color="auto"/>
              <w:right w:val="single" w:sz="4" w:space="0" w:color="auto"/>
            </w:tcBorders>
            <w:shd w:val="clear" w:color="auto" w:fill="auto"/>
            <w:vAlign w:val="center"/>
            <w:hideMark/>
          </w:tcPr>
          <w:p w14:paraId="3090BFEC"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w:t>
            </w:r>
          </w:p>
        </w:tc>
        <w:tc>
          <w:tcPr>
            <w:tcW w:w="1620" w:type="dxa"/>
            <w:tcBorders>
              <w:top w:val="nil"/>
              <w:left w:val="nil"/>
              <w:bottom w:val="single" w:sz="8" w:space="0" w:color="auto"/>
              <w:right w:val="single" w:sz="4" w:space="0" w:color="auto"/>
            </w:tcBorders>
            <w:shd w:val="clear" w:color="auto" w:fill="auto"/>
            <w:noWrap/>
            <w:vAlign w:val="bottom"/>
            <w:hideMark/>
          </w:tcPr>
          <w:p w14:paraId="3C1F9A80"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128,000,000</w:t>
            </w:r>
          </w:p>
        </w:tc>
        <w:tc>
          <w:tcPr>
            <w:tcW w:w="1297" w:type="dxa"/>
            <w:tcBorders>
              <w:top w:val="nil"/>
              <w:left w:val="nil"/>
              <w:bottom w:val="single" w:sz="8" w:space="0" w:color="auto"/>
              <w:right w:val="single" w:sz="4" w:space="0" w:color="auto"/>
            </w:tcBorders>
            <w:shd w:val="clear" w:color="auto" w:fill="auto"/>
            <w:noWrap/>
            <w:vAlign w:val="bottom"/>
            <w:hideMark/>
          </w:tcPr>
          <w:p w14:paraId="2376EB35"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-0.7914</w:t>
            </w:r>
          </w:p>
        </w:tc>
        <w:tc>
          <w:tcPr>
            <w:tcW w:w="1008" w:type="dxa"/>
            <w:tcBorders>
              <w:top w:val="nil"/>
              <w:left w:val="nil"/>
              <w:bottom w:val="single" w:sz="8" w:space="0" w:color="auto"/>
              <w:right w:val="single" w:sz="8" w:space="0" w:color="auto"/>
            </w:tcBorders>
            <w:shd w:val="clear" w:color="auto" w:fill="auto"/>
            <w:vAlign w:val="center"/>
            <w:hideMark/>
          </w:tcPr>
          <w:p w14:paraId="242A0767"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0.932</w:t>
            </w:r>
          </w:p>
        </w:tc>
      </w:tr>
    </w:tbl>
    <w:p w14:paraId="4A91CE57" w14:textId="067D76A4" w:rsidR="00FA5939" w:rsidRPr="00E215E1" w:rsidRDefault="00FA5939" w:rsidP="00D539F1">
      <w:pPr>
        <w:spacing w:line="480" w:lineRule="auto"/>
        <w:jc w:val="left"/>
        <w:rPr>
          <w:rFonts w:ascii="Times New Roman" w:hAnsi="Times New Roman"/>
          <w:szCs w:val="24"/>
          <w:lang w:val="en-US"/>
        </w:rPr>
      </w:pPr>
    </w:p>
    <w:p w14:paraId="56A5C056" w14:textId="7DD3C286" w:rsidR="005A34B0" w:rsidRPr="00167A70" w:rsidRDefault="007E5DAD" w:rsidP="00167A70">
      <w:pPr>
        <w:spacing w:line="480" w:lineRule="auto"/>
        <w:ind w:firstLine="0"/>
        <w:jc w:val="left"/>
        <w:rPr>
          <w:rFonts w:ascii="Times New Roman" w:hAnsi="Times New Roman"/>
          <w:sz w:val="20"/>
          <w:lang w:val="en-US"/>
        </w:rPr>
      </w:pPr>
      <w:r w:rsidRPr="00167A70">
        <w:rPr>
          <w:rFonts w:ascii="Times New Roman" w:hAnsi="Times New Roman"/>
          <w:sz w:val="20"/>
          <w:lang w:val="en-US"/>
        </w:rPr>
        <w:t>Table 1. Best</w:t>
      </w:r>
      <w:r w:rsidR="000C4CFB">
        <w:rPr>
          <w:rFonts w:ascii="Times New Roman" w:hAnsi="Times New Roman"/>
          <w:sz w:val="20"/>
          <w:lang w:val="en-US"/>
        </w:rPr>
        <w:t>-</w:t>
      </w:r>
      <w:r w:rsidRPr="00167A70">
        <w:rPr>
          <w:rFonts w:ascii="Times New Roman" w:hAnsi="Times New Roman"/>
          <w:sz w:val="20"/>
          <w:lang w:val="en-US"/>
        </w:rPr>
        <w:t xml:space="preserve">fit parameters and goodness of fit for the different efficiency </w:t>
      </w:r>
      <w:r w:rsidR="00246AEB" w:rsidRPr="00167A70">
        <w:rPr>
          <w:rFonts w:ascii="Times New Roman" w:hAnsi="Times New Roman"/>
          <w:sz w:val="20"/>
          <w:lang w:val="en-US"/>
        </w:rPr>
        <w:t xml:space="preserve">scenarios </w:t>
      </w:r>
      <m:oMath>
        <m:r>
          <w:rPr>
            <w:rFonts w:ascii="Cambria Math" w:hAnsi="Cambria Math"/>
            <w:sz w:val="20"/>
            <w:lang w:val="en-US"/>
          </w:rPr>
          <m:t>α</m:t>
        </m:r>
      </m:oMath>
      <w:r w:rsidRPr="00167A70">
        <w:rPr>
          <w:rFonts w:ascii="Times New Roman" w:hAnsi="Times New Roman"/>
          <w:sz w:val="20"/>
          <w:lang w:val="en-US"/>
        </w:rPr>
        <w:t>.</w:t>
      </w:r>
      <w:r w:rsidR="005A34B0" w:rsidRPr="00167A70">
        <w:rPr>
          <w:rFonts w:ascii="Times New Roman" w:hAnsi="Times New Roman"/>
          <w:sz w:val="20"/>
          <w:lang w:val="en-US"/>
        </w:rPr>
        <w:t xml:space="preserve"> </w:t>
      </w:r>
    </w:p>
    <w:p w14:paraId="475C8005" w14:textId="77777777" w:rsidR="00AC5612" w:rsidRPr="00E215E1" w:rsidRDefault="00AC5612" w:rsidP="00D539F1">
      <w:pPr>
        <w:spacing w:line="480" w:lineRule="auto"/>
        <w:jc w:val="left"/>
        <w:rPr>
          <w:rFonts w:ascii="Times New Roman" w:hAnsi="Times New Roman"/>
          <w:szCs w:val="24"/>
          <w:lang w:val="en-US"/>
        </w:rPr>
      </w:pPr>
    </w:p>
    <w:p w14:paraId="6F385F52" w14:textId="45495356" w:rsidR="005A34B0" w:rsidRDefault="005A34B0" w:rsidP="00D539F1">
      <w:pPr>
        <w:spacing w:line="480" w:lineRule="auto"/>
        <w:ind w:firstLine="0"/>
        <w:jc w:val="left"/>
        <w:rPr>
          <w:rFonts w:ascii="Times New Roman" w:hAnsi="Times New Roman"/>
          <w:szCs w:val="24"/>
          <w:lang w:val="en-US"/>
        </w:rPr>
      </w:pPr>
      <w:r w:rsidRPr="00E215E1">
        <w:rPr>
          <w:rFonts w:ascii="Times New Roman" w:hAnsi="Times New Roman"/>
          <w:szCs w:val="24"/>
          <w:lang w:val="en-US"/>
        </w:rPr>
        <w:t>Figure 1 contains the best</w:t>
      </w:r>
      <w:r w:rsidR="000C4CFB">
        <w:rPr>
          <w:rFonts w:ascii="Times New Roman" w:hAnsi="Times New Roman"/>
          <w:szCs w:val="24"/>
          <w:lang w:val="en-US"/>
        </w:rPr>
        <w:t>-</w:t>
      </w:r>
      <w:r w:rsidRPr="00E215E1">
        <w:rPr>
          <w:rFonts w:ascii="Times New Roman" w:hAnsi="Times New Roman"/>
          <w:szCs w:val="24"/>
          <w:lang w:val="en-US"/>
        </w:rPr>
        <w:t xml:space="preserve">fit curves. The scatter plots of the data are not reported, for better readability.  </w:t>
      </w:r>
    </w:p>
    <w:p w14:paraId="7163A877" w14:textId="77777777" w:rsidR="00D56C7A" w:rsidRPr="00E215E1" w:rsidRDefault="00D56C7A" w:rsidP="00D539F1">
      <w:pPr>
        <w:spacing w:line="480" w:lineRule="auto"/>
        <w:ind w:firstLine="0"/>
        <w:jc w:val="left"/>
        <w:rPr>
          <w:rFonts w:ascii="Times New Roman" w:hAnsi="Times New Roman"/>
          <w:szCs w:val="24"/>
          <w:lang w:val="en-US"/>
        </w:rPr>
      </w:pPr>
    </w:p>
    <w:p w14:paraId="4B3466F0" w14:textId="290EF145" w:rsidR="007E5DAD" w:rsidRPr="00167A70" w:rsidRDefault="00635CF5" w:rsidP="00D539F1">
      <w:pPr>
        <w:spacing w:line="480" w:lineRule="auto"/>
        <w:jc w:val="left"/>
        <w:rPr>
          <w:rFonts w:ascii="Times New Roman" w:hAnsi="Times New Roman"/>
          <w:sz w:val="20"/>
          <w:lang w:val="en-US"/>
        </w:rPr>
      </w:pPr>
      <w:r>
        <w:rPr>
          <w:rFonts w:ascii="Times New Roman" w:hAnsi="Times New Roman"/>
          <w:szCs w:val="24"/>
          <w:lang w:val="en-US"/>
        </w:rPr>
        <w:object w:dxaOrig="12630" w:dyaOrig="8926" w14:anchorId="01F2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2pt;height:343.8pt" o:ole="">
            <v:imagedata r:id="rId12" o:title=""/>
          </v:shape>
          <o:OLEObject Type="Embed" ProgID="AcroExch.Document.DC" ShapeID="_x0000_i1025" DrawAspect="Content" ObjectID="_1643614711" r:id="rId13"/>
        </w:object>
      </w:r>
      <w:r w:rsidR="007E5DAD" w:rsidRPr="00167A70">
        <w:rPr>
          <w:rFonts w:ascii="Times New Roman" w:hAnsi="Times New Roman"/>
          <w:sz w:val="20"/>
          <w:lang w:val="en-US"/>
        </w:rPr>
        <w:t>Figure 1. Best</w:t>
      </w:r>
      <w:r w:rsidR="000C4CFB">
        <w:rPr>
          <w:rFonts w:ascii="Times New Roman" w:hAnsi="Times New Roman"/>
          <w:sz w:val="20"/>
          <w:lang w:val="en-US"/>
        </w:rPr>
        <w:t>-</w:t>
      </w:r>
      <w:r w:rsidR="007E5DAD" w:rsidRPr="00167A70">
        <w:rPr>
          <w:rFonts w:ascii="Times New Roman" w:hAnsi="Times New Roman"/>
          <w:sz w:val="20"/>
          <w:lang w:val="en-US"/>
        </w:rPr>
        <w:t xml:space="preserve">fit curves for the different efficiency scenarios </w:t>
      </w:r>
      <m:oMath>
        <m:r>
          <w:rPr>
            <w:rFonts w:ascii="Cambria Math" w:hAnsi="Cambria Math"/>
            <w:sz w:val="20"/>
            <w:lang w:val="en-US"/>
          </w:rPr>
          <m:t>α</m:t>
        </m:r>
      </m:oMath>
      <w:r w:rsidR="007E5DAD" w:rsidRPr="00167A70">
        <w:rPr>
          <w:rFonts w:ascii="Times New Roman" w:hAnsi="Times New Roman"/>
          <w:sz w:val="20"/>
          <w:lang w:val="en-US"/>
        </w:rPr>
        <w:t>.</w:t>
      </w:r>
    </w:p>
    <w:p w14:paraId="70D6C76F" w14:textId="77777777" w:rsidR="00AC5612" w:rsidRPr="00E215E1" w:rsidRDefault="00AC5612" w:rsidP="00D539F1">
      <w:pPr>
        <w:spacing w:line="480" w:lineRule="auto"/>
        <w:jc w:val="left"/>
        <w:rPr>
          <w:rFonts w:ascii="Times New Roman" w:hAnsi="Times New Roman"/>
          <w:szCs w:val="24"/>
          <w:lang w:val="en-US"/>
        </w:rPr>
      </w:pPr>
    </w:p>
    <w:p w14:paraId="345DD297" w14:textId="75FCEF1E" w:rsidR="00E14259" w:rsidRPr="00E215E1" w:rsidRDefault="00E14259" w:rsidP="00D539F1">
      <w:pPr>
        <w:spacing w:line="480" w:lineRule="auto"/>
        <w:ind w:firstLine="0"/>
        <w:jc w:val="left"/>
        <w:rPr>
          <w:rFonts w:ascii="Times New Roman" w:hAnsi="Times New Roman"/>
          <w:szCs w:val="24"/>
          <w:lang w:val="en-US"/>
        </w:rPr>
      </w:pPr>
      <w:r w:rsidRPr="00E215E1">
        <w:rPr>
          <w:rFonts w:ascii="Times New Roman" w:hAnsi="Times New Roman"/>
          <w:szCs w:val="24"/>
          <w:lang w:val="en-US"/>
        </w:rPr>
        <w:t xml:space="preserve">Notice that there is a clear inverse relationship between the calibrated </w:t>
      </w:r>
      <m:oMath>
        <m:acc>
          <m:accPr>
            <m:ctrlPr>
              <w:rPr>
                <w:rFonts w:ascii="Cambria Math" w:hAnsi="Cambria Math"/>
                <w:i/>
                <w:lang w:val="en-US"/>
              </w:rPr>
            </m:ctrlPr>
          </m:accPr>
          <m:e>
            <m:r>
              <w:rPr>
                <w:rFonts w:ascii="Cambria Math" w:hAnsi="Cambria Math"/>
                <w:lang w:val="en-US"/>
              </w:rPr>
              <m:t>b</m:t>
            </m:r>
          </m:e>
        </m:acc>
      </m:oMath>
      <w:r w:rsidRPr="00E215E1">
        <w:rPr>
          <w:rFonts w:ascii="Times New Roman" w:hAnsi="Times New Roman"/>
          <w:szCs w:val="24"/>
          <w:lang w:val="en-US"/>
        </w:rPr>
        <w:t xml:space="preserve"> (</w:t>
      </w:r>
      <m:oMath>
        <m:acc>
          <m:accPr>
            <m:ctrlPr>
              <w:rPr>
                <w:rFonts w:ascii="Cambria Math" w:hAnsi="Cambria Math"/>
                <w:i/>
                <w:lang w:val="en-US"/>
              </w:rPr>
            </m:ctrlPr>
          </m:accPr>
          <m:e>
            <m:r>
              <w:rPr>
                <w:rFonts w:ascii="Cambria Math" w:hAnsi="Cambria Math"/>
                <w:lang w:val="en-US"/>
              </w:rPr>
              <m:t>a</m:t>
            </m:r>
          </m:e>
        </m:acc>
      </m:oMath>
      <w:r w:rsidRPr="00E215E1">
        <w:rPr>
          <w:rFonts w:ascii="Times New Roman" w:hAnsi="Times New Roman"/>
          <w:szCs w:val="24"/>
          <w:lang w:val="en-US"/>
        </w:rPr>
        <w:t>) and the efficiency parameter α. Specifically, the best fit curve flattens as α decreases (i.e.</w:t>
      </w:r>
      <w:r w:rsidR="000C4CFB">
        <w:rPr>
          <w:rFonts w:ascii="Times New Roman" w:hAnsi="Times New Roman"/>
          <w:szCs w:val="24"/>
          <w:lang w:val="en-US"/>
        </w:rPr>
        <w:t>,</w:t>
      </w:r>
      <w:r w:rsidRPr="00E215E1">
        <w:rPr>
          <w:rFonts w:ascii="Times New Roman" w:hAnsi="Times New Roman"/>
          <w:szCs w:val="24"/>
          <w:lang w:val="en-US"/>
        </w:rPr>
        <w:t xml:space="preserve"> </w:t>
      </w:r>
      <m:oMath>
        <m:acc>
          <m:accPr>
            <m:ctrlPr>
              <w:rPr>
                <w:rFonts w:ascii="Cambria Math" w:hAnsi="Cambria Math"/>
                <w:i/>
                <w:lang w:val="en-US"/>
              </w:rPr>
            </m:ctrlPr>
          </m:accPr>
          <m:e>
            <m:r>
              <w:rPr>
                <w:rFonts w:ascii="Cambria Math" w:hAnsi="Cambria Math"/>
                <w:lang w:val="en-US"/>
              </w:rPr>
              <m:t>b</m:t>
            </m:r>
          </m:e>
        </m:acc>
      </m:oMath>
      <w:r w:rsidRPr="00E215E1">
        <w:rPr>
          <w:rFonts w:ascii="Times New Roman" w:hAnsi="Times New Roman"/>
          <w:szCs w:val="24"/>
          <w:lang w:val="en-US"/>
        </w:rPr>
        <w:t xml:space="preserve"> decreases), which means that there is a lower deviation of production costs across the ranks when the differentiated waste becomes less effective in </w:t>
      </w:r>
      <w:r w:rsidR="0063512F" w:rsidRPr="00E215E1">
        <w:rPr>
          <w:rFonts w:ascii="Times New Roman" w:hAnsi="Times New Roman"/>
          <w:szCs w:val="24"/>
          <w:lang w:val="en-US"/>
        </w:rPr>
        <w:t xml:space="preserve">covering </w:t>
      </w:r>
      <w:r w:rsidRPr="00E215E1">
        <w:rPr>
          <w:rFonts w:ascii="Times New Roman" w:hAnsi="Times New Roman"/>
          <w:szCs w:val="24"/>
          <w:lang w:val="en-US"/>
        </w:rPr>
        <w:t xml:space="preserve">them. </w:t>
      </w:r>
      <w:r w:rsidR="000C4CFB">
        <w:rPr>
          <w:rFonts w:ascii="Times New Roman" w:hAnsi="Times New Roman"/>
          <w:szCs w:val="24"/>
          <w:lang w:val="en-US"/>
        </w:rPr>
        <w:t>In contrast</w:t>
      </w:r>
      <w:r w:rsidRPr="00E215E1">
        <w:rPr>
          <w:rFonts w:ascii="Times New Roman" w:hAnsi="Times New Roman"/>
          <w:szCs w:val="24"/>
          <w:lang w:val="en-US"/>
        </w:rPr>
        <w:t xml:space="preserve">, the parameter </w:t>
      </w:r>
      <m:oMath>
        <m:acc>
          <m:accPr>
            <m:ctrlPr>
              <w:rPr>
                <w:rFonts w:ascii="Cambria Math" w:hAnsi="Cambria Math"/>
                <w:i/>
                <w:lang w:val="en-US"/>
              </w:rPr>
            </m:ctrlPr>
          </m:accPr>
          <m:e>
            <m:r>
              <w:rPr>
                <w:rFonts w:ascii="Cambria Math" w:hAnsi="Cambria Math"/>
                <w:lang w:val="en-US"/>
              </w:rPr>
              <m:t>a</m:t>
            </m:r>
          </m:e>
        </m:acc>
      </m:oMath>
      <w:r w:rsidRPr="00E215E1">
        <w:rPr>
          <w:rFonts w:ascii="Times New Roman" w:hAnsi="Times New Roman"/>
          <w:szCs w:val="24"/>
          <w:lang w:val="en-US"/>
        </w:rPr>
        <w:t xml:space="preserve">, which captures the value of the cost at rank 1, is higher when the percentage of differentiated waste does not provide relevant reductions of the production costs. </w:t>
      </w:r>
    </w:p>
    <w:p w14:paraId="0FCAB9D2" w14:textId="036E3BB4" w:rsidR="00E30550" w:rsidRPr="00E215E1" w:rsidRDefault="00E30550" w:rsidP="00D539F1">
      <w:pPr>
        <w:pStyle w:val="TITLE2"/>
        <w:spacing w:before="0" w:after="0" w:line="480" w:lineRule="auto"/>
        <w:jc w:val="left"/>
        <w:rPr>
          <w:rFonts w:ascii="Times New Roman" w:hAnsi="Times New Roman"/>
          <w:b w:val="0"/>
          <w:sz w:val="24"/>
        </w:rPr>
      </w:pPr>
      <w:r w:rsidRPr="00E215E1">
        <w:rPr>
          <w:rFonts w:ascii="Times New Roman" w:hAnsi="Times New Roman"/>
          <w:b w:val="0"/>
          <w:sz w:val="24"/>
        </w:rPr>
        <w:t xml:space="preserve">Table 2 </w:t>
      </w:r>
      <w:r w:rsidR="000C4CFB">
        <w:rPr>
          <w:rFonts w:ascii="Times New Roman" w:hAnsi="Times New Roman"/>
          <w:b w:val="0"/>
          <w:sz w:val="24"/>
        </w:rPr>
        <w:t>show</w:t>
      </w:r>
      <w:r w:rsidR="000C4CFB" w:rsidRPr="00E215E1">
        <w:rPr>
          <w:rFonts w:ascii="Times New Roman" w:hAnsi="Times New Roman"/>
          <w:b w:val="0"/>
          <w:sz w:val="24"/>
        </w:rPr>
        <w:t xml:space="preserve">s </w:t>
      </w:r>
      <w:r w:rsidRPr="00E215E1">
        <w:rPr>
          <w:rFonts w:ascii="Times New Roman" w:hAnsi="Times New Roman"/>
          <w:b w:val="0"/>
          <w:sz w:val="24"/>
        </w:rPr>
        <w:t>the values of the net</w:t>
      </w:r>
      <w:r w:rsidR="00D14C69">
        <w:rPr>
          <w:rFonts w:ascii="Times New Roman" w:hAnsi="Times New Roman"/>
          <w:b w:val="0"/>
          <w:sz w:val="24"/>
        </w:rPr>
        <w:t xml:space="preserve"> production</w:t>
      </w:r>
      <w:r w:rsidRPr="00E215E1">
        <w:rPr>
          <w:rFonts w:ascii="Times New Roman" w:hAnsi="Times New Roman"/>
          <w:b w:val="0"/>
          <w:sz w:val="24"/>
        </w:rPr>
        <w:t xml:space="preserve"> cost indicators, as the economic efficiency parameter of the DWC changes.</w:t>
      </w:r>
    </w:p>
    <w:p w14:paraId="13CC80BF" w14:textId="77777777" w:rsidR="00FA5939" w:rsidRPr="00E215E1" w:rsidRDefault="00FA5939" w:rsidP="00D539F1">
      <w:pPr>
        <w:spacing w:line="480" w:lineRule="auto"/>
        <w:jc w:val="left"/>
        <w:rPr>
          <w:rFonts w:ascii="Times New Roman" w:hAnsi="Times New Roman"/>
          <w:szCs w:val="24"/>
          <w:lang w:val="en-US"/>
        </w:rPr>
      </w:pPr>
    </w:p>
    <w:tbl>
      <w:tblPr>
        <w:tblW w:w="2751" w:type="dxa"/>
        <w:jc w:val="center"/>
        <w:tblCellMar>
          <w:left w:w="70" w:type="dxa"/>
          <w:right w:w="70" w:type="dxa"/>
        </w:tblCellMar>
        <w:tblLook w:val="04A0" w:firstRow="1" w:lastRow="0" w:firstColumn="1" w:lastColumn="0" w:noHBand="0" w:noVBand="1"/>
      </w:tblPr>
      <w:tblGrid>
        <w:gridCol w:w="825"/>
        <w:gridCol w:w="1926"/>
      </w:tblGrid>
      <w:tr w:rsidR="007E5DAD" w:rsidRPr="00E215E1" w14:paraId="73B3B2AF" w14:textId="77777777" w:rsidTr="00FA5939">
        <w:trPr>
          <w:trHeight w:val="300"/>
          <w:jc w:val="center"/>
        </w:trPr>
        <w:tc>
          <w:tcPr>
            <w:tcW w:w="82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773ED64" w14:textId="1D6BB381" w:rsidR="007E5DAD" w:rsidRPr="00E215E1" w:rsidRDefault="00E30550" w:rsidP="00D539F1">
            <w:pPr>
              <w:spacing w:line="240" w:lineRule="auto"/>
              <w:jc w:val="left"/>
              <w:rPr>
                <w:rFonts w:ascii="Times New Roman" w:hAnsi="Times New Roman"/>
                <w:color w:val="000000"/>
                <w:szCs w:val="24"/>
                <w:lang w:val="en-US"/>
              </w:rPr>
            </w:pPr>
            <m:oMathPara>
              <m:oMath>
                <m:r>
                  <w:rPr>
                    <w:rFonts w:ascii="Cambria Math" w:hAnsi="Cambria Math"/>
                    <w:lang w:val="en-US"/>
                  </w:rPr>
                  <m:t>α</m:t>
                </m:r>
              </m:oMath>
            </m:oMathPara>
          </w:p>
        </w:tc>
        <w:tc>
          <w:tcPr>
            <w:tcW w:w="1926" w:type="dxa"/>
            <w:tcBorders>
              <w:top w:val="single" w:sz="8" w:space="0" w:color="auto"/>
              <w:left w:val="nil"/>
              <w:bottom w:val="single" w:sz="4" w:space="0" w:color="auto"/>
              <w:right w:val="single" w:sz="4" w:space="0" w:color="auto"/>
            </w:tcBorders>
            <w:shd w:val="clear" w:color="auto" w:fill="auto"/>
            <w:noWrap/>
            <w:vAlign w:val="bottom"/>
            <w:hideMark/>
          </w:tcPr>
          <w:p w14:paraId="2566CC2D" w14:textId="0F72F870" w:rsidR="007E5DAD" w:rsidRPr="00E215E1" w:rsidRDefault="00D51261" w:rsidP="00D539F1">
            <w:pPr>
              <w:spacing w:line="240" w:lineRule="auto"/>
              <w:jc w:val="left"/>
              <w:rPr>
                <w:rFonts w:ascii="Times New Roman" w:hAnsi="Times New Roman"/>
                <w:color w:val="000000"/>
                <w:szCs w:val="24"/>
                <w:lang w:val="en-US"/>
              </w:rPr>
            </w:pPr>
            <m:oMathPara>
              <m:oMath>
                <m:r>
                  <w:rPr>
                    <w:rFonts w:ascii="Cambria Math" w:hAnsi="Cambria Math"/>
                    <w:lang w:val="en-US"/>
                  </w:rPr>
                  <m:t>C(α)</m:t>
                </m:r>
              </m:oMath>
            </m:oMathPara>
          </w:p>
        </w:tc>
      </w:tr>
      <w:tr w:rsidR="007E5DAD" w:rsidRPr="00E215E1" w14:paraId="7F14BC38" w14:textId="77777777" w:rsidTr="00FA5939">
        <w:trPr>
          <w:trHeight w:val="300"/>
          <w:jc w:val="center"/>
        </w:trPr>
        <w:tc>
          <w:tcPr>
            <w:tcW w:w="825" w:type="dxa"/>
            <w:tcBorders>
              <w:top w:val="nil"/>
              <w:left w:val="single" w:sz="8" w:space="0" w:color="auto"/>
              <w:bottom w:val="single" w:sz="4" w:space="0" w:color="auto"/>
              <w:right w:val="single" w:sz="4" w:space="0" w:color="auto"/>
            </w:tcBorders>
            <w:shd w:val="clear" w:color="auto" w:fill="auto"/>
            <w:vAlign w:val="center"/>
            <w:hideMark/>
          </w:tcPr>
          <w:p w14:paraId="4FDAE9B2"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w:t>
            </w:r>
          </w:p>
        </w:tc>
        <w:tc>
          <w:tcPr>
            <w:tcW w:w="1926" w:type="dxa"/>
            <w:tcBorders>
              <w:top w:val="nil"/>
              <w:left w:val="nil"/>
              <w:bottom w:val="single" w:sz="4" w:space="0" w:color="auto"/>
              <w:right w:val="single" w:sz="4" w:space="0" w:color="auto"/>
            </w:tcBorders>
            <w:shd w:val="clear" w:color="auto" w:fill="auto"/>
            <w:noWrap/>
            <w:vAlign w:val="center"/>
            <w:hideMark/>
          </w:tcPr>
          <w:p w14:paraId="1C4430E7"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2,000,000,000</w:t>
            </w:r>
          </w:p>
        </w:tc>
      </w:tr>
      <w:tr w:rsidR="007E5DAD" w:rsidRPr="00E215E1" w14:paraId="475C2C74" w14:textId="77777777" w:rsidTr="00FA5939">
        <w:trPr>
          <w:trHeight w:val="300"/>
          <w:jc w:val="center"/>
        </w:trPr>
        <w:tc>
          <w:tcPr>
            <w:tcW w:w="825" w:type="dxa"/>
            <w:tcBorders>
              <w:top w:val="nil"/>
              <w:left w:val="single" w:sz="8" w:space="0" w:color="auto"/>
              <w:bottom w:val="single" w:sz="4" w:space="0" w:color="auto"/>
              <w:right w:val="single" w:sz="4" w:space="0" w:color="auto"/>
            </w:tcBorders>
            <w:shd w:val="clear" w:color="auto" w:fill="auto"/>
            <w:vAlign w:val="center"/>
            <w:hideMark/>
          </w:tcPr>
          <w:p w14:paraId="5985BA49"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lastRenderedPageBreak/>
              <w:t>0.1</w:t>
            </w:r>
          </w:p>
        </w:tc>
        <w:tc>
          <w:tcPr>
            <w:tcW w:w="1926" w:type="dxa"/>
            <w:tcBorders>
              <w:top w:val="nil"/>
              <w:left w:val="nil"/>
              <w:bottom w:val="single" w:sz="4" w:space="0" w:color="auto"/>
              <w:right w:val="single" w:sz="4" w:space="0" w:color="auto"/>
            </w:tcBorders>
            <w:shd w:val="clear" w:color="auto" w:fill="auto"/>
            <w:noWrap/>
            <w:vAlign w:val="center"/>
            <w:hideMark/>
          </w:tcPr>
          <w:p w14:paraId="7A486BCA"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1,930,000,000</w:t>
            </w:r>
          </w:p>
        </w:tc>
      </w:tr>
      <w:tr w:rsidR="007E5DAD" w:rsidRPr="00E215E1" w14:paraId="417E07D2" w14:textId="77777777" w:rsidTr="00FA5939">
        <w:trPr>
          <w:trHeight w:val="300"/>
          <w:jc w:val="center"/>
        </w:trPr>
        <w:tc>
          <w:tcPr>
            <w:tcW w:w="825" w:type="dxa"/>
            <w:tcBorders>
              <w:top w:val="nil"/>
              <w:left w:val="single" w:sz="8" w:space="0" w:color="auto"/>
              <w:bottom w:val="single" w:sz="4" w:space="0" w:color="auto"/>
              <w:right w:val="single" w:sz="4" w:space="0" w:color="auto"/>
            </w:tcBorders>
            <w:shd w:val="clear" w:color="auto" w:fill="auto"/>
            <w:vAlign w:val="center"/>
            <w:hideMark/>
          </w:tcPr>
          <w:p w14:paraId="36223296"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0.2</w:t>
            </w:r>
          </w:p>
        </w:tc>
        <w:tc>
          <w:tcPr>
            <w:tcW w:w="1926" w:type="dxa"/>
            <w:tcBorders>
              <w:top w:val="nil"/>
              <w:left w:val="nil"/>
              <w:bottom w:val="single" w:sz="4" w:space="0" w:color="auto"/>
              <w:right w:val="single" w:sz="4" w:space="0" w:color="auto"/>
            </w:tcBorders>
            <w:shd w:val="clear" w:color="auto" w:fill="auto"/>
            <w:noWrap/>
            <w:vAlign w:val="center"/>
            <w:hideMark/>
          </w:tcPr>
          <w:p w14:paraId="58FB732A"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1,850,000,000</w:t>
            </w:r>
          </w:p>
        </w:tc>
      </w:tr>
      <w:tr w:rsidR="007E5DAD" w:rsidRPr="00E215E1" w14:paraId="06FD4B1E" w14:textId="77777777" w:rsidTr="00FA5939">
        <w:trPr>
          <w:trHeight w:val="300"/>
          <w:jc w:val="center"/>
        </w:trPr>
        <w:tc>
          <w:tcPr>
            <w:tcW w:w="825" w:type="dxa"/>
            <w:tcBorders>
              <w:top w:val="nil"/>
              <w:left w:val="single" w:sz="8" w:space="0" w:color="auto"/>
              <w:bottom w:val="single" w:sz="4" w:space="0" w:color="auto"/>
              <w:right w:val="single" w:sz="4" w:space="0" w:color="auto"/>
            </w:tcBorders>
            <w:shd w:val="clear" w:color="auto" w:fill="auto"/>
            <w:vAlign w:val="center"/>
            <w:hideMark/>
          </w:tcPr>
          <w:p w14:paraId="1AFEDCE8"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0.3</w:t>
            </w:r>
          </w:p>
        </w:tc>
        <w:tc>
          <w:tcPr>
            <w:tcW w:w="1926" w:type="dxa"/>
            <w:tcBorders>
              <w:top w:val="nil"/>
              <w:left w:val="nil"/>
              <w:bottom w:val="single" w:sz="4" w:space="0" w:color="auto"/>
              <w:right w:val="single" w:sz="4" w:space="0" w:color="auto"/>
            </w:tcBorders>
            <w:shd w:val="clear" w:color="auto" w:fill="auto"/>
            <w:noWrap/>
            <w:vAlign w:val="center"/>
            <w:hideMark/>
          </w:tcPr>
          <w:p w14:paraId="3E6D6D0C"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1,790,000,000</w:t>
            </w:r>
          </w:p>
        </w:tc>
      </w:tr>
      <w:tr w:rsidR="007E5DAD" w:rsidRPr="00E215E1" w14:paraId="59EE1FD6" w14:textId="77777777" w:rsidTr="00FA5939">
        <w:trPr>
          <w:trHeight w:val="300"/>
          <w:jc w:val="center"/>
        </w:trPr>
        <w:tc>
          <w:tcPr>
            <w:tcW w:w="825" w:type="dxa"/>
            <w:tcBorders>
              <w:top w:val="nil"/>
              <w:left w:val="single" w:sz="8" w:space="0" w:color="auto"/>
              <w:bottom w:val="single" w:sz="4" w:space="0" w:color="auto"/>
              <w:right w:val="single" w:sz="4" w:space="0" w:color="auto"/>
            </w:tcBorders>
            <w:shd w:val="clear" w:color="auto" w:fill="auto"/>
            <w:vAlign w:val="center"/>
            <w:hideMark/>
          </w:tcPr>
          <w:p w14:paraId="3E3764A3"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0.4</w:t>
            </w:r>
          </w:p>
        </w:tc>
        <w:tc>
          <w:tcPr>
            <w:tcW w:w="1926" w:type="dxa"/>
            <w:tcBorders>
              <w:top w:val="nil"/>
              <w:left w:val="nil"/>
              <w:bottom w:val="single" w:sz="4" w:space="0" w:color="auto"/>
              <w:right w:val="single" w:sz="4" w:space="0" w:color="auto"/>
            </w:tcBorders>
            <w:shd w:val="clear" w:color="auto" w:fill="auto"/>
            <w:noWrap/>
            <w:vAlign w:val="center"/>
            <w:hideMark/>
          </w:tcPr>
          <w:p w14:paraId="6E1C9788"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1,730,000,000</w:t>
            </w:r>
          </w:p>
        </w:tc>
      </w:tr>
      <w:tr w:rsidR="007E5DAD" w:rsidRPr="00E215E1" w14:paraId="779066AC" w14:textId="77777777" w:rsidTr="00FA5939">
        <w:trPr>
          <w:trHeight w:val="300"/>
          <w:jc w:val="center"/>
        </w:trPr>
        <w:tc>
          <w:tcPr>
            <w:tcW w:w="825" w:type="dxa"/>
            <w:tcBorders>
              <w:top w:val="nil"/>
              <w:left w:val="single" w:sz="8" w:space="0" w:color="auto"/>
              <w:bottom w:val="single" w:sz="4" w:space="0" w:color="auto"/>
              <w:right w:val="single" w:sz="4" w:space="0" w:color="auto"/>
            </w:tcBorders>
            <w:shd w:val="clear" w:color="auto" w:fill="auto"/>
            <w:vAlign w:val="center"/>
            <w:hideMark/>
          </w:tcPr>
          <w:p w14:paraId="1F483015"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0.5</w:t>
            </w:r>
          </w:p>
        </w:tc>
        <w:tc>
          <w:tcPr>
            <w:tcW w:w="1926" w:type="dxa"/>
            <w:tcBorders>
              <w:top w:val="nil"/>
              <w:left w:val="nil"/>
              <w:bottom w:val="single" w:sz="4" w:space="0" w:color="auto"/>
              <w:right w:val="single" w:sz="4" w:space="0" w:color="auto"/>
            </w:tcBorders>
            <w:shd w:val="clear" w:color="auto" w:fill="auto"/>
            <w:noWrap/>
            <w:vAlign w:val="center"/>
            <w:hideMark/>
          </w:tcPr>
          <w:p w14:paraId="2F695937"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1,650,000,000</w:t>
            </w:r>
          </w:p>
        </w:tc>
      </w:tr>
      <w:tr w:rsidR="007E5DAD" w:rsidRPr="00E215E1" w14:paraId="7BA7BB25" w14:textId="77777777" w:rsidTr="00FA5939">
        <w:trPr>
          <w:trHeight w:val="300"/>
          <w:jc w:val="center"/>
        </w:trPr>
        <w:tc>
          <w:tcPr>
            <w:tcW w:w="825" w:type="dxa"/>
            <w:tcBorders>
              <w:top w:val="nil"/>
              <w:left w:val="single" w:sz="8" w:space="0" w:color="auto"/>
              <w:bottom w:val="single" w:sz="4" w:space="0" w:color="auto"/>
              <w:right w:val="single" w:sz="4" w:space="0" w:color="auto"/>
            </w:tcBorders>
            <w:shd w:val="clear" w:color="auto" w:fill="auto"/>
            <w:vAlign w:val="center"/>
            <w:hideMark/>
          </w:tcPr>
          <w:p w14:paraId="79BFD090"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0.6</w:t>
            </w:r>
          </w:p>
        </w:tc>
        <w:tc>
          <w:tcPr>
            <w:tcW w:w="1926" w:type="dxa"/>
            <w:tcBorders>
              <w:top w:val="nil"/>
              <w:left w:val="nil"/>
              <w:bottom w:val="single" w:sz="4" w:space="0" w:color="auto"/>
              <w:right w:val="single" w:sz="4" w:space="0" w:color="auto"/>
            </w:tcBorders>
            <w:shd w:val="clear" w:color="auto" w:fill="auto"/>
            <w:noWrap/>
            <w:vAlign w:val="center"/>
            <w:hideMark/>
          </w:tcPr>
          <w:p w14:paraId="4EB11CB9"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1,590,000,000</w:t>
            </w:r>
          </w:p>
        </w:tc>
      </w:tr>
      <w:tr w:rsidR="007E5DAD" w:rsidRPr="00E215E1" w14:paraId="291ECC1C" w14:textId="77777777" w:rsidTr="00FA5939">
        <w:trPr>
          <w:trHeight w:val="300"/>
          <w:jc w:val="center"/>
        </w:trPr>
        <w:tc>
          <w:tcPr>
            <w:tcW w:w="825" w:type="dxa"/>
            <w:tcBorders>
              <w:top w:val="nil"/>
              <w:left w:val="single" w:sz="8" w:space="0" w:color="auto"/>
              <w:bottom w:val="single" w:sz="4" w:space="0" w:color="auto"/>
              <w:right w:val="single" w:sz="4" w:space="0" w:color="auto"/>
            </w:tcBorders>
            <w:shd w:val="clear" w:color="auto" w:fill="auto"/>
            <w:vAlign w:val="center"/>
            <w:hideMark/>
          </w:tcPr>
          <w:p w14:paraId="6CC387C1"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0.7</w:t>
            </w:r>
          </w:p>
        </w:tc>
        <w:tc>
          <w:tcPr>
            <w:tcW w:w="1926" w:type="dxa"/>
            <w:tcBorders>
              <w:top w:val="nil"/>
              <w:left w:val="nil"/>
              <w:bottom w:val="single" w:sz="4" w:space="0" w:color="auto"/>
              <w:right w:val="single" w:sz="4" w:space="0" w:color="auto"/>
            </w:tcBorders>
            <w:shd w:val="clear" w:color="auto" w:fill="auto"/>
            <w:noWrap/>
            <w:vAlign w:val="center"/>
            <w:hideMark/>
          </w:tcPr>
          <w:p w14:paraId="243BE722"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1,540,000,000</w:t>
            </w:r>
          </w:p>
        </w:tc>
      </w:tr>
      <w:tr w:rsidR="007E5DAD" w:rsidRPr="00E215E1" w14:paraId="6C016753" w14:textId="77777777" w:rsidTr="00FA5939">
        <w:trPr>
          <w:trHeight w:val="300"/>
          <w:jc w:val="center"/>
        </w:trPr>
        <w:tc>
          <w:tcPr>
            <w:tcW w:w="825" w:type="dxa"/>
            <w:tcBorders>
              <w:top w:val="nil"/>
              <w:left w:val="single" w:sz="8" w:space="0" w:color="auto"/>
              <w:bottom w:val="single" w:sz="4" w:space="0" w:color="auto"/>
              <w:right w:val="single" w:sz="4" w:space="0" w:color="auto"/>
            </w:tcBorders>
            <w:shd w:val="clear" w:color="auto" w:fill="auto"/>
            <w:vAlign w:val="center"/>
            <w:hideMark/>
          </w:tcPr>
          <w:p w14:paraId="1D890FF6"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0.8</w:t>
            </w:r>
          </w:p>
        </w:tc>
        <w:tc>
          <w:tcPr>
            <w:tcW w:w="1926" w:type="dxa"/>
            <w:tcBorders>
              <w:top w:val="nil"/>
              <w:left w:val="nil"/>
              <w:bottom w:val="single" w:sz="4" w:space="0" w:color="auto"/>
              <w:right w:val="single" w:sz="4" w:space="0" w:color="auto"/>
            </w:tcBorders>
            <w:shd w:val="clear" w:color="auto" w:fill="auto"/>
            <w:noWrap/>
            <w:vAlign w:val="center"/>
            <w:hideMark/>
          </w:tcPr>
          <w:p w14:paraId="2E361647"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1,480,000,000</w:t>
            </w:r>
          </w:p>
        </w:tc>
      </w:tr>
      <w:tr w:rsidR="007E5DAD" w:rsidRPr="00E215E1" w14:paraId="1B8B2EB0" w14:textId="77777777" w:rsidTr="00FA5939">
        <w:trPr>
          <w:trHeight w:val="300"/>
          <w:jc w:val="center"/>
        </w:trPr>
        <w:tc>
          <w:tcPr>
            <w:tcW w:w="825" w:type="dxa"/>
            <w:tcBorders>
              <w:top w:val="nil"/>
              <w:left w:val="single" w:sz="8" w:space="0" w:color="auto"/>
              <w:bottom w:val="single" w:sz="4" w:space="0" w:color="auto"/>
              <w:right w:val="single" w:sz="4" w:space="0" w:color="auto"/>
            </w:tcBorders>
            <w:shd w:val="clear" w:color="auto" w:fill="auto"/>
            <w:vAlign w:val="center"/>
            <w:hideMark/>
          </w:tcPr>
          <w:p w14:paraId="0CE5CA93"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0.9</w:t>
            </w:r>
          </w:p>
        </w:tc>
        <w:tc>
          <w:tcPr>
            <w:tcW w:w="1926" w:type="dxa"/>
            <w:tcBorders>
              <w:top w:val="nil"/>
              <w:left w:val="nil"/>
              <w:bottom w:val="single" w:sz="4" w:space="0" w:color="auto"/>
              <w:right w:val="single" w:sz="4" w:space="0" w:color="auto"/>
            </w:tcBorders>
            <w:shd w:val="clear" w:color="auto" w:fill="auto"/>
            <w:noWrap/>
            <w:vAlign w:val="center"/>
            <w:hideMark/>
          </w:tcPr>
          <w:p w14:paraId="669920C6"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1,440,000,000</w:t>
            </w:r>
          </w:p>
        </w:tc>
      </w:tr>
      <w:tr w:rsidR="007E5DAD" w:rsidRPr="00E215E1" w14:paraId="7B3F2893" w14:textId="77777777" w:rsidTr="00FA5939">
        <w:trPr>
          <w:trHeight w:val="315"/>
          <w:jc w:val="center"/>
        </w:trPr>
        <w:tc>
          <w:tcPr>
            <w:tcW w:w="825" w:type="dxa"/>
            <w:tcBorders>
              <w:top w:val="nil"/>
              <w:left w:val="single" w:sz="8" w:space="0" w:color="auto"/>
              <w:bottom w:val="single" w:sz="8" w:space="0" w:color="auto"/>
              <w:right w:val="single" w:sz="4" w:space="0" w:color="auto"/>
            </w:tcBorders>
            <w:shd w:val="clear" w:color="auto" w:fill="auto"/>
            <w:vAlign w:val="center"/>
            <w:hideMark/>
          </w:tcPr>
          <w:p w14:paraId="458AD8D9"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w:t>
            </w:r>
          </w:p>
        </w:tc>
        <w:tc>
          <w:tcPr>
            <w:tcW w:w="1926" w:type="dxa"/>
            <w:tcBorders>
              <w:top w:val="nil"/>
              <w:left w:val="nil"/>
              <w:bottom w:val="single" w:sz="8" w:space="0" w:color="auto"/>
              <w:right w:val="single" w:sz="4" w:space="0" w:color="auto"/>
            </w:tcBorders>
            <w:shd w:val="clear" w:color="auto" w:fill="auto"/>
            <w:noWrap/>
            <w:vAlign w:val="center"/>
            <w:hideMark/>
          </w:tcPr>
          <w:p w14:paraId="7AADDE89" w14:textId="77777777" w:rsidR="007E5DAD" w:rsidRPr="00E215E1" w:rsidRDefault="007E5DAD" w:rsidP="00D539F1">
            <w:pPr>
              <w:spacing w:line="240" w:lineRule="auto"/>
              <w:jc w:val="left"/>
              <w:rPr>
                <w:rFonts w:ascii="Times New Roman" w:hAnsi="Times New Roman"/>
                <w:color w:val="000000"/>
                <w:szCs w:val="24"/>
                <w:lang w:val="en-US"/>
              </w:rPr>
            </w:pPr>
            <w:r w:rsidRPr="00E215E1">
              <w:rPr>
                <w:rFonts w:ascii="Times New Roman" w:hAnsi="Times New Roman"/>
                <w:color w:val="000000"/>
                <w:szCs w:val="24"/>
                <w:lang w:val="en-US"/>
              </w:rPr>
              <w:t>1,400,000,000</w:t>
            </w:r>
          </w:p>
        </w:tc>
      </w:tr>
    </w:tbl>
    <w:p w14:paraId="41048484" w14:textId="77777777" w:rsidR="00FA5939" w:rsidRPr="00E215E1" w:rsidRDefault="00FA5939" w:rsidP="00D539F1">
      <w:pPr>
        <w:spacing w:line="480" w:lineRule="auto"/>
        <w:jc w:val="left"/>
        <w:rPr>
          <w:rFonts w:ascii="Times New Roman" w:hAnsi="Times New Roman"/>
          <w:szCs w:val="24"/>
          <w:lang w:val="en-US"/>
        </w:rPr>
      </w:pPr>
    </w:p>
    <w:p w14:paraId="655C9232" w14:textId="36F507C9" w:rsidR="007E5DAD" w:rsidRPr="00167A70" w:rsidRDefault="007E5DAD" w:rsidP="00167A70">
      <w:pPr>
        <w:spacing w:line="480" w:lineRule="auto"/>
        <w:ind w:firstLine="0"/>
        <w:jc w:val="left"/>
        <w:rPr>
          <w:rFonts w:ascii="Times New Roman" w:hAnsi="Times New Roman"/>
          <w:sz w:val="20"/>
          <w:lang w:val="en-US"/>
        </w:rPr>
      </w:pPr>
      <w:r w:rsidRPr="00167A70">
        <w:rPr>
          <w:rFonts w:ascii="Times New Roman" w:hAnsi="Times New Roman"/>
          <w:sz w:val="20"/>
          <w:lang w:val="en-US"/>
        </w:rPr>
        <w:t xml:space="preserve">Table 2. Values in </w:t>
      </w:r>
      <w:r w:rsidR="000C4CFB">
        <w:rPr>
          <w:rFonts w:ascii="Times New Roman" w:hAnsi="Times New Roman"/>
          <w:sz w:val="20"/>
          <w:lang w:val="en-US"/>
        </w:rPr>
        <w:t>e</w:t>
      </w:r>
      <w:r w:rsidRPr="00167A70">
        <w:rPr>
          <w:rFonts w:ascii="Times New Roman" w:hAnsi="Times New Roman"/>
          <w:sz w:val="20"/>
          <w:lang w:val="en-US"/>
        </w:rPr>
        <w:t>uro</w:t>
      </w:r>
      <w:r w:rsidR="000C4CFB">
        <w:rPr>
          <w:rFonts w:ascii="Times New Roman" w:hAnsi="Times New Roman"/>
          <w:sz w:val="20"/>
          <w:lang w:val="en-US"/>
        </w:rPr>
        <w:t>s</w:t>
      </w:r>
      <w:r w:rsidRPr="00167A70">
        <w:rPr>
          <w:rFonts w:ascii="Times New Roman" w:hAnsi="Times New Roman"/>
          <w:sz w:val="20"/>
          <w:lang w:val="en-US"/>
        </w:rPr>
        <w:t xml:space="preserve"> of the</w:t>
      </w:r>
      <w:r w:rsidR="0063512F" w:rsidRPr="00167A70">
        <w:rPr>
          <w:rFonts w:ascii="Times New Roman" w:hAnsi="Times New Roman"/>
          <w:sz w:val="20"/>
          <w:lang w:val="en-US"/>
        </w:rPr>
        <w:t xml:space="preserve"> net</w:t>
      </w:r>
      <w:r w:rsidRPr="00167A70">
        <w:rPr>
          <w:rFonts w:ascii="Times New Roman" w:hAnsi="Times New Roman"/>
          <w:sz w:val="20"/>
          <w:lang w:val="en-US"/>
        </w:rPr>
        <w:t xml:space="preserve"> cost indicator</w:t>
      </w:r>
      <w:r w:rsidR="000C4CFB">
        <w:rPr>
          <w:rFonts w:ascii="Times New Roman" w:hAnsi="Times New Roman"/>
          <w:sz w:val="20"/>
          <w:lang w:val="en-US"/>
        </w:rPr>
        <w:t>s</w:t>
      </w:r>
      <w:r w:rsidRPr="00167A70">
        <w:rPr>
          <w:rFonts w:ascii="Times New Roman" w:hAnsi="Times New Roman"/>
          <w:sz w:val="20"/>
          <w:lang w:val="en-US"/>
        </w:rPr>
        <w:t xml:space="preserve"> for all the efficiency scenarios </w:t>
      </w:r>
      <m:oMath>
        <m:r>
          <w:rPr>
            <w:rFonts w:ascii="Cambria Math" w:hAnsi="Cambria Math"/>
            <w:sz w:val="20"/>
            <w:lang w:val="en-US"/>
          </w:rPr>
          <m:t>α</m:t>
        </m:r>
      </m:oMath>
      <w:r w:rsidRPr="00167A70">
        <w:rPr>
          <w:rFonts w:ascii="Times New Roman" w:hAnsi="Times New Roman"/>
          <w:sz w:val="20"/>
          <w:lang w:val="en-US"/>
        </w:rPr>
        <w:t>.</w:t>
      </w:r>
    </w:p>
    <w:p w14:paraId="73CDB2D2" w14:textId="77777777" w:rsidR="005D7E05" w:rsidRPr="00E215E1" w:rsidRDefault="005D7E05" w:rsidP="00D14C69">
      <w:pPr>
        <w:spacing w:line="480" w:lineRule="auto"/>
        <w:jc w:val="left"/>
        <w:rPr>
          <w:rFonts w:ascii="Times New Roman" w:hAnsi="Times New Roman"/>
          <w:szCs w:val="24"/>
          <w:lang w:val="en-US"/>
        </w:rPr>
      </w:pPr>
    </w:p>
    <w:p w14:paraId="79E12A6E" w14:textId="713887FA" w:rsidR="007E5DAD" w:rsidRPr="00167A70" w:rsidRDefault="007E5DAD" w:rsidP="00D14C69">
      <w:pPr>
        <w:pStyle w:val="TEXT"/>
        <w:spacing w:line="480" w:lineRule="auto"/>
        <w:ind w:firstLine="0"/>
        <w:jc w:val="left"/>
        <w:rPr>
          <w:rFonts w:ascii="Times New Roman" w:hAnsi="Times New Roman"/>
          <w:sz w:val="20"/>
          <w:szCs w:val="20"/>
          <w:lang w:val="en-US"/>
        </w:rPr>
      </w:pPr>
      <w:r w:rsidRPr="00E215E1">
        <w:rPr>
          <w:rFonts w:ascii="Times New Roman" w:hAnsi="Times New Roman"/>
          <w:sz w:val="24"/>
          <w:lang w:val="en-US"/>
        </w:rPr>
        <w:t>Notice that, as expected, the value of the aggregated</w:t>
      </w:r>
      <w:r w:rsidR="00B36D3B" w:rsidRPr="00E215E1">
        <w:rPr>
          <w:rFonts w:ascii="Times New Roman" w:hAnsi="Times New Roman"/>
          <w:sz w:val="24"/>
          <w:lang w:val="en-US"/>
        </w:rPr>
        <w:t xml:space="preserve"> </w:t>
      </w:r>
      <w:r w:rsidR="003025E3" w:rsidRPr="00E215E1">
        <w:rPr>
          <w:rFonts w:ascii="Times New Roman" w:hAnsi="Times New Roman"/>
          <w:sz w:val="24"/>
          <w:lang w:val="en-US"/>
        </w:rPr>
        <w:t xml:space="preserve">net </w:t>
      </w:r>
      <w:r w:rsidR="00B36D3B" w:rsidRPr="00E215E1">
        <w:rPr>
          <w:rFonts w:ascii="Times New Roman" w:hAnsi="Times New Roman"/>
          <w:sz w:val="24"/>
          <w:lang w:val="en-US"/>
        </w:rPr>
        <w:t>production</w:t>
      </w:r>
      <w:r w:rsidRPr="00E215E1">
        <w:rPr>
          <w:rFonts w:ascii="Times New Roman" w:hAnsi="Times New Roman"/>
          <w:sz w:val="24"/>
          <w:lang w:val="en-US"/>
        </w:rPr>
        <w:t xml:space="preserve"> costs decreases as the value of </w:t>
      </w:r>
      <m:oMath>
        <m:r>
          <w:rPr>
            <w:rFonts w:ascii="Cambria Math" w:hAnsi="Cambria Math"/>
            <w:lang w:val="en-US"/>
          </w:rPr>
          <m:t>α</m:t>
        </m:r>
      </m:oMath>
      <w:r w:rsidRPr="00E215E1">
        <w:rPr>
          <w:rFonts w:ascii="Times New Roman" w:hAnsi="Times New Roman"/>
          <w:sz w:val="24"/>
          <w:lang w:val="en-US"/>
        </w:rPr>
        <w:t xml:space="preserve"> increases (see also Figure 2 for a quick look </w:t>
      </w:r>
      <w:r w:rsidR="000C4CFB">
        <w:rPr>
          <w:rFonts w:ascii="Times New Roman" w:hAnsi="Times New Roman"/>
          <w:sz w:val="24"/>
          <w:lang w:val="en-US"/>
        </w:rPr>
        <w:t>at</w:t>
      </w:r>
      <w:r w:rsidRPr="00E215E1">
        <w:rPr>
          <w:rFonts w:ascii="Times New Roman" w:hAnsi="Times New Roman"/>
          <w:sz w:val="24"/>
          <w:lang w:val="en-US"/>
        </w:rPr>
        <w:t xml:space="preserve"> the </w:t>
      </w:r>
      <w:r w:rsidR="0051526E" w:rsidRPr="00E215E1">
        <w:rPr>
          <w:rFonts w:ascii="Times New Roman" w:hAnsi="Times New Roman"/>
          <w:sz w:val="24"/>
          <w:lang w:val="en-US"/>
        </w:rPr>
        <w:t>behavior</w:t>
      </w:r>
      <w:r w:rsidRPr="00E215E1">
        <w:rPr>
          <w:rFonts w:ascii="Times New Roman" w:hAnsi="Times New Roman"/>
          <w:sz w:val="24"/>
          <w:lang w:val="en-US"/>
        </w:rPr>
        <w:t xml:space="preserve"> of </w:t>
      </w:r>
      <m:oMath>
        <m:r>
          <w:rPr>
            <w:rFonts w:ascii="Cambria Math" w:hAnsi="Cambria Math"/>
            <w:lang w:val="en-US"/>
          </w:rPr>
          <m:t>C(</m:t>
        </m:r>
      </m:oMath>
      <w:r w:rsidRPr="000C4CFB">
        <w:rPr>
          <w:rFonts w:ascii="Times New Roman" w:hAnsi="Times New Roman"/>
          <w:i/>
          <w:color w:val="000000"/>
          <w:sz w:val="24"/>
          <w:lang w:val="en-US"/>
        </w:rPr>
        <w:t>α</w:t>
      </w:r>
      <w:r w:rsidRPr="00E215E1">
        <w:rPr>
          <w:rFonts w:ascii="Times New Roman" w:hAnsi="Times New Roman"/>
          <w:sz w:val="24"/>
          <w:lang w:val="en-US"/>
        </w:rPr>
        <w:t xml:space="preserve">)). </w:t>
      </w:r>
      <w:r w:rsidR="00F92A1A">
        <w:rPr>
          <w:rFonts w:ascii="Times New Roman" w:hAnsi="Times New Roman"/>
          <w:sz w:val="24"/>
          <w:lang w:val="en-US"/>
        </w:rPr>
        <w:t xml:space="preserve">The negative linear trend can be appreciated in Figure 3, where the scatter plot of </w:t>
      </w:r>
      <m:oMath>
        <m:r>
          <w:rPr>
            <w:rFonts w:ascii="Cambria Math" w:hAnsi="Cambria Math"/>
            <w:lang w:val="en-US"/>
          </w:rPr>
          <m:t>C(</m:t>
        </m:r>
      </m:oMath>
      <w:r w:rsidR="00F92A1A" w:rsidRPr="000C4CFB">
        <w:rPr>
          <w:rFonts w:ascii="Times New Roman" w:hAnsi="Times New Roman"/>
          <w:i/>
          <w:color w:val="000000"/>
          <w:sz w:val="24"/>
          <w:lang w:val="en-US"/>
        </w:rPr>
        <w:t>α</w:t>
      </w:r>
      <w:r w:rsidR="00F92A1A" w:rsidRPr="00E215E1">
        <w:rPr>
          <w:rFonts w:ascii="Times New Roman" w:hAnsi="Times New Roman"/>
          <w:sz w:val="24"/>
          <w:lang w:val="en-US"/>
        </w:rPr>
        <w:t>)</w:t>
      </w:r>
      <w:r w:rsidR="00F92A1A">
        <w:rPr>
          <w:rFonts w:ascii="Times New Roman" w:hAnsi="Times New Roman"/>
          <w:sz w:val="24"/>
          <w:lang w:val="en-US"/>
        </w:rPr>
        <w:t xml:space="preserve"> with respect to </w:t>
      </w:r>
      <w:r w:rsidR="00F92A1A" w:rsidRPr="000C4CFB">
        <w:rPr>
          <w:rFonts w:ascii="Times New Roman" w:hAnsi="Times New Roman"/>
          <w:i/>
          <w:color w:val="000000"/>
          <w:sz w:val="24"/>
          <w:lang w:val="en-US"/>
        </w:rPr>
        <w:t>α</w:t>
      </w:r>
      <w:r w:rsidR="00F92A1A">
        <w:rPr>
          <w:rFonts w:ascii="Times New Roman" w:hAnsi="Times New Roman"/>
          <w:color w:val="000000"/>
          <w:sz w:val="24"/>
          <w:lang w:val="en-US"/>
        </w:rPr>
        <w:t xml:space="preserve"> is juxtaposed with the linear trend.</w:t>
      </w:r>
      <w:r w:rsidR="00F92A1A" w:rsidRPr="00E215E1" w:rsidDel="00023D3A">
        <w:rPr>
          <w:rFonts w:ascii="Times New Roman" w:hAnsi="Times New Roman"/>
          <w:sz w:val="24"/>
          <w:lang w:val="en-US"/>
        </w:rPr>
        <w:t xml:space="preserve"> </w:t>
      </w:r>
      <w:r w:rsidR="00167A70" w:rsidRPr="00167A70">
        <w:rPr>
          <w:rFonts w:ascii="Times New Roman" w:hAnsi="Times New Roman"/>
          <w:sz w:val="24"/>
          <w:lang w:val="en-US"/>
        </w:rPr>
        <w:t xml:space="preserve">One can </w:t>
      </w:r>
      <w:r w:rsidR="000C4CFB">
        <w:rPr>
          <w:rFonts w:ascii="Times New Roman" w:hAnsi="Times New Roman"/>
          <w:sz w:val="24"/>
          <w:lang w:val="en-US"/>
        </w:rPr>
        <w:t>see</w:t>
      </w:r>
      <w:r w:rsidR="00167A70" w:rsidRPr="00167A70">
        <w:rPr>
          <w:rFonts w:ascii="Times New Roman" w:hAnsi="Times New Roman"/>
          <w:sz w:val="24"/>
          <w:lang w:val="en-US"/>
        </w:rPr>
        <w:t xml:space="preserve"> the visual appeal of the linear fit.</w:t>
      </w:r>
      <w:r w:rsidR="00F92A1A">
        <w:rPr>
          <w:rFonts w:ascii="Times New Roman" w:hAnsi="Times New Roman"/>
          <w:lang w:val="en-US"/>
        </w:rPr>
        <w:object w:dxaOrig="12630" w:dyaOrig="8926" w14:anchorId="1C5E6328">
          <v:shape id="_x0000_i1026" type="#_x0000_t75" style="width:462pt;height:273pt" o:ole="">
            <v:imagedata r:id="rId14" o:title=""/>
          </v:shape>
          <o:OLEObject Type="Embed" ProgID="AcroExch.Document.DC" ShapeID="_x0000_i1026" DrawAspect="Content" ObjectID="_1643614712" r:id="rId15"/>
        </w:object>
      </w:r>
      <w:r w:rsidRPr="00167A70">
        <w:rPr>
          <w:rFonts w:ascii="Times New Roman" w:hAnsi="Times New Roman"/>
          <w:sz w:val="20"/>
          <w:szCs w:val="20"/>
          <w:lang w:val="en-US"/>
        </w:rPr>
        <w:t xml:space="preserve">Figure 2. Interpolating plot of </w:t>
      </w:r>
      <w:r w:rsidR="000C4CFB">
        <w:rPr>
          <w:rFonts w:ascii="Times New Roman" w:hAnsi="Times New Roman"/>
          <w:sz w:val="20"/>
          <w:szCs w:val="20"/>
          <w:lang w:val="en-US"/>
        </w:rPr>
        <w:t xml:space="preserve">the </w:t>
      </w:r>
      <w:r w:rsidRPr="00167A70">
        <w:rPr>
          <w:rFonts w:ascii="Times New Roman" w:hAnsi="Times New Roman"/>
          <w:sz w:val="20"/>
          <w:szCs w:val="20"/>
          <w:lang w:val="en-US"/>
        </w:rPr>
        <w:t xml:space="preserve">function </w:t>
      </w:r>
      <m:oMath>
        <m:r>
          <w:rPr>
            <w:rFonts w:ascii="Cambria Math" w:hAnsi="Cambria Math"/>
            <w:sz w:val="20"/>
            <w:szCs w:val="20"/>
            <w:lang w:val="en-US"/>
          </w:rPr>
          <m:t>C(</m:t>
        </m:r>
      </m:oMath>
      <w:r w:rsidRPr="00167A70">
        <w:rPr>
          <w:rFonts w:ascii="Times New Roman" w:hAnsi="Times New Roman"/>
          <w:i/>
          <w:color w:val="000000"/>
          <w:sz w:val="20"/>
          <w:szCs w:val="20"/>
          <w:lang w:val="en-US"/>
        </w:rPr>
        <w:t>α</w:t>
      </w:r>
      <w:r w:rsidRPr="00167A70">
        <w:rPr>
          <w:rFonts w:ascii="Times New Roman" w:hAnsi="Times New Roman"/>
          <w:color w:val="000000"/>
          <w:sz w:val="20"/>
          <w:szCs w:val="20"/>
          <w:lang w:val="en-US"/>
        </w:rPr>
        <w:t>)</w:t>
      </w:r>
      <w:r w:rsidRPr="00167A70">
        <w:rPr>
          <w:rFonts w:ascii="Times New Roman" w:hAnsi="Times New Roman"/>
          <w:sz w:val="20"/>
          <w:szCs w:val="20"/>
          <w:lang w:val="en-US"/>
        </w:rPr>
        <w:t>.</w:t>
      </w:r>
    </w:p>
    <w:p w14:paraId="4E25A8A6" w14:textId="77777777" w:rsidR="007E5DAD" w:rsidRDefault="007E5DAD" w:rsidP="00D539F1">
      <w:pPr>
        <w:spacing w:line="480" w:lineRule="auto"/>
        <w:jc w:val="left"/>
        <w:rPr>
          <w:rFonts w:ascii="Times New Roman" w:hAnsi="Times New Roman"/>
          <w:szCs w:val="24"/>
          <w:lang w:val="en-US"/>
        </w:rPr>
      </w:pPr>
    </w:p>
    <w:p w14:paraId="0809FE9F" w14:textId="465B280D" w:rsidR="00F92A1A" w:rsidRPr="00E215E1" w:rsidRDefault="00443F36" w:rsidP="00D539F1">
      <w:pPr>
        <w:spacing w:line="480" w:lineRule="auto"/>
        <w:jc w:val="left"/>
        <w:rPr>
          <w:rFonts w:ascii="Times New Roman" w:hAnsi="Times New Roman"/>
          <w:szCs w:val="24"/>
          <w:lang w:val="en-US"/>
        </w:rPr>
      </w:pPr>
      <w:r>
        <w:rPr>
          <w:rFonts w:ascii="Times New Roman" w:hAnsi="Times New Roman"/>
          <w:noProof/>
          <w:szCs w:val="24"/>
        </w:rPr>
        <w:lastRenderedPageBreak/>
        <w:drawing>
          <wp:inline distT="0" distB="0" distL="0" distR="0" wp14:anchorId="0924316E" wp14:editId="3AA7D78E">
            <wp:extent cx="5962650" cy="31687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5202" cy="3170076"/>
                    </a:xfrm>
                    <a:prstGeom prst="rect">
                      <a:avLst/>
                    </a:prstGeom>
                    <a:noFill/>
                    <a:ln>
                      <a:noFill/>
                    </a:ln>
                  </pic:spPr>
                </pic:pic>
              </a:graphicData>
            </a:graphic>
          </wp:inline>
        </w:drawing>
      </w:r>
    </w:p>
    <w:p w14:paraId="630C23D5" w14:textId="045BD1E7" w:rsidR="00C21F3E" w:rsidRPr="001B1C9C" w:rsidRDefault="00C21F3E" w:rsidP="001B1C9C">
      <w:pPr>
        <w:pStyle w:val="TEXT"/>
        <w:spacing w:line="240" w:lineRule="auto"/>
        <w:ind w:firstLine="0"/>
        <w:jc w:val="left"/>
        <w:rPr>
          <w:rFonts w:ascii="Times New Roman" w:hAnsi="Times New Roman"/>
          <w:sz w:val="20"/>
          <w:szCs w:val="20"/>
          <w:lang w:val="en-US"/>
        </w:rPr>
      </w:pPr>
      <w:r w:rsidRPr="001B1C9C">
        <w:rPr>
          <w:rFonts w:ascii="Times New Roman" w:hAnsi="Times New Roman"/>
          <w:sz w:val="20"/>
          <w:szCs w:val="20"/>
          <w:lang w:val="en-US"/>
        </w:rPr>
        <w:t xml:space="preserve">Figure 3. Scatter plot of </w:t>
      </w:r>
      <m:oMath>
        <m:r>
          <w:rPr>
            <w:rFonts w:ascii="Cambria Math" w:hAnsi="Cambria Math"/>
            <w:sz w:val="20"/>
            <w:szCs w:val="20"/>
            <w:lang w:val="en-US"/>
          </w:rPr>
          <m:t>C(</m:t>
        </m:r>
      </m:oMath>
      <w:r w:rsidRPr="001B1C9C">
        <w:rPr>
          <w:rFonts w:ascii="Times New Roman" w:hAnsi="Times New Roman"/>
          <w:i/>
          <w:color w:val="000000"/>
          <w:sz w:val="20"/>
          <w:szCs w:val="20"/>
          <w:lang w:val="en-US"/>
        </w:rPr>
        <w:t>α</w:t>
      </w:r>
      <w:r w:rsidRPr="001B1C9C">
        <w:rPr>
          <w:rFonts w:ascii="Times New Roman" w:hAnsi="Times New Roman"/>
          <w:sz w:val="20"/>
          <w:szCs w:val="20"/>
          <w:lang w:val="en-US"/>
        </w:rPr>
        <w:t xml:space="preserve">) with respect to </w:t>
      </w:r>
      <w:r w:rsidRPr="001B1C9C">
        <w:rPr>
          <w:rFonts w:ascii="Times New Roman" w:hAnsi="Times New Roman"/>
          <w:i/>
          <w:color w:val="000000"/>
          <w:sz w:val="20"/>
          <w:szCs w:val="20"/>
          <w:lang w:val="en-US"/>
        </w:rPr>
        <w:t>α</w:t>
      </w:r>
      <w:r w:rsidRPr="001B1C9C">
        <w:rPr>
          <w:rFonts w:ascii="Times New Roman" w:hAnsi="Times New Roman"/>
          <w:color w:val="000000"/>
          <w:sz w:val="20"/>
          <w:szCs w:val="20"/>
          <w:lang w:val="en-US"/>
        </w:rPr>
        <w:t xml:space="preserve"> juxtaposed with the linear trend. </w:t>
      </w:r>
    </w:p>
    <w:p w14:paraId="7E228D06" w14:textId="77777777" w:rsidR="00C21F3E" w:rsidRDefault="00C21F3E" w:rsidP="00D539F1">
      <w:pPr>
        <w:pStyle w:val="TEXT"/>
        <w:spacing w:line="480" w:lineRule="auto"/>
        <w:ind w:firstLine="0"/>
        <w:jc w:val="left"/>
        <w:rPr>
          <w:rFonts w:ascii="Times New Roman" w:hAnsi="Times New Roman"/>
          <w:sz w:val="24"/>
          <w:lang w:val="en-US"/>
        </w:rPr>
      </w:pPr>
    </w:p>
    <w:p w14:paraId="68F4C02D" w14:textId="2AD9186F" w:rsidR="00694B87" w:rsidRPr="00E215E1" w:rsidRDefault="009724D8" w:rsidP="00D539F1">
      <w:pPr>
        <w:pStyle w:val="TEXT"/>
        <w:spacing w:line="480" w:lineRule="auto"/>
        <w:ind w:firstLine="0"/>
        <w:jc w:val="left"/>
        <w:rPr>
          <w:rFonts w:ascii="Times New Roman" w:hAnsi="Times New Roman"/>
          <w:sz w:val="24"/>
          <w:lang w:val="en-US"/>
        </w:rPr>
      </w:pPr>
      <w:r w:rsidRPr="00E215E1">
        <w:rPr>
          <w:rFonts w:ascii="Times New Roman" w:hAnsi="Times New Roman"/>
          <w:sz w:val="24"/>
          <w:lang w:val="en-US"/>
        </w:rPr>
        <w:t>Th</w:t>
      </w:r>
      <w:r w:rsidR="00360220">
        <w:rPr>
          <w:rFonts w:ascii="Times New Roman" w:hAnsi="Times New Roman"/>
          <w:sz w:val="24"/>
          <w:lang w:val="en-US"/>
        </w:rPr>
        <w:t xml:space="preserve">e proposed </w:t>
      </w:r>
      <w:r w:rsidR="00826638">
        <w:rPr>
          <w:rFonts w:ascii="Times New Roman" w:hAnsi="Times New Roman"/>
          <w:sz w:val="24"/>
          <w:lang w:val="en-US"/>
        </w:rPr>
        <w:t xml:space="preserve">indicator </w:t>
      </w:r>
      <w:r w:rsidR="00763824" w:rsidRPr="00E215E1">
        <w:rPr>
          <w:rFonts w:ascii="Times New Roman" w:hAnsi="Times New Roman"/>
          <w:sz w:val="24"/>
          <w:lang w:val="en-US"/>
        </w:rPr>
        <w:t xml:space="preserve">is </w:t>
      </w:r>
      <w:r w:rsidRPr="00E215E1">
        <w:rPr>
          <w:rFonts w:ascii="Times New Roman" w:hAnsi="Times New Roman"/>
          <w:sz w:val="24"/>
          <w:lang w:val="en-US"/>
        </w:rPr>
        <w:t>particularly</w:t>
      </w:r>
      <w:r w:rsidR="00285499" w:rsidRPr="00E215E1">
        <w:rPr>
          <w:rFonts w:ascii="Times New Roman" w:hAnsi="Times New Roman"/>
          <w:sz w:val="24"/>
          <w:lang w:val="en-US"/>
        </w:rPr>
        <w:t xml:space="preserve"> </w:t>
      </w:r>
      <w:r w:rsidR="00826638">
        <w:rPr>
          <w:rFonts w:ascii="Times New Roman" w:hAnsi="Times New Roman"/>
          <w:sz w:val="24"/>
          <w:lang w:val="en-US"/>
        </w:rPr>
        <w:t>useful</w:t>
      </w:r>
      <w:r w:rsidR="00285499" w:rsidRPr="00E215E1">
        <w:rPr>
          <w:rFonts w:ascii="Times New Roman" w:hAnsi="Times New Roman"/>
          <w:sz w:val="24"/>
          <w:lang w:val="en-US"/>
        </w:rPr>
        <w:t xml:space="preserve"> </w:t>
      </w:r>
      <w:r w:rsidRPr="00E215E1">
        <w:rPr>
          <w:rFonts w:ascii="Times New Roman" w:hAnsi="Times New Roman"/>
          <w:sz w:val="24"/>
          <w:lang w:val="en-US"/>
        </w:rPr>
        <w:t xml:space="preserve">for the </w:t>
      </w:r>
      <w:r w:rsidR="00285499" w:rsidRPr="00E215E1">
        <w:rPr>
          <w:rFonts w:ascii="Times New Roman" w:hAnsi="Times New Roman"/>
          <w:sz w:val="24"/>
          <w:lang w:val="en-US"/>
        </w:rPr>
        <w:t>type</w:t>
      </w:r>
      <w:r w:rsidRPr="00E215E1">
        <w:rPr>
          <w:rFonts w:ascii="Times New Roman" w:hAnsi="Times New Roman"/>
          <w:sz w:val="24"/>
          <w:lang w:val="en-US"/>
        </w:rPr>
        <w:t xml:space="preserve"> of</w:t>
      </w:r>
      <w:r w:rsidR="00285499" w:rsidRPr="00E215E1">
        <w:rPr>
          <w:rFonts w:ascii="Times New Roman" w:hAnsi="Times New Roman"/>
          <w:sz w:val="24"/>
          <w:lang w:val="en-US"/>
        </w:rPr>
        <w:t xml:space="preserve"> </w:t>
      </w:r>
      <w:r w:rsidR="000C4CFB" w:rsidRPr="00E215E1">
        <w:rPr>
          <w:rFonts w:ascii="Times New Roman" w:hAnsi="Times New Roman"/>
          <w:sz w:val="24"/>
          <w:lang w:val="en-US"/>
        </w:rPr>
        <w:t xml:space="preserve">companies </w:t>
      </w:r>
      <w:r w:rsidR="00285499" w:rsidRPr="00E215E1">
        <w:rPr>
          <w:rFonts w:ascii="Times New Roman" w:hAnsi="Times New Roman"/>
          <w:sz w:val="24"/>
          <w:lang w:val="en-US"/>
        </w:rPr>
        <w:t>analyzed</w:t>
      </w:r>
      <w:r w:rsidRPr="00E215E1">
        <w:rPr>
          <w:rFonts w:ascii="Times New Roman" w:hAnsi="Times New Roman"/>
          <w:sz w:val="24"/>
          <w:lang w:val="en-US"/>
        </w:rPr>
        <w:t xml:space="preserve">, </w:t>
      </w:r>
      <w:r w:rsidR="009C2799" w:rsidRPr="00E215E1">
        <w:rPr>
          <w:rFonts w:ascii="Times New Roman" w:hAnsi="Times New Roman"/>
          <w:sz w:val="24"/>
          <w:lang w:val="en-US"/>
        </w:rPr>
        <w:t xml:space="preserve">since </w:t>
      </w:r>
      <w:r w:rsidR="00763824" w:rsidRPr="00E215E1">
        <w:rPr>
          <w:rFonts w:ascii="Times New Roman" w:hAnsi="Times New Roman"/>
          <w:sz w:val="24"/>
          <w:lang w:val="en-US"/>
        </w:rPr>
        <w:t>it</w:t>
      </w:r>
      <w:r w:rsidR="00387051" w:rsidRPr="00E215E1">
        <w:rPr>
          <w:rFonts w:ascii="Times New Roman" w:hAnsi="Times New Roman"/>
          <w:sz w:val="24"/>
          <w:lang w:val="en-US"/>
        </w:rPr>
        <w:t xml:space="preserve"> give</w:t>
      </w:r>
      <w:r w:rsidR="00763824" w:rsidRPr="00E215E1">
        <w:rPr>
          <w:rFonts w:ascii="Times New Roman" w:hAnsi="Times New Roman"/>
          <w:sz w:val="24"/>
          <w:lang w:val="en-US"/>
        </w:rPr>
        <w:t>s</w:t>
      </w:r>
      <w:r w:rsidR="00387051" w:rsidRPr="00E215E1">
        <w:rPr>
          <w:rFonts w:ascii="Times New Roman" w:hAnsi="Times New Roman"/>
          <w:sz w:val="24"/>
          <w:lang w:val="en-US"/>
        </w:rPr>
        <w:t xml:space="preserve"> </w:t>
      </w:r>
      <w:r w:rsidR="00826638">
        <w:rPr>
          <w:rFonts w:ascii="Times New Roman" w:hAnsi="Times New Roman"/>
          <w:sz w:val="24"/>
          <w:lang w:val="en-US"/>
        </w:rPr>
        <w:t>information about the</w:t>
      </w:r>
      <w:r w:rsidR="006D32B0" w:rsidRPr="00E215E1">
        <w:rPr>
          <w:rFonts w:ascii="Times New Roman" w:hAnsi="Times New Roman"/>
          <w:sz w:val="24"/>
          <w:lang w:val="en-US"/>
        </w:rPr>
        <w:t xml:space="preserve"> </w:t>
      </w:r>
      <w:r w:rsidR="00826638">
        <w:rPr>
          <w:rFonts w:ascii="Times New Roman" w:hAnsi="Times New Roman"/>
          <w:sz w:val="24"/>
          <w:lang w:val="en-US"/>
        </w:rPr>
        <w:t xml:space="preserve">efficiency level assessed in terms of their </w:t>
      </w:r>
      <w:r w:rsidR="006D32B0" w:rsidRPr="00E215E1">
        <w:rPr>
          <w:rFonts w:ascii="Times New Roman" w:hAnsi="Times New Roman"/>
          <w:sz w:val="24"/>
          <w:lang w:val="en-US"/>
        </w:rPr>
        <w:t xml:space="preserve">capacity to </w:t>
      </w:r>
      <w:r w:rsidR="009C2799" w:rsidRPr="00E215E1">
        <w:rPr>
          <w:rFonts w:ascii="Times New Roman" w:hAnsi="Times New Roman"/>
          <w:sz w:val="24"/>
          <w:lang w:val="en-US"/>
        </w:rPr>
        <w:t>cover the incurred total production costs</w:t>
      </w:r>
      <w:r w:rsidR="006D32B0" w:rsidRPr="00E215E1">
        <w:rPr>
          <w:rFonts w:ascii="Times New Roman" w:hAnsi="Times New Roman"/>
          <w:sz w:val="24"/>
          <w:lang w:val="en-US"/>
        </w:rPr>
        <w:t>,</w:t>
      </w:r>
      <w:r w:rsidR="009C2799" w:rsidRPr="00E215E1">
        <w:rPr>
          <w:rFonts w:ascii="Times New Roman" w:hAnsi="Times New Roman"/>
          <w:sz w:val="24"/>
          <w:lang w:val="en-US"/>
        </w:rPr>
        <w:t xml:space="preserve"> </w:t>
      </w:r>
      <w:r w:rsidRPr="00E215E1">
        <w:rPr>
          <w:rFonts w:ascii="Times New Roman" w:hAnsi="Times New Roman"/>
          <w:sz w:val="24"/>
          <w:lang w:val="en-US"/>
        </w:rPr>
        <w:t>exploit</w:t>
      </w:r>
      <w:r w:rsidR="009C2799" w:rsidRPr="00E215E1">
        <w:rPr>
          <w:rFonts w:ascii="Times New Roman" w:hAnsi="Times New Roman"/>
          <w:sz w:val="24"/>
          <w:lang w:val="en-US"/>
        </w:rPr>
        <w:t>ing</w:t>
      </w:r>
      <w:r w:rsidRPr="00E215E1">
        <w:rPr>
          <w:rFonts w:ascii="Times New Roman" w:hAnsi="Times New Roman"/>
          <w:sz w:val="24"/>
          <w:lang w:val="en-US"/>
        </w:rPr>
        <w:t xml:space="preserve"> </w:t>
      </w:r>
      <w:r w:rsidR="009C2799" w:rsidRPr="00E215E1">
        <w:rPr>
          <w:rFonts w:ascii="Times New Roman" w:hAnsi="Times New Roman"/>
          <w:sz w:val="24"/>
          <w:lang w:val="en-US"/>
        </w:rPr>
        <w:t>the revenue opportunities</w:t>
      </w:r>
      <w:r w:rsidR="00FF1FA3" w:rsidRPr="00E215E1">
        <w:rPr>
          <w:rFonts w:ascii="Times New Roman" w:hAnsi="Times New Roman"/>
          <w:sz w:val="24"/>
          <w:lang w:val="en-US"/>
        </w:rPr>
        <w:t xml:space="preserve"> generated by the </w:t>
      </w:r>
      <w:r w:rsidR="00763824" w:rsidRPr="00E215E1">
        <w:rPr>
          <w:rFonts w:ascii="Times New Roman" w:hAnsi="Times New Roman"/>
          <w:sz w:val="24"/>
          <w:lang w:val="en-US"/>
        </w:rPr>
        <w:t>use</w:t>
      </w:r>
      <w:r w:rsidR="00FF1FA3" w:rsidRPr="00E215E1">
        <w:rPr>
          <w:rFonts w:ascii="Times New Roman" w:hAnsi="Times New Roman"/>
          <w:sz w:val="24"/>
          <w:lang w:val="en-US"/>
        </w:rPr>
        <w:t xml:space="preserve"> of waste materials. Th</w:t>
      </w:r>
      <w:r w:rsidR="00CA0D5F">
        <w:rPr>
          <w:rFonts w:ascii="Times New Roman" w:hAnsi="Times New Roman"/>
          <w:sz w:val="24"/>
          <w:lang w:val="en-US"/>
        </w:rPr>
        <w:t>is</w:t>
      </w:r>
      <w:r w:rsidR="00FF1FA3" w:rsidRPr="00E215E1">
        <w:rPr>
          <w:rFonts w:ascii="Times New Roman" w:hAnsi="Times New Roman"/>
          <w:sz w:val="24"/>
          <w:lang w:val="en-US"/>
        </w:rPr>
        <w:t xml:space="preserve"> </w:t>
      </w:r>
      <w:r w:rsidR="009C2799" w:rsidRPr="00E215E1">
        <w:rPr>
          <w:rFonts w:ascii="Times New Roman" w:hAnsi="Times New Roman"/>
          <w:sz w:val="24"/>
          <w:lang w:val="en-US"/>
        </w:rPr>
        <w:t>indicator</w:t>
      </w:r>
      <w:r w:rsidR="00FF1FA3" w:rsidRPr="00E215E1">
        <w:rPr>
          <w:rFonts w:ascii="Times New Roman" w:hAnsi="Times New Roman"/>
          <w:sz w:val="24"/>
          <w:lang w:val="en-US"/>
        </w:rPr>
        <w:t xml:space="preserve"> tries to evaluate</w:t>
      </w:r>
      <w:r w:rsidR="00694B87" w:rsidRPr="00E215E1">
        <w:rPr>
          <w:rFonts w:ascii="Times New Roman" w:hAnsi="Times New Roman"/>
          <w:sz w:val="24"/>
          <w:lang w:val="en-US"/>
        </w:rPr>
        <w:t xml:space="preserve"> the income perspectives </w:t>
      </w:r>
      <w:r w:rsidR="00387051" w:rsidRPr="00E215E1">
        <w:rPr>
          <w:rFonts w:ascii="Times New Roman" w:hAnsi="Times New Roman"/>
          <w:sz w:val="24"/>
          <w:lang w:val="en-US"/>
        </w:rPr>
        <w:t xml:space="preserve">of the </w:t>
      </w:r>
      <w:r w:rsidR="00726EE8">
        <w:rPr>
          <w:rFonts w:ascii="Times New Roman" w:hAnsi="Times New Roman"/>
          <w:sz w:val="24"/>
          <w:lang w:val="en-US"/>
        </w:rPr>
        <w:t>WM</w:t>
      </w:r>
      <w:r w:rsidR="00726EE8" w:rsidRPr="00E215E1">
        <w:rPr>
          <w:rFonts w:ascii="Times New Roman" w:hAnsi="Times New Roman"/>
          <w:sz w:val="24"/>
          <w:lang w:val="en-US"/>
        </w:rPr>
        <w:t xml:space="preserve"> </w:t>
      </w:r>
      <w:r w:rsidR="00694B87" w:rsidRPr="00E215E1">
        <w:rPr>
          <w:rFonts w:ascii="Times New Roman" w:hAnsi="Times New Roman"/>
          <w:sz w:val="24"/>
          <w:lang w:val="en-US"/>
        </w:rPr>
        <w:t>companies and thus</w:t>
      </w:r>
      <w:r w:rsidR="00F74CD7" w:rsidRPr="00E215E1">
        <w:rPr>
          <w:rFonts w:ascii="Times New Roman" w:hAnsi="Times New Roman"/>
          <w:sz w:val="24"/>
          <w:lang w:val="en-US"/>
        </w:rPr>
        <w:t>,</w:t>
      </w:r>
      <w:r w:rsidR="00694B87" w:rsidRPr="00E215E1">
        <w:rPr>
          <w:rFonts w:ascii="Times New Roman" w:hAnsi="Times New Roman"/>
          <w:sz w:val="24"/>
          <w:lang w:val="en-US"/>
        </w:rPr>
        <w:t xml:space="preserve"> their capacity to guarantee the provision </w:t>
      </w:r>
      <w:r w:rsidR="00763824" w:rsidRPr="00E215E1">
        <w:rPr>
          <w:rFonts w:ascii="Times New Roman" w:hAnsi="Times New Roman"/>
          <w:sz w:val="24"/>
          <w:lang w:val="en-US"/>
        </w:rPr>
        <w:t xml:space="preserve">of </w:t>
      </w:r>
      <w:r w:rsidR="00A4543E" w:rsidRPr="00E215E1">
        <w:rPr>
          <w:rFonts w:ascii="Times New Roman" w:hAnsi="Times New Roman"/>
          <w:sz w:val="24"/>
          <w:lang w:val="en-US"/>
        </w:rPr>
        <w:t xml:space="preserve">extremely important </w:t>
      </w:r>
      <w:r w:rsidR="00F74CD7" w:rsidRPr="00E215E1">
        <w:rPr>
          <w:rFonts w:ascii="Times New Roman" w:hAnsi="Times New Roman"/>
          <w:sz w:val="24"/>
          <w:lang w:val="en-US"/>
        </w:rPr>
        <w:t>service</w:t>
      </w:r>
      <w:r w:rsidR="00763824" w:rsidRPr="00E215E1">
        <w:rPr>
          <w:rFonts w:ascii="Times New Roman" w:hAnsi="Times New Roman"/>
          <w:sz w:val="24"/>
          <w:lang w:val="en-US"/>
        </w:rPr>
        <w:t>s</w:t>
      </w:r>
      <w:r w:rsidR="00F74CD7" w:rsidRPr="00E215E1">
        <w:rPr>
          <w:rFonts w:ascii="Times New Roman" w:hAnsi="Times New Roman"/>
          <w:sz w:val="24"/>
          <w:lang w:val="en-US"/>
        </w:rPr>
        <w:t xml:space="preserve"> for</w:t>
      </w:r>
      <w:r w:rsidR="00694B87" w:rsidRPr="00E215E1">
        <w:rPr>
          <w:rFonts w:ascii="Times New Roman" w:hAnsi="Times New Roman"/>
          <w:sz w:val="24"/>
          <w:lang w:val="en-US"/>
        </w:rPr>
        <w:t xml:space="preserve"> the community</w:t>
      </w:r>
      <w:r w:rsidR="00A4543E" w:rsidRPr="00E215E1">
        <w:rPr>
          <w:rFonts w:ascii="Times New Roman" w:hAnsi="Times New Roman"/>
          <w:sz w:val="24"/>
          <w:lang w:val="en-US"/>
        </w:rPr>
        <w:t>.</w:t>
      </w:r>
      <w:r w:rsidR="00FF1FA3" w:rsidRPr="00E215E1">
        <w:rPr>
          <w:rFonts w:ascii="Times New Roman" w:hAnsi="Times New Roman"/>
          <w:sz w:val="24"/>
          <w:lang w:val="en-US"/>
        </w:rPr>
        <w:t xml:space="preserve"> </w:t>
      </w:r>
      <w:r w:rsidR="00A21C05">
        <w:rPr>
          <w:rFonts w:ascii="Times New Roman" w:hAnsi="Times New Roman"/>
          <w:sz w:val="24"/>
          <w:lang w:val="en-US"/>
        </w:rPr>
        <w:t xml:space="preserve">A greater knowledge </w:t>
      </w:r>
      <w:r w:rsidR="000C4CFB">
        <w:rPr>
          <w:rFonts w:ascii="Times New Roman" w:hAnsi="Times New Roman"/>
          <w:sz w:val="24"/>
          <w:lang w:val="en-US"/>
        </w:rPr>
        <w:t xml:space="preserve">of </w:t>
      </w:r>
      <w:r w:rsidR="00A21C05">
        <w:rPr>
          <w:rFonts w:ascii="Times New Roman" w:hAnsi="Times New Roman"/>
          <w:sz w:val="24"/>
          <w:lang w:val="en-US"/>
        </w:rPr>
        <w:t xml:space="preserve">the achievable efficiency level by companies can facilitate and support their decision-making process related to all WM activities </w:t>
      </w:r>
      <w:r w:rsidR="00A21C05" w:rsidRPr="00E215E1">
        <w:rPr>
          <w:rFonts w:ascii="Times New Roman" w:hAnsi="Times New Roman"/>
          <w:sz w:val="24"/>
          <w:lang w:val="en-US"/>
        </w:rPr>
        <w:t>(from collection to disposal)</w:t>
      </w:r>
      <w:r w:rsidR="00A21C05">
        <w:rPr>
          <w:rFonts w:ascii="Times New Roman" w:hAnsi="Times New Roman"/>
          <w:sz w:val="24"/>
          <w:lang w:val="en-US"/>
        </w:rPr>
        <w:t xml:space="preserve">. </w:t>
      </w:r>
      <w:r w:rsidR="00A4543E" w:rsidRPr="00E215E1">
        <w:rPr>
          <w:rFonts w:ascii="Times New Roman" w:hAnsi="Times New Roman"/>
          <w:sz w:val="24"/>
          <w:lang w:val="en-US"/>
        </w:rPr>
        <w:t>Furthermore, inevitably</w:t>
      </w:r>
      <w:r w:rsidR="000C4CFB">
        <w:rPr>
          <w:rFonts w:ascii="Times New Roman" w:hAnsi="Times New Roman"/>
          <w:sz w:val="24"/>
          <w:lang w:val="en-US"/>
        </w:rPr>
        <w:t>,</w:t>
      </w:r>
      <w:r w:rsidR="00A4543E" w:rsidRPr="00E215E1">
        <w:rPr>
          <w:rFonts w:ascii="Times New Roman" w:hAnsi="Times New Roman"/>
          <w:sz w:val="24"/>
          <w:lang w:val="en-US"/>
        </w:rPr>
        <w:t xml:space="preserve"> the </w:t>
      </w:r>
      <w:r w:rsidR="00763824" w:rsidRPr="00E215E1">
        <w:rPr>
          <w:rFonts w:ascii="Times New Roman" w:hAnsi="Times New Roman"/>
          <w:sz w:val="24"/>
          <w:lang w:val="en-US"/>
        </w:rPr>
        <w:t>observed</w:t>
      </w:r>
      <w:r w:rsidR="00A4543E" w:rsidRPr="00E215E1">
        <w:rPr>
          <w:rFonts w:ascii="Times New Roman" w:hAnsi="Times New Roman"/>
          <w:sz w:val="24"/>
          <w:lang w:val="en-US"/>
        </w:rPr>
        <w:t xml:space="preserve"> efficiency level has an impact on </w:t>
      </w:r>
      <w:r w:rsidR="00F74CD7" w:rsidRPr="00E215E1">
        <w:rPr>
          <w:rFonts w:ascii="Times New Roman" w:hAnsi="Times New Roman"/>
          <w:sz w:val="24"/>
          <w:lang w:val="en-US"/>
        </w:rPr>
        <w:t xml:space="preserve">the </w:t>
      </w:r>
      <w:r w:rsidR="00763824" w:rsidRPr="00E215E1">
        <w:rPr>
          <w:rFonts w:ascii="Times New Roman" w:hAnsi="Times New Roman"/>
          <w:sz w:val="24"/>
          <w:lang w:val="en-US"/>
        </w:rPr>
        <w:t>environment and society</w:t>
      </w:r>
      <w:r w:rsidR="00285499" w:rsidRPr="00E215E1">
        <w:rPr>
          <w:rFonts w:ascii="Times New Roman" w:hAnsi="Times New Roman"/>
          <w:sz w:val="24"/>
          <w:lang w:val="en-US"/>
        </w:rPr>
        <w:t>, which is related to</w:t>
      </w:r>
      <w:r w:rsidR="00F74CD7" w:rsidRPr="00E215E1">
        <w:rPr>
          <w:rFonts w:ascii="Times New Roman" w:hAnsi="Times New Roman"/>
          <w:sz w:val="24"/>
          <w:lang w:val="en-US"/>
        </w:rPr>
        <w:t xml:space="preserve"> </w:t>
      </w:r>
      <w:r w:rsidRPr="00E215E1">
        <w:rPr>
          <w:rFonts w:ascii="Times New Roman" w:hAnsi="Times New Roman"/>
          <w:sz w:val="24"/>
          <w:lang w:val="en-US"/>
        </w:rPr>
        <w:t>the quality of the</w:t>
      </w:r>
      <w:r w:rsidR="00285499" w:rsidRPr="00E215E1">
        <w:rPr>
          <w:rFonts w:ascii="Times New Roman" w:hAnsi="Times New Roman"/>
          <w:sz w:val="24"/>
          <w:lang w:val="en-US"/>
        </w:rPr>
        <w:t xml:space="preserve"> provided</w:t>
      </w:r>
      <w:r w:rsidRPr="00E215E1">
        <w:rPr>
          <w:rFonts w:ascii="Times New Roman" w:hAnsi="Times New Roman"/>
          <w:sz w:val="24"/>
          <w:lang w:val="en-US"/>
        </w:rPr>
        <w:t xml:space="preserve"> services</w:t>
      </w:r>
      <w:r w:rsidR="00694B87" w:rsidRPr="00E215E1">
        <w:rPr>
          <w:rFonts w:ascii="Times New Roman" w:hAnsi="Times New Roman"/>
          <w:sz w:val="24"/>
          <w:lang w:val="en-US"/>
        </w:rPr>
        <w:t xml:space="preserve"> </w:t>
      </w:r>
      <w:r w:rsidR="00FF1FA3" w:rsidRPr="00E215E1">
        <w:rPr>
          <w:rFonts w:ascii="Times New Roman" w:hAnsi="Times New Roman"/>
          <w:sz w:val="24"/>
          <w:lang w:val="en-US"/>
        </w:rPr>
        <w:t>and</w:t>
      </w:r>
      <w:r w:rsidRPr="00E215E1">
        <w:rPr>
          <w:rFonts w:ascii="Times New Roman" w:hAnsi="Times New Roman"/>
          <w:sz w:val="24"/>
          <w:lang w:val="en-US"/>
        </w:rPr>
        <w:t xml:space="preserve"> the fee level pa</w:t>
      </w:r>
      <w:r w:rsidR="00285499" w:rsidRPr="00E215E1">
        <w:rPr>
          <w:rFonts w:ascii="Times New Roman" w:hAnsi="Times New Roman"/>
          <w:sz w:val="24"/>
          <w:lang w:val="en-US"/>
        </w:rPr>
        <w:t>id</w:t>
      </w:r>
      <w:r w:rsidR="00694B87" w:rsidRPr="00E215E1">
        <w:rPr>
          <w:rFonts w:ascii="Times New Roman" w:hAnsi="Times New Roman"/>
          <w:sz w:val="24"/>
          <w:lang w:val="en-US"/>
        </w:rPr>
        <w:t xml:space="preserve"> by</w:t>
      </w:r>
      <w:r w:rsidR="00285499" w:rsidRPr="00E215E1">
        <w:rPr>
          <w:rFonts w:ascii="Times New Roman" w:hAnsi="Times New Roman"/>
          <w:sz w:val="24"/>
          <w:lang w:val="en-US"/>
        </w:rPr>
        <w:t xml:space="preserve"> the</w:t>
      </w:r>
      <w:r w:rsidR="00694B87" w:rsidRPr="00E215E1">
        <w:rPr>
          <w:rFonts w:ascii="Times New Roman" w:hAnsi="Times New Roman"/>
          <w:sz w:val="24"/>
          <w:lang w:val="en-US"/>
        </w:rPr>
        <w:t xml:space="preserve"> citizens</w:t>
      </w:r>
      <w:r w:rsidRPr="00E215E1">
        <w:rPr>
          <w:rFonts w:ascii="Times New Roman" w:hAnsi="Times New Roman"/>
          <w:sz w:val="24"/>
          <w:lang w:val="en-US"/>
        </w:rPr>
        <w:t xml:space="preserve">. </w:t>
      </w:r>
    </w:p>
    <w:p w14:paraId="666BCEC8" w14:textId="008E2C05" w:rsidR="00571DE8" w:rsidRPr="00E215E1" w:rsidRDefault="00741127" w:rsidP="00A07E92">
      <w:pPr>
        <w:pStyle w:val="TEXT"/>
        <w:spacing w:line="480" w:lineRule="auto"/>
        <w:ind w:firstLine="0"/>
        <w:jc w:val="left"/>
        <w:rPr>
          <w:rFonts w:ascii="Times New Roman" w:hAnsi="Times New Roman"/>
          <w:sz w:val="24"/>
          <w:lang w:val="en-US"/>
        </w:rPr>
      </w:pPr>
      <w:r>
        <w:rPr>
          <w:rFonts w:ascii="Times New Roman" w:hAnsi="Times New Roman"/>
          <w:sz w:val="24"/>
          <w:lang w:val="en-US"/>
        </w:rPr>
        <w:t>An</w:t>
      </w:r>
      <w:r w:rsidRPr="00C07BD0">
        <w:rPr>
          <w:rFonts w:ascii="Times New Roman" w:hAnsi="Times New Roman"/>
          <w:sz w:val="24"/>
          <w:lang w:val="en-US"/>
        </w:rPr>
        <w:t xml:space="preserve"> empirical analysis</w:t>
      </w:r>
      <w:r>
        <w:rPr>
          <w:rFonts w:ascii="Times New Roman" w:hAnsi="Times New Roman"/>
          <w:sz w:val="24"/>
          <w:lang w:val="en-US"/>
        </w:rPr>
        <w:t xml:space="preserve"> </w:t>
      </w:r>
      <w:r w:rsidRPr="00C07BD0">
        <w:rPr>
          <w:rFonts w:ascii="Times New Roman" w:hAnsi="Times New Roman"/>
          <w:sz w:val="24"/>
          <w:lang w:val="en-US"/>
        </w:rPr>
        <w:t>conducted</w:t>
      </w:r>
      <w:r>
        <w:rPr>
          <w:rFonts w:ascii="Times New Roman" w:hAnsi="Times New Roman"/>
          <w:sz w:val="24"/>
          <w:lang w:val="en-US"/>
        </w:rPr>
        <w:t xml:space="preserve"> t</w:t>
      </w:r>
      <w:r w:rsidRPr="00C07BD0">
        <w:rPr>
          <w:rFonts w:ascii="Times New Roman" w:hAnsi="Times New Roman"/>
          <w:sz w:val="24"/>
          <w:lang w:val="en-US"/>
        </w:rPr>
        <w:t>o validate</w:t>
      </w:r>
      <w:r w:rsidR="001B1C9C">
        <w:rPr>
          <w:rFonts w:ascii="Times New Roman" w:hAnsi="Times New Roman"/>
          <w:sz w:val="24"/>
          <w:lang w:val="en-US"/>
        </w:rPr>
        <w:t xml:space="preserve"> and apply</w:t>
      </w:r>
      <w:r w:rsidRPr="00C07BD0">
        <w:rPr>
          <w:rFonts w:ascii="Times New Roman" w:hAnsi="Times New Roman"/>
          <w:sz w:val="24"/>
          <w:lang w:val="en-US"/>
        </w:rPr>
        <w:t xml:space="preserve"> the</w:t>
      </w:r>
      <w:r>
        <w:rPr>
          <w:rFonts w:ascii="Times New Roman" w:hAnsi="Times New Roman"/>
          <w:sz w:val="24"/>
          <w:lang w:val="en-US"/>
        </w:rPr>
        <w:t xml:space="preserve"> proposed systemic indicator show</w:t>
      </w:r>
      <w:r w:rsidR="000C4CFB">
        <w:rPr>
          <w:rFonts w:ascii="Times New Roman" w:hAnsi="Times New Roman"/>
          <w:sz w:val="24"/>
          <w:lang w:val="en-US"/>
        </w:rPr>
        <w:t>ed</w:t>
      </w:r>
      <w:r>
        <w:rPr>
          <w:rFonts w:ascii="Times New Roman" w:hAnsi="Times New Roman"/>
          <w:sz w:val="24"/>
          <w:lang w:val="en-US"/>
        </w:rPr>
        <w:t xml:space="preserve"> that the </w:t>
      </w:r>
      <w:r w:rsidRPr="00E215E1">
        <w:rPr>
          <w:rFonts w:ascii="Times New Roman" w:hAnsi="Times New Roman"/>
          <w:sz w:val="24"/>
          <w:lang w:val="en-US"/>
        </w:rPr>
        <w:t>net production cost decrease</w:t>
      </w:r>
      <w:r>
        <w:rPr>
          <w:rFonts w:ascii="Times New Roman" w:hAnsi="Times New Roman"/>
          <w:sz w:val="24"/>
          <w:lang w:val="en-US"/>
        </w:rPr>
        <w:t>s</w:t>
      </w:r>
      <w:r w:rsidRPr="00E215E1">
        <w:rPr>
          <w:rFonts w:ascii="Times New Roman" w:hAnsi="Times New Roman"/>
          <w:sz w:val="24"/>
          <w:lang w:val="en-US"/>
        </w:rPr>
        <w:t xml:space="preserve"> up to 30% when passing from the minimum level of </w:t>
      </w:r>
      <w:r>
        <w:rPr>
          <w:rFonts w:ascii="Times New Roman" w:hAnsi="Times New Roman"/>
          <w:sz w:val="24"/>
          <w:lang w:val="en-US"/>
        </w:rPr>
        <w:t xml:space="preserve">economic </w:t>
      </w:r>
      <w:r w:rsidRPr="00E215E1">
        <w:rPr>
          <w:rFonts w:ascii="Times New Roman" w:hAnsi="Times New Roman"/>
          <w:sz w:val="24"/>
          <w:lang w:val="en-US"/>
        </w:rPr>
        <w:t>efficiency (</w:t>
      </w:r>
      <m:oMath>
        <m:r>
          <w:rPr>
            <w:rFonts w:ascii="Cambria Math" w:hAnsi="Cambria Math"/>
            <w:lang w:val="en-US"/>
          </w:rPr>
          <m:t>α=0)</m:t>
        </m:r>
      </m:oMath>
      <w:r w:rsidRPr="00E215E1">
        <w:rPr>
          <w:rFonts w:ascii="Times New Roman" w:hAnsi="Times New Roman"/>
          <w:sz w:val="24"/>
          <w:lang w:val="en-US"/>
        </w:rPr>
        <w:t xml:space="preserve"> to the maximum (</w:t>
      </w:r>
      <m:oMath>
        <m:r>
          <w:rPr>
            <w:rFonts w:ascii="Cambria Math" w:hAnsi="Cambria Math"/>
            <w:lang w:val="en-US"/>
          </w:rPr>
          <m:t>α=1</m:t>
        </m:r>
      </m:oMath>
      <w:r w:rsidRPr="00E215E1">
        <w:rPr>
          <w:rFonts w:ascii="Times New Roman" w:hAnsi="Times New Roman"/>
          <w:sz w:val="24"/>
          <w:lang w:val="en-US"/>
        </w:rPr>
        <w:t>).</w:t>
      </w:r>
      <w:r w:rsidR="007E1281">
        <w:rPr>
          <w:rFonts w:ascii="Times New Roman" w:hAnsi="Times New Roman"/>
          <w:sz w:val="24"/>
          <w:lang w:val="en-US"/>
        </w:rPr>
        <w:t xml:space="preserve"> This confirm</w:t>
      </w:r>
      <w:r w:rsidR="000C4CFB">
        <w:rPr>
          <w:rFonts w:ascii="Times New Roman" w:hAnsi="Times New Roman"/>
          <w:sz w:val="24"/>
          <w:lang w:val="en-US"/>
        </w:rPr>
        <w:t>s</w:t>
      </w:r>
      <w:r w:rsidR="007E1281">
        <w:rPr>
          <w:rFonts w:ascii="Times New Roman" w:hAnsi="Times New Roman"/>
          <w:sz w:val="24"/>
          <w:lang w:val="en-US"/>
        </w:rPr>
        <w:t xml:space="preserve"> </w:t>
      </w:r>
      <w:r w:rsidR="002109FE">
        <w:rPr>
          <w:rFonts w:ascii="Times New Roman" w:hAnsi="Times New Roman"/>
          <w:sz w:val="24"/>
          <w:lang w:val="en-US"/>
        </w:rPr>
        <w:t xml:space="preserve">that </w:t>
      </w:r>
      <w:r w:rsidR="007E1281">
        <w:rPr>
          <w:rFonts w:ascii="Times New Roman" w:hAnsi="Times New Roman"/>
          <w:sz w:val="24"/>
          <w:lang w:val="en-US"/>
        </w:rPr>
        <w:t>the information that can be obtained from the proposed indicator</w:t>
      </w:r>
      <w:r w:rsidR="002109FE">
        <w:rPr>
          <w:rFonts w:ascii="Times New Roman" w:hAnsi="Times New Roman"/>
          <w:sz w:val="24"/>
          <w:lang w:val="en-US"/>
        </w:rPr>
        <w:t xml:space="preserve"> </w:t>
      </w:r>
      <w:r w:rsidR="00360220">
        <w:rPr>
          <w:rFonts w:ascii="Times New Roman" w:hAnsi="Times New Roman"/>
          <w:sz w:val="24"/>
          <w:lang w:val="en-US"/>
        </w:rPr>
        <w:t>can</w:t>
      </w:r>
      <w:r w:rsidR="002109FE">
        <w:rPr>
          <w:rFonts w:ascii="Times New Roman" w:hAnsi="Times New Roman"/>
          <w:sz w:val="24"/>
          <w:lang w:val="en-US"/>
        </w:rPr>
        <w:t xml:space="preserve"> support the decision</w:t>
      </w:r>
      <w:r w:rsidR="000C4CFB">
        <w:rPr>
          <w:rFonts w:ascii="Times New Roman" w:hAnsi="Times New Roman"/>
          <w:sz w:val="24"/>
          <w:lang w:val="en-US"/>
        </w:rPr>
        <w:t>-</w:t>
      </w:r>
      <w:r w:rsidR="002109FE">
        <w:rPr>
          <w:rFonts w:ascii="Times New Roman" w:hAnsi="Times New Roman"/>
          <w:sz w:val="24"/>
          <w:lang w:val="en-US"/>
        </w:rPr>
        <w:t>making process of policy</w:t>
      </w:r>
      <w:r w:rsidR="000F2AE5">
        <w:rPr>
          <w:rFonts w:ascii="Times New Roman" w:hAnsi="Times New Roman"/>
          <w:sz w:val="24"/>
          <w:lang w:val="en-US"/>
        </w:rPr>
        <w:t>-</w:t>
      </w:r>
      <w:r w:rsidR="002109FE">
        <w:rPr>
          <w:rFonts w:ascii="Times New Roman" w:hAnsi="Times New Roman"/>
          <w:sz w:val="24"/>
          <w:lang w:val="en-US"/>
        </w:rPr>
        <w:lastRenderedPageBreak/>
        <w:t>makers</w:t>
      </w:r>
      <w:r w:rsidR="00360220">
        <w:rPr>
          <w:rFonts w:ascii="Times New Roman" w:hAnsi="Times New Roman"/>
          <w:sz w:val="24"/>
          <w:lang w:val="en-US"/>
        </w:rPr>
        <w:t>,</w:t>
      </w:r>
      <w:r w:rsidR="002109FE">
        <w:rPr>
          <w:rFonts w:ascii="Times New Roman" w:hAnsi="Times New Roman"/>
          <w:sz w:val="24"/>
          <w:lang w:val="en-US"/>
        </w:rPr>
        <w:t xml:space="preserve"> </w:t>
      </w:r>
      <w:r w:rsidR="000F2AE5">
        <w:rPr>
          <w:rFonts w:ascii="Times New Roman" w:hAnsi="Times New Roman"/>
          <w:sz w:val="24"/>
          <w:lang w:val="en-US"/>
        </w:rPr>
        <w:t>who must</w:t>
      </w:r>
      <w:r w:rsidR="002109FE">
        <w:rPr>
          <w:rFonts w:ascii="Times New Roman" w:hAnsi="Times New Roman"/>
          <w:sz w:val="24"/>
          <w:lang w:val="en-US"/>
        </w:rPr>
        <w:t xml:space="preserve"> evaluate the opportunity to sustain WM companies with incentives and other proper tools </w:t>
      </w:r>
      <w:r w:rsidR="00360220">
        <w:rPr>
          <w:rFonts w:ascii="Times New Roman" w:hAnsi="Times New Roman"/>
          <w:sz w:val="24"/>
          <w:lang w:val="en-US"/>
        </w:rPr>
        <w:t>in order</w:t>
      </w:r>
      <w:r w:rsidR="002109FE">
        <w:rPr>
          <w:rFonts w:ascii="Times New Roman" w:hAnsi="Times New Roman"/>
          <w:sz w:val="24"/>
          <w:lang w:val="en-US"/>
        </w:rPr>
        <w:t xml:space="preserve"> to stimulate secondary raw materials’ markets.</w:t>
      </w:r>
      <w:r w:rsidRPr="00E215E1">
        <w:rPr>
          <w:rFonts w:ascii="Times New Roman" w:hAnsi="Times New Roman"/>
          <w:sz w:val="24"/>
          <w:lang w:val="en-US"/>
        </w:rPr>
        <w:t xml:space="preserve"> </w:t>
      </w:r>
      <w:r w:rsidR="002109FE">
        <w:rPr>
          <w:rFonts w:ascii="Times New Roman" w:hAnsi="Times New Roman"/>
          <w:sz w:val="24"/>
          <w:lang w:val="en-US"/>
        </w:rPr>
        <w:t>Specifically, in the analyzed system,</w:t>
      </w:r>
      <w:r w:rsidRPr="00E215E1">
        <w:rPr>
          <w:rFonts w:ascii="Times New Roman" w:hAnsi="Times New Roman"/>
          <w:sz w:val="24"/>
          <w:lang w:val="en-US"/>
        </w:rPr>
        <w:t xml:space="preserve"> even in the best</w:t>
      </w:r>
      <w:r w:rsidR="00DB27E4">
        <w:rPr>
          <w:rFonts w:ascii="Times New Roman" w:hAnsi="Times New Roman"/>
          <w:sz w:val="24"/>
          <w:lang w:val="en-US"/>
        </w:rPr>
        <w:t xml:space="preserve">–case </w:t>
      </w:r>
      <w:r w:rsidRPr="00E215E1">
        <w:rPr>
          <w:rFonts w:ascii="Times New Roman" w:hAnsi="Times New Roman"/>
          <w:sz w:val="24"/>
          <w:lang w:val="en-US"/>
        </w:rPr>
        <w:t>scenario (maximum efficiency), the</w:t>
      </w:r>
      <w:r>
        <w:rPr>
          <w:rFonts w:ascii="Times New Roman" w:hAnsi="Times New Roman"/>
          <w:sz w:val="24"/>
          <w:lang w:val="en-US"/>
        </w:rPr>
        <w:t xml:space="preserve"> costs not covered by revenues </w:t>
      </w:r>
      <w:r w:rsidR="00DB27E4">
        <w:rPr>
          <w:rFonts w:ascii="Times New Roman" w:hAnsi="Times New Roman"/>
          <w:sz w:val="24"/>
          <w:lang w:val="en-US"/>
        </w:rPr>
        <w:t>(</w:t>
      </w:r>
      <w:r w:rsidRPr="00E215E1">
        <w:rPr>
          <w:rFonts w:ascii="Times New Roman" w:hAnsi="Times New Roman"/>
          <w:sz w:val="24"/>
          <w:lang w:val="en-US"/>
        </w:rPr>
        <w:t>deriving from the “economic use” of DWC</w:t>
      </w:r>
      <w:r w:rsidR="00DB27E4">
        <w:rPr>
          <w:rFonts w:ascii="Times New Roman" w:hAnsi="Times New Roman"/>
          <w:sz w:val="24"/>
          <w:lang w:val="en-US"/>
        </w:rPr>
        <w:t>)</w:t>
      </w:r>
      <w:r>
        <w:rPr>
          <w:rFonts w:ascii="Times New Roman" w:hAnsi="Times New Roman"/>
          <w:sz w:val="24"/>
          <w:lang w:val="en-US"/>
        </w:rPr>
        <w:t xml:space="preserve"> </w:t>
      </w:r>
      <w:r w:rsidR="00A73B3D">
        <w:rPr>
          <w:rFonts w:ascii="Times New Roman" w:hAnsi="Times New Roman"/>
          <w:sz w:val="24"/>
          <w:lang w:val="en-US"/>
        </w:rPr>
        <w:t>are</w:t>
      </w:r>
      <w:r>
        <w:rPr>
          <w:rFonts w:ascii="Times New Roman" w:hAnsi="Times New Roman"/>
          <w:sz w:val="24"/>
          <w:lang w:val="en-US"/>
        </w:rPr>
        <w:t xml:space="preserve"> significant and prevalent</w:t>
      </w:r>
      <w:r w:rsidRPr="00E215E1">
        <w:rPr>
          <w:rFonts w:ascii="Times New Roman" w:hAnsi="Times New Roman"/>
          <w:sz w:val="24"/>
          <w:lang w:val="en-US"/>
        </w:rPr>
        <w:t>.</w:t>
      </w:r>
      <w:r>
        <w:rPr>
          <w:rFonts w:ascii="Times New Roman" w:hAnsi="Times New Roman"/>
          <w:sz w:val="24"/>
          <w:lang w:val="en-US"/>
        </w:rPr>
        <w:t xml:space="preserve"> </w:t>
      </w:r>
      <w:r w:rsidR="00DD297E" w:rsidRPr="00E215E1">
        <w:rPr>
          <w:rFonts w:ascii="Times New Roman" w:hAnsi="Times New Roman"/>
          <w:sz w:val="24"/>
          <w:lang w:val="en-US"/>
        </w:rPr>
        <w:t xml:space="preserve">The other important share of exposed costs </w:t>
      </w:r>
      <w:r w:rsidR="00DB27E4">
        <w:rPr>
          <w:rFonts w:ascii="Times New Roman" w:hAnsi="Times New Roman"/>
          <w:sz w:val="24"/>
          <w:lang w:val="en-US"/>
        </w:rPr>
        <w:t>is</w:t>
      </w:r>
      <w:r w:rsidR="00DD297E" w:rsidRPr="00E215E1">
        <w:rPr>
          <w:rFonts w:ascii="Times New Roman" w:hAnsi="Times New Roman"/>
          <w:sz w:val="24"/>
          <w:lang w:val="en-US"/>
        </w:rPr>
        <w:t xml:space="preserve"> </w:t>
      </w:r>
      <w:r w:rsidR="00763824" w:rsidRPr="00E215E1">
        <w:rPr>
          <w:rFonts w:ascii="Times New Roman" w:hAnsi="Times New Roman"/>
          <w:sz w:val="24"/>
          <w:lang w:val="en-US"/>
        </w:rPr>
        <w:t xml:space="preserve">normally </w:t>
      </w:r>
      <w:r w:rsidR="00DD297E" w:rsidRPr="00E215E1">
        <w:rPr>
          <w:rFonts w:ascii="Times New Roman" w:hAnsi="Times New Roman"/>
          <w:sz w:val="24"/>
          <w:lang w:val="en-US"/>
        </w:rPr>
        <w:t>covered by fees paid by citizens</w:t>
      </w:r>
      <w:r w:rsidR="00DB27E4">
        <w:rPr>
          <w:rFonts w:ascii="Times New Roman" w:hAnsi="Times New Roman"/>
          <w:sz w:val="24"/>
          <w:lang w:val="en-US"/>
        </w:rPr>
        <w:t>,</w:t>
      </w:r>
      <w:r w:rsidR="00DD297E" w:rsidRPr="00E215E1">
        <w:rPr>
          <w:rFonts w:ascii="Times New Roman" w:hAnsi="Times New Roman"/>
          <w:sz w:val="24"/>
          <w:lang w:val="en-US"/>
        </w:rPr>
        <w:t xml:space="preserve"> who </w:t>
      </w:r>
      <w:r w:rsidR="00285499" w:rsidRPr="00E215E1">
        <w:rPr>
          <w:rFonts w:ascii="Times New Roman" w:hAnsi="Times New Roman"/>
          <w:sz w:val="24"/>
          <w:lang w:val="en-US"/>
        </w:rPr>
        <w:t>contribute</w:t>
      </w:r>
      <w:r w:rsidR="00DD297E" w:rsidRPr="00E215E1">
        <w:rPr>
          <w:rFonts w:ascii="Times New Roman" w:hAnsi="Times New Roman"/>
          <w:sz w:val="24"/>
          <w:lang w:val="en-US"/>
        </w:rPr>
        <w:t xml:space="preserve"> more or less effectively, according </w:t>
      </w:r>
      <w:r w:rsidR="00171EA4" w:rsidRPr="00E215E1">
        <w:rPr>
          <w:rFonts w:ascii="Times New Roman" w:hAnsi="Times New Roman"/>
          <w:sz w:val="24"/>
          <w:lang w:val="en-US"/>
        </w:rPr>
        <w:t xml:space="preserve">to </w:t>
      </w:r>
      <w:r w:rsidR="00285499" w:rsidRPr="00E215E1">
        <w:rPr>
          <w:rFonts w:ascii="Times New Roman" w:hAnsi="Times New Roman"/>
          <w:sz w:val="24"/>
          <w:lang w:val="en-US"/>
        </w:rPr>
        <w:t>their environment</w:t>
      </w:r>
      <w:r w:rsidR="00DB27E4">
        <w:rPr>
          <w:rFonts w:ascii="Times New Roman" w:hAnsi="Times New Roman"/>
          <w:sz w:val="24"/>
          <w:lang w:val="en-US"/>
        </w:rPr>
        <w:t>al</w:t>
      </w:r>
      <w:r w:rsidR="00DD297E" w:rsidRPr="00E215E1">
        <w:rPr>
          <w:rFonts w:ascii="Times New Roman" w:hAnsi="Times New Roman"/>
          <w:sz w:val="24"/>
          <w:lang w:val="en-US"/>
        </w:rPr>
        <w:t xml:space="preserve"> </w:t>
      </w:r>
      <w:r w:rsidR="00285499" w:rsidRPr="00E215E1">
        <w:rPr>
          <w:rFonts w:ascii="Times New Roman" w:hAnsi="Times New Roman"/>
          <w:sz w:val="24"/>
          <w:lang w:val="en-US"/>
        </w:rPr>
        <w:t>protection culture</w:t>
      </w:r>
      <w:r w:rsidR="00DD297E" w:rsidRPr="00E215E1">
        <w:rPr>
          <w:rFonts w:ascii="Times New Roman" w:hAnsi="Times New Roman"/>
          <w:sz w:val="24"/>
          <w:lang w:val="en-US"/>
        </w:rPr>
        <w:t xml:space="preserve">, </w:t>
      </w:r>
      <w:r w:rsidR="00DB27E4">
        <w:rPr>
          <w:rFonts w:ascii="Times New Roman" w:hAnsi="Times New Roman"/>
          <w:sz w:val="24"/>
          <w:lang w:val="en-US"/>
        </w:rPr>
        <w:t>to</w:t>
      </w:r>
      <w:r w:rsidR="00571DE8" w:rsidRPr="00E215E1">
        <w:rPr>
          <w:rFonts w:ascii="Times New Roman" w:hAnsi="Times New Roman"/>
          <w:sz w:val="24"/>
          <w:lang w:val="en-US"/>
        </w:rPr>
        <w:t xml:space="preserve"> </w:t>
      </w:r>
      <w:r w:rsidR="00DD297E" w:rsidRPr="00E215E1">
        <w:rPr>
          <w:rFonts w:ascii="Times New Roman" w:hAnsi="Times New Roman"/>
          <w:sz w:val="24"/>
          <w:lang w:val="en-US"/>
        </w:rPr>
        <w:t xml:space="preserve">sorting </w:t>
      </w:r>
      <w:r w:rsidR="00285499" w:rsidRPr="00E215E1">
        <w:rPr>
          <w:rFonts w:ascii="Times New Roman" w:hAnsi="Times New Roman"/>
          <w:sz w:val="24"/>
          <w:lang w:val="en-US"/>
        </w:rPr>
        <w:t>and differen</w:t>
      </w:r>
      <w:r w:rsidR="00DB27E4">
        <w:rPr>
          <w:rFonts w:ascii="Times New Roman" w:hAnsi="Times New Roman"/>
          <w:sz w:val="24"/>
          <w:lang w:val="en-US"/>
        </w:rPr>
        <w:t>tiat</w:t>
      </w:r>
      <w:r w:rsidR="00285499" w:rsidRPr="00E215E1">
        <w:rPr>
          <w:rFonts w:ascii="Times New Roman" w:hAnsi="Times New Roman"/>
          <w:sz w:val="24"/>
          <w:lang w:val="en-US"/>
        </w:rPr>
        <w:t>ing</w:t>
      </w:r>
      <w:r w:rsidR="00DD297E" w:rsidRPr="00E215E1">
        <w:rPr>
          <w:rFonts w:ascii="Times New Roman" w:hAnsi="Times New Roman"/>
          <w:sz w:val="24"/>
          <w:lang w:val="en-US"/>
        </w:rPr>
        <w:t xml:space="preserve"> waste for separate collection.</w:t>
      </w:r>
      <w:r w:rsidR="009E56ED" w:rsidRPr="00E215E1">
        <w:rPr>
          <w:rFonts w:ascii="Times New Roman" w:hAnsi="Times New Roman"/>
          <w:sz w:val="24"/>
          <w:lang w:val="en-US"/>
        </w:rPr>
        <w:t xml:space="preserve"> </w:t>
      </w:r>
      <w:r w:rsidR="00763824" w:rsidRPr="00E215E1">
        <w:rPr>
          <w:rFonts w:ascii="Times New Roman" w:hAnsi="Times New Roman"/>
          <w:sz w:val="24"/>
          <w:lang w:val="en-US"/>
        </w:rPr>
        <w:t>Moreover</w:t>
      </w:r>
      <w:r w:rsidR="009E56ED" w:rsidRPr="00E215E1">
        <w:rPr>
          <w:rFonts w:ascii="Times New Roman" w:hAnsi="Times New Roman"/>
          <w:sz w:val="24"/>
          <w:lang w:val="en-US"/>
        </w:rPr>
        <w:t xml:space="preserve">, </w:t>
      </w:r>
      <w:r w:rsidR="00171EA4" w:rsidRPr="00E215E1">
        <w:rPr>
          <w:rFonts w:ascii="Times New Roman" w:hAnsi="Times New Roman"/>
          <w:sz w:val="24"/>
          <w:lang w:val="en-US"/>
        </w:rPr>
        <w:t xml:space="preserve">the same municipalities </w:t>
      </w:r>
      <w:r w:rsidR="003E6915" w:rsidRPr="00E215E1">
        <w:rPr>
          <w:rFonts w:ascii="Times New Roman" w:hAnsi="Times New Roman"/>
          <w:sz w:val="24"/>
          <w:lang w:val="en-US"/>
        </w:rPr>
        <w:t xml:space="preserve">are required to </w:t>
      </w:r>
      <w:r w:rsidR="00171EA4" w:rsidRPr="00E215E1">
        <w:rPr>
          <w:rFonts w:ascii="Times New Roman" w:hAnsi="Times New Roman"/>
          <w:sz w:val="24"/>
          <w:lang w:val="en-US"/>
        </w:rPr>
        <w:t xml:space="preserve">allocate </w:t>
      </w:r>
      <w:r w:rsidR="00285499" w:rsidRPr="00E215E1">
        <w:rPr>
          <w:rFonts w:ascii="Times New Roman" w:hAnsi="Times New Roman"/>
          <w:sz w:val="24"/>
          <w:lang w:val="en-US"/>
        </w:rPr>
        <w:t>f</w:t>
      </w:r>
      <w:r w:rsidR="00171EA4" w:rsidRPr="00E215E1">
        <w:rPr>
          <w:rFonts w:ascii="Times New Roman" w:hAnsi="Times New Roman"/>
          <w:sz w:val="24"/>
          <w:lang w:val="en-US"/>
        </w:rPr>
        <w:t>unds to cover the costs</w:t>
      </w:r>
      <w:r w:rsidR="00763824" w:rsidRPr="00E215E1">
        <w:rPr>
          <w:rFonts w:ascii="Times New Roman" w:hAnsi="Times New Roman"/>
          <w:sz w:val="24"/>
          <w:lang w:val="en-US"/>
        </w:rPr>
        <w:t xml:space="preserve"> (or the economic loss</w:t>
      </w:r>
      <w:r w:rsidR="00E14429" w:rsidRPr="00E215E1">
        <w:rPr>
          <w:rFonts w:ascii="Times New Roman" w:hAnsi="Times New Roman"/>
          <w:sz w:val="24"/>
          <w:lang w:val="en-US"/>
        </w:rPr>
        <w:t>es</w:t>
      </w:r>
      <w:r w:rsidR="00763824" w:rsidRPr="00E215E1">
        <w:rPr>
          <w:rFonts w:ascii="Times New Roman" w:hAnsi="Times New Roman"/>
          <w:sz w:val="24"/>
          <w:lang w:val="en-US"/>
        </w:rPr>
        <w:t>)</w:t>
      </w:r>
      <w:r w:rsidR="00171EA4" w:rsidRPr="00E215E1">
        <w:rPr>
          <w:rFonts w:ascii="Times New Roman" w:hAnsi="Times New Roman"/>
          <w:sz w:val="24"/>
          <w:lang w:val="en-US"/>
        </w:rPr>
        <w:t xml:space="preserve"> of</w:t>
      </w:r>
      <w:r w:rsidR="00E14429" w:rsidRPr="00E215E1">
        <w:rPr>
          <w:rFonts w:ascii="Times New Roman" w:hAnsi="Times New Roman"/>
          <w:sz w:val="24"/>
          <w:lang w:val="en-US"/>
        </w:rPr>
        <w:t xml:space="preserve"> the </w:t>
      </w:r>
      <w:r w:rsidR="00171EA4" w:rsidRPr="00E215E1">
        <w:rPr>
          <w:rFonts w:ascii="Times New Roman" w:hAnsi="Times New Roman"/>
          <w:sz w:val="24"/>
          <w:lang w:val="en-US"/>
        </w:rPr>
        <w:t>companies</w:t>
      </w:r>
      <w:r w:rsidR="009E56ED" w:rsidRPr="00E215E1">
        <w:rPr>
          <w:rFonts w:ascii="Times New Roman" w:hAnsi="Times New Roman"/>
          <w:sz w:val="24"/>
          <w:lang w:val="en-US"/>
        </w:rPr>
        <w:t>.</w:t>
      </w:r>
      <w:r w:rsidR="00B53869" w:rsidRPr="00E215E1">
        <w:rPr>
          <w:rFonts w:ascii="Times New Roman" w:hAnsi="Times New Roman"/>
          <w:sz w:val="24"/>
          <w:lang w:val="en-US"/>
        </w:rPr>
        <w:t xml:space="preserve"> This means that </w:t>
      </w:r>
      <w:r w:rsidR="007B7669">
        <w:rPr>
          <w:rFonts w:ascii="Times New Roman" w:hAnsi="Times New Roman"/>
          <w:sz w:val="24"/>
          <w:lang w:val="en-US"/>
        </w:rPr>
        <w:t>if</w:t>
      </w:r>
      <w:r w:rsidR="00B53869" w:rsidRPr="00E215E1">
        <w:rPr>
          <w:rFonts w:ascii="Times New Roman" w:hAnsi="Times New Roman"/>
          <w:sz w:val="24"/>
          <w:lang w:val="en-US"/>
        </w:rPr>
        <w:t xml:space="preserve"> </w:t>
      </w:r>
      <w:r w:rsidR="001A0B53" w:rsidRPr="00E215E1">
        <w:rPr>
          <w:rFonts w:ascii="Times New Roman" w:hAnsi="Times New Roman"/>
          <w:sz w:val="24"/>
          <w:lang w:val="en-US"/>
        </w:rPr>
        <w:t>WM</w:t>
      </w:r>
      <w:r w:rsidR="007B7669">
        <w:rPr>
          <w:rFonts w:ascii="Times New Roman" w:hAnsi="Times New Roman"/>
          <w:sz w:val="24"/>
          <w:lang w:val="en-US"/>
        </w:rPr>
        <w:t xml:space="preserve"> companies</w:t>
      </w:r>
      <w:r w:rsidR="00B53869" w:rsidRPr="00E215E1">
        <w:rPr>
          <w:rFonts w:ascii="Times New Roman" w:hAnsi="Times New Roman"/>
          <w:sz w:val="24"/>
          <w:lang w:val="en-US"/>
        </w:rPr>
        <w:t xml:space="preserve"> </w:t>
      </w:r>
      <w:r w:rsidR="007B7669">
        <w:rPr>
          <w:rFonts w:ascii="Times New Roman" w:hAnsi="Times New Roman"/>
          <w:sz w:val="24"/>
          <w:lang w:val="en-US"/>
        </w:rPr>
        <w:t xml:space="preserve">are not </w:t>
      </w:r>
      <w:r w:rsidR="00A07E92">
        <w:rPr>
          <w:rFonts w:ascii="Times New Roman" w:hAnsi="Times New Roman"/>
          <w:sz w:val="24"/>
          <w:lang w:val="en-US"/>
        </w:rPr>
        <w:t>able</w:t>
      </w:r>
      <w:r w:rsidR="007B7669">
        <w:rPr>
          <w:rFonts w:ascii="Times New Roman" w:hAnsi="Times New Roman"/>
          <w:sz w:val="24"/>
          <w:lang w:val="en-US"/>
        </w:rPr>
        <w:t xml:space="preserve"> to realize a satisfactory </w:t>
      </w:r>
      <w:r w:rsidR="00B53869" w:rsidRPr="00E215E1">
        <w:rPr>
          <w:rFonts w:ascii="Times New Roman" w:hAnsi="Times New Roman"/>
          <w:sz w:val="24"/>
          <w:lang w:val="en-US"/>
        </w:rPr>
        <w:t>efficien</w:t>
      </w:r>
      <w:r w:rsidR="007B7669">
        <w:rPr>
          <w:rFonts w:ascii="Times New Roman" w:hAnsi="Times New Roman"/>
          <w:sz w:val="24"/>
          <w:lang w:val="en-US"/>
        </w:rPr>
        <w:t>cy level</w:t>
      </w:r>
      <w:r w:rsidR="00B53869" w:rsidRPr="00E215E1">
        <w:rPr>
          <w:rFonts w:ascii="Times New Roman" w:hAnsi="Times New Roman"/>
          <w:sz w:val="24"/>
          <w:lang w:val="en-US"/>
        </w:rPr>
        <w:t xml:space="preserve">, the </w:t>
      </w:r>
      <w:r w:rsidR="00A07E92">
        <w:rPr>
          <w:rFonts w:ascii="Times New Roman" w:hAnsi="Times New Roman"/>
          <w:sz w:val="24"/>
          <w:lang w:val="en-US"/>
        </w:rPr>
        <w:t xml:space="preserve">relevant </w:t>
      </w:r>
      <w:r w:rsidR="00B53869" w:rsidRPr="00E215E1">
        <w:rPr>
          <w:rFonts w:ascii="Times New Roman" w:hAnsi="Times New Roman"/>
          <w:sz w:val="24"/>
          <w:lang w:val="en-US"/>
        </w:rPr>
        <w:t xml:space="preserve">municipalities </w:t>
      </w:r>
      <w:r w:rsidR="007B7669">
        <w:rPr>
          <w:rFonts w:ascii="Times New Roman" w:hAnsi="Times New Roman"/>
          <w:sz w:val="24"/>
          <w:lang w:val="en-US"/>
        </w:rPr>
        <w:t>have to invest</w:t>
      </w:r>
      <w:r w:rsidR="007B7669" w:rsidRPr="00E215E1">
        <w:rPr>
          <w:rFonts w:ascii="Times New Roman" w:hAnsi="Times New Roman"/>
          <w:sz w:val="24"/>
          <w:lang w:val="en-US"/>
        </w:rPr>
        <w:t xml:space="preserve"> </w:t>
      </w:r>
      <w:r w:rsidR="00B53869" w:rsidRPr="00E215E1">
        <w:rPr>
          <w:rFonts w:ascii="Times New Roman" w:hAnsi="Times New Roman"/>
          <w:sz w:val="24"/>
          <w:lang w:val="en-US"/>
        </w:rPr>
        <w:t>important financial resources</w:t>
      </w:r>
      <w:r w:rsidR="00DB27E4">
        <w:rPr>
          <w:rFonts w:ascii="Times New Roman" w:hAnsi="Times New Roman"/>
          <w:sz w:val="24"/>
          <w:lang w:val="en-US"/>
        </w:rPr>
        <w:t xml:space="preserve"> that</w:t>
      </w:r>
      <w:r w:rsidR="00B53869" w:rsidRPr="00E215E1">
        <w:rPr>
          <w:rFonts w:ascii="Times New Roman" w:hAnsi="Times New Roman"/>
          <w:sz w:val="24"/>
          <w:lang w:val="en-US"/>
        </w:rPr>
        <w:t xml:space="preserve"> could </w:t>
      </w:r>
      <w:r w:rsidR="00DB27E4">
        <w:rPr>
          <w:rFonts w:ascii="Times New Roman" w:hAnsi="Times New Roman"/>
          <w:sz w:val="24"/>
          <w:lang w:val="en-US"/>
        </w:rPr>
        <w:t xml:space="preserve">have been </w:t>
      </w:r>
      <w:r w:rsidR="00B53869" w:rsidRPr="00E215E1">
        <w:rPr>
          <w:rFonts w:ascii="Times New Roman" w:hAnsi="Times New Roman"/>
          <w:sz w:val="24"/>
          <w:lang w:val="en-US"/>
        </w:rPr>
        <w:t xml:space="preserve">more productively </w:t>
      </w:r>
      <w:r w:rsidR="007B7669">
        <w:rPr>
          <w:rFonts w:ascii="Times New Roman" w:hAnsi="Times New Roman"/>
          <w:sz w:val="24"/>
          <w:lang w:val="en-US"/>
        </w:rPr>
        <w:t>used</w:t>
      </w:r>
      <w:r w:rsidR="007B7669" w:rsidRPr="00E215E1">
        <w:rPr>
          <w:rFonts w:ascii="Times New Roman" w:hAnsi="Times New Roman"/>
          <w:sz w:val="24"/>
          <w:lang w:val="en-US"/>
        </w:rPr>
        <w:t xml:space="preserve"> </w:t>
      </w:r>
      <w:r w:rsidR="007B7669">
        <w:rPr>
          <w:rFonts w:ascii="Times New Roman" w:hAnsi="Times New Roman"/>
          <w:sz w:val="24"/>
          <w:lang w:val="en-US"/>
        </w:rPr>
        <w:t>to fund</w:t>
      </w:r>
      <w:r w:rsidR="007B7669" w:rsidRPr="00E215E1">
        <w:rPr>
          <w:rFonts w:ascii="Times New Roman" w:hAnsi="Times New Roman"/>
          <w:sz w:val="24"/>
          <w:lang w:val="en-US"/>
        </w:rPr>
        <w:t xml:space="preserve"> </w:t>
      </w:r>
      <w:r w:rsidR="00171EA4" w:rsidRPr="00E215E1">
        <w:rPr>
          <w:rFonts w:ascii="Times New Roman" w:hAnsi="Times New Roman"/>
          <w:sz w:val="24"/>
          <w:lang w:val="en-US"/>
        </w:rPr>
        <w:t xml:space="preserve">other </w:t>
      </w:r>
      <w:r w:rsidR="00763824" w:rsidRPr="00E215E1">
        <w:rPr>
          <w:rFonts w:ascii="Times New Roman" w:hAnsi="Times New Roman"/>
          <w:sz w:val="24"/>
          <w:lang w:val="en-US"/>
        </w:rPr>
        <w:t xml:space="preserve">environmental and social </w:t>
      </w:r>
      <w:r w:rsidR="00171EA4" w:rsidRPr="00E215E1">
        <w:rPr>
          <w:rFonts w:ascii="Times New Roman" w:hAnsi="Times New Roman"/>
          <w:sz w:val="24"/>
          <w:lang w:val="en-US"/>
        </w:rPr>
        <w:t xml:space="preserve">projects </w:t>
      </w:r>
      <w:r w:rsidR="00695AB3" w:rsidRPr="00E215E1">
        <w:rPr>
          <w:rFonts w:ascii="Times New Roman" w:hAnsi="Times New Roman"/>
          <w:sz w:val="24"/>
          <w:lang w:val="en-US"/>
        </w:rPr>
        <w:t>to</w:t>
      </w:r>
      <w:r w:rsidR="00171EA4" w:rsidRPr="00E215E1">
        <w:rPr>
          <w:rFonts w:ascii="Times New Roman" w:hAnsi="Times New Roman"/>
          <w:sz w:val="24"/>
          <w:lang w:val="en-US"/>
        </w:rPr>
        <w:t xml:space="preserve"> </w:t>
      </w:r>
      <w:r w:rsidR="00695AB3" w:rsidRPr="00E215E1">
        <w:rPr>
          <w:rFonts w:ascii="Times New Roman" w:hAnsi="Times New Roman"/>
          <w:sz w:val="24"/>
          <w:lang w:val="en-US"/>
        </w:rPr>
        <w:t>improve</w:t>
      </w:r>
      <w:r w:rsidR="00763824" w:rsidRPr="00E215E1">
        <w:rPr>
          <w:rFonts w:ascii="Times New Roman" w:hAnsi="Times New Roman"/>
          <w:sz w:val="24"/>
          <w:lang w:val="en-US"/>
        </w:rPr>
        <w:t xml:space="preserve"> citizens’ </w:t>
      </w:r>
      <w:r w:rsidR="00A73B3D">
        <w:rPr>
          <w:rFonts w:ascii="Times New Roman" w:hAnsi="Times New Roman"/>
          <w:sz w:val="24"/>
          <w:lang w:val="en-US"/>
        </w:rPr>
        <w:t>well-being</w:t>
      </w:r>
      <w:r w:rsidR="00571DE8" w:rsidRPr="00E215E1">
        <w:rPr>
          <w:rFonts w:ascii="Times New Roman" w:hAnsi="Times New Roman"/>
          <w:sz w:val="24"/>
          <w:lang w:val="en-US"/>
        </w:rPr>
        <w:t>.</w:t>
      </w:r>
      <w:r w:rsidR="00B53869" w:rsidRPr="00E215E1">
        <w:rPr>
          <w:rFonts w:ascii="Times New Roman" w:hAnsi="Times New Roman"/>
          <w:sz w:val="24"/>
          <w:lang w:val="en-US"/>
        </w:rPr>
        <w:t xml:space="preserve"> </w:t>
      </w:r>
    </w:p>
    <w:p w14:paraId="31AB3262" w14:textId="48333BDB" w:rsidR="003A0C9C" w:rsidRPr="00E215E1" w:rsidRDefault="00E26281" w:rsidP="00D539F1">
      <w:pPr>
        <w:pStyle w:val="TEXT"/>
        <w:spacing w:line="480" w:lineRule="auto"/>
        <w:ind w:firstLine="0"/>
        <w:jc w:val="left"/>
        <w:rPr>
          <w:rFonts w:ascii="Times New Roman" w:hAnsi="Times New Roman"/>
          <w:sz w:val="24"/>
          <w:lang w:val="en-US"/>
        </w:rPr>
      </w:pPr>
      <w:r w:rsidRPr="00E215E1">
        <w:rPr>
          <w:rFonts w:ascii="Times New Roman" w:hAnsi="Times New Roman"/>
          <w:sz w:val="24"/>
          <w:lang w:val="en-US"/>
        </w:rPr>
        <w:t xml:space="preserve">The current context in which WM companies operate </w:t>
      </w:r>
      <w:r w:rsidR="00DB27E4">
        <w:rPr>
          <w:rFonts w:ascii="Times New Roman" w:hAnsi="Times New Roman"/>
          <w:sz w:val="24"/>
          <w:lang w:val="en-US"/>
        </w:rPr>
        <w:t xml:space="preserve">allows the </w:t>
      </w:r>
      <w:r w:rsidR="00CE2F1F" w:rsidRPr="00E215E1">
        <w:rPr>
          <w:rFonts w:ascii="Times New Roman" w:hAnsi="Times New Roman"/>
          <w:sz w:val="24"/>
          <w:lang w:val="en-US"/>
        </w:rPr>
        <w:t xml:space="preserve">efficiency and </w:t>
      </w:r>
      <w:r w:rsidR="002977EB" w:rsidRPr="00E215E1">
        <w:rPr>
          <w:rFonts w:ascii="Times New Roman" w:hAnsi="Times New Roman"/>
          <w:sz w:val="24"/>
          <w:lang w:val="en-US"/>
        </w:rPr>
        <w:t>environmental</w:t>
      </w:r>
      <w:r w:rsidR="00CE2F1F" w:rsidRPr="00E215E1">
        <w:rPr>
          <w:rFonts w:ascii="Times New Roman" w:hAnsi="Times New Roman"/>
          <w:sz w:val="24"/>
          <w:lang w:val="en-US"/>
        </w:rPr>
        <w:t xml:space="preserve"> </w:t>
      </w:r>
      <w:r w:rsidR="00CE2F1F" w:rsidRPr="00A73B3D">
        <w:rPr>
          <w:rFonts w:ascii="Times New Roman" w:hAnsi="Times New Roman"/>
          <w:sz w:val="24"/>
          <w:lang w:val="en-US"/>
        </w:rPr>
        <w:t xml:space="preserve">targets </w:t>
      </w:r>
      <w:r w:rsidR="00DB27E4">
        <w:rPr>
          <w:rFonts w:ascii="Times New Roman" w:hAnsi="Times New Roman"/>
          <w:sz w:val="24"/>
          <w:lang w:val="en-US"/>
        </w:rPr>
        <w:t xml:space="preserve">to </w:t>
      </w:r>
      <w:r w:rsidR="00CE2F1F" w:rsidRPr="00A73B3D">
        <w:rPr>
          <w:rFonts w:ascii="Times New Roman" w:hAnsi="Times New Roman"/>
          <w:sz w:val="24"/>
          <w:lang w:val="en-US"/>
        </w:rPr>
        <w:t>be</w:t>
      </w:r>
      <w:r w:rsidRPr="00A73B3D">
        <w:rPr>
          <w:rFonts w:ascii="Times New Roman" w:hAnsi="Times New Roman"/>
          <w:sz w:val="24"/>
          <w:lang w:val="en-US"/>
        </w:rPr>
        <w:t xml:space="preserve"> </w:t>
      </w:r>
      <w:r w:rsidR="001C619A" w:rsidRPr="00E215E1">
        <w:rPr>
          <w:rFonts w:ascii="Times New Roman" w:hAnsi="Times New Roman"/>
          <w:sz w:val="24"/>
          <w:lang w:val="en-US"/>
        </w:rPr>
        <w:t xml:space="preserve">widely </w:t>
      </w:r>
      <w:r w:rsidRPr="00E215E1">
        <w:rPr>
          <w:rFonts w:ascii="Times New Roman" w:hAnsi="Times New Roman"/>
          <w:sz w:val="24"/>
          <w:lang w:val="en-US"/>
        </w:rPr>
        <w:t xml:space="preserve">conditioned by the </w:t>
      </w:r>
      <w:r w:rsidR="00695AB3" w:rsidRPr="00E215E1">
        <w:rPr>
          <w:rFonts w:ascii="Times New Roman" w:hAnsi="Times New Roman"/>
          <w:sz w:val="24"/>
          <w:lang w:val="en-US"/>
        </w:rPr>
        <w:t>implemented</w:t>
      </w:r>
      <w:r w:rsidRPr="00E215E1">
        <w:rPr>
          <w:rFonts w:ascii="Times New Roman" w:hAnsi="Times New Roman"/>
          <w:sz w:val="24"/>
          <w:lang w:val="en-US"/>
        </w:rPr>
        <w:t xml:space="preserve"> technologies</w:t>
      </w:r>
      <w:r w:rsidR="00DB27E4">
        <w:rPr>
          <w:rFonts w:ascii="Times New Roman" w:hAnsi="Times New Roman"/>
          <w:sz w:val="24"/>
          <w:lang w:val="en-US"/>
        </w:rPr>
        <w:t>. F</w:t>
      </w:r>
      <w:r w:rsidR="00CE2F1F" w:rsidRPr="00E215E1">
        <w:rPr>
          <w:rFonts w:ascii="Times New Roman" w:hAnsi="Times New Roman"/>
          <w:sz w:val="24"/>
          <w:lang w:val="en-US"/>
        </w:rPr>
        <w:t xml:space="preserve">or instance, </w:t>
      </w:r>
      <w:r w:rsidRPr="00E215E1">
        <w:rPr>
          <w:rFonts w:ascii="Times New Roman" w:hAnsi="Times New Roman"/>
          <w:sz w:val="24"/>
          <w:lang w:val="en-US"/>
        </w:rPr>
        <w:t xml:space="preserve">seldom </w:t>
      </w:r>
      <w:r w:rsidR="00DB27E4">
        <w:rPr>
          <w:rFonts w:ascii="Times New Roman" w:hAnsi="Times New Roman"/>
          <w:sz w:val="24"/>
          <w:lang w:val="en-US"/>
        </w:rPr>
        <w:t xml:space="preserve">does </w:t>
      </w:r>
      <w:r w:rsidRPr="00E215E1">
        <w:rPr>
          <w:rFonts w:ascii="Times New Roman" w:hAnsi="Times New Roman"/>
          <w:sz w:val="24"/>
          <w:lang w:val="en-US"/>
        </w:rPr>
        <w:t xml:space="preserve">the design of the products </w:t>
      </w:r>
      <w:r w:rsidR="00CE2F1F" w:rsidRPr="00E215E1">
        <w:rPr>
          <w:rFonts w:ascii="Times New Roman" w:hAnsi="Times New Roman"/>
          <w:sz w:val="24"/>
          <w:lang w:val="en-US"/>
        </w:rPr>
        <w:t>go in the direction of reducing</w:t>
      </w:r>
      <w:r w:rsidRPr="00E215E1">
        <w:rPr>
          <w:rFonts w:ascii="Times New Roman" w:hAnsi="Times New Roman"/>
          <w:sz w:val="24"/>
          <w:lang w:val="en-US"/>
        </w:rPr>
        <w:t xml:space="preserve"> waste production</w:t>
      </w:r>
      <w:r w:rsidR="00CE2F1F" w:rsidRPr="00E215E1">
        <w:rPr>
          <w:rFonts w:ascii="Times New Roman" w:hAnsi="Times New Roman"/>
          <w:sz w:val="24"/>
          <w:lang w:val="en-US"/>
        </w:rPr>
        <w:t xml:space="preserve"> and</w:t>
      </w:r>
      <w:r w:rsidRPr="00E215E1">
        <w:rPr>
          <w:rFonts w:ascii="Times New Roman" w:hAnsi="Times New Roman"/>
          <w:sz w:val="24"/>
          <w:lang w:val="en-US"/>
        </w:rPr>
        <w:t xml:space="preserve"> facilitat</w:t>
      </w:r>
      <w:r w:rsidR="00CE2F1F" w:rsidRPr="00E215E1">
        <w:rPr>
          <w:rFonts w:ascii="Times New Roman" w:hAnsi="Times New Roman"/>
          <w:sz w:val="24"/>
          <w:lang w:val="en-US"/>
        </w:rPr>
        <w:t>ing</w:t>
      </w:r>
      <w:r w:rsidRPr="00E215E1">
        <w:rPr>
          <w:rFonts w:ascii="Times New Roman" w:hAnsi="Times New Roman"/>
          <w:sz w:val="24"/>
          <w:lang w:val="en-US"/>
        </w:rPr>
        <w:t xml:space="preserve"> reuse and recovery</w:t>
      </w:r>
      <w:r w:rsidR="001C619A" w:rsidRPr="00E215E1">
        <w:rPr>
          <w:rFonts w:ascii="Times New Roman" w:hAnsi="Times New Roman"/>
          <w:sz w:val="24"/>
          <w:lang w:val="en-US"/>
        </w:rPr>
        <w:t>,</w:t>
      </w:r>
      <w:r w:rsidR="00CE2F1F" w:rsidRPr="00E215E1">
        <w:rPr>
          <w:rFonts w:ascii="Times New Roman" w:hAnsi="Times New Roman"/>
          <w:sz w:val="24"/>
          <w:lang w:val="en-US"/>
        </w:rPr>
        <w:t xml:space="preserve"> hence leading to</w:t>
      </w:r>
      <w:r w:rsidRPr="00E215E1">
        <w:rPr>
          <w:rFonts w:ascii="Times New Roman" w:hAnsi="Times New Roman"/>
          <w:sz w:val="24"/>
          <w:lang w:val="en-US"/>
        </w:rPr>
        <w:t xml:space="preserve"> the recycl</w:t>
      </w:r>
      <w:r w:rsidR="00DB27E4">
        <w:rPr>
          <w:rFonts w:ascii="Times New Roman" w:hAnsi="Times New Roman"/>
          <w:sz w:val="24"/>
          <w:lang w:val="en-US"/>
        </w:rPr>
        <w:t>ing</w:t>
      </w:r>
      <w:r w:rsidRPr="00E215E1">
        <w:rPr>
          <w:rFonts w:ascii="Times New Roman" w:hAnsi="Times New Roman"/>
          <w:sz w:val="24"/>
          <w:lang w:val="en-US"/>
        </w:rPr>
        <w:t xml:space="preserve"> of materials. </w:t>
      </w:r>
    </w:p>
    <w:p w14:paraId="2FA2C8F8" w14:textId="6BD453CD" w:rsidR="00E26281" w:rsidRPr="00E215E1" w:rsidRDefault="00DB27E4" w:rsidP="00D539F1">
      <w:pPr>
        <w:pStyle w:val="TEXT"/>
        <w:spacing w:line="480" w:lineRule="auto"/>
        <w:ind w:firstLine="0"/>
        <w:jc w:val="left"/>
        <w:rPr>
          <w:rFonts w:ascii="Times New Roman" w:hAnsi="Times New Roman"/>
          <w:sz w:val="24"/>
          <w:lang w:val="en-US"/>
        </w:rPr>
      </w:pPr>
      <w:r>
        <w:rPr>
          <w:rFonts w:ascii="Times New Roman" w:hAnsi="Times New Roman"/>
          <w:sz w:val="24"/>
          <w:lang w:val="en-US"/>
        </w:rPr>
        <w:t>From</w:t>
      </w:r>
      <w:r w:rsidR="003A0C9C" w:rsidRPr="00E215E1">
        <w:rPr>
          <w:rFonts w:ascii="Times New Roman" w:hAnsi="Times New Roman"/>
          <w:sz w:val="24"/>
          <w:lang w:val="en-US"/>
        </w:rPr>
        <w:t xml:space="preserve"> a different perspective, it</w:t>
      </w:r>
      <w:r w:rsidR="00E26281" w:rsidRPr="00E215E1">
        <w:rPr>
          <w:rFonts w:ascii="Times New Roman" w:hAnsi="Times New Roman"/>
          <w:sz w:val="24"/>
          <w:lang w:val="en-US"/>
        </w:rPr>
        <w:t xml:space="preserve"> </w:t>
      </w:r>
      <w:r w:rsidR="002A4246" w:rsidRPr="00E215E1">
        <w:rPr>
          <w:rFonts w:ascii="Times New Roman" w:hAnsi="Times New Roman"/>
          <w:sz w:val="24"/>
          <w:lang w:val="en-US"/>
        </w:rPr>
        <w:t>is important to consider</w:t>
      </w:r>
      <w:r w:rsidR="00E26281" w:rsidRPr="00E215E1">
        <w:rPr>
          <w:rFonts w:ascii="Times New Roman" w:hAnsi="Times New Roman"/>
          <w:sz w:val="24"/>
          <w:lang w:val="en-US"/>
        </w:rPr>
        <w:t xml:space="preserve"> the </w:t>
      </w:r>
      <w:r w:rsidR="003A0C9C" w:rsidRPr="00E215E1">
        <w:rPr>
          <w:rFonts w:ascii="Times New Roman" w:hAnsi="Times New Roman"/>
          <w:sz w:val="24"/>
          <w:lang w:val="en-US"/>
        </w:rPr>
        <w:t xml:space="preserve">interconnections between the efficiency related to DWC and the market </w:t>
      </w:r>
      <w:r>
        <w:rPr>
          <w:rFonts w:ascii="Times New Roman" w:hAnsi="Times New Roman"/>
          <w:sz w:val="24"/>
          <w:lang w:val="en-US"/>
        </w:rPr>
        <w:t>for</w:t>
      </w:r>
      <w:r w:rsidR="0081672E" w:rsidRPr="00E215E1">
        <w:rPr>
          <w:rFonts w:ascii="Times New Roman" w:hAnsi="Times New Roman"/>
          <w:sz w:val="24"/>
          <w:lang w:val="en-US"/>
        </w:rPr>
        <w:t xml:space="preserve"> secondary </w:t>
      </w:r>
      <w:r w:rsidR="003A0C9C" w:rsidRPr="00E215E1">
        <w:rPr>
          <w:rFonts w:ascii="Times New Roman" w:hAnsi="Times New Roman"/>
          <w:sz w:val="24"/>
          <w:lang w:val="en-US"/>
        </w:rPr>
        <w:t xml:space="preserve">raw materials. Indeed, </w:t>
      </w:r>
      <w:r>
        <w:rPr>
          <w:rFonts w:ascii="Times New Roman" w:hAnsi="Times New Roman"/>
          <w:sz w:val="24"/>
          <w:lang w:val="en-US"/>
        </w:rPr>
        <w:t>the</w:t>
      </w:r>
      <w:r w:rsidR="00E26281" w:rsidRPr="00E215E1">
        <w:rPr>
          <w:rFonts w:ascii="Times New Roman" w:hAnsi="Times New Roman"/>
          <w:sz w:val="24"/>
          <w:lang w:val="en-US"/>
        </w:rPr>
        <w:t xml:space="preserve"> development</w:t>
      </w:r>
      <w:r w:rsidR="00FC5FB7" w:rsidRPr="00E215E1">
        <w:rPr>
          <w:rFonts w:ascii="Times New Roman" w:hAnsi="Times New Roman"/>
          <w:sz w:val="24"/>
          <w:lang w:val="en-US"/>
        </w:rPr>
        <w:t xml:space="preserve"> </w:t>
      </w:r>
      <w:r>
        <w:rPr>
          <w:rFonts w:ascii="Times New Roman" w:hAnsi="Times New Roman"/>
          <w:sz w:val="24"/>
          <w:lang w:val="en-US"/>
        </w:rPr>
        <w:t xml:space="preserve">of the market </w:t>
      </w:r>
      <w:r w:rsidR="00AF5F25" w:rsidRPr="00E215E1">
        <w:rPr>
          <w:rFonts w:ascii="Times New Roman" w:hAnsi="Times New Roman"/>
          <w:sz w:val="24"/>
          <w:lang w:val="en-US"/>
        </w:rPr>
        <w:t>might foster</w:t>
      </w:r>
      <w:r w:rsidR="00FC5FB7" w:rsidRPr="00E215E1">
        <w:rPr>
          <w:rFonts w:ascii="Times New Roman" w:hAnsi="Times New Roman"/>
          <w:sz w:val="24"/>
          <w:lang w:val="en-US"/>
        </w:rPr>
        <w:t xml:space="preserve"> companies’</w:t>
      </w:r>
      <w:r w:rsidR="00E26281" w:rsidRPr="00E215E1">
        <w:rPr>
          <w:rFonts w:ascii="Times New Roman" w:hAnsi="Times New Roman"/>
          <w:sz w:val="24"/>
          <w:lang w:val="en-US"/>
        </w:rPr>
        <w:t xml:space="preserve"> incomes through the sale of </w:t>
      </w:r>
      <w:r w:rsidR="006E07D6">
        <w:rPr>
          <w:rFonts w:ascii="Times New Roman" w:hAnsi="Times New Roman"/>
          <w:sz w:val="24"/>
          <w:lang w:val="en-US"/>
        </w:rPr>
        <w:t>secondary raw materials</w:t>
      </w:r>
      <w:r w:rsidR="006E07D6" w:rsidRPr="00E215E1">
        <w:rPr>
          <w:rFonts w:ascii="Times New Roman" w:hAnsi="Times New Roman"/>
          <w:sz w:val="24"/>
          <w:lang w:val="en-US"/>
        </w:rPr>
        <w:t xml:space="preserve"> </w:t>
      </w:r>
      <w:r w:rsidR="00AF5F25" w:rsidRPr="00E215E1">
        <w:rPr>
          <w:rFonts w:ascii="Times New Roman" w:hAnsi="Times New Roman"/>
          <w:sz w:val="24"/>
          <w:lang w:val="en-US"/>
        </w:rPr>
        <w:t>coming from the circular economy phases</w:t>
      </w:r>
      <w:r w:rsidR="00FC5FB7" w:rsidRPr="00E215E1">
        <w:rPr>
          <w:rFonts w:ascii="Times New Roman" w:hAnsi="Times New Roman"/>
          <w:sz w:val="24"/>
          <w:lang w:val="en-US"/>
        </w:rPr>
        <w:t xml:space="preserve">. However, </w:t>
      </w:r>
      <w:r w:rsidR="00AF5F25" w:rsidRPr="00E215E1">
        <w:rPr>
          <w:rFonts w:ascii="Times New Roman" w:hAnsi="Times New Roman"/>
          <w:sz w:val="24"/>
          <w:lang w:val="en-US"/>
        </w:rPr>
        <w:t>it is true that</w:t>
      </w:r>
      <w:r w:rsidR="00FC5FB7" w:rsidRPr="00E215E1">
        <w:rPr>
          <w:rFonts w:ascii="Times New Roman" w:hAnsi="Times New Roman"/>
          <w:sz w:val="24"/>
          <w:lang w:val="en-US"/>
        </w:rPr>
        <w:t xml:space="preserve"> pushing DWC without taking into account several other aspects, </w:t>
      </w:r>
      <w:r>
        <w:rPr>
          <w:rFonts w:ascii="Times New Roman" w:hAnsi="Times New Roman"/>
          <w:sz w:val="24"/>
          <w:lang w:val="en-US"/>
        </w:rPr>
        <w:t>such as</w:t>
      </w:r>
      <w:r w:rsidR="00AF5F25" w:rsidRPr="00E215E1">
        <w:rPr>
          <w:rFonts w:ascii="Times New Roman" w:hAnsi="Times New Roman"/>
          <w:sz w:val="24"/>
          <w:lang w:val="en-US"/>
        </w:rPr>
        <w:t xml:space="preserve"> </w:t>
      </w:r>
      <w:r w:rsidR="00FC5FB7" w:rsidRPr="00E215E1">
        <w:rPr>
          <w:rFonts w:ascii="Times New Roman" w:hAnsi="Times New Roman"/>
          <w:sz w:val="24"/>
          <w:lang w:val="en-US"/>
        </w:rPr>
        <w:t>material innovation and product design</w:t>
      </w:r>
      <w:r w:rsidR="00AF5F25" w:rsidRPr="00E215E1">
        <w:rPr>
          <w:rFonts w:ascii="Times New Roman" w:hAnsi="Times New Roman"/>
          <w:sz w:val="24"/>
          <w:lang w:val="en-US"/>
        </w:rPr>
        <w:t>,</w:t>
      </w:r>
      <w:r w:rsidR="00FC5FB7" w:rsidRPr="00E215E1">
        <w:rPr>
          <w:rFonts w:ascii="Times New Roman" w:hAnsi="Times New Roman"/>
          <w:sz w:val="24"/>
          <w:lang w:val="en-US"/>
        </w:rPr>
        <w:t xml:space="preserve"> is probably not sufficient to realize and implement the EU circular economy strategy in an environmental</w:t>
      </w:r>
      <w:r>
        <w:rPr>
          <w:rFonts w:ascii="Times New Roman" w:hAnsi="Times New Roman"/>
          <w:sz w:val="24"/>
          <w:lang w:val="en-US"/>
        </w:rPr>
        <w:t>ly</w:t>
      </w:r>
      <w:r w:rsidR="00FC5FB7" w:rsidRPr="00E215E1">
        <w:rPr>
          <w:rFonts w:ascii="Times New Roman" w:hAnsi="Times New Roman"/>
          <w:sz w:val="24"/>
          <w:lang w:val="en-US"/>
        </w:rPr>
        <w:t xml:space="preserve"> and economic</w:t>
      </w:r>
      <w:r>
        <w:rPr>
          <w:rFonts w:ascii="Times New Roman" w:hAnsi="Times New Roman"/>
          <w:sz w:val="24"/>
          <w:lang w:val="en-US"/>
        </w:rPr>
        <w:t>ally</w:t>
      </w:r>
      <w:r w:rsidR="00FC5FB7" w:rsidRPr="00E215E1">
        <w:rPr>
          <w:rFonts w:ascii="Times New Roman" w:hAnsi="Times New Roman"/>
          <w:sz w:val="24"/>
          <w:lang w:val="en-US"/>
        </w:rPr>
        <w:t xml:space="preserve"> sustainable way.</w:t>
      </w:r>
    </w:p>
    <w:p w14:paraId="05D6E2BA" w14:textId="7804636B" w:rsidR="009724D8" w:rsidRDefault="00AF5F25" w:rsidP="00D539F1">
      <w:pPr>
        <w:pStyle w:val="TEXT"/>
        <w:spacing w:line="480" w:lineRule="auto"/>
        <w:ind w:firstLine="0"/>
        <w:jc w:val="left"/>
        <w:rPr>
          <w:rFonts w:ascii="Times New Roman" w:hAnsi="Times New Roman"/>
          <w:sz w:val="24"/>
          <w:lang w:val="en-US"/>
        </w:rPr>
      </w:pPr>
      <w:r w:rsidRPr="00E215E1">
        <w:rPr>
          <w:rFonts w:ascii="Times New Roman" w:hAnsi="Times New Roman"/>
          <w:sz w:val="24"/>
          <w:lang w:val="en-US"/>
        </w:rPr>
        <w:t xml:space="preserve">In this respect, </w:t>
      </w:r>
      <w:r w:rsidR="00B46739">
        <w:rPr>
          <w:rFonts w:ascii="Times New Roman" w:hAnsi="Times New Roman"/>
          <w:sz w:val="24"/>
          <w:lang w:val="en-US"/>
        </w:rPr>
        <w:t xml:space="preserve">the characteristics of the indicators, along with the empirical </w:t>
      </w:r>
      <w:r w:rsidRPr="00E215E1">
        <w:rPr>
          <w:rFonts w:ascii="Times New Roman" w:hAnsi="Times New Roman"/>
          <w:sz w:val="24"/>
          <w:lang w:val="en-US"/>
        </w:rPr>
        <w:t>results here presented</w:t>
      </w:r>
      <w:r w:rsidR="00360220">
        <w:rPr>
          <w:rFonts w:ascii="Times New Roman" w:hAnsi="Times New Roman"/>
          <w:sz w:val="24"/>
          <w:lang w:val="en-US"/>
        </w:rPr>
        <w:t>,</w:t>
      </w:r>
      <w:r w:rsidR="00CE641F" w:rsidRPr="00E215E1">
        <w:rPr>
          <w:rFonts w:ascii="Times New Roman" w:hAnsi="Times New Roman"/>
          <w:sz w:val="24"/>
          <w:lang w:val="en-US"/>
        </w:rPr>
        <w:t xml:space="preserve"> </w:t>
      </w:r>
      <w:r w:rsidR="00360220">
        <w:rPr>
          <w:rFonts w:ascii="Times New Roman" w:hAnsi="Times New Roman"/>
          <w:sz w:val="24"/>
          <w:lang w:val="en-US"/>
        </w:rPr>
        <w:t>could</w:t>
      </w:r>
      <w:r w:rsidR="00360220" w:rsidRPr="00E215E1">
        <w:rPr>
          <w:rFonts w:ascii="Times New Roman" w:hAnsi="Times New Roman"/>
          <w:sz w:val="24"/>
          <w:lang w:val="en-US"/>
        </w:rPr>
        <w:t xml:space="preserve"> </w:t>
      </w:r>
      <w:r w:rsidR="00517265" w:rsidRPr="00E215E1">
        <w:rPr>
          <w:rFonts w:ascii="Times New Roman" w:hAnsi="Times New Roman"/>
          <w:sz w:val="24"/>
          <w:lang w:val="en-US"/>
        </w:rPr>
        <w:t>guide</w:t>
      </w:r>
      <w:r w:rsidR="00CE641F" w:rsidRPr="00E215E1">
        <w:rPr>
          <w:rFonts w:ascii="Times New Roman" w:hAnsi="Times New Roman"/>
          <w:sz w:val="24"/>
          <w:lang w:val="en-US"/>
        </w:rPr>
        <w:t xml:space="preserve"> policy</w:t>
      </w:r>
      <w:r w:rsidR="00CA0D5F">
        <w:rPr>
          <w:rFonts w:ascii="Times New Roman" w:hAnsi="Times New Roman"/>
          <w:sz w:val="24"/>
          <w:lang w:val="en-US"/>
        </w:rPr>
        <w:t>-</w:t>
      </w:r>
      <w:r w:rsidR="00CE641F" w:rsidRPr="00E215E1">
        <w:rPr>
          <w:rFonts w:ascii="Times New Roman" w:hAnsi="Times New Roman"/>
          <w:sz w:val="24"/>
          <w:lang w:val="en-US"/>
        </w:rPr>
        <w:t>makers</w:t>
      </w:r>
      <w:r w:rsidRPr="00E215E1">
        <w:rPr>
          <w:rFonts w:ascii="Times New Roman" w:hAnsi="Times New Roman"/>
          <w:sz w:val="24"/>
          <w:lang w:val="en-US"/>
        </w:rPr>
        <w:t>,</w:t>
      </w:r>
      <w:r w:rsidR="00CE641F" w:rsidRPr="00E215E1">
        <w:rPr>
          <w:rFonts w:ascii="Times New Roman" w:hAnsi="Times New Roman"/>
          <w:sz w:val="24"/>
          <w:lang w:val="en-US"/>
        </w:rPr>
        <w:t xml:space="preserve"> governments</w:t>
      </w:r>
      <w:r w:rsidRPr="00E215E1">
        <w:rPr>
          <w:rFonts w:ascii="Times New Roman" w:hAnsi="Times New Roman"/>
          <w:sz w:val="24"/>
          <w:lang w:val="en-US"/>
        </w:rPr>
        <w:t xml:space="preserve"> and </w:t>
      </w:r>
      <w:r w:rsidR="00360220">
        <w:rPr>
          <w:rFonts w:ascii="Times New Roman" w:hAnsi="Times New Roman"/>
          <w:sz w:val="24"/>
          <w:lang w:val="en-US"/>
        </w:rPr>
        <w:t>companies</w:t>
      </w:r>
      <w:r w:rsidR="00DB27E4">
        <w:rPr>
          <w:rFonts w:ascii="Times New Roman" w:hAnsi="Times New Roman"/>
          <w:sz w:val="24"/>
          <w:lang w:val="en-US"/>
        </w:rPr>
        <w:t>.</w:t>
      </w:r>
      <w:r w:rsidRPr="00E215E1">
        <w:rPr>
          <w:rFonts w:ascii="Times New Roman" w:hAnsi="Times New Roman"/>
          <w:sz w:val="24"/>
          <w:lang w:val="en-US"/>
        </w:rPr>
        <w:t xml:space="preserve"> </w:t>
      </w:r>
      <w:r w:rsidR="00DB27E4">
        <w:rPr>
          <w:rFonts w:ascii="Times New Roman" w:hAnsi="Times New Roman"/>
          <w:sz w:val="24"/>
          <w:lang w:val="en-US"/>
        </w:rPr>
        <w:t>T</w:t>
      </w:r>
      <w:r w:rsidRPr="00E215E1">
        <w:rPr>
          <w:rFonts w:ascii="Times New Roman" w:hAnsi="Times New Roman"/>
          <w:sz w:val="24"/>
          <w:lang w:val="en-US"/>
        </w:rPr>
        <w:t xml:space="preserve">he achievement of EU targets of sustainability and of circular economy principles is constrained </w:t>
      </w:r>
      <w:r w:rsidR="00DB27E4">
        <w:rPr>
          <w:rFonts w:ascii="Times New Roman" w:hAnsi="Times New Roman"/>
          <w:sz w:val="24"/>
          <w:lang w:val="en-US"/>
        </w:rPr>
        <w:t>by</w:t>
      </w:r>
      <w:r w:rsidR="00DB27E4" w:rsidRPr="00E215E1">
        <w:rPr>
          <w:rFonts w:ascii="Times New Roman" w:hAnsi="Times New Roman"/>
          <w:sz w:val="24"/>
          <w:lang w:val="en-US"/>
        </w:rPr>
        <w:t xml:space="preserve"> </w:t>
      </w:r>
      <w:r w:rsidRPr="00E215E1">
        <w:rPr>
          <w:rFonts w:ascii="Times New Roman" w:hAnsi="Times New Roman"/>
          <w:sz w:val="24"/>
          <w:lang w:val="en-US"/>
        </w:rPr>
        <w:t>investment</w:t>
      </w:r>
      <w:r w:rsidR="00CE641F" w:rsidRPr="00E215E1">
        <w:rPr>
          <w:rFonts w:ascii="Times New Roman" w:hAnsi="Times New Roman"/>
          <w:sz w:val="24"/>
          <w:lang w:val="en-US"/>
        </w:rPr>
        <w:t xml:space="preserve"> </w:t>
      </w:r>
      <w:r w:rsidR="00CE641F" w:rsidRPr="00E215E1">
        <w:rPr>
          <w:rFonts w:ascii="Times New Roman" w:hAnsi="Times New Roman"/>
          <w:sz w:val="24"/>
          <w:lang w:val="en-US"/>
        </w:rPr>
        <w:lastRenderedPageBreak/>
        <w:t xml:space="preserve">resources supporting </w:t>
      </w:r>
      <w:r w:rsidR="00E10B89" w:rsidRPr="00E215E1">
        <w:rPr>
          <w:rFonts w:ascii="Times New Roman" w:hAnsi="Times New Roman"/>
          <w:sz w:val="24"/>
          <w:lang w:val="en-US"/>
        </w:rPr>
        <w:t xml:space="preserve">innovative </w:t>
      </w:r>
      <w:r w:rsidRPr="00E215E1">
        <w:rPr>
          <w:rFonts w:ascii="Times New Roman" w:hAnsi="Times New Roman"/>
          <w:sz w:val="24"/>
          <w:lang w:val="en-US"/>
        </w:rPr>
        <w:t xml:space="preserve">WM </w:t>
      </w:r>
      <w:r w:rsidR="00360220">
        <w:rPr>
          <w:rFonts w:ascii="Times New Roman" w:hAnsi="Times New Roman"/>
          <w:sz w:val="24"/>
          <w:lang w:val="en-US"/>
        </w:rPr>
        <w:t>processes</w:t>
      </w:r>
      <w:r w:rsidR="00360220" w:rsidRPr="00E215E1">
        <w:rPr>
          <w:rFonts w:ascii="Times New Roman" w:hAnsi="Times New Roman"/>
          <w:sz w:val="24"/>
          <w:lang w:val="en-US"/>
        </w:rPr>
        <w:t xml:space="preserve"> </w:t>
      </w:r>
      <w:r w:rsidRPr="00E215E1">
        <w:rPr>
          <w:rFonts w:ascii="Times New Roman" w:hAnsi="Times New Roman"/>
          <w:sz w:val="24"/>
          <w:lang w:val="en-US"/>
        </w:rPr>
        <w:t xml:space="preserve">and </w:t>
      </w:r>
      <w:r w:rsidR="00AA42AE" w:rsidRPr="00E215E1">
        <w:rPr>
          <w:rFonts w:ascii="Times New Roman" w:hAnsi="Times New Roman"/>
          <w:sz w:val="24"/>
          <w:lang w:val="en-US"/>
        </w:rPr>
        <w:t xml:space="preserve">fostering </w:t>
      </w:r>
      <w:r w:rsidR="00DB27E4">
        <w:rPr>
          <w:rFonts w:ascii="Times New Roman" w:hAnsi="Times New Roman"/>
          <w:sz w:val="24"/>
          <w:lang w:val="en-US"/>
        </w:rPr>
        <w:t>research and development</w:t>
      </w:r>
      <w:r w:rsidR="00AA42AE" w:rsidRPr="00E215E1">
        <w:rPr>
          <w:rFonts w:ascii="Times New Roman" w:hAnsi="Times New Roman"/>
          <w:sz w:val="24"/>
          <w:lang w:val="en-US"/>
        </w:rPr>
        <w:t xml:space="preserve"> in new materials and</w:t>
      </w:r>
      <w:r w:rsidR="00360220">
        <w:rPr>
          <w:rFonts w:ascii="Times New Roman" w:hAnsi="Times New Roman"/>
          <w:sz w:val="24"/>
          <w:lang w:val="en-US"/>
        </w:rPr>
        <w:t xml:space="preserve"> recycling activities</w:t>
      </w:r>
      <w:r w:rsidR="00AA42AE" w:rsidRPr="00E215E1">
        <w:rPr>
          <w:rFonts w:ascii="Times New Roman" w:hAnsi="Times New Roman"/>
          <w:sz w:val="24"/>
          <w:lang w:val="en-US"/>
        </w:rPr>
        <w:t>.</w:t>
      </w:r>
      <w:r w:rsidR="00CE641F" w:rsidRPr="00E215E1">
        <w:rPr>
          <w:rFonts w:ascii="Times New Roman" w:hAnsi="Times New Roman"/>
          <w:sz w:val="24"/>
          <w:lang w:val="en-US"/>
        </w:rPr>
        <w:t xml:space="preserve"> </w:t>
      </w:r>
    </w:p>
    <w:p w14:paraId="32DD7E44" w14:textId="77777777" w:rsidR="00353093" w:rsidRPr="00E215E1" w:rsidRDefault="00353093" w:rsidP="00D539F1">
      <w:pPr>
        <w:pStyle w:val="TEXT"/>
        <w:spacing w:line="480" w:lineRule="auto"/>
        <w:ind w:firstLine="0"/>
        <w:jc w:val="left"/>
        <w:rPr>
          <w:rFonts w:ascii="Times New Roman" w:hAnsi="Times New Roman"/>
          <w:sz w:val="24"/>
          <w:lang w:val="en-US"/>
        </w:rPr>
      </w:pPr>
    </w:p>
    <w:p w14:paraId="0C5DF342" w14:textId="77777777" w:rsidR="00AA42AE" w:rsidRPr="00E215E1" w:rsidRDefault="00AA42AE" w:rsidP="00D539F1">
      <w:pPr>
        <w:pStyle w:val="TITLE2"/>
        <w:spacing w:before="0" w:after="0" w:line="480" w:lineRule="auto"/>
        <w:jc w:val="left"/>
        <w:rPr>
          <w:rFonts w:ascii="Times New Roman" w:hAnsi="Times New Roman"/>
          <w:sz w:val="24"/>
        </w:rPr>
      </w:pPr>
    </w:p>
    <w:p w14:paraId="1A311561" w14:textId="5B66EB51" w:rsidR="00AA42AE" w:rsidRPr="00E215E1" w:rsidRDefault="00667004" w:rsidP="00D539F1">
      <w:pPr>
        <w:pStyle w:val="TITLE2"/>
        <w:spacing w:before="0" w:after="0" w:line="480" w:lineRule="auto"/>
        <w:jc w:val="left"/>
        <w:rPr>
          <w:rFonts w:ascii="Times New Roman" w:hAnsi="Times New Roman"/>
          <w:sz w:val="24"/>
        </w:rPr>
      </w:pPr>
      <w:r>
        <w:rPr>
          <w:rFonts w:ascii="Times New Roman" w:hAnsi="Times New Roman"/>
          <w:sz w:val="24"/>
        </w:rPr>
        <w:t>5</w:t>
      </w:r>
      <w:r w:rsidR="00CB6FA4" w:rsidRPr="00E215E1">
        <w:rPr>
          <w:rFonts w:ascii="Times New Roman" w:hAnsi="Times New Roman"/>
          <w:sz w:val="24"/>
        </w:rPr>
        <w:t>. CONCLUSIONS</w:t>
      </w:r>
    </w:p>
    <w:p w14:paraId="65FCDF2D" w14:textId="39149C14" w:rsidR="00FE3845" w:rsidRDefault="00067872" w:rsidP="00FE3845">
      <w:pPr>
        <w:pStyle w:val="TEXT"/>
        <w:spacing w:line="480" w:lineRule="auto"/>
        <w:ind w:firstLine="0"/>
        <w:rPr>
          <w:rFonts w:ascii="Times New Roman" w:hAnsi="Times New Roman"/>
          <w:sz w:val="24"/>
          <w:lang w:val="en-US"/>
        </w:rPr>
      </w:pPr>
      <w:r>
        <w:rPr>
          <w:rFonts w:ascii="Times New Roman" w:hAnsi="Times New Roman"/>
          <w:sz w:val="24"/>
          <w:lang w:val="en-US"/>
        </w:rPr>
        <w:t xml:space="preserve">WM companies </w:t>
      </w:r>
      <w:r w:rsidR="0090022B">
        <w:rPr>
          <w:rFonts w:ascii="Times New Roman" w:hAnsi="Times New Roman"/>
          <w:sz w:val="24"/>
          <w:lang w:val="en-US"/>
        </w:rPr>
        <w:t>must increasingly m</w:t>
      </w:r>
      <w:r>
        <w:rPr>
          <w:rFonts w:ascii="Times New Roman" w:hAnsi="Times New Roman"/>
          <w:sz w:val="24"/>
          <w:lang w:val="en-US"/>
        </w:rPr>
        <w:t xml:space="preserve">ake decisions </w:t>
      </w:r>
      <w:r w:rsidRPr="00067872">
        <w:rPr>
          <w:rFonts w:ascii="Times New Roman" w:hAnsi="Times New Roman"/>
          <w:sz w:val="24"/>
          <w:lang w:val="en-US"/>
        </w:rPr>
        <w:t>that</w:t>
      </w:r>
      <w:r>
        <w:rPr>
          <w:rFonts w:ascii="Times New Roman" w:hAnsi="Times New Roman"/>
          <w:sz w:val="24"/>
          <w:lang w:val="en-US"/>
        </w:rPr>
        <w:t xml:space="preserve">, in addition </w:t>
      </w:r>
      <w:r w:rsidRPr="00067872">
        <w:rPr>
          <w:rFonts w:ascii="Times New Roman" w:hAnsi="Times New Roman"/>
          <w:sz w:val="24"/>
          <w:lang w:val="en-US"/>
        </w:rPr>
        <w:t xml:space="preserve">to economic convenience, </w:t>
      </w:r>
      <w:r w:rsidR="0090022B">
        <w:rPr>
          <w:rFonts w:ascii="Times New Roman" w:hAnsi="Times New Roman"/>
          <w:sz w:val="24"/>
          <w:lang w:val="en-US"/>
        </w:rPr>
        <w:t>must</w:t>
      </w:r>
      <w:r>
        <w:rPr>
          <w:rFonts w:ascii="Times New Roman" w:hAnsi="Times New Roman"/>
          <w:sz w:val="24"/>
          <w:lang w:val="en-US"/>
        </w:rPr>
        <w:t xml:space="preserve"> consider </w:t>
      </w:r>
      <w:r w:rsidRPr="00067872">
        <w:rPr>
          <w:rFonts w:ascii="Times New Roman" w:hAnsi="Times New Roman"/>
          <w:sz w:val="24"/>
          <w:lang w:val="en-US"/>
        </w:rPr>
        <w:t xml:space="preserve">environmental and social sustainability </w:t>
      </w:r>
      <w:r>
        <w:rPr>
          <w:rFonts w:ascii="Times New Roman" w:hAnsi="Times New Roman"/>
          <w:sz w:val="24"/>
          <w:lang w:val="en-US"/>
        </w:rPr>
        <w:t xml:space="preserve">issues. </w:t>
      </w:r>
      <w:r w:rsidR="00134BC6">
        <w:rPr>
          <w:rFonts w:ascii="Times New Roman" w:hAnsi="Times New Roman"/>
          <w:sz w:val="24"/>
          <w:lang w:val="en-US"/>
        </w:rPr>
        <w:t>In this paper</w:t>
      </w:r>
      <w:r w:rsidR="0090022B">
        <w:rPr>
          <w:rFonts w:ascii="Times New Roman" w:hAnsi="Times New Roman"/>
          <w:sz w:val="24"/>
          <w:lang w:val="en-US"/>
        </w:rPr>
        <w:t>,</w:t>
      </w:r>
      <w:r w:rsidR="00134BC6">
        <w:rPr>
          <w:rFonts w:ascii="Times New Roman" w:hAnsi="Times New Roman"/>
          <w:sz w:val="24"/>
          <w:lang w:val="en-US"/>
        </w:rPr>
        <w:t xml:space="preserve"> </w:t>
      </w:r>
      <w:r w:rsidR="002C6E9F" w:rsidRPr="002C6E9F">
        <w:rPr>
          <w:rFonts w:ascii="Times New Roman" w:hAnsi="Times New Roman"/>
          <w:sz w:val="24"/>
          <w:lang w:val="en-US"/>
        </w:rPr>
        <w:t xml:space="preserve">a new indicator </w:t>
      </w:r>
      <w:r w:rsidR="0090022B">
        <w:rPr>
          <w:rFonts w:ascii="Times New Roman" w:hAnsi="Times New Roman"/>
          <w:sz w:val="24"/>
          <w:lang w:val="en-US"/>
        </w:rPr>
        <w:t xml:space="preserve">was developed </w:t>
      </w:r>
      <w:r w:rsidR="002C6E9F" w:rsidRPr="002C6E9F">
        <w:rPr>
          <w:rFonts w:ascii="Times New Roman" w:hAnsi="Times New Roman"/>
          <w:sz w:val="24"/>
          <w:lang w:val="en-US"/>
        </w:rPr>
        <w:t xml:space="preserve">to evaluate the economic efficiency level that WM companies may achieve </w:t>
      </w:r>
      <w:r w:rsidR="0090022B">
        <w:rPr>
          <w:rFonts w:ascii="Times New Roman" w:hAnsi="Times New Roman"/>
          <w:sz w:val="24"/>
          <w:lang w:val="en-US"/>
        </w:rPr>
        <w:t xml:space="preserve">by </w:t>
      </w:r>
      <w:r w:rsidR="002C6E9F" w:rsidRPr="002C6E9F">
        <w:rPr>
          <w:rFonts w:ascii="Times New Roman" w:hAnsi="Times New Roman"/>
          <w:sz w:val="24"/>
          <w:lang w:val="en-US"/>
        </w:rPr>
        <w:t xml:space="preserve">exploiting DWC. Indeed, a general procedure for measuring the income opportunities that also includes an environmental perspective was proposed. </w:t>
      </w:r>
      <w:r w:rsidR="005D7E05" w:rsidRPr="00E215E1">
        <w:rPr>
          <w:rFonts w:ascii="Times New Roman" w:hAnsi="Times New Roman"/>
          <w:sz w:val="24"/>
          <w:lang w:val="en-US"/>
        </w:rPr>
        <w:t>To obtain the indicator</w:t>
      </w:r>
      <w:r w:rsidR="0090022B">
        <w:rPr>
          <w:rFonts w:ascii="Times New Roman" w:hAnsi="Times New Roman"/>
          <w:sz w:val="24"/>
          <w:lang w:val="en-US"/>
        </w:rPr>
        <w:t xml:space="preserve">, </w:t>
      </w:r>
      <w:r w:rsidR="005D7E05" w:rsidRPr="00E215E1">
        <w:rPr>
          <w:rFonts w:ascii="Times New Roman" w:hAnsi="Times New Roman"/>
          <w:sz w:val="24"/>
          <w:lang w:val="en-US"/>
        </w:rPr>
        <w:t>a</w:t>
      </w:r>
      <w:r w:rsidR="005531A8" w:rsidRPr="00E215E1">
        <w:rPr>
          <w:rFonts w:ascii="Times New Roman" w:hAnsi="Times New Roman"/>
          <w:sz w:val="24"/>
          <w:lang w:val="en-US"/>
        </w:rPr>
        <w:t xml:space="preserve"> rank-size analysis</w:t>
      </w:r>
      <w:r w:rsidR="002C6E9F">
        <w:rPr>
          <w:rFonts w:ascii="Times New Roman" w:hAnsi="Times New Roman"/>
          <w:sz w:val="24"/>
          <w:lang w:val="en-US"/>
        </w:rPr>
        <w:t xml:space="preserve"> was used</w:t>
      </w:r>
      <w:r w:rsidR="00262C00">
        <w:rPr>
          <w:rFonts w:ascii="Times New Roman" w:hAnsi="Times New Roman"/>
          <w:sz w:val="24"/>
          <w:lang w:val="en-US"/>
        </w:rPr>
        <w:t>:</w:t>
      </w:r>
      <w:r w:rsidR="005531A8" w:rsidRPr="00E215E1">
        <w:rPr>
          <w:rFonts w:ascii="Times New Roman" w:hAnsi="Times New Roman"/>
          <w:sz w:val="24"/>
          <w:lang w:val="en-US"/>
        </w:rPr>
        <w:t xml:space="preserve"> </w:t>
      </w:r>
      <w:r w:rsidR="00AA42AE" w:rsidRPr="00E215E1">
        <w:rPr>
          <w:rFonts w:ascii="Times New Roman" w:hAnsi="Times New Roman"/>
          <w:sz w:val="24"/>
          <w:lang w:val="en-US"/>
        </w:rPr>
        <w:t>a methodological</w:t>
      </w:r>
      <w:r w:rsidR="005D7E05" w:rsidRPr="00E215E1">
        <w:rPr>
          <w:rFonts w:ascii="Times New Roman" w:hAnsi="Times New Roman"/>
          <w:sz w:val="24"/>
          <w:lang w:val="en-US"/>
        </w:rPr>
        <w:t xml:space="preserve"> tool that </w:t>
      </w:r>
      <w:r w:rsidR="00591F0A">
        <w:rPr>
          <w:rFonts w:ascii="Times New Roman" w:hAnsi="Times New Roman"/>
          <w:sz w:val="24"/>
          <w:lang w:val="en-US"/>
        </w:rPr>
        <w:t>offer</w:t>
      </w:r>
      <w:r w:rsidR="00990A2A">
        <w:rPr>
          <w:rFonts w:ascii="Times New Roman" w:hAnsi="Times New Roman"/>
          <w:sz w:val="24"/>
          <w:lang w:val="en-US"/>
        </w:rPr>
        <w:t>s</w:t>
      </w:r>
      <w:r w:rsidR="005D7E05" w:rsidRPr="00E215E1">
        <w:rPr>
          <w:rFonts w:ascii="Times New Roman" w:hAnsi="Times New Roman"/>
          <w:sz w:val="24"/>
          <w:lang w:val="en-US"/>
        </w:rPr>
        <w:t xml:space="preserve"> a </w:t>
      </w:r>
      <w:r w:rsidR="00AA42AE" w:rsidRPr="00E215E1">
        <w:rPr>
          <w:rFonts w:ascii="Times New Roman" w:hAnsi="Times New Roman"/>
          <w:sz w:val="24"/>
          <w:lang w:val="en-US"/>
        </w:rPr>
        <w:t xml:space="preserve">complete description of the relationship between </w:t>
      </w:r>
      <w:r w:rsidR="00990A2A">
        <w:rPr>
          <w:rFonts w:ascii="Times New Roman" w:hAnsi="Times New Roman"/>
          <w:sz w:val="24"/>
          <w:lang w:val="en-US"/>
        </w:rPr>
        <w:t xml:space="preserve">the </w:t>
      </w:r>
      <w:r w:rsidR="00FE1182" w:rsidRPr="00E215E1">
        <w:rPr>
          <w:rFonts w:ascii="Times New Roman" w:hAnsi="Times New Roman"/>
          <w:sz w:val="24"/>
          <w:lang w:val="en-US"/>
        </w:rPr>
        <w:t xml:space="preserve">economic and </w:t>
      </w:r>
      <w:r w:rsidR="002977EB" w:rsidRPr="00E215E1">
        <w:rPr>
          <w:rFonts w:ascii="Times New Roman" w:hAnsi="Times New Roman"/>
          <w:sz w:val="24"/>
          <w:lang w:val="en-US"/>
        </w:rPr>
        <w:t>environmental</w:t>
      </w:r>
      <w:r w:rsidR="00FE1182" w:rsidRPr="00E215E1">
        <w:rPr>
          <w:rFonts w:ascii="Times New Roman" w:hAnsi="Times New Roman"/>
          <w:sz w:val="24"/>
          <w:lang w:val="en-US"/>
        </w:rPr>
        <w:t xml:space="preserve"> dimension</w:t>
      </w:r>
      <w:r w:rsidR="00990A2A">
        <w:rPr>
          <w:rFonts w:ascii="Times New Roman" w:hAnsi="Times New Roman"/>
          <w:sz w:val="24"/>
          <w:lang w:val="en-US"/>
        </w:rPr>
        <w:t>s</w:t>
      </w:r>
      <w:r w:rsidR="00FE1182" w:rsidRPr="00E215E1">
        <w:rPr>
          <w:rFonts w:ascii="Times New Roman" w:hAnsi="Times New Roman"/>
          <w:sz w:val="24"/>
          <w:lang w:val="en-US"/>
        </w:rPr>
        <w:t xml:space="preserve"> of </w:t>
      </w:r>
      <w:r w:rsidR="00AA42AE" w:rsidRPr="00E215E1">
        <w:rPr>
          <w:rFonts w:ascii="Times New Roman" w:hAnsi="Times New Roman"/>
          <w:sz w:val="24"/>
          <w:lang w:val="en-US"/>
        </w:rPr>
        <w:t>DWC.</w:t>
      </w:r>
      <w:r w:rsidR="00841553" w:rsidRPr="00E215E1">
        <w:rPr>
          <w:rFonts w:ascii="Times New Roman" w:hAnsi="Times New Roman"/>
          <w:sz w:val="24"/>
          <w:lang w:val="en-US"/>
        </w:rPr>
        <w:t xml:space="preserve"> </w:t>
      </w:r>
    </w:p>
    <w:p w14:paraId="2976E00F" w14:textId="6FD049A0" w:rsidR="00591F0A" w:rsidRDefault="00321095" w:rsidP="00353093">
      <w:pPr>
        <w:pStyle w:val="TEXT"/>
        <w:spacing w:line="480" w:lineRule="auto"/>
        <w:ind w:firstLine="0"/>
        <w:jc w:val="left"/>
        <w:rPr>
          <w:rFonts w:ascii="Times New Roman" w:hAnsi="Times New Roman"/>
          <w:sz w:val="24"/>
          <w:lang w:val="en-US"/>
        </w:rPr>
      </w:pPr>
      <w:r>
        <w:rPr>
          <w:rFonts w:ascii="Times New Roman" w:hAnsi="Times New Roman"/>
          <w:sz w:val="24"/>
          <w:lang w:val="en-US"/>
        </w:rPr>
        <w:t>T</w:t>
      </w:r>
      <w:r w:rsidR="00D4475E" w:rsidRPr="00C07BD0">
        <w:rPr>
          <w:rFonts w:ascii="Times New Roman" w:hAnsi="Times New Roman"/>
          <w:sz w:val="24"/>
          <w:lang w:val="en-US"/>
        </w:rPr>
        <w:t xml:space="preserve">he proposed </w:t>
      </w:r>
      <w:r>
        <w:rPr>
          <w:rFonts w:ascii="Times New Roman" w:hAnsi="Times New Roman"/>
          <w:sz w:val="24"/>
          <w:lang w:val="en-US"/>
        </w:rPr>
        <w:t>methodology</w:t>
      </w:r>
      <w:r w:rsidR="00D4475E" w:rsidRPr="00C07BD0">
        <w:rPr>
          <w:rFonts w:ascii="Times New Roman" w:hAnsi="Times New Roman"/>
          <w:sz w:val="24"/>
          <w:lang w:val="en-US"/>
        </w:rPr>
        <w:t xml:space="preserve"> leads to a systemic </w:t>
      </w:r>
      <w:r w:rsidR="00134BC6">
        <w:rPr>
          <w:rFonts w:ascii="Times New Roman" w:hAnsi="Times New Roman"/>
          <w:sz w:val="24"/>
          <w:lang w:val="en-US"/>
        </w:rPr>
        <w:t>indicator</w:t>
      </w:r>
      <w:r w:rsidR="00D4475E" w:rsidRPr="00C07BD0">
        <w:rPr>
          <w:rFonts w:ascii="Times New Roman" w:hAnsi="Times New Roman"/>
          <w:sz w:val="24"/>
          <w:lang w:val="en-US"/>
        </w:rPr>
        <w:t xml:space="preserve"> that is </w:t>
      </w:r>
      <w:r w:rsidR="00F55B3B" w:rsidRPr="00C07BD0">
        <w:rPr>
          <w:rFonts w:ascii="Times New Roman" w:hAnsi="Times New Roman"/>
          <w:sz w:val="24"/>
          <w:lang w:val="en-US"/>
        </w:rPr>
        <w:t xml:space="preserve">interesting because </w:t>
      </w:r>
      <w:r w:rsidR="00D4475E" w:rsidRPr="00C07BD0">
        <w:rPr>
          <w:rFonts w:ascii="Times New Roman" w:hAnsi="Times New Roman"/>
          <w:sz w:val="24"/>
          <w:lang w:val="en-US"/>
        </w:rPr>
        <w:t xml:space="preserve">it allows </w:t>
      </w:r>
      <w:r w:rsidR="00990A2A">
        <w:rPr>
          <w:rFonts w:ascii="Times New Roman" w:hAnsi="Times New Roman"/>
          <w:sz w:val="24"/>
          <w:lang w:val="en-US"/>
        </w:rPr>
        <w:t>the</w:t>
      </w:r>
      <w:r w:rsidR="00F55B3B" w:rsidRPr="00C07BD0">
        <w:rPr>
          <w:rFonts w:ascii="Times New Roman" w:hAnsi="Times New Roman"/>
          <w:sz w:val="24"/>
          <w:lang w:val="en-US"/>
        </w:rPr>
        <w:t xml:space="preserve"> measure</w:t>
      </w:r>
      <w:r w:rsidR="00990A2A">
        <w:rPr>
          <w:rFonts w:ascii="Times New Roman" w:hAnsi="Times New Roman"/>
          <w:sz w:val="24"/>
          <w:lang w:val="en-US"/>
        </w:rPr>
        <w:t>ment</w:t>
      </w:r>
      <w:r w:rsidR="00F55B3B" w:rsidRPr="00C07BD0">
        <w:rPr>
          <w:rFonts w:ascii="Times New Roman" w:hAnsi="Times New Roman"/>
          <w:sz w:val="24"/>
          <w:lang w:val="en-US"/>
        </w:rPr>
        <w:t xml:space="preserve"> </w:t>
      </w:r>
      <w:r w:rsidR="00990A2A">
        <w:rPr>
          <w:rFonts w:ascii="Times New Roman" w:hAnsi="Times New Roman"/>
          <w:sz w:val="24"/>
          <w:lang w:val="en-US"/>
        </w:rPr>
        <w:t xml:space="preserve">of </w:t>
      </w:r>
      <w:r w:rsidR="00F55B3B" w:rsidRPr="00C07BD0">
        <w:rPr>
          <w:rFonts w:ascii="Times New Roman" w:hAnsi="Times New Roman"/>
          <w:sz w:val="24"/>
          <w:lang w:val="en-US"/>
        </w:rPr>
        <w:t>the</w:t>
      </w:r>
      <w:r w:rsidR="001D43FA" w:rsidRPr="00C07BD0">
        <w:rPr>
          <w:rFonts w:ascii="Times New Roman" w:hAnsi="Times New Roman"/>
          <w:sz w:val="24"/>
          <w:lang w:val="en-US"/>
        </w:rPr>
        <w:t xml:space="preserve"> economic</w:t>
      </w:r>
      <w:r w:rsidR="00D4475E" w:rsidRPr="00C07BD0">
        <w:rPr>
          <w:rFonts w:ascii="Times New Roman" w:hAnsi="Times New Roman"/>
          <w:sz w:val="24"/>
          <w:lang w:val="en-US"/>
        </w:rPr>
        <w:t xml:space="preserve"> </w:t>
      </w:r>
      <w:r w:rsidR="00F55B3B" w:rsidRPr="00C07BD0">
        <w:rPr>
          <w:rFonts w:ascii="Times New Roman" w:hAnsi="Times New Roman"/>
          <w:sz w:val="24"/>
          <w:lang w:val="en-US"/>
        </w:rPr>
        <w:t>efficiency level</w:t>
      </w:r>
      <w:r w:rsidR="00134BC6">
        <w:rPr>
          <w:rFonts w:ascii="Times New Roman" w:hAnsi="Times New Roman"/>
          <w:sz w:val="24"/>
          <w:lang w:val="en-US"/>
        </w:rPr>
        <w:t xml:space="preserve"> achieved by</w:t>
      </w:r>
      <w:r w:rsidR="00F55B3B" w:rsidRPr="00C07BD0">
        <w:rPr>
          <w:rFonts w:ascii="Times New Roman" w:hAnsi="Times New Roman"/>
          <w:sz w:val="24"/>
          <w:lang w:val="en-US"/>
        </w:rPr>
        <w:t xml:space="preserve"> </w:t>
      </w:r>
      <w:r w:rsidR="001D43FA" w:rsidRPr="00C07BD0">
        <w:rPr>
          <w:rFonts w:ascii="Times New Roman" w:hAnsi="Times New Roman"/>
          <w:sz w:val="24"/>
          <w:lang w:val="en-US"/>
        </w:rPr>
        <w:t>WM</w:t>
      </w:r>
      <w:r w:rsidR="00F55B3B" w:rsidRPr="00C07BD0">
        <w:rPr>
          <w:rFonts w:ascii="Times New Roman" w:hAnsi="Times New Roman"/>
          <w:sz w:val="24"/>
          <w:lang w:val="en-US"/>
        </w:rPr>
        <w:t xml:space="preserve"> companies in carrying out </w:t>
      </w:r>
      <w:r w:rsidR="001D43FA" w:rsidRPr="00C07BD0">
        <w:rPr>
          <w:rFonts w:ascii="Times New Roman" w:hAnsi="Times New Roman"/>
          <w:sz w:val="24"/>
          <w:lang w:val="en-US"/>
        </w:rPr>
        <w:t xml:space="preserve">their </w:t>
      </w:r>
      <w:r w:rsidR="00F55B3B" w:rsidRPr="00C07BD0">
        <w:rPr>
          <w:rFonts w:ascii="Times New Roman" w:hAnsi="Times New Roman"/>
          <w:sz w:val="24"/>
          <w:lang w:val="en-US"/>
        </w:rPr>
        <w:t>activities</w:t>
      </w:r>
      <w:r w:rsidR="00134BC6">
        <w:rPr>
          <w:rFonts w:ascii="Times New Roman" w:hAnsi="Times New Roman"/>
          <w:sz w:val="24"/>
          <w:lang w:val="en-US"/>
        </w:rPr>
        <w:t>,</w:t>
      </w:r>
      <w:r w:rsidR="002878CF" w:rsidRPr="00C07BD0">
        <w:rPr>
          <w:rFonts w:ascii="Times New Roman" w:hAnsi="Times New Roman"/>
          <w:sz w:val="24"/>
          <w:lang w:val="en-US"/>
        </w:rPr>
        <w:t xml:space="preserve"> </w:t>
      </w:r>
      <w:r w:rsidR="00990A2A">
        <w:rPr>
          <w:rFonts w:ascii="Times New Roman" w:hAnsi="Times New Roman"/>
          <w:sz w:val="24"/>
          <w:lang w:val="en-US"/>
        </w:rPr>
        <w:t xml:space="preserve">while </w:t>
      </w:r>
      <w:r w:rsidR="002878CF" w:rsidRPr="00C07BD0">
        <w:rPr>
          <w:rFonts w:ascii="Times New Roman" w:hAnsi="Times New Roman"/>
          <w:sz w:val="24"/>
          <w:lang w:val="en-US"/>
        </w:rPr>
        <w:t>also considering the environmental impacts</w:t>
      </w:r>
      <w:r w:rsidR="00F55B3B" w:rsidRPr="00C07BD0">
        <w:rPr>
          <w:rFonts w:ascii="Times New Roman" w:hAnsi="Times New Roman"/>
          <w:sz w:val="24"/>
          <w:lang w:val="en-US"/>
        </w:rPr>
        <w:t xml:space="preserve">. </w:t>
      </w:r>
      <w:r w:rsidR="00134BC6">
        <w:rPr>
          <w:rFonts w:ascii="Times New Roman" w:hAnsi="Times New Roman"/>
          <w:sz w:val="24"/>
          <w:lang w:val="en-US"/>
        </w:rPr>
        <w:t>Information</w:t>
      </w:r>
      <w:r w:rsidR="00C07BD0" w:rsidRPr="00C07BD0">
        <w:rPr>
          <w:rFonts w:ascii="Times New Roman" w:hAnsi="Times New Roman"/>
          <w:sz w:val="24"/>
          <w:lang w:val="en-US"/>
        </w:rPr>
        <w:t xml:space="preserve"> </w:t>
      </w:r>
      <w:r w:rsidR="00C07BD0" w:rsidRPr="00167A70">
        <w:rPr>
          <w:rFonts w:ascii="Times New Roman" w:hAnsi="Times New Roman"/>
          <w:sz w:val="24"/>
          <w:lang w:val="en-US"/>
        </w:rPr>
        <w:t xml:space="preserve">that companies can obtain might </w:t>
      </w:r>
      <w:r w:rsidR="007D2FB6" w:rsidRPr="00167A70">
        <w:rPr>
          <w:rFonts w:ascii="Times New Roman" w:hAnsi="Times New Roman"/>
          <w:sz w:val="24"/>
          <w:lang w:val="en-US"/>
        </w:rPr>
        <w:t>be very useful</w:t>
      </w:r>
      <w:r w:rsidR="00C07BD0" w:rsidRPr="00167A70">
        <w:rPr>
          <w:rFonts w:ascii="Times New Roman" w:hAnsi="Times New Roman"/>
          <w:sz w:val="24"/>
          <w:lang w:val="en-US"/>
        </w:rPr>
        <w:t xml:space="preserve"> </w:t>
      </w:r>
      <w:r w:rsidR="00990A2A">
        <w:rPr>
          <w:rFonts w:ascii="Times New Roman" w:hAnsi="Times New Roman"/>
          <w:sz w:val="24"/>
          <w:lang w:val="en-US"/>
        </w:rPr>
        <w:t xml:space="preserve">for </w:t>
      </w:r>
      <w:r w:rsidR="00C07BD0" w:rsidRPr="00167A70">
        <w:rPr>
          <w:rFonts w:ascii="Times New Roman" w:hAnsi="Times New Roman"/>
          <w:sz w:val="24"/>
          <w:lang w:val="en-US"/>
        </w:rPr>
        <w:t>identify</w:t>
      </w:r>
      <w:r w:rsidR="00990A2A">
        <w:rPr>
          <w:rFonts w:ascii="Times New Roman" w:hAnsi="Times New Roman"/>
          <w:sz w:val="24"/>
          <w:lang w:val="en-US"/>
        </w:rPr>
        <w:t>ing</w:t>
      </w:r>
      <w:r w:rsidR="00C07BD0" w:rsidRPr="00167A70">
        <w:rPr>
          <w:rFonts w:ascii="Times New Roman" w:hAnsi="Times New Roman"/>
          <w:sz w:val="24"/>
          <w:lang w:val="en-US"/>
        </w:rPr>
        <w:t xml:space="preserve"> the best </w:t>
      </w:r>
      <w:r w:rsidR="0037725E" w:rsidRPr="00167A70">
        <w:rPr>
          <w:rFonts w:ascii="Times New Roman" w:hAnsi="Times New Roman"/>
          <w:sz w:val="24"/>
          <w:lang w:val="en-US"/>
        </w:rPr>
        <w:t>strategies</w:t>
      </w:r>
      <w:r w:rsidR="00C07BD0" w:rsidRPr="00167A70">
        <w:rPr>
          <w:rFonts w:ascii="Times New Roman" w:hAnsi="Times New Roman"/>
          <w:sz w:val="24"/>
          <w:lang w:val="en-US"/>
        </w:rPr>
        <w:t xml:space="preserve"> and actions to transform waste in</w:t>
      </w:r>
      <w:r w:rsidR="00990A2A">
        <w:rPr>
          <w:rFonts w:ascii="Times New Roman" w:hAnsi="Times New Roman"/>
          <w:sz w:val="24"/>
          <w:lang w:val="en-US"/>
        </w:rPr>
        <w:t>to</w:t>
      </w:r>
      <w:r w:rsidR="00C07BD0" w:rsidRPr="00167A70">
        <w:rPr>
          <w:rFonts w:ascii="Times New Roman" w:hAnsi="Times New Roman"/>
          <w:sz w:val="24"/>
          <w:lang w:val="en-US"/>
        </w:rPr>
        <w:t xml:space="preserve"> </w:t>
      </w:r>
      <w:r w:rsidR="007D2FB6" w:rsidRPr="00167A70">
        <w:rPr>
          <w:rFonts w:ascii="Times New Roman" w:hAnsi="Times New Roman"/>
          <w:sz w:val="24"/>
          <w:lang w:val="en-US"/>
        </w:rPr>
        <w:t>resources, improv</w:t>
      </w:r>
      <w:r w:rsidR="00990A2A">
        <w:rPr>
          <w:rFonts w:ascii="Times New Roman" w:hAnsi="Times New Roman"/>
          <w:sz w:val="24"/>
          <w:lang w:val="en-US"/>
        </w:rPr>
        <w:t>e</w:t>
      </w:r>
      <w:r w:rsidR="00C07BD0" w:rsidRPr="00167A70">
        <w:rPr>
          <w:rFonts w:ascii="Times New Roman" w:hAnsi="Times New Roman"/>
          <w:sz w:val="24"/>
          <w:lang w:val="en-US"/>
        </w:rPr>
        <w:t xml:space="preserve"> revenues and</w:t>
      </w:r>
      <w:r w:rsidR="00591F0A" w:rsidRPr="00167A70">
        <w:rPr>
          <w:rFonts w:ascii="Times New Roman" w:hAnsi="Times New Roman"/>
          <w:sz w:val="24"/>
          <w:lang w:val="en-US"/>
        </w:rPr>
        <w:t>, thus,</w:t>
      </w:r>
      <w:r w:rsidR="00C07BD0" w:rsidRPr="00167A70">
        <w:rPr>
          <w:rFonts w:ascii="Times New Roman" w:hAnsi="Times New Roman"/>
          <w:sz w:val="24"/>
          <w:lang w:val="en-US"/>
        </w:rPr>
        <w:t xml:space="preserve"> </w:t>
      </w:r>
      <w:r w:rsidR="00591F0A" w:rsidRPr="00167A70">
        <w:rPr>
          <w:rFonts w:ascii="Times New Roman" w:hAnsi="Times New Roman"/>
          <w:sz w:val="24"/>
          <w:lang w:val="en-US"/>
        </w:rPr>
        <w:t>generate</w:t>
      </w:r>
      <w:r w:rsidR="00C07BD0" w:rsidRPr="00167A70">
        <w:rPr>
          <w:rFonts w:ascii="Times New Roman" w:hAnsi="Times New Roman"/>
          <w:sz w:val="24"/>
          <w:lang w:val="en-US"/>
        </w:rPr>
        <w:t xml:space="preserve"> income</w:t>
      </w:r>
      <w:r w:rsidR="00591F0A" w:rsidRPr="00167A70">
        <w:rPr>
          <w:rFonts w:ascii="Times New Roman" w:hAnsi="Times New Roman"/>
          <w:sz w:val="24"/>
          <w:lang w:val="en-US"/>
        </w:rPr>
        <w:t xml:space="preserve"> opportunities</w:t>
      </w:r>
      <w:r w:rsidR="00C07BD0" w:rsidRPr="00167A70">
        <w:rPr>
          <w:rFonts w:ascii="Times New Roman" w:hAnsi="Times New Roman"/>
          <w:sz w:val="24"/>
          <w:lang w:val="en-US"/>
        </w:rPr>
        <w:t xml:space="preserve">. </w:t>
      </w:r>
      <w:r w:rsidR="00353093">
        <w:rPr>
          <w:rFonts w:ascii="Times New Roman" w:hAnsi="Times New Roman"/>
          <w:sz w:val="24"/>
          <w:lang w:val="en-US"/>
        </w:rPr>
        <w:t>Such information</w:t>
      </w:r>
      <w:r w:rsidR="0037725E">
        <w:rPr>
          <w:rFonts w:ascii="Times New Roman" w:hAnsi="Times New Roman"/>
          <w:sz w:val="24"/>
          <w:lang w:val="en-US"/>
        </w:rPr>
        <w:t xml:space="preserve"> </w:t>
      </w:r>
      <w:r w:rsidR="0087248D">
        <w:rPr>
          <w:rFonts w:ascii="Times New Roman" w:hAnsi="Times New Roman"/>
          <w:sz w:val="24"/>
          <w:lang w:val="en-US"/>
        </w:rPr>
        <w:t>is</w:t>
      </w:r>
      <w:r w:rsidR="00B31640" w:rsidRPr="00E215E1">
        <w:rPr>
          <w:rFonts w:ascii="Times New Roman" w:hAnsi="Times New Roman"/>
          <w:sz w:val="24"/>
          <w:lang w:val="en-US"/>
        </w:rPr>
        <w:t xml:space="preserve"> </w:t>
      </w:r>
      <w:r w:rsidR="00353093">
        <w:rPr>
          <w:rFonts w:ascii="Times New Roman" w:hAnsi="Times New Roman"/>
          <w:sz w:val="24"/>
          <w:lang w:val="en-US"/>
        </w:rPr>
        <w:t xml:space="preserve">valuable </w:t>
      </w:r>
      <w:r w:rsidR="007A2B80" w:rsidRPr="00E215E1">
        <w:rPr>
          <w:rFonts w:ascii="Times New Roman" w:hAnsi="Times New Roman"/>
          <w:sz w:val="24"/>
          <w:lang w:val="en-US"/>
        </w:rPr>
        <w:t xml:space="preserve">for WM companies </w:t>
      </w:r>
      <w:r w:rsidR="00990A2A">
        <w:rPr>
          <w:rFonts w:ascii="Times New Roman" w:hAnsi="Times New Roman"/>
          <w:sz w:val="24"/>
          <w:lang w:val="en-US"/>
        </w:rPr>
        <w:t xml:space="preserve">and </w:t>
      </w:r>
      <w:r w:rsidR="007A2B80" w:rsidRPr="00E215E1">
        <w:rPr>
          <w:rFonts w:ascii="Times New Roman" w:hAnsi="Times New Roman"/>
          <w:sz w:val="24"/>
          <w:lang w:val="en-US"/>
        </w:rPr>
        <w:t>for policy-makers</w:t>
      </w:r>
      <w:r w:rsidR="00353093">
        <w:rPr>
          <w:rFonts w:ascii="Times New Roman" w:hAnsi="Times New Roman"/>
          <w:sz w:val="24"/>
          <w:lang w:val="en-US"/>
        </w:rPr>
        <w:t>,</w:t>
      </w:r>
      <w:r w:rsidR="005B75EF" w:rsidRPr="00E215E1">
        <w:rPr>
          <w:rFonts w:ascii="Times New Roman" w:hAnsi="Times New Roman"/>
          <w:sz w:val="24"/>
          <w:lang w:val="en-US"/>
        </w:rPr>
        <w:t xml:space="preserve"> </w:t>
      </w:r>
      <w:r w:rsidR="00990A2A">
        <w:rPr>
          <w:rFonts w:ascii="Times New Roman" w:hAnsi="Times New Roman"/>
          <w:sz w:val="24"/>
          <w:lang w:val="en-US"/>
        </w:rPr>
        <w:t>who are</w:t>
      </w:r>
      <w:r w:rsidR="00353093" w:rsidRPr="00E215E1">
        <w:rPr>
          <w:rFonts w:ascii="Times New Roman" w:hAnsi="Times New Roman"/>
          <w:sz w:val="24"/>
          <w:lang w:val="en-US"/>
        </w:rPr>
        <w:t xml:space="preserve"> </w:t>
      </w:r>
      <w:r w:rsidR="007A2B80" w:rsidRPr="00E215E1">
        <w:rPr>
          <w:rFonts w:ascii="Times New Roman" w:hAnsi="Times New Roman"/>
          <w:sz w:val="24"/>
          <w:lang w:val="en-US"/>
        </w:rPr>
        <w:t>responsib</w:t>
      </w:r>
      <w:r w:rsidR="00990A2A">
        <w:rPr>
          <w:rFonts w:ascii="Times New Roman" w:hAnsi="Times New Roman"/>
          <w:sz w:val="24"/>
          <w:lang w:val="en-US"/>
        </w:rPr>
        <w:t>le</w:t>
      </w:r>
      <w:r w:rsidR="007A2B80" w:rsidRPr="00E215E1">
        <w:rPr>
          <w:rFonts w:ascii="Times New Roman" w:hAnsi="Times New Roman"/>
          <w:sz w:val="24"/>
          <w:lang w:val="en-US"/>
        </w:rPr>
        <w:t xml:space="preserve"> </w:t>
      </w:r>
      <w:r w:rsidR="00990A2A">
        <w:rPr>
          <w:rFonts w:ascii="Times New Roman" w:hAnsi="Times New Roman"/>
          <w:sz w:val="24"/>
          <w:lang w:val="en-US"/>
        </w:rPr>
        <w:t>for</w:t>
      </w:r>
      <w:r w:rsidR="007A2B80" w:rsidRPr="00E215E1">
        <w:rPr>
          <w:rFonts w:ascii="Times New Roman" w:hAnsi="Times New Roman"/>
          <w:sz w:val="24"/>
          <w:lang w:val="en-US"/>
        </w:rPr>
        <w:t xml:space="preserve"> defin</w:t>
      </w:r>
      <w:r w:rsidR="00990A2A">
        <w:rPr>
          <w:rFonts w:ascii="Times New Roman" w:hAnsi="Times New Roman"/>
          <w:sz w:val="24"/>
          <w:lang w:val="en-US"/>
        </w:rPr>
        <w:t>ing</w:t>
      </w:r>
      <w:r w:rsidR="007A2B80" w:rsidRPr="00E215E1">
        <w:rPr>
          <w:rFonts w:ascii="Times New Roman" w:hAnsi="Times New Roman"/>
          <w:sz w:val="24"/>
          <w:lang w:val="en-US"/>
        </w:rPr>
        <w:t xml:space="preserve"> </w:t>
      </w:r>
      <w:r w:rsidR="0037725E">
        <w:rPr>
          <w:rFonts w:ascii="Times New Roman" w:hAnsi="Times New Roman"/>
          <w:sz w:val="24"/>
          <w:lang w:val="en-US"/>
        </w:rPr>
        <w:t xml:space="preserve">policies and </w:t>
      </w:r>
      <w:r w:rsidR="007A2B80" w:rsidRPr="00E215E1">
        <w:rPr>
          <w:rFonts w:ascii="Times New Roman" w:hAnsi="Times New Roman"/>
          <w:sz w:val="24"/>
          <w:lang w:val="en-US"/>
        </w:rPr>
        <w:t xml:space="preserve">programs </w:t>
      </w:r>
      <w:r w:rsidR="0037725E">
        <w:rPr>
          <w:rFonts w:ascii="Times New Roman" w:hAnsi="Times New Roman"/>
          <w:sz w:val="24"/>
          <w:lang w:val="en-US"/>
        </w:rPr>
        <w:t xml:space="preserve">that make </w:t>
      </w:r>
      <w:r w:rsidR="00F8010E" w:rsidRPr="00E215E1">
        <w:rPr>
          <w:rFonts w:ascii="Times New Roman" w:hAnsi="Times New Roman"/>
          <w:sz w:val="24"/>
          <w:lang w:val="en-US"/>
        </w:rPr>
        <w:t>WM</w:t>
      </w:r>
      <w:r w:rsidR="00374347" w:rsidRPr="00E215E1">
        <w:rPr>
          <w:rFonts w:ascii="Times New Roman" w:hAnsi="Times New Roman"/>
          <w:sz w:val="24"/>
          <w:lang w:val="en-US"/>
        </w:rPr>
        <w:t xml:space="preserve"> system</w:t>
      </w:r>
      <w:r w:rsidR="00990A2A">
        <w:rPr>
          <w:rFonts w:ascii="Times New Roman" w:hAnsi="Times New Roman"/>
          <w:sz w:val="24"/>
          <w:lang w:val="en-US"/>
        </w:rPr>
        <w:t>s</w:t>
      </w:r>
      <w:r w:rsidR="0037725E">
        <w:rPr>
          <w:rFonts w:ascii="Times New Roman" w:hAnsi="Times New Roman"/>
          <w:sz w:val="24"/>
          <w:lang w:val="en-US"/>
        </w:rPr>
        <w:t xml:space="preserve"> more sustainable,</w:t>
      </w:r>
      <w:r w:rsidR="007A2B80" w:rsidRPr="00E215E1">
        <w:rPr>
          <w:rFonts w:ascii="Times New Roman" w:hAnsi="Times New Roman"/>
          <w:sz w:val="24"/>
          <w:lang w:val="en-US"/>
        </w:rPr>
        <w:t xml:space="preserve"> </w:t>
      </w:r>
      <w:r w:rsidR="00990A2A">
        <w:rPr>
          <w:rFonts w:ascii="Times New Roman" w:hAnsi="Times New Roman"/>
          <w:sz w:val="24"/>
          <w:lang w:val="en-US"/>
        </w:rPr>
        <w:t xml:space="preserve">thus </w:t>
      </w:r>
      <w:r w:rsidR="00C23B11" w:rsidRPr="00E215E1">
        <w:rPr>
          <w:rFonts w:ascii="Times New Roman" w:hAnsi="Times New Roman"/>
          <w:sz w:val="24"/>
          <w:lang w:val="en-US"/>
        </w:rPr>
        <w:t>realizing</w:t>
      </w:r>
      <w:r w:rsidR="007A2B80" w:rsidRPr="00E215E1">
        <w:rPr>
          <w:rFonts w:ascii="Times New Roman" w:hAnsi="Times New Roman"/>
          <w:sz w:val="24"/>
          <w:lang w:val="en-US"/>
        </w:rPr>
        <w:t xml:space="preserve"> environmental </w:t>
      </w:r>
      <w:r w:rsidR="00374347" w:rsidRPr="00E215E1">
        <w:rPr>
          <w:rFonts w:ascii="Times New Roman" w:hAnsi="Times New Roman"/>
          <w:sz w:val="24"/>
          <w:lang w:val="en-US"/>
        </w:rPr>
        <w:t xml:space="preserve">and social </w:t>
      </w:r>
      <w:r w:rsidR="007A2B80" w:rsidRPr="00E215E1">
        <w:rPr>
          <w:rFonts w:ascii="Times New Roman" w:hAnsi="Times New Roman"/>
          <w:sz w:val="24"/>
          <w:lang w:val="en-US"/>
        </w:rPr>
        <w:t>benefits</w:t>
      </w:r>
      <w:r w:rsidR="0084083C" w:rsidRPr="00E215E1">
        <w:rPr>
          <w:rFonts w:ascii="Times New Roman" w:hAnsi="Times New Roman"/>
          <w:sz w:val="24"/>
          <w:lang w:val="en-US"/>
        </w:rPr>
        <w:t xml:space="preserve">. </w:t>
      </w:r>
      <w:r w:rsidR="00990A2A">
        <w:rPr>
          <w:rFonts w:ascii="Times New Roman" w:hAnsi="Times New Roman"/>
          <w:sz w:val="24"/>
          <w:lang w:val="en-US"/>
        </w:rPr>
        <w:t>On the</w:t>
      </w:r>
      <w:r w:rsidR="007A2B80" w:rsidRPr="00E215E1">
        <w:rPr>
          <w:rFonts w:ascii="Times New Roman" w:hAnsi="Times New Roman"/>
          <w:sz w:val="24"/>
          <w:lang w:val="en-US"/>
        </w:rPr>
        <w:t xml:space="preserve"> one hand</w:t>
      </w:r>
      <w:r w:rsidR="00E33F8D" w:rsidRPr="00E215E1">
        <w:rPr>
          <w:rFonts w:ascii="Times New Roman" w:hAnsi="Times New Roman"/>
          <w:sz w:val="24"/>
          <w:lang w:val="en-US"/>
        </w:rPr>
        <w:t>,</w:t>
      </w:r>
      <w:r w:rsidR="007A2B80" w:rsidRPr="00E215E1">
        <w:rPr>
          <w:rFonts w:ascii="Times New Roman" w:hAnsi="Times New Roman"/>
          <w:sz w:val="24"/>
          <w:lang w:val="en-US"/>
        </w:rPr>
        <w:t xml:space="preserve"> </w:t>
      </w:r>
      <w:r w:rsidR="00C23B11" w:rsidRPr="00E215E1">
        <w:rPr>
          <w:rFonts w:ascii="Times New Roman" w:hAnsi="Times New Roman"/>
          <w:sz w:val="24"/>
          <w:lang w:val="en-US"/>
        </w:rPr>
        <w:t>policy</w:t>
      </w:r>
      <w:r w:rsidR="00990A2A">
        <w:rPr>
          <w:rFonts w:ascii="Times New Roman" w:hAnsi="Times New Roman"/>
          <w:sz w:val="24"/>
          <w:lang w:val="en-US"/>
        </w:rPr>
        <w:t>-</w:t>
      </w:r>
      <w:r w:rsidR="00C23B11" w:rsidRPr="00E215E1">
        <w:rPr>
          <w:rFonts w:ascii="Times New Roman" w:hAnsi="Times New Roman"/>
          <w:sz w:val="24"/>
          <w:lang w:val="en-US"/>
        </w:rPr>
        <w:t>makers</w:t>
      </w:r>
      <w:r w:rsidR="007A2B80" w:rsidRPr="00E215E1">
        <w:rPr>
          <w:rFonts w:ascii="Times New Roman" w:hAnsi="Times New Roman"/>
          <w:sz w:val="24"/>
          <w:lang w:val="en-US"/>
        </w:rPr>
        <w:t xml:space="preserve"> </w:t>
      </w:r>
      <w:r w:rsidR="00990A2A">
        <w:rPr>
          <w:rFonts w:ascii="Times New Roman" w:hAnsi="Times New Roman"/>
          <w:sz w:val="24"/>
          <w:lang w:val="en-US"/>
        </w:rPr>
        <w:t>must</w:t>
      </w:r>
      <w:r w:rsidR="007A2B80" w:rsidRPr="00E215E1">
        <w:rPr>
          <w:rFonts w:ascii="Times New Roman" w:hAnsi="Times New Roman"/>
          <w:sz w:val="24"/>
          <w:lang w:val="en-US"/>
        </w:rPr>
        <w:t xml:space="preserve"> push towards achieving the EU targets</w:t>
      </w:r>
      <w:r w:rsidR="00353093">
        <w:rPr>
          <w:rFonts w:ascii="Times New Roman" w:hAnsi="Times New Roman"/>
          <w:sz w:val="24"/>
          <w:lang w:val="en-US"/>
        </w:rPr>
        <w:t xml:space="preserve"> in terms of DWC and recycling</w:t>
      </w:r>
      <w:r w:rsidR="00C23B11" w:rsidRPr="00E215E1">
        <w:rPr>
          <w:rFonts w:ascii="Times New Roman" w:hAnsi="Times New Roman"/>
          <w:sz w:val="24"/>
          <w:lang w:val="en-US"/>
        </w:rPr>
        <w:t>;</w:t>
      </w:r>
      <w:r w:rsidR="007A2B80" w:rsidRPr="00E215E1">
        <w:rPr>
          <w:rFonts w:ascii="Times New Roman" w:hAnsi="Times New Roman"/>
          <w:sz w:val="24"/>
          <w:lang w:val="en-US"/>
        </w:rPr>
        <w:t xml:space="preserve"> </w:t>
      </w:r>
      <w:r w:rsidR="00990A2A">
        <w:rPr>
          <w:rFonts w:ascii="Times New Roman" w:hAnsi="Times New Roman"/>
          <w:sz w:val="24"/>
          <w:lang w:val="en-US"/>
        </w:rPr>
        <w:t>on</w:t>
      </w:r>
      <w:r w:rsidR="00990A2A" w:rsidRPr="00E215E1">
        <w:rPr>
          <w:rFonts w:ascii="Times New Roman" w:hAnsi="Times New Roman"/>
          <w:sz w:val="24"/>
          <w:lang w:val="en-US"/>
        </w:rPr>
        <w:t xml:space="preserve"> </w:t>
      </w:r>
      <w:r w:rsidR="00C23B11" w:rsidRPr="00E215E1">
        <w:rPr>
          <w:rFonts w:ascii="Times New Roman" w:hAnsi="Times New Roman"/>
          <w:sz w:val="24"/>
          <w:lang w:val="en-US"/>
        </w:rPr>
        <w:t xml:space="preserve">the </w:t>
      </w:r>
      <w:r w:rsidR="007A2B80" w:rsidRPr="00E215E1">
        <w:rPr>
          <w:rFonts w:ascii="Times New Roman" w:hAnsi="Times New Roman"/>
          <w:sz w:val="24"/>
          <w:lang w:val="en-US"/>
        </w:rPr>
        <w:t>other hand</w:t>
      </w:r>
      <w:r w:rsidR="00C23B11" w:rsidRPr="00E215E1">
        <w:rPr>
          <w:rFonts w:ascii="Times New Roman" w:hAnsi="Times New Roman"/>
          <w:sz w:val="24"/>
          <w:lang w:val="en-US"/>
        </w:rPr>
        <w:t>,</w:t>
      </w:r>
      <w:r w:rsidR="007A2B80" w:rsidRPr="00E215E1">
        <w:rPr>
          <w:rFonts w:ascii="Times New Roman" w:hAnsi="Times New Roman"/>
          <w:sz w:val="24"/>
          <w:lang w:val="en-US"/>
        </w:rPr>
        <w:t xml:space="preserve"> they must tackle the question of </w:t>
      </w:r>
      <w:r w:rsidR="0024407D">
        <w:rPr>
          <w:rFonts w:ascii="Times New Roman" w:hAnsi="Times New Roman"/>
          <w:sz w:val="24"/>
          <w:lang w:val="en-US"/>
        </w:rPr>
        <w:t xml:space="preserve">WM </w:t>
      </w:r>
      <w:r w:rsidR="007A2B80" w:rsidRPr="00591F0A">
        <w:rPr>
          <w:rFonts w:ascii="Times New Roman" w:hAnsi="Times New Roman"/>
          <w:sz w:val="24"/>
          <w:lang w:val="en-US"/>
        </w:rPr>
        <w:t xml:space="preserve">companies’ </w:t>
      </w:r>
      <w:r w:rsidR="0024407D" w:rsidRPr="00591F0A">
        <w:rPr>
          <w:rFonts w:ascii="Times New Roman" w:hAnsi="Times New Roman"/>
          <w:sz w:val="24"/>
          <w:lang w:val="en-US"/>
        </w:rPr>
        <w:t xml:space="preserve">ongoing </w:t>
      </w:r>
      <w:r w:rsidR="00591F0A" w:rsidRPr="00167A70">
        <w:rPr>
          <w:rFonts w:ascii="Times New Roman" w:hAnsi="Times New Roman"/>
          <w:sz w:val="24"/>
          <w:lang w:val="en-US"/>
        </w:rPr>
        <w:t>viability</w:t>
      </w:r>
      <w:r w:rsidR="00990A2A">
        <w:rPr>
          <w:rFonts w:ascii="Times New Roman" w:hAnsi="Times New Roman"/>
          <w:sz w:val="24"/>
          <w:lang w:val="en-US"/>
        </w:rPr>
        <w:t>,</w:t>
      </w:r>
      <w:r w:rsidR="00591F0A" w:rsidRPr="00167A70">
        <w:rPr>
          <w:rFonts w:ascii="Times New Roman" w:hAnsi="Times New Roman"/>
          <w:sz w:val="24"/>
          <w:lang w:val="en-US"/>
        </w:rPr>
        <w:t xml:space="preserve"> </w:t>
      </w:r>
      <w:r w:rsidR="00990A2A">
        <w:rPr>
          <w:rFonts w:ascii="Times New Roman" w:hAnsi="Times New Roman"/>
          <w:sz w:val="24"/>
          <w:lang w:val="en-US"/>
        </w:rPr>
        <w:t>which</w:t>
      </w:r>
      <w:r w:rsidR="0024407D">
        <w:rPr>
          <w:rFonts w:ascii="Times New Roman" w:hAnsi="Times New Roman"/>
          <w:sz w:val="24"/>
          <w:lang w:val="en-US"/>
        </w:rPr>
        <w:t xml:space="preserve"> depends on their </w:t>
      </w:r>
      <w:r w:rsidR="008E2017" w:rsidRPr="00E215E1">
        <w:rPr>
          <w:rFonts w:ascii="Times New Roman" w:hAnsi="Times New Roman"/>
          <w:sz w:val="24"/>
          <w:lang w:val="en-US"/>
        </w:rPr>
        <w:t>economic sustainability</w:t>
      </w:r>
      <w:r w:rsidR="007A2B80" w:rsidRPr="00E215E1">
        <w:rPr>
          <w:rFonts w:ascii="Times New Roman" w:hAnsi="Times New Roman"/>
          <w:sz w:val="24"/>
          <w:lang w:val="en-US"/>
        </w:rPr>
        <w:t xml:space="preserve">. </w:t>
      </w:r>
      <w:r w:rsidR="00591F0A" w:rsidRPr="00591F0A">
        <w:rPr>
          <w:rFonts w:ascii="Times New Roman" w:hAnsi="Times New Roman"/>
          <w:sz w:val="24"/>
          <w:lang w:val="en-US"/>
        </w:rPr>
        <w:t xml:space="preserve">Furthermore, </w:t>
      </w:r>
      <w:r w:rsidR="00661D68">
        <w:rPr>
          <w:rFonts w:ascii="Times New Roman" w:hAnsi="Times New Roman"/>
          <w:sz w:val="24"/>
          <w:lang w:val="en-US"/>
        </w:rPr>
        <w:t>policy-makers</w:t>
      </w:r>
      <w:r w:rsidR="00591F0A" w:rsidRPr="00591F0A">
        <w:rPr>
          <w:rFonts w:ascii="Times New Roman" w:hAnsi="Times New Roman"/>
          <w:sz w:val="24"/>
          <w:lang w:val="en-US"/>
        </w:rPr>
        <w:t xml:space="preserve"> should </w:t>
      </w:r>
      <w:r w:rsidR="00661D68">
        <w:rPr>
          <w:rFonts w:ascii="Times New Roman" w:hAnsi="Times New Roman"/>
          <w:sz w:val="24"/>
          <w:lang w:val="en-US"/>
        </w:rPr>
        <w:t>facilitate</w:t>
      </w:r>
      <w:r w:rsidR="00591F0A" w:rsidRPr="00591F0A">
        <w:rPr>
          <w:rFonts w:ascii="Times New Roman" w:hAnsi="Times New Roman"/>
          <w:sz w:val="24"/>
          <w:lang w:val="en-US"/>
        </w:rPr>
        <w:t xml:space="preserve"> the redesign of the entire waste cycle to reduce the quantity of waste produced and increas</w:t>
      </w:r>
      <w:r w:rsidR="00353093">
        <w:rPr>
          <w:rFonts w:ascii="Times New Roman" w:hAnsi="Times New Roman"/>
          <w:sz w:val="24"/>
          <w:lang w:val="en-US"/>
        </w:rPr>
        <w:t>e</w:t>
      </w:r>
      <w:r w:rsidR="00591F0A" w:rsidRPr="00591F0A">
        <w:rPr>
          <w:rFonts w:ascii="Times New Roman" w:hAnsi="Times New Roman"/>
          <w:sz w:val="24"/>
          <w:lang w:val="en-US"/>
        </w:rPr>
        <w:t xml:space="preserve"> the quality of the secondary raw materials, with the aim of </w:t>
      </w:r>
      <w:r w:rsidR="00661D68">
        <w:rPr>
          <w:rFonts w:ascii="Times New Roman" w:hAnsi="Times New Roman"/>
          <w:sz w:val="24"/>
          <w:lang w:val="en-US"/>
        </w:rPr>
        <w:t>achieving</w:t>
      </w:r>
      <w:r w:rsidR="00591F0A" w:rsidRPr="00591F0A">
        <w:rPr>
          <w:rFonts w:ascii="Times New Roman" w:hAnsi="Times New Roman"/>
          <w:sz w:val="24"/>
          <w:lang w:val="en-US"/>
        </w:rPr>
        <w:t xml:space="preserve"> essential environmental and social </w:t>
      </w:r>
      <w:r w:rsidR="00353093">
        <w:rPr>
          <w:rFonts w:ascii="Times New Roman" w:hAnsi="Times New Roman"/>
          <w:sz w:val="24"/>
          <w:lang w:val="en-US"/>
        </w:rPr>
        <w:t>advantages</w:t>
      </w:r>
      <w:r w:rsidR="00591F0A" w:rsidRPr="00591F0A">
        <w:rPr>
          <w:rFonts w:ascii="Times New Roman" w:hAnsi="Times New Roman"/>
          <w:sz w:val="24"/>
          <w:lang w:val="en-US"/>
        </w:rPr>
        <w:t xml:space="preserve">. This </w:t>
      </w:r>
      <w:r w:rsidR="00661D68">
        <w:rPr>
          <w:rFonts w:ascii="Times New Roman" w:hAnsi="Times New Roman"/>
          <w:sz w:val="24"/>
          <w:lang w:val="en-US"/>
        </w:rPr>
        <w:t xml:space="preserve">is </w:t>
      </w:r>
      <w:r w:rsidR="00591F0A" w:rsidRPr="00591F0A">
        <w:rPr>
          <w:rFonts w:ascii="Times New Roman" w:hAnsi="Times New Roman"/>
          <w:sz w:val="24"/>
          <w:lang w:val="en-US"/>
        </w:rPr>
        <w:t xml:space="preserve">because the income opportunities are also related to </w:t>
      </w:r>
      <w:r w:rsidR="00591F0A" w:rsidRPr="00591F0A">
        <w:rPr>
          <w:rFonts w:ascii="Times New Roman" w:hAnsi="Times New Roman"/>
          <w:sz w:val="24"/>
          <w:lang w:val="en-US"/>
        </w:rPr>
        <w:lastRenderedPageBreak/>
        <w:t>external factors whose analysis and management should be a priority for policy</w:t>
      </w:r>
      <w:r w:rsidR="008A5726">
        <w:rPr>
          <w:rFonts w:ascii="Times New Roman" w:hAnsi="Times New Roman"/>
          <w:sz w:val="24"/>
          <w:lang w:val="en-US"/>
        </w:rPr>
        <w:t>–</w:t>
      </w:r>
      <w:r w:rsidR="00591F0A" w:rsidRPr="00591F0A">
        <w:rPr>
          <w:rFonts w:ascii="Times New Roman" w:hAnsi="Times New Roman"/>
          <w:sz w:val="24"/>
          <w:lang w:val="en-US"/>
        </w:rPr>
        <w:t>makers</w:t>
      </w:r>
      <w:r w:rsidR="008A5726">
        <w:rPr>
          <w:rFonts w:ascii="Times New Roman" w:hAnsi="Times New Roman"/>
          <w:sz w:val="24"/>
          <w:lang w:val="en-US"/>
        </w:rPr>
        <w:t>,</w:t>
      </w:r>
      <w:r w:rsidR="00591F0A" w:rsidRPr="00591F0A">
        <w:rPr>
          <w:rFonts w:ascii="Times New Roman" w:hAnsi="Times New Roman"/>
          <w:sz w:val="24"/>
          <w:lang w:val="en-US"/>
        </w:rPr>
        <w:t xml:space="preserve"> from the quality of the materials obtained to the accessibility of secondary raw materials markets that can absorb and valorize those resources. </w:t>
      </w:r>
    </w:p>
    <w:p w14:paraId="7E70D859" w14:textId="5D24FEDB" w:rsidR="00BF164E" w:rsidRDefault="00BF164E" w:rsidP="00BF164E">
      <w:pPr>
        <w:pStyle w:val="TEXT"/>
        <w:spacing w:line="480" w:lineRule="auto"/>
        <w:ind w:firstLine="0"/>
        <w:jc w:val="left"/>
        <w:rPr>
          <w:rFonts w:ascii="Times New Roman" w:hAnsi="Times New Roman"/>
          <w:sz w:val="24"/>
          <w:lang w:val="en-US"/>
        </w:rPr>
      </w:pPr>
      <w:r>
        <w:rPr>
          <w:rFonts w:ascii="Times New Roman" w:hAnsi="Times New Roman"/>
          <w:sz w:val="24"/>
          <w:lang w:val="en-US"/>
        </w:rPr>
        <w:t xml:space="preserve">Another external factor that </w:t>
      </w:r>
      <w:r w:rsidR="00F06EF3">
        <w:rPr>
          <w:rFonts w:ascii="Times New Roman" w:hAnsi="Times New Roman"/>
          <w:sz w:val="24"/>
          <w:lang w:val="en-US"/>
        </w:rPr>
        <w:t>could influence income opportunities</w:t>
      </w:r>
      <w:r w:rsidR="001A067F">
        <w:rPr>
          <w:rFonts w:ascii="Times New Roman" w:hAnsi="Times New Roman"/>
          <w:sz w:val="24"/>
          <w:lang w:val="en-US"/>
        </w:rPr>
        <w:t xml:space="preserve"> concerns</w:t>
      </w:r>
      <w:r>
        <w:rPr>
          <w:rFonts w:ascii="Times New Roman" w:hAnsi="Times New Roman"/>
          <w:sz w:val="24"/>
          <w:lang w:val="en-US"/>
        </w:rPr>
        <w:t xml:space="preserve"> </w:t>
      </w:r>
      <w:r w:rsidRPr="00A10F3C">
        <w:rPr>
          <w:rFonts w:ascii="Times New Roman" w:hAnsi="Times New Roman"/>
          <w:sz w:val="24"/>
          <w:lang w:val="en-US"/>
        </w:rPr>
        <w:t>the cultural traits of a country</w:t>
      </w:r>
      <w:r w:rsidR="00990A2A">
        <w:rPr>
          <w:rFonts w:ascii="Times New Roman" w:hAnsi="Times New Roman"/>
          <w:sz w:val="24"/>
          <w:lang w:val="en-US"/>
        </w:rPr>
        <w:t>,</w:t>
      </w:r>
      <w:r w:rsidR="001A067F">
        <w:rPr>
          <w:rFonts w:ascii="Times New Roman" w:hAnsi="Times New Roman"/>
          <w:sz w:val="24"/>
          <w:lang w:val="en-US"/>
        </w:rPr>
        <w:t xml:space="preserve"> </w:t>
      </w:r>
      <w:r w:rsidR="00990A2A">
        <w:rPr>
          <w:rFonts w:ascii="Times New Roman" w:hAnsi="Times New Roman"/>
          <w:sz w:val="24"/>
          <w:lang w:val="en-US"/>
        </w:rPr>
        <w:t>which can</w:t>
      </w:r>
      <w:r>
        <w:rPr>
          <w:rFonts w:ascii="Times New Roman" w:hAnsi="Times New Roman"/>
          <w:sz w:val="24"/>
          <w:lang w:val="en-US"/>
        </w:rPr>
        <w:t xml:space="preserve"> play a role in explaining citizens</w:t>
      </w:r>
      <w:r w:rsidR="001A067F">
        <w:rPr>
          <w:rFonts w:ascii="Times New Roman" w:hAnsi="Times New Roman"/>
          <w:sz w:val="24"/>
          <w:lang w:val="en-US"/>
        </w:rPr>
        <w:t xml:space="preserve">’ behavior </w:t>
      </w:r>
      <w:r w:rsidR="005673C0">
        <w:rPr>
          <w:rFonts w:ascii="Times New Roman" w:hAnsi="Times New Roman"/>
          <w:sz w:val="24"/>
          <w:lang w:val="en-US"/>
        </w:rPr>
        <w:t>in</w:t>
      </w:r>
      <w:r>
        <w:rPr>
          <w:rFonts w:ascii="Times New Roman" w:hAnsi="Times New Roman"/>
          <w:sz w:val="24"/>
          <w:lang w:val="en-US"/>
        </w:rPr>
        <w:t xml:space="preserve"> differentiat</w:t>
      </w:r>
      <w:r w:rsidR="005673C0">
        <w:rPr>
          <w:rFonts w:ascii="Times New Roman" w:hAnsi="Times New Roman"/>
          <w:sz w:val="24"/>
          <w:lang w:val="en-US"/>
        </w:rPr>
        <w:t>ing</w:t>
      </w:r>
      <w:r>
        <w:rPr>
          <w:rFonts w:ascii="Times New Roman" w:hAnsi="Times New Roman"/>
          <w:sz w:val="24"/>
          <w:lang w:val="en-US"/>
        </w:rPr>
        <w:t xml:space="preserve"> waste. Indeed, </w:t>
      </w:r>
      <w:r w:rsidR="00990A2A">
        <w:rPr>
          <w:rFonts w:ascii="Times New Roman" w:hAnsi="Times New Roman"/>
          <w:sz w:val="24"/>
          <w:lang w:val="en-US"/>
        </w:rPr>
        <w:t xml:space="preserve">such a </w:t>
      </w:r>
      <w:r>
        <w:rPr>
          <w:rFonts w:ascii="Times New Roman" w:hAnsi="Times New Roman"/>
          <w:sz w:val="24"/>
          <w:lang w:val="en-US"/>
        </w:rPr>
        <w:t>culture is</w:t>
      </w:r>
      <w:r w:rsidRPr="00A10F3C">
        <w:rPr>
          <w:rFonts w:ascii="Times New Roman" w:hAnsi="Times New Roman"/>
          <w:sz w:val="24"/>
          <w:lang w:val="en-US"/>
        </w:rPr>
        <w:t xml:space="preserve"> associated </w:t>
      </w:r>
      <w:r w:rsidR="00990A2A">
        <w:rPr>
          <w:rFonts w:ascii="Times New Roman" w:hAnsi="Times New Roman"/>
          <w:sz w:val="24"/>
          <w:lang w:val="en-US"/>
        </w:rPr>
        <w:t xml:space="preserve">with </w:t>
      </w:r>
      <w:r w:rsidRPr="00A10F3C">
        <w:rPr>
          <w:rFonts w:ascii="Times New Roman" w:hAnsi="Times New Roman"/>
          <w:sz w:val="24"/>
          <w:lang w:val="en-US"/>
        </w:rPr>
        <w:t>the average</w:t>
      </w:r>
      <w:r>
        <w:rPr>
          <w:rFonts w:ascii="Times New Roman" w:hAnsi="Times New Roman"/>
          <w:sz w:val="24"/>
          <w:lang w:val="en-US"/>
        </w:rPr>
        <w:t xml:space="preserve"> </w:t>
      </w:r>
      <w:r w:rsidRPr="00A10F3C">
        <w:rPr>
          <w:rFonts w:ascii="Times New Roman" w:hAnsi="Times New Roman"/>
          <w:sz w:val="24"/>
          <w:lang w:val="en-US"/>
        </w:rPr>
        <w:t xml:space="preserve">level of education of the citizens, but </w:t>
      </w:r>
      <w:r w:rsidR="00990A2A">
        <w:rPr>
          <w:rFonts w:ascii="Times New Roman" w:hAnsi="Times New Roman"/>
          <w:sz w:val="24"/>
          <w:lang w:val="en-US"/>
        </w:rPr>
        <w:t xml:space="preserve">it also </w:t>
      </w:r>
      <w:r>
        <w:rPr>
          <w:rFonts w:ascii="Times New Roman" w:hAnsi="Times New Roman"/>
          <w:sz w:val="24"/>
          <w:lang w:val="en-US"/>
        </w:rPr>
        <w:t xml:space="preserve">exhibits a strong correlation with the </w:t>
      </w:r>
      <w:r w:rsidRPr="00A10F3C">
        <w:rPr>
          <w:rFonts w:ascii="Times New Roman" w:hAnsi="Times New Roman"/>
          <w:sz w:val="24"/>
          <w:lang w:val="en-US"/>
        </w:rPr>
        <w:t>corruption level</w:t>
      </w:r>
      <w:r>
        <w:rPr>
          <w:rFonts w:ascii="Times New Roman" w:hAnsi="Times New Roman"/>
          <w:sz w:val="24"/>
          <w:lang w:val="en-US"/>
        </w:rPr>
        <w:t xml:space="preserve"> </w:t>
      </w:r>
      <w:r w:rsidRPr="00A10F3C">
        <w:rPr>
          <w:rFonts w:ascii="Times New Roman" w:hAnsi="Times New Roman"/>
          <w:sz w:val="24"/>
          <w:lang w:val="en-US"/>
        </w:rPr>
        <w:t xml:space="preserve">of </w:t>
      </w:r>
      <w:r w:rsidR="00990A2A">
        <w:rPr>
          <w:rFonts w:ascii="Times New Roman" w:hAnsi="Times New Roman"/>
          <w:sz w:val="24"/>
          <w:lang w:val="en-US"/>
        </w:rPr>
        <w:t xml:space="preserve">the country’s </w:t>
      </w:r>
      <w:r w:rsidRPr="00A10F3C">
        <w:rPr>
          <w:rFonts w:ascii="Times New Roman" w:hAnsi="Times New Roman"/>
          <w:sz w:val="24"/>
          <w:lang w:val="en-US"/>
        </w:rPr>
        <w:t xml:space="preserve">bureaucrats and politicians. </w:t>
      </w:r>
      <w:r w:rsidR="005673C0" w:rsidRPr="00A10F3C">
        <w:rPr>
          <w:rFonts w:ascii="Times New Roman" w:hAnsi="Times New Roman"/>
          <w:sz w:val="24"/>
          <w:lang w:val="en-US"/>
        </w:rPr>
        <w:t>Th</w:t>
      </w:r>
      <w:r w:rsidR="005673C0">
        <w:rPr>
          <w:rFonts w:ascii="Times New Roman" w:hAnsi="Times New Roman"/>
          <w:sz w:val="24"/>
          <w:lang w:val="en-US"/>
        </w:rPr>
        <w:t xml:space="preserve">is </w:t>
      </w:r>
      <w:r w:rsidR="001A067F">
        <w:rPr>
          <w:rFonts w:ascii="Times New Roman" w:hAnsi="Times New Roman"/>
          <w:sz w:val="24"/>
          <w:lang w:val="en-US"/>
        </w:rPr>
        <w:t>could be investigated in future research</w:t>
      </w:r>
      <w:r>
        <w:rPr>
          <w:rFonts w:ascii="Times New Roman" w:hAnsi="Times New Roman"/>
          <w:sz w:val="24"/>
          <w:lang w:val="en-US"/>
        </w:rPr>
        <w:t xml:space="preserve">, to explore </w:t>
      </w:r>
      <w:r w:rsidRPr="00A10F3C">
        <w:rPr>
          <w:rFonts w:ascii="Times New Roman" w:hAnsi="Times New Roman"/>
          <w:sz w:val="24"/>
          <w:lang w:val="en-US"/>
        </w:rPr>
        <w:t>the reaction of the proposed</w:t>
      </w:r>
      <w:r>
        <w:rPr>
          <w:rFonts w:ascii="Times New Roman" w:hAnsi="Times New Roman"/>
          <w:sz w:val="24"/>
          <w:lang w:val="en-US"/>
        </w:rPr>
        <w:t xml:space="preserve"> </w:t>
      </w:r>
      <w:r w:rsidRPr="00A10F3C">
        <w:rPr>
          <w:rFonts w:ascii="Times New Roman" w:hAnsi="Times New Roman"/>
          <w:sz w:val="24"/>
          <w:lang w:val="en-US"/>
        </w:rPr>
        <w:t xml:space="preserve">economic efficiency indicator to </w:t>
      </w:r>
      <w:r>
        <w:rPr>
          <w:rFonts w:ascii="Times New Roman" w:hAnsi="Times New Roman"/>
          <w:sz w:val="24"/>
          <w:lang w:val="en-US"/>
        </w:rPr>
        <w:t xml:space="preserve">variation </w:t>
      </w:r>
      <w:r w:rsidR="00990A2A">
        <w:rPr>
          <w:rFonts w:ascii="Times New Roman" w:hAnsi="Times New Roman"/>
          <w:sz w:val="24"/>
          <w:lang w:val="en-US"/>
        </w:rPr>
        <w:t>in</w:t>
      </w:r>
      <w:r>
        <w:rPr>
          <w:rFonts w:ascii="Times New Roman" w:hAnsi="Times New Roman"/>
          <w:sz w:val="24"/>
          <w:lang w:val="en-US"/>
        </w:rPr>
        <w:t xml:space="preserve"> suitably identified </w:t>
      </w:r>
      <w:r w:rsidRPr="00A10F3C">
        <w:rPr>
          <w:rFonts w:ascii="Times New Roman" w:hAnsi="Times New Roman"/>
          <w:sz w:val="24"/>
          <w:lang w:val="en-US"/>
        </w:rPr>
        <w:t>cultural parameters</w:t>
      </w:r>
      <w:r>
        <w:rPr>
          <w:rFonts w:ascii="Times New Roman" w:hAnsi="Times New Roman"/>
          <w:sz w:val="24"/>
          <w:lang w:val="en-US"/>
        </w:rPr>
        <w:t>.</w:t>
      </w:r>
    </w:p>
    <w:p w14:paraId="454A99C9" w14:textId="77777777" w:rsidR="00A10F3C" w:rsidRPr="00E215E1" w:rsidRDefault="00A10F3C" w:rsidP="00D539F1">
      <w:pPr>
        <w:pStyle w:val="TEXT"/>
        <w:spacing w:line="480" w:lineRule="auto"/>
        <w:ind w:firstLine="0"/>
        <w:jc w:val="left"/>
        <w:rPr>
          <w:rFonts w:ascii="Times New Roman" w:hAnsi="Times New Roman"/>
          <w:sz w:val="24"/>
          <w:lang w:val="en-US"/>
        </w:rPr>
      </w:pPr>
    </w:p>
    <w:p w14:paraId="51F0343F" w14:textId="2033CD92" w:rsidR="007E4676" w:rsidRPr="00E215E1" w:rsidRDefault="00E325AB" w:rsidP="00D539F1">
      <w:pPr>
        <w:pStyle w:val="TEXT"/>
        <w:spacing w:line="480" w:lineRule="auto"/>
        <w:ind w:firstLine="0"/>
        <w:jc w:val="left"/>
        <w:rPr>
          <w:rFonts w:ascii="Times New Roman" w:hAnsi="Times New Roman"/>
          <w:sz w:val="24"/>
          <w:lang w:val="en-US"/>
        </w:rPr>
      </w:pPr>
      <w:r w:rsidRPr="00E215E1">
        <w:rPr>
          <w:rFonts w:ascii="Times New Roman" w:hAnsi="Times New Roman"/>
          <w:sz w:val="24"/>
          <w:lang w:val="en-US"/>
        </w:rPr>
        <w:t>This research did not receive any specific grant</w:t>
      </w:r>
      <w:r w:rsidR="00990A2A">
        <w:rPr>
          <w:rFonts w:ascii="Times New Roman" w:hAnsi="Times New Roman"/>
          <w:sz w:val="24"/>
          <w:lang w:val="en-US"/>
        </w:rPr>
        <w:t>s</w:t>
      </w:r>
      <w:r w:rsidRPr="00E215E1">
        <w:rPr>
          <w:rFonts w:ascii="Times New Roman" w:hAnsi="Times New Roman"/>
          <w:sz w:val="24"/>
          <w:lang w:val="en-US"/>
        </w:rPr>
        <w:t xml:space="preserve"> from funding agencies in the public, commercial or not-for-profit sectors.</w:t>
      </w:r>
    </w:p>
    <w:p w14:paraId="30B019D4" w14:textId="77777777" w:rsidR="00E325AB" w:rsidRDefault="00E325AB" w:rsidP="00D539F1">
      <w:pPr>
        <w:pStyle w:val="TEXT"/>
        <w:spacing w:line="480" w:lineRule="auto"/>
        <w:ind w:firstLine="0"/>
        <w:jc w:val="left"/>
        <w:rPr>
          <w:rFonts w:ascii="Times New Roman" w:hAnsi="Times New Roman"/>
          <w:sz w:val="24"/>
          <w:lang w:val="en-US"/>
        </w:rPr>
      </w:pPr>
    </w:p>
    <w:p w14:paraId="6D4FB42C" w14:textId="77777777" w:rsidR="00320DC9" w:rsidRPr="00E215E1" w:rsidRDefault="00320DC9" w:rsidP="00D539F1">
      <w:pPr>
        <w:pStyle w:val="TEXT"/>
        <w:spacing w:line="480" w:lineRule="auto"/>
        <w:ind w:firstLine="0"/>
        <w:jc w:val="left"/>
        <w:rPr>
          <w:rFonts w:ascii="Times New Roman" w:hAnsi="Times New Roman"/>
          <w:sz w:val="24"/>
          <w:lang w:val="en-US"/>
        </w:rPr>
      </w:pPr>
    </w:p>
    <w:p w14:paraId="7222331D" w14:textId="77777777" w:rsidR="00CB6FA4" w:rsidRPr="00D22AFF" w:rsidRDefault="00CB6FA4" w:rsidP="00D539F1">
      <w:pPr>
        <w:pStyle w:val="TITLE2"/>
        <w:spacing w:before="0" w:after="0" w:line="480" w:lineRule="auto"/>
        <w:jc w:val="left"/>
        <w:rPr>
          <w:rFonts w:ascii="Times New Roman" w:hAnsi="Times New Roman"/>
          <w:sz w:val="24"/>
          <w:lang w:val="it-IT"/>
        </w:rPr>
      </w:pPr>
      <w:r w:rsidRPr="00D22AFF">
        <w:rPr>
          <w:rFonts w:ascii="Times New Roman" w:hAnsi="Times New Roman"/>
          <w:sz w:val="24"/>
          <w:lang w:val="it-IT"/>
        </w:rPr>
        <w:t>REFERENCES</w:t>
      </w:r>
    </w:p>
    <w:p w14:paraId="03491112" w14:textId="5EBE9B1E" w:rsidR="00612CD7" w:rsidRPr="00E215E1" w:rsidRDefault="00612CD7" w:rsidP="00D539F1">
      <w:pPr>
        <w:pStyle w:val="REFERENCES"/>
        <w:spacing w:line="480" w:lineRule="auto"/>
        <w:ind w:left="0" w:firstLine="0"/>
        <w:jc w:val="left"/>
        <w:rPr>
          <w:rFonts w:ascii="Times New Roman" w:hAnsi="Times New Roman"/>
          <w:sz w:val="24"/>
          <w:szCs w:val="24"/>
          <w:lang w:val="en-US"/>
        </w:rPr>
      </w:pPr>
      <w:r w:rsidRPr="00320DC9">
        <w:rPr>
          <w:rFonts w:ascii="Times New Roman" w:hAnsi="Times New Roman"/>
          <w:sz w:val="24"/>
          <w:szCs w:val="24"/>
          <w:lang w:val="it-IT"/>
        </w:rPr>
        <w:t xml:space="preserve">Agovino, M., D’Uva M., Garofalo, A., Marchesano, K., 2018. </w:t>
      </w:r>
      <w:r w:rsidRPr="00320DC9">
        <w:rPr>
          <w:rFonts w:ascii="Times New Roman" w:hAnsi="Times New Roman"/>
          <w:sz w:val="24"/>
          <w:szCs w:val="24"/>
          <w:lang w:val="en-US"/>
        </w:rPr>
        <w:t xml:space="preserve">Waste management performance in Italian provinces: Efficiency and spatial effects of local governments and citizen action. </w:t>
      </w:r>
      <w:r w:rsidRPr="00CE1D8D">
        <w:rPr>
          <w:rFonts w:ascii="Times New Roman" w:hAnsi="Times New Roman"/>
          <w:sz w:val="24"/>
          <w:szCs w:val="24"/>
          <w:lang w:val="en-US"/>
        </w:rPr>
        <w:t>Ecol</w:t>
      </w:r>
      <w:r w:rsidR="00CE1D8D">
        <w:rPr>
          <w:rFonts w:ascii="Times New Roman" w:hAnsi="Times New Roman"/>
          <w:sz w:val="24"/>
          <w:szCs w:val="24"/>
          <w:lang w:val="en-US"/>
        </w:rPr>
        <w:t>.</w:t>
      </w:r>
      <w:r w:rsidRPr="00CE1D8D">
        <w:rPr>
          <w:rFonts w:ascii="Times New Roman" w:hAnsi="Times New Roman"/>
          <w:sz w:val="24"/>
          <w:szCs w:val="24"/>
          <w:lang w:val="en-US"/>
        </w:rPr>
        <w:t xml:space="preserve"> Indic</w:t>
      </w:r>
      <w:r w:rsidR="00CE1D8D">
        <w:rPr>
          <w:rFonts w:ascii="Times New Roman" w:hAnsi="Times New Roman"/>
          <w:sz w:val="24"/>
          <w:szCs w:val="24"/>
          <w:lang w:val="en-US"/>
        </w:rPr>
        <w:t>.</w:t>
      </w:r>
      <w:r w:rsidRPr="00320DC9">
        <w:rPr>
          <w:rFonts w:ascii="Times New Roman" w:hAnsi="Times New Roman"/>
          <w:sz w:val="24"/>
          <w:szCs w:val="24"/>
          <w:lang w:val="en-US"/>
        </w:rPr>
        <w:t xml:space="preserve"> 89, 680–695</w:t>
      </w:r>
      <w:r w:rsidR="00E93ECA">
        <w:rPr>
          <w:rFonts w:ascii="Times New Roman" w:hAnsi="Times New Roman"/>
          <w:sz w:val="24"/>
          <w:szCs w:val="24"/>
          <w:lang w:val="en-US"/>
        </w:rPr>
        <w:t>.</w:t>
      </w:r>
      <w:r w:rsidR="00CB5515">
        <w:rPr>
          <w:rFonts w:ascii="Times New Roman" w:hAnsi="Times New Roman"/>
          <w:sz w:val="24"/>
          <w:szCs w:val="24"/>
          <w:lang w:val="en-US"/>
        </w:rPr>
        <w:t xml:space="preserve"> </w:t>
      </w:r>
      <w:r w:rsidR="00CB5515" w:rsidRPr="003D73F3">
        <w:rPr>
          <w:rFonts w:ascii="Times New Roman" w:hAnsi="Times New Roman"/>
          <w:sz w:val="24"/>
          <w:szCs w:val="24"/>
          <w:lang w:val="en-US"/>
        </w:rPr>
        <w:t>https</w:t>
      </w:r>
      <w:r w:rsidR="00CB5515" w:rsidRPr="003D73F3">
        <w:t xml:space="preserve"> </w:t>
      </w:r>
      <w:r w:rsidR="00CB5515" w:rsidRPr="003D73F3">
        <w:rPr>
          <w:rFonts w:ascii="Times New Roman" w:hAnsi="Times New Roman"/>
          <w:sz w:val="24"/>
          <w:szCs w:val="24"/>
          <w:lang w:val="en-US"/>
        </w:rPr>
        <w:t>https://doi.org/10.1016/j.ecolind.2018.02.045</w:t>
      </w:r>
      <w:r w:rsidR="00CB5515">
        <w:rPr>
          <w:rFonts w:ascii="Times New Roman" w:hAnsi="Times New Roman"/>
          <w:sz w:val="24"/>
          <w:szCs w:val="24"/>
          <w:lang w:val="en-US"/>
        </w:rPr>
        <w:t>.</w:t>
      </w:r>
    </w:p>
    <w:p w14:paraId="2520836F" w14:textId="32D41033" w:rsidR="00612CD7" w:rsidRPr="00264B14" w:rsidRDefault="00612CD7" w:rsidP="00D539F1">
      <w:pPr>
        <w:pStyle w:val="REFERENCES"/>
        <w:spacing w:after="0" w:line="480" w:lineRule="auto"/>
        <w:ind w:left="0" w:firstLine="0"/>
        <w:jc w:val="left"/>
        <w:rPr>
          <w:rFonts w:ascii="Times New Roman" w:hAnsi="Times New Roman"/>
          <w:sz w:val="24"/>
          <w:szCs w:val="24"/>
          <w:lang w:val="fr-FR"/>
        </w:rPr>
      </w:pPr>
      <w:r w:rsidRPr="00E215E1">
        <w:rPr>
          <w:rFonts w:ascii="Times New Roman" w:hAnsi="Times New Roman"/>
          <w:sz w:val="24"/>
          <w:szCs w:val="24"/>
          <w:lang w:val="en-US"/>
        </w:rPr>
        <w:t xml:space="preserve">Akhshik, M., Panthapulakkal, S., Tjong, J., Sain, M., 2017. Life cycle assessment and cost analysis of hybrid fiber-reinforced engine beauty cover in comparison with glass fiber-reinforced counterpart. </w:t>
      </w:r>
      <w:r w:rsidRPr="00264B14">
        <w:rPr>
          <w:rFonts w:ascii="Times New Roman" w:hAnsi="Times New Roman"/>
          <w:sz w:val="24"/>
          <w:szCs w:val="24"/>
          <w:lang w:val="fr-FR"/>
        </w:rPr>
        <w:t>Environ</w:t>
      </w:r>
      <w:r w:rsidR="00264B14" w:rsidRPr="00264B14">
        <w:rPr>
          <w:rFonts w:ascii="Times New Roman" w:hAnsi="Times New Roman"/>
          <w:sz w:val="24"/>
          <w:szCs w:val="24"/>
          <w:lang w:val="fr-FR"/>
        </w:rPr>
        <w:t>.</w:t>
      </w:r>
      <w:r w:rsidRPr="00264B14">
        <w:rPr>
          <w:rFonts w:ascii="Times New Roman" w:hAnsi="Times New Roman"/>
          <w:sz w:val="24"/>
          <w:szCs w:val="24"/>
          <w:lang w:val="fr-FR"/>
        </w:rPr>
        <w:t xml:space="preserve"> Impact Asses</w:t>
      </w:r>
      <w:r w:rsidR="00264B14" w:rsidRPr="00264B14">
        <w:rPr>
          <w:rFonts w:ascii="Times New Roman" w:hAnsi="Times New Roman"/>
          <w:sz w:val="24"/>
          <w:szCs w:val="24"/>
          <w:lang w:val="fr-FR"/>
        </w:rPr>
        <w:t>.</w:t>
      </w:r>
      <w:r w:rsidRPr="00264B14">
        <w:rPr>
          <w:rFonts w:ascii="Times New Roman" w:hAnsi="Times New Roman"/>
          <w:sz w:val="24"/>
          <w:szCs w:val="24"/>
          <w:lang w:val="fr-FR"/>
        </w:rPr>
        <w:t xml:space="preserve"> 65, 111–117.</w:t>
      </w:r>
      <w:r w:rsidR="00CB5515" w:rsidRPr="00264B14">
        <w:rPr>
          <w:rFonts w:ascii="Times New Roman" w:hAnsi="Times New Roman"/>
          <w:sz w:val="24"/>
          <w:szCs w:val="24"/>
          <w:lang w:val="fr-FR"/>
        </w:rPr>
        <w:t xml:space="preserve"> https://doi.org/10.1016/j.eiar.2017.04.005.</w:t>
      </w:r>
    </w:p>
    <w:p w14:paraId="6B5EED06" w14:textId="48E2303C" w:rsidR="00612CD7" w:rsidRPr="008C56C7" w:rsidRDefault="00612CD7" w:rsidP="00D539F1">
      <w:pPr>
        <w:pStyle w:val="REFERENCES"/>
        <w:spacing w:after="0" w:line="480" w:lineRule="auto"/>
        <w:ind w:left="0" w:firstLine="0"/>
        <w:jc w:val="left"/>
        <w:rPr>
          <w:rFonts w:ascii="Times New Roman" w:hAnsi="Times New Roman"/>
          <w:sz w:val="24"/>
          <w:lang w:val="fr-FR"/>
        </w:rPr>
      </w:pPr>
      <w:r w:rsidRPr="008C56C7">
        <w:rPr>
          <w:rFonts w:ascii="Times New Roman" w:hAnsi="Times New Roman"/>
          <w:sz w:val="24"/>
          <w:lang w:val="fr-FR"/>
        </w:rPr>
        <w:t xml:space="preserve">Albores, P., Petridis, K., Dey, P.K., 2016. </w:t>
      </w:r>
      <w:r w:rsidRPr="00E215E1">
        <w:rPr>
          <w:rFonts w:ascii="Times New Roman" w:hAnsi="Times New Roman"/>
          <w:sz w:val="24"/>
          <w:lang w:val="en-US"/>
        </w:rPr>
        <w:t xml:space="preserve">Analysing efficiency of waste to energy systems: using data envelopment analysis in municipal solid waste management. </w:t>
      </w:r>
      <w:r w:rsidRPr="008C56C7">
        <w:rPr>
          <w:rFonts w:ascii="Times New Roman" w:hAnsi="Times New Roman"/>
          <w:sz w:val="24"/>
          <w:lang w:val="fr-FR"/>
        </w:rPr>
        <w:t>Procedia Environ</w:t>
      </w:r>
      <w:r w:rsidR="005A32AB" w:rsidRPr="008C56C7">
        <w:rPr>
          <w:rFonts w:ascii="Times New Roman" w:hAnsi="Times New Roman"/>
          <w:sz w:val="24"/>
          <w:lang w:val="fr-FR"/>
        </w:rPr>
        <w:t>.</w:t>
      </w:r>
      <w:r w:rsidRPr="008C56C7">
        <w:rPr>
          <w:rFonts w:ascii="Times New Roman" w:hAnsi="Times New Roman"/>
          <w:sz w:val="24"/>
          <w:lang w:val="fr-FR"/>
        </w:rPr>
        <w:t xml:space="preserve"> Sciences</w:t>
      </w:r>
      <w:r w:rsidR="005A32AB" w:rsidRPr="008C56C7">
        <w:rPr>
          <w:rFonts w:ascii="Times New Roman" w:hAnsi="Times New Roman"/>
          <w:sz w:val="24"/>
          <w:lang w:val="fr-FR"/>
        </w:rPr>
        <w:t>.</w:t>
      </w:r>
      <w:r w:rsidRPr="008C56C7">
        <w:rPr>
          <w:rFonts w:ascii="Times New Roman" w:hAnsi="Times New Roman"/>
          <w:sz w:val="24"/>
          <w:lang w:val="fr-FR"/>
        </w:rPr>
        <w:t xml:space="preserve"> 35, 265</w:t>
      </w:r>
      <w:r w:rsidR="00E93ECA" w:rsidRPr="008C56C7">
        <w:rPr>
          <w:rFonts w:ascii="Times New Roman" w:hAnsi="Times New Roman"/>
          <w:sz w:val="24"/>
          <w:szCs w:val="24"/>
          <w:lang w:val="fr-FR"/>
        </w:rPr>
        <w:t>–</w:t>
      </w:r>
      <w:r w:rsidRPr="008C56C7">
        <w:rPr>
          <w:rFonts w:ascii="Times New Roman" w:hAnsi="Times New Roman"/>
          <w:sz w:val="24"/>
          <w:lang w:val="fr-FR"/>
        </w:rPr>
        <w:t xml:space="preserve">278. </w:t>
      </w:r>
      <w:r w:rsidR="007528DC" w:rsidRPr="008C56C7">
        <w:rPr>
          <w:rFonts w:ascii="Times New Roman" w:hAnsi="Times New Roman"/>
          <w:sz w:val="24"/>
          <w:lang w:val="fr-FR"/>
        </w:rPr>
        <w:t>https://doi.org/10.1016/j.proenv.2016.07.007.</w:t>
      </w:r>
    </w:p>
    <w:p w14:paraId="1FE98110" w14:textId="39D1C9AF" w:rsidR="00572754" w:rsidRPr="000E04D2" w:rsidRDefault="00572754" w:rsidP="00D539F1">
      <w:pPr>
        <w:pStyle w:val="REFERENCES"/>
        <w:spacing w:after="0" w:line="480" w:lineRule="auto"/>
        <w:ind w:left="0" w:firstLine="0"/>
        <w:jc w:val="left"/>
        <w:rPr>
          <w:rFonts w:ascii="Times New Roman" w:hAnsi="Times New Roman"/>
          <w:sz w:val="24"/>
          <w:lang w:val="en-GB"/>
        </w:rPr>
      </w:pPr>
      <w:r w:rsidRPr="008C56C7">
        <w:rPr>
          <w:rFonts w:ascii="Times New Roman" w:hAnsi="Times New Roman"/>
          <w:sz w:val="24"/>
          <w:lang w:val="fr-FR"/>
        </w:rPr>
        <w:t xml:space="preserve">Ausloos, M., Cerqueti, R., 2016. </w:t>
      </w:r>
      <w:r w:rsidRPr="00E215E1">
        <w:rPr>
          <w:rFonts w:ascii="Times New Roman" w:hAnsi="Times New Roman"/>
          <w:sz w:val="24"/>
          <w:lang w:val="en-US"/>
        </w:rPr>
        <w:t>A universal rank-size law. </w:t>
      </w:r>
      <w:r w:rsidRPr="005A32AB">
        <w:rPr>
          <w:rFonts w:ascii="Times New Roman" w:hAnsi="Times New Roman"/>
          <w:sz w:val="24"/>
          <w:lang w:val="en-GB"/>
        </w:rPr>
        <w:t xml:space="preserve">PloS </w:t>
      </w:r>
      <w:r w:rsidR="00A06A82" w:rsidRPr="005A32AB">
        <w:rPr>
          <w:rFonts w:ascii="Times New Roman" w:hAnsi="Times New Roman"/>
          <w:sz w:val="24"/>
          <w:lang w:val="en-GB"/>
        </w:rPr>
        <w:t>O</w:t>
      </w:r>
      <w:r w:rsidRPr="005A32AB">
        <w:rPr>
          <w:rFonts w:ascii="Times New Roman" w:hAnsi="Times New Roman"/>
          <w:sz w:val="24"/>
          <w:lang w:val="en-GB"/>
        </w:rPr>
        <w:t>ne</w:t>
      </w:r>
      <w:r w:rsidR="007528DC">
        <w:rPr>
          <w:rFonts w:ascii="Times New Roman" w:hAnsi="Times New Roman"/>
          <w:sz w:val="24"/>
          <w:lang w:val="en-GB"/>
        </w:rPr>
        <w:t>.</w:t>
      </w:r>
      <w:r w:rsidRPr="000E04D2">
        <w:rPr>
          <w:rFonts w:ascii="Times New Roman" w:hAnsi="Times New Roman"/>
          <w:sz w:val="24"/>
          <w:lang w:val="en-GB"/>
        </w:rPr>
        <w:t xml:space="preserve"> 11(11), </w:t>
      </w:r>
      <w:r w:rsidR="008B05BA" w:rsidRPr="000E04D2">
        <w:rPr>
          <w:rFonts w:ascii="Times New Roman" w:hAnsi="Times New Roman"/>
          <w:sz w:val="24"/>
          <w:lang w:val="en-GB"/>
        </w:rPr>
        <w:t>1</w:t>
      </w:r>
      <w:r w:rsidR="007528DC" w:rsidRPr="00320DC9">
        <w:rPr>
          <w:rFonts w:ascii="Times New Roman" w:hAnsi="Times New Roman"/>
          <w:sz w:val="24"/>
          <w:szCs w:val="24"/>
          <w:lang w:val="en-US"/>
        </w:rPr>
        <w:t>–</w:t>
      </w:r>
      <w:r w:rsidR="008B05BA" w:rsidRPr="000E04D2">
        <w:rPr>
          <w:rFonts w:ascii="Times New Roman" w:hAnsi="Times New Roman"/>
          <w:sz w:val="24"/>
          <w:lang w:val="en-GB"/>
        </w:rPr>
        <w:t>15</w:t>
      </w:r>
      <w:r w:rsidRPr="000E04D2">
        <w:rPr>
          <w:rFonts w:ascii="Times New Roman" w:hAnsi="Times New Roman"/>
          <w:sz w:val="24"/>
          <w:lang w:val="en-GB"/>
        </w:rPr>
        <w:t>.</w:t>
      </w:r>
      <w:r w:rsidR="007528DC">
        <w:rPr>
          <w:rFonts w:ascii="Times New Roman" w:hAnsi="Times New Roman"/>
          <w:sz w:val="24"/>
          <w:lang w:val="en-GB"/>
        </w:rPr>
        <w:t xml:space="preserve"> </w:t>
      </w:r>
      <w:r w:rsidR="007528DC" w:rsidRPr="007528DC">
        <w:rPr>
          <w:rFonts w:ascii="Times New Roman" w:hAnsi="Times New Roman"/>
          <w:sz w:val="24"/>
          <w:lang w:val="en-GB"/>
        </w:rPr>
        <w:lastRenderedPageBreak/>
        <w:t>https://doi.org/10.1371/journal.pone.0166011</w:t>
      </w:r>
      <w:r w:rsidR="007528DC">
        <w:rPr>
          <w:rFonts w:ascii="Times New Roman" w:hAnsi="Times New Roman"/>
          <w:sz w:val="24"/>
          <w:lang w:val="en-GB"/>
        </w:rPr>
        <w:t>.</w:t>
      </w:r>
    </w:p>
    <w:p w14:paraId="53D986F6" w14:textId="049DFC47" w:rsidR="00A06A82" w:rsidRPr="005A32AB" w:rsidRDefault="00A06A82" w:rsidP="00D539F1">
      <w:pPr>
        <w:pStyle w:val="REFERENCES"/>
        <w:spacing w:after="0" w:line="480" w:lineRule="auto"/>
        <w:ind w:left="0" w:firstLine="0"/>
        <w:jc w:val="left"/>
        <w:rPr>
          <w:rFonts w:ascii="Times New Roman" w:hAnsi="Times New Roman"/>
          <w:sz w:val="24"/>
          <w:lang w:val="fr-FR"/>
        </w:rPr>
      </w:pPr>
      <w:r w:rsidRPr="00CF13A3">
        <w:rPr>
          <w:rFonts w:ascii="Times New Roman" w:hAnsi="Times New Roman"/>
          <w:sz w:val="24"/>
          <w:lang w:val="en-US"/>
        </w:rPr>
        <w:t xml:space="preserve">Axtell, R.L., 2001. Zipf distribution of US firm sizes. </w:t>
      </w:r>
      <w:r w:rsidRPr="005A32AB">
        <w:rPr>
          <w:rFonts w:ascii="Times New Roman" w:hAnsi="Times New Roman"/>
          <w:sz w:val="24"/>
          <w:lang w:val="fr-FR"/>
        </w:rPr>
        <w:t>Science</w:t>
      </w:r>
      <w:r w:rsidR="007528DC" w:rsidRPr="00CE1D8D">
        <w:rPr>
          <w:rFonts w:ascii="Times New Roman" w:hAnsi="Times New Roman"/>
          <w:sz w:val="24"/>
          <w:lang w:val="fr-FR"/>
        </w:rPr>
        <w:t>.</w:t>
      </w:r>
      <w:r w:rsidRPr="005A32AB">
        <w:rPr>
          <w:rFonts w:ascii="Times New Roman" w:hAnsi="Times New Roman"/>
          <w:sz w:val="24"/>
          <w:lang w:val="fr-FR"/>
        </w:rPr>
        <w:t xml:space="preserve"> 293(5536), 1818</w:t>
      </w:r>
      <w:r w:rsidR="00E93ECA" w:rsidRPr="005A32AB">
        <w:rPr>
          <w:rFonts w:ascii="Times New Roman" w:hAnsi="Times New Roman"/>
          <w:sz w:val="24"/>
          <w:szCs w:val="24"/>
          <w:lang w:val="fr-FR"/>
        </w:rPr>
        <w:t>–</w:t>
      </w:r>
      <w:r w:rsidRPr="005A32AB">
        <w:rPr>
          <w:rFonts w:ascii="Times New Roman" w:hAnsi="Times New Roman"/>
          <w:sz w:val="24"/>
          <w:lang w:val="fr-FR"/>
        </w:rPr>
        <w:t>1820.</w:t>
      </w:r>
      <w:r w:rsidR="007528DC" w:rsidRPr="005A32AB">
        <w:rPr>
          <w:rFonts w:ascii="Times New Roman" w:hAnsi="Times New Roman"/>
          <w:sz w:val="24"/>
          <w:lang w:val="fr-FR"/>
        </w:rPr>
        <w:t xml:space="preserve"> https://doi.org/10.1126/science.1062081.</w:t>
      </w:r>
    </w:p>
    <w:p w14:paraId="6291F893" w14:textId="1DC58CA2" w:rsidR="0023632D" w:rsidRPr="004D37B8" w:rsidRDefault="0023632D" w:rsidP="0023632D">
      <w:pPr>
        <w:pStyle w:val="TEXT"/>
        <w:spacing w:line="480" w:lineRule="auto"/>
        <w:ind w:firstLine="0"/>
        <w:jc w:val="left"/>
        <w:rPr>
          <w:rFonts w:ascii="Times New Roman" w:hAnsi="Times New Roman"/>
          <w:sz w:val="24"/>
        </w:rPr>
      </w:pPr>
      <w:r w:rsidRPr="00CE1D8D">
        <w:rPr>
          <w:rFonts w:ascii="Times New Roman" w:hAnsi="Times New Roman"/>
          <w:sz w:val="24"/>
        </w:rPr>
        <w:t xml:space="preserve">Bartolacci, F., Paolini, A., Quaranta, A.G., Soverchia, M., 2018(a). </w:t>
      </w:r>
      <w:r w:rsidRPr="00E215E1">
        <w:rPr>
          <w:rFonts w:ascii="Times New Roman" w:hAnsi="Times New Roman"/>
          <w:sz w:val="24"/>
          <w:lang w:val="en-US"/>
        </w:rPr>
        <w:t>Assessing factors that influence waste management financial sustainability. Waste Manage</w:t>
      </w:r>
      <w:r w:rsidR="00CB5515">
        <w:rPr>
          <w:rFonts w:ascii="Times New Roman" w:hAnsi="Times New Roman"/>
          <w:sz w:val="24"/>
          <w:lang w:val="en-US"/>
        </w:rPr>
        <w:t>.</w:t>
      </w:r>
      <w:r w:rsidRPr="00E215E1">
        <w:rPr>
          <w:rFonts w:ascii="Times New Roman" w:hAnsi="Times New Roman"/>
          <w:sz w:val="24"/>
          <w:lang w:val="en-US"/>
        </w:rPr>
        <w:t xml:space="preserve"> </w:t>
      </w:r>
      <w:r w:rsidRPr="004D37B8">
        <w:rPr>
          <w:rFonts w:ascii="Times New Roman" w:hAnsi="Times New Roman"/>
          <w:sz w:val="24"/>
        </w:rPr>
        <w:t>79, 571</w:t>
      </w:r>
      <w:r w:rsidR="00E93ECA" w:rsidRPr="004D37B8">
        <w:rPr>
          <w:rFonts w:ascii="Times New Roman" w:hAnsi="Times New Roman"/>
          <w:sz w:val="24"/>
        </w:rPr>
        <w:t>–</w:t>
      </w:r>
      <w:r w:rsidRPr="004D37B8">
        <w:rPr>
          <w:rFonts w:ascii="Times New Roman" w:hAnsi="Times New Roman"/>
          <w:sz w:val="24"/>
        </w:rPr>
        <w:t>579.</w:t>
      </w:r>
      <w:r w:rsidR="008B29CF" w:rsidRPr="004D37B8">
        <w:rPr>
          <w:rFonts w:ascii="Times New Roman" w:hAnsi="Times New Roman"/>
          <w:sz w:val="24"/>
        </w:rPr>
        <w:t xml:space="preserve"> https://doi.org/10.1016/j.wasman.2018.07.050.</w:t>
      </w:r>
    </w:p>
    <w:p w14:paraId="33B7FCC3" w14:textId="53018770" w:rsidR="00612CD7" w:rsidRPr="00E215E1" w:rsidRDefault="00612CD7" w:rsidP="00D539F1">
      <w:pPr>
        <w:pStyle w:val="REFERENCES"/>
        <w:spacing w:after="0" w:line="480" w:lineRule="auto"/>
        <w:ind w:left="0" w:firstLine="0"/>
        <w:jc w:val="left"/>
        <w:rPr>
          <w:rFonts w:ascii="Times New Roman" w:hAnsi="Times New Roman"/>
          <w:sz w:val="24"/>
          <w:szCs w:val="24"/>
          <w:lang w:val="en-US"/>
        </w:rPr>
      </w:pPr>
      <w:r w:rsidRPr="00F51A51">
        <w:rPr>
          <w:rFonts w:ascii="Times New Roman" w:hAnsi="Times New Roman"/>
          <w:sz w:val="24"/>
          <w:lang w:val="it-IT"/>
        </w:rPr>
        <w:t>Bartola</w:t>
      </w:r>
      <w:r w:rsidRPr="00F51A51">
        <w:rPr>
          <w:rFonts w:ascii="Times New Roman" w:hAnsi="Times New Roman"/>
          <w:sz w:val="24"/>
          <w:szCs w:val="24"/>
          <w:lang w:val="it-IT"/>
        </w:rPr>
        <w:t xml:space="preserve">cci, F., Paolini, A., Quaranta, A.G., Soverchia, M., </w:t>
      </w:r>
      <w:r w:rsidR="00056EB6" w:rsidRPr="00F51A51">
        <w:rPr>
          <w:rFonts w:ascii="Times New Roman" w:hAnsi="Times New Roman"/>
          <w:sz w:val="24"/>
          <w:szCs w:val="24"/>
          <w:lang w:val="it-IT"/>
        </w:rPr>
        <w:t>2018</w:t>
      </w:r>
      <w:r w:rsidR="00F00EA8" w:rsidRPr="00F51A51">
        <w:rPr>
          <w:rFonts w:ascii="Times New Roman" w:hAnsi="Times New Roman"/>
          <w:sz w:val="24"/>
          <w:szCs w:val="24"/>
          <w:lang w:val="it-IT"/>
        </w:rPr>
        <w:t>(</w:t>
      </w:r>
      <w:r w:rsidR="0023632D">
        <w:rPr>
          <w:rFonts w:ascii="Times New Roman" w:hAnsi="Times New Roman"/>
          <w:sz w:val="24"/>
          <w:szCs w:val="24"/>
          <w:lang w:val="it-IT"/>
        </w:rPr>
        <w:t>b</w:t>
      </w:r>
      <w:r w:rsidR="00F00EA8" w:rsidRPr="00F51A51">
        <w:rPr>
          <w:rFonts w:ascii="Times New Roman" w:hAnsi="Times New Roman"/>
          <w:sz w:val="24"/>
          <w:szCs w:val="24"/>
          <w:lang w:val="it-IT"/>
        </w:rPr>
        <w:t>)</w:t>
      </w:r>
      <w:r w:rsidR="00056EB6" w:rsidRPr="00F51A51">
        <w:rPr>
          <w:rFonts w:ascii="Times New Roman" w:hAnsi="Times New Roman"/>
          <w:sz w:val="24"/>
          <w:szCs w:val="24"/>
          <w:lang w:val="it-IT"/>
        </w:rPr>
        <w:t xml:space="preserve">. </w:t>
      </w:r>
      <w:r w:rsidRPr="00E215E1">
        <w:rPr>
          <w:rFonts w:ascii="Times New Roman" w:hAnsi="Times New Roman"/>
          <w:sz w:val="24"/>
          <w:szCs w:val="24"/>
          <w:lang w:val="en-US"/>
        </w:rPr>
        <w:t>The relationship between good environmental practices and financial performance: evidence from Italian waste management companies</w:t>
      </w:r>
      <w:r w:rsidR="00F00EA8" w:rsidRPr="00E215E1">
        <w:rPr>
          <w:rFonts w:ascii="Times New Roman" w:hAnsi="Times New Roman"/>
          <w:sz w:val="24"/>
          <w:szCs w:val="24"/>
          <w:lang w:val="en-US"/>
        </w:rPr>
        <w:t xml:space="preserve">. </w:t>
      </w:r>
      <w:r w:rsidRPr="00E215E1">
        <w:rPr>
          <w:rFonts w:ascii="Times New Roman" w:hAnsi="Times New Roman"/>
          <w:sz w:val="24"/>
          <w:szCs w:val="24"/>
          <w:lang w:val="en-US"/>
        </w:rPr>
        <w:t>Sustain</w:t>
      </w:r>
      <w:r w:rsidR="008B29CF">
        <w:rPr>
          <w:rFonts w:ascii="Times New Roman" w:hAnsi="Times New Roman"/>
          <w:sz w:val="24"/>
          <w:szCs w:val="24"/>
          <w:lang w:val="en-US"/>
        </w:rPr>
        <w:t>.</w:t>
      </w:r>
      <w:r w:rsidRPr="00E215E1">
        <w:rPr>
          <w:rFonts w:ascii="Times New Roman" w:hAnsi="Times New Roman"/>
          <w:sz w:val="24"/>
          <w:szCs w:val="24"/>
          <w:lang w:val="en-US"/>
        </w:rPr>
        <w:t xml:space="preserve"> Prod</w:t>
      </w:r>
      <w:r w:rsidR="008B29CF">
        <w:rPr>
          <w:rFonts w:ascii="Times New Roman" w:hAnsi="Times New Roman"/>
          <w:sz w:val="24"/>
          <w:szCs w:val="24"/>
          <w:lang w:val="en-US"/>
        </w:rPr>
        <w:t>.</w:t>
      </w:r>
      <w:r w:rsidRPr="00E215E1">
        <w:rPr>
          <w:rFonts w:ascii="Times New Roman" w:hAnsi="Times New Roman"/>
          <w:sz w:val="24"/>
          <w:szCs w:val="24"/>
          <w:lang w:val="en-US"/>
        </w:rPr>
        <w:t xml:space="preserve"> Consum</w:t>
      </w:r>
      <w:r w:rsidR="008B29CF">
        <w:rPr>
          <w:rFonts w:ascii="Times New Roman" w:hAnsi="Times New Roman"/>
          <w:sz w:val="24"/>
          <w:szCs w:val="24"/>
          <w:lang w:val="en-US"/>
        </w:rPr>
        <w:t>.</w:t>
      </w:r>
      <w:r w:rsidRPr="00E215E1">
        <w:rPr>
          <w:rFonts w:ascii="Times New Roman" w:hAnsi="Times New Roman"/>
          <w:sz w:val="24"/>
          <w:szCs w:val="24"/>
          <w:lang w:val="en-US"/>
        </w:rPr>
        <w:t xml:space="preserve"> 14, 129</w:t>
      </w:r>
      <w:r w:rsidR="00E93ECA" w:rsidRPr="00320DC9">
        <w:rPr>
          <w:rFonts w:ascii="Times New Roman" w:hAnsi="Times New Roman"/>
          <w:sz w:val="24"/>
          <w:szCs w:val="24"/>
          <w:lang w:val="en-US"/>
        </w:rPr>
        <w:t>–</w:t>
      </w:r>
      <w:r w:rsidRPr="00E215E1">
        <w:rPr>
          <w:rFonts w:ascii="Times New Roman" w:hAnsi="Times New Roman"/>
          <w:sz w:val="24"/>
          <w:szCs w:val="24"/>
          <w:lang w:val="en-US"/>
        </w:rPr>
        <w:t>135</w:t>
      </w:r>
      <w:r w:rsidR="00056EB6" w:rsidRPr="00E215E1">
        <w:rPr>
          <w:rFonts w:ascii="Times New Roman" w:hAnsi="Times New Roman"/>
          <w:sz w:val="24"/>
          <w:szCs w:val="24"/>
          <w:lang w:val="en-US"/>
        </w:rPr>
        <w:t>.</w:t>
      </w:r>
      <w:r w:rsidR="008B29CF">
        <w:rPr>
          <w:rFonts w:ascii="Times New Roman" w:hAnsi="Times New Roman"/>
          <w:sz w:val="24"/>
          <w:szCs w:val="24"/>
          <w:lang w:val="en-US"/>
        </w:rPr>
        <w:t xml:space="preserve"> </w:t>
      </w:r>
      <w:r w:rsidR="008B29CF" w:rsidRPr="008B29CF">
        <w:rPr>
          <w:rFonts w:ascii="Times New Roman" w:hAnsi="Times New Roman"/>
          <w:sz w:val="24"/>
          <w:szCs w:val="24"/>
          <w:lang w:val="en-US"/>
        </w:rPr>
        <w:t>https://doi.org/10.1016/j.spc.2018.02.002</w:t>
      </w:r>
      <w:r w:rsidR="008B29CF">
        <w:rPr>
          <w:rFonts w:ascii="Times New Roman" w:hAnsi="Times New Roman"/>
          <w:sz w:val="24"/>
          <w:szCs w:val="24"/>
          <w:lang w:val="en-US"/>
        </w:rPr>
        <w:t>.</w:t>
      </w:r>
    </w:p>
    <w:p w14:paraId="2954F0A6" w14:textId="6A95E0D5" w:rsidR="00612CD7" w:rsidRPr="004D37B8" w:rsidRDefault="00612CD7" w:rsidP="00D539F1">
      <w:pPr>
        <w:pStyle w:val="TEXT"/>
        <w:spacing w:line="480" w:lineRule="auto"/>
        <w:ind w:firstLine="0"/>
        <w:jc w:val="left"/>
        <w:rPr>
          <w:rFonts w:ascii="Times New Roman" w:hAnsi="Times New Roman"/>
          <w:sz w:val="24"/>
        </w:rPr>
      </w:pPr>
      <w:r w:rsidRPr="00E215E1">
        <w:rPr>
          <w:rFonts w:ascii="Times New Roman" w:hAnsi="Times New Roman"/>
          <w:sz w:val="24"/>
          <w:lang w:val="en-US"/>
        </w:rPr>
        <w:t xml:space="preserve">Beigl, P., Salhofer, S., 2004. Comparison of ecological effects and costs of communal waste management systems. </w:t>
      </w:r>
      <w:r w:rsidRPr="004D37B8">
        <w:rPr>
          <w:rFonts w:ascii="Times New Roman" w:hAnsi="Times New Roman"/>
          <w:sz w:val="24"/>
        </w:rPr>
        <w:t>Resour</w:t>
      </w:r>
      <w:r w:rsidR="008B29CF" w:rsidRPr="004D37B8">
        <w:rPr>
          <w:rFonts w:ascii="Times New Roman" w:hAnsi="Times New Roman"/>
          <w:sz w:val="24"/>
        </w:rPr>
        <w:t>.</w:t>
      </w:r>
      <w:r w:rsidRPr="004D37B8">
        <w:rPr>
          <w:rFonts w:ascii="Times New Roman" w:hAnsi="Times New Roman"/>
          <w:sz w:val="24"/>
        </w:rPr>
        <w:t xml:space="preserve"> Conserv</w:t>
      </w:r>
      <w:r w:rsidR="008B29CF" w:rsidRPr="004D37B8">
        <w:rPr>
          <w:rFonts w:ascii="Times New Roman" w:hAnsi="Times New Roman"/>
          <w:sz w:val="24"/>
        </w:rPr>
        <w:t>.</w:t>
      </w:r>
      <w:r w:rsidRPr="004D37B8">
        <w:rPr>
          <w:rFonts w:ascii="Times New Roman" w:hAnsi="Times New Roman"/>
          <w:sz w:val="24"/>
        </w:rPr>
        <w:t xml:space="preserve"> Recy</w:t>
      </w:r>
      <w:r w:rsidR="008B29CF" w:rsidRPr="004D37B8">
        <w:rPr>
          <w:rFonts w:ascii="Times New Roman" w:hAnsi="Times New Roman"/>
          <w:sz w:val="24"/>
        </w:rPr>
        <w:t>.</w:t>
      </w:r>
      <w:r w:rsidRPr="004D37B8">
        <w:rPr>
          <w:rFonts w:ascii="Times New Roman" w:hAnsi="Times New Roman"/>
          <w:sz w:val="24"/>
        </w:rPr>
        <w:t xml:space="preserve"> 41</w:t>
      </w:r>
      <w:r w:rsidR="008B29CF" w:rsidRPr="004D37B8">
        <w:rPr>
          <w:rFonts w:ascii="Times New Roman" w:hAnsi="Times New Roman"/>
          <w:sz w:val="24"/>
        </w:rPr>
        <w:t>(2)</w:t>
      </w:r>
      <w:r w:rsidRPr="004D37B8">
        <w:rPr>
          <w:rFonts w:ascii="Times New Roman" w:hAnsi="Times New Roman"/>
          <w:sz w:val="24"/>
        </w:rPr>
        <w:t>, 83–102.</w:t>
      </w:r>
      <w:r w:rsidR="008B29CF" w:rsidRPr="004D37B8">
        <w:rPr>
          <w:rFonts w:ascii="Times New Roman" w:hAnsi="Times New Roman"/>
          <w:sz w:val="24"/>
        </w:rPr>
        <w:t xml:space="preserve"> https://doi.org/10.1016/j.resconrec.2003.08.007.</w:t>
      </w:r>
    </w:p>
    <w:p w14:paraId="3AA0D16B" w14:textId="41715218" w:rsidR="00612CD7" w:rsidRPr="008B29CF" w:rsidRDefault="00612CD7" w:rsidP="008B29CF">
      <w:pPr>
        <w:pStyle w:val="TEXT"/>
        <w:spacing w:line="480" w:lineRule="auto"/>
        <w:ind w:firstLine="0"/>
        <w:jc w:val="left"/>
        <w:rPr>
          <w:rFonts w:ascii="Times New Roman" w:hAnsi="Times New Roman"/>
          <w:sz w:val="24"/>
          <w:lang w:val="en-US"/>
        </w:rPr>
      </w:pPr>
      <w:r w:rsidRPr="004D37B8">
        <w:rPr>
          <w:rFonts w:ascii="Times New Roman" w:hAnsi="Times New Roman"/>
          <w:sz w:val="24"/>
        </w:rPr>
        <w:t xml:space="preserve">Benito-López, B., del Rocio Moreno-Enguix, M., Solana-Ibañez, J., 2011. </w:t>
      </w:r>
      <w:r w:rsidRPr="00E215E1">
        <w:rPr>
          <w:rFonts w:ascii="Times New Roman" w:hAnsi="Times New Roman"/>
          <w:sz w:val="24"/>
          <w:lang w:val="en-US"/>
        </w:rPr>
        <w:t>Determinants of efficiency in the provision of municipal street-cleaning and refuse collection services. Waste Manage</w:t>
      </w:r>
      <w:r w:rsidR="00CB5515">
        <w:rPr>
          <w:rFonts w:ascii="Times New Roman" w:hAnsi="Times New Roman"/>
          <w:sz w:val="24"/>
          <w:lang w:val="en-US"/>
        </w:rPr>
        <w:t>.</w:t>
      </w:r>
      <w:r w:rsidRPr="00E215E1">
        <w:rPr>
          <w:rFonts w:ascii="Times New Roman" w:hAnsi="Times New Roman"/>
          <w:sz w:val="24"/>
          <w:lang w:val="en-US"/>
        </w:rPr>
        <w:t xml:space="preserve"> 31, 1099</w:t>
      </w:r>
      <w:r w:rsidR="00E93ECA" w:rsidRPr="00320DC9">
        <w:rPr>
          <w:rFonts w:ascii="Times New Roman" w:hAnsi="Times New Roman"/>
          <w:sz w:val="24"/>
          <w:lang w:val="en-US"/>
        </w:rPr>
        <w:t>–</w:t>
      </w:r>
      <w:r w:rsidRPr="00E215E1">
        <w:rPr>
          <w:rFonts w:ascii="Times New Roman" w:hAnsi="Times New Roman"/>
          <w:sz w:val="24"/>
          <w:lang w:val="en-US"/>
        </w:rPr>
        <w:t>1108.</w:t>
      </w:r>
      <w:r w:rsidR="008B29CF">
        <w:rPr>
          <w:rFonts w:ascii="Times New Roman" w:hAnsi="Times New Roman"/>
          <w:sz w:val="24"/>
          <w:lang w:val="en-US"/>
        </w:rPr>
        <w:t xml:space="preserve"> </w:t>
      </w:r>
      <w:r w:rsidR="008B29CF" w:rsidRPr="008B29CF">
        <w:rPr>
          <w:rFonts w:ascii="Times New Roman" w:hAnsi="Times New Roman"/>
          <w:sz w:val="24"/>
          <w:lang w:val="en-US"/>
        </w:rPr>
        <w:t>https://doi.org/10.1016/j.wasman.2011.01.019</w:t>
      </w:r>
      <w:r w:rsidR="008B29CF">
        <w:rPr>
          <w:rFonts w:ascii="Times New Roman" w:hAnsi="Times New Roman"/>
          <w:sz w:val="24"/>
          <w:lang w:val="en-US"/>
        </w:rPr>
        <w:t>.</w:t>
      </w:r>
    </w:p>
    <w:p w14:paraId="468EC9CA" w14:textId="67177447" w:rsidR="00612CD7" w:rsidRPr="005009C1" w:rsidRDefault="00612CD7" w:rsidP="00D539F1">
      <w:pPr>
        <w:pStyle w:val="REFERENCES"/>
        <w:spacing w:after="0" w:line="480" w:lineRule="auto"/>
        <w:ind w:left="0" w:firstLine="0"/>
        <w:jc w:val="left"/>
        <w:rPr>
          <w:rFonts w:ascii="Times New Roman" w:hAnsi="Times New Roman"/>
          <w:sz w:val="24"/>
          <w:szCs w:val="24"/>
          <w:lang w:val="fr-FR"/>
        </w:rPr>
      </w:pPr>
      <w:r w:rsidRPr="00E215E1">
        <w:rPr>
          <w:rFonts w:ascii="Times New Roman" w:hAnsi="Times New Roman"/>
          <w:sz w:val="24"/>
          <w:szCs w:val="24"/>
          <w:lang w:val="en-US"/>
        </w:rPr>
        <w:t xml:space="preserve">Bergeron, F.C., 2017. Analytical method of waste allocation in waste management systems: Concept, method and case study. </w:t>
      </w:r>
      <w:r w:rsidRPr="005009C1">
        <w:rPr>
          <w:rFonts w:ascii="Times New Roman" w:hAnsi="Times New Roman"/>
          <w:sz w:val="24"/>
          <w:szCs w:val="24"/>
          <w:lang w:val="fr-FR"/>
        </w:rPr>
        <w:t>Environ</w:t>
      </w:r>
      <w:r w:rsidR="00264B14" w:rsidRPr="005009C1">
        <w:rPr>
          <w:rFonts w:ascii="Times New Roman" w:hAnsi="Times New Roman"/>
          <w:sz w:val="24"/>
          <w:szCs w:val="24"/>
          <w:lang w:val="fr-FR"/>
        </w:rPr>
        <w:t>.</w:t>
      </w:r>
      <w:r w:rsidRPr="005009C1">
        <w:rPr>
          <w:rFonts w:ascii="Times New Roman" w:hAnsi="Times New Roman"/>
          <w:sz w:val="24"/>
          <w:szCs w:val="24"/>
          <w:lang w:val="fr-FR"/>
        </w:rPr>
        <w:t xml:space="preserve"> Impact Asses</w:t>
      </w:r>
      <w:r w:rsidR="00264B14" w:rsidRPr="005009C1">
        <w:rPr>
          <w:rFonts w:ascii="Times New Roman" w:hAnsi="Times New Roman"/>
          <w:sz w:val="24"/>
          <w:szCs w:val="24"/>
          <w:lang w:val="fr-FR"/>
        </w:rPr>
        <w:t>.</w:t>
      </w:r>
      <w:r w:rsidRPr="005009C1">
        <w:rPr>
          <w:rFonts w:ascii="Times New Roman" w:hAnsi="Times New Roman"/>
          <w:sz w:val="24"/>
          <w:szCs w:val="24"/>
          <w:lang w:val="fr-FR"/>
        </w:rPr>
        <w:t xml:space="preserve"> 62, 35</w:t>
      </w:r>
      <w:r w:rsidR="00E93ECA" w:rsidRPr="005009C1">
        <w:rPr>
          <w:rFonts w:ascii="Times New Roman" w:hAnsi="Times New Roman"/>
          <w:sz w:val="24"/>
          <w:szCs w:val="24"/>
          <w:lang w:val="fr-FR"/>
        </w:rPr>
        <w:t>–</w:t>
      </w:r>
      <w:r w:rsidRPr="005009C1">
        <w:rPr>
          <w:rFonts w:ascii="Times New Roman" w:hAnsi="Times New Roman"/>
          <w:sz w:val="24"/>
          <w:szCs w:val="24"/>
          <w:lang w:val="fr-FR"/>
        </w:rPr>
        <w:t>48.</w:t>
      </w:r>
      <w:r w:rsidR="008B29CF" w:rsidRPr="005009C1">
        <w:rPr>
          <w:rFonts w:ascii="Times New Roman" w:hAnsi="Times New Roman"/>
          <w:sz w:val="24"/>
          <w:szCs w:val="24"/>
          <w:lang w:val="fr-FR"/>
        </w:rPr>
        <w:t xml:space="preserve"> https://doi.org/10.1016/j.eiar.2016.10.001.</w:t>
      </w:r>
    </w:p>
    <w:p w14:paraId="25C64D7E" w14:textId="1A3D2D55" w:rsidR="00A06A82" w:rsidRPr="00A00D0E" w:rsidRDefault="00A06A82" w:rsidP="00A06A82">
      <w:pPr>
        <w:pStyle w:val="REFERENCES"/>
        <w:spacing w:after="0" w:line="480" w:lineRule="auto"/>
        <w:ind w:left="0" w:firstLine="0"/>
        <w:rPr>
          <w:rFonts w:ascii="Times New Roman" w:hAnsi="Times New Roman"/>
          <w:sz w:val="24"/>
          <w:szCs w:val="24"/>
          <w:lang w:val="en-US"/>
        </w:rPr>
      </w:pPr>
      <w:r w:rsidRPr="005009C1">
        <w:rPr>
          <w:rFonts w:ascii="Times New Roman" w:hAnsi="Times New Roman"/>
          <w:sz w:val="24"/>
          <w:szCs w:val="24"/>
          <w:lang w:val="fr-FR"/>
        </w:rPr>
        <w:t xml:space="preserve">Bottazzi, G., Pirino, D., Tamagni, F., 2015. </w:t>
      </w:r>
      <w:r w:rsidRPr="00A00D0E">
        <w:rPr>
          <w:rFonts w:ascii="Times New Roman" w:hAnsi="Times New Roman"/>
          <w:sz w:val="24"/>
          <w:szCs w:val="24"/>
          <w:lang w:val="en-US"/>
        </w:rPr>
        <w:t>Zipf law and the firm size distribution: a critical discussion of</w:t>
      </w:r>
      <w:r>
        <w:rPr>
          <w:rFonts w:ascii="Times New Roman" w:hAnsi="Times New Roman"/>
          <w:sz w:val="24"/>
          <w:szCs w:val="24"/>
          <w:lang w:val="en-US"/>
        </w:rPr>
        <w:t xml:space="preserve"> </w:t>
      </w:r>
      <w:r w:rsidRPr="00A00D0E">
        <w:rPr>
          <w:rFonts w:ascii="Times New Roman" w:hAnsi="Times New Roman"/>
          <w:sz w:val="24"/>
          <w:szCs w:val="24"/>
          <w:lang w:val="en-US"/>
        </w:rPr>
        <w:t>popular estimators. J</w:t>
      </w:r>
      <w:r w:rsidR="008B29CF">
        <w:rPr>
          <w:rFonts w:ascii="Times New Roman" w:hAnsi="Times New Roman"/>
          <w:sz w:val="24"/>
          <w:szCs w:val="24"/>
          <w:lang w:val="en-US"/>
        </w:rPr>
        <w:t xml:space="preserve">. </w:t>
      </w:r>
      <w:r w:rsidRPr="00A00D0E">
        <w:rPr>
          <w:rFonts w:ascii="Times New Roman" w:hAnsi="Times New Roman"/>
          <w:sz w:val="24"/>
          <w:szCs w:val="24"/>
          <w:lang w:val="en-US"/>
        </w:rPr>
        <w:t>Evol</w:t>
      </w:r>
      <w:r w:rsidR="008B29CF">
        <w:rPr>
          <w:rFonts w:ascii="Times New Roman" w:hAnsi="Times New Roman"/>
          <w:sz w:val="24"/>
          <w:szCs w:val="24"/>
          <w:lang w:val="en-US"/>
        </w:rPr>
        <w:t xml:space="preserve">. </w:t>
      </w:r>
      <w:r w:rsidRPr="00A00D0E">
        <w:rPr>
          <w:rFonts w:ascii="Times New Roman" w:hAnsi="Times New Roman"/>
          <w:sz w:val="24"/>
          <w:szCs w:val="24"/>
          <w:lang w:val="en-US"/>
        </w:rPr>
        <w:t>Econ</w:t>
      </w:r>
      <w:r w:rsidR="008B29CF">
        <w:rPr>
          <w:rFonts w:ascii="Times New Roman" w:hAnsi="Times New Roman"/>
          <w:sz w:val="24"/>
          <w:szCs w:val="24"/>
          <w:lang w:val="en-US"/>
        </w:rPr>
        <w:t>.</w:t>
      </w:r>
      <w:r w:rsidRPr="00A00D0E">
        <w:rPr>
          <w:rFonts w:ascii="Times New Roman" w:hAnsi="Times New Roman"/>
          <w:sz w:val="24"/>
          <w:szCs w:val="24"/>
          <w:lang w:val="en-US"/>
        </w:rPr>
        <w:t xml:space="preserve"> 25(3), 585</w:t>
      </w:r>
      <w:r w:rsidR="00E93ECA" w:rsidRPr="00320DC9">
        <w:rPr>
          <w:rFonts w:ascii="Times New Roman" w:hAnsi="Times New Roman"/>
          <w:sz w:val="24"/>
          <w:szCs w:val="24"/>
          <w:lang w:val="en-US"/>
        </w:rPr>
        <w:t>–</w:t>
      </w:r>
      <w:r w:rsidRPr="00A00D0E">
        <w:rPr>
          <w:rFonts w:ascii="Times New Roman" w:hAnsi="Times New Roman"/>
          <w:sz w:val="24"/>
          <w:szCs w:val="24"/>
          <w:lang w:val="en-US"/>
        </w:rPr>
        <w:t xml:space="preserve">610. </w:t>
      </w:r>
      <w:r w:rsidR="008B29CF" w:rsidRPr="008B29CF">
        <w:rPr>
          <w:rFonts w:ascii="Times New Roman" w:hAnsi="Times New Roman"/>
          <w:sz w:val="24"/>
          <w:szCs w:val="24"/>
          <w:lang w:val="en-US"/>
        </w:rPr>
        <w:t>https://doi.org/10.1007/s00191-015-0395-7</w:t>
      </w:r>
      <w:r w:rsidR="008B29CF">
        <w:rPr>
          <w:rFonts w:ascii="Times New Roman" w:hAnsi="Times New Roman"/>
          <w:sz w:val="24"/>
          <w:szCs w:val="24"/>
          <w:lang w:val="en-US"/>
        </w:rPr>
        <w:t>.</w:t>
      </w:r>
    </w:p>
    <w:p w14:paraId="2CD66D46" w14:textId="56DB1FDC" w:rsidR="00572754" w:rsidRPr="00E215E1" w:rsidRDefault="00572754" w:rsidP="00D539F1">
      <w:pPr>
        <w:pStyle w:val="REFERENCES"/>
        <w:spacing w:after="0" w:line="480" w:lineRule="auto"/>
        <w:ind w:left="0" w:firstLine="0"/>
        <w:jc w:val="left"/>
        <w:rPr>
          <w:rFonts w:ascii="Times New Roman" w:hAnsi="Times New Roman"/>
          <w:sz w:val="24"/>
          <w:lang w:val="en-US"/>
        </w:rPr>
      </w:pPr>
      <w:r w:rsidRPr="00513835">
        <w:rPr>
          <w:rFonts w:ascii="Times New Roman" w:hAnsi="Times New Roman"/>
          <w:sz w:val="24"/>
          <w:lang w:val="en-US"/>
        </w:rPr>
        <w:t xml:space="preserve">Cerqueti, R., Ausloos, M., 2015a. </w:t>
      </w:r>
      <w:r w:rsidRPr="00E215E1">
        <w:rPr>
          <w:rFonts w:ascii="Times New Roman" w:hAnsi="Times New Roman"/>
          <w:sz w:val="24"/>
          <w:lang w:val="en-US"/>
        </w:rPr>
        <w:t>Cross ranking of cities and regions: population versus income. Journal of Stat</w:t>
      </w:r>
      <w:r w:rsidR="008B29CF">
        <w:rPr>
          <w:rFonts w:ascii="Times New Roman" w:hAnsi="Times New Roman"/>
          <w:sz w:val="24"/>
          <w:lang w:val="en-US"/>
        </w:rPr>
        <w:t>.</w:t>
      </w:r>
      <w:r w:rsidRPr="00E215E1">
        <w:rPr>
          <w:rFonts w:ascii="Times New Roman" w:hAnsi="Times New Roman"/>
          <w:sz w:val="24"/>
          <w:lang w:val="en-US"/>
        </w:rPr>
        <w:t xml:space="preserve"> Mech</w:t>
      </w:r>
      <w:r w:rsidR="008B29CF">
        <w:rPr>
          <w:rFonts w:ascii="Times New Roman" w:hAnsi="Times New Roman"/>
          <w:sz w:val="24"/>
          <w:lang w:val="en-US"/>
        </w:rPr>
        <w:t>-</w:t>
      </w:r>
      <w:r w:rsidRPr="00E215E1">
        <w:rPr>
          <w:rFonts w:ascii="Times New Roman" w:hAnsi="Times New Roman"/>
          <w:sz w:val="24"/>
          <w:lang w:val="en-US"/>
        </w:rPr>
        <w:t>Theory E</w:t>
      </w:r>
      <w:r w:rsidR="003E43B1">
        <w:rPr>
          <w:rFonts w:ascii="Times New Roman" w:hAnsi="Times New Roman"/>
          <w:sz w:val="24"/>
          <w:lang w:val="en-US"/>
        </w:rPr>
        <w:t>.</w:t>
      </w:r>
      <w:r w:rsidRPr="00E215E1">
        <w:rPr>
          <w:rFonts w:ascii="Times New Roman" w:hAnsi="Times New Roman"/>
          <w:sz w:val="24"/>
          <w:lang w:val="en-US"/>
        </w:rPr>
        <w:t xml:space="preserve"> 7, </w:t>
      </w:r>
      <w:r w:rsidR="0072178C">
        <w:rPr>
          <w:rFonts w:ascii="Times New Roman" w:hAnsi="Times New Roman"/>
          <w:sz w:val="24"/>
          <w:lang w:val="en-US"/>
        </w:rPr>
        <w:t>1</w:t>
      </w:r>
      <w:r w:rsidR="00E93ECA" w:rsidRPr="00320DC9">
        <w:rPr>
          <w:rFonts w:ascii="Times New Roman" w:hAnsi="Times New Roman"/>
          <w:sz w:val="24"/>
          <w:szCs w:val="24"/>
          <w:lang w:val="en-US"/>
        </w:rPr>
        <w:t>–</w:t>
      </w:r>
      <w:r w:rsidR="0072178C">
        <w:rPr>
          <w:rFonts w:ascii="Times New Roman" w:hAnsi="Times New Roman"/>
          <w:sz w:val="24"/>
          <w:lang w:val="en-US"/>
        </w:rPr>
        <w:t>28</w:t>
      </w:r>
      <w:r w:rsidRPr="00E215E1">
        <w:rPr>
          <w:rFonts w:ascii="Times New Roman" w:hAnsi="Times New Roman"/>
          <w:sz w:val="24"/>
          <w:lang w:val="en-US"/>
        </w:rPr>
        <w:t>.</w:t>
      </w:r>
      <w:r w:rsidR="003E43B1">
        <w:rPr>
          <w:rFonts w:ascii="Times New Roman" w:hAnsi="Times New Roman"/>
          <w:sz w:val="24"/>
          <w:lang w:val="en-US"/>
        </w:rPr>
        <w:t xml:space="preserve"> </w:t>
      </w:r>
      <w:r w:rsidR="003E43B1" w:rsidRPr="008B29CF">
        <w:rPr>
          <w:rFonts w:ascii="Times New Roman" w:hAnsi="Times New Roman"/>
          <w:sz w:val="24"/>
          <w:szCs w:val="24"/>
          <w:lang w:val="en-US"/>
        </w:rPr>
        <w:t>https://doi.org/</w:t>
      </w:r>
      <w:r w:rsidR="003E43B1" w:rsidRPr="003E43B1">
        <w:rPr>
          <w:rFonts w:ascii="Times New Roman" w:hAnsi="Times New Roman"/>
          <w:sz w:val="24"/>
          <w:lang w:val="en-US"/>
        </w:rPr>
        <w:t>10.1088/1742-5468/2015/00/000000</w:t>
      </w:r>
      <w:r w:rsidR="003E43B1">
        <w:rPr>
          <w:rFonts w:ascii="Times New Roman" w:hAnsi="Times New Roman"/>
          <w:sz w:val="24"/>
          <w:lang w:val="en-US"/>
        </w:rPr>
        <w:t>.</w:t>
      </w:r>
    </w:p>
    <w:p w14:paraId="1A88CE8A" w14:textId="6494A28A" w:rsidR="00572754" w:rsidRPr="008C56C7" w:rsidRDefault="00572754" w:rsidP="00D539F1">
      <w:pPr>
        <w:pStyle w:val="REFERENCES"/>
        <w:spacing w:after="0" w:line="480" w:lineRule="auto"/>
        <w:ind w:left="0" w:firstLine="0"/>
        <w:jc w:val="left"/>
        <w:rPr>
          <w:rFonts w:ascii="Times New Roman" w:hAnsi="Times New Roman"/>
          <w:sz w:val="24"/>
          <w:lang w:val="it-IT"/>
        </w:rPr>
      </w:pPr>
      <w:r w:rsidRPr="00513835">
        <w:rPr>
          <w:rFonts w:ascii="Times New Roman" w:hAnsi="Times New Roman"/>
          <w:sz w:val="24"/>
          <w:lang w:val="en-US"/>
        </w:rPr>
        <w:lastRenderedPageBreak/>
        <w:t xml:space="preserve">Cerqueti, R., Ausloos, M., 2015b. </w:t>
      </w:r>
      <w:r w:rsidRPr="00E215E1">
        <w:rPr>
          <w:rFonts w:ascii="Times New Roman" w:hAnsi="Times New Roman"/>
          <w:sz w:val="24"/>
          <w:lang w:val="en-US"/>
        </w:rPr>
        <w:t>Evidence of economic regularities and disparities of Italian regions from aggregated tax income size data. </w:t>
      </w:r>
      <w:r w:rsidRPr="008C56C7">
        <w:rPr>
          <w:rFonts w:ascii="Times New Roman" w:hAnsi="Times New Roman"/>
          <w:sz w:val="24"/>
          <w:lang w:val="it-IT"/>
        </w:rPr>
        <w:t>Physica A</w:t>
      </w:r>
      <w:r w:rsidR="003E43B1" w:rsidRPr="008C56C7">
        <w:rPr>
          <w:rFonts w:ascii="Times New Roman" w:hAnsi="Times New Roman"/>
          <w:sz w:val="24"/>
          <w:lang w:val="it-IT"/>
        </w:rPr>
        <w:t>.</w:t>
      </w:r>
      <w:r w:rsidRPr="008C56C7">
        <w:rPr>
          <w:rFonts w:ascii="Times New Roman" w:hAnsi="Times New Roman"/>
          <w:sz w:val="24"/>
          <w:lang w:val="it-IT"/>
        </w:rPr>
        <w:t> 421, 187</w:t>
      </w:r>
      <w:r w:rsidR="00E93ECA" w:rsidRPr="008C56C7">
        <w:rPr>
          <w:rFonts w:ascii="Times New Roman" w:hAnsi="Times New Roman"/>
          <w:sz w:val="24"/>
          <w:szCs w:val="24"/>
          <w:lang w:val="it-IT"/>
        </w:rPr>
        <w:t>–</w:t>
      </w:r>
      <w:r w:rsidRPr="008C56C7">
        <w:rPr>
          <w:rFonts w:ascii="Times New Roman" w:hAnsi="Times New Roman"/>
          <w:sz w:val="24"/>
          <w:lang w:val="it-IT"/>
        </w:rPr>
        <w:t>207.</w:t>
      </w:r>
      <w:r w:rsidR="003E43B1" w:rsidRPr="003E43B1">
        <w:t xml:space="preserve"> </w:t>
      </w:r>
      <w:r w:rsidR="003E43B1" w:rsidRPr="008C56C7">
        <w:rPr>
          <w:rFonts w:ascii="Times New Roman" w:hAnsi="Times New Roman"/>
          <w:sz w:val="24"/>
          <w:szCs w:val="24"/>
          <w:lang w:val="it-IT"/>
        </w:rPr>
        <w:t>https://doi.org/</w:t>
      </w:r>
      <w:r w:rsidR="003E43B1" w:rsidRPr="008C56C7">
        <w:rPr>
          <w:rFonts w:ascii="Times New Roman" w:hAnsi="Times New Roman"/>
          <w:sz w:val="24"/>
          <w:lang w:val="it-IT"/>
        </w:rPr>
        <w:t>10.1016/j.physa.2014.11.027.</w:t>
      </w:r>
    </w:p>
    <w:p w14:paraId="75DDF8F8" w14:textId="0563805A" w:rsidR="00572754" w:rsidRPr="003E43B1" w:rsidRDefault="00572754" w:rsidP="00D539F1">
      <w:pPr>
        <w:pStyle w:val="REFERENCES"/>
        <w:spacing w:after="0" w:line="480" w:lineRule="auto"/>
        <w:ind w:left="0" w:firstLine="0"/>
        <w:jc w:val="left"/>
        <w:rPr>
          <w:rFonts w:ascii="Times New Roman" w:hAnsi="Times New Roman"/>
          <w:sz w:val="24"/>
          <w:szCs w:val="24"/>
          <w:lang w:val="en-US"/>
        </w:rPr>
      </w:pPr>
      <w:r w:rsidRPr="008C56C7">
        <w:rPr>
          <w:rFonts w:ascii="Times New Roman" w:hAnsi="Times New Roman"/>
          <w:sz w:val="24"/>
          <w:szCs w:val="24"/>
          <w:lang w:val="it-IT"/>
        </w:rPr>
        <w:t xml:space="preserve">Cristelli, M., Batty, M., Pietronero, L., 2012. </w:t>
      </w:r>
      <w:r w:rsidRPr="00E215E1">
        <w:rPr>
          <w:rFonts w:ascii="Times New Roman" w:hAnsi="Times New Roman"/>
          <w:sz w:val="24"/>
          <w:szCs w:val="24"/>
          <w:lang w:val="en-US"/>
        </w:rPr>
        <w:t>There is more than a power law in Zipf</w:t>
      </w:r>
      <w:r w:rsidR="003E43B1">
        <w:rPr>
          <w:rFonts w:ascii="Times New Roman" w:hAnsi="Times New Roman"/>
          <w:sz w:val="24"/>
          <w:szCs w:val="24"/>
          <w:lang w:val="en-US"/>
        </w:rPr>
        <w:t>.</w:t>
      </w:r>
      <w:r w:rsidRPr="00E215E1">
        <w:rPr>
          <w:rFonts w:ascii="Times New Roman" w:hAnsi="Times New Roman"/>
          <w:sz w:val="24"/>
          <w:szCs w:val="24"/>
          <w:lang w:val="en-US"/>
        </w:rPr>
        <w:t xml:space="preserve"> Sci. </w:t>
      </w:r>
      <w:r w:rsidRPr="003E43B1">
        <w:rPr>
          <w:rFonts w:ascii="Times New Roman" w:hAnsi="Times New Roman"/>
          <w:sz w:val="24"/>
          <w:szCs w:val="24"/>
          <w:lang w:val="en-US"/>
        </w:rPr>
        <w:t>Rep. 2, 812.</w:t>
      </w:r>
      <w:r w:rsidR="003E43B1">
        <w:rPr>
          <w:rFonts w:ascii="Times New Roman" w:hAnsi="Times New Roman"/>
          <w:sz w:val="24"/>
          <w:szCs w:val="24"/>
          <w:lang w:val="en-US"/>
        </w:rPr>
        <w:t xml:space="preserve"> </w:t>
      </w:r>
      <w:r w:rsidR="003E43B1" w:rsidRPr="008B29CF">
        <w:rPr>
          <w:rFonts w:ascii="Times New Roman" w:hAnsi="Times New Roman"/>
          <w:sz w:val="24"/>
          <w:szCs w:val="24"/>
          <w:lang w:val="en-US"/>
        </w:rPr>
        <w:t>https://doi.org/</w:t>
      </w:r>
      <w:r w:rsidR="003E43B1" w:rsidRPr="003E43B1">
        <w:rPr>
          <w:rFonts w:ascii="Times New Roman" w:hAnsi="Times New Roman"/>
          <w:sz w:val="24"/>
          <w:szCs w:val="24"/>
          <w:lang w:val="en-US"/>
        </w:rPr>
        <w:t>10.1038/srep00812</w:t>
      </w:r>
      <w:r w:rsidR="003E43B1">
        <w:rPr>
          <w:rFonts w:ascii="Times New Roman" w:hAnsi="Times New Roman"/>
          <w:sz w:val="24"/>
          <w:szCs w:val="24"/>
          <w:lang w:val="en-US"/>
        </w:rPr>
        <w:t>.</w:t>
      </w:r>
    </w:p>
    <w:p w14:paraId="19874707" w14:textId="553FC05B" w:rsidR="000462EC" w:rsidRPr="00DA1BCF" w:rsidRDefault="000462EC" w:rsidP="00DA1BCF">
      <w:pPr>
        <w:pStyle w:val="TEXT"/>
        <w:spacing w:line="480" w:lineRule="auto"/>
        <w:ind w:firstLine="0"/>
        <w:jc w:val="left"/>
        <w:rPr>
          <w:rFonts w:ascii="Times New Roman" w:hAnsi="Times New Roman"/>
          <w:sz w:val="24"/>
        </w:rPr>
      </w:pPr>
      <w:r w:rsidRPr="008C56C7">
        <w:rPr>
          <w:rFonts w:ascii="Times New Roman" w:hAnsi="Times New Roman"/>
          <w:sz w:val="24"/>
          <w:lang w:val="fr-FR"/>
        </w:rPr>
        <w:t xml:space="preserve">da Cruz, N.F., Simões, P., Marques, R.C., 2012. </w:t>
      </w:r>
      <w:r w:rsidRPr="00460B7B">
        <w:rPr>
          <w:rFonts w:ascii="Times New Roman" w:hAnsi="Times New Roman"/>
          <w:sz w:val="24"/>
          <w:lang w:val="en-GB"/>
        </w:rPr>
        <w:t>Economic cost recovery in the recycling of packaging waste: the case of Portugal</w:t>
      </w:r>
      <w:r>
        <w:rPr>
          <w:rFonts w:ascii="Times New Roman" w:hAnsi="Times New Roman"/>
          <w:sz w:val="24"/>
          <w:lang w:val="en-GB"/>
        </w:rPr>
        <w:t xml:space="preserve">. </w:t>
      </w:r>
      <w:r w:rsidRPr="00DA1BCF">
        <w:rPr>
          <w:rFonts w:ascii="Times New Roman" w:hAnsi="Times New Roman"/>
          <w:sz w:val="24"/>
        </w:rPr>
        <w:t>J. Clean. Prod., 37, 8</w:t>
      </w:r>
      <w:r w:rsidR="00E93ECA" w:rsidRPr="003E43B1">
        <w:rPr>
          <w:rFonts w:ascii="Times New Roman" w:hAnsi="Times New Roman"/>
          <w:sz w:val="24"/>
        </w:rPr>
        <w:t>–</w:t>
      </w:r>
      <w:r w:rsidRPr="00DA1BCF">
        <w:rPr>
          <w:rFonts w:ascii="Times New Roman" w:hAnsi="Times New Roman"/>
          <w:sz w:val="24"/>
        </w:rPr>
        <w:t>18</w:t>
      </w:r>
      <w:r w:rsidR="00E93ECA">
        <w:rPr>
          <w:rFonts w:ascii="Times New Roman" w:hAnsi="Times New Roman"/>
          <w:sz w:val="24"/>
        </w:rPr>
        <w:t>.</w:t>
      </w:r>
      <w:r w:rsidR="003E43B1">
        <w:rPr>
          <w:rFonts w:ascii="Times New Roman" w:hAnsi="Times New Roman"/>
          <w:sz w:val="24"/>
        </w:rPr>
        <w:t xml:space="preserve"> </w:t>
      </w:r>
      <w:r w:rsidR="003E43B1" w:rsidRPr="003E43B1">
        <w:rPr>
          <w:rFonts w:ascii="Times New Roman" w:hAnsi="Times New Roman"/>
          <w:sz w:val="24"/>
        </w:rPr>
        <w:t>https://doi.org/10.1016/j.jclepro.2012.05.043</w:t>
      </w:r>
      <w:r w:rsidR="003E43B1">
        <w:rPr>
          <w:rFonts w:ascii="Times New Roman" w:hAnsi="Times New Roman"/>
          <w:sz w:val="24"/>
        </w:rPr>
        <w:t>.</w:t>
      </w:r>
    </w:p>
    <w:p w14:paraId="7FB2BA48" w14:textId="2C6A8E53" w:rsidR="00612CD7" w:rsidRPr="004D37B8" w:rsidRDefault="00612CD7" w:rsidP="00D539F1">
      <w:pPr>
        <w:pStyle w:val="REFERENCES"/>
        <w:spacing w:after="0" w:line="480" w:lineRule="auto"/>
        <w:ind w:left="0" w:firstLine="0"/>
        <w:jc w:val="left"/>
        <w:rPr>
          <w:rFonts w:ascii="Times New Roman" w:hAnsi="Times New Roman"/>
          <w:sz w:val="24"/>
          <w:szCs w:val="24"/>
          <w:lang w:val="it-IT"/>
        </w:rPr>
      </w:pPr>
      <w:r w:rsidRPr="00F51A51">
        <w:rPr>
          <w:rFonts w:ascii="Times New Roman" w:hAnsi="Times New Roman"/>
          <w:sz w:val="24"/>
          <w:szCs w:val="24"/>
          <w:lang w:val="it-IT"/>
        </w:rPr>
        <w:t xml:space="preserve">D’Alisa, G., Di Nola, M.F., Giampietro, M., 2012. </w:t>
      </w:r>
      <w:r w:rsidRPr="00E215E1">
        <w:rPr>
          <w:rFonts w:ascii="Times New Roman" w:hAnsi="Times New Roman"/>
          <w:sz w:val="24"/>
          <w:szCs w:val="24"/>
          <w:lang w:val="en-US"/>
        </w:rPr>
        <w:t xml:space="preserve">A multi-scale analysis of urban waste metabolism: density of waste disposed in Campania. </w:t>
      </w:r>
      <w:r w:rsidRPr="004D37B8">
        <w:rPr>
          <w:rFonts w:ascii="Times New Roman" w:hAnsi="Times New Roman"/>
          <w:sz w:val="24"/>
          <w:szCs w:val="24"/>
          <w:lang w:val="it-IT"/>
        </w:rPr>
        <w:t>J</w:t>
      </w:r>
      <w:r w:rsidR="003E43B1" w:rsidRPr="004D37B8">
        <w:rPr>
          <w:rFonts w:ascii="Times New Roman" w:hAnsi="Times New Roman"/>
          <w:sz w:val="24"/>
          <w:szCs w:val="24"/>
          <w:lang w:val="it-IT"/>
        </w:rPr>
        <w:t>.</w:t>
      </w:r>
      <w:r w:rsidRPr="004D37B8">
        <w:rPr>
          <w:rFonts w:ascii="Times New Roman" w:hAnsi="Times New Roman"/>
          <w:sz w:val="24"/>
          <w:szCs w:val="24"/>
          <w:lang w:val="it-IT"/>
        </w:rPr>
        <w:t xml:space="preserve"> Clean</w:t>
      </w:r>
      <w:r w:rsidR="003E43B1" w:rsidRPr="004D37B8">
        <w:rPr>
          <w:rFonts w:ascii="Times New Roman" w:hAnsi="Times New Roman"/>
          <w:sz w:val="24"/>
          <w:szCs w:val="24"/>
          <w:lang w:val="it-IT"/>
        </w:rPr>
        <w:t>.</w:t>
      </w:r>
      <w:r w:rsidRPr="004D37B8">
        <w:rPr>
          <w:rFonts w:ascii="Times New Roman" w:hAnsi="Times New Roman"/>
          <w:sz w:val="24"/>
          <w:szCs w:val="24"/>
          <w:lang w:val="it-IT"/>
        </w:rPr>
        <w:t xml:space="preserve"> Prod</w:t>
      </w:r>
      <w:r w:rsidR="003E43B1" w:rsidRPr="004D37B8">
        <w:rPr>
          <w:rFonts w:ascii="Times New Roman" w:hAnsi="Times New Roman"/>
          <w:sz w:val="24"/>
          <w:szCs w:val="24"/>
          <w:lang w:val="it-IT"/>
        </w:rPr>
        <w:t>.</w:t>
      </w:r>
      <w:r w:rsidRPr="004D37B8">
        <w:rPr>
          <w:rFonts w:ascii="Times New Roman" w:hAnsi="Times New Roman"/>
          <w:sz w:val="24"/>
          <w:szCs w:val="24"/>
          <w:lang w:val="it-IT"/>
        </w:rPr>
        <w:t xml:space="preserve"> 35, 59</w:t>
      </w:r>
      <w:r w:rsidR="00E93ECA" w:rsidRPr="004D37B8">
        <w:rPr>
          <w:rFonts w:ascii="Times New Roman" w:hAnsi="Times New Roman"/>
          <w:sz w:val="24"/>
          <w:szCs w:val="24"/>
          <w:lang w:val="it-IT"/>
        </w:rPr>
        <w:t>–</w:t>
      </w:r>
      <w:r w:rsidRPr="004D37B8">
        <w:rPr>
          <w:rFonts w:ascii="Times New Roman" w:hAnsi="Times New Roman"/>
          <w:sz w:val="24"/>
          <w:szCs w:val="24"/>
          <w:lang w:val="it-IT"/>
        </w:rPr>
        <w:t>70.</w:t>
      </w:r>
      <w:r w:rsidR="000159A7" w:rsidRPr="004D37B8">
        <w:rPr>
          <w:rFonts w:ascii="Times New Roman" w:hAnsi="Times New Roman"/>
          <w:sz w:val="24"/>
          <w:szCs w:val="24"/>
          <w:lang w:val="it-IT"/>
        </w:rPr>
        <w:t xml:space="preserve"> https://doi.org/10.1016/j.jclepro.2012.05.017.</w:t>
      </w:r>
    </w:p>
    <w:p w14:paraId="7190E0ED" w14:textId="2E8D1DE8" w:rsidR="000462EC" w:rsidRPr="00355EB8" w:rsidRDefault="000462EC" w:rsidP="000462EC">
      <w:pPr>
        <w:pStyle w:val="REFERENCES"/>
        <w:spacing w:after="0" w:line="480" w:lineRule="auto"/>
        <w:ind w:left="0" w:firstLine="0"/>
        <w:jc w:val="left"/>
        <w:rPr>
          <w:rFonts w:ascii="Times New Roman" w:hAnsi="Times New Roman"/>
          <w:sz w:val="24"/>
          <w:szCs w:val="24"/>
          <w:lang w:val="en-GB"/>
        </w:rPr>
      </w:pPr>
      <w:r w:rsidRPr="000159A7">
        <w:rPr>
          <w:rFonts w:ascii="Times New Roman" w:hAnsi="Times New Roman"/>
          <w:sz w:val="24"/>
          <w:szCs w:val="24"/>
          <w:lang w:val="it-IT"/>
        </w:rPr>
        <w:t xml:space="preserve">De Feo, G, Ferrara, C., Finelli, A., Grosso, A. 2019. </w:t>
      </w:r>
      <w:r w:rsidRPr="00355EB8">
        <w:rPr>
          <w:rFonts w:ascii="Times New Roman" w:hAnsi="Times New Roman"/>
          <w:sz w:val="24"/>
          <w:szCs w:val="24"/>
          <w:lang w:val="en-GB"/>
        </w:rPr>
        <w:t>Environmental and economic benefits of the recovery of materials in a municipal solid waste management system</w:t>
      </w:r>
      <w:r>
        <w:rPr>
          <w:rFonts w:ascii="Times New Roman" w:hAnsi="Times New Roman"/>
          <w:sz w:val="24"/>
          <w:szCs w:val="24"/>
          <w:lang w:val="en-GB"/>
        </w:rPr>
        <w:t xml:space="preserve">. </w:t>
      </w:r>
      <w:r w:rsidR="000159A7">
        <w:rPr>
          <w:rFonts w:ascii="Times New Roman" w:hAnsi="Times New Roman"/>
          <w:sz w:val="24"/>
          <w:szCs w:val="24"/>
          <w:lang w:val="en-GB"/>
        </w:rPr>
        <w:t xml:space="preserve">J. </w:t>
      </w:r>
      <w:r>
        <w:rPr>
          <w:rFonts w:ascii="Times New Roman" w:hAnsi="Times New Roman"/>
          <w:sz w:val="24"/>
          <w:szCs w:val="24"/>
          <w:lang w:val="en-GB"/>
        </w:rPr>
        <w:t>Environ</w:t>
      </w:r>
      <w:r w:rsidR="000159A7">
        <w:rPr>
          <w:rFonts w:ascii="Times New Roman" w:hAnsi="Times New Roman"/>
          <w:sz w:val="24"/>
          <w:szCs w:val="24"/>
          <w:lang w:val="en-GB"/>
        </w:rPr>
        <w:t xml:space="preserve">. </w:t>
      </w:r>
      <w:r>
        <w:rPr>
          <w:rFonts w:ascii="Times New Roman" w:hAnsi="Times New Roman"/>
          <w:sz w:val="24"/>
          <w:szCs w:val="24"/>
          <w:lang w:val="en-GB"/>
        </w:rPr>
        <w:t xml:space="preserve"> Tech</w:t>
      </w:r>
      <w:r w:rsidR="000159A7">
        <w:rPr>
          <w:rFonts w:ascii="Times New Roman" w:hAnsi="Times New Roman"/>
          <w:sz w:val="24"/>
          <w:szCs w:val="24"/>
          <w:lang w:val="en-GB"/>
        </w:rPr>
        <w:t>.</w:t>
      </w:r>
      <w:r>
        <w:rPr>
          <w:rFonts w:ascii="Times New Roman" w:hAnsi="Times New Roman"/>
          <w:sz w:val="24"/>
          <w:szCs w:val="24"/>
          <w:lang w:val="en-GB"/>
        </w:rPr>
        <w:t xml:space="preserve"> 40(7), 903–911.</w:t>
      </w:r>
      <w:r w:rsidR="000159A7">
        <w:rPr>
          <w:rFonts w:ascii="Times New Roman" w:hAnsi="Times New Roman"/>
          <w:sz w:val="24"/>
          <w:szCs w:val="24"/>
          <w:lang w:val="en-GB"/>
        </w:rPr>
        <w:t xml:space="preserve"> </w:t>
      </w:r>
      <w:r w:rsidR="000159A7" w:rsidRPr="000159A7">
        <w:rPr>
          <w:rFonts w:ascii="Times New Roman" w:hAnsi="Times New Roman"/>
          <w:sz w:val="24"/>
          <w:szCs w:val="24"/>
          <w:lang w:val="en-GB"/>
        </w:rPr>
        <w:t>https://doi.org/10.1080/09593330.2017.1411395</w:t>
      </w:r>
      <w:r w:rsidR="000159A7">
        <w:rPr>
          <w:rFonts w:ascii="Times New Roman" w:hAnsi="Times New Roman"/>
          <w:sz w:val="24"/>
          <w:szCs w:val="24"/>
          <w:lang w:val="en-GB"/>
        </w:rPr>
        <w:t>.</w:t>
      </w:r>
    </w:p>
    <w:p w14:paraId="68693476" w14:textId="019D8B8F" w:rsidR="000462EC" w:rsidRPr="00DA1BCF" w:rsidRDefault="000462EC" w:rsidP="000462EC">
      <w:pPr>
        <w:pStyle w:val="REFERENCES"/>
        <w:spacing w:after="0" w:line="480" w:lineRule="auto"/>
        <w:ind w:left="0" w:firstLine="0"/>
        <w:jc w:val="left"/>
        <w:rPr>
          <w:rFonts w:ascii="Times New Roman" w:hAnsi="Times New Roman"/>
          <w:sz w:val="24"/>
          <w:szCs w:val="24"/>
          <w:lang w:val="en-GB"/>
        </w:rPr>
      </w:pPr>
      <w:r w:rsidRPr="00403017">
        <w:rPr>
          <w:rFonts w:ascii="Times New Roman" w:hAnsi="Times New Roman"/>
          <w:sz w:val="24"/>
          <w:szCs w:val="24"/>
          <w:lang w:val="en-GB"/>
        </w:rPr>
        <w:t>de Oliveira Neto, G., de Jesus Cardoso Correia, A., Schroeder, A.M. 2017. Economic and environmental assessment of recycling and reuse of electronic waste: Multiple case studies in Brazil and Switzerlan</w:t>
      </w:r>
      <w:r>
        <w:rPr>
          <w:rFonts w:ascii="Times New Roman" w:hAnsi="Times New Roman"/>
          <w:sz w:val="24"/>
          <w:szCs w:val="24"/>
          <w:lang w:val="en-GB"/>
        </w:rPr>
        <w:t>d.</w:t>
      </w:r>
      <w:r w:rsidRPr="00403017">
        <w:rPr>
          <w:rFonts w:ascii="Times New Roman" w:hAnsi="Times New Roman"/>
          <w:sz w:val="24"/>
          <w:szCs w:val="24"/>
          <w:lang w:val="en-GB"/>
        </w:rPr>
        <w:t xml:space="preserve"> </w:t>
      </w:r>
      <w:r w:rsidRPr="00E215E1">
        <w:rPr>
          <w:rFonts w:ascii="Times New Roman" w:hAnsi="Times New Roman"/>
          <w:sz w:val="24"/>
          <w:lang w:val="en-US"/>
        </w:rPr>
        <w:t>Resour</w:t>
      </w:r>
      <w:r w:rsidR="00291264">
        <w:rPr>
          <w:rFonts w:ascii="Times New Roman" w:hAnsi="Times New Roman"/>
          <w:sz w:val="24"/>
          <w:lang w:val="en-US"/>
        </w:rPr>
        <w:t>.</w:t>
      </w:r>
      <w:r>
        <w:rPr>
          <w:rFonts w:ascii="Times New Roman" w:hAnsi="Times New Roman"/>
          <w:sz w:val="24"/>
          <w:lang w:val="en-US"/>
        </w:rPr>
        <w:t xml:space="preserve"> </w:t>
      </w:r>
      <w:r w:rsidRPr="00E215E1">
        <w:rPr>
          <w:rFonts w:ascii="Times New Roman" w:hAnsi="Times New Roman"/>
          <w:sz w:val="24"/>
          <w:lang w:val="en-US"/>
        </w:rPr>
        <w:t>Conserv</w:t>
      </w:r>
      <w:r w:rsidR="00291264">
        <w:rPr>
          <w:rFonts w:ascii="Times New Roman" w:hAnsi="Times New Roman"/>
          <w:sz w:val="24"/>
          <w:lang w:val="en-US"/>
        </w:rPr>
        <w:t>.</w:t>
      </w:r>
      <w:r w:rsidRPr="00E215E1">
        <w:rPr>
          <w:rFonts w:ascii="Times New Roman" w:hAnsi="Times New Roman"/>
          <w:sz w:val="24"/>
          <w:lang w:val="en-US"/>
        </w:rPr>
        <w:t xml:space="preserve"> Recy</w:t>
      </w:r>
      <w:r w:rsidR="00291264">
        <w:rPr>
          <w:rFonts w:ascii="Times New Roman" w:hAnsi="Times New Roman"/>
          <w:sz w:val="24"/>
          <w:lang w:val="en-US"/>
        </w:rPr>
        <w:t>.</w:t>
      </w:r>
      <w:r>
        <w:rPr>
          <w:rFonts w:ascii="Times New Roman" w:hAnsi="Times New Roman"/>
          <w:sz w:val="24"/>
          <w:szCs w:val="24"/>
          <w:lang w:val="en-GB"/>
        </w:rPr>
        <w:t xml:space="preserve"> </w:t>
      </w:r>
      <w:r w:rsidRPr="00403017">
        <w:rPr>
          <w:rFonts w:ascii="Times New Roman" w:hAnsi="Times New Roman"/>
          <w:sz w:val="24"/>
          <w:szCs w:val="24"/>
          <w:lang w:val="en-GB"/>
        </w:rPr>
        <w:t>127, 42</w:t>
      </w:r>
      <w:r>
        <w:rPr>
          <w:rFonts w:ascii="Times New Roman" w:hAnsi="Times New Roman"/>
          <w:sz w:val="24"/>
          <w:szCs w:val="24"/>
          <w:lang w:val="en-GB"/>
        </w:rPr>
        <w:t>–</w:t>
      </w:r>
      <w:r w:rsidRPr="00403017">
        <w:rPr>
          <w:rFonts w:ascii="Times New Roman" w:hAnsi="Times New Roman"/>
          <w:sz w:val="24"/>
          <w:szCs w:val="24"/>
          <w:lang w:val="en-GB"/>
        </w:rPr>
        <w:t>55</w:t>
      </w:r>
      <w:r>
        <w:rPr>
          <w:rFonts w:ascii="Times New Roman" w:hAnsi="Times New Roman"/>
          <w:sz w:val="24"/>
          <w:szCs w:val="24"/>
          <w:lang w:val="en-GB"/>
        </w:rPr>
        <w:t>.</w:t>
      </w:r>
      <w:r w:rsidR="00291264">
        <w:rPr>
          <w:rFonts w:ascii="Times New Roman" w:hAnsi="Times New Roman"/>
          <w:sz w:val="24"/>
          <w:szCs w:val="24"/>
          <w:lang w:val="en-GB"/>
        </w:rPr>
        <w:t xml:space="preserve"> </w:t>
      </w:r>
      <w:r w:rsidR="00291264" w:rsidRPr="00291264">
        <w:rPr>
          <w:rFonts w:ascii="Times New Roman" w:hAnsi="Times New Roman"/>
          <w:sz w:val="24"/>
          <w:szCs w:val="24"/>
          <w:lang w:val="en-GB"/>
        </w:rPr>
        <w:t>https://doi.org/10.1016/j.resconrec.2017.08.011</w:t>
      </w:r>
      <w:r w:rsidR="00FF49F5">
        <w:rPr>
          <w:rFonts w:ascii="Times New Roman" w:hAnsi="Times New Roman"/>
          <w:sz w:val="24"/>
          <w:szCs w:val="24"/>
          <w:lang w:val="en-GB"/>
        </w:rPr>
        <w:t>.</w:t>
      </w:r>
    </w:p>
    <w:p w14:paraId="26E7C7FA" w14:textId="09865742" w:rsidR="00E215E1" w:rsidRDefault="00BE497A" w:rsidP="00D539F1">
      <w:pPr>
        <w:pStyle w:val="REFERENCES"/>
        <w:spacing w:after="0" w:line="480" w:lineRule="auto"/>
        <w:ind w:left="0" w:firstLine="0"/>
        <w:jc w:val="left"/>
        <w:rPr>
          <w:rFonts w:ascii="Times New Roman" w:hAnsi="Times New Roman"/>
          <w:sz w:val="24"/>
          <w:szCs w:val="24"/>
          <w:lang w:val="en-US"/>
        </w:rPr>
      </w:pPr>
      <w:r w:rsidRPr="00E215E1">
        <w:rPr>
          <w:rFonts w:ascii="Times New Roman" w:hAnsi="Times New Roman"/>
          <w:sz w:val="24"/>
          <w:szCs w:val="24"/>
          <w:lang w:val="en-US"/>
        </w:rPr>
        <w:t>Di</w:t>
      </w:r>
      <w:r w:rsidR="008C5A65" w:rsidRPr="00E215E1">
        <w:rPr>
          <w:rFonts w:ascii="Times New Roman" w:hAnsi="Times New Roman"/>
          <w:sz w:val="24"/>
          <w:szCs w:val="24"/>
          <w:lang w:val="en-US"/>
        </w:rPr>
        <w:t xml:space="preserve"> </w:t>
      </w:r>
      <w:r w:rsidRPr="00E215E1">
        <w:rPr>
          <w:rFonts w:ascii="Times New Roman" w:hAnsi="Times New Roman"/>
          <w:sz w:val="24"/>
          <w:szCs w:val="24"/>
          <w:lang w:val="en-US"/>
        </w:rPr>
        <w:t>Bari, J. N., 2004. Scaling exponents and rank-size distributions as indicators of landscape character and change. Ecol</w:t>
      </w:r>
      <w:r w:rsidR="00CE1D8D">
        <w:rPr>
          <w:rFonts w:ascii="Times New Roman" w:hAnsi="Times New Roman"/>
          <w:sz w:val="24"/>
          <w:szCs w:val="24"/>
          <w:lang w:val="en-US"/>
        </w:rPr>
        <w:t>.</w:t>
      </w:r>
      <w:r w:rsidRPr="00E215E1">
        <w:rPr>
          <w:rFonts w:ascii="Times New Roman" w:hAnsi="Times New Roman"/>
          <w:sz w:val="24"/>
          <w:szCs w:val="24"/>
          <w:lang w:val="en-US"/>
        </w:rPr>
        <w:t xml:space="preserve"> Indic</w:t>
      </w:r>
      <w:r w:rsidR="00CE1D8D">
        <w:rPr>
          <w:rFonts w:ascii="Times New Roman" w:hAnsi="Times New Roman"/>
          <w:sz w:val="24"/>
          <w:szCs w:val="24"/>
          <w:lang w:val="en-US"/>
        </w:rPr>
        <w:t>.</w:t>
      </w:r>
      <w:r w:rsidRPr="00E215E1">
        <w:rPr>
          <w:rFonts w:ascii="Times New Roman" w:hAnsi="Times New Roman"/>
          <w:sz w:val="24"/>
          <w:szCs w:val="24"/>
          <w:lang w:val="en-US"/>
        </w:rPr>
        <w:t> 3(4), 275</w:t>
      </w:r>
      <w:r w:rsidR="00E93ECA" w:rsidRPr="00320DC9">
        <w:rPr>
          <w:rFonts w:ascii="Times New Roman" w:hAnsi="Times New Roman"/>
          <w:sz w:val="24"/>
          <w:szCs w:val="24"/>
          <w:lang w:val="en-US"/>
        </w:rPr>
        <w:t>–</w:t>
      </w:r>
      <w:r w:rsidRPr="00E215E1">
        <w:rPr>
          <w:rFonts w:ascii="Times New Roman" w:hAnsi="Times New Roman"/>
          <w:sz w:val="24"/>
          <w:szCs w:val="24"/>
          <w:lang w:val="en-US"/>
        </w:rPr>
        <w:t>284.</w:t>
      </w:r>
      <w:r w:rsidR="00FF49F5">
        <w:rPr>
          <w:rFonts w:ascii="Times New Roman" w:hAnsi="Times New Roman"/>
          <w:sz w:val="24"/>
          <w:szCs w:val="24"/>
          <w:lang w:val="en-US"/>
        </w:rPr>
        <w:t xml:space="preserve"> </w:t>
      </w:r>
      <w:r w:rsidR="00FF49F5" w:rsidRPr="00FF49F5">
        <w:rPr>
          <w:rFonts w:ascii="Times New Roman" w:hAnsi="Times New Roman"/>
          <w:sz w:val="24"/>
          <w:szCs w:val="24"/>
          <w:lang w:val="en-US"/>
        </w:rPr>
        <w:t>https://doi.org/10.1016/j.ecolind.2003.11.006</w:t>
      </w:r>
      <w:r w:rsidR="00FF49F5">
        <w:rPr>
          <w:rFonts w:ascii="Times New Roman" w:hAnsi="Times New Roman"/>
          <w:sz w:val="24"/>
          <w:szCs w:val="24"/>
          <w:lang w:val="en-US"/>
        </w:rPr>
        <w:t>.</w:t>
      </w:r>
    </w:p>
    <w:p w14:paraId="06A165E1" w14:textId="01CE2D96" w:rsidR="00612CD7" w:rsidRPr="004D37B8" w:rsidRDefault="00BE497A" w:rsidP="00D539F1">
      <w:pPr>
        <w:pStyle w:val="REFERENCES"/>
        <w:spacing w:after="0" w:line="480" w:lineRule="auto"/>
        <w:ind w:left="0" w:firstLine="0"/>
        <w:jc w:val="left"/>
        <w:rPr>
          <w:rFonts w:ascii="Times New Roman" w:hAnsi="Times New Roman"/>
          <w:sz w:val="24"/>
          <w:lang w:val="it-IT"/>
        </w:rPr>
      </w:pPr>
      <w:r w:rsidRPr="00E215E1">
        <w:rPr>
          <w:rFonts w:ascii="Times New Roman" w:hAnsi="Times New Roman"/>
          <w:sz w:val="24"/>
          <w:szCs w:val="24"/>
          <w:lang w:val="en-US"/>
        </w:rPr>
        <w:t>D</w:t>
      </w:r>
      <w:r w:rsidR="00612CD7" w:rsidRPr="00E215E1">
        <w:rPr>
          <w:rFonts w:ascii="Times New Roman" w:hAnsi="Times New Roman"/>
          <w:sz w:val="24"/>
          <w:szCs w:val="24"/>
          <w:lang w:val="en-US"/>
        </w:rPr>
        <w:t xml:space="preserve">ijkgraaf, E., Gradus, R.H.J.M., 2003. Cost savings of contracting out refuse collection. </w:t>
      </w:r>
      <w:r w:rsidR="00612CD7" w:rsidRPr="004D37B8">
        <w:rPr>
          <w:rFonts w:ascii="Times New Roman" w:hAnsi="Times New Roman"/>
          <w:sz w:val="24"/>
          <w:szCs w:val="24"/>
          <w:lang w:val="it-IT"/>
        </w:rPr>
        <w:t>Empirica</w:t>
      </w:r>
      <w:r w:rsidR="00FF49F5" w:rsidRPr="004D37B8">
        <w:rPr>
          <w:rFonts w:ascii="Times New Roman" w:hAnsi="Times New Roman"/>
          <w:sz w:val="24"/>
          <w:szCs w:val="24"/>
          <w:lang w:val="it-IT"/>
        </w:rPr>
        <w:t>.</w:t>
      </w:r>
      <w:r w:rsidR="00612CD7" w:rsidRPr="004D37B8">
        <w:rPr>
          <w:rFonts w:ascii="Times New Roman" w:hAnsi="Times New Roman"/>
          <w:sz w:val="24"/>
          <w:szCs w:val="24"/>
          <w:lang w:val="it-IT"/>
        </w:rPr>
        <w:t xml:space="preserve"> 30, 149–161.</w:t>
      </w:r>
      <w:r w:rsidR="00FF49F5" w:rsidRPr="004D37B8">
        <w:rPr>
          <w:rFonts w:ascii="Times New Roman" w:hAnsi="Times New Roman"/>
          <w:sz w:val="24"/>
          <w:szCs w:val="24"/>
          <w:lang w:val="it-IT"/>
        </w:rPr>
        <w:t xml:space="preserve"> https://doi.org/10.1023/A:1024175730230.</w:t>
      </w:r>
    </w:p>
    <w:p w14:paraId="78CE16D1" w14:textId="64A4EB0F" w:rsidR="00612CD7" w:rsidRPr="00E215E1" w:rsidRDefault="00612CD7" w:rsidP="00D539F1">
      <w:pPr>
        <w:pStyle w:val="TEXT"/>
        <w:spacing w:line="480" w:lineRule="auto"/>
        <w:ind w:firstLine="0"/>
        <w:jc w:val="left"/>
        <w:rPr>
          <w:rFonts w:ascii="Times New Roman" w:hAnsi="Times New Roman"/>
          <w:sz w:val="24"/>
          <w:lang w:val="en-US"/>
        </w:rPr>
      </w:pPr>
      <w:r w:rsidRPr="004D37B8">
        <w:rPr>
          <w:rFonts w:ascii="Times New Roman" w:hAnsi="Times New Roman"/>
          <w:sz w:val="24"/>
        </w:rPr>
        <w:t xml:space="preserve">Elia, V., Gnoni, M.G., Tornese, F., 2016. </w:t>
      </w:r>
      <w:r w:rsidRPr="00E215E1">
        <w:rPr>
          <w:rFonts w:ascii="Times New Roman" w:hAnsi="Times New Roman"/>
          <w:sz w:val="24"/>
          <w:lang w:val="en-US"/>
        </w:rPr>
        <w:t>Assessing the efficiency of a PSS solution for waste collection: a simulation based approach. Procedia CIRP, 47, 252–257.</w:t>
      </w:r>
      <w:r w:rsidR="00FF49F5">
        <w:rPr>
          <w:rFonts w:ascii="Times New Roman" w:hAnsi="Times New Roman"/>
          <w:sz w:val="24"/>
          <w:lang w:val="en-US"/>
        </w:rPr>
        <w:t xml:space="preserve"> </w:t>
      </w:r>
      <w:r w:rsidR="00FF49F5" w:rsidRPr="00FF49F5">
        <w:rPr>
          <w:rFonts w:ascii="Times New Roman" w:hAnsi="Times New Roman"/>
          <w:sz w:val="24"/>
          <w:lang w:val="en-US"/>
        </w:rPr>
        <w:t>https://doi.org/10.1016/j.procir.2016.03.086</w:t>
      </w:r>
      <w:r w:rsidR="00FF49F5">
        <w:rPr>
          <w:rFonts w:ascii="Times New Roman" w:hAnsi="Times New Roman"/>
          <w:sz w:val="24"/>
          <w:lang w:val="en-US"/>
        </w:rPr>
        <w:t>.</w:t>
      </w:r>
    </w:p>
    <w:p w14:paraId="154E44F7" w14:textId="1BB0CF3B" w:rsidR="00612CD7" w:rsidRPr="00E215E1" w:rsidRDefault="00612CD7" w:rsidP="00D539F1">
      <w:pPr>
        <w:pStyle w:val="REFERENCES"/>
        <w:spacing w:after="0" w:line="480" w:lineRule="auto"/>
        <w:ind w:left="0" w:firstLine="0"/>
        <w:jc w:val="left"/>
        <w:rPr>
          <w:rFonts w:ascii="Times New Roman" w:hAnsi="Times New Roman"/>
          <w:sz w:val="24"/>
          <w:szCs w:val="24"/>
          <w:lang w:val="en-US"/>
        </w:rPr>
      </w:pPr>
      <w:r w:rsidRPr="00FF49F5">
        <w:rPr>
          <w:rFonts w:ascii="Times New Roman" w:hAnsi="Times New Roman"/>
          <w:sz w:val="24"/>
          <w:szCs w:val="24"/>
          <w:lang w:val="fr-FR"/>
        </w:rPr>
        <w:lastRenderedPageBreak/>
        <w:t>Europea</w:t>
      </w:r>
      <w:r w:rsidR="00E215E1" w:rsidRPr="00FF49F5">
        <w:rPr>
          <w:rFonts w:ascii="Times New Roman" w:hAnsi="Times New Roman"/>
          <w:sz w:val="24"/>
          <w:szCs w:val="24"/>
          <w:lang w:val="fr-FR"/>
        </w:rPr>
        <w:t>n</w:t>
      </w:r>
      <w:r w:rsidRPr="00FF49F5">
        <w:rPr>
          <w:rFonts w:ascii="Times New Roman" w:hAnsi="Times New Roman"/>
          <w:sz w:val="24"/>
          <w:szCs w:val="24"/>
          <w:lang w:val="fr-FR"/>
        </w:rPr>
        <w:t xml:space="preserve"> Commission, 2011. A resource-efficient Europe. </w:t>
      </w:r>
      <w:r w:rsidRPr="00E215E1">
        <w:rPr>
          <w:rFonts w:ascii="Times New Roman" w:hAnsi="Times New Roman"/>
          <w:sz w:val="24"/>
          <w:szCs w:val="24"/>
          <w:lang w:val="en-US"/>
        </w:rPr>
        <w:t>Flagship initiative under the Europe 2020 Strategy, COM(2011) 21, Brussels.</w:t>
      </w:r>
    </w:p>
    <w:p w14:paraId="76B88714" w14:textId="3F2DDBBF" w:rsidR="00612CD7" w:rsidRPr="00022794" w:rsidRDefault="00612CD7" w:rsidP="00DA1BCF">
      <w:pPr>
        <w:pStyle w:val="TEXT"/>
        <w:spacing w:line="480" w:lineRule="auto"/>
        <w:ind w:firstLine="0"/>
        <w:jc w:val="left"/>
        <w:rPr>
          <w:rFonts w:ascii="Times New Roman" w:hAnsi="Times New Roman"/>
          <w:sz w:val="24"/>
          <w:lang w:val="en-US"/>
        </w:rPr>
      </w:pPr>
      <w:r w:rsidRPr="00B83A1E">
        <w:rPr>
          <w:rFonts w:ascii="Times New Roman" w:hAnsi="Times New Roman"/>
          <w:sz w:val="24"/>
          <w:lang w:val="en-US"/>
        </w:rPr>
        <w:t>Europea</w:t>
      </w:r>
      <w:r w:rsidR="00E215E1" w:rsidRPr="00B83A1E">
        <w:rPr>
          <w:rFonts w:ascii="Times New Roman" w:hAnsi="Times New Roman"/>
          <w:sz w:val="24"/>
          <w:lang w:val="en-US"/>
        </w:rPr>
        <w:t>n</w:t>
      </w:r>
      <w:r w:rsidRPr="00B83A1E">
        <w:rPr>
          <w:rFonts w:ascii="Times New Roman" w:hAnsi="Times New Roman"/>
          <w:sz w:val="24"/>
          <w:lang w:val="en-US"/>
        </w:rPr>
        <w:t xml:space="preserve"> Commission, 2015. Closing the loop. An EU action plan for the Circular Economy, </w:t>
      </w:r>
      <w:r w:rsidRPr="00022794">
        <w:rPr>
          <w:rFonts w:ascii="Times New Roman" w:hAnsi="Times New Roman"/>
          <w:sz w:val="24"/>
          <w:lang w:val="en-US"/>
        </w:rPr>
        <w:t>COM(2015) 614 final, Brussels.</w:t>
      </w:r>
    </w:p>
    <w:p w14:paraId="5B421498" w14:textId="2DF14BA8" w:rsidR="00E044AD" w:rsidRPr="00022794" w:rsidRDefault="00E044AD" w:rsidP="00DA1BCF">
      <w:pPr>
        <w:pStyle w:val="TEXT"/>
        <w:spacing w:line="480" w:lineRule="auto"/>
        <w:ind w:firstLine="0"/>
        <w:jc w:val="left"/>
        <w:rPr>
          <w:rFonts w:ascii="Times New Roman" w:hAnsi="Times New Roman"/>
          <w:sz w:val="24"/>
          <w:lang w:val="en-US"/>
        </w:rPr>
      </w:pPr>
      <w:r w:rsidRPr="00FF49F5">
        <w:rPr>
          <w:rFonts w:ascii="Times New Roman" w:hAnsi="Times New Roman"/>
          <w:sz w:val="24"/>
          <w:lang w:val="en-US"/>
        </w:rPr>
        <w:t xml:space="preserve">Eurostat, </w:t>
      </w:r>
      <w:r w:rsidR="00FF49F5">
        <w:rPr>
          <w:rFonts w:ascii="Times New Roman" w:hAnsi="Times New Roman"/>
          <w:sz w:val="24"/>
          <w:lang w:val="en-US"/>
        </w:rPr>
        <w:t xml:space="preserve">2018. </w:t>
      </w:r>
      <w:r w:rsidRPr="00FF49F5">
        <w:rPr>
          <w:rFonts w:ascii="Times New Roman" w:hAnsi="Times New Roman"/>
          <w:sz w:val="24"/>
          <w:lang w:val="en-US"/>
        </w:rPr>
        <w:t>Statistics explained.</w:t>
      </w:r>
      <w:r w:rsidR="00FF49F5">
        <w:rPr>
          <w:rFonts w:ascii="Times New Roman" w:hAnsi="Times New Roman"/>
          <w:sz w:val="24"/>
          <w:lang w:val="en-US"/>
        </w:rPr>
        <w:t xml:space="preserve"> www.eurostat.eu.</w:t>
      </w:r>
    </w:p>
    <w:p w14:paraId="77A3B9F6" w14:textId="4D13F4B6" w:rsidR="00612CD7" w:rsidRPr="00B83A1E" w:rsidRDefault="00612CD7" w:rsidP="00D539F1">
      <w:pPr>
        <w:pStyle w:val="TEXT"/>
        <w:spacing w:line="480" w:lineRule="auto"/>
        <w:ind w:firstLine="0"/>
        <w:jc w:val="left"/>
        <w:rPr>
          <w:rFonts w:ascii="Times New Roman" w:hAnsi="Times New Roman"/>
          <w:sz w:val="24"/>
          <w:lang w:val="en-US"/>
        </w:rPr>
      </w:pPr>
      <w:r w:rsidRPr="00022794">
        <w:rPr>
          <w:rFonts w:ascii="Times New Roman" w:hAnsi="Times New Roman"/>
          <w:sz w:val="24"/>
          <w:lang w:val="en-US"/>
        </w:rPr>
        <w:t>Fricke, K., Bahr, T., Bidlingmaier, W., Springer, C., 2011</w:t>
      </w:r>
      <w:r w:rsidRPr="00B83A1E">
        <w:rPr>
          <w:rFonts w:ascii="Times New Roman" w:hAnsi="Times New Roman"/>
          <w:sz w:val="24"/>
          <w:lang w:val="en-US"/>
        </w:rPr>
        <w:t>. Energy efficiency of substance and energy recovery of selected waste fractions. Waste Manage. 31, 644</w:t>
      </w:r>
      <w:r w:rsidR="00E93ECA" w:rsidRPr="00320DC9">
        <w:rPr>
          <w:rFonts w:ascii="Times New Roman" w:hAnsi="Times New Roman"/>
          <w:sz w:val="24"/>
          <w:lang w:val="en-US"/>
        </w:rPr>
        <w:t>–</w:t>
      </w:r>
      <w:r w:rsidRPr="00B83A1E">
        <w:rPr>
          <w:rFonts w:ascii="Times New Roman" w:hAnsi="Times New Roman"/>
          <w:sz w:val="24"/>
          <w:lang w:val="en-US"/>
        </w:rPr>
        <w:t>648.</w:t>
      </w:r>
      <w:r w:rsidR="00FF49F5">
        <w:rPr>
          <w:rFonts w:ascii="Times New Roman" w:hAnsi="Times New Roman"/>
          <w:sz w:val="24"/>
          <w:lang w:val="en-US"/>
        </w:rPr>
        <w:t xml:space="preserve"> </w:t>
      </w:r>
      <w:r w:rsidR="00FF49F5" w:rsidRPr="00E215E1">
        <w:rPr>
          <w:rFonts w:ascii="Times New Roman" w:hAnsi="Times New Roman"/>
          <w:sz w:val="24"/>
          <w:lang w:val="en-US"/>
        </w:rPr>
        <w:t>.</w:t>
      </w:r>
      <w:r w:rsidR="00FF49F5">
        <w:rPr>
          <w:rFonts w:ascii="Times New Roman" w:hAnsi="Times New Roman"/>
          <w:sz w:val="24"/>
          <w:lang w:val="en-US"/>
        </w:rPr>
        <w:t xml:space="preserve"> </w:t>
      </w:r>
      <w:r w:rsidR="00FF49F5" w:rsidRPr="00FF49F5">
        <w:rPr>
          <w:rFonts w:ascii="Times New Roman" w:hAnsi="Times New Roman"/>
          <w:sz w:val="24"/>
          <w:lang w:val="en-US"/>
        </w:rPr>
        <w:t>https://doi.org/10.1016/j.wasman.2010.11.017</w:t>
      </w:r>
      <w:r w:rsidR="00FF49F5">
        <w:rPr>
          <w:rFonts w:ascii="Times New Roman" w:hAnsi="Times New Roman"/>
          <w:sz w:val="24"/>
          <w:lang w:val="en-US"/>
        </w:rPr>
        <w:t>.</w:t>
      </w:r>
    </w:p>
    <w:p w14:paraId="539C831A" w14:textId="53537B33" w:rsidR="00517F05" w:rsidRPr="00D22AFF" w:rsidRDefault="00572754" w:rsidP="00D539F1">
      <w:pPr>
        <w:pStyle w:val="TEXT"/>
        <w:spacing w:line="480" w:lineRule="auto"/>
        <w:ind w:firstLine="0"/>
        <w:jc w:val="left"/>
        <w:rPr>
          <w:rFonts w:ascii="Times New Roman" w:hAnsi="Times New Roman"/>
          <w:sz w:val="24"/>
        </w:rPr>
      </w:pPr>
      <w:r w:rsidRPr="00B83A1E">
        <w:rPr>
          <w:rFonts w:ascii="Times New Roman" w:hAnsi="Times New Roman"/>
          <w:sz w:val="24"/>
          <w:lang w:val="en-US"/>
        </w:rPr>
        <w:t>Gabaix, X., 1999. Zipf law and the growth of cities</w:t>
      </w:r>
      <w:r w:rsidR="00FF49F5">
        <w:rPr>
          <w:rFonts w:ascii="Times New Roman" w:hAnsi="Times New Roman"/>
          <w:sz w:val="24"/>
          <w:lang w:val="en-US"/>
        </w:rPr>
        <w:t>.</w:t>
      </w:r>
      <w:r w:rsidRPr="00B83A1E">
        <w:rPr>
          <w:rFonts w:ascii="Times New Roman" w:hAnsi="Times New Roman"/>
          <w:sz w:val="24"/>
          <w:lang w:val="en-US"/>
        </w:rPr>
        <w:t xml:space="preserve"> </w:t>
      </w:r>
      <w:r w:rsidRPr="004D37B8">
        <w:rPr>
          <w:rFonts w:ascii="Times New Roman" w:hAnsi="Times New Roman"/>
          <w:sz w:val="24"/>
        </w:rPr>
        <w:t xml:space="preserve">Amer. </w:t>
      </w:r>
      <w:r w:rsidRPr="00DA1BCF">
        <w:rPr>
          <w:rFonts w:ascii="Times New Roman" w:hAnsi="Times New Roman"/>
          <w:sz w:val="24"/>
        </w:rPr>
        <w:t xml:space="preserve">Econ. </w:t>
      </w:r>
      <w:r w:rsidRPr="00D22AFF">
        <w:rPr>
          <w:rFonts w:ascii="Times New Roman" w:hAnsi="Times New Roman"/>
          <w:sz w:val="24"/>
        </w:rPr>
        <w:t>Rev. 89(2)</w:t>
      </w:r>
      <w:r w:rsidRPr="00D22AFF">
        <w:rPr>
          <w:rFonts w:ascii="Times New Roman" w:hAnsi="Times New Roman"/>
        </w:rPr>
        <w:t>,</w:t>
      </w:r>
      <w:r w:rsidRPr="00D22AFF">
        <w:rPr>
          <w:rFonts w:ascii="Times New Roman" w:hAnsi="Times New Roman"/>
          <w:sz w:val="24"/>
        </w:rPr>
        <w:t xml:space="preserve"> 129</w:t>
      </w:r>
      <w:r w:rsidR="00E93ECA" w:rsidRPr="00FF49F5">
        <w:rPr>
          <w:rFonts w:ascii="Times New Roman" w:hAnsi="Times New Roman"/>
          <w:sz w:val="24"/>
        </w:rPr>
        <w:t>–</w:t>
      </w:r>
      <w:r w:rsidRPr="00D22AFF">
        <w:rPr>
          <w:rFonts w:ascii="Times New Roman" w:hAnsi="Times New Roman"/>
          <w:sz w:val="24"/>
        </w:rPr>
        <w:t>132.</w:t>
      </w:r>
    </w:p>
    <w:p w14:paraId="5F2206CE" w14:textId="44AA42CC" w:rsidR="00612CD7" w:rsidRPr="00E215E1" w:rsidRDefault="00612CD7" w:rsidP="00D539F1">
      <w:pPr>
        <w:pStyle w:val="TEXT"/>
        <w:spacing w:line="480" w:lineRule="auto"/>
        <w:ind w:firstLine="0"/>
        <w:jc w:val="left"/>
        <w:rPr>
          <w:rFonts w:ascii="Times New Roman" w:hAnsi="Times New Roman"/>
          <w:sz w:val="24"/>
          <w:lang w:val="en-US"/>
        </w:rPr>
      </w:pPr>
      <w:r w:rsidRPr="00F51A51">
        <w:rPr>
          <w:rFonts w:ascii="Times New Roman" w:hAnsi="Times New Roman"/>
          <w:sz w:val="24"/>
        </w:rPr>
        <w:t xml:space="preserve">Greco, G., Allegrini, M., Del Lungo, C., Gori Savellini, P., Gabellini, L., 2015. </w:t>
      </w:r>
      <w:r w:rsidRPr="00E215E1">
        <w:rPr>
          <w:rFonts w:ascii="Times New Roman" w:hAnsi="Times New Roman"/>
          <w:sz w:val="24"/>
          <w:lang w:val="en-US"/>
        </w:rPr>
        <w:t>Drivers of solid waste collection costs. Empirical evidence from Italy. J. Clean. Prod., 106, 364</w:t>
      </w:r>
      <w:r w:rsidR="00E93ECA" w:rsidRPr="00320DC9">
        <w:rPr>
          <w:rFonts w:ascii="Times New Roman" w:hAnsi="Times New Roman"/>
          <w:sz w:val="24"/>
          <w:lang w:val="en-US"/>
        </w:rPr>
        <w:t>–</w:t>
      </w:r>
      <w:r w:rsidRPr="00E215E1">
        <w:rPr>
          <w:rFonts w:ascii="Times New Roman" w:hAnsi="Times New Roman"/>
          <w:sz w:val="24"/>
          <w:lang w:val="en-US"/>
        </w:rPr>
        <w:t>371.</w:t>
      </w:r>
      <w:r w:rsidR="00FF49F5">
        <w:rPr>
          <w:rFonts w:ascii="Times New Roman" w:hAnsi="Times New Roman"/>
          <w:sz w:val="24"/>
          <w:lang w:val="en-US"/>
        </w:rPr>
        <w:t xml:space="preserve"> </w:t>
      </w:r>
      <w:r w:rsidR="00FF49F5" w:rsidRPr="00FF49F5">
        <w:rPr>
          <w:rFonts w:ascii="Times New Roman" w:hAnsi="Times New Roman"/>
          <w:sz w:val="24"/>
          <w:lang w:val="en-US"/>
        </w:rPr>
        <w:t>https://doi.org/10.1016/j.jclepro.2014.07.011</w:t>
      </w:r>
      <w:r w:rsidR="00FF49F5">
        <w:rPr>
          <w:rFonts w:ascii="Times New Roman" w:hAnsi="Times New Roman"/>
          <w:sz w:val="24"/>
          <w:lang w:val="en-US"/>
        </w:rPr>
        <w:t>.</w:t>
      </w:r>
    </w:p>
    <w:p w14:paraId="430FBA6A" w14:textId="44BCDE69" w:rsidR="00612CD7" w:rsidRPr="008C56C7" w:rsidRDefault="00612CD7" w:rsidP="00D539F1">
      <w:pPr>
        <w:pStyle w:val="REFERENCES"/>
        <w:spacing w:after="0" w:line="480" w:lineRule="auto"/>
        <w:ind w:left="0" w:firstLine="0"/>
        <w:jc w:val="left"/>
        <w:rPr>
          <w:rFonts w:ascii="Times New Roman" w:hAnsi="Times New Roman"/>
          <w:sz w:val="24"/>
          <w:szCs w:val="24"/>
        </w:rPr>
      </w:pPr>
      <w:r w:rsidRPr="00E215E1">
        <w:rPr>
          <w:rFonts w:ascii="Times New Roman" w:hAnsi="Times New Roman"/>
          <w:sz w:val="24"/>
          <w:szCs w:val="24"/>
          <w:lang w:val="en-US"/>
        </w:rPr>
        <w:t>Hay, J.E., Noonan, M., 2002. Anticipating the Environmental Effects of Technology. A manual for decision-makers, planners and other technology stakeholders, United Nations Environment Programme Division of Technology, Industry and Economics</w:t>
      </w:r>
      <w:r w:rsidR="00FF49F5">
        <w:rPr>
          <w:rFonts w:ascii="Times New Roman" w:hAnsi="Times New Roman"/>
          <w:sz w:val="24"/>
          <w:szCs w:val="24"/>
          <w:lang w:val="en-US"/>
        </w:rPr>
        <w:t>.</w:t>
      </w:r>
      <w:hyperlink r:id="rId17" w:history="1">
        <w:r w:rsidR="00FF49F5" w:rsidRPr="008C56C7">
          <w:rPr>
            <w:rStyle w:val="Collegamentoipertestuale"/>
            <w:rFonts w:ascii="Times New Roman" w:hAnsi="Times New Roman"/>
            <w:sz w:val="24"/>
            <w:szCs w:val="24"/>
          </w:rPr>
          <w:t>http://www.unep.or.jp/ietc/Publications/Integrative/EnTA/AEET/preface.asp</w:t>
        </w:r>
      </w:hyperlink>
      <w:r w:rsidRPr="008C56C7">
        <w:rPr>
          <w:rFonts w:ascii="Times New Roman" w:hAnsi="Times New Roman"/>
          <w:sz w:val="24"/>
          <w:szCs w:val="24"/>
        </w:rPr>
        <w:t>.</w:t>
      </w:r>
    </w:p>
    <w:p w14:paraId="4D6F4C66" w14:textId="39F4C5F9" w:rsidR="00612CD7" w:rsidRPr="00E215E1" w:rsidRDefault="00612CD7" w:rsidP="00D539F1">
      <w:pPr>
        <w:pStyle w:val="TEXT"/>
        <w:spacing w:line="480" w:lineRule="auto"/>
        <w:ind w:firstLine="0"/>
        <w:jc w:val="left"/>
        <w:rPr>
          <w:rFonts w:ascii="Times New Roman" w:hAnsi="Times New Roman"/>
          <w:sz w:val="24"/>
          <w:lang w:val="en-US"/>
        </w:rPr>
      </w:pPr>
      <w:r w:rsidRPr="00E215E1">
        <w:rPr>
          <w:rFonts w:ascii="Times New Roman" w:hAnsi="Times New Roman"/>
          <w:sz w:val="24"/>
          <w:lang w:val="en-US"/>
        </w:rPr>
        <w:t>Hellweg, S., Doka, G., Finnveden, G., Hungerbühler, K. 2005. Assessing the eco-efficiency of end-of-pipe technologies with the environmental cost efficiency indicator: a case study of solid waste management</w:t>
      </w:r>
      <w:r w:rsidR="00CB5515">
        <w:rPr>
          <w:rFonts w:ascii="Times New Roman" w:hAnsi="Times New Roman"/>
          <w:sz w:val="24"/>
          <w:lang w:val="en-US"/>
        </w:rPr>
        <w:t>. J. Ind</w:t>
      </w:r>
      <w:r w:rsidR="007528DC">
        <w:rPr>
          <w:rFonts w:ascii="Times New Roman" w:hAnsi="Times New Roman"/>
          <w:sz w:val="24"/>
          <w:lang w:val="en-US"/>
        </w:rPr>
        <w:t>.</w:t>
      </w:r>
      <w:r w:rsidR="00CB5515">
        <w:rPr>
          <w:rFonts w:ascii="Times New Roman" w:hAnsi="Times New Roman"/>
          <w:sz w:val="24"/>
          <w:lang w:val="en-US"/>
        </w:rPr>
        <w:t xml:space="preserve"> Ecol</w:t>
      </w:r>
      <w:r w:rsidR="007528DC">
        <w:rPr>
          <w:rFonts w:ascii="Times New Roman" w:hAnsi="Times New Roman"/>
          <w:sz w:val="24"/>
          <w:lang w:val="en-US"/>
        </w:rPr>
        <w:t>.</w:t>
      </w:r>
      <w:r w:rsidRPr="00E215E1">
        <w:rPr>
          <w:rFonts w:ascii="Times New Roman" w:hAnsi="Times New Roman"/>
          <w:sz w:val="24"/>
          <w:lang w:val="en-US"/>
        </w:rPr>
        <w:t xml:space="preserve"> 9</w:t>
      </w:r>
      <w:r w:rsidR="00CB5515">
        <w:rPr>
          <w:rFonts w:ascii="Times New Roman" w:hAnsi="Times New Roman"/>
          <w:sz w:val="24"/>
          <w:lang w:val="en-US"/>
        </w:rPr>
        <w:t>(4)</w:t>
      </w:r>
      <w:r w:rsidRPr="00E215E1">
        <w:rPr>
          <w:rFonts w:ascii="Times New Roman" w:hAnsi="Times New Roman"/>
          <w:sz w:val="24"/>
          <w:lang w:val="en-US"/>
        </w:rPr>
        <w:t>, 189</w:t>
      </w:r>
      <w:r w:rsidR="00E93ECA" w:rsidRPr="00320DC9">
        <w:rPr>
          <w:rFonts w:ascii="Times New Roman" w:hAnsi="Times New Roman"/>
          <w:sz w:val="24"/>
          <w:lang w:val="en-US"/>
        </w:rPr>
        <w:t>–</w:t>
      </w:r>
      <w:r w:rsidRPr="00E215E1">
        <w:rPr>
          <w:rFonts w:ascii="Times New Roman" w:hAnsi="Times New Roman"/>
          <w:sz w:val="24"/>
          <w:lang w:val="en-US"/>
        </w:rPr>
        <w:t>203.</w:t>
      </w:r>
      <w:r w:rsidR="00CB5515">
        <w:rPr>
          <w:rFonts w:ascii="Times New Roman" w:hAnsi="Times New Roman"/>
          <w:sz w:val="24"/>
          <w:lang w:val="en-US"/>
        </w:rPr>
        <w:t xml:space="preserve"> </w:t>
      </w:r>
      <w:r w:rsidR="00CB5515" w:rsidRPr="00CB5515">
        <w:rPr>
          <w:rFonts w:ascii="Times New Roman" w:hAnsi="Times New Roman"/>
          <w:sz w:val="24"/>
          <w:lang w:val="en-US"/>
        </w:rPr>
        <w:t>https://doi.org/10.1162/108819805775247864</w:t>
      </w:r>
      <w:r w:rsidR="00CB5515">
        <w:rPr>
          <w:rFonts w:ascii="Times New Roman" w:hAnsi="Times New Roman"/>
          <w:sz w:val="24"/>
          <w:lang w:val="en-US"/>
        </w:rPr>
        <w:t>.</w:t>
      </w:r>
    </w:p>
    <w:p w14:paraId="4D510498" w14:textId="7E5BBC44" w:rsidR="00612CD7" w:rsidRPr="00E215E1" w:rsidRDefault="00612CD7" w:rsidP="00D539F1">
      <w:pPr>
        <w:pStyle w:val="TEXT"/>
        <w:spacing w:line="480" w:lineRule="auto"/>
        <w:ind w:firstLine="0"/>
        <w:jc w:val="left"/>
        <w:rPr>
          <w:rFonts w:ascii="Times New Roman" w:hAnsi="Times New Roman"/>
          <w:sz w:val="24"/>
          <w:lang w:val="en-US"/>
        </w:rPr>
      </w:pPr>
      <w:r w:rsidRPr="00E215E1">
        <w:rPr>
          <w:rFonts w:ascii="Times New Roman" w:hAnsi="Times New Roman"/>
          <w:sz w:val="24"/>
          <w:lang w:val="en-US"/>
        </w:rPr>
        <w:t>Kijak, R., Moy, D., 2004. A decision support framework for sustainable waste management. J. Ind. Ecol. 8</w:t>
      </w:r>
      <w:r w:rsidR="00FF49F5">
        <w:rPr>
          <w:rFonts w:ascii="Times New Roman" w:hAnsi="Times New Roman"/>
          <w:sz w:val="24"/>
          <w:lang w:val="en-US"/>
        </w:rPr>
        <w:t>(3)</w:t>
      </w:r>
      <w:r w:rsidRPr="00E215E1">
        <w:rPr>
          <w:rFonts w:ascii="Times New Roman" w:hAnsi="Times New Roman"/>
          <w:sz w:val="24"/>
          <w:lang w:val="en-US"/>
        </w:rPr>
        <w:t>, 33–50.</w:t>
      </w:r>
      <w:r w:rsidR="00FF49F5">
        <w:rPr>
          <w:rFonts w:ascii="Times New Roman" w:hAnsi="Times New Roman"/>
          <w:sz w:val="24"/>
          <w:lang w:val="en-US"/>
        </w:rPr>
        <w:t xml:space="preserve"> </w:t>
      </w:r>
      <w:r w:rsidR="00FF49F5" w:rsidRPr="00FF49F5">
        <w:rPr>
          <w:rFonts w:ascii="Times New Roman" w:hAnsi="Times New Roman"/>
          <w:sz w:val="24"/>
          <w:lang w:val="en-US"/>
        </w:rPr>
        <w:t>https://doi.org/10.1162/1088198042442306</w:t>
      </w:r>
      <w:r w:rsidR="00FF49F5">
        <w:rPr>
          <w:rFonts w:ascii="Times New Roman" w:hAnsi="Times New Roman"/>
          <w:sz w:val="24"/>
          <w:lang w:val="en-US"/>
        </w:rPr>
        <w:t>.</w:t>
      </w:r>
    </w:p>
    <w:p w14:paraId="382A2611" w14:textId="2052829A" w:rsidR="00612CD7" w:rsidRPr="00F51A51" w:rsidRDefault="00612CD7" w:rsidP="00D539F1">
      <w:pPr>
        <w:pStyle w:val="TEXT"/>
        <w:spacing w:line="480" w:lineRule="auto"/>
        <w:ind w:firstLine="0"/>
        <w:jc w:val="left"/>
        <w:rPr>
          <w:rFonts w:ascii="Times New Roman" w:hAnsi="Times New Roman"/>
          <w:sz w:val="24"/>
        </w:rPr>
      </w:pPr>
      <w:r w:rsidRPr="00E215E1">
        <w:rPr>
          <w:rFonts w:ascii="Times New Roman" w:hAnsi="Times New Roman"/>
          <w:sz w:val="24"/>
          <w:lang w:val="en-US"/>
        </w:rPr>
        <w:t xml:space="preserve">Kinnaman, T.C., 2006. Policy watch. Examining the justification for residential recycling. </w:t>
      </w:r>
      <w:r w:rsidRPr="00F51A51">
        <w:rPr>
          <w:rFonts w:ascii="Times New Roman" w:hAnsi="Times New Roman"/>
          <w:sz w:val="24"/>
        </w:rPr>
        <w:t>J. Econ. Perspect., 20, 219</w:t>
      </w:r>
      <w:r w:rsidR="00E93ECA" w:rsidRPr="004D37B8">
        <w:rPr>
          <w:rFonts w:ascii="Times New Roman" w:hAnsi="Times New Roman"/>
          <w:sz w:val="24"/>
        </w:rPr>
        <w:t>–</w:t>
      </w:r>
      <w:r w:rsidRPr="00F51A51">
        <w:rPr>
          <w:rFonts w:ascii="Times New Roman" w:hAnsi="Times New Roman"/>
          <w:sz w:val="24"/>
        </w:rPr>
        <w:t>232.</w:t>
      </w:r>
    </w:p>
    <w:p w14:paraId="440334C4" w14:textId="12D23698" w:rsidR="00612CD7" w:rsidRPr="00E215E1" w:rsidRDefault="00612CD7" w:rsidP="00D539F1">
      <w:pPr>
        <w:pStyle w:val="REFERENCES"/>
        <w:spacing w:after="0" w:line="480" w:lineRule="auto"/>
        <w:ind w:left="0" w:firstLine="0"/>
        <w:jc w:val="left"/>
        <w:rPr>
          <w:rFonts w:ascii="Times New Roman" w:hAnsi="Times New Roman"/>
          <w:sz w:val="24"/>
          <w:szCs w:val="24"/>
          <w:lang w:val="en-US"/>
        </w:rPr>
      </w:pPr>
      <w:r w:rsidRPr="00F51A51">
        <w:rPr>
          <w:rFonts w:ascii="Times New Roman" w:hAnsi="Times New Roman"/>
          <w:sz w:val="24"/>
          <w:szCs w:val="24"/>
          <w:lang w:val="it-IT"/>
        </w:rPr>
        <w:t xml:space="preserve">Koushki, P.A., Al-Duaij, U., Al-Ghimlas, W., 2004. </w:t>
      </w:r>
      <w:r w:rsidRPr="00E215E1">
        <w:rPr>
          <w:rFonts w:ascii="Times New Roman" w:hAnsi="Times New Roman"/>
          <w:sz w:val="24"/>
          <w:szCs w:val="24"/>
          <w:lang w:val="en-US"/>
        </w:rPr>
        <w:t>Collection and transportation cost of household solid waste in Kuwait. Waste Manage. 24</w:t>
      </w:r>
      <w:r w:rsidR="00FF49F5">
        <w:rPr>
          <w:rFonts w:ascii="Times New Roman" w:hAnsi="Times New Roman"/>
          <w:sz w:val="24"/>
          <w:szCs w:val="24"/>
          <w:lang w:val="en-US"/>
        </w:rPr>
        <w:t>(9)</w:t>
      </w:r>
      <w:r w:rsidRPr="00E215E1">
        <w:rPr>
          <w:rFonts w:ascii="Times New Roman" w:hAnsi="Times New Roman"/>
          <w:sz w:val="24"/>
          <w:szCs w:val="24"/>
          <w:lang w:val="en-US"/>
        </w:rPr>
        <w:t>, 957</w:t>
      </w:r>
      <w:r w:rsidR="00E93ECA" w:rsidRPr="00320DC9">
        <w:rPr>
          <w:rFonts w:ascii="Times New Roman" w:hAnsi="Times New Roman"/>
          <w:sz w:val="24"/>
          <w:szCs w:val="24"/>
          <w:lang w:val="en-US"/>
        </w:rPr>
        <w:t>–</w:t>
      </w:r>
      <w:r w:rsidRPr="00E215E1">
        <w:rPr>
          <w:rFonts w:ascii="Times New Roman" w:hAnsi="Times New Roman"/>
          <w:sz w:val="24"/>
          <w:szCs w:val="24"/>
          <w:lang w:val="en-US"/>
        </w:rPr>
        <w:t>964.</w:t>
      </w:r>
      <w:r w:rsidR="00FF49F5">
        <w:rPr>
          <w:rFonts w:ascii="Times New Roman" w:hAnsi="Times New Roman"/>
          <w:sz w:val="24"/>
          <w:szCs w:val="24"/>
          <w:lang w:val="en-US"/>
        </w:rPr>
        <w:t xml:space="preserve"> </w:t>
      </w:r>
      <w:r w:rsidR="00FF49F5" w:rsidRPr="00FF49F5">
        <w:rPr>
          <w:rFonts w:ascii="Times New Roman" w:hAnsi="Times New Roman"/>
          <w:sz w:val="24"/>
          <w:szCs w:val="24"/>
          <w:lang w:val="en-US"/>
        </w:rPr>
        <w:lastRenderedPageBreak/>
        <w:t>https://doi.org/10.1016/j.wasman.2004.03.013</w:t>
      </w:r>
      <w:r w:rsidR="00FF49F5">
        <w:rPr>
          <w:rFonts w:ascii="Times New Roman" w:hAnsi="Times New Roman"/>
          <w:sz w:val="24"/>
          <w:szCs w:val="24"/>
          <w:lang w:val="en-US"/>
        </w:rPr>
        <w:t>.</w:t>
      </w:r>
    </w:p>
    <w:p w14:paraId="4A0C0DD5" w14:textId="3020AC0C" w:rsidR="00612CD7" w:rsidRPr="008C56C7" w:rsidRDefault="00612CD7" w:rsidP="00FF49F5">
      <w:pPr>
        <w:pStyle w:val="TEXT"/>
        <w:spacing w:line="480" w:lineRule="auto"/>
        <w:ind w:firstLine="0"/>
        <w:jc w:val="left"/>
        <w:rPr>
          <w:rFonts w:ascii="Times New Roman" w:hAnsi="Times New Roman"/>
          <w:sz w:val="24"/>
        </w:rPr>
      </w:pPr>
      <w:r w:rsidRPr="00E215E1">
        <w:rPr>
          <w:rFonts w:ascii="Times New Roman" w:hAnsi="Times New Roman"/>
          <w:sz w:val="24"/>
          <w:lang w:val="en-US"/>
        </w:rPr>
        <w:t xml:space="preserve">Larsen, A.W., Merrild, H., Møller, J., Christensen, T.H., 2010. Waste collection systems for recyclables: an environmental and economic assessment for the municipality of Aarhus (Denmark). </w:t>
      </w:r>
      <w:r w:rsidRPr="008C56C7">
        <w:rPr>
          <w:rFonts w:ascii="Times New Roman" w:hAnsi="Times New Roman"/>
          <w:sz w:val="24"/>
        </w:rPr>
        <w:t>Waste Manage. 30</w:t>
      </w:r>
      <w:r w:rsidR="007528DC" w:rsidRPr="008C56C7">
        <w:rPr>
          <w:rFonts w:ascii="Times New Roman" w:hAnsi="Times New Roman"/>
          <w:sz w:val="24"/>
        </w:rPr>
        <w:t>(</w:t>
      </w:r>
      <w:r w:rsidRPr="008C56C7">
        <w:rPr>
          <w:rFonts w:ascii="Times New Roman" w:hAnsi="Times New Roman"/>
          <w:sz w:val="24"/>
        </w:rPr>
        <w:t>5</w:t>
      </w:r>
      <w:r w:rsidR="007528DC" w:rsidRPr="008C56C7">
        <w:rPr>
          <w:rFonts w:ascii="Times New Roman" w:hAnsi="Times New Roman"/>
          <w:sz w:val="24"/>
        </w:rPr>
        <w:t>)</w:t>
      </w:r>
      <w:r w:rsidRPr="008C56C7">
        <w:rPr>
          <w:rFonts w:ascii="Times New Roman" w:hAnsi="Times New Roman"/>
          <w:sz w:val="24"/>
        </w:rPr>
        <w:t>, 744</w:t>
      </w:r>
      <w:r w:rsidR="00E93ECA" w:rsidRPr="008C56C7">
        <w:rPr>
          <w:rFonts w:ascii="Times New Roman" w:hAnsi="Times New Roman"/>
          <w:sz w:val="24"/>
        </w:rPr>
        <w:t>–</w:t>
      </w:r>
      <w:r w:rsidRPr="008C56C7">
        <w:rPr>
          <w:rFonts w:ascii="Times New Roman" w:hAnsi="Times New Roman"/>
          <w:sz w:val="24"/>
        </w:rPr>
        <w:t>754.</w:t>
      </w:r>
      <w:r w:rsidR="00FF49F5" w:rsidRPr="008C56C7">
        <w:rPr>
          <w:rFonts w:ascii="Times New Roman" w:hAnsi="Times New Roman"/>
          <w:sz w:val="24"/>
        </w:rPr>
        <w:t xml:space="preserve"> https://doi.org/10.1016/j.wasman.2009.10.021.</w:t>
      </w:r>
    </w:p>
    <w:p w14:paraId="4B7B7AEC" w14:textId="54FEFA9E" w:rsidR="00612CD7" w:rsidRPr="00E215E1" w:rsidRDefault="00612CD7" w:rsidP="00D539F1">
      <w:pPr>
        <w:pStyle w:val="TEXT"/>
        <w:spacing w:line="480" w:lineRule="auto"/>
        <w:ind w:firstLine="0"/>
        <w:jc w:val="left"/>
        <w:rPr>
          <w:rFonts w:ascii="Times New Roman" w:hAnsi="Times New Roman"/>
          <w:sz w:val="24"/>
          <w:lang w:val="en-US"/>
        </w:rPr>
      </w:pPr>
      <w:r w:rsidRPr="008C56C7">
        <w:rPr>
          <w:rFonts w:ascii="Times New Roman" w:hAnsi="Times New Roman"/>
          <w:sz w:val="24"/>
        </w:rPr>
        <w:t xml:space="preserve">Lo Storto, C., 2016. </w:t>
      </w:r>
      <w:r w:rsidRPr="00E215E1">
        <w:rPr>
          <w:rFonts w:ascii="Times New Roman" w:hAnsi="Times New Roman"/>
          <w:sz w:val="24"/>
          <w:lang w:val="en-US"/>
        </w:rPr>
        <w:t>The trade-off between cost efficiency and public service quality: A non-parametric frontier analysis of Italian major municipalities. Cities</w:t>
      </w:r>
      <w:r w:rsidR="00FF49F5">
        <w:rPr>
          <w:rFonts w:ascii="Times New Roman" w:hAnsi="Times New Roman"/>
          <w:sz w:val="24"/>
          <w:lang w:val="en-US"/>
        </w:rPr>
        <w:t>.</w:t>
      </w:r>
      <w:r w:rsidRPr="00E215E1">
        <w:rPr>
          <w:rFonts w:ascii="Times New Roman" w:hAnsi="Times New Roman"/>
          <w:sz w:val="24"/>
          <w:lang w:val="en-US"/>
        </w:rPr>
        <w:t xml:space="preserve"> 51, 52</w:t>
      </w:r>
      <w:r w:rsidR="00E93ECA" w:rsidRPr="00320DC9">
        <w:rPr>
          <w:rFonts w:ascii="Times New Roman" w:hAnsi="Times New Roman"/>
          <w:sz w:val="24"/>
          <w:lang w:val="en-US"/>
        </w:rPr>
        <w:t>–</w:t>
      </w:r>
      <w:r w:rsidRPr="00E215E1">
        <w:rPr>
          <w:rFonts w:ascii="Times New Roman" w:hAnsi="Times New Roman"/>
          <w:sz w:val="24"/>
          <w:lang w:val="en-US"/>
        </w:rPr>
        <w:t>63.</w:t>
      </w:r>
      <w:r w:rsidR="00FF49F5">
        <w:rPr>
          <w:rFonts w:ascii="Times New Roman" w:hAnsi="Times New Roman"/>
          <w:sz w:val="24"/>
          <w:lang w:val="en-US"/>
        </w:rPr>
        <w:t xml:space="preserve"> </w:t>
      </w:r>
      <w:r w:rsidR="00FF49F5" w:rsidRPr="00FF49F5">
        <w:rPr>
          <w:rFonts w:ascii="Times New Roman" w:hAnsi="Times New Roman"/>
          <w:sz w:val="24"/>
          <w:lang w:val="en-US"/>
        </w:rPr>
        <w:t>https://doi.org/10.1016/j.cities.2015.11.028</w:t>
      </w:r>
      <w:r w:rsidR="00FF49F5">
        <w:rPr>
          <w:rFonts w:ascii="Times New Roman" w:hAnsi="Times New Roman"/>
          <w:sz w:val="24"/>
          <w:lang w:val="en-US"/>
        </w:rPr>
        <w:t>.</w:t>
      </w:r>
    </w:p>
    <w:p w14:paraId="5B2781B4" w14:textId="1710A217" w:rsidR="00612CD7" w:rsidRPr="00E215E1" w:rsidRDefault="00612CD7" w:rsidP="00D539F1">
      <w:pPr>
        <w:pStyle w:val="TEXT"/>
        <w:spacing w:line="480" w:lineRule="auto"/>
        <w:ind w:firstLine="0"/>
        <w:jc w:val="left"/>
        <w:rPr>
          <w:rFonts w:ascii="Times New Roman" w:hAnsi="Times New Roman"/>
          <w:sz w:val="24"/>
          <w:lang w:val="en-US"/>
        </w:rPr>
      </w:pPr>
      <w:r w:rsidRPr="00E215E1">
        <w:rPr>
          <w:rFonts w:ascii="Times New Roman" w:hAnsi="Times New Roman"/>
          <w:sz w:val="24"/>
          <w:lang w:val="en-US"/>
        </w:rPr>
        <w:t>Lombrano, A., 2009. Cost efficiency in the management of solid urban waste</w:t>
      </w:r>
      <w:r w:rsidR="00FF49F5">
        <w:rPr>
          <w:rFonts w:ascii="Times New Roman" w:hAnsi="Times New Roman"/>
          <w:sz w:val="24"/>
          <w:lang w:val="en-US"/>
        </w:rPr>
        <w:t>.</w:t>
      </w:r>
      <w:r w:rsidRPr="00E215E1">
        <w:rPr>
          <w:rFonts w:ascii="Times New Roman" w:hAnsi="Times New Roman"/>
          <w:sz w:val="24"/>
          <w:lang w:val="en-US"/>
        </w:rPr>
        <w:t xml:space="preserve"> Resour. Conserv</w:t>
      </w:r>
      <w:r w:rsidR="008B29CF">
        <w:rPr>
          <w:rFonts w:ascii="Times New Roman" w:hAnsi="Times New Roman"/>
          <w:sz w:val="24"/>
          <w:lang w:val="en-US"/>
        </w:rPr>
        <w:t>.</w:t>
      </w:r>
      <w:r w:rsidRPr="00E215E1">
        <w:rPr>
          <w:rFonts w:ascii="Times New Roman" w:hAnsi="Times New Roman"/>
          <w:sz w:val="24"/>
          <w:lang w:val="en-US"/>
        </w:rPr>
        <w:t xml:space="preserve"> Recy</w:t>
      </w:r>
      <w:r w:rsidR="008B29CF">
        <w:rPr>
          <w:rFonts w:ascii="Times New Roman" w:hAnsi="Times New Roman"/>
          <w:sz w:val="24"/>
          <w:lang w:val="en-US"/>
        </w:rPr>
        <w:t>.</w:t>
      </w:r>
      <w:r w:rsidRPr="00E215E1">
        <w:rPr>
          <w:rFonts w:ascii="Times New Roman" w:hAnsi="Times New Roman"/>
          <w:sz w:val="24"/>
          <w:lang w:val="en-US"/>
        </w:rPr>
        <w:t xml:space="preserve"> 53</w:t>
      </w:r>
      <w:r w:rsidR="00FF49F5">
        <w:rPr>
          <w:rFonts w:ascii="Times New Roman" w:hAnsi="Times New Roman"/>
          <w:sz w:val="24"/>
          <w:lang w:val="en-US"/>
        </w:rPr>
        <w:t>(11)</w:t>
      </w:r>
      <w:r w:rsidRPr="00E215E1">
        <w:rPr>
          <w:rFonts w:ascii="Times New Roman" w:hAnsi="Times New Roman"/>
          <w:sz w:val="24"/>
          <w:lang w:val="en-US"/>
        </w:rPr>
        <w:t xml:space="preserve">, 601–611. </w:t>
      </w:r>
      <w:r w:rsidR="00FF49F5" w:rsidRPr="00FF49F5">
        <w:rPr>
          <w:rFonts w:ascii="Times New Roman" w:hAnsi="Times New Roman"/>
          <w:sz w:val="24"/>
          <w:lang w:val="en-US"/>
        </w:rPr>
        <w:t>https://doi.org/10.1016/j.resconrec.2009.04.017</w:t>
      </w:r>
      <w:r w:rsidR="00FF49F5">
        <w:rPr>
          <w:rFonts w:ascii="Times New Roman" w:hAnsi="Times New Roman"/>
          <w:sz w:val="24"/>
          <w:lang w:val="en-US"/>
        </w:rPr>
        <w:t>.</w:t>
      </w:r>
    </w:p>
    <w:p w14:paraId="15A7CBA8" w14:textId="7426F94F" w:rsidR="00612CD7" w:rsidRPr="00E215E1" w:rsidRDefault="00612CD7" w:rsidP="00D539F1">
      <w:pPr>
        <w:pStyle w:val="TEXT"/>
        <w:spacing w:line="480" w:lineRule="auto"/>
        <w:ind w:firstLine="0"/>
        <w:jc w:val="left"/>
        <w:rPr>
          <w:rFonts w:ascii="Times New Roman" w:hAnsi="Times New Roman"/>
          <w:sz w:val="24"/>
          <w:lang w:val="en-US"/>
        </w:rPr>
      </w:pPr>
      <w:r w:rsidRPr="008C56C7">
        <w:rPr>
          <w:rFonts w:ascii="Times New Roman" w:hAnsi="Times New Roman"/>
          <w:sz w:val="24"/>
          <w:lang w:val="fr-FR"/>
        </w:rPr>
        <w:t xml:space="preserve">Marques, R.C., da Cruz, N.F., Carvalho, P., 2012. </w:t>
      </w:r>
      <w:r w:rsidRPr="00E215E1">
        <w:rPr>
          <w:rFonts w:ascii="Times New Roman" w:hAnsi="Times New Roman"/>
          <w:sz w:val="24"/>
          <w:lang w:val="en-US"/>
        </w:rPr>
        <w:t>Assessing and exploring (in)efficiency in Portuguese recycling systems using non-parametric methods. Resour. Conserv. Recy., 67, 34</w:t>
      </w:r>
      <w:r w:rsidR="00E93ECA" w:rsidRPr="00320DC9">
        <w:rPr>
          <w:rFonts w:ascii="Times New Roman" w:hAnsi="Times New Roman"/>
          <w:sz w:val="24"/>
          <w:lang w:val="en-US"/>
        </w:rPr>
        <w:t>–</w:t>
      </w:r>
      <w:r w:rsidRPr="00E215E1">
        <w:rPr>
          <w:rFonts w:ascii="Times New Roman" w:hAnsi="Times New Roman"/>
          <w:sz w:val="24"/>
          <w:lang w:val="en-US"/>
        </w:rPr>
        <w:t>43.</w:t>
      </w:r>
      <w:r w:rsidR="00FF49F5">
        <w:rPr>
          <w:rFonts w:ascii="Times New Roman" w:hAnsi="Times New Roman"/>
          <w:sz w:val="24"/>
          <w:lang w:val="en-US"/>
        </w:rPr>
        <w:t xml:space="preserve"> </w:t>
      </w:r>
      <w:r w:rsidR="00FF49F5" w:rsidRPr="00FF49F5">
        <w:rPr>
          <w:rFonts w:ascii="Times New Roman" w:hAnsi="Times New Roman"/>
          <w:sz w:val="24"/>
          <w:lang w:val="en-US"/>
        </w:rPr>
        <w:t>https://doi.org/10.1016/j.resconrec.2012.07.005</w:t>
      </w:r>
      <w:r w:rsidR="00FF49F5">
        <w:rPr>
          <w:rFonts w:ascii="Times New Roman" w:hAnsi="Times New Roman"/>
          <w:sz w:val="24"/>
          <w:lang w:val="en-US"/>
        </w:rPr>
        <w:t>.</w:t>
      </w:r>
    </w:p>
    <w:p w14:paraId="613CA9C5" w14:textId="6250AFB3" w:rsidR="00612CD7" w:rsidRPr="00E215E1" w:rsidRDefault="00612CD7" w:rsidP="00D539F1">
      <w:pPr>
        <w:pStyle w:val="TEXT"/>
        <w:spacing w:line="480" w:lineRule="auto"/>
        <w:ind w:firstLine="0"/>
        <w:jc w:val="left"/>
        <w:rPr>
          <w:rFonts w:ascii="Times New Roman" w:hAnsi="Times New Roman"/>
          <w:sz w:val="24"/>
          <w:lang w:val="en-US"/>
        </w:rPr>
      </w:pPr>
      <w:r w:rsidRPr="00E215E1">
        <w:rPr>
          <w:rFonts w:ascii="Times New Roman" w:hAnsi="Times New Roman"/>
          <w:sz w:val="24"/>
          <w:lang w:val="en-US"/>
        </w:rPr>
        <w:t>Massarutto, A., 2015. Economic aspects of thermal treatment of solid waste in a sustainable WM system. Waste manage</w:t>
      </w:r>
      <w:r w:rsidR="007528DC">
        <w:rPr>
          <w:rFonts w:ascii="Times New Roman" w:hAnsi="Times New Roman"/>
          <w:sz w:val="24"/>
          <w:lang w:val="en-US"/>
        </w:rPr>
        <w:t>.</w:t>
      </w:r>
      <w:r w:rsidRPr="00E215E1">
        <w:rPr>
          <w:rFonts w:ascii="Times New Roman" w:hAnsi="Times New Roman"/>
          <w:sz w:val="24"/>
          <w:lang w:val="en-US"/>
        </w:rPr>
        <w:t xml:space="preserve"> 37, 45</w:t>
      </w:r>
      <w:r w:rsidR="00E93ECA" w:rsidRPr="00320DC9">
        <w:rPr>
          <w:rFonts w:ascii="Times New Roman" w:hAnsi="Times New Roman"/>
          <w:sz w:val="24"/>
          <w:lang w:val="en-US"/>
        </w:rPr>
        <w:t>–</w:t>
      </w:r>
      <w:r w:rsidRPr="00E215E1">
        <w:rPr>
          <w:rFonts w:ascii="Times New Roman" w:hAnsi="Times New Roman"/>
          <w:sz w:val="24"/>
          <w:lang w:val="en-US"/>
        </w:rPr>
        <w:t>57.</w:t>
      </w:r>
      <w:r w:rsidR="00FF49F5">
        <w:rPr>
          <w:rFonts w:ascii="Times New Roman" w:hAnsi="Times New Roman"/>
          <w:sz w:val="24"/>
          <w:lang w:val="en-US"/>
        </w:rPr>
        <w:t xml:space="preserve"> </w:t>
      </w:r>
      <w:r w:rsidR="00FF49F5" w:rsidRPr="00FF49F5">
        <w:rPr>
          <w:rFonts w:ascii="Times New Roman" w:hAnsi="Times New Roman"/>
          <w:sz w:val="24"/>
          <w:lang w:val="en-US"/>
        </w:rPr>
        <w:t>https://doi.org/10.1016/j.wasman.2014.08.024</w:t>
      </w:r>
      <w:r w:rsidR="00FF49F5">
        <w:rPr>
          <w:rFonts w:ascii="Times New Roman" w:hAnsi="Times New Roman"/>
          <w:sz w:val="24"/>
          <w:lang w:val="en-US"/>
        </w:rPr>
        <w:t>.</w:t>
      </w:r>
    </w:p>
    <w:p w14:paraId="6F49DE2E" w14:textId="4C7140FD" w:rsidR="00612CD7" w:rsidRPr="008C56C7" w:rsidRDefault="00612CD7" w:rsidP="00D539F1">
      <w:pPr>
        <w:pStyle w:val="TEXT"/>
        <w:spacing w:line="480" w:lineRule="auto"/>
        <w:ind w:firstLine="0"/>
        <w:jc w:val="left"/>
        <w:rPr>
          <w:rFonts w:ascii="Times New Roman" w:hAnsi="Times New Roman"/>
          <w:sz w:val="24"/>
          <w:lang w:val="en-US"/>
        </w:rPr>
      </w:pPr>
      <w:r w:rsidRPr="00E215E1">
        <w:rPr>
          <w:rFonts w:ascii="Times New Roman" w:hAnsi="Times New Roman"/>
          <w:sz w:val="24"/>
          <w:lang w:val="en-US"/>
        </w:rPr>
        <w:t xml:space="preserve">Okuda, I., Thomson, V.E., 2007. Regionalization of municipal solid waste management in Japan: balancing the proximity principle with economic efficiency. </w:t>
      </w:r>
      <w:r w:rsidRPr="008C56C7">
        <w:rPr>
          <w:rFonts w:ascii="Times New Roman" w:hAnsi="Times New Roman"/>
          <w:sz w:val="24"/>
          <w:lang w:val="en-US"/>
        </w:rPr>
        <w:t>Environ Manage</w:t>
      </w:r>
      <w:r w:rsidR="00CE1D8D" w:rsidRPr="008C56C7">
        <w:rPr>
          <w:rFonts w:ascii="Times New Roman" w:hAnsi="Times New Roman"/>
          <w:sz w:val="24"/>
          <w:lang w:val="en-US"/>
        </w:rPr>
        <w:t>.</w:t>
      </w:r>
      <w:r w:rsidRPr="008C56C7">
        <w:rPr>
          <w:rFonts w:ascii="Times New Roman" w:hAnsi="Times New Roman"/>
          <w:sz w:val="24"/>
          <w:lang w:val="en-US"/>
        </w:rPr>
        <w:t xml:space="preserve"> 40, 12–19. </w:t>
      </w:r>
      <w:r w:rsidR="00B040B4" w:rsidRPr="008C56C7">
        <w:rPr>
          <w:rFonts w:ascii="Times New Roman" w:hAnsi="Times New Roman"/>
          <w:sz w:val="24"/>
          <w:lang w:val="en-US"/>
        </w:rPr>
        <w:t>https://doi.org/10.1007/s00267-006-0194-x.</w:t>
      </w:r>
    </w:p>
    <w:p w14:paraId="7FDD6EF6" w14:textId="69A8CC89" w:rsidR="00612CD7" w:rsidRPr="00E215E1" w:rsidRDefault="00612CD7" w:rsidP="00D539F1">
      <w:pPr>
        <w:pStyle w:val="TEXT"/>
        <w:spacing w:line="480" w:lineRule="auto"/>
        <w:ind w:firstLine="0"/>
        <w:jc w:val="left"/>
        <w:rPr>
          <w:rFonts w:ascii="Times New Roman" w:hAnsi="Times New Roman"/>
          <w:sz w:val="24"/>
          <w:lang w:val="en-US"/>
        </w:rPr>
      </w:pPr>
      <w:r w:rsidRPr="008C56C7">
        <w:rPr>
          <w:rFonts w:ascii="Times New Roman" w:hAnsi="Times New Roman"/>
          <w:sz w:val="24"/>
          <w:lang w:val="en-US"/>
        </w:rPr>
        <w:t xml:space="preserve">Passarini, F., Vassura, I., Monti, F., Morselli, L., Villa, B., 2011. </w:t>
      </w:r>
      <w:r w:rsidRPr="00E215E1">
        <w:rPr>
          <w:rFonts w:ascii="Times New Roman" w:hAnsi="Times New Roman"/>
          <w:sz w:val="24"/>
          <w:lang w:val="en-US"/>
        </w:rPr>
        <w:t>Indicators of waste management efficiency related to different territorial conditions. Waste Manage</w:t>
      </w:r>
      <w:r w:rsidR="005A6551" w:rsidRPr="00E215E1">
        <w:rPr>
          <w:rFonts w:ascii="Times New Roman" w:hAnsi="Times New Roman"/>
          <w:sz w:val="24"/>
          <w:lang w:val="en-US"/>
        </w:rPr>
        <w:t>.</w:t>
      </w:r>
      <w:r w:rsidRPr="00E215E1">
        <w:rPr>
          <w:rFonts w:ascii="Times New Roman" w:hAnsi="Times New Roman"/>
          <w:sz w:val="24"/>
          <w:lang w:val="en-US"/>
        </w:rPr>
        <w:t xml:space="preserve"> 31</w:t>
      </w:r>
      <w:r w:rsidR="00B040B4">
        <w:rPr>
          <w:rFonts w:ascii="Times New Roman" w:hAnsi="Times New Roman"/>
          <w:sz w:val="24"/>
          <w:lang w:val="en-US"/>
        </w:rPr>
        <w:t>(4)</w:t>
      </w:r>
      <w:r w:rsidRPr="00E215E1">
        <w:rPr>
          <w:rFonts w:ascii="Times New Roman" w:hAnsi="Times New Roman"/>
          <w:sz w:val="24"/>
          <w:lang w:val="en-US"/>
        </w:rPr>
        <w:t>, 785</w:t>
      </w:r>
      <w:r w:rsidR="00E93ECA" w:rsidRPr="00320DC9">
        <w:rPr>
          <w:rFonts w:ascii="Times New Roman" w:hAnsi="Times New Roman"/>
          <w:sz w:val="24"/>
          <w:lang w:val="en-US"/>
        </w:rPr>
        <w:t>–</w:t>
      </w:r>
      <w:r w:rsidRPr="00E215E1">
        <w:rPr>
          <w:rFonts w:ascii="Times New Roman" w:hAnsi="Times New Roman"/>
          <w:sz w:val="24"/>
          <w:lang w:val="en-US"/>
        </w:rPr>
        <w:t xml:space="preserve">792. </w:t>
      </w:r>
      <w:r w:rsidR="00B040B4" w:rsidRPr="00B040B4">
        <w:rPr>
          <w:rFonts w:ascii="Times New Roman" w:hAnsi="Times New Roman"/>
          <w:sz w:val="24"/>
          <w:lang w:val="en-US"/>
        </w:rPr>
        <w:t>https://doi.org/10.1016/j.wasman.2010.11.021</w:t>
      </w:r>
      <w:r w:rsidR="00B040B4">
        <w:rPr>
          <w:rFonts w:ascii="Times New Roman" w:hAnsi="Times New Roman"/>
          <w:sz w:val="24"/>
          <w:lang w:val="en-US"/>
        </w:rPr>
        <w:t>.</w:t>
      </w:r>
    </w:p>
    <w:p w14:paraId="1B1AEC34" w14:textId="74DB0E76" w:rsidR="00A06A82" w:rsidRDefault="00A06A82" w:rsidP="00D539F1">
      <w:pPr>
        <w:pStyle w:val="TEXT"/>
        <w:spacing w:line="480" w:lineRule="auto"/>
        <w:ind w:firstLine="0"/>
        <w:jc w:val="left"/>
        <w:rPr>
          <w:rFonts w:ascii="Times New Roman" w:hAnsi="Times New Roman"/>
          <w:sz w:val="24"/>
          <w:lang w:val="en-US"/>
        </w:rPr>
      </w:pPr>
      <w:r w:rsidRPr="00A00D0E">
        <w:rPr>
          <w:rFonts w:ascii="Times New Roman" w:hAnsi="Times New Roman"/>
          <w:sz w:val="24"/>
          <w:lang w:val="en-US"/>
        </w:rPr>
        <w:t>Pinto, C.M., Lopes, A.M., Machado, J.T., 2012. A review of power laws in real life phenomena. Commun</w:t>
      </w:r>
      <w:r w:rsidR="00B040B4">
        <w:rPr>
          <w:rFonts w:ascii="Times New Roman" w:hAnsi="Times New Roman"/>
          <w:sz w:val="24"/>
          <w:lang w:val="en-US"/>
        </w:rPr>
        <w:t>.</w:t>
      </w:r>
      <w:r w:rsidRPr="00A00D0E">
        <w:rPr>
          <w:rFonts w:ascii="Times New Roman" w:hAnsi="Times New Roman"/>
          <w:sz w:val="24"/>
          <w:lang w:val="en-US"/>
        </w:rPr>
        <w:t xml:space="preserve"> Nonlinear Science Numerical Simulation, 17(9), 3558</w:t>
      </w:r>
      <w:r w:rsidR="00E93ECA" w:rsidRPr="00320DC9">
        <w:rPr>
          <w:rFonts w:ascii="Times New Roman" w:hAnsi="Times New Roman"/>
          <w:sz w:val="24"/>
          <w:lang w:val="en-US"/>
        </w:rPr>
        <w:t>–</w:t>
      </w:r>
      <w:r w:rsidRPr="00A00D0E">
        <w:rPr>
          <w:rFonts w:ascii="Times New Roman" w:hAnsi="Times New Roman"/>
          <w:sz w:val="24"/>
          <w:lang w:val="en-US"/>
        </w:rPr>
        <w:t>3578.</w:t>
      </w:r>
      <w:r w:rsidR="00B040B4">
        <w:rPr>
          <w:rFonts w:ascii="Times New Roman" w:hAnsi="Times New Roman"/>
          <w:sz w:val="24"/>
          <w:lang w:val="en-US"/>
        </w:rPr>
        <w:t xml:space="preserve"> </w:t>
      </w:r>
      <w:r w:rsidR="00B040B4" w:rsidRPr="00B040B4">
        <w:rPr>
          <w:rFonts w:ascii="Times New Roman" w:hAnsi="Times New Roman"/>
          <w:sz w:val="24"/>
          <w:lang w:val="en-US"/>
        </w:rPr>
        <w:t>https://doi.org/10.1016/j.cnsns.2012.01.013</w:t>
      </w:r>
    </w:p>
    <w:p w14:paraId="6CF6D511" w14:textId="0ED1B7BF" w:rsidR="00612CD7" w:rsidRPr="00E215E1" w:rsidRDefault="00612CD7" w:rsidP="00D539F1">
      <w:pPr>
        <w:pStyle w:val="TEXT"/>
        <w:spacing w:line="480" w:lineRule="auto"/>
        <w:ind w:firstLine="0"/>
        <w:jc w:val="left"/>
        <w:rPr>
          <w:rFonts w:ascii="Times New Roman" w:hAnsi="Times New Roman"/>
          <w:sz w:val="24"/>
          <w:lang w:val="en-US"/>
        </w:rPr>
      </w:pPr>
      <w:r w:rsidRPr="008C56C7">
        <w:rPr>
          <w:rFonts w:ascii="Times New Roman" w:hAnsi="Times New Roman"/>
          <w:sz w:val="24"/>
          <w:lang w:val="en-US"/>
        </w:rPr>
        <w:t xml:space="preserve">Rigamonti, L., Sterpi, I., Grosso, M., 2016. </w:t>
      </w:r>
      <w:r w:rsidRPr="00E215E1">
        <w:rPr>
          <w:rFonts w:ascii="Times New Roman" w:hAnsi="Times New Roman"/>
          <w:sz w:val="24"/>
          <w:lang w:val="en-US"/>
        </w:rPr>
        <w:t>Integrated municipal waste management systems: An indicator to assess their environmental and economic sustainability. Ecol</w:t>
      </w:r>
      <w:r w:rsidR="00CE1D8D">
        <w:rPr>
          <w:rFonts w:ascii="Times New Roman" w:hAnsi="Times New Roman"/>
          <w:sz w:val="24"/>
          <w:lang w:val="en-US"/>
        </w:rPr>
        <w:t>.</w:t>
      </w:r>
      <w:r w:rsidRPr="00E215E1">
        <w:rPr>
          <w:rFonts w:ascii="Times New Roman" w:hAnsi="Times New Roman"/>
          <w:sz w:val="24"/>
          <w:lang w:val="en-US"/>
        </w:rPr>
        <w:t xml:space="preserve"> Indic</w:t>
      </w:r>
      <w:r w:rsidR="00CE1D8D">
        <w:rPr>
          <w:rFonts w:ascii="Times New Roman" w:hAnsi="Times New Roman"/>
          <w:sz w:val="24"/>
          <w:lang w:val="en-US"/>
        </w:rPr>
        <w:t>.</w:t>
      </w:r>
      <w:r w:rsidRPr="00E215E1">
        <w:rPr>
          <w:rFonts w:ascii="Times New Roman" w:hAnsi="Times New Roman"/>
          <w:sz w:val="24"/>
          <w:lang w:val="en-US"/>
        </w:rPr>
        <w:t xml:space="preserve"> 60, 1</w:t>
      </w:r>
      <w:r w:rsidR="00E93ECA" w:rsidRPr="00320DC9">
        <w:rPr>
          <w:rFonts w:ascii="Times New Roman" w:hAnsi="Times New Roman"/>
          <w:sz w:val="24"/>
          <w:lang w:val="en-US"/>
        </w:rPr>
        <w:t>–</w:t>
      </w:r>
      <w:r w:rsidRPr="00E215E1">
        <w:rPr>
          <w:rFonts w:ascii="Times New Roman" w:hAnsi="Times New Roman"/>
          <w:sz w:val="24"/>
          <w:lang w:val="en-US"/>
        </w:rPr>
        <w:t>7.</w:t>
      </w:r>
      <w:r w:rsidR="00B040B4">
        <w:rPr>
          <w:rFonts w:ascii="Times New Roman" w:hAnsi="Times New Roman"/>
          <w:sz w:val="24"/>
          <w:lang w:val="en-US"/>
        </w:rPr>
        <w:t xml:space="preserve"> </w:t>
      </w:r>
      <w:r w:rsidR="00B040B4" w:rsidRPr="00B040B4">
        <w:rPr>
          <w:rFonts w:ascii="Times New Roman" w:hAnsi="Times New Roman"/>
          <w:sz w:val="24"/>
          <w:lang w:val="en-US"/>
        </w:rPr>
        <w:lastRenderedPageBreak/>
        <w:t>https://doi.org/10.1016/j.ecolind.2015.06.022</w:t>
      </w:r>
      <w:r w:rsidR="00B040B4">
        <w:rPr>
          <w:rFonts w:ascii="Times New Roman" w:hAnsi="Times New Roman"/>
          <w:sz w:val="24"/>
          <w:lang w:val="en-US"/>
        </w:rPr>
        <w:t>.</w:t>
      </w:r>
    </w:p>
    <w:p w14:paraId="5458D733" w14:textId="0A263C28" w:rsidR="00612CD7" w:rsidRPr="006107BD" w:rsidRDefault="00612CD7" w:rsidP="00D539F1">
      <w:pPr>
        <w:pStyle w:val="TEXT"/>
        <w:spacing w:line="480" w:lineRule="auto"/>
        <w:ind w:firstLine="0"/>
        <w:jc w:val="left"/>
        <w:rPr>
          <w:rFonts w:ascii="Times New Roman" w:hAnsi="Times New Roman"/>
          <w:sz w:val="24"/>
        </w:rPr>
      </w:pPr>
      <w:r w:rsidRPr="008C56C7">
        <w:rPr>
          <w:rFonts w:ascii="Times New Roman" w:hAnsi="Times New Roman"/>
          <w:sz w:val="24"/>
          <w:lang w:val="en-US"/>
        </w:rPr>
        <w:t xml:space="preserve">Rodrigues, S., Martinho, G., Pires, 2016. </w:t>
      </w:r>
      <w:r w:rsidRPr="00E215E1">
        <w:rPr>
          <w:rFonts w:ascii="Times New Roman" w:hAnsi="Times New Roman"/>
          <w:sz w:val="24"/>
          <w:lang w:val="en-US"/>
        </w:rPr>
        <w:t xml:space="preserve">A., Waste collection systems. Part B: Benchmarking indicators. Benchmarking of the Great Lisbon Area, Portugal. </w:t>
      </w:r>
      <w:r w:rsidRPr="006107BD">
        <w:rPr>
          <w:rFonts w:ascii="Times New Roman" w:hAnsi="Times New Roman"/>
          <w:sz w:val="24"/>
        </w:rPr>
        <w:t>J</w:t>
      </w:r>
      <w:r w:rsidR="00B040B4" w:rsidRPr="006107BD">
        <w:rPr>
          <w:rFonts w:ascii="Times New Roman" w:hAnsi="Times New Roman"/>
          <w:sz w:val="24"/>
        </w:rPr>
        <w:t>.</w:t>
      </w:r>
      <w:r w:rsidRPr="006107BD">
        <w:rPr>
          <w:rFonts w:ascii="Times New Roman" w:hAnsi="Times New Roman"/>
          <w:sz w:val="24"/>
        </w:rPr>
        <w:t xml:space="preserve"> Clean</w:t>
      </w:r>
      <w:r w:rsidR="00B040B4" w:rsidRPr="006107BD">
        <w:rPr>
          <w:rFonts w:ascii="Times New Roman" w:hAnsi="Times New Roman"/>
          <w:sz w:val="24"/>
        </w:rPr>
        <w:t>.</w:t>
      </w:r>
      <w:r w:rsidRPr="006107BD">
        <w:rPr>
          <w:rFonts w:ascii="Times New Roman" w:hAnsi="Times New Roman"/>
          <w:sz w:val="24"/>
        </w:rPr>
        <w:t xml:space="preserve"> Prod</w:t>
      </w:r>
      <w:r w:rsidR="00B040B4" w:rsidRPr="006107BD">
        <w:rPr>
          <w:rFonts w:ascii="Times New Roman" w:hAnsi="Times New Roman"/>
          <w:sz w:val="24"/>
        </w:rPr>
        <w:t>.</w:t>
      </w:r>
      <w:r w:rsidRPr="006107BD">
        <w:rPr>
          <w:rFonts w:ascii="Times New Roman" w:hAnsi="Times New Roman"/>
          <w:sz w:val="24"/>
        </w:rPr>
        <w:t xml:space="preserve"> 139, 230</w:t>
      </w:r>
      <w:r w:rsidR="00E93ECA" w:rsidRPr="006107BD">
        <w:rPr>
          <w:rFonts w:ascii="Times New Roman" w:hAnsi="Times New Roman"/>
          <w:sz w:val="24"/>
        </w:rPr>
        <w:t>–</w:t>
      </w:r>
      <w:r w:rsidRPr="006107BD">
        <w:rPr>
          <w:rFonts w:ascii="Times New Roman" w:hAnsi="Times New Roman"/>
          <w:sz w:val="24"/>
        </w:rPr>
        <w:t>241</w:t>
      </w:r>
      <w:r w:rsidR="00E93ECA" w:rsidRPr="006107BD">
        <w:rPr>
          <w:rFonts w:ascii="Times New Roman" w:hAnsi="Times New Roman"/>
          <w:sz w:val="24"/>
        </w:rPr>
        <w:t>.</w:t>
      </w:r>
      <w:r w:rsidR="00B040B4" w:rsidRPr="006107BD">
        <w:rPr>
          <w:rFonts w:ascii="Times New Roman" w:hAnsi="Times New Roman"/>
          <w:sz w:val="24"/>
        </w:rPr>
        <w:t xml:space="preserve"> https://doi.org/10.1016/j.jclepro.2016.07.146.</w:t>
      </w:r>
    </w:p>
    <w:p w14:paraId="6F449A43" w14:textId="37C7D263" w:rsidR="00612CD7" w:rsidRPr="00E215E1" w:rsidRDefault="00612CD7" w:rsidP="00D539F1">
      <w:pPr>
        <w:pStyle w:val="TEXT"/>
        <w:spacing w:line="480" w:lineRule="auto"/>
        <w:ind w:firstLine="0"/>
        <w:jc w:val="left"/>
        <w:rPr>
          <w:rFonts w:ascii="Times New Roman" w:hAnsi="Times New Roman"/>
          <w:sz w:val="24"/>
          <w:lang w:val="en-US"/>
        </w:rPr>
      </w:pPr>
      <w:r w:rsidRPr="00B040B4">
        <w:rPr>
          <w:rFonts w:ascii="Times New Roman" w:hAnsi="Times New Roman"/>
          <w:sz w:val="24"/>
        </w:rPr>
        <w:t xml:space="preserve">Sarra, A., Mazzocchitti, M., Rapposelli, A., 2017. </w:t>
      </w:r>
      <w:r w:rsidRPr="00E215E1">
        <w:rPr>
          <w:rFonts w:ascii="Times New Roman" w:hAnsi="Times New Roman"/>
          <w:sz w:val="24"/>
          <w:lang w:val="en-US"/>
        </w:rPr>
        <w:t>Evaluating joint environmental and cost performance in municipal waste management systems through data envelopment analysis: Scale effects and policy implications. Ecol</w:t>
      </w:r>
      <w:r w:rsidR="00CE1D8D">
        <w:rPr>
          <w:rFonts w:ascii="Times New Roman" w:hAnsi="Times New Roman"/>
          <w:sz w:val="24"/>
          <w:lang w:val="en-US"/>
        </w:rPr>
        <w:t>.</w:t>
      </w:r>
      <w:r w:rsidRPr="00E215E1">
        <w:rPr>
          <w:rFonts w:ascii="Times New Roman" w:hAnsi="Times New Roman"/>
          <w:sz w:val="24"/>
          <w:lang w:val="en-US"/>
        </w:rPr>
        <w:t xml:space="preserve"> Indic</w:t>
      </w:r>
      <w:r w:rsidR="00CE1D8D">
        <w:rPr>
          <w:rFonts w:ascii="Times New Roman" w:hAnsi="Times New Roman"/>
          <w:sz w:val="24"/>
          <w:lang w:val="en-US"/>
        </w:rPr>
        <w:t>.</w:t>
      </w:r>
      <w:r w:rsidRPr="00E215E1">
        <w:rPr>
          <w:rFonts w:ascii="Times New Roman" w:hAnsi="Times New Roman"/>
          <w:sz w:val="24"/>
          <w:lang w:val="en-US"/>
        </w:rPr>
        <w:t xml:space="preserve"> 73, 756</w:t>
      </w:r>
      <w:r w:rsidR="00E93ECA" w:rsidRPr="00320DC9">
        <w:rPr>
          <w:rFonts w:ascii="Times New Roman" w:hAnsi="Times New Roman"/>
          <w:sz w:val="24"/>
          <w:lang w:val="en-US"/>
        </w:rPr>
        <w:t>–</w:t>
      </w:r>
      <w:r w:rsidRPr="00E215E1">
        <w:rPr>
          <w:rFonts w:ascii="Times New Roman" w:hAnsi="Times New Roman"/>
          <w:sz w:val="24"/>
          <w:lang w:val="en-US"/>
        </w:rPr>
        <w:t>771.</w:t>
      </w:r>
      <w:r w:rsidR="00B040B4">
        <w:rPr>
          <w:rFonts w:ascii="Times New Roman" w:hAnsi="Times New Roman"/>
          <w:sz w:val="24"/>
          <w:lang w:val="en-US"/>
        </w:rPr>
        <w:t xml:space="preserve"> </w:t>
      </w:r>
      <w:r w:rsidR="00B040B4" w:rsidRPr="00B040B4">
        <w:rPr>
          <w:rFonts w:ascii="Times New Roman" w:hAnsi="Times New Roman"/>
          <w:sz w:val="24"/>
          <w:lang w:val="en-US"/>
        </w:rPr>
        <w:t>https://doi.org/10.1016/j.ecolind.2016.10.035</w:t>
      </w:r>
      <w:r w:rsidR="00B040B4">
        <w:rPr>
          <w:rFonts w:ascii="Times New Roman" w:hAnsi="Times New Roman"/>
          <w:sz w:val="24"/>
          <w:lang w:val="en-US"/>
        </w:rPr>
        <w:t>.</w:t>
      </w:r>
    </w:p>
    <w:p w14:paraId="465A5484" w14:textId="07DF01FA" w:rsidR="00612CD7" w:rsidRPr="00F51A51" w:rsidRDefault="00612CD7" w:rsidP="00D539F1">
      <w:pPr>
        <w:pStyle w:val="TEXT"/>
        <w:spacing w:line="480" w:lineRule="auto"/>
        <w:ind w:firstLine="0"/>
        <w:jc w:val="left"/>
        <w:rPr>
          <w:rFonts w:ascii="Times New Roman" w:hAnsi="Times New Roman"/>
          <w:sz w:val="24"/>
          <w:lang w:val="fr-FR"/>
        </w:rPr>
      </w:pPr>
      <w:r w:rsidRPr="008C56C7">
        <w:rPr>
          <w:rFonts w:ascii="Times New Roman" w:hAnsi="Times New Roman"/>
          <w:sz w:val="24"/>
          <w:lang w:val="en-US"/>
        </w:rPr>
        <w:t xml:space="preserve">Simões, P., Carvalho, P., Marques, R.C., 2012. </w:t>
      </w:r>
      <w:r w:rsidRPr="00E215E1">
        <w:rPr>
          <w:rFonts w:ascii="Times New Roman" w:hAnsi="Times New Roman"/>
          <w:sz w:val="24"/>
          <w:lang w:val="en-US"/>
        </w:rPr>
        <w:t xml:space="preserve">Performance assessment of refuse collection services using robust efficiency measures. </w:t>
      </w:r>
      <w:r w:rsidRPr="00F51A51">
        <w:rPr>
          <w:rFonts w:ascii="Times New Roman" w:hAnsi="Times New Roman"/>
          <w:sz w:val="24"/>
          <w:lang w:val="fr-FR"/>
        </w:rPr>
        <w:t>Resour. Conserv. Recy., 67, 56</w:t>
      </w:r>
      <w:r w:rsidR="00E93ECA" w:rsidRPr="008C56C7">
        <w:rPr>
          <w:rFonts w:ascii="Times New Roman" w:hAnsi="Times New Roman"/>
          <w:sz w:val="24"/>
          <w:lang w:val="fr-FR"/>
        </w:rPr>
        <w:t>–</w:t>
      </w:r>
      <w:r w:rsidRPr="00F51A51">
        <w:rPr>
          <w:rFonts w:ascii="Times New Roman" w:hAnsi="Times New Roman"/>
          <w:sz w:val="24"/>
          <w:lang w:val="fr-FR"/>
        </w:rPr>
        <w:t>66.</w:t>
      </w:r>
      <w:r w:rsidR="00B040B4">
        <w:rPr>
          <w:rFonts w:ascii="Times New Roman" w:hAnsi="Times New Roman"/>
          <w:sz w:val="24"/>
          <w:lang w:val="fr-FR"/>
        </w:rPr>
        <w:t xml:space="preserve"> </w:t>
      </w:r>
      <w:r w:rsidR="00B040B4" w:rsidRPr="00B040B4">
        <w:rPr>
          <w:rFonts w:ascii="Times New Roman" w:hAnsi="Times New Roman"/>
          <w:sz w:val="24"/>
          <w:lang w:val="fr-FR"/>
        </w:rPr>
        <w:t>https://doi.org/10.1016/j.resconrec.2012.07.006</w:t>
      </w:r>
      <w:r w:rsidR="00B040B4">
        <w:rPr>
          <w:rFonts w:ascii="Times New Roman" w:hAnsi="Times New Roman"/>
          <w:sz w:val="24"/>
          <w:lang w:val="fr-FR"/>
        </w:rPr>
        <w:t>.</w:t>
      </w:r>
    </w:p>
    <w:p w14:paraId="12692C9D" w14:textId="24F932BA" w:rsidR="00612CD7" w:rsidRPr="00E215E1" w:rsidRDefault="00612CD7" w:rsidP="00D539F1">
      <w:pPr>
        <w:pStyle w:val="REFERENCES"/>
        <w:spacing w:after="0" w:line="480" w:lineRule="auto"/>
        <w:ind w:left="0" w:firstLine="0"/>
        <w:jc w:val="left"/>
        <w:rPr>
          <w:rFonts w:ascii="Times New Roman" w:hAnsi="Times New Roman"/>
          <w:sz w:val="24"/>
          <w:szCs w:val="24"/>
          <w:lang w:val="en-US"/>
        </w:rPr>
      </w:pPr>
      <w:r w:rsidRPr="00F51A51">
        <w:rPr>
          <w:rFonts w:ascii="Times New Roman" w:hAnsi="Times New Roman"/>
          <w:sz w:val="24"/>
          <w:szCs w:val="24"/>
          <w:lang w:val="fr-FR"/>
        </w:rPr>
        <w:t xml:space="preserve">Soler, I.P., Gemar, G., Jimenez-Madridcet, A., 2017. </w:t>
      </w:r>
      <w:r w:rsidRPr="00E215E1">
        <w:rPr>
          <w:rFonts w:ascii="Times New Roman" w:hAnsi="Times New Roman"/>
          <w:sz w:val="24"/>
          <w:szCs w:val="24"/>
          <w:lang w:val="en-US"/>
        </w:rPr>
        <w:t>The impact of municipal budgets and land-use management on the hazardous waste production of Malaga municipalities. Environ</w:t>
      </w:r>
      <w:r w:rsidR="00264B14">
        <w:rPr>
          <w:rFonts w:ascii="Times New Roman" w:hAnsi="Times New Roman"/>
          <w:sz w:val="24"/>
          <w:szCs w:val="24"/>
          <w:lang w:val="en-US"/>
        </w:rPr>
        <w:t>.</w:t>
      </w:r>
      <w:r w:rsidRPr="00E215E1">
        <w:rPr>
          <w:rFonts w:ascii="Times New Roman" w:hAnsi="Times New Roman"/>
          <w:sz w:val="24"/>
          <w:szCs w:val="24"/>
          <w:lang w:val="en-US"/>
        </w:rPr>
        <w:t xml:space="preserve"> Impact Asses</w:t>
      </w:r>
      <w:r w:rsidR="00264B14">
        <w:rPr>
          <w:rFonts w:ascii="Times New Roman" w:hAnsi="Times New Roman"/>
          <w:sz w:val="24"/>
          <w:szCs w:val="24"/>
          <w:lang w:val="en-US"/>
        </w:rPr>
        <w:t>.</w:t>
      </w:r>
      <w:r w:rsidRPr="00E215E1">
        <w:rPr>
          <w:rFonts w:ascii="Times New Roman" w:hAnsi="Times New Roman"/>
          <w:sz w:val="24"/>
          <w:szCs w:val="24"/>
          <w:lang w:val="en-US"/>
        </w:rPr>
        <w:t xml:space="preserve"> 65, 21</w:t>
      </w:r>
      <w:r w:rsidR="00E93ECA" w:rsidRPr="00320DC9">
        <w:rPr>
          <w:rFonts w:ascii="Times New Roman" w:hAnsi="Times New Roman"/>
          <w:sz w:val="24"/>
          <w:szCs w:val="24"/>
          <w:lang w:val="en-US"/>
        </w:rPr>
        <w:t>–</w:t>
      </w:r>
      <w:r w:rsidRPr="00E215E1">
        <w:rPr>
          <w:rFonts w:ascii="Times New Roman" w:hAnsi="Times New Roman"/>
          <w:sz w:val="24"/>
          <w:szCs w:val="24"/>
          <w:lang w:val="en-US"/>
        </w:rPr>
        <w:t>28.</w:t>
      </w:r>
      <w:r w:rsidR="00B040B4">
        <w:rPr>
          <w:rFonts w:ascii="Times New Roman" w:hAnsi="Times New Roman"/>
          <w:sz w:val="24"/>
          <w:szCs w:val="24"/>
          <w:lang w:val="en-US"/>
        </w:rPr>
        <w:t xml:space="preserve"> </w:t>
      </w:r>
      <w:r w:rsidR="00B040B4" w:rsidRPr="00B040B4">
        <w:rPr>
          <w:rFonts w:ascii="Times New Roman" w:hAnsi="Times New Roman"/>
          <w:sz w:val="24"/>
          <w:szCs w:val="24"/>
          <w:lang w:val="en-US"/>
        </w:rPr>
        <w:t>https://doi.org/10.1016/j.eiar.2017.04.001</w:t>
      </w:r>
      <w:r w:rsidR="00B040B4">
        <w:rPr>
          <w:rFonts w:ascii="Times New Roman" w:hAnsi="Times New Roman"/>
          <w:sz w:val="24"/>
          <w:szCs w:val="24"/>
          <w:lang w:val="en-US"/>
        </w:rPr>
        <w:t>.</w:t>
      </w:r>
    </w:p>
    <w:p w14:paraId="47C6BC50" w14:textId="064B9432" w:rsidR="00612CD7" w:rsidRPr="008C56C7" w:rsidRDefault="00612CD7" w:rsidP="00D539F1">
      <w:pPr>
        <w:tabs>
          <w:tab w:val="clear" w:pos="9498"/>
        </w:tabs>
        <w:autoSpaceDE w:val="0"/>
        <w:autoSpaceDN w:val="0"/>
        <w:adjustRightInd w:val="0"/>
        <w:spacing w:after="240" w:line="240" w:lineRule="auto"/>
        <w:ind w:right="0" w:firstLine="0"/>
        <w:jc w:val="left"/>
        <w:rPr>
          <w:rFonts w:ascii="Times New Roman" w:hAnsi="Times New Roman"/>
          <w:szCs w:val="24"/>
          <w:lang w:val="en-US"/>
        </w:rPr>
      </w:pPr>
      <w:r w:rsidRPr="00E215E1">
        <w:rPr>
          <w:rFonts w:ascii="Times New Roman" w:hAnsi="Times New Roman"/>
          <w:szCs w:val="24"/>
          <w:lang w:val="en-US"/>
        </w:rPr>
        <w:t xml:space="preserve">UNEP, 2015. Global Waste Management Outlook. </w:t>
      </w:r>
      <w:r w:rsidRPr="008C56C7">
        <w:rPr>
          <w:rFonts w:ascii="Times New Roman" w:hAnsi="Times New Roman"/>
          <w:szCs w:val="24"/>
          <w:lang w:val="en-US"/>
        </w:rPr>
        <w:t xml:space="preserve">United Nations </w:t>
      </w:r>
      <w:r w:rsidR="00B040B4" w:rsidRPr="008C56C7">
        <w:rPr>
          <w:rFonts w:ascii="Times New Roman" w:hAnsi="Times New Roman"/>
          <w:szCs w:val="24"/>
          <w:lang w:val="en-US"/>
        </w:rPr>
        <w:t>Environnent</w:t>
      </w:r>
      <w:r w:rsidRPr="008C56C7">
        <w:rPr>
          <w:rFonts w:ascii="Times New Roman" w:hAnsi="Times New Roman"/>
          <w:szCs w:val="24"/>
          <w:lang w:val="en-US"/>
        </w:rPr>
        <w:t xml:space="preserve"> Programme.</w:t>
      </w:r>
    </w:p>
    <w:p w14:paraId="2E331305" w14:textId="35F1B2B8" w:rsidR="00612CD7" w:rsidRPr="00B040B4" w:rsidRDefault="00612CD7" w:rsidP="00D539F1">
      <w:pPr>
        <w:pStyle w:val="REFERENCES"/>
        <w:spacing w:after="0" w:line="480" w:lineRule="auto"/>
        <w:ind w:left="0" w:firstLine="0"/>
        <w:jc w:val="left"/>
        <w:rPr>
          <w:lang w:val="it-IT"/>
        </w:rPr>
      </w:pPr>
      <w:r w:rsidRPr="008C56C7">
        <w:rPr>
          <w:rFonts w:ascii="Times New Roman" w:hAnsi="Times New Roman"/>
          <w:sz w:val="24"/>
          <w:szCs w:val="24"/>
          <w:lang w:val="en-US"/>
        </w:rPr>
        <w:t>Utilitatis</w:t>
      </w:r>
      <w:r w:rsidRPr="008C56C7" w:rsidDel="007524E4">
        <w:rPr>
          <w:rFonts w:ascii="Times New Roman" w:hAnsi="Times New Roman"/>
          <w:sz w:val="24"/>
          <w:szCs w:val="24"/>
          <w:lang w:val="en-US"/>
        </w:rPr>
        <w:t>.</w:t>
      </w:r>
      <w:r w:rsidRPr="008C56C7">
        <w:rPr>
          <w:rFonts w:ascii="Times New Roman" w:hAnsi="Times New Roman"/>
          <w:sz w:val="24"/>
          <w:szCs w:val="24"/>
          <w:lang w:val="en-US"/>
        </w:rPr>
        <w:t xml:space="preserve"> 2016. Green Book. </w:t>
      </w:r>
      <w:r w:rsidRPr="00B040B4">
        <w:rPr>
          <w:rFonts w:ascii="Times New Roman" w:hAnsi="Times New Roman"/>
          <w:sz w:val="24"/>
          <w:szCs w:val="24"/>
          <w:lang w:val="it-IT"/>
        </w:rPr>
        <w:t>I dati sulla gestione dei rifiuti urbani in Italia, Rome.</w:t>
      </w:r>
    </w:p>
    <w:p w14:paraId="786D6501" w14:textId="61B30816" w:rsidR="00612CD7" w:rsidRPr="004D37B8" w:rsidRDefault="00612CD7" w:rsidP="00D539F1">
      <w:pPr>
        <w:pStyle w:val="TEXT"/>
        <w:spacing w:line="480" w:lineRule="auto"/>
        <w:ind w:firstLine="0"/>
        <w:jc w:val="left"/>
        <w:rPr>
          <w:rFonts w:ascii="Times New Roman" w:hAnsi="Times New Roman"/>
          <w:sz w:val="24"/>
        </w:rPr>
      </w:pPr>
      <w:r w:rsidRPr="00E215E1">
        <w:rPr>
          <w:rFonts w:ascii="Times New Roman" w:hAnsi="Times New Roman"/>
          <w:sz w:val="24"/>
          <w:lang w:val="en-US"/>
        </w:rPr>
        <w:t>Yuan, H., 2013. Key indicators for assessing the effectiveness of waste management in</w:t>
      </w:r>
      <w:r w:rsidR="003B3EB5">
        <w:rPr>
          <w:rFonts w:ascii="Times New Roman" w:hAnsi="Times New Roman"/>
          <w:sz w:val="24"/>
          <w:lang w:val="en-US"/>
        </w:rPr>
        <w:t xml:space="preserve"> </w:t>
      </w:r>
      <w:r w:rsidR="003B3EB5" w:rsidRPr="003B3EB5">
        <w:rPr>
          <w:rFonts w:ascii="Times New Roman" w:hAnsi="Times New Roman"/>
          <w:sz w:val="24"/>
          <w:lang w:val="en-US"/>
        </w:rPr>
        <w:t>construction projects</w:t>
      </w:r>
      <w:r w:rsidR="003B3EB5">
        <w:rPr>
          <w:rFonts w:ascii="Times New Roman" w:hAnsi="Times New Roman"/>
          <w:sz w:val="24"/>
          <w:lang w:val="en-US"/>
        </w:rPr>
        <w:t xml:space="preserve">. </w:t>
      </w:r>
      <w:r w:rsidR="003B3EB5" w:rsidRPr="004D37B8">
        <w:rPr>
          <w:rFonts w:ascii="Times New Roman" w:hAnsi="Times New Roman"/>
          <w:sz w:val="24"/>
        </w:rPr>
        <w:t>Ecol</w:t>
      </w:r>
      <w:r w:rsidR="00CE1D8D" w:rsidRPr="004D37B8">
        <w:rPr>
          <w:rFonts w:ascii="Times New Roman" w:hAnsi="Times New Roman"/>
          <w:sz w:val="24"/>
        </w:rPr>
        <w:t>.</w:t>
      </w:r>
      <w:r w:rsidR="003B3EB5" w:rsidRPr="004D37B8">
        <w:rPr>
          <w:rFonts w:ascii="Times New Roman" w:hAnsi="Times New Roman"/>
          <w:sz w:val="24"/>
        </w:rPr>
        <w:t xml:space="preserve"> Indic</w:t>
      </w:r>
      <w:r w:rsidR="00CE1D8D" w:rsidRPr="004D37B8">
        <w:rPr>
          <w:rFonts w:ascii="Times New Roman" w:hAnsi="Times New Roman"/>
          <w:sz w:val="24"/>
        </w:rPr>
        <w:t>.</w:t>
      </w:r>
      <w:r w:rsidR="003B3EB5" w:rsidRPr="004D37B8">
        <w:rPr>
          <w:rFonts w:ascii="Times New Roman" w:hAnsi="Times New Roman"/>
          <w:sz w:val="24"/>
        </w:rPr>
        <w:t xml:space="preserve"> 24, 476</w:t>
      </w:r>
      <w:r w:rsidR="00E93ECA" w:rsidRPr="004D37B8">
        <w:rPr>
          <w:rFonts w:ascii="Times New Roman" w:hAnsi="Times New Roman"/>
          <w:sz w:val="24"/>
        </w:rPr>
        <w:t>–</w:t>
      </w:r>
      <w:r w:rsidR="003B3EB5" w:rsidRPr="004D37B8">
        <w:rPr>
          <w:rFonts w:ascii="Times New Roman" w:hAnsi="Times New Roman"/>
          <w:sz w:val="24"/>
        </w:rPr>
        <w:t>484.</w:t>
      </w:r>
      <w:r w:rsidR="00B040B4" w:rsidRPr="004D37B8">
        <w:rPr>
          <w:rFonts w:ascii="Times New Roman" w:hAnsi="Times New Roman"/>
          <w:sz w:val="24"/>
        </w:rPr>
        <w:t xml:space="preserve"> https://doi.org/10.1016/j.ecolind.2012.07.022.</w:t>
      </w:r>
    </w:p>
    <w:p w14:paraId="05D9FF50" w14:textId="34D85E50" w:rsidR="007455D2" w:rsidRPr="00E215E1" w:rsidRDefault="00612CD7" w:rsidP="00D539F1">
      <w:pPr>
        <w:pStyle w:val="REFERENCES"/>
        <w:spacing w:after="0" w:line="480" w:lineRule="auto"/>
        <w:ind w:left="0" w:firstLine="0"/>
        <w:jc w:val="left"/>
        <w:rPr>
          <w:rFonts w:ascii="Times New Roman" w:hAnsi="Times New Roman"/>
          <w:sz w:val="24"/>
          <w:szCs w:val="24"/>
          <w:lang w:val="en-US"/>
        </w:rPr>
      </w:pPr>
      <w:r w:rsidRPr="00B040B4">
        <w:rPr>
          <w:rFonts w:ascii="Times New Roman" w:hAnsi="Times New Roman"/>
          <w:sz w:val="24"/>
          <w:szCs w:val="24"/>
          <w:lang w:val="it-IT"/>
        </w:rPr>
        <w:t xml:space="preserve">Zurbrügg, C., Caniato, M., Vaccari, M., 2014. </w:t>
      </w:r>
      <w:r w:rsidRPr="00E215E1">
        <w:rPr>
          <w:rFonts w:ascii="Times New Roman" w:hAnsi="Times New Roman"/>
          <w:sz w:val="24"/>
          <w:szCs w:val="24"/>
          <w:lang w:val="en-US"/>
        </w:rPr>
        <w:t>How Assessment Methods Can Support Solid Waste Management in Developing Countries—A Critical Review. Sustainability</w:t>
      </w:r>
      <w:r w:rsidR="00B040B4">
        <w:rPr>
          <w:rFonts w:ascii="Times New Roman" w:hAnsi="Times New Roman"/>
          <w:sz w:val="24"/>
          <w:szCs w:val="24"/>
          <w:lang w:val="en-US"/>
        </w:rPr>
        <w:t>.</w:t>
      </w:r>
      <w:r w:rsidRPr="00E215E1">
        <w:rPr>
          <w:rFonts w:ascii="Times New Roman" w:hAnsi="Times New Roman"/>
          <w:sz w:val="24"/>
          <w:szCs w:val="24"/>
          <w:lang w:val="en-US"/>
        </w:rPr>
        <w:t xml:space="preserve"> 6</w:t>
      </w:r>
      <w:r w:rsidR="00B040B4">
        <w:rPr>
          <w:rFonts w:ascii="Times New Roman" w:hAnsi="Times New Roman"/>
          <w:sz w:val="24"/>
          <w:szCs w:val="24"/>
          <w:lang w:val="en-US"/>
        </w:rPr>
        <w:t>(2)</w:t>
      </w:r>
      <w:r w:rsidRPr="00E215E1">
        <w:rPr>
          <w:rFonts w:ascii="Times New Roman" w:hAnsi="Times New Roman"/>
          <w:sz w:val="24"/>
          <w:szCs w:val="24"/>
          <w:lang w:val="en-US"/>
        </w:rPr>
        <w:t>, 545</w:t>
      </w:r>
      <w:r w:rsidR="00E93ECA" w:rsidRPr="00320DC9">
        <w:rPr>
          <w:rFonts w:ascii="Times New Roman" w:hAnsi="Times New Roman"/>
          <w:sz w:val="24"/>
          <w:szCs w:val="24"/>
          <w:lang w:val="en-US"/>
        </w:rPr>
        <w:t>–</w:t>
      </w:r>
      <w:r w:rsidRPr="00E215E1">
        <w:rPr>
          <w:rFonts w:ascii="Times New Roman" w:hAnsi="Times New Roman"/>
          <w:sz w:val="24"/>
          <w:szCs w:val="24"/>
          <w:lang w:val="en-US"/>
        </w:rPr>
        <w:t>570.</w:t>
      </w:r>
      <w:r w:rsidR="00B040B4">
        <w:rPr>
          <w:rFonts w:ascii="Times New Roman" w:hAnsi="Times New Roman"/>
          <w:sz w:val="24"/>
          <w:szCs w:val="24"/>
          <w:lang w:val="en-US"/>
        </w:rPr>
        <w:t xml:space="preserve"> </w:t>
      </w:r>
      <w:r w:rsidR="00B040B4" w:rsidRPr="00B040B4">
        <w:rPr>
          <w:rFonts w:ascii="Times New Roman" w:hAnsi="Times New Roman"/>
          <w:sz w:val="24"/>
          <w:szCs w:val="24"/>
          <w:lang w:val="en-US"/>
        </w:rPr>
        <w:t>https://doi.org/10.3390/su6020545</w:t>
      </w:r>
      <w:r w:rsidR="00BC3FD4">
        <w:rPr>
          <w:rFonts w:ascii="Times New Roman" w:hAnsi="Times New Roman"/>
          <w:sz w:val="24"/>
          <w:szCs w:val="24"/>
          <w:lang w:val="en-US"/>
        </w:rPr>
        <w:t>.</w:t>
      </w:r>
    </w:p>
    <w:sectPr w:rsidR="007455D2" w:rsidRPr="00E215E1" w:rsidSect="005175FC">
      <w:footerReference w:type="default" r:id="rId18"/>
      <w:footnotePr>
        <w:numRestart w:val="eachPage"/>
      </w:footnotePr>
      <w:type w:val="continuous"/>
      <w:pgSz w:w="11901" w:h="16840"/>
      <w:pgMar w:top="1418" w:right="1134" w:bottom="1418" w:left="1418" w:header="720" w:footer="720" w:gutter="0"/>
      <w:lnNumType w:countBy="1" w:distance="360"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281FC" w14:textId="77777777" w:rsidR="00A30C96" w:rsidRDefault="00A30C96">
      <w:r>
        <w:separator/>
      </w:r>
    </w:p>
  </w:endnote>
  <w:endnote w:type="continuationSeparator" w:id="0">
    <w:p w14:paraId="0CAFA59D" w14:textId="77777777" w:rsidR="00A30C96" w:rsidRDefault="00A3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ED47" w14:textId="5F0A3ABB" w:rsidR="00FF30AD" w:rsidRPr="005175FC" w:rsidRDefault="00FF30AD">
    <w:pPr>
      <w:pStyle w:val="Pidipagina"/>
      <w:jc w:val="right"/>
      <w:rPr>
        <w:sz w:val="20"/>
      </w:rPr>
    </w:pPr>
    <w:r w:rsidRPr="005175FC">
      <w:rPr>
        <w:sz w:val="20"/>
      </w:rPr>
      <w:fldChar w:fldCharType="begin"/>
    </w:r>
    <w:r w:rsidRPr="005175FC">
      <w:rPr>
        <w:sz w:val="20"/>
      </w:rPr>
      <w:instrText>PAGE   \* MERGEFORMAT</w:instrText>
    </w:r>
    <w:r w:rsidRPr="005175FC">
      <w:rPr>
        <w:sz w:val="20"/>
      </w:rPr>
      <w:fldChar w:fldCharType="separate"/>
    </w:r>
    <w:r w:rsidR="00E45965">
      <w:rPr>
        <w:noProof/>
        <w:sz w:val="20"/>
      </w:rPr>
      <w:t>1</w:t>
    </w:r>
    <w:r w:rsidRPr="005175FC">
      <w:rPr>
        <w:sz w:val="20"/>
      </w:rPr>
      <w:fldChar w:fldCharType="end"/>
    </w:r>
  </w:p>
  <w:p w14:paraId="0BEE828E" w14:textId="77777777" w:rsidR="00FF30AD" w:rsidRPr="00140B3F" w:rsidRDefault="00FF30AD" w:rsidP="00CB6FA4">
    <w:pPr>
      <w:pStyle w:val="Pidipagina"/>
      <w:spacing w:line="240" w:lineRule="auto"/>
      <w:ind w:firstLine="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E68E5" w14:textId="77777777" w:rsidR="00A30C96" w:rsidRDefault="00A30C96">
      <w:r>
        <w:separator/>
      </w:r>
    </w:p>
  </w:footnote>
  <w:footnote w:type="continuationSeparator" w:id="0">
    <w:p w14:paraId="05156FCB" w14:textId="77777777" w:rsidR="00A30C96" w:rsidRDefault="00A30C96">
      <w:r>
        <w:continuationSeparator/>
      </w:r>
    </w:p>
  </w:footnote>
  <w:footnote w:id="1">
    <w:p w14:paraId="3EB1E2FF" w14:textId="77777777" w:rsidR="00E45965" w:rsidRPr="009C1E94" w:rsidRDefault="00E45965" w:rsidP="00E45965">
      <w:pPr>
        <w:pStyle w:val="Testonotaapidipagina"/>
      </w:pPr>
      <w:r>
        <w:rPr>
          <w:rStyle w:val="Rimandonotaapidipagina"/>
        </w:rPr>
        <w:footnoteRef/>
      </w:r>
      <w:r>
        <w:t xml:space="preserve"> We thank the Editor and three anonymous Reviewers for their constructive comments.</w:t>
      </w:r>
    </w:p>
  </w:footnote>
  <w:footnote w:id="2">
    <w:p w14:paraId="167A2360" w14:textId="77777777" w:rsidR="00FF30AD" w:rsidRPr="00551B5F" w:rsidRDefault="00FF30AD" w:rsidP="004F74AA">
      <w:pPr>
        <w:pStyle w:val="Testonotaapidipagina"/>
        <w:rPr>
          <w:lang w:val="en-GB"/>
        </w:rPr>
      </w:pPr>
      <w:r>
        <w:rPr>
          <w:rStyle w:val="Rimandonotaapidipagina"/>
        </w:rPr>
        <w:footnoteRef/>
      </w:r>
      <w:r w:rsidRPr="00551B5F">
        <w:rPr>
          <w:lang w:val="en-US"/>
        </w:rPr>
        <w:t xml:space="preserve"> </w:t>
      </w:r>
      <w:r w:rsidRPr="00551B5F">
        <w:rPr>
          <w:lang w:val="en-GB"/>
        </w:rPr>
        <w:t xml:space="preserve">Total production costs are the amount of costs incurred by companies to realize operating activities concerning services’ provision to the users, from procurement of needed resources to </w:t>
      </w:r>
      <w:r>
        <w:rPr>
          <w:lang w:val="en-GB"/>
        </w:rPr>
        <w:t>service delivery.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25D1F"/>
    <w:multiLevelType w:val="hybridMultilevel"/>
    <w:tmpl w:val="A5005E20"/>
    <w:lvl w:ilvl="0" w:tplc="5EC056CA">
      <w:start w:val="1"/>
      <w:numFmt w:val="bullet"/>
      <w:lvlText w:val=""/>
      <w:lvlJc w:val="left"/>
      <w:pPr>
        <w:tabs>
          <w:tab w:val="num" w:pos="284"/>
        </w:tabs>
        <w:ind w:left="284" w:hanging="284"/>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E46A43"/>
    <w:multiLevelType w:val="hybridMultilevel"/>
    <w:tmpl w:val="AD262EDA"/>
    <w:lvl w:ilvl="0" w:tplc="24BC9730">
      <w:start w:val="1"/>
      <w:numFmt w:val="bullet"/>
      <w:lvlText w:val=""/>
      <w:lvlJc w:val="left"/>
      <w:pPr>
        <w:tabs>
          <w:tab w:val="num" w:pos="284"/>
        </w:tabs>
        <w:ind w:left="284" w:hanging="284"/>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FE6827"/>
    <w:multiLevelType w:val="hybridMultilevel"/>
    <w:tmpl w:val="C50E4AD6"/>
    <w:lvl w:ilvl="0" w:tplc="CA3C091C">
      <w:start w:val="1"/>
      <w:numFmt w:val="bullet"/>
      <w:pStyle w:val="Elenco1"/>
      <w:lvlText w:val=""/>
      <w:lvlJc w:val="left"/>
      <w:pPr>
        <w:tabs>
          <w:tab w:val="num" w:pos="284"/>
        </w:tabs>
        <w:ind w:left="284" w:hanging="284"/>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F1"/>
    <w:rsid w:val="0000205A"/>
    <w:rsid w:val="00006334"/>
    <w:rsid w:val="00010632"/>
    <w:rsid w:val="00011696"/>
    <w:rsid w:val="00012567"/>
    <w:rsid w:val="00014269"/>
    <w:rsid w:val="00014318"/>
    <w:rsid w:val="000159A7"/>
    <w:rsid w:val="00016D3F"/>
    <w:rsid w:val="00020CCD"/>
    <w:rsid w:val="00020E3C"/>
    <w:rsid w:val="000210B0"/>
    <w:rsid w:val="00022794"/>
    <w:rsid w:val="00023D3A"/>
    <w:rsid w:val="00032B5D"/>
    <w:rsid w:val="00033D91"/>
    <w:rsid w:val="00033F42"/>
    <w:rsid w:val="000402AB"/>
    <w:rsid w:val="00043742"/>
    <w:rsid w:val="000462EC"/>
    <w:rsid w:val="00053E8D"/>
    <w:rsid w:val="00056982"/>
    <w:rsid w:val="00056EB6"/>
    <w:rsid w:val="000649B5"/>
    <w:rsid w:val="00067872"/>
    <w:rsid w:val="00070307"/>
    <w:rsid w:val="00071A8C"/>
    <w:rsid w:val="00077B52"/>
    <w:rsid w:val="0008119A"/>
    <w:rsid w:val="00083621"/>
    <w:rsid w:val="00083EEF"/>
    <w:rsid w:val="0009024C"/>
    <w:rsid w:val="00091234"/>
    <w:rsid w:val="00093ED5"/>
    <w:rsid w:val="00094769"/>
    <w:rsid w:val="0009564E"/>
    <w:rsid w:val="00096D28"/>
    <w:rsid w:val="00097F2D"/>
    <w:rsid w:val="000A069A"/>
    <w:rsid w:val="000A6E88"/>
    <w:rsid w:val="000B1ABD"/>
    <w:rsid w:val="000B2433"/>
    <w:rsid w:val="000B464B"/>
    <w:rsid w:val="000C068F"/>
    <w:rsid w:val="000C3DEF"/>
    <w:rsid w:val="000C4CFB"/>
    <w:rsid w:val="000C54A6"/>
    <w:rsid w:val="000C68FE"/>
    <w:rsid w:val="000C69AF"/>
    <w:rsid w:val="000C7769"/>
    <w:rsid w:val="000D00C0"/>
    <w:rsid w:val="000D1669"/>
    <w:rsid w:val="000D18E2"/>
    <w:rsid w:val="000D1974"/>
    <w:rsid w:val="000D358B"/>
    <w:rsid w:val="000D3A7C"/>
    <w:rsid w:val="000D3A98"/>
    <w:rsid w:val="000D4274"/>
    <w:rsid w:val="000D6990"/>
    <w:rsid w:val="000D6A7F"/>
    <w:rsid w:val="000E04D2"/>
    <w:rsid w:val="000E7588"/>
    <w:rsid w:val="000F2AE5"/>
    <w:rsid w:val="001003E9"/>
    <w:rsid w:val="001005D6"/>
    <w:rsid w:val="00100822"/>
    <w:rsid w:val="00105587"/>
    <w:rsid w:val="00106FE9"/>
    <w:rsid w:val="001122CC"/>
    <w:rsid w:val="00112770"/>
    <w:rsid w:val="00113886"/>
    <w:rsid w:val="00114FD3"/>
    <w:rsid w:val="00115429"/>
    <w:rsid w:val="00115514"/>
    <w:rsid w:val="00124D9E"/>
    <w:rsid w:val="0012547C"/>
    <w:rsid w:val="001310D6"/>
    <w:rsid w:val="00131C32"/>
    <w:rsid w:val="001333B5"/>
    <w:rsid w:val="00133690"/>
    <w:rsid w:val="001346B3"/>
    <w:rsid w:val="00134BC6"/>
    <w:rsid w:val="001409E6"/>
    <w:rsid w:val="00140CE0"/>
    <w:rsid w:val="00142048"/>
    <w:rsid w:val="0014688A"/>
    <w:rsid w:val="001468F7"/>
    <w:rsid w:val="00155A42"/>
    <w:rsid w:val="001606AB"/>
    <w:rsid w:val="00165C60"/>
    <w:rsid w:val="00167A70"/>
    <w:rsid w:val="001712A3"/>
    <w:rsid w:val="001713B9"/>
    <w:rsid w:val="00171EA4"/>
    <w:rsid w:val="00173ABC"/>
    <w:rsid w:val="001778EA"/>
    <w:rsid w:val="001804C8"/>
    <w:rsid w:val="001812A2"/>
    <w:rsid w:val="00182647"/>
    <w:rsid w:val="00184880"/>
    <w:rsid w:val="001850BB"/>
    <w:rsid w:val="00185A27"/>
    <w:rsid w:val="00187946"/>
    <w:rsid w:val="00190233"/>
    <w:rsid w:val="001905E1"/>
    <w:rsid w:val="001950F3"/>
    <w:rsid w:val="001961FA"/>
    <w:rsid w:val="00196737"/>
    <w:rsid w:val="00196B1B"/>
    <w:rsid w:val="001A067F"/>
    <w:rsid w:val="001A0B53"/>
    <w:rsid w:val="001A0BFC"/>
    <w:rsid w:val="001A21B9"/>
    <w:rsid w:val="001A2CA4"/>
    <w:rsid w:val="001A59AF"/>
    <w:rsid w:val="001B1C9C"/>
    <w:rsid w:val="001B3E08"/>
    <w:rsid w:val="001B4165"/>
    <w:rsid w:val="001B431D"/>
    <w:rsid w:val="001B50F3"/>
    <w:rsid w:val="001B6261"/>
    <w:rsid w:val="001C1AF1"/>
    <w:rsid w:val="001C3615"/>
    <w:rsid w:val="001C43EE"/>
    <w:rsid w:val="001C5536"/>
    <w:rsid w:val="001C619A"/>
    <w:rsid w:val="001C6EAD"/>
    <w:rsid w:val="001D2223"/>
    <w:rsid w:val="001D3996"/>
    <w:rsid w:val="001D43FA"/>
    <w:rsid w:val="001D5D1E"/>
    <w:rsid w:val="001D7F8D"/>
    <w:rsid w:val="001E1CAB"/>
    <w:rsid w:val="001F012F"/>
    <w:rsid w:val="002002B1"/>
    <w:rsid w:val="002031A9"/>
    <w:rsid w:val="002109FE"/>
    <w:rsid w:val="00213557"/>
    <w:rsid w:val="00217DAB"/>
    <w:rsid w:val="00217F12"/>
    <w:rsid w:val="0022441F"/>
    <w:rsid w:val="00225B4B"/>
    <w:rsid w:val="00232540"/>
    <w:rsid w:val="0023632D"/>
    <w:rsid w:val="00236771"/>
    <w:rsid w:val="002407F0"/>
    <w:rsid w:val="002417E9"/>
    <w:rsid w:val="0024407D"/>
    <w:rsid w:val="00246AEB"/>
    <w:rsid w:val="0024735C"/>
    <w:rsid w:val="00250675"/>
    <w:rsid w:val="002564C6"/>
    <w:rsid w:val="0025767D"/>
    <w:rsid w:val="00261EC1"/>
    <w:rsid w:val="00262C00"/>
    <w:rsid w:val="002637C2"/>
    <w:rsid w:val="00264B14"/>
    <w:rsid w:val="00267BD1"/>
    <w:rsid w:val="00273B4E"/>
    <w:rsid w:val="0027601F"/>
    <w:rsid w:val="002771AA"/>
    <w:rsid w:val="002800BB"/>
    <w:rsid w:val="00280E7E"/>
    <w:rsid w:val="002820EC"/>
    <w:rsid w:val="00282BEA"/>
    <w:rsid w:val="00285499"/>
    <w:rsid w:val="002878CF"/>
    <w:rsid w:val="00291264"/>
    <w:rsid w:val="002926A6"/>
    <w:rsid w:val="00294AEF"/>
    <w:rsid w:val="0029694A"/>
    <w:rsid w:val="00296E45"/>
    <w:rsid w:val="002977EB"/>
    <w:rsid w:val="002A09DD"/>
    <w:rsid w:val="002A4246"/>
    <w:rsid w:val="002A7FB7"/>
    <w:rsid w:val="002B2939"/>
    <w:rsid w:val="002B7C43"/>
    <w:rsid w:val="002C1517"/>
    <w:rsid w:val="002C360A"/>
    <w:rsid w:val="002C6BE3"/>
    <w:rsid w:val="002C6E9F"/>
    <w:rsid w:val="002D1B47"/>
    <w:rsid w:val="002D530C"/>
    <w:rsid w:val="002E1A59"/>
    <w:rsid w:val="002E1C62"/>
    <w:rsid w:val="002E56C8"/>
    <w:rsid w:val="002F02BB"/>
    <w:rsid w:val="002F1844"/>
    <w:rsid w:val="002F265E"/>
    <w:rsid w:val="002F3955"/>
    <w:rsid w:val="002F6FD5"/>
    <w:rsid w:val="0030082F"/>
    <w:rsid w:val="003025E3"/>
    <w:rsid w:val="0030716D"/>
    <w:rsid w:val="00310323"/>
    <w:rsid w:val="00310744"/>
    <w:rsid w:val="0031087E"/>
    <w:rsid w:val="00316A95"/>
    <w:rsid w:val="00320DC9"/>
    <w:rsid w:val="00321095"/>
    <w:rsid w:val="00321C76"/>
    <w:rsid w:val="00323F90"/>
    <w:rsid w:val="00332125"/>
    <w:rsid w:val="00332C89"/>
    <w:rsid w:val="00333917"/>
    <w:rsid w:val="003373AC"/>
    <w:rsid w:val="003402D3"/>
    <w:rsid w:val="0034273A"/>
    <w:rsid w:val="0034711B"/>
    <w:rsid w:val="00350160"/>
    <w:rsid w:val="00353093"/>
    <w:rsid w:val="00360220"/>
    <w:rsid w:val="0036107C"/>
    <w:rsid w:val="003626B6"/>
    <w:rsid w:val="003664CA"/>
    <w:rsid w:val="00367C02"/>
    <w:rsid w:val="00370696"/>
    <w:rsid w:val="003711DD"/>
    <w:rsid w:val="00374347"/>
    <w:rsid w:val="0037725E"/>
    <w:rsid w:val="00387051"/>
    <w:rsid w:val="00390B80"/>
    <w:rsid w:val="00392259"/>
    <w:rsid w:val="003A0C9C"/>
    <w:rsid w:val="003A3861"/>
    <w:rsid w:val="003A5E91"/>
    <w:rsid w:val="003B26F0"/>
    <w:rsid w:val="003B3056"/>
    <w:rsid w:val="003B3EB5"/>
    <w:rsid w:val="003C2C36"/>
    <w:rsid w:val="003C5667"/>
    <w:rsid w:val="003C6998"/>
    <w:rsid w:val="003C7665"/>
    <w:rsid w:val="003D1049"/>
    <w:rsid w:val="003D151F"/>
    <w:rsid w:val="003D248E"/>
    <w:rsid w:val="003D3F42"/>
    <w:rsid w:val="003D6580"/>
    <w:rsid w:val="003D69B1"/>
    <w:rsid w:val="003E089B"/>
    <w:rsid w:val="003E17CA"/>
    <w:rsid w:val="003E43B1"/>
    <w:rsid w:val="003E4545"/>
    <w:rsid w:val="003E5C21"/>
    <w:rsid w:val="003E6915"/>
    <w:rsid w:val="00401C37"/>
    <w:rsid w:val="0040264E"/>
    <w:rsid w:val="00404D71"/>
    <w:rsid w:val="0040716F"/>
    <w:rsid w:val="0041038B"/>
    <w:rsid w:val="00412373"/>
    <w:rsid w:val="00413110"/>
    <w:rsid w:val="00413E31"/>
    <w:rsid w:val="004164D6"/>
    <w:rsid w:val="00417D94"/>
    <w:rsid w:val="00420399"/>
    <w:rsid w:val="00421029"/>
    <w:rsid w:val="00427F2E"/>
    <w:rsid w:val="0043385A"/>
    <w:rsid w:val="00435F0B"/>
    <w:rsid w:val="00443F36"/>
    <w:rsid w:val="00446444"/>
    <w:rsid w:val="00446874"/>
    <w:rsid w:val="0045218B"/>
    <w:rsid w:val="00460DD0"/>
    <w:rsid w:val="00460E77"/>
    <w:rsid w:val="004639F1"/>
    <w:rsid w:val="004675E1"/>
    <w:rsid w:val="00471767"/>
    <w:rsid w:val="00473AAC"/>
    <w:rsid w:val="00475493"/>
    <w:rsid w:val="00480434"/>
    <w:rsid w:val="00481055"/>
    <w:rsid w:val="00482A4B"/>
    <w:rsid w:val="00485579"/>
    <w:rsid w:val="0048796C"/>
    <w:rsid w:val="004917EF"/>
    <w:rsid w:val="004918EA"/>
    <w:rsid w:val="00492624"/>
    <w:rsid w:val="004926C0"/>
    <w:rsid w:val="00494122"/>
    <w:rsid w:val="004A0257"/>
    <w:rsid w:val="004A201D"/>
    <w:rsid w:val="004A34A9"/>
    <w:rsid w:val="004A7392"/>
    <w:rsid w:val="004B27EB"/>
    <w:rsid w:val="004B313A"/>
    <w:rsid w:val="004B35DF"/>
    <w:rsid w:val="004C09C5"/>
    <w:rsid w:val="004C2ACC"/>
    <w:rsid w:val="004C4173"/>
    <w:rsid w:val="004C6FCA"/>
    <w:rsid w:val="004D081E"/>
    <w:rsid w:val="004D37B8"/>
    <w:rsid w:val="004D58B4"/>
    <w:rsid w:val="004E22E5"/>
    <w:rsid w:val="004E5FCA"/>
    <w:rsid w:val="004E7B7C"/>
    <w:rsid w:val="004F1D46"/>
    <w:rsid w:val="004F33EF"/>
    <w:rsid w:val="004F62F6"/>
    <w:rsid w:val="004F74AA"/>
    <w:rsid w:val="005008CC"/>
    <w:rsid w:val="005009C1"/>
    <w:rsid w:val="005037CB"/>
    <w:rsid w:val="005039EC"/>
    <w:rsid w:val="005045FB"/>
    <w:rsid w:val="00506E19"/>
    <w:rsid w:val="00511490"/>
    <w:rsid w:val="00512FFE"/>
    <w:rsid w:val="00513835"/>
    <w:rsid w:val="0051526E"/>
    <w:rsid w:val="00515D03"/>
    <w:rsid w:val="0051638F"/>
    <w:rsid w:val="005171B4"/>
    <w:rsid w:val="00517265"/>
    <w:rsid w:val="005175FC"/>
    <w:rsid w:val="00517F05"/>
    <w:rsid w:val="00521C8C"/>
    <w:rsid w:val="0052552B"/>
    <w:rsid w:val="005309AD"/>
    <w:rsid w:val="00531109"/>
    <w:rsid w:val="0053217D"/>
    <w:rsid w:val="005344A3"/>
    <w:rsid w:val="00535CCD"/>
    <w:rsid w:val="00540011"/>
    <w:rsid w:val="005443FD"/>
    <w:rsid w:val="00546560"/>
    <w:rsid w:val="00550D5A"/>
    <w:rsid w:val="005513CC"/>
    <w:rsid w:val="00551B5F"/>
    <w:rsid w:val="00551F0A"/>
    <w:rsid w:val="00552C27"/>
    <w:rsid w:val="005531A8"/>
    <w:rsid w:val="00554587"/>
    <w:rsid w:val="005548B9"/>
    <w:rsid w:val="00562FA6"/>
    <w:rsid w:val="00565E10"/>
    <w:rsid w:val="005673C0"/>
    <w:rsid w:val="005703BF"/>
    <w:rsid w:val="00571DE8"/>
    <w:rsid w:val="00572754"/>
    <w:rsid w:val="00576205"/>
    <w:rsid w:val="0057738F"/>
    <w:rsid w:val="005802C1"/>
    <w:rsid w:val="0058037A"/>
    <w:rsid w:val="00581B5E"/>
    <w:rsid w:val="005832F7"/>
    <w:rsid w:val="0058341B"/>
    <w:rsid w:val="00591F0A"/>
    <w:rsid w:val="00593829"/>
    <w:rsid w:val="005A07C7"/>
    <w:rsid w:val="005A21E1"/>
    <w:rsid w:val="005A2287"/>
    <w:rsid w:val="005A2795"/>
    <w:rsid w:val="005A32AB"/>
    <w:rsid w:val="005A34B0"/>
    <w:rsid w:val="005A3D94"/>
    <w:rsid w:val="005A6551"/>
    <w:rsid w:val="005A7267"/>
    <w:rsid w:val="005B1DF3"/>
    <w:rsid w:val="005B23F8"/>
    <w:rsid w:val="005B73F3"/>
    <w:rsid w:val="005B75EF"/>
    <w:rsid w:val="005C5E29"/>
    <w:rsid w:val="005D7E05"/>
    <w:rsid w:val="005E28D6"/>
    <w:rsid w:val="005E51F6"/>
    <w:rsid w:val="005E7212"/>
    <w:rsid w:val="005F17E8"/>
    <w:rsid w:val="005F3966"/>
    <w:rsid w:val="006011CE"/>
    <w:rsid w:val="006016F5"/>
    <w:rsid w:val="00607438"/>
    <w:rsid w:val="006107BD"/>
    <w:rsid w:val="00612CD7"/>
    <w:rsid w:val="00614015"/>
    <w:rsid w:val="00614543"/>
    <w:rsid w:val="00614726"/>
    <w:rsid w:val="00614DE3"/>
    <w:rsid w:val="006202F3"/>
    <w:rsid w:val="006217FE"/>
    <w:rsid w:val="00624C09"/>
    <w:rsid w:val="00625CB7"/>
    <w:rsid w:val="00626647"/>
    <w:rsid w:val="00631774"/>
    <w:rsid w:val="006317A1"/>
    <w:rsid w:val="006338E5"/>
    <w:rsid w:val="0063512F"/>
    <w:rsid w:val="00635CF5"/>
    <w:rsid w:val="00642FEC"/>
    <w:rsid w:val="00643282"/>
    <w:rsid w:val="00647AAD"/>
    <w:rsid w:val="00655625"/>
    <w:rsid w:val="006567CD"/>
    <w:rsid w:val="00657F54"/>
    <w:rsid w:val="00661D68"/>
    <w:rsid w:val="00664C1A"/>
    <w:rsid w:val="00664C5C"/>
    <w:rsid w:val="00667004"/>
    <w:rsid w:val="00677785"/>
    <w:rsid w:val="00685BC5"/>
    <w:rsid w:val="006862EE"/>
    <w:rsid w:val="00686584"/>
    <w:rsid w:val="00686952"/>
    <w:rsid w:val="00686A31"/>
    <w:rsid w:val="00690781"/>
    <w:rsid w:val="0069274D"/>
    <w:rsid w:val="00692C73"/>
    <w:rsid w:val="00693FB0"/>
    <w:rsid w:val="00694A98"/>
    <w:rsid w:val="00694B87"/>
    <w:rsid w:val="00695AB3"/>
    <w:rsid w:val="00696EE8"/>
    <w:rsid w:val="006A411B"/>
    <w:rsid w:val="006B0887"/>
    <w:rsid w:val="006B3C2F"/>
    <w:rsid w:val="006B488A"/>
    <w:rsid w:val="006B57FE"/>
    <w:rsid w:val="006B5821"/>
    <w:rsid w:val="006C62BD"/>
    <w:rsid w:val="006C7ABE"/>
    <w:rsid w:val="006D2691"/>
    <w:rsid w:val="006D2B2C"/>
    <w:rsid w:val="006D32B0"/>
    <w:rsid w:val="006D393C"/>
    <w:rsid w:val="006D4838"/>
    <w:rsid w:val="006D54EC"/>
    <w:rsid w:val="006E07D6"/>
    <w:rsid w:val="006E098C"/>
    <w:rsid w:val="006E2149"/>
    <w:rsid w:val="006F15C1"/>
    <w:rsid w:val="006F30BB"/>
    <w:rsid w:val="006F7625"/>
    <w:rsid w:val="00707730"/>
    <w:rsid w:val="00707964"/>
    <w:rsid w:val="0071509E"/>
    <w:rsid w:val="007160F6"/>
    <w:rsid w:val="0072178C"/>
    <w:rsid w:val="007220AA"/>
    <w:rsid w:val="00726EE8"/>
    <w:rsid w:val="00727187"/>
    <w:rsid w:val="00732049"/>
    <w:rsid w:val="00740822"/>
    <w:rsid w:val="00741127"/>
    <w:rsid w:val="007451EA"/>
    <w:rsid w:val="007455D2"/>
    <w:rsid w:val="007477B0"/>
    <w:rsid w:val="0075116A"/>
    <w:rsid w:val="00751234"/>
    <w:rsid w:val="007524E4"/>
    <w:rsid w:val="007528DC"/>
    <w:rsid w:val="007548A0"/>
    <w:rsid w:val="007571B9"/>
    <w:rsid w:val="0076004D"/>
    <w:rsid w:val="007615B9"/>
    <w:rsid w:val="00761AE1"/>
    <w:rsid w:val="00763824"/>
    <w:rsid w:val="00763B33"/>
    <w:rsid w:val="007646EA"/>
    <w:rsid w:val="00764B7C"/>
    <w:rsid w:val="00765E55"/>
    <w:rsid w:val="00766AAE"/>
    <w:rsid w:val="007707AB"/>
    <w:rsid w:val="0077229E"/>
    <w:rsid w:val="00774138"/>
    <w:rsid w:val="007747D5"/>
    <w:rsid w:val="00783892"/>
    <w:rsid w:val="00786EBA"/>
    <w:rsid w:val="00793E54"/>
    <w:rsid w:val="00795574"/>
    <w:rsid w:val="00795E0F"/>
    <w:rsid w:val="007A074A"/>
    <w:rsid w:val="007A12CA"/>
    <w:rsid w:val="007A29F3"/>
    <w:rsid w:val="007A2B80"/>
    <w:rsid w:val="007A37F4"/>
    <w:rsid w:val="007A3904"/>
    <w:rsid w:val="007A3961"/>
    <w:rsid w:val="007A559F"/>
    <w:rsid w:val="007B1FE4"/>
    <w:rsid w:val="007B33A4"/>
    <w:rsid w:val="007B4C3A"/>
    <w:rsid w:val="007B752B"/>
    <w:rsid w:val="007B7669"/>
    <w:rsid w:val="007B7B1A"/>
    <w:rsid w:val="007D0357"/>
    <w:rsid w:val="007D2FB6"/>
    <w:rsid w:val="007E1281"/>
    <w:rsid w:val="007E4676"/>
    <w:rsid w:val="007E5DAD"/>
    <w:rsid w:val="007F33EE"/>
    <w:rsid w:val="007F52FE"/>
    <w:rsid w:val="00806DB2"/>
    <w:rsid w:val="00810A77"/>
    <w:rsid w:val="00813FA6"/>
    <w:rsid w:val="00815402"/>
    <w:rsid w:val="00815573"/>
    <w:rsid w:val="0081672E"/>
    <w:rsid w:val="008179AA"/>
    <w:rsid w:val="008214C3"/>
    <w:rsid w:val="00824761"/>
    <w:rsid w:val="00824FE5"/>
    <w:rsid w:val="00826638"/>
    <w:rsid w:val="00826D16"/>
    <w:rsid w:val="00833A6F"/>
    <w:rsid w:val="008366D7"/>
    <w:rsid w:val="0084083C"/>
    <w:rsid w:val="00841553"/>
    <w:rsid w:val="008420AE"/>
    <w:rsid w:val="008435FB"/>
    <w:rsid w:val="008472E9"/>
    <w:rsid w:val="008521AE"/>
    <w:rsid w:val="00853356"/>
    <w:rsid w:val="008540DD"/>
    <w:rsid w:val="008555EB"/>
    <w:rsid w:val="00855EA3"/>
    <w:rsid w:val="00861814"/>
    <w:rsid w:val="00865490"/>
    <w:rsid w:val="00870ABF"/>
    <w:rsid w:val="00870E7D"/>
    <w:rsid w:val="00871722"/>
    <w:rsid w:val="0087248D"/>
    <w:rsid w:val="00880D17"/>
    <w:rsid w:val="00881886"/>
    <w:rsid w:val="008820D8"/>
    <w:rsid w:val="008820F1"/>
    <w:rsid w:val="00883B68"/>
    <w:rsid w:val="008874C6"/>
    <w:rsid w:val="00890872"/>
    <w:rsid w:val="008913E2"/>
    <w:rsid w:val="00894FA5"/>
    <w:rsid w:val="008A5726"/>
    <w:rsid w:val="008B05BA"/>
    <w:rsid w:val="008B0850"/>
    <w:rsid w:val="008B29CF"/>
    <w:rsid w:val="008B2FD8"/>
    <w:rsid w:val="008B372E"/>
    <w:rsid w:val="008C056E"/>
    <w:rsid w:val="008C0D5B"/>
    <w:rsid w:val="008C49E9"/>
    <w:rsid w:val="008C56C7"/>
    <w:rsid w:val="008C5A65"/>
    <w:rsid w:val="008D3859"/>
    <w:rsid w:val="008D4DDD"/>
    <w:rsid w:val="008D756A"/>
    <w:rsid w:val="008E2017"/>
    <w:rsid w:val="008E3413"/>
    <w:rsid w:val="008F2DAE"/>
    <w:rsid w:val="008F5FBC"/>
    <w:rsid w:val="0090022B"/>
    <w:rsid w:val="00904431"/>
    <w:rsid w:val="0090732B"/>
    <w:rsid w:val="00910139"/>
    <w:rsid w:val="009128B4"/>
    <w:rsid w:val="0091722E"/>
    <w:rsid w:val="00925825"/>
    <w:rsid w:val="0092584C"/>
    <w:rsid w:val="00925AFA"/>
    <w:rsid w:val="00935393"/>
    <w:rsid w:val="00940D82"/>
    <w:rsid w:val="00945015"/>
    <w:rsid w:val="00950489"/>
    <w:rsid w:val="00963833"/>
    <w:rsid w:val="00963A13"/>
    <w:rsid w:val="0096613A"/>
    <w:rsid w:val="00967F7B"/>
    <w:rsid w:val="009724D8"/>
    <w:rsid w:val="00973863"/>
    <w:rsid w:val="00974A8A"/>
    <w:rsid w:val="00980BF9"/>
    <w:rsid w:val="00984C98"/>
    <w:rsid w:val="00985B73"/>
    <w:rsid w:val="009866A1"/>
    <w:rsid w:val="00987244"/>
    <w:rsid w:val="00990A2A"/>
    <w:rsid w:val="009932BD"/>
    <w:rsid w:val="00995775"/>
    <w:rsid w:val="009A034B"/>
    <w:rsid w:val="009A16B4"/>
    <w:rsid w:val="009A1825"/>
    <w:rsid w:val="009B2BA6"/>
    <w:rsid w:val="009C1D37"/>
    <w:rsid w:val="009C2799"/>
    <w:rsid w:val="009C3788"/>
    <w:rsid w:val="009C4B87"/>
    <w:rsid w:val="009D0A93"/>
    <w:rsid w:val="009D2630"/>
    <w:rsid w:val="009D57F9"/>
    <w:rsid w:val="009D7B8B"/>
    <w:rsid w:val="009E3B28"/>
    <w:rsid w:val="009E5354"/>
    <w:rsid w:val="009E56ED"/>
    <w:rsid w:val="009F12D2"/>
    <w:rsid w:val="009F3BCE"/>
    <w:rsid w:val="009F44A0"/>
    <w:rsid w:val="009F6505"/>
    <w:rsid w:val="00A01FAF"/>
    <w:rsid w:val="00A041BC"/>
    <w:rsid w:val="00A04367"/>
    <w:rsid w:val="00A06A82"/>
    <w:rsid w:val="00A06DB8"/>
    <w:rsid w:val="00A073B5"/>
    <w:rsid w:val="00A075C2"/>
    <w:rsid w:val="00A07E92"/>
    <w:rsid w:val="00A10CA1"/>
    <w:rsid w:val="00A10F3C"/>
    <w:rsid w:val="00A11620"/>
    <w:rsid w:val="00A11CD3"/>
    <w:rsid w:val="00A21611"/>
    <w:rsid w:val="00A21C05"/>
    <w:rsid w:val="00A268AF"/>
    <w:rsid w:val="00A30C96"/>
    <w:rsid w:val="00A34E98"/>
    <w:rsid w:val="00A4062F"/>
    <w:rsid w:val="00A4543E"/>
    <w:rsid w:val="00A45DE6"/>
    <w:rsid w:val="00A46119"/>
    <w:rsid w:val="00A53A02"/>
    <w:rsid w:val="00A56F13"/>
    <w:rsid w:val="00A61EE9"/>
    <w:rsid w:val="00A73B3D"/>
    <w:rsid w:val="00A77FF2"/>
    <w:rsid w:val="00A857A8"/>
    <w:rsid w:val="00A87010"/>
    <w:rsid w:val="00A87122"/>
    <w:rsid w:val="00A877D1"/>
    <w:rsid w:val="00A93B76"/>
    <w:rsid w:val="00A944A5"/>
    <w:rsid w:val="00AA1243"/>
    <w:rsid w:val="00AA42AE"/>
    <w:rsid w:val="00AB1AAF"/>
    <w:rsid w:val="00AB2557"/>
    <w:rsid w:val="00AB510A"/>
    <w:rsid w:val="00AC15D6"/>
    <w:rsid w:val="00AC3803"/>
    <w:rsid w:val="00AC5612"/>
    <w:rsid w:val="00AC5805"/>
    <w:rsid w:val="00AC770F"/>
    <w:rsid w:val="00AC7DC4"/>
    <w:rsid w:val="00AC7E2C"/>
    <w:rsid w:val="00AD0EF7"/>
    <w:rsid w:val="00AD15F0"/>
    <w:rsid w:val="00AD33EF"/>
    <w:rsid w:val="00AD43C0"/>
    <w:rsid w:val="00AD48C2"/>
    <w:rsid w:val="00AE0DEF"/>
    <w:rsid w:val="00AE1E9A"/>
    <w:rsid w:val="00AE2356"/>
    <w:rsid w:val="00AE4068"/>
    <w:rsid w:val="00AE5798"/>
    <w:rsid w:val="00AE5F87"/>
    <w:rsid w:val="00AE65E1"/>
    <w:rsid w:val="00AF1E15"/>
    <w:rsid w:val="00AF4BBC"/>
    <w:rsid w:val="00AF5F25"/>
    <w:rsid w:val="00AF7035"/>
    <w:rsid w:val="00B02F67"/>
    <w:rsid w:val="00B03E18"/>
    <w:rsid w:val="00B040B4"/>
    <w:rsid w:val="00B1255D"/>
    <w:rsid w:val="00B14AA9"/>
    <w:rsid w:val="00B20A02"/>
    <w:rsid w:val="00B21023"/>
    <w:rsid w:val="00B22A4B"/>
    <w:rsid w:val="00B2525B"/>
    <w:rsid w:val="00B31640"/>
    <w:rsid w:val="00B3175E"/>
    <w:rsid w:val="00B31FC3"/>
    <w:rsid w:val="00B36D3B"/>
    <w:rsid w:val="00B36E82"/>
    <w:rsid w:val="00B37457"/>
    <w:rsid w:val="00B37BA4"/>
    <w:rsid w:val="00B46739"/>
    <w:rsid w:val="00B47290"/>
    <w:rsid w:val="00B50F3E"/>
    <w:rsid w:val="00B52121"/>
    <w:rsid w:val="00B53869"/>
    <w:rsid w:val="00B53B9E"/>
    <w:rsid w:val="00B669F8"/>
    <w:rsid w:val="00B7198A"/>
    <w:rsid w:val="00B80091"/>
    <w:rsid w:val="00B83554"/>
    <w:rsid w:val="00B83A1E"/>
    <w:rsid w:val="00B90AD0"/>
    <w:rsid w:val="00B93BAE"/>
    <w:rsid w:val="00B9574D"/>
    <w:rsid w:val="00BA1611"/>
    <w:rsid w:val="00BA4DBF"/>
    <w:rsid w:val="00BA581B"/>
    <w:rsid w:val="00BB08C2"/>
    <w:rsid w:val="00BB19CE"/>
    <w:rsid w:val="00BC2F76"/>
    <w:rsid w:val="00BC3FD4"/>
    <w:rsid w:val="00BC50F9"/>
    <w:rsid w:val="00BD00CA"/>
    <w:rsid w:val="00BD030C"/>
    <w:rsid w:val="00BD553C"/>
    <w:rsid w:val="00BE09DF"/>
    <w:rsid w:val="00BE4082"/>
    <w:rsid w:val="00BE497A"/>
    <w:rsid w:val="00BE6FC1"/>
    <w:rsid w:val="00BF164E"/>
    <w:rsid w:val="00BF371C"/>
    <w:rsid w:val="00BF7664"/>
    <w:rsid w:val="00C017E9"/>
    <w:rsid w:val="00C02541"/>
    <w:rsid w:val="00C04C01"/>
    <w:rsid w:val="00C07BD0"/>
    <w:rsid w:val="00C109AD"/>
    <w:rsid w:val="00C206C0"/>
    <w:rsid w:val="00C20E87"/>
    <w:rsid w:val="00C21F3E"/>
    <w:rsid w:val="00C22265"/>
    <w:rsid w:val="00C231AB"/>
    <w:rsid w:val="00C23B11"/>
    <w:rsid w:val="00C24795"/>
    <w:rsid w:val="00C25D43"/>
    <w:rsid w:val="00C31592"/>
    <w:rsid w:val="00C3403E"/>
    <w:rsid w:val="00C34221"/>
    <w:rsid w:val="00C36823"/>
    <w:rsid w:val="00C507DF"/>
    <w:rsid w:val="00C52D7F"/>
    <w:rsid w:val="00C53559"/>
    <w:rsid w:val="00C542A6"/>
    <w:rsid w:val="00C5470B"/>
    <w:rsid w:val="00C57EB5"/>
    <w:rsid w:val="00C60E51"/>
    <w:rsid w:val="00C61E54"/>
    <w:rsid w:val="00C720BA"/>
    <w:rsid w:val="00C74683"/>
    <w:rsid w:val="00C76F3C"/>
    <w:rsid w:val="00C80B1E"/>
    <w:rsid w:val="00C82C68"/>
    <w:rsid w:val="00C908C6"/>
    <w:rsid w:val="00C9413A"/>
    <w:rsid w:val="00C94609"/>
    <w:rsid w:val="00CA09F9"/>
    <w:rsid w:val="00CA0D5F"/>
    <w:rsid w:val="00CA37A3"/>
    <w:rsid w:val="00CA42A8"/>
    <w:rsid w:val="00CB0FFA"/>
    <w:rsid w:val="00CB3496"/>
    <w:rsid w:val="00CB5515"/>
    <w:rsid w:val="00CB6668"/>
    <w:rsid w:val="00CB6FA4"/>
    <w:rsid w:val="00CC0887"/>
    <w:rsid w:val="00CC1672"/>
    <w:rsid w:val="00CD1867"/>
    <w:rsid w:val="00CD2CD4"/>
    <w:rsid w:val="00CD42E6"/>
    <w:rsid w:val="00CD5166"/>
    <w:rsid w:val="00CE10FC"/>
    <w:rsid w:val="00CE1B2D"/>
    <w:rsid w:val="00CE1D8D"/>
    <w:rsid w:val="00CE2F1F"/>
    <w:rsid w:val="00CE641F"/>
    <w:rsid w:val="00CF2405"/>
    <w:rsid w:val="00CF28D3"/>
    <w:rsid w:val="00CF4233"/>
    <w:rsid w:val="00CF4668"/>
    <w:rsid w:val="00CF49CF"/>
    <w:rsid w:val="00CF4B8F"/>
    <w:rsid w:val="00CF5E2C"/>
    <w:rsid w:val="00CF6628"/>
    <w:rsid w:val="00D019B9"/>
    <w:rsid w:val="00D032C0"/>
    <w:rsid w:val="00D043CC"/>
    <w:rsid w:val="00D05314"/>
    <w:rsid w:val="00D074FA"/>
    <w:rsid w:val="00D10E99"/>
    <w:rsid w:val="00D10FA3"/>
    <w:rsid w:val="00D129BA"/>
    <w:rsid w:val="00D14C69"/>
    <w:rsid w:val="00D16A07"/>
    <w:rsid w:val="00D215EC"/>
    <w:rsid w:val="00D22AFF"/>
    <w:rsid w:val="00D2395D"/>
    <w:rsid w:val="00D2509F"/>
    <w:rsid w:val="00D27141"/>
    <w:rsid w:val="00D30F2D"/>
    <w:rsid w:val="00D3130C"/>
    <w:rsid w:val="00D31A0A"/>
    <w:rsid w:val="00D32621"/>
    <w:rsid w:val="00D335DC"/>
    <w:rsid w:val="00D33DE6"/>
    <w:rsid w:val="00D37E5C"/>
    <w:rsid w:val="00D42B10"/>
    <w:rsid w:val="00D43C02"/>
    <w:rsid w:val="00D4475E"/>
    <w:rsid w:val="00D50854"/>
    <w:rsid w:val="00D51261"/>
    <w:rsid w:val="00D539F1"/>
    <w:rsid w:val="00D5678D"/>
    <w:rsid w:val="00D56C7A"/>
    <w:rsid w:val="00D64031"/>
    <w:rsid w:val="00D66776"/>
    <w:rsid w:val="00D67527"/>
    <w:rsid w:val="00D71CE0"/>
    <w:rsid w:val="00D71D78"/>
    <w:rsid w:val="00D720BA"/>
    <w:rsid w:val="00D72A8E"/>
    <w:rsid w:val="00D74D87"/>
    <w:rsid w:val="00D7525A"/>
    <w:rsid w:val="00D81F13"/>
    <w:rsid w:val="00D82C3E"/>
    <w:rsid w:val="00D92A82"/>
    <w:rsid w:val="00D93CC2"/>
    <w:rsid w:val="00D94DF9"/>
    <w:rsid w:val="00D94E84"/>
    <w:rsid w:val="00D96078"/>
    <w:rsid w:val="00DA1BCF"/>
    <w:rsid w:val="00DA308D"/>
    <w:rsid w:val="00DA43B7"/>
    <w:rsid w:val="00DB0E31"/>
    <w:rsid w:val="00DB27E4"/>
    <w:rsid w:val="00DD297E"/>
    <w:rsid w:val="00DD4FEE"/>
    <w:rsid w:val="00DD6B24"/>
    <w:rsid w:val="00DE5055"/>
    <w:rsid w:val="00DF3F80"/>
    <w:rsid w:val="00DF6807"/>
    <w:rsid w:val="00E044AD"/>
    <w:rsid w:val="00E05567"/>
    <w:rsid w:val="00E06678"/>
    <w:rsid w:val="00E07D82"/>
    <w:rsid w:val="00E10B89"/>
    <w:rsid w:val="00E10D60"/>
    <w:rsid w:val="00E10DB9"/>
    <w:rsid w:val="00E1264F"/>
    <w:rsid w:val="00E13538"/>
    <w:rsid w:val="00E14259"/>
    <w:rsid w:val="00E14429"/>
    <w:rsid w:val="00E215E1"/>
    <w:rsid w:val="00E22444"/>
    <w:rsid w:val="00E26281"/>
    <w:rsid w:val="00E30550"/>
    <w:rsid w:val="00E3169E"/>
    <w:rsid w:val="00E324DD"/>
    <w:rsid w:val="00E325AB"/>
    <w:rsid w:val="00E33F8D"/>
    <w:rsid w:val="00E34D9D"/>
    <w:rsid w:val="00E379DC"/>
    <w:rsid w:val="00E43B11"/>
    <w:rsid w:val="00E45965"/>
    <w:rsid w:val="00E46465"/>
    <w:rsid w:val="00E51D2D"/>
    <w:rsid w:val="00E5201A"/>
    <w:rsid w:val="00E52427"/>
    <w:rsid w:val="00E56D58"/>
    <w:rsid w:val="00E57489"/>
    <w:rsid w:val="00E6039C"/>
    <w:rsid w:val="00E623C8"/>
    <w:rsid w:val="00E62578"/>
    <w:rsid w:val="00E63BD8"/>
    <w:rsid w:val="00E63DA3"/>
    <w:rsid w:val="00E74367"/>
    <w:rsid w:val="00E75435"/>
    <w:rsid w:val="00E80AEA"/>
    <w:rsid w:val="00E85DC2"/>
    <w:rsid w:val="00E86AEC"/>
    <w:rsid w:val="00E8787D"/>
    <w:rsid w:val="00E87BB7"/>
    <w:rsid w:val="00E92C1F"/>
    <w:rsid w:val="00E92D58"/>
    <w:rsid w:val="00E93C92"/>
    <w:rsid w:val="00E93ECA"/>
    <w:rsid w:val="00E9485A"/>
    <w:rsid w:val="00E95DDE"/>
    <w:rsid w:val="00EA1209"/>
    <w:rsid w:val="00EA260F"/>
    <w:rsid w:val="00EA366B"/>
    <w:rsid w:val="00EA3A75"/>
    <w:rsid w:val="00EA465F"/>
    <w:rsid w:val="00EB211F"/>
    <w:rsid w:val="00EB4BBA"/>
    <w:rsid w:val="00EB51C2"/>
    <w:rsid w:val="00EB6AB5"/>
    <w:rsid w:val="00EB6FD1"/>
    <w:rsid w:val="00EC2805"/>
    <w:rsid w:val="00EC5217"/>
    <w:rsid w:val="00ED18D9"/>
    <w:rsid w:val="00ED5A09"/>
    <w:rsid w:val="00EE1637"/>
    <w:rsid w:val="00EF2FC3"/>
    <w:rsid w:val="00EF3D2B"/>
    <w:rsid w:val="00EF4EA0"/>
    <w:rsid w:val="00EF7157"/>
    <w:rsid w:val="00EF7257"/>
    <w:rsid w:val="00F00EA8"/>
    <w:rsid w:val="00F0174F"/>
    <w:rsid w:val="00F01B58"/>
    <w:rsid w:val="00F022E5"/>
    <w:rsid w:val="00F02A40"/>
    <w:rsid w:val="00F06EF3"/>
    <w:rsid w:val="00F07E4A"/>
    <w:rsid w:val="00F17DF5"/>
    <w:rsid w:val="00F22747"/>
    <w:rsid w:val="00F313BF"/>
    <w:rsid w:val="00F3644D"/>
    <w:rsid w:val="00F4064F"/>
    <w:rsid w:val="00F45D84"/>
    <w:rsid w:val="00F45EA8"/>
    <w:rsid w:val="00F461FA"/>
    <w:rsid w:val="00F51A51"/>
    <w:rsid w:val="00F53AD9"/>
    <w:rsid w:val="00F55B3B"/>
    <w:rsid w:val="00F61DD4"/>
    <w:rsid w:val="00F62B59"/>
    <w:rsid w:val="00F63098"/>
    <w:rsid w:val="00F67253"/>
    <w:rsid w:val="00F6759A"/>
    <w:rsid w:val="00F70AD4"/>
    <w:rsid w:val="00F74CD7"/>
    <w:rsid w:val="00F8010E"/>
    <w:rsid w:val="00F8153A"/>
    <w:rsid w:val="00F858FA"/>
    <w:rsid w:val="00F85CBC"/>
    <w:rsid w:val="00F87BBF"/>
    <w:rsid w:val="00F92A1A"/>
    <w:rsid w:val="00FA2CC9"/>
    <w:rsid w:val="00FA5939"/>
    <w:rsid w:val="00FB0090"/>
    <w:rsid w:val="00FB0F61"/>
    <w:rsid w:val="00FB1AC4"/>
    <w:rsid w:val="00FB433C"/>
    <w:rsid w:val="00FB555E"/>
    <w:rsid w:val="00FC0410"/>
    <w:rsid w:val="00FC31BF"/>
    <w:rsid w:val="00FC5FB7"/>
    <w:rsid w:val="00FD0084"/>
    <w:rsid w:val="00FD6F16"/>
    <w:rsid w:val="00FE1182"/>
    <w:rsid w:val="00FE131F"/>
    <w:rsid w:val="00FE3845"/>
    <w:rsid w:val="00FE5C53"/>
    <w:rsid w:val="00FF1FA3"/>
    <w:rsid w:val="00FF30AD"/>
    <w:rsid w:val="00FF3266"/>
    <w:rsid w:val="00FF49F5"/>
    <w:rsid w:val="00FF6AB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F434AC"/>
  <w15:docId w15:val="{1232E6B1-C77B-456B-AED8-B0360BC1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1D2D"/>
    <w:pPr>
      <w:widowControl w:val="0"/>
      <w:tabs>
        <w:tab w:val="left" w:pos="9498"/>
      </w:tabs>
      <w:spacing w:line="280" w:lineRule="atLeast"/>
      <w:ind w:right="-28" w:firstLine="284"/>
      <w:jc w:val="both"/>
    </w:pPr>
    <w:rPr>
      <w:rFonts w:ascii="Times" w:hAnsi="Times"/>
      <w:sz w:val="24"/>
    </w:rPr>
  </w:style>
  <w:style w:type="paragraph" w:styleId="Titolo1">
    <w:name w:val="heading 1"/>
    <w:basedOn w:val="Normale"/>
    <w:next w:val="Normale"/>
    <w:qFormat/>
    <w:pPr>
      <w:keepNext/>
      <w:pageBreakBefore/>
      <w:spacing w:before="600" w:after="240"/>
      <w:ind w:left="850" w:hanging="850"/>
      <w:jc w:val="left"/>
      <w:outlineLvl w:val="0"/>
    </w:pPr>
    <w:rPr>
      <w:b/>
      <w:sz w:val="36"/>
    </w:rPr>
  </w:style>
  <w:style w:type="paragraph" w:styleId="Titolo2">
    <w:name w:val="heading 2"/>
    <w:basedOn w:val="Titolo1"/>
    <w:next w:val="Normale"/>
    <w:qFormat/>
    <w:rsid w:val="00077B52"/>
    <w:pPr>
      <w:pageBreakBefore w:val="0"/>
      <w:spacing w:before="500" w:line="200" w:lineRule="atLeast"/>
      <w:ind w:left="142" w:hanging="119"/>
      <w:outlineLvl w:val="1"/>
    </w:pPr>
    <w:rPr>
      <w:rFonts w:ascii="Helvetica" w:hAnsi="Helvetica"/>
      <w:caps/>
      <w:sz w:val="22"/>
    </w:rPr>
  </w:style>
  <w:style w:type="paragraph" w:styleId="Titolo3">
    <w:name w:val="heading 3"/>
    <w:basedOn w:val="Titolo2"/>
    <w:next w:val="Normale"/>
    <w:qFormat/>
    <w:pPr>
      <w:outlineLvl w:val="2"/>
    </w:pPr>
  </w:style>
  <w:style w:type="paragraph" w:styleId="Titolo4">
    <w:name w:val="heading 4"/>
    <w:basedOn w:val="Titolo3"/>
    <w:next w:val="Normale"/>
    <w:qFormat/>
    <w:pPr>
      <w:outlineLvl w:val="3"/>
    </w:pPr>
    <w:rPr>
      <w:b w:val="0"/>
      <w:u w:val="single"/>
    </w:rPr>
  </w:style>
  <w:style w:type="paragraph" w:styleId="Titolo5">
    <w:name w:val="heading 5"/>
    <w:basedOn w:val="Titolo4"/>
    <w:next w:val="Normale"/>
    <w:qFormat/>
    <w:pPr>
      <w:outlineLvl w:val="4"/>
    </w:pPr>
    <w:rPr>
      <w:i/>
    </w:rPr>
  </w:style>
  <w:style w:type="paragraph" w:styleId="Titolo6">
    <w:name w:val="heading 6"/>
    <w:basedOn w:val="Normale"/>
    <w:next w:val="Normale"/>
    <w:qFormat/>
    <w:pPr>
      <w:ind w:left="708"/>
      <w:outlineLvl w:val="5"/>
    </w:pPr>
    <w:rPr>
      <w:sz w:val="20"/>
      <w:u w:val="single"/>
    </w:rPr>
  </w:style>
  <w:style w:type="paragraph" w:styleId="Titolo7">
    <w:name w:val="heading 7"/>
    <w:aliases w:val="Paragrafo"/>
    <w:basedOn w:val="Normale"/>
    <w:next w:val="Normale"/>
    <w:qFormat/>
    <w:pPr>
      <w:spacing w:before="280" w:after="120"/>
      <w:ind w:left="23" w:hanging="23"/>
      <w:outlineLvl w:val="6"/>
    </w:pPr>
    <w:rPr>
      <w:b/>
    </w:rPr>
  </w:style>
  <w:style w:type="paragraph" w:styleId="Titolo8">
    <w:name w:val="heading 8"/>
    <w:basedOn w:val="Normale"/>
    <w:next w:val="Normale"/>
    <w:qFormat/>
    <w:pPr>
      <w:ind w:left="708"/>
      <w:outlineLvl w:val="7"/>
    </w:pPr>
    <w:rPr>
      <w:i/>
      <w:sz w:val="20"/>
    </w:rPr>
  </w:style>
  <w:style w:type="paragraph" w:styleId="Titolo9">
    <w:name w:val="heading 9"/>
    <w:basedOn w:val="Normale"/>
    <w:next w:val="Normale"/>
    <w:qFormat/>
    <w:pPr>
      <w:ind w:left="708"/>
      <w:outlineLvl w:val="8"/>
    </w:pPr>
    <w:rPr>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lte111">
    <w:name w:val="Tilte 1.1.1"/>
    <w:basedOn w:val="Normale"/>
    <w:next w:val="TEXT"/>
    <w:rsid w:val="00077B52"/>
    <w:pPr>
      <w:spacing w:before="240" w:after="120"/>
      <w:ind w:right="0" w:firstLine="0"/>
    </w:pPr>
    <w:rPr>
      <w:rFonts w:ascii="Helvetica" w:hAnsi="Helvetica"/>
      <w:i/>
      <w:sz w:val="22"/>
      <w:szCs w:val="24"/>
    </w:rPr>
  </w:style>
  <w:style w:type="paragraph" w:customStyle="1" w:styleId="AFFILIATIONS">
    <w:name w:val="AFFILIATIONS"/>
    <w:basedOn w:val="Normale"/>
    <w:rsid w:val="00FB0090"/>
    <w:pPr>
      <w:ind w:right="0" w:firstLine="0"/>
      <w:jc w:val="left"/>
    </w:pPr>
    <w:rPr>
      <w:rFonts w:ascii="Helvetica" w:hAnsi="Helvetica"/>
      <w:i/>
      <w:color w:val="000000"/>
      <w:lang w:val="en-GB"/>
    </w:rPr>
  </w:style>
  <w:style w:type="paragraph" w:customStyle="1" w:styleId="SUMMARY">
    <w:name w:val="SUMMARY"/>
    <w:basedOn w:val="Normale"/>
    <w:rsid w:val="007160F6"/>
    <w:pPr>
      <w:spacing w:before="700"/>
      <w:ind w:right="0" w:firstLine="0"/>
    </w:pPr>
    <w:rPr>
      <w:rFonts w:ascii="Helvetica" w:hAnsi="Helvetica"/>
      <w:color w:val="000000"/>
      <w:sz w:val="22"/>
      <w:lang w:val="en-GB"/>
    </w:rPr>
  </w:style>
  <w:style w:type="paragraph" w:customStyle="1" w:styleId="TITLE1">
    <w:name w:val="TITLE 1"/>
    <w:basedOn w:val="SUMMARY"/>
    <w:rsid w:val="007D0C07"/>
    <w:pPr>
      <w:spacing w:before="500" w:after="240"/>
    </w:pPr>
    <w:rPr>
      <w:b/>
      <w:szCs w:val="24"/>
    </w:rPr>
  </w:style>
  <w:style w:type="paragraph" w:styleId="Pidipagina">
    <w:name w:val="footer"/>
    <w:basedOn w:val="Normale"/>
    <w:link w:val="PidipaginaCarattere"/>
    <w:uiPriority w:val="99"/>
    <w:pPr>
      <w:tabs>
        <w:tab w:val="center" w:pos="4819"/>
        <w:tab w:val="right" w:pos="9638"/>
      </w:tabs>
    </w:pPr>
  </w:style>
  <w:style w:type="paragraph" w:customStyle="1" w:styleId="TITLE2">
    <w:name w:val="TITLE 2"/>
    <w:basedOn w:val="Normale"/>
    <w:next w:val="TEXT"/>
    <w:rsid w:val="00077B52"/>
    <w:pPr>
      <w:widowControl/>
      <w:spacing w:before="600" w:after="240"/>
      <w:ind w:right="0" w:firstLine="0"/>
    </w:pPr>
    <w:rPr>
      <w:rFonts w:ascii="Helvetica" w:hAnsi="Helvetica"/>
      <w:b/>
      <w:color w:val="000000"/>
      <w:sz w:val="22"/>
      <w:szCs w:val="24"/>
      <w:lang w:val="en-US"/>
    </w:rPr>
  </w:style>
  <w:style w:type="paragraph" w:styleId="Intestazione">
    <w:name w:val="header"/>
    <w:basedOn w:val="Normale"/>
    <w:semiHidden/>
    <w:pPr>
      <w:tabs>
        <w:tab w:val="center" w:pos="4819"/>
        <w:tab w:val="right" w:pos="9638"/>
      </w:tabs>
    </w:pPr>
  </w:style>
  <w:style w:type="paragraph" w:customStyle="1" w:styleId="TEXT">
    <w:name w:val="TEXT"/>
    <w:basedOn w:val="Normale"/>
    <w:rsid w:val="007160F6"/>
    <w:pPr>
      <w:ind w:right="0"/>
    </w:pPr>
    <w:rPr>
      <w:rFonts w:ascii="Helvetica" w:hAnsi="Helvetica"/>
      <w:sz w:val="22"/>
      <w:szCs w:val="24"/>
    </w:rPr>
  </w:style>
  <w:style w:type="paragraph" w:customStyle="1" w:styleId="Sottoparagrafo">
    <w:name w:val="Sottoparagrafo"/>
    <w:basedOn w:val="Normale"/>
    <w:semiHidden/>
    <w:pPr>
      <w:spacing w:before="240" w:after="120"/>
      <w:ind w:right="0" w:firstLine="0"/>
    </w:pPr>
    <w:rPr>
      <w:i/>
    </w:rPr>
  </w:style>
  <w:style w:type="paragraph" w:customStyle="1" w:styleId="Titolo10">
    <w:name w:val="Titolo1"/>
    <w:basedOn w:val="Normale"/>
    <w:rsid w:val="00FB0090"/>
    <w:pPr>
      <w:spacing w:after="720"/>
      <w:ind w:right="0" w:firstLine="0"/>
      <w:jc w:val="left"/>
    </w:pPr>
    <w:rPr>
      <w:rFonts w:ascii="Helvetica" w:hAnsi="Helvetica"/>
      <w:color w:val="000000"/>
      <w:sz w:val="44"/>
      <w:lang w:val="en-GB"/>
    </w:rPr>
  </w:style>
  <w:style w:type="paragraph" w:customStyle="1" w:styleId="AUTHOR">
    <w:name w:val="AUTHOR"/>
    <w:basedOn w:val="Normale"/>
    <w:rsid w:val="00FB0090"/>
    <w:pPr>
      <w:spacing w:after="240"/>
      <w:ind w:right="0" w:firstLine="0"/>
      <w:jc w:val="left"/>
    </w:pPr>
    <w:rPr>
      <w:rFonts w:ascii="Helvetica" w:hAnsi="Helvetica"/>
      <w:color w:val="000000"/>
      <w:sz w:val="26"/>
      <w:lang w:val="en-GB"/>
    </w:rPr>
  </w:style>
  <w:style w:type="paragraph" w:customStyle="1" w:styleId="Title11">
    <w:name w:val="Title 1.1"/>
    <w:basedOn w:val="TEXT"/>
    <w:rsid w:val="00EB598F"/>
    <w:pPr>
      <w:spacing w:after="180"/>
      <w:ind w:firstLine="0"/>
    </w:pPr>
    <w:rPr>
      <w:b/>
      <w:color w:val="000000"/>
      <w:lang w:val="en-GB"/>
    </w:rPr>
  </w:style>
  <w:style w:type="paragraph" w:customStyle="1" w:styleId="Title12">
    <w:name w:val="Title 1.2"/>
    <w:basedOn w:val="Title11"/>
    <w:next w:val="TEXT"/>
    <w:rsid w:val="00EB598F"/>
    <w:pPr>
      <w:spacing w:before="360"/>
    </w:pPr>
  </w:style>
  <w:style w:type="paragraph" w:customStyle="1" w:styleId="Tablelegend">
    <w:name w:val="Table legend"/>
    <w:basedOn w:val="Normale"/>
    <w:next w:val="TEXT"/>
    <w:rsid w:val="00077B52"/>
    <w:pPr>
      <w:spacing w:before="480" w:after="60"/>
      <w:ind w:left="1134" w:right="0" w:hanging="1134"/>
    </w:pPr>
    <w:rPr>
      <w:rFonts w:ascii="Helvetica" w:hAnsi="Helvetica"/>
      <w:sz w:val="22"/>
      <w:lang w:val="en-GB"/>
    </w:rPr>
  </w:style>
  <w:style w:type="paragraph" w:customStyle="1" w:styleId="Equation">
    <w:name w:val="Equation"/>
    <w:basedOn w:val="Normale"/>
    <w:next w:val="TEXT"/>
    <w:rsid w:val="004E6B3A"/>
    <w:pPr>
      <w:spacing w:before="240" w:after="240"/>
      <w:ind w:right="0" w:firstLine="0"/>
      <w:jc w:val="center"/>
    </w:pPr>
  </w:style>
  <w:style w:type="paragraph" w:customStyle="1" w:styleId="Table">
    <w:name w:val="Table"/>
    <w:basedOn w:val="TEXT"/>
    <w:next w:val="TEXT"/>
    <w:rsid w:val="004E6B3A"/>
    <w:pPr>
      <w:spacing w:after="480"/>
    </w:pPr>
  </w:style>
  <w:style w:type="paragraph" w:customStyle="1" w:styleId="FIGURE">
    <w:name w:val="FIGURE"/>
    <w:basedOn w:val="Normale"/>
    <w:rsid w:val="00F524FB"/>
    <w:pPr>
      <w:spacing w:before="480" w:after="240"/>
      <w:ind w:right="0" w:firstLine="0"/>
      <w:jc w:val="center"/>
    </w:pPr>
  </w:style>
  <w:style w:type="paragraph" w:customStyle="1" w:styleId="Figurelegend">
    <w:name w:val="Figure legend"/>
    <w:basedOn w:val="Normale"/>
    <w:next w:val="TEXT"/>
    <w:rsid w:val="00077B52"/>
    <w:pPr>
      <w:spacing w:before="120" w:after="480"/>
      <w:ind w:left="992" w:right="0" w:hanging="992"/>
    </w:pPr>
    <w:rPr>
      <w:rFonts w:ascii="Helvetica" w:hAnsi="Helvetica"/>
      <w:sz w:val="22"/>
      <w:lang w:val="en-GB"/>
    </w:rPr>
  </w:style>
  <w:style w:type="paragraph" w:customStyle="1" w:styleId="Elenco1">
    <w:name w:val="Elenco1"/>
    <w:basedOn w:val="Normale"/>
    <w:rsid w:val="00EF7157"/>
    <w:pPr>
      <w:numPr>
        <w:numId w:val="5"/>
      </w:numPr>
      <w:ind w:right="0"/>
    </w:pPr>
    <w:rPr>
      <w:rFonts w:ascii="Helvetica" w:hAnsi="Helvetica"/>
      <w:szCs w:val="24"/>
    </w:rPr>
  </w:style>
  <w:style w:type="paragraph" w:customStyle="1" w:styleId="REFERENCES">
    <w:name w:val="REFERENCES"/>
    <w:basedOn w:val="Normale"/>
    <w:next w:val="TEXT"/>
    <w:rsid w:val="00077B52"/>
    <w:pPr>
      <w:spacing w:after="60"/>
      <w:ind w:left="284" w:right="0" w:hanging="284"/>
    </w:pPr>
    <w:rPr>
      <w:rFonts w:ascii="Helvetica" w:hAnsi="Helvetica"/>
      <w:sz w:val="22"/>
      <w:lang w:val="da-DK"/>
    </w:rPr>
  </w:style>
  <w:style w:type="table" w:styleId="Grigliatabella">
    <w:name w:val="Table Grid"/>
    <w:basedOn w:val="Tabellanormale"/>
    <w:rsid w:val="00DD2061"/>
    <w:pPr>
      <w:widowControl w:val="0"/>
      <w:tabs>
        <w:tab w:val="left" w:pos="9498"/>
      </w:tabs>
      <w:spacing w:line="280" w:lineRule="atLeast"/>
      <w:ind w:right="-28"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E85258"/>
    <w:rPr>
      <w:color w:val="0000FF"/>
      <w:u w:val="single"/>
    </w:rPr>
  </w:style>
  <w:style w:type="character" w:styleId="Collegamentovisitato">
    <w:name w:val="FollowedHyperlink"/>
    <w:uiPriority w:val="99"/>
    <w:semiHidden/>
    <w:unhideWhenUsed/>
    <w:rsid w:val="00B20A02"/>
    <w:rPr>
      <w:color w:val="800080"/>
      <w:u w:val="single"/>
    </w:rPr>
  </w:style>
  <w:style w:type="paragraph" w:styleId="Testofumetto">
    <w:name w:val="Balloon Text"/>
    <w:basedOn w:val="Normale"/>
    <w:link w:val="TestofumettoCarattere"/>
    <w:uiPriority w:val="99"/>
    <w:semiHidden/>
    <w:unhideWhenUsed/>
    <w:rsid w:val="007160F6"/>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160F6"/>
    <w:rPr>
      <w:rFonts w:ascii="Tahoma" w:hAnsi="Tahoma" w:cs="Tahoma"/>
      <w:sz w:val="16"/>
      <w:szCs w:val="16"/>
    </w:rPr>
  </w:style>
  <w:style w:type="character" w:styleId="Rimandocommento">
    <w:name w:val="annotation reference"/>
    <w:uiPriority w:val="99"/>
    <w:unhideWhenUsed/>
    <w:rsid w:val="00246AEB"/>
    <w:rPr>
      <w:sz w:val="16"/>
      <w:szCs w:val="16"/>
    </w:rPr>
  </w:style>
  <w:style w:type="paragraph" w:styleId="Testocommento">
    <w:name w:val="annotation text"/>
    <w:basedOn w:val="Normale"/>
    <w:link w:val="TestocommentoCarattere"/>
    <w:uiPriority w:val="99"/>
    <w:unhideWhenUsed/>
    <w:rsid w:val="00246AEB"/>
    <w:rPr>
      <w:sz w:val="20"/>
    </w:rPr>
  </w:style>
  <w:style w:type="character" w:customStyle="1" w:styleId="TestocommentoCarattere">
    <w:name w:val="Testo commento Carattere"/>
    <w:link w:val="Testocommento"/>
    <w:uiPriority w:val="99"/>
    <w:rsid w:val="00246AEB"/>
    <w:rPr>
      <w:rFonts w:ascii="Times" w:hAnsi="Times"/>
    </w:rPr>
  </w:style>
  <w:style w:type="paragraph" w:styleId="Soggettocommento">
    <w:name w:val="annotation subject"/>
    <w:basedOn w:val="Testocommento"/>
    <w:next w:val="Testocommento"/>
    <w:link w:val="SoggettocommentoCarattere"/>
    <w:uiPriority w:val="99"/>
    <w:semiHidden/>
    <w:unhideWhenUsed/>
    <w:rsid w:val="00246AEB"/>
    <w:rPr>
      <w:b/>
      <w:bCs/>
    </w:rPr>
  </w:style>
  <w:style w:type="character" w:customStyle="1" w:styleId="SoggettocommentoCarattere">
    <w:name w:val="Soggetto commento Carattere"/>
    <w:link w:val="Soggettocommento"/>
    <w:uiPriority w:val="99"/>
    <w:semiHidden/>
    <w:rsid w:val="00246AEB"/>
    <w:rPr>
      <w:rFonts w:ascii="Times" w:hAnsi="Times"/>
      <w:b/>
      <w:bCs/>
    </w:rPr>
  </w:style>
  <w:style w:type="paragraph" w:styleId="Revisione">
    <w:name w:val="Revision"/>
    <w:hidden/>
    <w:uiPriority w:val="71"/>
    <w:rsid w:val="00AA1243"/>
    <w:rPr>
      <w:rFonts w:ascii="Times" w:hAnsi="Times"/>
      <w:sz w:val="24"/>
    </w:rPr>
  </w:style>
  <w:style w:type="character" w:styleId="Numeroriga">
    <w:name w:val="line number"/>
    <w:uiPriority w:val="99"/>
    <w:semiHidden/>
    <w:unhideWhenUsed/>
    <w:rsid w:val="005175FC"/>
  </w:style>
  <w:style w:type="character" w:customStyle="1" w:styleId="PidipaginaCarattere">
    <w:name w:val="Piè di pagina Carattere"/>
    <w:link w:val="Pidipagina"/>
    <w:uiPriority w:val="99"/>
    <w:rsid w:val="005175FC"/>
    <w:rPr>
      <w:rFonts w:ascii="Times" w:hAnsi="Times"/>
      <w:sz w:val="24"/>
    </w:rPr>
  </w:style>
  <w:style w:type="paragraph" w:styleId="Testonotaapidipagina">
    <w:name w:val="footnote text"/>
    <w:basedOn w:val="Normale"/>
    <w:link w:val="TestonotaapidipaginaCarattere"/>
    <w:uiPriority w:val="99"/>
    <w:semiHidden/>
    <w:unhideWhenUsed/>
    <w:rsid w:val="009D57F9"/>
    <w:pPr>
      <w:spacing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sid w:val="009D57F9"/>
    <w:rPr>
      <w:rFonts w:ascii="Times" w:hAnsi="Times"/>
    </w:rPr>
  </w:style>
  <w:style w:type="character" w:styleId="Rimandonotaapidipagina">
    <w:name w:val="footnote reference"/>
    <w:basedOn w:val="Carpredefinitoparagrafo"/>
    <w:uiPriority w:val="99"/>
    <w:semiHidden/>
    <w:unhideWhenUsed/>
    <w:rsid w:val="009D57F9"/>
    <w:rPr>
      <w:vertAlign w:val="superscript"/>
    </w:rPr>
  </w:style>
  <w:style w:type="character" w:styleId="Testosegnaposto">
    <w:name w:val="Placeholder Text"/>
    <w:basedOn w:val="Carpredefinitoparagrafo"/>
    <w:uiPriority w:val="99"/>
    <w:semiHidden/>
    <w:rsid w:val="00E305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ca.bartolacci@unimc.it" TargetMode="Externa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unep.or.jp/ietc/Publications/Integrative/EnTA/AEET/preface.asp"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a.soverchia@unimc.it"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mailto:antonella.paolini@unimc.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y.cerqueti@unimc.it"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ARDINIA%202005\istruzioni%20autori\Paper_mode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4A128-179C-4E93-8F1E-9E882AAA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Paper_model</Template>
  <TotalTime>0</TotalTime>
  <Pages>23</Pages>
  <Words>6146</Words>
  <Characters>35034</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MSW LEACHATE TREATMENT BY ELECTROCHEMICAL OXIDATION</vt:lpstr>
    </vt:vector>
  </TitlesOfParts>
  <Company>er</Company>
  <LinksUpToDate>false</LinksUpToDate>
  <CharactersWithSpaces>41098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MSW LEACHATE TREATMENT BY ELECTROCHEMICAL OXIDATION</dc:title>
  <dc:creator>iat</dc:creator>
  <cp:lastModifiedBy>utente</cp:lastModifiedBy>
  <cp:revision>2</cp:revision>
  <cp:lastPrinted>2019-04-02T12:24:00Z</cp:lastPrinted>
  <dcterms:created xsi:type="dcterms:W3CDTF">2020-02-19T09:52:00Z</dcterms:created>
  <dcterms:modified xsi:type="dcterms:W3CDTF">2020-02-19T09:52:00Z</dcterms:modified>
</cp:coreProperties>
</file>