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45AAA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 xml:space="preserve">Cause Lawyering and Resistance in Israel: The Legal Strategies of </w:t>
      </w:r>
      <w:proofErr w:type="spellStart"/>
      <w:r w:rsidRPr="007408FD">
        <w:rPr>
          <w:rFonts w:asciiTheme="majorBidi" w:hAnsiTheme="majorBidi" w:cstheme="majorBidi"/>
          <w:b/>
          <w:bCs/>
          <w:lang w:eastAsia="en-GB" w:bidi="ar-SA"/>
        </w:rPr>
        <w:t>Adalah</w:t>
      </w:r>
      <w:proofErr w:type="spellEnd"/>
    </w:p>
    <w:p w14:paraId="2466F54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Elian Weizman</w:t>
      </w:r>
    </w:p>
    <w:p w14:paraId="1CDBEC7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University of London, UK</w:t>
      </w:r>
    </w:p>
    <w:p w14:paraId="3C0ABAD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2AE9364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>Abstract</w:t>
      </w:r>
    </w:p>
    <w:p w14:paraId="7E59092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 article traces the unique dynamic of cause lawyering in the context of a settler colonial situation in which justice is framed ethnically but operates within the framework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liberal democratic institutions, such as the case of the State of Israel presents. It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does so through the examination of the work of one of the most prominent Palestinian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proofErr w:type="gramStart"/>
      <w:r w:rsidRPr="007408FD">
        <w:rPr>
          <w:rFonts w:asciiTheme="majorBidi" w:hAnsiTheme="majorBidi" w:cstheme="majorBidi"/>
          <w:lang w:eastAsia="en-GB" w:bidi="ar-SA"/>
        </w:rPr>
        <w:t>Non Governmental</w:t>
      </w:r>
      <w:proofErr w:type="spellEnd"/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Organisations (NGOs) engaged in legal activism: ‘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– The Legal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Centre for Arab Minority Rights in Israel’. Using interviews with legal activists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scholars 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beyond, combined with the analysis of legal documents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publications, this article offers an evaluation of the efficacy of legal resistance, addressing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its advantages and limits within the Israeli scenario. This article argues that the law has 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important role in this struggle; whilst its capacity to a</w:t>
      </w:r>
      <w:r>
        <w:rPr>
          <w:rFonts w:asciiTheme="majorBidi" w:hAnsiTheme="majorBidi" w:cstheme="majorBidi"/>
          <w:lang w:eastAsia="en-GB" w:bidi="ar-SA"/>
        </w:rPr>
        <w:t xml:space="preserve">ffect political change is indeed </w:t>
      </w:r>
      <w:r w:rsidRPr="007408FD">
        <w:rPr>
          <w:rFonts w:asciiTheme="majorBidi" w:hAnsiTheme="majorBidi" w:cstheme="majorBidi"/>
          <w:lang w:eastAsia="en-GB" w:bidi="ar-SA"/>
        </w:rPr>
        <w:t>limited, it should not be dismissed outright. Sometimes the law is one of the few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meaningful sources of influence, and much of the time it serves to expose the contradictions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the hegemonic system, thereby uncovering its weaknesses and forcing it to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reveal its oppressive nature. Yet, since the utilization of the legal sphere for resistance 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 practice found in between submission and subversion, this article analyses the ways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this tension can be overcome.</w:t>
      </w:r>
    </w:p>
    <w:p w14:paraId="38C1860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73405997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>Keywords</w:t>
      </w:r>
    </w:p>
    <w:p w14:paraId="06B9F0E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Cause lawyering, hegemony, Israel/Palestine, resistance, Palestinian citizens of Israel, Zionism</w:t>
      </w:r>
    </w:p>
    <w:p w14:paraId="265B183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FBC06F1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>Hegemony, Law and Resistance</w:t>
      </w:r>
    </w:p>
    <w:p w14:paraId="3B62F7A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Israeli state, and the legal system as one of its main institutions, exists in a dialectic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constraints and possibilities with its ‘other’, namely, the Palestinian citizens.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 citizens are stranded in a unique situation in which they are citizens of a state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defines itself as Jewish but at the same time seeks to be a liberal democracy. It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attempts this by granting the members of the minority some rights as individuals, whilst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at the same time preserving the de facto and de jure hegemony of the Jewish majority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Masri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2013). Following the establishment of the state in 1948, although gaining Israeli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citizenship, Palestinian citizens lived under military regime regulated by a legal frame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emergency regulations that restricted their rights and freedoms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Jiryis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1976;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Kretzmer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1990; Robinson, 2013). With the abolition of the military regime in 1966, the Palestinian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 found themselves living under a different set of laws; however, despite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removal of many restrictions, issues regarding access to land and citizenship have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remained outside the reach of the Palestinian citizenry to this very day.</w:t>
      </w:r>
    </w:p>
    <w:p w14:paraId="5EC4CDE3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3F1B6B16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However, segregation and discrimination are not inscribed into the written word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law. Indeed, a main characteristic of Israeli law is the existence of the formal equality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the joint rights of citizenship: political rights, freedom of expression and the right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demonstrate and freedom of movement, and there are no distinctions based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grounds of national belonging. The actual diversions from the principle of equality are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few and appear in relation to collective rights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Kretzmer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1990;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2008).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Moreover, the Israeli legal system self-represents and is invariably described by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Israeli politicians to both international and local audiences as an autonomous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unbiased one based on the supremacy of the rule of law. Israeli politicians and diplomats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proudly and repeatedly proclaim Israel’s respect for the rule of law to both foreign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domestic audiences.1 Politically unpopular decisions of the court, rare as they are, are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lauded as evidence of the independence of the judiciary.2 Hence, because of the state’s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adherence to the rule of law, there is a theoretical, and sometimes real, possibility that the</w:t>
      </w:r>
      <w:r>
        <w:rPr>
          <w:rFonts w:asciiTheme="majorBidi" w:hAnsiTheme="majorBidi" w:cstheme="majorBidi"/>
          <w:lang w:eastAsia="en-GB" w:bidi="ar-SA"/>
        </w:rPr>
        <w:t xml:space="preserve"> state </w:t>
      </w:r>
      <w:r w:rsidRPr="007408FD">
        <w:rPr>
          <w:rFonts w:asciiTheme="majorBidi" w:hAnsiTheme="majorBidi" w:cstheme="majorBidi"/>
          <w:lang w:eastAsia="en-GB" w:bidi="ar-SA"/>
        </w:rPr>
        <w:lastRenderedPageBreak/>
        <w:t>can be vulnerable to legal contestation, and a potential margin of resistance within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law does indeed exist.</w:t>
      </w:r>
    </w:p>
    <w:p w14:paraId="19E7FADE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738FE240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However, the Zionist principle of Israel as a ‘Jewish and democratic’ state lays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foundation to the definition of the polity, its public culture, policies and the scope of protection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constitutional rights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Masri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2013: 322). Following the rich theoretical literature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conceptualizes and problematizes the concept of ‘hegemony’ that focuses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delicate balance between consent and coercion in the creation of the people’s ‘common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sense’ (Anderson, 1976; Gramsci, 1988; Gramsci et al., 1971; Fontana, 2006;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Lears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1985;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Mouffe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1979), this article argues that Zionist ideology, embodied in the idea that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Israel is and should remain a Jewish and democratic state, gained hegemonic status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among the Jewish Israeli citizens. This definition is enshrined in some of Israel’s Basic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Laws (Human Dignity and Liberty, Freedom of Occupation and the Knesset) and ‘plays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 important role in defining the polity, the public culture, state policies and the scope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protection of constitutional rights’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Masri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2013: 322). The fact that the law sustains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hegemonic ideology of the state is not unique to the Israeli case and is part of the general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functioning of the law (Gabel and Harris, 1983 [1982]; Giddens, 1985; Gilroy, 1987;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Goldberg, 2002;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Povinelli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2002).</w:t>
      </w:r>
    </w:p>
    <w:p w14:paraId="71E795A7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5C6510CA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Whilst the idea of a Jewish and democratic state gains support through mechanisms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legitimation in Jewish society, the most important of which are the education system,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military and the media, it is improbable to assume that Israel’s Palestinian citizens internalize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Zionist ideas and willingly consent to Zionist ideology. However, Palestinian citizens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are also not subjected to a system of direct domination: they must be seen as part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hegemonic system in Israel, whilst acknowledging the fact that they are mostly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coerced into compliance with it. The issue of legal status is significant – whilst Palestinian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 are subject to the Israeli legal system, with the privileges and obligations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come along with citizenship, they are excluded from a system of privileges that 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sole domain of the Jewish citizens of the state. At the same time, they are subject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the emergency laws and regulations activated frequently in matters considered as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involving ‘national security’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Kretzmer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1990;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2002, 2008). Indeed, as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Masri</w:t>
      </w:r>
      <w:proofErr w:type="spellEnd"/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(2013: 327) explained, ‘there is no one uniform Israeli citizenship, but different categories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citizenships, depending on the ethnic/national belonging of the individual’.</w:t>
      </w:r>
    </w:p>
    <w:p w14:paraId="2C420F98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7D5CF782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Due to their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position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as being both Palestinians and Israeli citizens, several scholars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highlight the fact that Palestinian citizens view Israeli citizenship as the best way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they can promote their rights and wage their political struggles. Hence, there 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 political consensus that all forms of resistance should be conducted within the limits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prescribed by Israeli law and enforced through Israeli institutions (Jamal, 2007;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Rouhana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1990). This pattern can be framed as part of general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minoritarian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behaviour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under which people ‘respond to state injustice and utilize all possible options available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them within the repertoire of citizenship before adopting more radical challenges to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state’ (Jamal, 2007: 264). Thereby, the repertoire of resistance, which seems available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the Palestinian citizenry, is shaped by the nature of the regime, which controls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it and frames reality and the possibilities according to it. Thus, citizenship is viewed</w:t>
      </w:r>
    </w:p>
    <w:p w14:paraId="72902664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 an opportunity and resource for mobilization, a space of manoeuvre for resistance that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 protected from the exercise of the state’s brute force. Indeed, due to Israel’s democratic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structures and legal culture, the state leaves spheres and spaces for protest as well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as hope for democratization. These can be utilized in the struggles against the very nature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the state.</w:t>
      </w:r>
    </w:p>
    <w:p w14:paraId="1F1DC76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5476DA95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b/>
          <w:bCs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b/>
          <w:bCs/>
          <w:lang w:eastAsia="en-GB" w:bidi="ar-SA"/>
        </w:rPr>
        <w:t xml:space="preserve"> – ‘The Centre for Arab Minority Rights in Israel’</w:t>
      </w:r>
    </w:p>
    <w:p w14:paraId="6EAC7A1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The situation of enduring discrimination on the one hand, together with the existence of a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space of resistance, due to the nature of the law and the democratic structures of the state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on the other, have been the grounds on which Palestinian civil society organizations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engaged in legal activism have developed. One of them,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is the focus of this article.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Whilst Palestinian lawyers publicly litigating in Israeli courts for political purposes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have existed in Israel for many years, the establishment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brought to the institutionalization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Palestinian citizens’ appeals to the courts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Barzilai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2007).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establishment filled a gap that existed in the arena of legal advocacy in Israel, which until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then had been dominated by Association for Civil Rights (ACRI) in Israel, which at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time focused its work on individual human rights. This focus, according to Hassan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co-founder,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Orna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Kohn, who worked 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since its establishment,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was something that they found unfitting for the actual situation of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 population in Israel, which is determined by the political reality (interview</w:t>
      </w:r>
    </w:p>
    <w:p w14:paraId="69D5B1A1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with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2011; interview with Kohn, 2009 and 2010).</w:t>
      </w:r>
    </w:p>
    <w:p w14:paraId="460C5A8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62F91214" w14:textId="77777777" w:rsid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Starting in 1996 as the legal department of the Arab Association for Human Rights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(Arab HRA),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(‘justice’ in Arabic) soon became an independent human rights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organization that devotes its work solely to legal activism and advocacy, with an emphasis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on Palestinian collective rights inside Israel. Today, it works alongside other human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rights organizations, including ACRI,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Sikkuy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– The Association for the Advancement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of Civic Equality,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Mossawa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others. Many times, it struggles in court in collaboration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with one or more of the parallel organizations, but its uniqueness lies in its focus on Palestinian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civil and political rights within Israel and the primacy it gives to legal channels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order to achieve its goals.</w:t>
      </w:r>
    </w:p>
    <w:p w14:paraId="083775D7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</w:p>
    <w:p w14:paraId="52B07426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the background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establishment stood the combination of two processes.</w:t>
      </w:r>
    </w:p>
    <w:p w14:paraId="5664B4BD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first was the political climate of the early-Oslo years that focused on institutionalizing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relations between the Israeli government and the Palestine Liberation Organization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but left untouched the issues relating to the Palestinian citizens. It was at this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juncture that the Palestinian citizenry started challenging the nature of the Israeli state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as a Jewish state and their location as citizens within it. The other was the enactment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two constitutional laws, the 1992 Basic Law: Human Dignity and Liberty and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1994 Basic Law: Freedom of Occupation. Although legally grounding for the first time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character of Israel as a Jewish and democratic state, these laws brought a substantial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change to the status of human rights in Israel. These new laws enabled the Supreme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Court to measure other laws and governmental decisions according to their compatibility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with the provisions of the new laws and consequently opened up a space of manoeuvre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within the law that did not exist beforehand.</w:t>
      </w:r>
    </w:p>
    <w:p w14:paraId="707695D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105E66FE" w14:textId="77777777" w:rsid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stated goals are to achieve equal individual and collective rights for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 citizens in Israel in different fields including land rights; civil and political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rights; cultural, social and economic rights; religious rights; women’s rights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prisoners’ rights as well as involvement in the protection of human rights in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Occupied Palestinian Territories (OPT). Today,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operates as a human rights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organization that deals with a variety of issues concerning the Palestinian citizens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Israel and uses public tools and international platforms to achieve and advance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its goals: it advocates legislation that will ensure equal individual and collective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rights for the Palestinian citizens, appeals to international institutions and forums,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provides legal consultation to individuals, non-governmental organizations and Arab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institutions, organizes study days, seminars and workshops and publishes reports 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legal issues concerning the rights of the Palestinian minority in particular and human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rights in general.</w:t>
      </w:r>
    </w:p>
    <w:p w14:paraId="10A1DFB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2D0F2C5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lastRenderedPageBreak/>
        <w:t>Abeer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Baker (2010, interview), one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senior attorneys, explained to me that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is using the law as both a shield and a sword: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We see our role as pushing forward positive rights and not only negative rights. This means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we do not only defend citizens against something that happened to them, such as land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expropriation or arrests during political protests, but we are dealing also with positive rights,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means that we are demanding that things will be done in a way that will promote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rights of the Palestinian community in Israel.</w:t>
      </w:r>
    </w:p>
    <w:p w14:paraId="3A25EC4A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5BE69A10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Following the work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this article examines the ways in which the law is manifested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the constellation of the Jewish democratic state, and if, and how, it can be used</w:t>
      </w:r>
    </w:p>
    <w:p w14:paraId="38B1471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struggle against this contradictory self-definition. Theoretically, it traces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unique dynamic of cause lawyering in the context of a settler-colonial society in which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justice is framed ethnically but operates within a framework of liberal democratic institutions.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doing so, it offers an evaluation of the efficacy of this strategy of resistance,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addressing its advantages and limits within this particular scenario, and elucidating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meaning of cause lawyering in a colonial/liberal context. This article argues that the law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has an important role in this struggle; whilst its capacity to affect social–political change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should not be exaggerated, at the same time, its effect should not be dismissed outright.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Sometimes the law is the only meaningful source of influence, and much of the time it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serves to expose the contradictions in the hegemonic system, thereby uncovering its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weaknesses and forcing it to reveal its oppressive nature. This potential exists since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 also provides a space for counter-hegemonic struggles: since the state has to maintain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legitimacy of its rule both internally and externally, power relations have to be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masked, and the law must appear to be just and independent of manipulation. Apart from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appearance, in many cases, namely in democratic societies, there must be a real space for</w:t>
      </w:r>
    </w:p>
    <w:p w14:paraId="0400C05B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citizens to question and object to what they see as unjust in the attempt to challenge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change it. Thus, it can be determined that the limitations of the law operate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rulers as well as on the ruled (Fitzpatrick, 2008; Thompson, 1975). Hence, the legal battles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should be seen as part of the long and steady counter-hegemonic project.</w:t>
      </w:r>
    </w:p>
    <w:p w14:paraId="2BE020B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505445DA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Through the discussion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role, its uniqueness, the background for its activity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its actual work, I offer an analysis of the possibilities, limits, constraints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boundaries of legal resistance as well as the possible way out of these limitations. In this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regard, I consider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 as cause lawyers. Cause lawyering can be defined as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‘any activity that seeks to use law related means or seek to change laws or regulations to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achieve greater social justice – both for particular individuals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and for disadvantaged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groups’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1998: 37). I conceptualize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strategies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as ‘legal resistance’ which is treated here as a practice that ‘seeks transformative goals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while working within legal processes that are wedded to the established order’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1998: 124). Litigation can be considered to be the most prominent form of legal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resistance, but the term includes any resistance practice that is conducted within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existing law and legal institutions of the state.</w:t>
      </w:r>
    </w:p>
    <w:p w14:paraId="4C08A49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29E4FDB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primary research material for this research is extensive semi-structured interviews</w:t>
      </w:r>
    </w:p>
    <w:p w14:paraId="0E6A3DBB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open and informal conversations conducted during several research trips to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Israel during 2009–2013. I interviewed current and former attorneys and other officers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To inform and enrich the discussion, I also interviewed independent attorneys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who dedicate their work to cause lawyering, who provided a critical perspective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organizational legal work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Additionally, I spoke with scholars from the fields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law, politics and sociology, in conversations that contributed greatly to the processing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data and provided insights that enriched my analysis. This research project also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entailed discourse analysis of legal materials, including documents, appeals to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Supreme Court and position papers. Furthermore, other verbal and written statements,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publications, and reports were examined and evaluated. Since </w:t>
      </w:r>
      <w:r w:rsidRPr="007408FD">
        <w:rPr>
          <w:rFonts w:asciiTheme="majorBidi" w:hAnsiTheme="majorBidi" w:cstheme="majorBidi"/>
          <w:lang w:eastAsia="en-GB" w:bidi="ar-SA"/>
        </w:rPr>
        <w:lastRenderedPageBreak/>
        <w:t>this project is grounded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social and political analysis, these materials are dealt with accordingly; they were read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their social and political setting. Since most of the material involved in this research is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found within the rubric of attempts within Israeli law to subvert it, close attention is paid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the use of language, frames and to the context in which they were produced, the identity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(political, national and social) and social location of the actors who produced them as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well as to the silences within them.</w:t>
      </w:r>
    </w:p>
    <w:p w14:paraId="1CCEF91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B37B7A2" w14:textId="77777777" w:rsid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resistance will be discussed here through the lenses of three cases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the organization was (and still is) involved, representing three different types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resistance in relation to the law. First, engagement with the law through litigation. Here,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 analyse the strengths and shortfalls of litigation in the context of the battle against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Citizenship and Entry into Israel Law (citizenship law). Second, public campaigning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representation. In this section, I assess the power of advocacy and public campaigning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with specific reference to the events of October 2000 and their aftermath. Finally,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transformation of the law in the form of a political/legal proposal. In this section, I scrutinize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programme for the transformation of the state and the legal system offered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Democratic Constitution. In examining this range of cases geared towards varied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ends, this article offers a measured consideration and a critical evaluation of the full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spectrum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and political activities.</w:t>
      </w:r>
    </w:p>
    <w:p w14:paraId="338CA37C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</w:p>
    <w:p w14:paraId="35689986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>The Possibilities and Limitations of Litigation:</w:t>
      </w:r>
    </w:p>
    <w:p w14:paraId="08D67C7B" w14:textId="77777777" w:rsidR="007408FD" w:rsidRPr="007408F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7408FD">
        <w:rPr>
          <w:rFonts w:asciiTheme="majorBidi" w:hAnsiTheme="majorBidi" w:cstheme="majorBidi"/>
          <w:b/>
          <w:bCs/>
          <w:lang w:eastAsia="en-GB" w:bidi="ar-SA"/>
        </w:rPr>
        <w:t>Israeli Citizenship Law</w:t>
      </w:r>
    </w:p>
    <w:p w14:paraId="2772232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At the end of March 2002, Eli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Yishai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then Minister of Internal Affairs, decided that all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requests for family unifications submitted by Palestinian citizens of Israel married to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Palestinians from the OPT would be frozen until further notice. The decision was made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following the suicide attack at the ‘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Matza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’ restaurant in Haifa, which was executed by a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person who had acquired resident status through family unification procedure. Government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decision 1813, taken on 12 May 2002, declared that all requests for family unification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regarding Palestinians from the OPT would be frozen, due to the ‘security situation’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(The Government, 2002). On 4 June 2003, a governmental bill, Nationality and Entry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into Israel Law (Temporary Order) – 2003, based on Governmental Decision 1813, was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submitted:</w:t>
      </w:r>
    </w:p>
    <w:p w14:paraId="60BB1F9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During the period in which this Law shall be in effect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>, the Minister of Internal Affairs</w:t>
      </w:r>
    </w:p>
    <w:p w14:paraId="05B7422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shall not grant a resident of the region nationality pursuant to the Nationality Law and shall</w:t>
      </w:r>
    </w:p>
    <w:p w14:paraId="62711C9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not give a resident of the region a permit to reside in Israel pursuant to the Entry into Israel</w:t>
      </w:r>
    </w:p>
    <w:p w14:paraId="2862D1EE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 . . . (The Government, 2003)</w:t>
      </w:r>
    </w:p>
    <w:p w14:paraId="721C61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5DD838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 31 July 2003, the majority of parliament members voted for the governmental proposal</w:t>
      </w:r>
    </w:p>
    <w:p w14:paraId="5E0C523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the law was enacted as a temporary order for the period of one year. However,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its duration has continued to be extended ever since. The law puts a complete halt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submission of new applications by citizens requesting status for their spouses who are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residents of the OPT and explicitly excludes Jewish settlers residing in the OPT, thus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affecting only Palestinians.</w:t>
      </w:r>
    </w:p>
    <w:p w14:paraId="19BB2F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Ever since its legislation,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has fought against this law. It has petitioned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Supreme Court, challenging the law and trying to halt its application, sent letters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and</w:t>
      </w:r>
      <w:r>
        <w:rPr>
          <w:rFonts w:asciiTheme="majorBidi" w:hAnsiTheme="majorBidi" w:cstheme="majorBidi"/>
          <w:lang w:eastAsia="en-GB" w:bidi="ar-SA"/>
        </w:rPr>
        <w:t xml:space="preserve">  </w:t>
      </w:r>
      <w:r w:rsidRPr="007408FD">
        <w:rPr>
          <w:rFonts w:asciiTheme="majorBidi" w:hAnsiTheme="majorBidi" w:cstheme="majorBidi"/>
          <w:lang w:eastAsia="en-GB" w:bidi="ar-SA"/>
        </w:rPr>
        <w:t>petitions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to the Minister of Internal Affairs, addressed members of parliament and issued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press releases and appeals to various international platforms such as the United Nation’s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(UN) committees for human rights and the European Commission. Here, the focus is on</w:t>
      </w:r>
      <w:r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struggle on the local legal stage, namely, the Israeli Supreme Court.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In August 2003,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filed a petition to the Supreme Court against the new law calling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for its nullification. Petitions to the Supreme Court are divided into two parts: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factual part in which the petitioners are free to unfold ‘the story’ and the legal part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which the petitioners must keep the argumentations strictly legal </w:t>
      </w:r>
      <w:r w:rsidRPr="007408FD">
        <w:rPr>
          <w:rFonts w:asciiTheme="majorBidi" w:hAnsiTheme="majorBidi" w:cstheme="majorBidi"/>
          <w:lang w:eastAsia="en-GB" w:bidi="ar-SA"/>
        </w:rPr>
        <w:lastRenderedPageBreak/>
        <w:t>and grounded in precedents,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laws and legal conventions. The tension and gap between the factual description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and the legal argumentation highlight the tensions within which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functions: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between the adherence to the word of the Israeli law and the desire to achieve justice.</w:t>
      </w:r>
    </w:p>
    <w:p w14:paraId="3D20A09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accordance, it seems that the ‘subversive’ practice can be found only in the factual</w:t>
      </w:r>
    </w:p>
    <w:p w14:paraId="27BDA92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part of the petition rather than in the legal argumentation. However, further investigation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proves otherwise, when the practice of petitioning and litigation is placed within a context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has different aims. These are elaborated below.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petition, the factual introduction to the petition narrated personal stories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Palestinian couples whose lives together would become impossible as a result of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new legislation. Additionally,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claimed that the law was enacted in the absence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sound factual grounds elaborating the need for this law and its repercussions. The petitioners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proved that the records showed only twenty cases of suspected involvement of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Palestinians with Israeli citizenship in terror attempts, out of a population of many thousands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inhabitants of the OPT who had received resident status in Israel due to the unification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families.</w:t>
      </w:r>
    </w:p>
    <w:p w14:paraId="320F3761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CCC4188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main legal argumentation was based on the assertion that the law explicitly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contradicted the instructions of Basic Law: Human </w:t>
      </w:r>
      <w:r>
        <w:rPr>
          <w:rFonts w:asciiTheme="majorBidi" w:hAnsiTheme="majorBidi" w:cstheme="majorBidi"/>
          <w:lang w:eastAsia="en-GB" w:bidi="ar-SA"/>
        </w:rPr>
        <w:t xml:space="preserve">Dignity and Liberty, namely the </w:t>
      </w:r>
      <w:r w:rsidRPr="007408FD">
        <w:rPr>
          <w:rFonts w:asciiTheme="majorBidi" w:hAnsiTheme="majorBidi" w:cstheme="majorBidi"/>
          <w:lang w:eastAsia="en-GB" w:bidi="ar-SA"/>
        </w:rPr>
        <w:t>constitutional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 to equality between citizens. Hence the discrimination against Palestinian</w:t>
      </w:r>
    </w:p>
    <w:p w14:paraId="12FAC837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citizens in the law is apparent from ‘the clear, unambiguous wording of the law’.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petition continued, claiming that: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constitutional status of the principle of equality is required for a constitutional regime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built on a free and democratic society.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 society that wishes to establish itself on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fundamental principle of freedom and equality has no choice but to recognize the constitutional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status of the principle of equality.</w:t>
      </w:r>
    </w:p>
    <w:p w14:paraId="39DF963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519354BC" w14:textId="77777777" w:rsid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It is not surprising that the petition had to follow strictly legal argumentation, using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state’s concepts and narratives of ‘liberal democracy’, ‘constitutional rights’ and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‘equality between citizens’. The legal field has established conventions that must be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adhered to by those who choose to enter it. In the Israeli context, the Palestinians find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themselves fixed in legal categories that enshrine their historical national reality as a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minority in their homeland, as citizens of a state that is not theirs. However, of interest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here are the silences in the petition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 were obliged to keep, which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found their expression outside of the petition and the court.</w:t>
      </w:r>
    </w:p>
    <w:p w14:paraId="1C26A171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</w:p>
    <w:p w14:paraId="110C2A2B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Whilst insisting on constitutional rights and democracy was a good legal tactic, a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more sincere line of argumentation is revealed 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lawyers’ publications, where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they expressed their conviction that security considerations have been used many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times</w:t>
      </w:r>
      <w:r>
        <w:rPr>
          <w:rFonts w:asciiTheme="majorBidi" w:hAnsiTheme="majorBidi" w:cstheme="majorBidi"/>
          <w:lang w:eastAsia="en-GB" w:bidi="ar-SA"/>
        </w:rPr>
        <w:t xml:space="preserve">  </w:t>
      </w:r>
      <w:r w:rsidRPr="007408FD">
        <w:rPr>
          <w:rFonts w:asciiTheme="majorBidi" w:hAnsiTheme="majorBidi" w:cstheme="majorBidi"/>
          <w:lang w:eastAsia="en-GB" w:bidi="ar-SA"/>
        </w:rPr>
        <w:t>as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 cover for ideological-demographic ones and that what guided the legislators in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this case was the need to preserve the Jewish character of the state (Baker, 2005).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Accordingly,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maintains that ‘security legislation’ often serves as a disguise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for ideological motives and becomes part of the general law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Esmeir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2004: 8).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Finally,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 claim that this case marked a transition from discrimination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extreme racial oppression, leading to the conclusion that this law was not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only blatantly and radically unconstitutional but it also contradicted basic human</w:t>
      </w:r>
    </w:p>
    <w:p w14:paraId="1ABA7D5A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morality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2004).</w:t>
      </w:r>
    </w:p>
    <w:p w14:paraId="7F67B55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8A4CE08" w14:textId="77777777" w:rsidR="007408FD" w:rsidRPr="007408FD" w:rsidRDefault="007408FD" w:rsidP="007408FD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Supreme Court gave its decision after almost 3 years, rejecting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petition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(together with six other petitions against the law) by a six-to-five majority. Deputy Chief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Supreme Court Justice Michael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Cheshin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who was in the majority, maintained that the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 did not violate constitutional rights and even if it did, the violation was proportional.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He explains that: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a ‘‘state of war’’, the state is entitled to prevent the entry of enemy nationals into its territory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>. The Palestinian residents of the region are enemy nationals and as such, they</w:t>
      </w:r>
    </w:p>
    <w:p w14:paraId="7580D37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 xml:space="preserve">constitute a risk group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. For this reason, the state is entitled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to legislate a law</w:t>
      </w:r>
    </w:p>
    <w:p w14:paraId="6A3D257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prohibiting their entry into the state. (H.C. Decision 7052/03, 2006)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As an immediate response to the Court’s decision,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issued a press release stating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that the court had approved the most racist law to date, a law that even the apartheid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court in South Africa had refused to approve since it undermines the most fundamental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right to family life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2006). Ever since the Court’s decision, the law has been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extended continuously, albeit with minor amendments put in place, whilst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has</w:t>
      </w:r>
      <w:r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tried to challenge these extensions.</w:t>
      </w:r>
    </w:p>
    <w:p w14:paraId="46D2364B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979B7B6" w14:textId="77777777" w:rsid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Examination of the text of the petitions and the nature of the legal arguments brought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forth by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reveals some of the inherent limitations of resistance in courts. The legal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argument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follows the logic of proving the new law to be unconstitutional and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unsuitable for a liberal democracy. As many lawyers point out, appeals to court and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choice of struggle in the legal system of the state bear some concessions that must be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understood and calculated in advance.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could not have used arguments accusing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state of deliberate discrimination in the name of demographic considerations and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preservation of the ‘Jewish state’. Nor could it have straightforwardly attacked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alleged security considerations that were brought up. Instead, it had to maintain and use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 certain language, confined within the boundaries of the acceptable legal discourse, in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the law can be challenged only from the point of view of the existing legal framework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the state. This meant that the law had to be examined in the light of Basic Law: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Human Dignity and Liberty, which is meant to guarantee equality and dignity to all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citizens.</w:t>
      </w:r>
    </w:p>
    <w:p w14:paraId="1D897A24" w14:textId="77777777" w:rsidR="00292A95" w:rsidRPr="007408FD" w:rsidRDefault="00292A95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</w:p>
    <w:p w14:paraId="3E1F7352" w14:textId="77777777" w:rsidR="007408FD" w:rsidRP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paradox in this line of argument is that the issue at the basis of the citizenship law</w:t>
      </w:r>
    </w:p>
    <w:p w14:paraId="5797EC20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the court’s decision is found in the nature of Israeli law itself and the premises 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which it is based: Israel as being both a Jewish and democratic state. Thus, a certain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degree of discrimination will always have to be justified within the law, and the question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thus becomes centred on the extent of discrimination and not on the discrimination itself.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Following this line, the claim that the law is unconstitutional under Israeli law is in fact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ignoring the problematic nature of the Israeli political ideology on which the law is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based.</w:t>
      </w:r>
    </w:p>
    <w:p w14:paraId="7A4A7192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14F3E81A" w14:textId="77777777" w:rsidR="007408FD" w:rsidRP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 issue opens up an important discussion about the paradoxes that are part and parcel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legal resistance, first and foremost of which is the question of legitimation, which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 found at the core of debates among professionals and legal scholars in various contexts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where lawyers operate or operated within oppressive systems (on South Africa see Abel,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1995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1995; On Palestine see Reynolds, 2010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Bisharat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1995; On Northern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Ireland see McEvoy, 2000; On Feminist critique of International Criminal Court see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Halley, 2009 [2008] and MacKinnon, 2006 [2005]). Stephan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explains the legitimation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dilemma:</w:t>
      </w:r>
    </w:p>
    <w:p w14:paraId="6C1BDCD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those who seek to challenge unjust states by using the law of those states against them are</w:t>
      </w:r>
    </w:p>
    <w:p w14:paraId="03F5566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very likely to feel tarnished by the need to speak in terms of laws they despise.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It is</w:t>
      </w:r>
    </w:p>
    <w:p w14:paraId="76000C1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even worse to wonder whether one’s desperate efforts to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maneuver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within an unjust system</w:t>
      </w:r>
    </w:p>
    <w:p w14:paraId="7ADC154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the end add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luster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to that system and so help preserve the evil one opposes.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1995:</w:t>
      </w:r>
    </w:p>
    <w:p w14:paraId="68287597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339)</w:t>
      </w:r>
    </w:p>
    <w:p w14:paraId="7334225B" w14:textId="77777777" w:rsidR="00292A95" w:rsidRPr="007408FD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  <w:r>
        <w:rPr>
          <w:rFonts w:asciiTheme="majorBidi" w:hAnsiTheme="majorBidi" w:cstheme="majorBidi"/>
          <w:lang w:eastAsia="en-GB" w:bidi="ar-SA"/>
        </w:rPr>
        <w:tab/>
      </w:r>
    </w:p>
    <w:p w14:paraId="3216EA9B" w14:textId="77777777" w:rsid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issue is therefore two-fold: on the one hand, to take part in the oppressive system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as a default condition of litigating within its courts, and on the other hand, the fact that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litigation can help maintain the illusion that the oppressive system is operating justly. An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additional aspect to the legitimacy dilemma is the fact that the state uses internal opposition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such as litigation in courts (and other channels of resistance from within state institutions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systems) in order to better assess the feasibility and ease of implementing its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policies. As the Israeli human rights lawyer Michael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Sfard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clearly illustrates in his discussion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of ‘fine-tuning’ the </w:t>
      </w:r>
      <w:r w:rsidRPr="007408FD">
        <w:rPr>
          <w:rFonts w:asciiTheme="majorBidi" w:hAnsiTheme="majorBidi" w:cstheme="majorBidi"/>
          <w:lang w:eastAsia="en-GB" w:bidi="ar-SA"/>
        </w:rPr>
        <w:lastRenderedPageBreak/>
        <w:t>Israeli occupation of the OPT, resistance can thus become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part of the practice to which it objects and a phase in the policy structuring procedure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Sfard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2009: 48).</w:t>
      </w:r>
    </w:p>
    <w:p w14:paraId="3433055D" w14:textId="77777777" w:rsidR="00292A95" w:rsidRPr="007408FD" w:rsidRDefault="00292A95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</w:p>
    <w:p w14:paraId="24619E73" w14:textId="77777777" w:rsidR="007408FD" w:rsidRP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our context, many lawyers indeed point to the fact that the law serves to legitimize</w:t>
      </w:r>
    </w:p>
    <w:p w14:paraId="5008573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Israeli political authority, and therefore recourse to the Israeli courts provides legitimacy</w:t>
      </w:r>
    </w:p>
    <w:p w14:paraId="6B062CEC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the courts and thereby sustains the Zionist hegemony that is found at their base.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It also assists the State of Israel to hold to its claim to be a democracy, since the Supreme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Court in particular maintains a positive image, both locally and internationally, as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‘gatekeeper of Israeli democracy’, a vanguard for the protection and maintenance of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human rights in the country (Reynolds, 2010: 7).</w:t>
      </w:r>
    </w:p>
    <w:p w14:paraId="66F63B10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0F44D338" w14:textId="77777777" w:rsidR="007408FD" w:rsidRPr="007408FD" w:rsidRDefault="007408FD" w:rsidP="00292A95">
      <w:pPr>
        <w:ind w:firstLine="720"/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attempt to assess the legitimation dilemma, the question of audience and effect</w:t>
      </w:r>
    </w:p>
    <w:p w14:paraId="5E67CF3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becomes relevant. In other words, could an oppressive system be considered legitimate</w:t>
      </w:r>
    </w:p>
    <w:p w14:paraId="4F85D3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by those who are oppressed by it? George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Bishrart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in his study of Palestinians in Israeli</w:t>
      </w:r>
    </w:p>
    <w:p w14:paraId="5C14FFC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military courts in the OPT, holds that the law, as a tool of legitimation, may be effective</w:t>
      </w:r>
    </w:p>
    <w:p w14:paraId="2CA6A21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only among those proximate to the centres of social and political power. ‘The effectiveness</w:t>
      </w:r>
    </w:p>
    <w:p w14:paraId="0FA5D3F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may diminish, however, as the law radiates ‘‘outward’’ in the direction of socially</w:t>
      </w:r>
    </w:p>
    <w:p w14:paraId="67C111E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culturally marginal groups in the society, or ‘‘downwards’’ in the direction of less</w:t>
      </w:r>
    </w:p>
    <w:p w14:paraId="74D9AC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powerful social classes’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Bisharat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1995: 560–561). Indeed, as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emphasizes, the</w:t>
      </w:r>
    </w:p>
    <w:p w14:paraId="5DBE90C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legitimacy effect is more important for the rulers that need to legitimize their conduct</w:t>
      </w:r>
    </w:p>
    <w:p w14:paraId="72C58C4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win and maintain the approval of those groups in society that they seek support from.</w:t>
      </w:r>
    </w:p>
    <w:p w14:paraId="1FA3FD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this way:</w:t>
      </w:r>
    </w:p>
    <w:p w14:paraId="7135735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 may well have helped legitimize apartheid in the eyes of whites; occupation of the</w:t>
      </w:r>
    </w:p>
    <w:p w14:paraId="2A973E2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West Bank and the Gaza Strip in the eyes of Israelis; and campaigns against the left in the</w:t>
      </w:r>
    </w:p>
    <w:p w14:paraId="07374A57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eyes of some portions of Brazilian and Argentinian society.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1995; 344)</w:t>
      </w:r>
    </w:p>
    <w:p w14:paraId="6F2B909E" w14:textId="77777777" w:rsidR="00292A95" w:rsidRPr="007408FD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7557F34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Hence, the legitimacy argument here concerns mainly the Israeli regime and its supporters</w:t>
      </w:r>
    </w:p>
    <w:p w14:paraId="4A1C208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(in the Israeli society and beyond) and forms part of its internal discourse, in</w:t>
      </w:r>
    </w:p>
    <w:p w14:paraId="341927D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which the Supreme Court has an important role of legitimation.</w:t>
      </w:r>
    </w:p>
    <w:p w14:paraId="44198D6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However, the third dimension of the audience/effect question is the international</w:t>
      </w:r>
    </w:p>
    <w:p w14:paraId="2351F09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arena, where the work of lawyers opposing injustice may offer some reassurance about</w:t>
      </w:r>
    </w:p>
    <w:p w14:paraId="1987EB1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fundamental legitimacy of the system as a whole. Indeed, resistance to Zionism has</w:t>
      </w:r>
    </w:p>
    <w:p w14:paraId="0E51714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 important international dimension and therefore the question of the effect of the</w:t>
      </w:r>
    </w:p>
    <w:p w14:paraId="65724C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Israeli Supreme Court on the international public opinion is important and still needs</w:t>
      </w:r>
    </w:p>
    <w:p w14:paraId="6CF5BF4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be taken into consideration. Despite the legitimation effect it might have, litigation</w:t>
      </w:r>
    </w:p>
    <w:p w14:paraId="2AB6F1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can have positive effects on the international arena, as will be elaborated below. In total,</w:t>
      </w:r>
    </w:p>
    <w:p w14:paraId="476E349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legitimation dilemma is complex and must always be examined in light of the costs</w:t>
      </w:r>
    </w:p>
    <w:p w14:paraId="69E3D80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benefits in the particular context, and this is part of the day-to-day dilemmas a cause</w:t>
      </w:r>
    </w:p>
    <w:p w14:paraId="64E42CB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lawyer must deal with.</w:t>
      </w:r>
    </w:p>
    <w:p w14:paraId="2095031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any case, since the hope of creating change through litigation is limited to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smallscale</w:t>
      </w:r>
      <w:proofErr w:type="spellEnd"/>
    </w:p>
    <w:p w14:paraId="0FA528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victories and first aid to individual clients that materializes occasionally due to the</w:t>
      </w:r>
    </w:p>
    <w:p w14:paraId="4E1771E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fact that this will necessitate a change in the political and legal culture as a whole, litigation</w:t>
      </w:r>
    </w:p>
    <w:p w14:paraId="747AB0EB" w14:textId="77777777" w:rsid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assumes a different role.</w:t>
      </w:r>
    </w:p>
    <w:p w14:paraId="21E21212" w14:textId="77777777" w:rsidR="00292A95" w:rsidRPr="007408FD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78DC09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One of the most important roles of litigation is to expose contradictions in the Jewish</w:t>
      </w:r>
    </w:p>
    <w:p w14:paraId="2C596F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democratic state formula, and to force the court to face these contradictions and the</w:t>
      </w:r>
    </w:p>
    <w:p w14:paraId="7E1DEF6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need to defend them time and again. In this sense, there is an accumulative effect that can</w:t>
      </w:r>
    </w:p>
    <w:p w14:paraId="5D770F8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influence the court, together with the fact that it also creates pressure on the system.</w:t>
      </w:r>
    </w:p>
    <w:p w14:paraId="3B9C5DE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(Similar discussion that sees legal battles as part of a larger war appear in Harlow and</w:t>
      </w:r>
    </w:p>
    <w:p w14:paraId="78CA496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Rawling’s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(1992: 295) analysis of the use of litigation in England for political ends.)</w:t>
      </w:r>
    </w:p>
    <w:p w14:paraId="036F6F0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 xml:space="preserve">Indeed, legal centres and human rights organizations such as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focus on creating</w:t>
      </w:r>
    </w:p>
    <w:p w14:paraId="650436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memory of the court regarding its failure to defend human rights and its submission</w:t>
      </w:r>
    </w:p>
    <w:p w14:paraId="6D9FC1E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repressive ideology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Sultany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Dakwar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Sultany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2006). Exposure of contradictions</w:t>
      </w:r>
    </w:p>
    <w:p w14:paraId="24DF8FE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system forces hegemony to be more explicit in its coercive nature and</w:t>
      </w:r>
    </w:p>
    <w:p w14:paraId="2FA0F6B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its need to defend itself and repress attempts at resistance against it. Examining the</w:t>
      </w:r>
    </w:p>
    <w:p w14:paraId="4D25F49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Supreme Court’s ruling regarding the family unification case in this light, one can claim</w:t>
      </w:r>
    </w:p>
    <w:p w14:paraId="442444F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the ‘bright side’ of the ruling lies in the fact that it exposes the system’s problematic</w:t>
      </w:r>
    </w:p>
    <w:p w14:paraId="3E761C2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nature; as the court becomes more self-consistent, its adherence to the system of subordination</w:t>
      </w:r>
    </w:p>
    <w:p w14:paraId="54230A5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becomes more apparent.</w:t>
      </w:r>
    </w:p>
    <w:p w14:paraId="5F5177D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Another related role of litigation is the exposure of information that otherwise would</w:t>
      </w:r>
    </w:p>
    <w:p w14:paraId="536F35B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 kept hidden from the public. Appeals to court often attract media interest and can</w:t>
      </w:r>
    </w:p>
    <w:p w14:paraId="6C6C99A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serve to expose to the public hidden aspects of the (Israeli) regime and its practices. This</w:t>
      </w:r>
    </w:p>
    <w:p w14:paraId="1D5066C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exposure of information in turn contributes and adds strength to campaigns and struggles</w:t>
      </w:r>
    </w:p>
    <w:p w14:paraId="3083AD8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waged by social movements and stir public debate. It exposes the brute force of the state</w:t>
      </w:r>
    </w:p>
    <w:p w14:paraId="46A591C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that may be rendered illegitimate or at least questionable (Harlow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Rawling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1992:</w:t>
      </w:r>
    </w:p>
    <w:p w14:paraId="58D54DF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295).</w:t>
      </w:r>
    </w:p>
    <w:p w14:paraId="0A1BCC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Additionally, litigation constitutes the documentation of the struggle and functions as</w:t>
      </w:r>
    </w:p>
    <w:p w14:paraId="67759C7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both history writing and narration of the resistance. Litigation in these types of cases,</w:t>
      </w:r>
    </w:p>
    <w:p w14:paraId="2600563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which can be defined as ‘losing causes’, constitutes a refusal to accept the present and</w:t>
      </w:r>
    </w:p>
    <w:p w14:paraId="75F7BB9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lawyers carry a vision of the future in which ‘justice prevails over that violence’. In this</w:t>
      </w:r>
    </w:p>
    <w:p w14:paraId="3BE5751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way, the lawyer also serves as a witness, testifying against these injustices. The lawyer is</w:t>
      </w:r>
    </w:p>
    <w:p w14:paraId="6CCAB5C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thus ‘bearing witness, writing history’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1998: 322).</w:t>
      </w:r>
    </w:p>
    <w:p w14:paraId="37AC376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Litigation also empowers the individual or community that is using it, and therefore</w:t>
      </w:r>
    </w:p>
    <w:p w14:paraId="64D67FE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many groups tend to resort to litigation to compensate for their disadvantages or exclusion</w:t>
      </w:r>
    </w:p>
    <w:p w14:paraId="13F582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at the political level (Harlow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Rawling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1992: 292). Accordingly, Palestinian citizens</w:t>
      </w:r>
    </w:p>
    <w:p w14:paraId="4CA41FA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tend to take to court because of the limitations they encounter at the political or</w:t>
      </w:r>
    </w:p>
    <w:p w14:paraId="4F5F824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bureaucratic levels. Finally, litigation can also be used as a first step before an appeal</w:t>
      </w:r>
    </w:p>
    <w:p w14:paraId="1E16404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international platforms: it can be utilized in campaigns that aim to influence public</w:t>
      </w:r>
    </w:p>
    <w:p w14:paraId="56ADA7A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opinion also internationally. This strategy was used extensively in the Northern Ireland</w:t>
      </w:r>
    </w:p>
    <w:p w14:paraId="5F04CD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case, where Republicans sought to embarrass the British government and to expose state</w:t>
      </w:r>
    </w:p>
    <w:p w14:paraId="5651D39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abuses on an international level (McEvoy, 2000: 553–557).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is certainly using it in</w:t>
      </w:r>
    </w:p>
    <w:p w14:paraId="1C2FE90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way, in its appeals to extra-juridical international platforms such as the UN or the</w:t>
      </w:r>
    </w:p>
    <w:p w14:paraId="750AA35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European Union, in a way that serves to erode Israel’s international standing and image.</w:t>
      </w:r>
    </w:p>
    <w:p w14:paraId="3428B0C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 report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submitted to the EU in February 2011 together with the Arab HRA</w:t>
      </w:r>
    </w:p>
    <w:p w14:paraId="18134F8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serves as an interesting example. The report deals with the Palestinian minority status</w:t>
      </w:r>
    </w:p>
    <w:p w14:paraId="37DE206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Israel and the specific steps the EU could take in this regard. The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reportenumerated</w:t>
      </w:r>
      <w:proofErr w:type="spellEnd"/>
    </w:p>
    <w:p w14:paraId="5F8E7BD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cases of discrimination against the Palestinian citizenry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was</w:t>
      </w:r>
    </w:p>
    <w:p w14:paraId="7830DDA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involved in, embodied in legislation (such as the citizenship law) and limitation of political</w:t>
      </w:r>
    </w:p>
    <w:p w14:paraId="05B57DD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participation (disqualifications and restraints on political activity), among others.3</w:t>
      </w:r>
    </w:p>
    <w:p w14:paraId="1EA926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Following the submission of this report, the EU issued a statement for the first time calling</w:t>
      </w:r>
    </w:p>
    <w:p w14:paraId="5A39B93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upon Israel ‘to increase efforts to address the economic and social situation of the</w:t>
      </w:r>
    </w:p>
    <w:p w14:paraId="7382FDF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Arab minority, to enhance their integration in Israeli society and protect their rights’.4</w:t>
      </w:r>
    </w:p>
    <w:p w14:paraId="0356EE0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Additionally,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participates and intervenes in different UN committees, where</w:t>
      </w:r>
    </w:p>
    <w:p w14:paraId="38F5C2E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states are monitored for their compliance with treaties and conventions they sign on.</w:t>
      </w:r>
    </w:p>
    <w:p w14:paraId="4743F62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these committees, Israel is often implicated in ‘issues of concern’ regarding different</w:t>
      </w:r>
    </w:p>
    <w:p w14:paraId="15464FB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aspects of its treatment of the Palestinian citizenry in the country, also based on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</w:p>
    <w:p w14:paraId="456DFA4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ongoing local involvement and monitoring.5</w:t>
      </w:r>
    </w:p>
    <w:p w14:paraId="2726350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Moreover, litigation, and the limited possibilities it poses in terms of achieving actual</w:t>
      </w:r>
    </w:p>
    <w:p w14:paraId="7FCC335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victories in courts, is often used just as a first step before addressing international legal</w:t>
      </w:r>
    </w:p>
    <w:p w14:paraId="57DA717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platforms such as the International Court of Justice (ICJ) in The Hague. A striking example</w:t>
      </w:r>
    </w:p>
    <w:p w14:paraId="72409D0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this is the case of the wall Israel is building in the West Bank, submitted in 2004 to</w:t>
      </w:r>
    </w:p>
    <w:p w14:paraId="33D40BF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ICJ after a failed attempt to achieve an Israeli legal condemnation of the legality of</w:t>
      </w:r>
    </w:p>
    <w:p w14:paraId="68DC3CC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wall itself. On July 2004, the ICJ indeed determined that the construction of the wall</w:t>
      </w:r>
    </w:p>
    <w:p w14:paraId="641478A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 contrary to international law and therefore illegal, and ordered Israel to dismantle it.</w:t>
      </w:r>
    </w:p>
    <w:p w14:paraId="0065A11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Despite the fact that this legal victory did not have any effect on the ground since Israel</w:t>
      </w:r>
    </w:p>
    <w:p w14:paraId="55E2DEC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refuses to recognize the application of this decision to it, and the construction of the wall</w:t>
      </w:r>
    </w:p>
    <w:p w14:paraId="7B8A55A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 still underway, it had a rather enormous effect on campaigns ever since, the most significant</w:t>
      </w:r>
    </w:p>
    <w:p w14:paraId="0506026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which is the Boycott Divestment and Sanctions (BDS) campaign. The Palestinian</w:t>
      </w:r>
    </w:p>
    <w:p w14:paraId="5297E02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call in July 2005 for the international community to adopt a policy of boycott,</w:t>
      </w:r>
    </w:p>
    <w:p w14:paraId="277ECF6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divestment and sanctions against Israel until it complies with International Law mentions</w:t>
      </w:r>
    </w:p>
    <w:p w14:paraId="46E73B5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it drew its inspiration from the ICJ decision.6</w:t>
      </w:r>
    </w:p>
    <w:p w14:paraId="2FDD71A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spite of these important roles assumed by litigation, whilst Palestinians are unlikely</w:t>
      </w:r>
    </w:p>
    <w:p w14:paraId="5D5DA16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support an ideology or system of government that is built upon their oppression, the</w:t>
      </w:r>
    </w:p>
    <w:p w14:paraId="6C04E94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legal struggle might weaken the intensity of other forms of resistance. Some lawyers</w:t>
      </w:r>
    </w:p>
    <w:p w14:paraId="1376C10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refer to this as the ‘anaesthetic effect of the court’. This means that the appearance of</w:t>
      </w:r>
    </w:p>
    <w:p w14:paraId="4DD821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recourse to justice transfers responsibility to the justice system and its representatives</w:t>
      </w:r>
    </w:p>
    <w:p w14:paraId="777EA4C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can lead to the paralysis of other forms of struggle and in general to the legalization</w:t>
      </w:r>
    </w:p>
    <w:p w14:paraId="50852F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political struggle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Esmeir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Rosenberg, 2000;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Sfard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2009).</w:t>
      </w:r>
    </w:p>
    <w:p w14:paraId="20748D4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 testify that they are aware of this limit and try to maintain the delicate</w:t>
      </w:r>
    </w:p>
    <w:p w14:paraId="325D347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balance.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Abeer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Baker (2010, interview) confirmed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thinks about and</w:t>
      </w:r>
    </w:p>
    <w:p w14:paraId="3CB17D6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examines every case in depth before it agrees to take it to court, taking into consideration</w:t>
      </w:r>
    </w:p>
    <w:p w14:paraId="00240A7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possible risks, outcomes and implications, ‘[I]t is a struggle with strategies and tactics.</w:t>
      </w:r>
    </w:p>
    <w:p w14:paraId="01B3613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You do not go to court for every violation of human rights; you have to think about</w:t>
      </w:r>
    </w:p>
    <w:p w14:paraId="59A51B8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bigger picture’. Nevertheless, critique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use of litigation can be found. In a</w:t>
      </w:r>
    </w:p>
    <w:p w14:paraId="2E1CDF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conversation about the limitations of the legal work, Lea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Tsemel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(2010, interview), an</w:t>
      </w:r>
    </w:p>
    <w:p w14:paraId="24AE358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independent attorney who has worked for over 40 years in the defence of human rights</w:t>
      </w:r>
    </w:p>
    <w:p w14:paraId="4A495A1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both inside and outside the Green Line, mentioned that for her:</w:t>
      </w:r>
    </w:p>
    <w:p w14:paraId="7B12AF9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legal struggle around Citizenship and Entry into Israel Law is nonsensical. We must</w:t>
      </w:r>
    </w:p>
    <w:p w14:paraId="16E8639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organize the people; we must go out to the street and protest. It is horrible when we replace</w:t>
      </w:r>
    </w:p>
    <w:p w14:paraId="6C41895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political work with legal work. We are losing cases in court instead of doing the hard political</w:t>
      </w:r>
    </w:p>
    <w:p w14:paraId="293FE27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work.</w:t>
      </w:r>
    </w:p>
    <w:p w14:paraId="12DFF13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Raef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Zreik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a former member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a legal scholar mentioned a similar critique,</w:t>
      </w:r>
    </w:p>
    <w:p w14:paraId="343643E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claiming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in the specific decision of the citizenship law’s appeal, could</w:t>
      </w:r>
    </w:p>
    <w:p w14:paraId="20D76B6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not have achieved anything, since ‘even a legal victory cannot uproot the Jewish public’s</w:t>
      </w:r>
    </w:p>
    <w:p w14:paraId="034025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feeling that they are in demographic danger’, which means that ‘even if the court will</w:t>
      </w:r>
    </w:p>
    <w:p w14:paraId="4EF0A22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overrule [the law], something else will come up’. Therefore, the litigation strategy in this</w:t>
      </w:r>
    </w:p>
    <w:p w14:paraId="008A688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case is futile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Zreik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2010, interview).</w:t>
      </w:r>
    </w:p>
    <w:p w14:paraId="58D8B4C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sum, whilst litigation can be indeed an important tool of resistance, and it has its</w:t>
      </w:r>
    </w:p>
    <w:p w14:paraId="0C9CC0F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potentials and benefits, in the light of its limits it should be used carefully and strategically.</w:t>
      </w:r>
    </w:p>
    <w:p w14:paraId="74A3944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 possible way out is limited use of litigation in a wider context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sociopolitical</w:t>
      </w:r>
      <w:proofErr w:type="spellEnd"/>
    </w:p>
    <w:p w14:paraId="427C4BB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legal calculation, where the variety of possibilities for collective action is found under</w:t>
      </w:r>
    </w:p>
    <w:p w14:paraId="3572C43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constant examination, measuring the possible benefits and costs of each particular strategy.</w:t>
      </w:r>
    </w:p>
    <w:p w14:paraId="0EDE460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Additionally, legal struggles should not replace mass participation political struggles</w:t>
      </w:r>
    </w:p>
    <w:p w14:paraId="003232E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 the ground, as these could influence public opinion and open the way to a</w:t>
      </w:r>
    </w:p>
    <w:p w14:paraId="20D8452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more substantial political change than a court’s decision could. Accordingly, whilst</w:t>
      </w:r>
    </w:p>
    <w:p w14:paraId="23E2A71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on the community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level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one should use litigation where it can indeed support, mobilize</w:t>
      </w:r>
    </w:p>
    <w:p w14:paraId="4930FA1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push forward political campaigns and popular struggles, it will always serve as the</w:t>
      </w:r>
    </w:p>
    <w:p w14:paraId="76F825C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recourse of the individual against state power.</w:t>
      </w:r>
    </w:p>
    <w:p w14:paraId="28CEAED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Despite the limitations and narrow possibilities,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struggle against the citizenship</w:t>
      </w:r>
    </w:p>
    <w:p w14:paraId="1C17577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law still continues. On 11 January 2012, the Israeli Supreme Court decided to reject</w:t>
      </w:r>
    </w:p>
    <w:p w14:paraId="46840BE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petitions against the law by a majority of six to five, upholding its constitutionality.</w:t>
      </w:r>
    </w:p>
    <w:p w14:paraId="52C9B7A5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1F971228" w14:textId="77777777" w:rsidR="007408FD" w:rsidRPr="00292A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292A95">
        <w:rPr>
          <w:rFonts w:asciiTheme="majorBidi" w:hAnsiTheme="majorBidi" w:cstheme="majorBidi"/>
          <w:b/>
          <w:bCs/>
          <w:lang w:eastAsia="en-GB" w:bidi="ar-SA"/>
        </w:rPr>
        <w:t xml:space="preserve">Truth and Power: </w:t>
      </w:r>
      <w:proofErr w:type="spellStart"/>
      <w:r w:rsidRPr="00292A95">
        <w:rPr>
          <w:rFonts w:asciiTheme="majorBidi" w:hAnsiTheme="majorBidi" w:cstheme="majorBidi"/>
          <w:b/>
          <w:bCs/>
          <w:lang w:eastAsia="en-GB" w:bidi="ar-SA"/>
        </w:rPr>
        <w:t>Adalah</w:t>
      </w:r>
      <w:proofErr w:type="spellEnd"/>
      <w:r w:rsidRPr="00292A95">
        <w:rPr>
          <w:rFonts w:asciiTheme="majorBidi" w:hAnsiTheme="majorBidi" w:cstheme="majorBidi"/>
          <w:b/>
          <w:bCs/>
          <w:lang w:eastAsia="en-GB" w:bidi="ar-SA"/>
        </w:rPr>
        <w:t xml:space="preserve"> and the Al-Aqsa Intifada</w:t>
      </w:r>
    </w:p>
    <w:p w14:paraId="01A03A8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 28 September 2000, Ariel Sharon, then Member of Parliament, visited al-Haram al-</w:t>
      </w:r>
    </w:p>
    <w:p w14:paraId="7AF16CF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Sharif (the Noble Sanctuary, otherwise known as Temple Mount), in what was described</w:t>
      </w:r>
    </w:p>
    <w:p w14:paraId="1AEEDEA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 an attempt to reclaim and display the Jewish right to visit the compound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Roa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</w:t>
      </w:r>
    </w:p>
    <w:p w14:paraId="58DFBF3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Waked, 2000). Demonstrations that occurred in protest the following day at the compound</w:t>
      </w:r>
    </w:p>
    <w:p w14:paraId="1AB6D2E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were repressed by the Israeli security forces. Following these events, violent</w:t>
      </w:r>
    </w:p>
    <w:p w14:paraId="72C5DDC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clashes erupted in the OPT, resulting in the death and injury of dozens of Palestinians.</w:t>
      </w:r>
    </w:p>
    <w:p w14:paraId="2BDA10C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These clashes marked the outbreak of the al-Aqsa Intifada. On 30 September 2000, as an</w:t>
      </w:r>
    </w:p>
    <w:p w14:paraId="67C29B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act of solidarity, the High Follow-Up Committee for the Arab Citizens in Israel7 called</w:t>
      </w:r>
    </w:p>
    <w:p w14:paraId="2FCCC03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a general strike. During the first 3 days of October, thousands of Palestinian citizens</w:t>
      </w:r>
    </w:p>
    <w:p w14:paraId="5CF7301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participated in demonstrations in many towns and villages throughout the country.</w:t>
      </w:r>
    </w:p>
    <w:p w14:paraId="11FC8C9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From the outset, the demonstrations were severely repressed by the security forces</w:t>
      </w:r>
    </w:p>
    <w:p w14:paraId="20AB4DF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reacted to stone-throwing with tear gas, rubber-coated steel bullets and live ammunition,</w:t>
      </w:r>
    </w:p>
    <w:p w14:paraId="66DA918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during which thirteen Palestinian citizens were killed. During the course of the</w:t>
      </w:r>
    </w:p>
    <w:p w14:paraId="6A0F07D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first 2 weeks of October, the police arrested more than a thousand people, about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twothirds</w:t>
      </w:r>
      <w:proofErr w:type="spellEnd"/>
    </w:p>
    <w:p w14:paraId="5DABDA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them Palestinian.</w:t>
      </w:r>
    </w:p>
    <w:p w14:paraId="24DEF1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From the first days of the protests,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was involved in leading the public outrage</w:t>
      </w:r>
    </w:p>
    <w:p w14:paraId="17EB670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protest against the government and its policies, demanding the establishment of a</w:t>
      </w:r>
    </w:p>
    <w:p w14:paraId="3CDD1D5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commission of inquiry. Until today,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is involved in the campaign demanding that</w:t>
      </w:r>
    </w:p>
    <w:p w14:paraId="09BB4E4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government and the police take full responsibility for their part in the killings of</w:t>
      </w:r>
    </w:p>
    <w:p w14:paraId="71B5B7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Palestinian citizens. For our purposes, it is interesting to examine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involvement</w:t>
      </w:r>
    </w:p>
    <w:p w14:paraId="63422A7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strategies here, since cause lawyers, aside from litigation, are typically committed to</w:t>
      </w:r>
    </w:p>
    <w:p w14:paraId="7C63284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encourage, enhance and supplement deployment of other political tactics that can</w:t>
      </w:r>
    </w:p>
    <w:p w14:paraId="030C6BC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enhance the goals of the overall struggle.</w:t>
      </w:r>
    </w:p>
    <w:p w14:paraId="0E90932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‘Or Commission’. Immediately after the events abated, Ehud Barak, Prime Minister at</w:t>
      </w:r>
    </w:p>
    <w:p w14:paraId="5B6B214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time, appointed a Commission of Examination to examine the clashes. The Commission</w:t>
      </w:r>
    </w:p>
    <w:p w14:paraId="37E8A2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lacked any legal powers or independence and was therefore rejected outright by the</w:t>
      </w:r>
    </w:p>
    <w:p w14:paraId="72A6061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families of the Palestinian victims. Following intense pressure from the families,</w:t>
      </w:r>
    </w:p>
    <w:p w14:paraId="6645403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together with the Palestinian leadership, Palestinian and Israeli NGOs and academics,</w:t>
      </w:r>
    </w:p>
    <w:p w14:paraId="09BDEC2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among them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the Israeli government decided to establish an official Commission</w:t>
      </w:r>
    </w:p>
    <w:p w14:paraId="561A64E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of Inquiry, headed by the Supreme Court Justice Theodor Or, known as ‘The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Or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Commission’.</w:t>
      </w:r>
    </w:p>
    <w:p w14:paraId="4D9D8A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Commission was mandated to investigate the clashes between the security</w:t>
      </w:r>
    </w:p>
    <w:p w14:paraId="2FCE542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forces and Jewish and Arab citizens and to investigate ‘the causes leading to their occurrence</w:t>
      </w:r>
    </w:p>
    <w:p w14:paraId="19803DC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including the conduct of the inciters, organisers, participation from all sectors,</w:t>
      </w:r>
    </w:p>
    <w:p w14:paraId="67CDF52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the security forces’ (Or et al., 2003).</w:t>
      </w:r>
    </w:p>
    <w:p w14:paraId="63436D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families of the victims and the High Follow-Up Committee appointed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to</w:t>
      </w:r>
    </w:p>
    <w:p w14:paraId="2CCFA36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represent them before the Commission. Hassan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explained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was</w:t>
      </w:r>
    </w:p>
    <w:p w14:paraId="34BB873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considered by then a highly professional and skilled organization, dedicated to cause</w:t>
      </w:r>
    </w:p>
    <w:p w14:paraId="193E638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Palestinians inside Israel, and therefore acquired credibility in the eyes of the</w:t>
      </w:r>
    </w:p>
    <w:p w14:paraId="097D0E2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Palestinian public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2011, interview). In accordance with Israeli practice in</w:t>
      </w:r>
    </w:p>
    <w:p w14:paraId="1D93EAE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relation to official commissions of inquiry, neither the families of the victims nor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</w:p>
    <w:p w14:paraId="4EA7240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had any official legal standing before the Commission at that stage of the proceedings,</w:t>
      </w:r>
    </w:p>
    <w:p w14:paraId="7D1E6D1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lawyers were not allowed to cross-examine witnesses.</w:t>
      </w:r>
    </w:p>
    <w:p w14:paraId="134C2D4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Nevertheless, throughout the course of the yearlong hearings and as a result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</w:p>
    <w:p w14:paraId="6C71C47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continuous motions and interventions in an attempt to challenge the procedures</w:t>
      </w:r>
    </w:p>
    <w:p w14:paraId="638C35D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evidence, the organization gained a quasi-official status before the Commission</w:t>
      </w:r>
    </w:p>
    <w:p w14:paraId="14F9928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2003: 12–13).</w:t>
      </w:r>
    </w:p>
    <w:p w14:paraId="45772BB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Whilst most of those who called for the establishment of the Commission were satisfied</w:t>
      </w:r>
    </w:p>
    <w:p w14:paraId="07D41FA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by its establishment (most important of which is ACRI),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together with the</w:t>
      </w:r>
    </w:p>
    <w:p w14:paraId="6FCF619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High Follow-Up Committee opposed the scope of the mandate given to the commission</w:t>
      </w:r>
    </w:p>
    <w:p w14:paraId="01E0F8B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from the outset. First, the commission dealt with the events as they unfolded only from</w:t>
      </w:r>
    </w:p>
    <w:p w14:paraId="2EB14F6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29 September onwards. In doing so, it did include Sharon’s visit to the holy compound as</w:t>
      </w:r>
    </w:p>
    <w:p w14:paraId="633F151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 context for the outbreak of the events and also dismissed the role of the underlying</w:t>
      </w:r>
    </w:p>
    <w:p w14:paraId="061987A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social processes, deriving from years of historical discrimination against the Palestinian</w:t>
      </w:r>
    </w:p>
    <w:p w14:paraId="1C74BE4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citizenry, beginning in the 1948 Nakba. This, according to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led to the narrow and</w:t>
      </w:r>
    </w:p>
    <w:p w14:paraId="45B533C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at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times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ahistorical and a sociologically uninformed view of the events that appeared to</w:t>
      </w:r>
    </w:p>
    <w:p w14:paraId="53909F7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guide the members of the Commission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2003).</w:t>
      </w:r>
    </w:p>
    <w:p w14:paraId="6E42F60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Second, and significantly,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rigorously opposed the reference to the role of the</w:t>
      </w:r>
    </w:p>
    <w:p w14:paraId="19E4EA7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‘inciters’.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claimed that it is clear that the term inciters would be applied exclusively</w:t>
      </w:r>
    </w:p>
    <w:p w14:paraId="7E03D08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Palestinian political leaders. When these fears materialized, and the Commission</w:t>
      </w:r>
    </w:p>
    <w:p w14:paraId="73641AE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issued warning letters to three Palestinian leaders –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Azmi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Bishara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Abd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al-Malik</w:t>
      </w:r>
    </w:p>
    <w:p w14:paraId="6268983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Dahamshe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Ra’ed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Salah – with regards to the ‘inciting messages’ they delivered in</w:t>
      </w:r>
    </w:p>
    <w:p w14:paraId="61A515E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period preceding October 2000,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tried to challenge the mandate of the Commission</w:t>
      </w:r>
    </w:p>
    <w:p w14:paraId="1547270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was carried out in a discriminatory manner against Palestinian leaders.</w:t>
      </w:r>
    </w:p>
    <w:p w14:paraId="65B0E9A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Here,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again pointed also to the fact that Ariel Sharon’s visit to al-Haram</w:t>
      </w:r>
    </w:p>
    <w:p w14:paraId="4F0132D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al-Sharif on 28 September 2000 remained outside the scope of the Commission in spite</w:t>
      </w:r>
    </w:p>
    <w:p w14:paraId="7C0752C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fact that it ignited the outbreak of the Intifada.</w:t>
      </w:r>
    </w:p>
    <w:p w14:paraId="3FFF170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published the arguments and the materials it presented in front of the Commission</w:t>
      </w:r>
    </w:p>
    <w:p w14:paraId="38240C4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March 2003. The title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report reveals its contents: Law and Politics</w:t>
      </w:r>
    </w:p>
    <w:p w14:paraId="59F8400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Before the Or Commission of Inquiry. The report outlines the main reasons for</w:t>
      </w:r>
    </w:p>
    <w:p w14:paraId="23BE5CB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October 2000 protests, thereby unfolding the counter narrative to the one the</w:t>
      </w:r>
    </w:p>
    <w:p w14:paraId="58F8779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Commission presented and that has defined its work.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contextualized the protest</w:t>
      </w:r>
    </w:p>
    <w:p w14:paraId="4F1150F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within the immediate (response to Sharon’s visit in the holy compound and the</w:t>
      </w:r>
    </w:p>
    <w:p w14:paraId="665B335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repression of the protest) and the long-term causes (continuous discrimination and realities</w:t>
      </w:r>
    </w:p>
    <w:p w14:paraId="53CEAD1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oppression since 1948 to the present day), traced the decision-making process</w:t>
      </w:r>
    </w:p>
    <w:p w14:paraId="3AD2FC3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High Follow-Up Committee in coordinating the call for a strike rather than</w:t>
      </w:r>
    </w:p>
    <w:p w14:paraId="4B2267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escalating the protests and discredited the accusations against Palestinian leaders for</w:t>
      </w:r>
    </w:p>
    <w:p w14:paraId="01EC68F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denying the legitimacy of the existence of Israel.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thus attempted to untie the</w:t>
      </w:r>
    </w:p>
    <w:p w14:paraId="6582A6A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link between the state and Zionist ideology, highlighting the strict separation between</w:t>
      </w:r>
    </w:p>
    <w:p w14:paraId="60409BA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two.</w:t>
      </w:r>
    </w:p>
    <w:p w14:paraId="29A13D7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Or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Commission published its report on 1 September 2003, almost 3 years after its</w:t>
      </w:r>
    </w:p>
    <w:p w14:paraId="29C02DF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establishment. The report did not recommend any legal action against those responsible</w:t>
      </w:r>
    </w:p>
    <w:p w14:paraId="4CAF280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the killings of unarmed civilians. It indeed pointed to failures in police conduct and</w:t>
      </w:r>
    </w:p>
    <w:p w14:paraId="769E83B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excessive use of lethal force but recommended taking only minor disciplinary steps</w:t>
      </w:r>
    </w:p>
    <w:p w14:paraId="3A2F8C5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against those responsible. The Commission investigated incitement only in relation to</w:t>
      </w:r>
    </w:p>
    <w:p w14:paraId="4D27106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statements made by Palestinian leaders, and ignored the role of Jewish leaders in the process,</w:t>
      </w:r>
    </w:p>
    <w:p w14:paraId="6EAD78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claiming that incitement in the ‘Jewish sector’ was only a response to the events of</w:t>
      </w:r>
    </w:p>
    <w:p w14:paraId="0FE8C6C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‘Arab sector’.</w:t>
      </w:r>
    </w:p>
    <w:p w14:paraId="701F2F3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Despite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affirmation of the report and its recommendations, first and foremost</w:t>
      </w:r>
    </w:p>
    <w:p w14:paraId="77641AA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towards police conduct with the Palestinian citizens,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severely criticized the</w:t>
      </w:r>
    </w:p>
    <w:p w14:paraId="565FCD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report on several levels: firstly, for putting enough effort into making final decisions</w:t>
      </w:r>
    </w:p>
    <w:p w14:paraId="346E41D8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about the direct circumstances of the killings; secondly, about the fact that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Commission treated Palestinian leaders differently than Jewish leaders and investigated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former ‘under warning’; thirdly, for ignoring the fact that police violence led to the</w:t>
      </w:r>
    </w:p>
    <w:p w14:paraId="04E0DAA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escalation in the intensity of events rather than the other way around and fourthly, for the</w:t>
      </w:r>
    </w:p>
    <w:p w14:paraId="413020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unbridgeable gap between the conclusions and recommendations of the Commission,</w:t>
      </w:r>
    </w:p>
    <w:p w14:paraId="6E4FB92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regarding the conduct of the responsible Minister of Internal Security and the relevant</w:t>
      </w:r>
    </w:p>
    <w:p w14:paraId="037E5C8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police commanders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2003).</w:t>
      </w:r>
    </w:p>
    <w:p w14:paraId="21B0F87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spite of the flaws in the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Or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report, its importance should be evaluated in the context</w:t>
      </w:r>
    </w:p>
    <w:p w14:paraId="1D38E15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existing Israeli discourse regarding the Palestinians. Discursively, the report is</w:t>
      </w:r>
    </w:p>
    <w:p w14:paraId="2A2AC1D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ground breaking, a result of the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work of inserting new terms into the Israeli</w:t>
      </w:r>
    </w:p>
    <w:p w14:paraId="455A53A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hegemonic discourse: the report mentions the Nakba and acknowledges the existence</w:t>
      </w:r>
    </w:p>
    <w:p w14:paraId="3547262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continuous discrimination against the Palestinian citizens as the underlying factors</w:t>
      </w:r>
    </w:p>
    <w:p w14:paraId="058E5CE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the growing discontent that finally erupted in violence. This fact could be seen in</w:t>
      </w:r>
    </w:p>
    <w:p w14:paraId="418F34D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reports, articles and analyses published in the Israeli media following the publication</w:t>
      </w:r>
    </w:p>
    <w:p w14:paraId="2DEA8F3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of the report (see e.g.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Arens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2003;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Atinger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2003;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Baram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2003).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(2011, interview)</w:t>
      </w:r>
    </w:p>
    <w:p w14:paraId="1A8527E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also explained that for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the campaign is considered a success – not because</w:t>
      </w:r>
    </w:p>
    <w:p w14:paraId="015839C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its specific results but due to the process it initiated; it stirred public opinion and for</w:t>
      </w:r>
    </w:p>
    <w:p w14:paraId="30AD935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months and even years the whole country was talking about the events and police conduct.</w:t>
      </w:r>
    </w:p>
    <w:p w14:paraId="0DFA106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 empowered the families of the victims and the Palestinian population as a</w:t>
      </w:r>
    </w:p>
    <w:p w14:paraId="4D5318D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whole. In other words, the platform of the committee was used as an official stage to</w:t>
      </w:r>
    </w:p>
    <w:p w14:paraId="07EBD5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present the Palestinian narrative of history and the specific events of October 2000 in</w:t>
      </w:r>
    </w:p>
    <w:p w14:paraId="7D6170D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ways that did not exist beforehand.</w:t>
      </w:r>
    </w:p>
    <w:p w14:paraId="1E339B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publication of the Or Commission report did not put an end to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involvement</w:t>
      </w:r>
    </w:p>
    <w:p w14:paraId="3CF3FA5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the case.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decided to continue to struggle to bring to justice those it considered</w:t>
      </w:r>
    </w:p>
    <w:p w14:paraId="76D70B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responsible, in the police and at the governmental level. In this strategy,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</w:p>
    <w:p w14:paraId="32E42D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plays a significant role, providing professional knowledge and legal tools.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work</w:t>
      </w:r>
    </w:p>
    <w:p w14:paraId="76A9775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consists of media campaigns in the Hebrew newspapers, appeals to the police and the</w:t>
      </w:r>
    </w:p>
    <w:p w14:paraId="5E537B0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Ministry of Justice Police Investigation Unit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Mahash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and the Attorney General with</w:t>
      </w:r>
    </w:p>
    <w:p w14:paraId="43A3874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requests to investigate and bring to justice those responsible, and a flow of publications,</w:t>
      </w:r>
    </w:p>
    <w:p w14:paraId="738A3A9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reports, articles and conferences that are continuing to this day.</w:t>
      </w:r>
    </w:p>
    <w:p w14:paraId="18F66D6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 great part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work around the October 2000 case is dedicated to the creation</w:t>
      </w:r>
    </w:p>
    <w:p w14:paraId="40CED07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an alternative narrative of the events. As Baker (2010, interview) explained, the</w:t>
      </w:r>
    </w:p>
    <w:p w14:paraId="592068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Palestinian struggle inside Green Line Israel is not documented, and in the absence of</w:t>
      </w:r>
    </w:p>
    <w:p w14:paraId="4B4A803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museums or textbooks, the appeals to courts, the petitions, reports and researches are</w:t>
      </w:r>
    </w:p>
    <w:p w14:paraId="042571F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 form of history writing and evidence of the resistance. This is a central component</w:t>
      </w:r>
    </w:p>
    <w:p w14:paraId="2B92864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work.</w:t>
      </w:r>
    </w:p>
    <w:p w14:paraId="2F35E7F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Legal and Other Struggles.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involvement in the October 2000 campaign constitutes</w:t>
      </w:r>
    </w:p>
    <w:p w14:paraId="42110C4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another front of legal resistance.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assumed a leadership role in the public campaign,</w:t>
      </w:r>
    </w:p>
    <w:p w14:paraId="2311E5C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together with the High Follow-Up Committee and the bereaved families. Its</w:t>
      </w:r>
    </w:p>
    <w:p w14:paraId="00A9BE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involvement derives from the understanding that litigation and the official-legal institutional</w:t>
      </w:r>
    </w:p>
    <w:p w14:paraId="0B046DC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channels as a method of struggle are limited by their nature and other strategies</w:t>
      </w:r>
    </w:p>
    <w:p w14:paraId="43F3517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should be adopted. A question arises if this kind of activity can be categorized as legal</w:t>
      </w:r>
    </w:p>
    <w:p w14:paraId="68892B1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resistance as such. Indeed, in many cases,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cause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lawyers reach the point where ‘frustrations</w:t>
      </w:r>
    </w:p>
    <w:p w14:paraId="7147063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with the halting tempo and uncertain consequences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litigative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strategies lead to</w:t>
      </w:r>
    </w:p>
    <w:p w14:paraId="4CC76026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adoption of political strategies and to close association with social movements’. The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availability to counsel and defend movement activists place cause lawyers within the</w:t>
      </w:r>
    </w:p>
    <w:p w14:paraId="17C073BD" w14:textId="77777777" w:rsidR="007408FD" w:rsidRPr="007408FD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  <w:r>
        <w:rPr>
          <w:rFonts w:asciiTheme="majorBidi" w:hAnsiTheme="majorBidi" w:cstheme="majorBidi"/>
          <w:lang w:eastAsia="en-GB" w:bidi="ar-SA"/>
        </w:rPr>
        <w:t>‘</w:t>
      </w:r>
      <w:r w:rsidR="007408FD" w:rsidRPr="007408FD">
        <w:rPr>
          <w:rFonts w:asciiTheme="majorBidi" w:hAnsiTheme="majorBidi" w:cstheme="majorBidi"/>
          <w:lang w:eastAsia="en-GB" w:bidi="ar-SA"/>
        </w:rPr>
        <w:t>fairly restrictive definitions of professional responsibility’. But the problem occurs</w:t>
      </w:r>
    </w:p>
    <w:p w14:paraId="4D24DCA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where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cause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lawyers get more involved in organizing activities and become engaged</w:t>
      </w:r>
    </w:p>
    <w:p w14:paraId="1A318E9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political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mobilization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up to the point that they might participate in legally proscribed</w:t>
      </w:r>
    </w:p>
    <w:p w14:paraId="7A3913B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activities. These activities move them beyond the ‘generally accepted understandings of</w:t>
      </w:r>
    </w:p>
    <w:p w14:paraId="7AB66F4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appropriate role of legal professionals’. Whether the boundaries of the profession are</w:t>
      </w:r>
    </w:p>
    <w:p w14:paraId="43D702B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real or constructed,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‘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cause</w:t>
      </w:r>
      <w:proofErr w:type="spellEnd"/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lawyering may so merge with political activism as to be indistinguishable</w:t>
      </w:r>
    </w:p>
    <w:p w14:paraId="2A908B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from it’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1998: 8). Indeed, following McCann and</w:t>
      </w:r>
    </w:p>
    <w:p w14:paraId="06572A6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Silverstein’s (1998) analysis,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resistance can be termed ‘flexible lawyering’,</w:t>
      </w:r>
    </w:p>
    <w:p w14:paraId="59025B7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 style of legal activism that encompass a variety of activities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cause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lawyers engage</w:t>
      </w:r>
    </w:p>
    <w:p w14:paraId="4A7B472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in, within a context where litigation strategies are deemed to bear only partial, if any,</w:t>
      </w:r>
    </w:p>
    <w:p w14:paraId="7665B77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results. This is not new or unique to the Israeli case. This is part and parcel of the realities</w:t>
      </w:r>
    </w:p>
    <w:p w14:paraId="373BA28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cause lawyers encounter in the various contexts where they operate. Indeed, on the 10th</w:t>
      </w:r>
    </w:p>
    <w:p w14:paraId="05D6D05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anniversary of its establishment,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took this flexibility even further when it published</w:t>
      </w:r>
    </w:p>
    <w:p w14:paraId="1D025A8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 document titled The Democratic Constitution calling for the reconstitution of the</w:t>
      </w:r>
    </w:p>
    <w:p w14:paraId="7E5832E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entire Israeli legal system.</w:t>
      </w:r>
    </w:p>
    <w:p w14:paraId="18A6A34A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BD304A8" w14:textId="77777777" w:rsidR="007408FD" w:rsidRPr="00292A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proofErr w:type="spellStart"/>
      <w:r w:rsidRPr="00292A95">
        <w:rPr>
          <w:rFonts w:asciiTheme="majorBidi" w:hAnsiTheme="majorBidi" w:cstheme="majorBidi"/>
          <w:b/>
          <w:bCs/>
          <w:lang w:eastAsia="en-GB" w:bidi="ar-SA"/>
        </w:rPr>
        <w:t>Adalah’s</w:t>
      </w:r>
      <w:proofErr w:type="spellEnd"/>
      <w:r w:rsidRPr="00292A95">
        <w:rPr>
          <w:rFonts w:asciiTheme="majorBidi" w:hAnsiTheme="majorBidi" w:cstheme="majorBidi"/>
          <w:b/>
          <w:bCs/>
          <w:lang w:eastAsia="en-GB" w:bidi="ar-SA"/>
        </w:rPr>
        <w:t xml:space="preserve"> Democratic Constitution</w:t>
      </w:r>
    </w:p>
    <w:p w14:paraId="7966726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State of Israel does not have a written constitution. Over the years, different elements</w:t>
      </w:r>
    </w:p>
    <w:p w14:paraId="6A3FBD4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within society made several attempts at proposing draft constitutions. These</w:t>
      </w:r>
    </w:p>
    <w:p w14:paraId="2A4DEB6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efforts intensified at the beginning of the 2000s by elite groups within Israeli Jewish society,</w:t>
      </w:r>
    </w:p>
    <w:p w14:paraId="0A4C52E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an attempt to persuade the Israeli authorities to adopt a constitution based on the</w:t>
      </w:r>
    </w:p>
    <w:p w14:paraId="2D15B0F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common denominator among the Jewish community.</w:t>
      </w:r>
    </w:p>
    <w:p w14:paraId="3432413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Set against this background,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published The Democratic Constitution in March</w:t>
      </w:r>
    </w:p>
    <w:p w14:paraId="06FD3DF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2007.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proposal is based on the concepts of a democratic, bilingual and multicultural</w:t>
      </w:r>
    </w:p>
    <w:p w14:paraId="3C3E014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state. Marwan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Dwairy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Board of Directors Chairman, explains the</w:t>
      </w:r>
    </w:p>
    <w:p w14:paraId="31C483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rationale behind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Democratic Constitution, stating that the other proposals are</w:t>
      </w:r>
    </w:p>
    <w:p w14:paraId="5AFC26C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distinguished by:</w:t>
      </w:r>
    </w:p>
    <w:p w14:paraId="1667F96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[T]heir lack of conformity to democratic principles, in particular the right to complete</w:t>
      </w:r>
    </w:p>
    <w:p w14:paraId="2DD7DA3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equality of all residents and citizens, and by their treatment of the Arab citizens as if they</w:t>
      </w:r>
    </w:p>
    <w:p w14:paraId="4CDAEB6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were strangers in this land, where history, memory and collective rights exist only for Jewish</w:t>
      </w:r>
    </w:p>
    <w:p w14:paraId="0585F1E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people.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Dwairy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2007: 3)</w:t>
      </w:r>
    </w:p>
    <w:p w14:paraId="7E9E5E8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constitution is thus based on the Palestinians’ integral part in the country’s</w:t>
      </w:r>
    </w:p>
    <w:p w14:paraId="1C9CFD3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history and political processes and on democracy as the organizing principle of the</w:t>
      </w:r>
    </w:p>
    <w:p w14:paraId="4DAB0C3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state’s political structures.</w:t>
      </w:r>
    </w:p>
    <w:p w14:paraId="3600364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constitutional proposal can therefore be seen as a political proposal for the</w:t>
      </w:r>
    </w:p>
    <w:p w14:paraId="41301B2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redefinition of the nature of the regime in Israel, based on democratic values. This document</w:t>
      </w:r>
    </w:p>
    <w:p w14:paraId="6D8DEE8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is a result of work and discussions that involved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team, management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and</w:t>
      </w:r>
      <w:proofErr w:type="gramEnd"/>
    </w:p>
    <w:p w14:paraId="7904583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board of directors, but it does not constitute a final text, but rather a draft open to further</w:t>
      </w:r>
    </w:p>
    <w:p w14:paraId="36B9A94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discussions and suggestions. It is important to mention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members, who</w:t>
      </w:r>
    </w:p>
    <w:p w14:paraId="0B9FB42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were involved in the drafting process, highlight the fact that the main, if not only, reason</w:t>
      </w:r>
    </w:p>
    <w:p w14:paraId="08D002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the drafting of this document was to form a response to the attempts in the Jewish</w:t>
      </w:r>
    </w:p>
    <w:p w14:paraId="2F04A3D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society to draft a constitution.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(2010, interview) made it clear:</w:t>
      </w:r>
    </w:p>
    <w:p w14:paraId="600EFB0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 minority will never initiate a constitution. It will never be in its favour. This [the other</w:t>
      </w:r>
    </w:p>
    <w:p w14:paraId="39C1EA2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proposals] is the only reason we did it, we have much more important things to deal with.</w:t>
      </w:r>
    </w:p>
    <w:p w14:paraId="5F41B2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It is meant to be a challenging document, and not a real constitutional proposal.</w:t>
      </w:r>
    </w:p>
    <w:p w14:paraId="767C6A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Hassan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(2011, interview) reaffirmed this and explained that in the environment</w:t>
      </w:r>
    </w:p>
    <w:p w14:paraId="1E06F66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that time, the idea was ‘to challenge, we didn’t want to sit on the fence’.</w:t>
      </w:r>
    </w:p>
    <w:p w14:paraId="0C2671A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Democratic Constitution is not only a response to processes in the Jewish-Israeli</w:t>
      </w:r>
    </w:p>
    <w:p w14:paraId="39E2F70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society, but it is also a part of a broader set of documents, four in total, drafted by teams</w:t>
      </w:r>
    </w:p>
    <w:p w14:paraId="532B757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made of the Palestinian citizenry’s intellectual elite together with community and political</w:t>
      </w:r>
    </w:p>
    <w:p w14:paraId="45468A0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activists during 2006–2007. These ‘vision documents’ were published against a</w:t>
      </w:r>
    </w:p>
    <w:p w14:paraId="3E2B38E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background of the growing oppositional consciousness among the intellectual and political</w:t>
      </w:r>
    </w:p>
    <w:p w14:paraId="1B325BB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Arab leadership in Israel and its activation after the crisis of the events of October</w:t>
      </w:r>
    </w:p>
    <w:p w14:paraId="75F47F7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2000. The multiplicity of the documents reflects rivalry between different organizations</w:t>
      </w:r>
    </w:p>
    <w:p w14:paraId="3FCB2D8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to some extent, and can be understood as a matter of prestige. For example,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</w:p>
    <w:p w14:paraId="709F90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viewed the preparation of a The Democratic Constitution as a professional task that</w:t>
      </w:r>
    </w:p>
    <w:p w14:paraId="346FD38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should be left solely to lawyers. Following this line, The Democratic Constitution can</w:t>
      </w:r>
    </w:p>
    <w:p w14:paraId="4111EDA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 understood as the legal manifestation of the vision documents.</w:t>
      </w:r>
    </w:p>
    <w:p w14:paraId="67D802A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Not long after its drafting, the document was put on hold, and currently it does not</w:t>
      </w:r>
    </w:p>
    <w:p w14:paraId="64EB983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 xml:space="preserve">constitute an active project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The reason for this, according to Kohn, is found</w:t>
      </w:r>
    </w:p>
    <w:p w14:paraId="3D3B490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simple fact that the issue of forming a constitution went off the agenda in Israeli</w:t>
      </w:r>
    </w:p>
    <w:p w14:paraId="266C68B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society as a whole. In the current state of events and the political atmosphere prevailing</w:t>
      </w:r>
    </w:p>
    <w:p w14:paraId="27FA9E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country, ‘it is better to have no constitution than a bad one. A bad constitution will</w:t>
      </w:r>
    </w:p>
    <w:p w14:paraId="54A7584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just make things worse’ (Kohn, 2010, interview). Despite the fact that this political initiative</w:t>
      </w:r>
    </w:p>
    <w:p w14:paraId="32F1689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was abandoned, it is nevertheless interesting to discuss and understand the nature</w:t>
      </w:r>
    </w:p>
    <w:p w14:paraId="724549E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of this document as a third sphere of legal resistance undertaken by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The reasons</w:t>
      </w:r>
    </w:p>
    <w:p w14:paraId="673225B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this lie in the fact that it contributes an additional dimension to the comprehension of</w:t>
      </w:r>
    </w:p>
    <w:p w14:paraId="09DD0FC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of cause lawyering in the Israeli context. It sheds light on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selfperception</w:t>
      </w:r>
      <w:proofErr w:type="spellEnd"/>
    </w:p>
    <w:p w14:paraId="00B337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its role in society, as a legal organization, together with the critique that</w:t>
      </w:r>
    </w:p>
    <w:p w14:paraId="766A22B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 heard about its self-assumed leadership role in the Palestinian society. Additionally,</w:t>
      </w:r>
    </w:p>
    <w:p w14:paraId="60C35AD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light of the reactions in the Jewish-Israeli society to the publication of the Democratic</w:t>
      </w:r>
    </w:p>
    <w:p w14:paraId="417FE51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Constitution, this document calls attention to the potential embodied within this form of</w:t>
      </w:r>
    </w:p>
    <w:p w14:paraId="62852D3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resistance, revealing its subversive nature within the Israeli context and is therefore pertinent</w:t>
      </w:r>
    </w:p>
    <w:p w14:paraId="2A23E90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our discussion.</w:t>
      </w:r>
    </w:p>
    <w:p w14:paraId="3EB064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Document. The Democratic Constitution draws on the experiences of different peoples</w:t>
      </w:r>
    </w:p>
    <w:p w14:paraId="1004A9E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countries with majority–minority situations, countries that went through democratic</w:t>
      </w:r>
    </w:p>
    <w:p w14:paraId="1DF5D04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regime change, such as the South African constitution and the constitutional</w:t>
      </w:r>
    </w:p>
    <w:p w14:paraId="7A447F8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arrangements in Canada, Belgium, the Republic of Ireland and Macedonia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</w:t>
      </w:r>
    </w:p>
    <w:p w14:paraId="30DD0CF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2007: 4, 10 notes). On the whole, the content of the proposal deals with two fields. The</w:t>
      </w:r>
    </w:p>
    <w:p w14:paraId="2B46950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first deals with individual rights in the state and the collective rights of Palestinians in</w:t>
      </w:r>
    </w:p>
    <w:p w14:paraId="4DD003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Israel as a homeland minority. As for the second, it addresses the political structures and</w:t>
      </w:r>
    </w:p>
    <w:p w14:paraId="402B329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institutions in the State of Israel, including the demarcation of the borders of the state.</w:t>
      </w:r>
    </w:p>
    <w:p w14:paraId="54416E2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Here, the full document will not be analysed. Alternatively, only issues that contribute to</w:t>
      </w:r>
    </w:p>
    <w:p w14:paraId="6D2C96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our comprehension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resistance strategies would be highlighted.</w:t>
      </w:r>
    </w:p>
    <w:p w14:paraId="62998AA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 a whole, the document calls to turn Israel (along the pre-1967 borders) into a democratic</w:t>
      </w:r>
    </w:p>
    <w:p w14:paraId="3767F47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 based on the values of human dignity, liberty and equality. The state will be</w:t>
      </w:r>
    </w:p>
    <w:p w14:paraId="2A1A58F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bilingual and multicultural, as opposed to a Jewish and democratic state. In practice, it</w:t>
      </w:r>
    </w:p>
    <w:p w14:paraId="4FD4C0F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calls to cancel any privileges granted to Jews and to secure the protection of Palestinians</w:t>
      </w:r>
    </w:p>
    <w:p w14:paraId="2FFCBD5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 a homeland minority, most importantly the right to citizenship and access to land. In</w:t>
      </w:r>
    </w:p>
    <w:p w14:paraId="0DF9AAF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sum, it can be said that the Democratic Constitution calls for the transformation of the</w:t>
      </w:r>
    </w:p>
    <w:p w14:paraId="3E20D48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 of Israel in accordance with a totally new paradigm, a binational one that overturns</w:t>
      </w:r>
    </w:p>
    <w:p w14:paraId="0C86BA4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entire Israeli legal system. In other words, the proposal correlates its demands with an</w:t>
      </w:r>
    </w:p>
    <w:p w14:paraId="27A5113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unequivocal abandonment of the paradigm of the Jewish and democratic state.</w:t>
      </w:r>
    </w:p>
    <w:p w14:paraId="0291E8D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Supporters of the Jewish democratic paradigm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criticize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the document precisely on</w:t>
      </w:r>
    </w:p>
    <w:p w14:paraId="329D1CC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these grounds:</w:t>
      </w:r>
    </w:p>
    <w:p w14:paraId="5065AE0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great many demands which appear in the proposed constitution do not shatter the Zionist</w:t>
      </w:r>
    </w:p>
    <w:p w14:paraId="67D201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paradigm, namely the fair allocation of land to the Arabs, cultural autonomy for the Arabs</w:t>
      </w:r>
    </w:p>
    <w:p w14:paraId="7E985B4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>, the right to have a say in the state’s symbols, returning the uprooted citizens [ . . . ].</w:t>
      </w:r>
    </w:p>
    <w:p w14:paraId="35F3EEB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All of these and more are attainable and even morally necessary according to the humanistic</w:t>
      </w:r>
    </w:p>
    <w:p w14:paraId="6A1AD16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concepts of Zionism. Why, then, set forth a proposal that sounds like ‘‘all or nothing’’?</w:t>
      </w:r>
    </w:p>
    <w:p w14:paraId="21E0493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2007).</w:t>
      </w:r>
    </w:p>
    <w:p w14:paraId="346592E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But here stands the core of the document and its importance. What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termed ‘the</w:t>
      </w:r>
    </w:p>
    <w:p w14:paraId="37C2870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humanistic concepts of Zionism’ do not correspond to the implementation of Zionist</w:t>
      </w:r>
    </w:p>
    <w:p w14:paraId="3CC31E3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ideology in the State’s laws ever since 1948, which secure privileges for the Jewish community</w:t>
      </w:r>
    </w:p>
    <w:p w14:paraId="246A00F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whilst systematically discriminating against the Palestinians. This is precisely</w:t>
      </w:r>
    </w:p>
    <w:p w14:paraId="11B2C77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answer to attempts within Jewish-Israeli society at composing a constitution</w:t>
      </w:r>
    </w:p>
    <w:p w14:paraId="1299DBC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will ground and bind the existence of Israel as a Jewish state. The Democratic Constitution</w:t>
      </w:r>
    </w:p>
    <w:p w14:paraId="3390E45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offers a process of ‘transformative integration’, in which the state’s structure</w:t>
      </w:r>
    </w:p>
    <w:p w14:paraId="5895AEC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will undergo a radical change that will enable the creation of real equality between Palestinians</w:t>
      </w:r>
    </w:p>
    <w:p w14:paraId="015F172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and Jews as citizens as well as national collectives (Jamal, 2008: 23).</w:t>
      </w:r>
    </w:p>
    <w:p w14:paraId="3809287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Perhaps the most controversial article in the constitution is article number one, ‘The</w:t>
      </w:r>
    </w:p>
    <w:p w14:paraId="52620E2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borders of the State of Israel are the borders of the territory which was subject to Israeli</w:t>
      </w:r>
    </w:p>
    <w:p w14:paraId="16C6114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law until 5 June 1967’. Here,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took a firm stand regarding the territorial solution to</w:t>
      </w:r>
    </w:p>
    <w:p w14:paraId="479207E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Israeli–Palestinian conflict, in support of the ‘two state solution’, with a Jewish</w:t>
      </w:r>
    </w:p>
    <w:p w14:paraId="4846998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majority in the State of Israel. This issue stands at the centre of both the praising and the</w:t>
      </w:r>
    </w:p>
    <w:p w14:paraId="577C19F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condemnation of the document, both within the organization and outside it. Whilst some</w:t>
      </w:r>
    </w:p>
    <w:p w14:paraId="4EFC2D3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claim that this constitutes a brave step forward as the question of boundaries is the one</w:t>
      </w:r>
    </w:p>
    <w:p w14:paraId="3B5F315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Israel avoids defining ever since its establishment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Ghanem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2007), by taking this</w:t>
      </w:r>
    </w:p>
    <w:p w14:paraId="4DF5478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position the document is laying down the solution instead of offering guidelines and criteria</w:t>
      </w:r>
    </w:p>
    <w:p w14:paraId="55C4D25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various possible solutions to the Israel/Palestine question, a highly debated topic</w:t>
      </w:r>
    </w:p>
    <w:p w14:paraId="7AC723F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among the Palestinian population (Kohn, 2009, interview).</w:t>
      </w:r>
    </w:p>
    <w:p w14:paraId="44BB569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Whilst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explains its choices in legal terms, they have also political implications.</w:t>
      </w:r>
    </w:p>
    <w:p w14:paraId="61F641A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here assumes the role of an organization that aims to create and shape</w:t>
      </w:r>
    </w:p>
    <w:p w14:paraId="3F41E9E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political directions and programmes and to place itself in a leadership position without</w:t>
      </w:r>
    </w:p>
    <w:p w14:paraId="5EB81AC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being elected to do so. Indeed, it is essential to reflect on the implications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</w:p>
    <w:p w14:paraId="57E799B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decisions in phrasing the democratic constitution and the political solutions it promotes</w:t>
      </w:r>
    </w:p>
    <w:p w14:paraId="6B01948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 the Palestinian citizenry as a whole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Zreik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2010, interview). The issue of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selfrepresentation</w:t>
      </w:r>
      <w:proofErr w:type="spellEnd"/>
    </w:p>
    <w:p w14:paraId="36AC6AC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 a problematic one, as it constrains the authority of the elected leadership,</w:t>
      </w:r>
    </w:p>
    <w:p w14:paraId="0F88CC2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takes its place and acts as representative of a community that did not seek this</w:t>
      </w:r>
    </w:p>
    <w:p w14:paraId="0E0BC92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representation, or, alternatively, uses it to exempt itself from participatory politics, and</w:t>
      </w:r>
    </w:p>
    <w:p w14:paraId="7531D69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some extent from political struggles at large. It reflects the political impasse the Palestinian</w:t>
      </w:r>
    </w:p>
    <w:p w14:paraId="1401E90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citizenry in Israel found itself in, and the prevalence of the ‘rights discourse’ that</w:t>
      </w:r>
    </w:p>
    <w:p w14:paraId="28563FD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constrains effectiveness of the political struggle against Zionism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Zreik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2010, interview).</w:t>
      </w:r>
    </w:p>
    <w:p w14:paraId="0FDAC8D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However, despite these considerations, one must try to understand the potential of this</w:t>
      </w:r>
    </w:p>
    <w:p w14:paraId="57585F8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document in the larger frame of resistance against Zionist hegemony.</w:t>
      </w:r>
    </w:p>
    <w:p w14:paraId="7455ECC6" w14:textId="77777777" w:rsidR="00292A95" w:rsidRDefault="00292A95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</w:p>
    <w:p w14:paraId="1F695840" w14:textId="77777777" w:rsidR="00292A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292A95">
        <w:rPr>
          <w:rFonts w:asciiTheme="majorBidi" w:hAnsiTheme="majorBidi" w:cstheme="majorBidi"/>
          <w:b/>
          <w:bCs/>
          <w:lang w:eastAsia="en-GB" w:bidi="ar-SA"/>
        </w:rPr>
        <w:t>A Radical Document or an Accepted Strategy of Resistance?</w:t>
      </w:r>
    </w:p>
    <w:p w14:paraId="276B4D84" w14:textId="77777777" w:rsid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Following Amal Jamal’s analysis,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the democratic constitution can be understood as an expression of political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self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confidence</w:t>
      </w:r>
      <w:proofErr w:type="spellEnd"/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on the part of the Palestinian community in Israel, but one that is expressed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a way that does not put the Palestinian citizens’ status at risk. Thus, the document is an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expression of the balance between the oppositional consciousness among the Palestinians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the endurance mechanisms of the Israeli control system, in a way that does not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completely break the boundaries of tolerance of the Israeli political discourse (Jamal,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2007: 9). Indeed,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clearly states: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the goal is to have a serious discussion with the Israeli Jewish elite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>. We will also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launch a campaign to enlist international experts in the fields of human rights and constitutional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 in backing our proposed Democratic Constitution, and to present it on international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platforms.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2007)</w:t>
      </w:r>
    </w:p>
    <w:p w14:paraId="5A89989E" w14:textId="77777777" w:rsidR="00292A95" w:rsidRPr="007408FD" w:rsidRDefault="00292A95" w:rsidP="00292A95">
      <w:pPr>
        <w:jc w:val="both"/>
        <w:rPr>
          <w:rFonts w:asciiTheme="majorBidi" w:hAnsiTheme="majorBidi" w:cstheme="majorBidi"/>
          <w:lang w:eastAsia="en-GB" w:bidi="ar-SA"/>
        </w:rPr>
      </w:pPr>
    </w:p>
    <w:p w14:paraId="6BB0D32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However, whilst accepting this analysis, I would like to suggest that the evaluation of</w:t>
      </w:r>
    </w:p>
    <w:p w14:paraId="79A1F66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 form of resistance should be contextualized within the reactions that followed the</w:t>
      </w:r>
    </w:p>
    <w:p w14:paraId="5577C3A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publication of the document.</w:t>
      </w:r>
    </w:p>
    <w:p w14:paraId="6E9AF5CD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9D4A28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reactions in the Jewish Israeli public can be described as panic, rejection, dismissal</w:t>
      </w:r>
    </w:p>
    <w:p w14:paraId="7D6BBBA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overall unwillingness to engage in a serious discussion around the contents</w:t>
      </w:r>
    </w:p>
    <w:p w14:paraId="2909FE3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documents. In the Israeli media, the documents were referred to in phrases such</w:t>
      </w:r>
    </w:p>
    <w:p w14:paraId="7F6B094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 ‘declaration of war’ (Tal, 2006), ‘an attempt to empty Zionism from its meaning’</w:t>
      </w:r>
    </w:p>
    <w:p w14:paraId="484EEB1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Lapid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2006) and ‘subversive activity against the state of Israel, while joining its enemies’</w:t>
      </w:r>
    </w:p>
    <w:p w14:paraId="169CA6B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(Arad, 2007). A poll conducted to examine the reactions in the Jewish public to</w:t>
      </w:r>
    </w:p>
    <w:p w14:paraId="12B5B06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documents found that the vast majority reject the core notions of the documents altogether</w:t>
      </w:r>
    </w:p>
    <w:p w14:paraId="5F3C152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Smooha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2012). In a closed discussion in 2007, Yuval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Diskin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the head of the</w:t>
      </w:r>
    </w:p>
    <w:p w14:paraId="1F05A2C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Shin Bet, expressed to Ehud Olmert, then the Prime Minister, the Shin Bet’s concerns</w:t>
      </w:r>
    </w:p>
    <w:p w14:paraId="3641E1E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about the phenomenon of the vision documents, claiming they deny the existence of the</w:t>
      </w:r>
    </w:p>
    <w:p w14:paraId="1883B38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 of Israel as a Jewish state. The assessment was that these documents were representing</w:t>
      </w:r>
    </w:p>
    <w:p w14:paraId="0F8A473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separatist tendencies among the Palestinian elite in Israel that might carry with</w:t>
      </w:r>
    </w:p>
    <w:p w14:paraId="46DBADC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them the Palestinian masses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Caspit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Haleli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2007). Commenting on this publication,</w:t>
      </w:r>
    </w:p>
    <w:p w14:paraId="74A7659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Shin Bet has confirmed that it:</w:t>
      </w:r>
    </w:p>
    <w:p w14:paraId="54F2379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would thwart the activity of any group or individual seeking to harm the Jewish and democratic</w:t>
      </w:r>
    </w:p>
    <w:p w14:paraId="6B4A6F25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character of the State of Israel, even if such activity is sanctioned by the law [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. . . ]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in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issuing documents, that pretend to be constitutional or foundational there is not fault as is,</w:t>
      </w:r>
    </w:p>
    <w:p w14:paraId="2196C47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unless they have contents that can mirror or encourage forbidden phenomena like political</w:t>
      </w:r>
    </w:p>
    <w:p w14:paraId="2FFCFEE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subversiveness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(NDA Media Team, 2007)</w:t>
      </w:r>
    </w:p>
    <w:p w14:paraId="17CB915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(2011, interview) explained that 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‘we were surprised by the severe</w:t>
      </w:r>
    </w:p>
    <w:p w14:paraId="7792F9D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Israeli reactions that saw in the vision documents a threat to the State of Israel. And that</w:t>
      </w:r>
    </w:p>
    <w:p w14:paraId="5C877B0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was not the case! This reaction did not enable rational dialogue’. However,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considers</w:t>
      </w:r>
    </w:p>
    <w:p w14:paraId="5487B82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it as an important and positive experience for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:</w:t>
      </w:r>
    </w:p>
    <w:p w14:paraId="75B06643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phrasing the constitution released us from the legal tools we must adhere to as a legal organisation,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proving that we have a vision beyond the limited legal tools. This enabled the organisation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to know what it wants: we want a democratic and multicultural society and state.</w:t>
      </w:r>
    </w:p>
    <w:p w14:paraId="0B501E17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1B9F14AD" w14:textId="77777777" w:rsid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 is the vision and everything we do should be intended to enhance it.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importance of the document as a form of resistance is thus found in the rejection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the fact that it was perceived as a highly subversive document, one that challenges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refuses to accept the reality imposed on the Palestinian citizens. The document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places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work in a different light, not just as an organization that represents and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fights for Palestinians’ collective rights in Israeli courts, but one that also aims to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advance a new and positive political programme that calls for a radical transformation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 the nature of the regime itself.</w:t>
      </w:r>
    </w:p>
    <w:p w14:paraId="40E8ECCA" w14:textId="77777777" w:rsidR="00292A95" w:rsidRPr="007408FD" w:rsidRDefault="00292A95" w:rsidP="00292A95">
      <w:pPr>
        <w:jc w:val="both"/>
        <w:rPr>
          <w:rFonts w:asciiTheme="majorBidi" w:hAnsiTheme="majorBidi" w:cstheme="majorBidi"/>
          <w:lang w:eastAsia="en-GB" w:bidi="ar-SA"/>
        </w:rPr>
      </w:pPr>
    </w:p>
    <w:p w14:paraId="42D0E73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Despite the document’s weaknesses and the fact that it accepts the historical situation</w:t>
      </w:r>
    </w:p>
    <w:p w14:paraId="6342D6A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led to the fragmentation of the Palestinian people and the need to find a separate</w:t>
      </w:r>
    </w:p>
    <w:p w14:paraId="1632F02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‘solution’ to each segment of it, I argue that in the light of the context in which the document</w:t>
      </w:r>
    </w:p>
    <w:p w14:paraId="3B332C2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was published, it offers a distinct form of resistance that challenges the Zionist</w:t>
      </w:r>
    </w:p>
    <w:p w14:paraId="3531D24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hegemony in Israel. It forced the state to reveal its intolerant face towards challenges</w:t>
      </w:r>
    </w:p>
    <w:p w14:paraId="535C95C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its ideology: the attempts to advance a political programme that poses a democratic</w:t>
      </w:r>
    </w:p>
    <w:p w14:paraId="21EBD98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vision to the Jewish and democratic reality are treated as subversive activities and lead</w:t>
      </w:r>
    </w:p>
    <w:p w14:paraId="7004D3C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close monitoring by the state security services.</w:t>
      </w:r>
    </w:p>
    <w:p w14:paraId="043D5AEE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0D603A6" w14:textId="77777777" w:rsidR="007408FD" w:rsidRPr="00292A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292A95">
        <w:rPr>
          <w:rFonts w:asciiTheme="majorBidi" w:hAnsiTheme="majorBidi" w:cstheme="majorBidi"/>
          <w:b/>
          <w:bCs/>
          <w:lang w:eastAsia="en-GB" w:bidi="ar-SA"/>
        </w:rPr>
        <w:t>Legal Resistance Re-evaluated</w:t>
      </w:r>
    </w:p>
    <w:p w14:paraId="6D56D11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 2013, a journal of the Haifa based research centre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Mada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al-Carmel, dedicated wholly</w:t>
      </w:r>
    </w:p>
    <w:p w14:paraId="369F6A3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the issue of legal resistance, was titled The Master’s Tools, referring to the essay by</w:t>
      </w:r>
    </w:p>
    <w:p w14:paraId="1CBBAA1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Audre Lorde that argued against the possibility of using of tools available by structures</w:t>
      </w:r>
    </w:p>
    <w:p w14:paraId="6679C8F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power in order to dismantle them.8 Reflecting on this claim, this article suggests that</w:t>
      </w:r>
    </w:p>
    <w:p w14:paraId="6920836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there is a need to rethink how the dismantling process should be approached: Is it about a</w:t>
      </w:r>
    </w:p>
    <w:p w14:paraId="1F5ECD8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full-blown strike to the house’s foundations, or a patient process of dismantling it,</w:t>
      </w:r>
    </w:p>
    <w:p w14:paraId="13009C1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removing it brick by brick? I argue that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aims at the latter. Characterized in this</w:t>
      </w:r>
    </w:p>
    <w:p w14:paraId="1970566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way, we can understand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legal resistance as more radical than a mere struggle</w:t>
      </w:r>
    </w:p>
    <w:p w14:paraId="05B05F0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for inclusion and reform. It also includes demands for transformation of the regime,</w:t>
      </w:r>
    </w:p>
    <w:p w14:paraId="5A3B4C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involvement in appeals to international platforms alongside the more standard legal battles</w:t>
      </w:r>
    </w:p>
    <w:p w14:paraId="2FE6BEC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courts.</w:t>
      </w:r>
    </w:p>
    <w:p w14:paraId="4232B7D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At the same time, the fact that the appeal to legal struggle is a ‘dialogical process and</w:t>
      </w:r>
    </w:p>
    <w:p w14:paraId="2EC4304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dialogue requires the participation of at least two parties’ (McEvoy, 2000: 569) cannot</w:t>
      </w:r>
    </w:p>
    <w:p w14:paraId="377D57A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 disregarded. That means that the choice of legal channels can constrain and limit the</w:t>
      </w:r>
    </w:p>
    <w:p w14:paraId="5E989A8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movement up to the point where the struggle could be absorbed and neutralized by the</w:t>
      </w:r>
    </w:p>
    <w:p w14:paraId="1F6D065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state. However, I agree with McEvoy’s assertion that this is not an inevitable outcome.</w:t>
      </w:r>
    </w:p>
    <w:p w14:paraId="3499BEA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There is a constant need to evaluate strategies in light of their efficacy (Ibid: 571).</w:t>
      </w:r>
    </w:p>
    <w:p w14:paraId="0934E91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Reflecting on the role of law in resistance, it seems that whilst appropriation of the</w:t>
      </w:r>
    </w:p>
    <w:p w14:paraId="4DDEBC9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terms, constructs and procedures of law in formulating opposition may contribute to</w:t>
      </w:r>
    </w:p>
    <w:p w14:paraId="74F5F79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underpinning existing power relations, the negotiation of this logic is also possible, and</w:t>
      </w:r>
    </w:p>
    <w:p w14:paraId="1B2977E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historical experience proves that subordinated people can engage in transforming the</w:t>
      </w:r>
    </w:p>
    <w:p w14:paraId="20E9135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law. Cases vary from apartheid South Africa (Abel, 1995;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Mostert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and Fitzpatrick,</w:t>
      </w:r>
    </w:p>
    <w:p w14:paraId="2896A15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2004), to Australia (Russell, 2005) and Canada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Bhandar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2014) to name just a few.</w:t>
      </w:r>
    </w:p>
    <w:p w14:paraId="35B8E9D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Since law and society are intertwined, law’s legitimacy depends on the support it</w:t>
      </w:r>
    </w:p>
    <w:p w14:paraId="11F099E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receives from the media and also from outside the society. For example, in South Africa</w:t>
      </w:r>
    </w:p>
    <w:p w14:paraId="564D0BD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when the courts confronted apartheid, the media, both domestic and foreign, was supportive</w:t>
      </w:r>
    </w:p>
    <w:p w14:paraId="64CCC1B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celebrative, together with the support from foreign governments that extolled</w:t>
      </w:r>
    </w:p>
    <w:p w14:paraId="1E2FD48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rule of law, and private donors that financially supported human rights lawyers</w:t>
      </w:r>
    </w:p>
    <w:p w14:paraId="2BF848F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(Abel, 1998). Thus, law can be a source of countervailing power, and this potential</w:t>
      </w:r>
    </w:p>
    <w:p w14:paraId="6F13AEA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derives from the fact that the state is not monolithic – its power is divided among</w:t>
      </w:r>
    </w:p>
    <w:p w14:paraId="612019B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branches and within them; in addition, law inherently embodies and expresses ideals that</w:t>
      </w:r>
    </w:p>
    <w:p w14:paraId="2787E57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nowadays many states do not tend to oppose openly, such as democracy and equality,</w:t>
      </w:r>
    </w:p>
    <w:p w14:paraId="237BBBF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and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therefore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the potential to change does exist.</w:t>
      </w:r>
    </w:p>
    <w:p w14:paraId="5CE788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Since law is also a tool in the hands of lawyers, the potential of resistance through the</w:t>
      </w:r>
    </w:p>
    <w:p w14:paraId="3971CA1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 depends on the ways lawyers choose to utilize it. A ‘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delegitimisation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strategy’ is one</w:t>
      </w:r>
    </w:p>
    <w:p w14:paraId="5D632F1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through which lawyers might ‘find a way of working in the legal arena that consistently</w:t>
      </w:r>
    </w:p>
    <w:p w14:paraId="4111A76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challenges the State’s control over the way that we are to both feel and think about the</w:t>
      </w:r>
    </w:p>
    <w:p w14:paraId="5D4FB01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nature of social reality’ (Gabel and Harris, 1983 [1982]: 374). This can be achieved</w:t>
      </w:r>
    </w:p>
    <w:p w14:paraId="55228F5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through a power-oriented approach to law practice, in which the goal of defending people’s</w:t>
      </w:r>
    </w:p>
    <w:p w14:paraId="29E1A63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rights will be subordinate to the goal of ‘building an authentic or un-alienated political</w:t>
      </w:r>
    </w:p>
    <w:p w14:paraId="50B1785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consciousness’ (Ibid: 375). Here, lawyers assume an instrumental role in the</w:t>
      </w:r>
    </w:p>
    <w:p w14:paraId="4363B4C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construction of a social and political movement through the utilization of the courts to</w:t>
      </w:r>
    </w:p>
    <w:p w14:paraId="631BB93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increase people’s sense of personal and political power, developing a relationship of</w:t>
      </w:r>
    </w:p>
    <w:p w14:paraId="399E762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equality with the clients and demystification of the whole legal procedure and instrumental</w:t>
      </w:r>
    </w:p>
    <w:p w14:paraId="0F26E4C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use of the different legal instances in order to achieve different political goals.</w:t>
      </w:r>
    </w:p>
    <w:p w14:paraId="622435E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study of the role of law in the struggle against apartheid in South Africa, resistance</w:t>
      </w:r>
    </w:p>
    <w:p w14:paraId="2234F04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is portrayed as not about all or nothing at once:</w:t>
      </w:r>
    </w:p>
    <w:p w14:paraId="63F2BC5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[M]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ost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paralyzing is the anxiety that limited victories will co-opt the masses. Some activists</w:t>
      </w:r>
    </w:p>
    <w:p w14:paraId="722F582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argue that only progressive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immiseration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can stiffen resistance. All the evidence contradicts</w:t>
      </w:r>
    </w:p>
    <w:p w14:paraId="1D568DA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this. Hope is necessary for struggle. Legal victories, far from legitimating the regime,</w:t>
      </w:r>
    </w:p>
    <w:p w14:paraId="1C84979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demonstrate its vulnerability and erode its will to dominate. (Abel, 1995: 549)</w:t>
      </w:r>
    </w:p>
    <w:p w14:paraId="25B8022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Indeed, legal battles cannot win the war by themselves, but they have a role in</w:t>
      </w:r>
    </w:p>
    <w:p w14:paraId="1F374F8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empowering the masses whilst offering some protection from state retaliation, and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their</w:t>
      </w:r>
      <w:proofErr w:type="gramEnd"/>
    </w:p>
    <w:p w14:paraId="27F30B8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importance lies therein. Moreover, as the Northern Ireland case shows, the contribution</w:t>
      </w:r>
    </w:p>
    <w:p w14:paraId="320EA5F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the legal struggle to the dismantling process lies also in the weakening of the system’s</w:t>
      </w:r>
    </w:p>
    <w:p w14:paraId="7702DA9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foundations through the exposure of information that highlights the contradictions inside</w:t>
      </w:r>
    </w:p>
    <w:p w14:paraId="43889A1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hegemony, revealing its oppressive and coercive nature. The strength of litigation can</w:t>
      </w:r>
    </w:p>
    <w:p w14:paraId="6A8D1A7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gramStart"/>
      <w:r w:rsidRPr="007408FD">
        <w:rPr>
          <w:rFonts w:asciiTheme="majorBidi" w:hAnsiTheme="majorBidi" w:cstheme="majorBidi"/>
          <w:lang w:eastAsia="en-GB" w:bidi="ar-SA"/>
        </w:rPr>
        <w:t>also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be found in the fact that it takes political issues that the state would prefer remained</w:t>
      </w:r>
    </w:p>
    <w:p w14:paraId="423DD99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political arena which it controls, and places them in the more autonomous legal</w:t>
      </w:r>
    </w:p>
    <w:p w14:paraId="59D262A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field that the state has less control over. As such, political issues that directly challenge</w:t>
      </w:r>
    </w:p>
    <w:p w14:paraId="772096B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hegemonic discourse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are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forced into the public discourse with the assistance of the</w:t>
      </w:r>
    </w:p>
    <w:p w14:paraId="3842945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media. In any case, litigation has to be used strategically and as a supplement for other</w:t>
      </w:r>
    </w:p>
    <w:p w14:paraId="6D42A24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forms of struggle (McEvoy, 2000).</w:t>
      </w:r>
    </w:p>
    <w:p w14:paraId="3059611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Whilst litigation is indeed a limited form of legal resistance, lawyers and legal activists</w:t>
      </w:r>
    </w:p>
    <w:p w14:paraId="6FEF097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tend to move into other forms of struggle within the legal framework and become</w:t>
      </w:r>
    </w:p>
    <w:p w14:paraId="404B376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more heavily involved with social/political movements. As a result of this, legal strategies</w:t>
      </w:r>
    </w:p>
    <w:p w14:paraId="209A541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become more diverse in range and can include individual service, calls for institutional</w:t>
      </w:r>
    </w:p>
    <w:p w14:paraId="5B99147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change, advocacy, legislative lobbying, challenging conventional legal strategies</w:t>
      </w:r>
    </w:p>
    <w:p w14:paraId="1AB28A0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 giving more direct voice to clients who choose to politicise the legal process. These</w:t>
      </w:r>
    </w:p>
    <w:p w14:paraId="4E65C08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strategies are chosen in accordance with the needs of the clients, the political/institutional</w:t>
      </w:r>
    </w:p>
    <w:p w14:paraId="3097C54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environment, the remedies possible (from formal proceedings in courts to other</w:t>
      </w:r>
    </w:p>
    <w:p w14:paraId="4978CE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means of solving the legal issue) and the assessed efficacy of the advocacy methods</w:t>
      </w:r>
    </w:p>
    <w:p w14:paraId="3A9D831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the specific context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Menkel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-Meadow, 1998). Hence, it is the combination of both</w:t>
      </w:r>
    </w:p>
    <w:p w14:paraId="47B9C9D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legal and non-legal strategies that constitute cause lawyering such as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in a background</w:t>
      </w:r>
    </w:p>
    <w:p w14:paraId="3D810C7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 which legal victories in court are not easily achieved. Certainly, the boundaries</w:t>
      </w:r>
    </w:p>
    <w:p w14:paraId="1AC7A5B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between legal strategies and other political strategies are not clearly marked, and cause</w:t>
      </w:r>
    </w:p>
    <w:p w14:paraId="782C523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lawyering and political activism become indistinguishable.</w:t>
      </w:r>
    </w:p>
    <w:p w14:paraId="5759E1F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is involved in various court cases and campaigns, and the three cases discussed</w:t>
      </w:r>
    </w:p>
    <w:p w14:paraId="2E3DA09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reveal a spectrum of legal resistance, one that is not confined to litigation in</w:t>
      </w:r>
    </w:p>
    <w:p w14:paraId="0D47542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courts, but rather combines popular struggles and proposals for the political that will</w:t>
      </w:r>
    </w:p>
    <w:p w14:paraId="0473D04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affect the Palestinian collective as a whole, whilst keeping in mind possibilities to help</w:t>
      </w:r>
    </w:p>
    <w:p w14:paraId="6A092C0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individuals.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unique role lies exactly within this combination of struggles, all</w:t>
      </w:r>
    </w:p>
    <w:p w14:paraId="7CEAB6E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located within the legal boundaries, but at the same time openly suggesting the option</w:t>
      </w:r>
    </w:p>
    <w:p w14:paraId="5378664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ignoring them and aiming to break and overturn them.</w:t>
      </w:r>
    </w:p>
    <w:p w14:paraId="4CF8BD6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Assessments of the efficacy of the struggle should be made as a whole rather than just</w:t>
      </w:r>
    </w:p>
    <w:p w14:paraId="7D8641A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on the separate legal strategies of resistance. Each one bears its advantages and at the</w:t>
      </w:r>
    </w:p>
    <w:p w14:paraId="2291707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same time faces limitations and constraints. It is only the combination of the three that</w:t>
      </w:r>
    </w:p>
    <w:p w14:paraId="40948C7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brings to light the greatest potential of effective legal resistance. Thus, in our case, it</w:t>
      </w:r>
    </w:p>
    <w:p w14:paraId="1DDDF8D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becomes clear that using the tools of democratic structures of the state can indeed lead</w:t>
      </w:r>
    </w:p>
    <w:p w14:paraId="67A025B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to its weakening, if used strategically, in a delicate balance between the use of courts,</w:t>
      </w:r>
    </w:p>
    <w:p w14:paraId="05D501D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public campaigns and political struggles. In Israel, it leads the state to incline to suspend</w:t>
      </w:r>
    </w:p>
    <w:p w14:paraId="57B3FC0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its democratic feature to defend its Jewish character. Multidimensional strategic campaigns</w:t>
      </w:r>
    </w:p>
    <w:p w14:paraId="2ED791F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that involve litigation, organizing, lobbying, public demonstrations and other</w:t>
      </w:r>
    </w:p>
    <w:p w14:paraId="1F07CE9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tactical activities are the most effective combination of legal resistance.</w:t>
      </w:r>
    </w:p>
    <w:p w14:paraId="098DDF49" w14:textId="77777777" w:rsidR="00292A95" w:rsidRDefault="00292A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22BBB83B" w14:textId="77777777" w:rsidR="007408FD" w:rsidRPr="00292A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292A95">
        <w:rPr>
          <w:rFonts w:asciiTheme="majorBidi" w:hAnsiTheme="majorBidi" w:cstheme="majorBidi"/>
          <w:b/>
          <w:bCs/>
          <w:lang w:eastAsia="en-GB" w:bidi="ar-SA"/>
        </w:rPr>
        <w:t>Notes</w:t>
      </w:r>
    </w:p>
    <w:p w14:paraId="1697789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1.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These declaration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are prevalent in addresses of Israeli representatives to the United Nations,</w:t>
      </w:r>
    </w:p>
    <w:p w14:paraId="4BF910F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celebrating Israel’s democratic culture, the strength and independence of the judiciary and</w:t>
      </w:r>
    </w:p>
    <w:p w14:paraId="2D0BC53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respect for the rights of minorities. The emphasis on the rule of law is also apparent in cases</w:t>
      </w:r>
    </w:p>
    <w:p w14:paraId="3799BCC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of military attacks on the Gaza Strip, where Israel repeatedly claims its respect for international</w:t>
      </w:r>
    </w:p>
    <w:p w14:paraId="1FEAEF9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law in belligerent activities.</w:t>
      </w:r>
    </w:p>
    <w:p w14:paraId="12F52AA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2. See for example the Supreme Court decision in 2000 regarding the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Ka’adan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case: http://www.</w:t>
      </w:r>
    </w:p>
    <w:p w14:paraId="6272EDA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adalah.org/eng/Articles/40/Adalah%E2%80%99s-Comments-on-the-Supreme-Courts-in-the-</w:t>
      </w:r>
    </w:p>
    <w:p w14:paraId="6E13684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3. For the full report see: http://www.adalah.org/eng/Arab_Minority_Rep.pdf.</w:t>
      </w:r>
    </w:p>
    <w:p w14:paraId="7994FC8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4. For the full statement see: http://eeas.europa.eu/delegations/israel/press_corner/all_news/news/</w:t>
      </w:r>
    </w:p>
    <w:p w14:paraId="63A8CDD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2011/20110222_01_en.htm.</w:t>
      </w:r>
    </w:p>
    <w:p w14:paraId="7BAAC696" w14:textId="630DB338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5. For some of these comments and reports see: http://www.adalah.org/eng/pressreleases/unccs.html.</w:t>
      </w:r>
    </w:p>
    <w:p w14:paraId="6191539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6. The Palestinian 2005 BDS call opens with a direct reference to the ICJ’s decision. It follows:</w:t>
      </w:r>
    </w:p>
    <w:p w14:paraId="46BB67CA" w14:textId="7340897F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lastRenderedPageBreak/>
        <w:t>One year after the historic Advisory Opinion of the International Court of Justice (ICJ) which found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Israel’s Wall built on occupied Palestinian territory to be illegal; Israel continues its construction of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colonial Wall with total disregard to the Court’s decision. (See www.bdsmovement.net/call)</w:t>
      </w:r>
    </w:p>
    <w:p w14:paraId="1E89782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7. The High Follow-Up Committee for the Arab Citizens in Israel is an extra-parliamentary</w:t>
      </w:r>
    </w:p>
    <w:p w14:paraId="1AD3BD8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umbrella organization that represents the Palestinian citizens on a national level.</w:t>
      </w:r>
    </w:p>
    <w:p w14:paraId="6370564E" w14:textId="39BDFC8A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8. Audre Lorde (1993), a black lesbian feminist scholar and activist dealt with what she saw as the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internal oppression of black and lesbian women within the feminist movement and claimed that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as long as one uses the frameworks and points of reference of the oppressors, the ability to</w:t>
      </w:r>
    </w:p>
    <w:p w14:paraId="67ABCB5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evade and construct a new reality remains impossible.</w:t>
      </w:r>
    </w:p>
    <w:p w14:paraId="488E1F49" w14:textId="77777777" w:rsidR="00CF3F95" w:rsidRDefault="00CF3F95" w:rsidP="007408FD">
      <w:pPr>
        <w:jc w:val="both"/>
        <w:rPr>
          <w:rFonts w:asciiTheme="majorBidi" w:hAnsiTheme="majorBidi" w:cstheme="majorBidi"/>
          <w:lang w:eastAsia="en-GB" w:bidi="ar-SA"/>
        </w:rPr>
      </w:pPr>
    </w:p>
    <w:p w14:paraId="44A3F296" w14:textId="77777777" w:rsidR="007408FD" w:rsidRPr="00CF3F95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r w:rsidRPr="00CF3F95">
        <w:rPr>
          <w:rFonts w:asciiTheme="majorBidi" w:hAnsiTheme="majorBidi" w:cstheme="majorBidi"/>
          <w:b/>
          <w:bCs/>
          <w:lang w:eastAsia="en-GB" w:bidi="ar-SA"/>
        </w:rPr>
        <w:t>References</w:t>
      </w:r>
    </w:p>
    <w:p w14:paraId="348774FF" w14:textId="53C69013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(2006) Press release: The high court of justice approved today in a majority of six judges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against five the most racist law in the state of Israel. [Hebrew].</w:t>
      </w:r>
    </w:p>
    <w:p w14:paraId="4BA02BE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(2007) The Democratic Constitution.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Shfa’amer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</w:t>
      </w:r>
    </w:p>
    <w:p w14:paraId="5AC24CB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Abel RL (1995) Politics by Other Means: Law in the Struggle Against Apartheid, 1980-1994.</w:t>
      </w:r>
    </w:p>
    <w:p w14:paraId="6B06AB2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London: Routledge.</w:t>
      </w:r>
    </w:p>
    <w:p w14:paraId="1BDC5463" w14:textId="652E9FC8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Abel RL (1998) Speaking law to power: Occasions for cause lawyering.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Cause Lawyering: Political Commitments and Professional Responsibilities.</w:t>
      </w:r>
    </w:p>
    <w:p w14:paraId="6E9E166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New York: Oxford University Press, pp. 69–117.</w:t>
      </w:r>
    </w:p>
    <w:p w14:paraId="41CF6A3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Anderson P (1976) The antinomies of Antonio Gramsci. New Left Review I/100: 5–78.</w:t>
      </w:r>
    </w:p>
    <w:p w14:paraId="65B21EE1" w14:textId="193F6F1A" w:rsidR="007408FD" w:rsidRPr="007408FD" w:rsidRDefault="007408FD" w:rsidP="00CB42DA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Arad U (2007) The future vision of the Arab Palestinians in Israel. Presented in Conference at the</w:t>
      </w:r>
      <w:r w:rsidR="00CB42DA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Van Leer Institute, Jerusalem, Israel, 28 February 2007.</w:t>
      </w:r>
    </w:p>
    <w:p w14:paraId="7D57870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Arens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(2003) Three failed commissions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Haaretz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Available at: http://www.haaretz.</w:t>
      </w:r>
    </w:p>
    <w:p w14:paraId="21E35FC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co.il/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misc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/1.910764 (accessed 4 May 2011).</w:t>
      </w:r>
    </w:p>
    <w:p w14:paraId="2ADEE98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Atinger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Y (2003) The high follow-up committee praised the or commission report: Historical</w:t>
      </w:r>
    </w:p>
    <w:p w14:paraId="44B2BB4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change of direction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Haaretz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Available at: http://www.haaretz.co.il/misc/1.909042</w:t>
      </w:r>
    </w:p>
    <w:p w14:paraId="17C6C88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(accessed 12 December 2014).</w:t>
      </w:r>
    </w:p>
    <w:p w14:paraId="40082FB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Baker A (2005) Ideological legislation in the name of ‘‘security’’.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Newsletter, p. 19.</w:t>
      </w:r>
    </w:p>
    <w:p w14:paraId="151C958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Baram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U (2003) Stepping out of the darkness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Ynet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Available at: http://www.ynet.co.il/</w:t>
      </w:r>
    </w:p>
    <w:p w14:paraId="04A0CE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articles/0,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7340,L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>-2743199,00.html (accessed 4 May 2011).</w:t>
      </w:r>
    </w:p>
    <w:p w14:paraId="7AB8C72C" w14:textId="7777B270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Barzilai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G (2007) The ambivalent language of lawyers in Israel: Liberal politics, economic liberalism,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silence and dissent. In Halliday TC,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Karpik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Feeley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Fighting for Political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Freedom: Comparative Studies in the Legal Complex and Political Liberalism. Oxford: Hart,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pp. 247–279.</w:t>
      </w:r>
    </w:p>
    <w:p w14:paraId="1DBDCCE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Bhandar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 (2014) Critical legal studies and the politics of property. Property Law Review 3:</w:t>
      </w:r>
    </w:p>
    <w:p w14:paraId="156BC0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186–194.</w:t>
      </w:r>
    </w:p>
    <w:p w14:paraId="4DF3F319" w14:textId="5A07074C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Bisharat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GE (1995) Courting justice? Legitimation in lawyering under Israeli occupation. Law &amp;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Social Inquiry 20(2): 349–405.</w:t>
      </w:r>
    </w:p>
    <w:p w14:paraId="22C1DCB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Caspit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Haleli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Y (2007) Head of the ISA: Dangerous radicalisation of the Israeli-Arabs</w:t>
      </w:r>
    </w:p>
    <w:p w14:paraId="023C97F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[Hebrew]. NRG. Available at: http://www.nrg.co.il/online/1/ART1/555/618.html (accessed</w:t>
      </w:r>
    </w:p>
    <w:p w14:paraId="699ECFD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12 July 2012).</w:t>
      </w:r>
    </w:p>
    <w:p w14:paraId="782FFC81" w14:textId="2405DCD3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Dakwar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J,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Sultany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 (2006) Roundtable discussion of the supreme court’s decision on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nationality and entry into Israel law.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Newsletter, p. 26.</w:t>
      </w:r>
    </w:p>
    <w:p w14:paraId="63F6CDC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(2003) October 2000: Law and Politics Before the Or Commission of Inquiry. Haifa:</w:t>
      </w:r>
    </w:p>
    <w:p w14:paraId="0E425C3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</w:t>
      </w:r>
    </w:p>
    <w:p w14:paraId="22D9421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lastRenderedPageBreak/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(2007) Interview with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Attorney Marwan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on the publication of ‘‘the democratic</w:t>
      </w:r>
    </w:p>
    <w:p w14:paraId="03C8389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constitution’’ by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 34. Available at: http://www.adalah.org/</w:t>
      </w:r>
    </w:p>
    <w:p w14:paraId="33304F2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uploads/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oldfiles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/newsletter/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eng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/mar07/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marwan.php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(accessed 21 June 2012).</w:t>
      </w:r>
    </w:p>
    <w:p w14:paraId="00997107" w14:textId="4F01224A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Dwairy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(2007) A word from the chairman of the board of directors. In </w:t>
      </w:r>
      <w:proofErr w:type="gramStart"/>
      <w:r w:rsidRPr="007408FD">
        <w:rPr>
          <w:rFonts w:asciiTheme="majorBidi" w:hAnsiTheme="majorBidi" w:cstheme="majorBidi"/>
          <w:lang w:eastAsia="en-GB" w:bidi="ar-SA"/>
        </w:rPr>
        <w:t>The</w:t>
      </w:r>
      <w:proofErr w:type="gramEnd"/>
      <w:r w:rsidRPr="007408FD">
        <w:rPr>
          <w:rFonts w:asciiTheme="majorBidi" w:hAnsiTheme="majorBidi" w:cstheme="majorBidi"/>
          <w:lang w:eastAsia="en-GB" w:bidi="ar-SA"/>
        </w:rPr>
        <w:t xml:space="preserve"> Democratic Constitution.</w:t>
      </w:r>
      <w:r w:rsidR="00923B1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Shafa’amr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p. 3.</w:t>
      </w:r>
    </w:p>
    <w:p w14:paraId="1991C9E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Ellman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(1995) Struggle and legitimation. Law &amp; Social Inquiry 20(2): 339–348.</w:t>
      </w:r>
    </w:p>
    <w:p w14:paraId="08FA4FE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Esmeir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(2004) Introduction: In the name of security.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Review 4: 2–9.</w:t>
      </w:r>
    </w:p>
    <w:p w14:paraId="05D8E2E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Esmeir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and Rosenberg R (2000) On resisting legalization.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Review 2: 23–25.</w:t>
      </w:r>
    </w:p>
    <w:p w14:paraId="6C85385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Fitzpatrick P (2008) Law as Resistance: Modernism, Imperialism, Legalism. Hampshire: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Ashgate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</w:t>
      </w:r>
    </w:p>
    <w:p w14:paraId="13C78BCE" w14:textId="609964CB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Fontana B (2006) State and society: The concept of hegemony in Gramsci.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Haugaard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and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Lentner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Hegemony and Power: Consensus and Coercion in Contemporary Politics.</w:t>
      </w:r>
    </w:p>
    <w:p w14:paraId="694B0A3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Oxford: Lexington Books, pp. 23–44.</w:t>
      </w:r>
    </w:p>
    <w:p w14:paraId="7C1BE912" w14:textId="7FF909F3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Gabel P and Harris P (1983 [1982]) Building power and breaking images: Critical legal theory and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practice of law. NYU Review of Law and Social Change 11: 369–411.</w:t>
      </w:r>
    </w:p>
    <w:p w14:paraId="26EA74C6" w14:textId="58EC3E34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Ghanem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(2007) The democratic constitution: The question of the occupation and bi-nationalism.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Newsletter, p. 34.</w:t>
      </w:r>
    </w:p>
    <w:p w14:paraId="78F474AD" w14:textId="0031AEE0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Giddens A (1985) A Contemporary Critique of Historical Materialism: The Nation State and Violence.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London: Polity.</w:t>
      </w:r>
    </w:p>
    <w:p w14:paraId="3EA03E20" w14:textId="1D75D60A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Gilroy P (1987) There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Ain’t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No Black in the Union Jack: The Cultural Politics of Race and Nation.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London: Hutchinson.</w:t>
      </w:r>
    </w:p>
    <w:p w14:paraId="247C2AC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Goldberg DT (2002) The Racial State. Oxford: Blackwell Publishers.</w:t>
      </w:r>
    </w:p>
    <w:p w14:paraId="4A82671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Gramsci A (1988) A Gramsci Reader: Selected Writings, 1916-1935.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Forgacs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D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). London:</w:t>
      </w:r>
    </w:p>
    <w:p w14:paraId="25F529EB" w14:textId="77777777" w:rsidR="00CF3F95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Lawrence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Wishart.</w:t>
      </w:r>
      <w:proofErr w:type="spellEnd"/>
    </w:p>
    <w:p w14:paraId="57F53B19" w14:textId="4955F5AF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Gramsci A, Hoare Q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Nowell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-Smith G (1971) Selections from the Prison Notebooks of Antonio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Gramsci. London: Lawrence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Wishart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</w:t>
      </w:r>
    </w:p>
    <w:p w14:paraId="75E91987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Halley J (2009 [2008]) Rape at Rome: Feminist interventions in the criminalization of sex-related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violence in positive international criminal law. Michigan Journal of International Law</w:t>
      </w:r>
    </w:p>
    <w:p w14:paraId="0A853C0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30: 1–124.</w:t>
      </w:r>
    </w:p>
    <w:p w14:paraId="345C358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Harlow C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Rawling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 (1992) Pressure Through Law. London: Routledge.</w:t>
      </w:r>
    </w:p>
    <w:p w14:paraId="3D2FD7FA" w14:textId="09DC268F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 (2004) Comments on the unreasonableness of the attorney general’s ‘‘reasonable discrimination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policy’’.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Newsletter, p. 1.</w:t>
      </w:r>
    </w:p>
    <w:p w14:paraId="364DC9F6" w14:textId="3428D4F2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Jamal A (2007) Strategies of minority struggle for equality in ethnic states: Arab politics in Israel.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Citizenship Studies 11(3): 263–282.</w:t>
      </w:r>
    </w:p>
    <w:p w14:paraId="6149A7A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Jamal A (2008) The political ethos of Palestinian citizens of Israel: Critical reading in the future</w:t>
      </w:r>
    </w:p>
    <w:p w14:paraId="61B2725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vision documents. Israel Studies Forum 23(2): 3–28.</w:t>
      </w:r>
    </w:p>
    <w:p w14:paraId="15DA1D7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Jiryis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(1976) The Arabs in Israel. London: Monthly Review Press.</w:t>
      </w:r>
    </w:p>
    <w:p w14:paraId="6BA8791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Kretzmer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D (1990) The Legal Status of the Arabs in Israel. Oxford: Westview Press.</w:t>
      </w:r>
    </w:p>
    <w:p w14:paraId="3939C5D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Lapid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T (2006) A state within a state.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Ma’ariv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[Hebrew].</w:t>
      </w:r>
    </w:p>
    <w:p w14:paraId="786881C7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Lears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JTJ (1985) The concept of cultural hegemony: Problems and possibilities. The American</w:t>
      </w:r>
    </w:p>
    <w:p w14:paraId="5C47AEF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Historical Review 90(3): 567–593.</w:t>
      </w:r>
    </w:p>
    <w:p w14:paraId="1D82355B" w14:textId="14FD8436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Lorde A (1993) The master’s tools will never dismantle the master’s house. In: Lorde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)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Zami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;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Sister Outsider;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Undersong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New York: Quality Paperback Book Club, pp. 110–113.</w:t>
      </w:r>
    </w:p>
    <w:p w14:paraId="3770CACD" w14:textId="2B8E12E1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MacKinnon CA (2006 [2005]) Defining rape internationally: A comment on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Akayesu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Columbia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Journal of Transnational Law 44: 940–958.</w:t>
      </w:r>
    </w:p>
    <w:p w14:paraId="7D20DD3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McCann M and Silverstein H (1998) Rethinking law’s ‘‘allurements’’: A relational analysis of</w:t>
      </w:r>
    </w:p>
    <w:p w14:paraId="2CD5C287" w14:textId="6CF7120B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social movement lawyers in the United States.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Cause Lawyering: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Political Commitments and Professional Responsibilities. New York: Oxford University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Press, pp. 261–292.</w:t>
      </w:r>
    </w:p>
    <w:p w14:paraId="1F948A0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lastRenderedPageBreak/>
        <w:t>Masri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(2013) Love suspended: Demography, comparative law, and Palestinian couples in</w:t>
      </w:r>
    </w:p>
    <w:p w14:paraId="53B2B36D" w14:textId="7BB19B8E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the Israeli supreme court. Social and Legal Studies: An International Journal 22(3):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309–334.</w:t>
      </w:r>
    </w:p>
    <w:p w14:paraId="099A38D7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McEvoy K (2000) Law, struggle and political transformation in Northern Ireland. Journal of Law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Society 27(4): 542–571.</w:t>
      </w:r>
    </w:p>
    <w:p w14:paraId="0891D25B" w14:textId="30FE0611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Menkel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-Meadow C (1998) The causes of cause lawyering: Toward an understanding of the motivation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and commitment of social justice lawyers.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Cause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Lawyering: Political Commitments and Professional Responsibilities. New York: Oxford University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Press, pp. 31–68.</w:t>
      </w:r>
    </w:p>
    <w:p w14:paraId="5D3F9BD0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Mostert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 and Fitzpatrick P (2004) Law against law: Indigenous rights and the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Richtersveld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Cases.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Law, Social Justice &amp; Global Development Journal. Available at: </w:t>
      </w:r>
      <w:hyperlink r:id="rId4" w:history="1">
        <w:r w:rsidR="00292A95" w:rsidRPr="00E26302">
          <w:rPr>
            <w:rStyle w:val="Hyperlink"/>
            <w:rFonts w:asciiTheme="majorBidi" w:hAnsiTheme="majorBidi" w:cstheme="majorBidi"/>
            <w:lang w:eastAsia="en-GB" w:bidi="ar-SA"/>
          </w:rPr>
          <w:t>http://www2.warwick.ac.uk/</w:t>
        </w:r>
      </w:hyperlink>
      <w:r w:rsidR="00292A95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fac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soc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/law/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elj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lgd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/2004_2/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mostertfitzpatrick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(accessed 12 July 2014).</w:t>
      </w:r>
    </w:p>
    <w:p w14:paraId="6C49619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Mouffe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 (1979) Hegemony and ideology in Gramsci.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Mouffe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C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Gramsci and Marxist</w:t>
      </w:r>
    </w:p>
    <w:p w14:paraId="5631AE5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Thoery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London: Routledge &amp; Kegan Paul Ltd, pp. 168–204.</w:t>
      </w:r>
    </w:p>
    <w:p w14:paraId="4AF9A9A7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NDA Media Team (2007) The political persecution and incitement against the Arab citizens and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their elected representatives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Magazin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kibush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[Occupation Magazine]. Available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at: http://www.kibush.co.il/show_file.asp?num=19316 (accessed 13 February 2011).</w:t>
      </w:r>
    </w:p>
    <w:p w14:paraId="6C98C039" w14:textId="78D64082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Or T,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Khatib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 and Shamir S (2003) Din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ve-heshbon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Va’dat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hakira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memsaltit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berur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hahitnagshuyot</w:t>
      </w:r>
      <w:proofErr w:type="spellEnd"/>
      <w:r w:rsidR="00CF3F95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byn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kohot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bitahon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ezrahim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yisraelim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be-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october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2000 [Hebrew]. [Report by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the Governmental Commission of Inquiry into the Clashes Between Security Forces and Israeli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Civilians in October 2000].</w:t>
      </w:r>
    </w:p>
    <w:p w14:paraId="3B134B22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Povinelli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EA (2002) The Cunning of Recognition: Indigenous Alterities and the Making of Australian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Multiculturalism. Durham: Duke University Press.</w:t>
      </w:r>
    </w:p>
    <w:p w14:paraId="6E363E13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Reynolds J (2010) Legitimising the Illegitimate: The Israeli High Court of Justice and the Occupied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Palestinian Territory. Ramallah: Al-Haq Organisation.</w:t>
      </w:r>
    </w:p>
    <w:p w14:paraId="31F8603B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Roa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Waked A (2000) Sharon’s visit to temple mount: Riots and injured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Ynet</w:t>
      </w:r>
      <w:proofErr w:type="spellEnd"/>
    </w:p>
    <w:p w14:paraId="20907EB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Robinson S (2013) Citizen Strangers: Palestinians and the Birth of Israel’s Liberal Settler State.</w:t>
      </w:r>
    </w:p>
    <w:p w14:paraId="62591C2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Stanford, CA: Stanford University Press.</w:t>
      </w:r>
    </w:p>
    <w:p w14:paraId="0F9AB5F4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Rouhana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 (1990) The intifada and the Palestinians of Israel: Resurrecting the green line. Journal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Palestine Studies 19(3): 58–75.</w:t>
      </w:r>
    </w:p>
    <w:p w14:paraId="3D430FAF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Russell PH (2005) Recognizing Aboriginal Title: The Mabo Case and Indigenous Resistance to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English-Settler Colonialism. Toronto, Canada: University of Toronto Press.</w:t>
      </w:r>
    </w:p>
    <w:p w14:paraId="50BD6F5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 (2002) The minority rights of the Palestinian-Arabs in Israel: What is, what isn’t</w:t>
      </w:r>
    </w:p>
    <w:p w14:paraId="0E650A0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and what is taboo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Iyunay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mishpat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[Tel Aviv University Law Review] 21(1):</w:t>
      </w:r>
    </w:p>
    <w:p w14:paraId="553DF1C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241–319.</w:t>
      </w:r>
    </w:p>
    <w:p w14:paraId="44712D3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 (2007) The ‘‘democratic constitution’’: Justified aims overshadowed by the bi-national</w:t>
      </w:r>
    </w:p>
    <w:p w14:paraId="768ABDF3" w14:textId="798D458C" w:rsidR="007408FD" w:rsidRPr="007408FD" w:rsidRDefault="007408FD" w:rsidP="00923B1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claim.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Adalah’s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Newsletter 34. Available at: http://www.adalah.org/uploads/oldfiles/newsletter/eng/mar07/ilan.php (accessed 24 June 2012).</w:t>
      </w:r>
    </w:p>
    <w:p w14:paraId="43A6190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Saban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I (2008) Law and the Arab-Palestinian minority in the first three decades of the state: Measures</w:t>
      </w:r>
    </w:p>
    <w:p w14:paraId="561ADDD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of control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Mehkaray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mishpat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[Studies in Law] 24(2): 565–637.</w:t>
      </w:r>
    </w:p>
    <w:p w14:paraId="5FBE233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(1998) Between (the Presence of) violence and (the Possibility of) justice: Lawyering</w:t>
      </w:r>
    </w:p>
    <w:p w14:paraId="1C5A4DE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against capital punishment.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Cause Lawyering: Political</w:t>
      </w:r>
    </w:p>
    <w:p w14:paraId="4F6B44A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Commitments and Professional Responsibilities. New York: Oxford University Press, pp.</w:t>
      </w:r>
    </w:p>
    <w:p w14:paraId="6134805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317–348.</w:t>
      </w:r>
    </w:p>
    <w:p w14:paraId="44AF77F6" w14:textId="2F1159BD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(1998) Cause Lawyering: Political Commitments and Professional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Responsibilities. New York: Oxford University Press.</w:t>
      </w:r>
    </w:p>
    <w:p w14:paraId="36FA9037" w14:textId="103698EE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lastRenderedPageBreak/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(1998) The struggle to politicize legal practice: A case study of left-activist lawyering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in Seattle. In: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Sarat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A and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Scheingold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Cause Lawyering: Political Commitments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and Professional Responsibilities. New York: Oxford University Press, pp. 118–148.</w:t>
      </w:r>
    </w:p>
    <w:p w14:paraId="457B6F9D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Sfard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M (2009) The price of internal legal opposition to human rights abuses. Journal of Human</w:t>
      </w:r>
    </w:p>
    <w:p w14:paraId="2B75A783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Rights Practice 1: 37–50.</w:t>
      </w:r>
    </w:p>
    <w:p w14:paraId="1D2078B1" w14:textId="28276D4B" w:rsidR="007408FD" w:rsidRPr="007408FD" w:rsidRDefault="007408FD" w:rsidP="00CF3F95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Smooha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S (2012) Arab and Jews in a Jewish and democratic state: Multilateral repudiation of public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responsibility [Hebrew]. In: Cohen-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Almagor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R,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Arbel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-Ganz O and Kasher A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eds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Public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 xml:space="preserve">Responsibility in Israel. Jerusalem: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Hakibbutz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Hameuchad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Publishing House and the Jerusalem</w:t>
      </w:r>
      <w:r w:rsidR="00CF3F95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Center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for Ethics, pp. 527–551.</w:t>
      </w:r>
    </w:p>
    <w:p w14:paraId="01C2DBD2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Tal A (2006) This means war.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aretz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[Hebrew]. Available at: http://www.haaretz.com/print-edition/opinion/this-means-war-1.206594 (accessed 4 May 2012).</w:t>
      </w:r>
    </w:p>
    <w:p w14:paraId="2B77BFA3" w14:textId="77777777" w:rsidR="007408FD" w:rsidRPr="007408FD" w:rsidRDefault="007408FD" w:rsidP="00292A95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Government (2002) Government decision 1813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Mazkirut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memshala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[Secretariat</w:t>
      </w:r>
      <w:r w:rsidR="00292A95">
        <w:rPr>
          <w:rFonts w:asciiTheme="majorBidi" w:hAnsiTheme="majorBidi" w:cstheme="majorBidi"/>
          <w:lang w:eastAsia="en-GB" w:bidi="ar-SA"/>
        </w:rPr>
        <w:t xml:space="preserve"> </w:t>
      </w:r>
      <w:r w:rsidRPr="007408FD">
        <w:rPr>
          <w:rFonts w:asciiTheme="majorBidi" w:hAnsiTheme="majorBidi" w:cstheme="majorBidi"/>
          <w:lang w:eastAsia="en-GB" w:bidi="ar-SA"/>
        </w:rPr>
        <w:t>of the Government].</w:t>
      </w:r>
    </w:p>
    <w:p w14:paraId="2BFF9A79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The Government (2003)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Hatz’at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hok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ezrahut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ve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-ha-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knisa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le-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yisrael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(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pkuda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zmanit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) 5763-2003</w:t>
      </w:r>
    </w:p>
    <w:p w14:paraId="07D5DEAA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[Nationality and Entry into Israel (Temporary Order) Bill, 5763 – 2003] [Hebrew].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Reshumot</w:t>
      </w:r>
      <w:proofErr w:type="spellEnd"/>
    </w:p>
    <w:p w14:paraId="32CBD6E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[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Acta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].</w:t>
      </w:r>
    </w:p>
    <w:p w14:paraId="51005022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Thompson EP (1975) Whigs and Hunters: The Origin of the Black Act. New York: Pantheon.</w:t>
      </w:r>
    </w:p>
    <w:p w14:paraId="140EF7A1" w14:textId="77777777" w:rsidR="007408FD" w:rsidRPr="00923B1D" w:rsidRDefault="007408FD" w:rsidP="007408FD">
      <w:pPr>
        <w:jc w:val="both"/>
        <w:rPr>
          <w:rFonts w:asciiTheme="majorBidi" w:hAnsiTheme="majorBidi" w:cstheme="majorBidi"/>
          <w:b/>
          <w:bCs/>
          <w:lang w:eastAsia="en-GB" w:bidi="ar-SA"/>
        </w:rPr>
      </w:pPr>
      <w:bookmarkStart w:id="0" w:name="_GoBack"/>
      <w:r w:rsidRPr="00923B1D">
        <w:rPr>
          <w:rFonts w:asciiTheme="majorBidi" w:hAnsiTheme="majorBidi" w:cstheme="majorBidi"/>
          <w:b/>
          <w:bCs/>
          <w:lang w:eastAsia="en-GB" w:bidi="ar-SA"/>
        </w:rPr>
        <w:t>Cases cited</w:t>
      </w:r>
    </w:p>
    <w:bookmarkEnd w:id="0"/>
    <w:p w14:paraId="1D3E95B6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et al. v. the Minister of Interior, et al. [2003] H.C. 7052/03 [Hebrew].</w:t>
      </w:r>
    </w:p>
    <w:p w14:paraId="05021FC4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Interviews</w:t>
      </w:r>
    </w:p>
    <w:p w14:paraId="3D8961F8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Baker,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Abeer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. 1 April 2010. Senior attorney,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Interview with the author, Haifa.</w:t>
      </w:r>
    </w:p>
    <w:p w14:paraId="5A8030AC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Dalal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Marwan. 19 December 2010. Former attorney,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Interview with the author, Haifa.</w:t>
      </w:r>
    </w:p>
    <w:p w14:paraId="02D81E9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Jabareen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Hassan. 22 April 2011. Founder and General Director,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Interview with the</w:t>
      </w:r>
    </w:p>
    <w:p w14:paraId="38193941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>author, Haifa.</w:t>
      </w:r>
    </w:p>
    <w:p w14:paraId="3AB63C45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Kohn,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Orna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. 20 December 2009. Senior attorney,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Adalah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Interview with the author, Haifa.</w:t>
      </w:r>
    </w:p>
    <w:p w14:paraId="7C3302BF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r w:rsidRPr="007408FD">
        <w:rPr>
          <w:rFonts w:asciiTheme="majorBidi" w:hAnsiTheme="majorBidi" w:cstheme="majorBidi"/>
          <w:lang w:eastAsia="en-GB" w:bidi="ar-SA"/>
        </w:rPr>
        <w:t xml:space="preserve">Kohn,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Orna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16 November 2010. Interview with the author, London.</w:t>
      </w:r>
    </w:p>
    <w:p w14:paraId="4BFD57DE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Tsemel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, Lea. 15 August 2010. Independent attorney. Interview with the author, Jerusalem.</w:t>
      </w:r>
    </w:p>
    <w:p w14:paraId="5120AA80" w14:textId="77777777" w:rsidR="007408FD" w:rsidRPr="007408FD" w:rsidRDefault="007408FD" w:rsidP="007408FD">
      <w:pPr>
        <w:jc w:val="both"/>
        <w:rPr>
          <w:rFonts w:asciiTheme="majorBidi" w:hAnsiTheme="majorBidi" w:cstheme="majorBidi"/>
          <w:lang w:eastAsia="en-GB" w:bidi="ar-SA"/>
        </w:rPr>
      </w:pPr>
      <w:proofErr w:type="spellStart"/>
      <w:r w:rsidRPr="007408FD">
        <w:rPr>
          <w:rFonts w:asciiTheme="majorBidi" w:hAnsiTheme="majorBidi" w:cstheme="majorBidi"/>
          <w:lang w:eastAsia="en-GB" w:bidi="ar-SA"/>
        </w:rPr>
        <w:t>Zreik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 xml:space="preserve">, </w:t>
      </w:r>
      <w:proofErr w:type="spellStart"/>
      <w:r w:rsidRPr="007408FD">
        <w:rPr>
          <w:rFonts w:asciiTheme="majorBidi" w:hAnsiTheme="majorBidi" w:cstheme="majorBidi"/>
          <w:lang w:eastAsia="en-GB" w:bidi="ar-SA"/>
        </w:rPr>
        <w:t>Raef</w:t>
      </w:r>
      <w:proofErr w:type="spellEnd"/>
      <w:r w:rsidRPr="007408FD">
        <w:rPr>
          <w:rFonts w:asciiTheme="majorBidi" w:hAnsiTheme="majorBidi" w:cstheme="majorBidi"/>
          <w:lang w:eastAsia="en-GB" w:bidi="ar-SA"/>
        </w:rPr>
        <w:t>. 16 December 2010. Interview with the author, Haifa.</w:t>
      </w:r>
    </w:p>
    <w:p w14:paraId="6D39DBF2" w14:textId="77777777" w:rsidR="007408FD" w:rsidRPr="007408FD" w:rsidRDefault="007408FD" w:rsidP="007408FD">
      <w:pPr>
        <w:jc w:val="both"/>
        <w:rPr>
          <w:rFonts w:asciiTheme="majorBidi" w:hAnsiTheme="majorBidi" w:cstheme="majorBidi"/>
        </w:rPr>
      </w:pPr>
    </w:p>
    <w:sectPr w:rsidR="007408FD" w:rsidRPr="007408FD" w:rsidSect="006446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FD"/>
    <w:rsid w:val="001A6155"/>
    <w:rsid w:val="00205D79"/>
    <w:rsid w:val="00274D28"/>
    <w:rsid w:val="00292A95"/>
    <w:rsid w:val="00365338"/>
    <w:rsid w:val="0064468A"/>
    <w:rsid w:val="006B4A28"/>
    <w:rsid w:val="007408FD"/>
    <w:rsid w:val="008A3617"/>
    <w:rsid w:val="00923B1D"/>
    <w:rsid w:val="00A70C6E"/>
    <w:rsid w:val="00AC21C5"/>
    <w:rsid w:val="00B532A0"/>
    <w:rsid w:val="00B72E53"/>
    <w:rsid w:val="00BC3108"/>
    <w:rsid w:val="00C10E51"/>
    <w:rsid w:val="00C46D65"/>
    <w:rsid w:val="00CB42DA"/>
    <w:rsid w:val="00CF3F95"/>
    <w:rsid w:val="00E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9E1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2.warwick.ac.uk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13277</Words>
  <Characters>75685</Characters>
  <Application>Microsoft Macintosh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Weizman</dc:creator>
  <cp:keywords/>
  <dc:description/>
  <cp:lastModifiedBy>Elian Weizman</cp:lastModifiedBy>
  <cp:revision>3</cp:revision>
  <dcterms:created xsi:type="dcterms:W3CDTF">2019-12-05T13:36:00Z</dcterms:created>
  <dcterms:modified xsi:type="dcterms:W3CDTF">2019-12-05T13:59:00Z</dcterms:modified>
</cp:coreProperties>
</file>