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3A63" w14:textId="152208B1" w:rsidR="00C515CE" w:rsidRPr="003707F1" w:rsidRDefault="00406E82" w:rsidP="00D00464">
      <w:pPr>
        <w:spacing w:line="360" w:lineRule="auto"/>
        <w:jc w:val="center"/>
        <w:rPr>
          <w:b/>
          <w:sz w:val="32"/>
          <w:szCs w:val="32"/>
        </w:rPr>
      </w:pPr>
      <w:bookmarkStart w:id="0" w:name="_Hlk60662079"/>
      <w:bookmarkStart w:id="1" w:name="_Hlk11247508"/>
      <w:bookmarkStart w:id="2" w:name="_Hlk47437344"/>
      <w:r w:rsidRPr="003707F1">
        <w:rPr>
          <w:b/>
          <w:sz w:val="32"/>
          <w:szCs w:val="32"/>
        </w:rPr>
        <w:t xml:space="preserve">Individualism/collectivism </w:t>
      </w:r>
      <w:r w:rsidR="00CD0281" w:rsidRPr="003707F1">
        <w:rPr>
          <w:b/>
          <w:sz w:val="32"/>
          <w:szCs w:val="32"/>
        </w:rPr>
        <w:t xml:space="preserve">and </w:t>
      </w:r>
      <w:r w:rsidR="00483256" w:rsidRPr="003707F1">
        <w:rPr>
          <w:b/>
          <w:sz w:val="32"/>
          <w:szCs w:val="32"/>
        </w:rPr>
        <w:t xml:space="preserve">perceived </w:t>
      </w:r>
      <w:r w:rsidR="00CD0281" w:rsidRPr="003707F1">
        <w:rPr>
          <w:b/>
          <w:sz w:val="32"/>
          <w:szCs w:val="32"/>
        </w:rPr>
        <w:t>consumer e</w:t>
      </w:r>
      <w:r w:rsidR="00483256" w:rsidRPr="003707F1">
        <w:rPr>
          <w:b/>
          <w:sz w:val="32"/>
          <w:szCs w:val="32"/>
        </w:rPr>
        <w:t>ffectiveness</w:t>
      </w:r>
      <w:r w:rsidR="00C515CE" w:rsidRPr="003707F1">
        <w:rPr>
          <w:b/>
          <w:sz w:val="32"/>
          <w:szCs w:val="32"/>
        </w:rPr>
        <w:t xml:space="preserve">: </w:t>
      </w:r>
      <w:r w:rsidRPr="003707F1">
        <w:rPr>
          <w:b/>
          <w:sz w:val="32"/>
          <w:szCs w:val="32"/>
        </w:rPr>
        <w:t>the moderating role of global-local identities in</w:t>
      </w:r>
      <w:r w:rsidR="00C515CE" w:rsidRPr="003707F1">
        <w:rPr>
          <w:b/>
          <w:sz w:val="32"/>
          <w:szCs w:val="32"/>
        </w:rPr>
        <w:t xml:space="preserve"> a </w:t>
      </w:r>
      <w:r w:rsidR="008D617B" w:rsidRPr="003707F1">
        <w:rPr>
          <w:b/>
          <w:sz w:val="32"/>
          <w:szCs w:val="32"/>
        </w:rPr>
        <w:t xml:space="preserve">post-transitional </w:t>
      </w:r>
      <w:r w:rsidR="00C515CE" w:rsidRPr="003707F1">
        <w:rPr>
          <w:b/>
          <w:sz w:val="32"/>
          <w:szCs w:val="32"/>
        </w:rPr>
        <w:t>European economy</w:t>
      </w:r>
    </w:p>
    <w:bookmarkEnd w:id="0"/>
    <w:bookmarkEnd w:id="1"/>
    <w:p w14:paraId="66D59907" w14:textId="77777777" w:rsidR="001870D4" w:rsidRPr="003707F1" w:rsidRDefault="001870D4" w:rsidP="00AB7714">
      <w:pPr>
        <w:spacing w:line="360" w:lineRule="auto"/>
        <w:jc w:val="both"/>
        <w:rPr>
          <w:b/>
        </w:rPr>
      </w:pPr>
    </w:p>
    <w:p w14:paraId="2EC85051" w14:textId="644FDCC7" w:rsidR="00A01BD7" w:rsidRPr="003707F1" w:rsidRDefault="0069639A" w:rsidP="00AB7714">
      <w:pPr>
        <w:spacing w:line="360" w:lineRule="auto"/>
        <w:jc w:val="both"/>
        <w:rPr>
          <w:b/>
        </w:rPr>
      </w:pPr>
      <w:r w:rsidRPr="003707F1">
        <w:rPr>
          <w:b/>
        </w:rPr>
        <w:t>Abstract</w:t>
      </w:r>
    </w:p>
    <w:p w14:paraId="7EEF5C9E" w14:textId="21FCB97B" w:rsidR="00370CD1" w:rsidRPr="003707F1" w:rsidRDefault="00B8096B" w:rsidP="00AB7714">
      <w:pPr>
        <w:spacing w:line="360" w:lineRule="auto"/>
        <w:jc w:val="both"/>
        <w:rPr>
          <w:bCs/>
        </w:rPr>
      </w:pPr>
      <w:r w:rsidRPr="003707F1">
        <w:rPr>
          <w:bCs/>
        </w:rPr>
        <w:t>What explains why some consumers believe their individual consumption choices impact the natural environment, social issues, and employee well-being and others do not? This study examines the moderating role of global and local social identities on the relations between cultural values of vertical and horizontal individualism and collectivism</w:t>
      </w:r>
      <w:r w:rsidR="00592A5F" w:rsidRPr="003707F1">
        <w:rPr>
          <w:bCs/>
        </w:rPr>
        <w:t>,</w:t>
      </w:r>
      <w:r w:rsidRPr="003707F1">
        <w:rPr>
          <w:bCs/>
        </w:rPr>
        <w:t xml:space="preserve"> and perceived consumer effectiveness. Data were collected from 432 respondents in Poland. Individuals who report high values of vertical individualism and high vertical collectivism believe their </w:t>
      </w:r>
      <w:r w:rsidR="00A523AC" w:rsidRPr="003707F1">
        <w:rPr>
          <w:bCs/>
        </w:rPr>
        <w:t xml:space="preserve">individual </w:t>
      </w:r>
      <w:r w:rsidR="00924E9E" w:rsidRPr="003707F1">
        <w:rPr>
          <w:bCs/>
        </w:rPr>
        <w:t>purchase decision</w:t>
      </w:r>
      <w:r w:rsidR="00A523AC" w:rsidRPr="003707F1">
        <w:rPr>
          <w:bCs/>
        </w:rPr>
        <w:t>s</w:t>
      </w:r>
      <w:r w:rsidR="00924E9E" w:rsidRPr="003707F1">
        <w:rPr>
          <w:bCs/>
        </w:rPr>
        <w:t xml:space="preserve"> </w:t>
      </w:r>
      <w:r w:rsidRPr="003707F1">
        <w:rPr>
          <w:bCs/>
        </w:rPr>
        <w:t xml:space="preserve">impact the natural environment, social and community issues, and employee welfare. It is the acceptance of responsibility for oneself (vertical individualism) and others (vertical collectivism) that explains why some people believe their consumption choices </w:t>
      </w:r>
      <w:r w:rsidR="00681863" w:rsidRPr="003707F1">
        <w:rPr>
          <w:bCs/>
        </w:rPr>
        <w:t>affect wider societal and environmental issues</w:t>
      </w:r>
      <w:r w:rsidRPr="003707F1">
        <w:rPr>
          <w:bCs/>
        </w:rPr>
        <w:t xml:space="preserve">. Global identity strengthens this for vertical individualists, and local identity strengthens this for vertical collectivists. We provide evidence that </w:t>
      </w:r>
      <w:r w:rsidR="00681863" w:rsidRPr="003707F1">
        <w:rPr>
          <w:bCs/>
        </w:rPr>
        <w:t xml:space="preserve">the </w:t>
      </w:r>
      <w:r w:rsidRPr="003707F1">
        <w:rPr>
          <w:bCs/>
        </w:rPr>
        <w:t xml:space="preserve">conceptual distinction between horizontal and vertical orientations of individualism and collectivism matters when explaining perceived consumer effectiveness. The study confirms that global and local social identities are </w:t>
      </w:r>
      <w:r w:rsidR="00681863" w:rsidRPr="003707F1">
        <w:rPr>
          <w:bCs/>
        </w:rPr>
        <w:t xml:space="preserve">meaningful </w:t>
      </w:r>
      <w:r w:rsidRPr="003707F1">
        <w:rPr>
          <w:bCs/>
        </w:rPr>
        <w:t xml:space="preserve">variables in the context of perceived consumer effectiveness. The concept of value congruence explains the hypothesised relations only partially. The study contributes to the literature on consumer behaviour in the </w:t>
      </w:r>
      <w:r w:rsidR="002B224D" w:rsidRPr="003707F1">
        <w:rPr>
          <w:bCs/>
        </w:rPr>
        <w:t xml:space="preserve">context of </w:t>
      </w:r>
      <w:r w:rsidR="00D70839" w:rsidRPr="003707F1">
        <w:rPr>
          <w:bCs/>
        </w:rPr>
        <w:t xml:space="preserve">the </w:t>
      </w:r>
      <w:r w:rsidRPr="003707F1">
        <w:rPr>
          <w:bCs/>
        </w:rPr>
        <w:t>post-transitional economy</w:t>
      </w:r>
      <w:r w:rsidR="002B224D" w:rsidRPr="003707F1">
        <w:rPr>
          <w:bCs/>
        </w:rPr>
        <w:t xml:space="preserve"> of </w:t>
      </w:r>
      <w:r w:rsidRPr="003707F1">
        <w:rPr>
          <w:bCs/>
        </w:rPr>
        <w:t>Poland.</w:t>
      </w:r>
    </w:p>
    <w:p w14:paraId="49C9568C" w14:textId="77777777" w:rsidR="00B8096B" w:rsidRPr="003707F1" w:rsidRDefault="00B8096B" w:rsidP="00AB7714">
      <w:pPr>
        <w:spacing w:line="360" w:lineRule="auto"/>
        <w:jc w:val="both"/>
        <w:rPr>
          <w:bCs/>
        </w:rPr>
      </w:pPr>
    </w:p>
    <w:p w14:paraId="3D9B938A" w14:textId="6500BFA4" w:rsidR="00E3413D" w:rsidRPr="003707F1" w:rsidRDefault="00E3413D" w:rsidP="00AB7714">
      <w:pPr>
        <w:spacing w:line="360" w:lineRule="auto"/>
        <w:jc w:val="both"/>
        <w:rPr>
          <w:b/>
        </w:rPr>
      </w:pPr>
      <w:r w:rsidRPr="003707F1">
        <w:rPr>
          <w:b/>
        </w:rPr>
        <w:t xml:space="preserve">Keywords: </w:t>
      </w:r>
      <w:r w:rsidRPr="003707F1">
        <w:t>individualism, collectivism, perceived consumer effectiveness, global-local identity</w:t>
      </w:r>
    </w:p>
    <w:p w14:paraId="38EFF3C9" w14:textId="68683CEF" w:rsidR="00B72783" w:rsidRPr="003707F1" w:rsidRDefault="00B72783" w:rsidP="00B8096B">
      <w:pPr>
        <w:spacing w:line="360" w:lineRule="auto"/>
        <w:jc w:val="both"/>
      </w:pPr>
    </w:p>
    <w:p w14:paraId="01F691A4" w14:textId="6B3DFADF" w:rsidR="00B72783" w:rsidRPr="003707F1" w:rsidRDefault="00B72783" w:rsidP="00B8096B">
      <w:pPr>
        <w:spacing w:line="360" w:lineRule="auto"/>
        <w:jc w:val="both"/>
      </w:pPr>
    </w:p>
    <w:p w14:paraId="43CE22FE" w14:textId="56213CEB" w:rsidR="00B72783" w:rsidRPr="003707F1" w:rsidRDefault="00B72783" w:rsidP="00B8096B">
      <w:pPr>
        <w:spacing w:line="360" w:lineRule="auto"/>
        <w:jc w:val="both"/>
      </w:pPr>
    </w:p>
    <w:p w14:paraId="542AEA9F" w14:textId="0D77BB25" w:rsidR="00B72783" w:rsidRPr="003707F1" w:rsidRDefault="00B72783" w:rsidP="00B8096B">
      <w:pPr>
        <w:spacing w:line="360" w:lineRule="auto"/>
        <w:jc w:val="both"/>
      </w:pPr>
    </w:p>
    <w:p w14:paraId="455324B3" w14:textId="21B3D1F4" w:rsidR="00B72783" w:rsidRPr="003707F1" w:rsidRDefault="00B72783" w:rsidP="00B8096B">
      <w:pPr>
        <w:spacing w:line="360" w:lineRule="auto"/>
        <w:jc w:val="both"/>
      </w:pPr>
    </w:p>
    <w:p w14:paraId="0A8A38D6" w14:textId="73B3303F" w:rsidR="00B72783" w:rsidRPr="003707F1" w:rsidRDefault="00B72783" w:rsidP="00B8096B">
      <w:pPr>
        <w:spacing w:line="360" w:lineRule="auto"/>
        <w:jc w:val="both"/>
      </w:pPr>
    </w:p>
    <w:p w14:paraId="3C4EDE2B" w14:textId="77777777" w:rsidR="00B72783" w:rsidRPr="003707F1" w:rsidRDefault="00B72783" w:rsidP="00B8096B">
      <w:pPr>
        <w:spacing w:line="360" w:lineRule="auto"/>
        <w:jc w:val="both"/>
        <w:rPr>
          <w:b/>
        </w:rPr>
      </w:pPr>
    </w:p>
    <w:p w14:paraId="012B06E0" w14:textId="6AB382CF" w:rsidR="006B7143" w:rsidRPr="003707F1" w:rsidRDefault="006B7143" w:rsidP="00AB7714">
      <w:pPr>
        <w:spacing w:line="360" w:lineRule="auto"/>
        <w:jc w:val="both"/>
      </w:pPr>
    </w:p>
    <w:p w14:paraId="007E2E38" w14:textId="400DDC5A" w:rsidR="00BA7FE9" w:rsidRPr="003707F1" w:rsidRDefault="00BA7FE9" w:rsidP="00AB7714">
      <w:pPr>
        <w:spacing w:line="360" w:lineRule="auto"/>
        <w:jc w:val="both"/>
        <w:rPr>
          <w:b/>
        </w:rPr>
      </w:pPr>
      <w:bookmarkStart w:id="3" w:name="_Hlk47996935"/>
      <w:r w:rsidRPr="003707F1">
        <w:rPr>
          <w:b/>
        </w:rPr>
        <w:lastRenderedPageBreak/>
        <w:t xml:space="preserve">Introduction </w:t>
      </w:r>
    </w:p>
    <w:p w14:paraId="76364535" w14:textId="58143BB6" w:rsidR="00250703" w:rsidRPr="003707F1" w:rsidRDefault="009B6CB1" w:rsidP="00DC4D25">
      <w:pPr>
        <w:spacing w:line="360" w:lineRule="auto"/>
        <w:ind w:firstLine="720"/>
        <w:jc w:val="both"/>
      </w:pPr>
      <w:bookmarkStart w:id="4" w:name="_Hlk10379486"/>
      <w:r w:rsidRPr="003707F1">
        <w:t xml:space="preserve">More than </w:t>
      </w:r>
      <w:r w:rsidR="00666DF3" w:rsidRPr="003707F1">
        <w:t xml:space="preserve">twenty </w:t>
      </w:r>
      <w:r w:rsidRPr="003707F1">
        <w:t xml:space="preserve">years ago, </w:t>
      </w:r>
      <w:r w:rsidR="00C00595" w:rsidRPr="003707F1">
        <w:t xml:space="preserve">Wilk (1998) </w:t>
      </w:r>
      <w:r w:rsidR="00894B4F" w:rsidRPr="003707F1">
        <w:t>argued</w:t>
      </w:r>
      <w:r w:rsidR="00C00595" w:rsidRPr="003707F1">
        <w:t xml:space="preserve"> that “consumption is a key mediator of the environmental impact of </w:t>
      </w:r>
      <w:r w:rsidR="0050710A" w:rsidRPr="003707F1">
        <w:t xml:space="preserve">the </w:t>
      </w:r>
      <w:r w:rsidR="00C00595" w:rsidRPr="003707F1">
        <w:t>human population on the planet” (p.</w:t>
      </w:r>
      <w:r w:rsidR="00C44312" w:rsidRPr="003707F1">
        <w:t xml:space="preserve"> 314</w:t>
      </w:r>
      <w:r w:rsidR="00C00595" w:rsidRPr="003707F1">
        <w:t xml:space="preserve">). </w:t>
      </w:r>
      <w:r w:rsidR="00276696" w:rsidRPr="003707F1">
        <w:t>Almost t</w:t>
      </w:r>
      <w:r w:rsidR="00C44312" w:rsidRPr="003707F1">
        <w:t>hirty</w:t>
      </w:r>
      <w:r w:rsidR="00C00595" w:rsidRPr="003707F1">
        <w:t xml:space="preserve"> years later</w:t>
      </w:r>
      <w:r w:rsidR="00AC360D" w:rsidRPr="003707F1">
        <w:t>,</w:t>
      </w:r>
      <w:r w:rsidR="00C00595" w:rsidRPr="003707F1">
        <w:t xml:space="preserve"> </w:t>
      </w:r>
      <w:r w:rsidR="003E1EB3" w:rsidRPr="003707F1">
        <w:t>in the face of an environmental crisis</w:t>
      </w:r>
      <w:r w:rsidR="00BF3568" w:rsidRPr="003707F1">
        <w:t>,</w:t>
      </w:r>
      <w:r w:rsidR="003E1EB3" w:rsidRPr="003707F1">
        <w:t xml:space="preserve"> r</w:t>
      </w:r>
      <w:r w:rsidR="0044010C" w:rsidRPr="003707F1">
        <w:t xml:space="preserve">esearchers and policymakers </w:t>
      </w:r>
      <w:r w:rsidR="004F15DF" w:rsidRPr="003707F1">
        <w:t>argue</w:t>
      </w:r>
      <w:r w:rsidR="0044010C" w:rsidRPr="003707F1">
        <w:t xml:space="preserve"> that solving environmental problems is a complex </w:t>
      </w:r>
      <w:r w:rsidR="002B4F80" w:rsidRPr="003707F1">
        <w:t>issue that must be viewed in multiple contexts</w:t>
      </w:r>
      <w:r w:rsidR="00B54B14" w:rsidRPr="003707F1">
        <w:t xml:space="preserve"> </w:t>
      </w:r>
      <w:r w:rsidR="00EC17FE" w:rsidRPr="003707F1">
        <w:t xml:space="preserve">including </w:t>
      </w:r>
      <w:r w:rsidR="00691618" w:rsidRPr="003707F1">
        <w:t xml:space="preserve">individual consumption </w:t>
      </w:r>
      <w:r w:rsidR="0044010C" w:rsidRPr="003707F1">
        <w:t>(</w:t>
      </w:r>
      <w:proofErr w:type="spellStart"/>
      <w:r w:rsidR="00B26CA7" w:rsidRPr="003707F1">
        <w:t>Wiedmann</w:t>
      </w:r>
      <w:proofErr w:type="spellEnd"/>
      <w:r w:rsidR="00B26CA7" w:rsidRPr="003707F1">
        <w:t xml:space="preserve">, </w:t>
      </w:r>
      <w:proofErr w:type="spellStart"/>
      <w:r w:rsidR="00B26CA7" w:rsidRPr="003707F1">
        <w:t>Lenzen</w:t>
      </w:r>
      <w:proofErr w:type="spellEnd"/>
      <w:r w:rsidR="00B26CA7" w:rsidRPr="003707F1">
        <w:t xml:space="preserve">, </w:t>
      </w:r>
      <w:proofErr w:type="spellStart"/>
      <w:r w:rsidR="00B26CA7" w:rsidRPr="003707F1">
        <w:t>Keyßer</w:t>
      </w:r>
      <w:proofErr w:type="spellEnd"/>
      <w:r w:rsidR="00015732" w:rsidRPr="003707F1">
        <w:t>,</w:t>
      </w:r>
      <w:r w:rsidR="00B26CA7" w:rsidRPr="003707F1">
        <w:t xml:space="preserve"> &amp; </w:t>
      </w:r>
      <w:proofErr w:type="gramStart"/>
      <w:r w:rsidR="00B26CA7" w:rsidRPr="003707F1">
        <w:t>Steinberger,  2020</w:t>
      </w:r>
      <w:proofErr w:type="gramEnd"/>
      <w:r w:rsidR="00691618" w:rsidRPr="003707F1">
        <w:t xml:space="preserve">). </w:t>
      </w:r>
      <w:r w:rsidR="0071548F" w:rsidRPr="003707F1">
        <w:t xml:space="preserve">Efforts </w:t>
      </w:r>
      <w:r w:rsidR="00E61505" w:rsidRPr="003707F1">
        <w:t>to increase</w:t>
      </w:r>
      <w:r w:rsidR="0071548F" w:rsidRPr="003707F1">
        <w:t xml:space="preserve"> consumer</w:t>
      </w:r>
      <w:r w:rsidR="00E61505" w:rsidRPr="003707F1">
        <w:t xml:space="preserve"> awareness</w:t>
      </w:r>
      <w:r w:rsidR="0071548F" w:rsidRPr="003707F1">
        <w:t xml:space="preserve"> </w:t>
      </w:r>
      <w:r w:rsidR="00525480" w:rsidRPr="003707F1">
        <w:t>about</w:t>
      </w:r>
      <w:r w:rsidR="0071548F" w:rsidRPr="003707F1">
        <w:t xml:space="preserve"> the impact their </w:t>
      </w:r>
      <w:r w:rsidR="002C6B52" w:rsidRPr="003707F1">
        <w:t xml:space="preserve">individual </w:t>
      </w:r>
      <w:r w:rsidR="00AC360D" w:rsidRPr="003707F1">
        <w:t xml:space="preserve">consumption </w:t>
      </w:r>
      <w:r w:rsidR="0071548F" w:rsidRPr="003707F1">
        <w:t>choices have on the</w:t>
      </w:r>
      <w:r w:rsidR="005A0BFF" w:rsidRPr="003707F1">
        <w:t xml:space="preserve"> natural</w:t>
      </w:r>
      <w:r w:rsidR="0071548F" w:rsidRPr="003707F1">
        <w:t xml:space="preserve"> environment</w:t>
      </w:r>
      <w:r w:rsidR="005A0BFF" w:rsidRPr="003707F1">
        <w:t>, soci</w:t>
      </w:r>
      <w:r w:rsidR="0068443C" w:rsidRPr="003707F1">
        <w:t>al issues</w:t>
      </w:r>
      <w:r w:rsidR="005A0BFF" w:rsidRPr="003707F1">
        <w:t xml:space="preserve"> and employee welfare</w:t>
      </w:r>
      <w:r w:rsidR="0071548F" w:rsidRPr="003707F1">
        <w:t xml:space="preserve"> will remain important </w:t>
      </w:r>
      <w:r w:rsidR="00733097" w:rsidRPr="003707F1">
        <w:t>to policymakers</w:t>
      </w:r>
      <w:r w:rsidR="00EF6C11" w:rsidRPr="003707F1">
        <w:t xml:space="preserve">, </w:t>
      </w:r>
      <w:r w:rsidR="00733097" w:rsidRPr="003707F1">
        <w:t>researchers</w:t>
      </w:r>
      <w:r w:rsidR="00EF6C11" w:rsidRPr="003707F1">
        <w:t xml:space="preserve">, </w:t>
      </w:r>
      <w:r w:rsidR="0093730C" w:rsidRPr="003707F1">
        <w:t xml:space="preserve">businesses, </w:t>
      </w:r>
      <w:r w:rsidR="00EF6C11" w:rsidRPr="003707F1">
        <w:t xml:space="preserve">and consumer activists </w:t>
      </w:r>
      <w:r w:rsidR="0071548F" w:rsidRPr="003707F1">
        <w:t>for years to come</w:t>
      </w:r>
      <w:r w:rsidR="003E1EB3" w:rsidRPr="003707F1">
        <w:t xml:space="preserve"> (</w:t>
      </w:r>
      <w:r w:rsidR="00E86528" w:rsidRPr="003707F1">
        <w:t xml:space="preserve">Bolton, 2020; </w:t>
      </w:r>
      <w:r w:rsidR="003E1EB3" w:rsidRPr="003707F1">
        <w:t>United Nations, 2019)</w:t>
      </w:r>
      <w:r w:rsidR="0071548F" w:rsidRPr="003707F1">
        <w:t>.</w:t>
      </w:r>
      <w:r w:rsidR="00632E55" w:rsidRPr="003707F1">
        <w:t xml:space="preserve"> </w:t>
      </w:r>
      <w:r w:rsidR="00CA3A89" w:rsidRPr="003707F1">
        <w:t xml:space="preserve">Consequently, research to delineate factors that affect sustainable </w:t>
      </w:r>
      <w:r w:rsidR="00DC4D25" w:rsidRPr="003707F1">
        <w:t xml:space="preserve">consumption </w:t>
      </w:r>
      <w:r w:rsidR="00CA3A89" w:rsidRPr="003707F1">
        <w:t xml:space="preserve">choices remains as </w:t>
      </w:r>
      <w:r w:rsidR="005A7E10" w:rsidRPr="003707F1">
        <w:t xml:space="preserve">essential </w:t>
      </w:r>
      <w:r w:rsidR="00CA3A89" w:rsidRPr="003707F1">
        <w:t xml:space="preserve">today as it was </w:t>
      </w:r>
      <w:r w:rsidR="00276696" w:rsidRPr="003707F1">
        <w:t xml:space="preserve">over </w:t>
      </w:r>
      <w:r w:rsidR="00666DF3" w:rsidRPr="003707F1">
        <w:t xml:space="preserve">two decades </w:t>
      </w:r>
      <w:r w:rsidR="00CA3A89" w:rsidRPr="003707F1">
        <w:t>ago.</w:t>
      </w:r>
    </w:p>
    <w:p w14:paraId="05F3E626" w14:textId="1B4398ED" w:rsidR="00EF065B" w:rsidRPr="003707F1" w:rsidRDefault="005A7E10" w:rsidP="00AB1B27">
      <w:pPr>
        <w:spacing w:line="360" w:lineRule="auto"/>
        <w:ind w:firstLine="720"/>
        <w:jc w:val="both"/>
      </w:pPr>
      <w:r w:rsidRPr="003707F1">
        <w:t xml:space="preserve">While </w:t>
      </w:r>
      <w:r w:rsidR="002F594B" w:rsidRPr="003707F1">
        <w:t>some individuals make thoughtful consumption decisions and believe their individual actions matter, others do not</w:t>
      </w:r>
      <w:r w:rsidR="009F1FC0" w:rsidRPr="003707F1">
        <w:t xml:space="preserve"> (Chen, 2020</w:t>
      </w:r>
      <w:r w:rsidR="00233CA4" w:rsidRPr="003707F1">
        <w:t>;</w:t>
      </w:r>
      <w:r w:rsidR="00C71F7E" w:rsidRPr="003707F1">
        <w:t xml:space="preserve"> </w:t>
      </w:r>
      <w:r w:rsidR="00AA0E24" w:rsidRPr="003707F1">
        <w:t>Gao, Zhao, Wang</w:t>
      </w:r>
      <w:r w:rsidR="00015732" w:rsidRPr="003707F1">
        <w:t>,</w:t>
      </w:r>
      <w:r w:rsidR="00AA0E24" w:rsidRPr="003707F1">
        <w:t xml:space="preserve"> &amp; Wang, 2020</w:t>
      </w:r>
      <w:r w:rsidR="00946F8C" w:rsidRPr="003707F1">
        <w:t>).</w:t>
      </w:r>
      <w:r w:rsidR="00AA0E24" w:rsidRPr="003707F1">
        <w:t xml:space="preserve"> </w:t>
      </w:r>
      <w:r w:rsidR="00691618" w:rsidRPr="003707F1">
        <w:t xml:space="preserve">The </w:t>
      </w:r>
      <w:r w:rsidR="00EF065B" w:rsidRPr="003707F1">
        <w:t>belief that one’s consumption choices have an impact on environmental resource problems, social issues</w:t>
      </w:r>
      <w:r w:rsidR="002377FE" w:rsidRPr="003707F1">
        <w:t>,</w:t>
      </w:r>
      <w:r w:rsidR="00EF065B" w:rsidRPr="003707F1">
        <w:t xml:space="preserve"> and employee welfare </w:t>
      </w:r>
      <w:r w:rsidR="00691618" w:rsidRPr="003707F1">
        <w:t xml:space="preserve">has been conceptualised as perceived consumer effectiveness (PCE) </w:t>
      </w:r>
      <w:r w:rsidR="00EF065B" w:rsidRPr="003707F1">
        <w:t xml:space="preserve">(Ellen, </w:t>
      </w:r>
      <w:r w:rsidR="00FD2B03" w:rsidRPr="003707F1">
        <w:t>Wiener, &amp; Cobb-</w:t>
      </w:r>
      <w:proofErr w:type="spellStart"/>
      <w:r w:rsidR="00FD2B03" w:rsidRPr="003707F1">
        <w:t>Walgren</w:t>
      </w:r>
      <w:proofErr w:type="spellEnd"/>
      <w:r w:rsidR="00FD2B03" w:rsidRPr="003707F1">
        <w:t xml:space="preserve">, </w:t>
      </w:r>
      <w:r w:rsidR="00EF065B" w:rsidRPr="003707F1">
        <w:t xml:space="preserve">1991). </w:t>
      </w:r>
      <w:r w:rsidR="00DE4D63" w:rsidRPr="003707F1">
        <w:t>Individuals who believe that their consumption behaviour impacts the environment, employee</w:t>
      </w:r>
      <w:r w:rsidR="003D5190" w:rsidRPr="003707F1">
        <w:t>,</w:t>
      </w:r>
      <w:r w:rsidR="00DE4D63" w:rsidRPr="003707F1">
        <w:t xml:space="preserve"> and social issues are more likely to consider and choose product</w:t>
      </w:r>
      <w:r w:rsidR="00946F8C" w:rsidRPr="003707F1">
        <w:t>s</w:t>
      </w:r>
      <w:r w:rsidR="00DE4D63" w:rsidRPr="003707F1">
        <w:t xml:space="preserve"> that are sustainable (Antonetti, &amp; </w:t>
      </w:r>
      <w:proofErr w:type="spellStart"/>
      <w:r w:rsidR="00DE4D63" w:rsidRPr="003707F1">
        <w:t>Maklan</w:t>
      </w:r>
      <w:proofErr w:type="spellEnd"/>
      <w:r w:rsidR="00DE4D63" w:rsidRPr="003707F1">
        <w:t>, 2014).</w:t>
      </w:r>
      <w:r w:rsidR="00AB1B27" w:rsidRPr="003707F1">
        <w:t xml:space="preserve"> </w:t>
      </w:r>
    </w:p>
    <w:p w14:paraId="6A311D79" w14:textId="2CA3E2B7" w:rsidR="0056717E" w:rsidRPr="003707F1" w:rsidRDefault="001001C4" w:rsidP="00292E97">
      <w:pPr>
        <w:spacing w:line="360" w:lineRule="auto"/>
        <w:ind w:firstLine="720"/>
        <w:jc w:val="both"/>
      </w:pPr>
      <w:r w:rsidRPr="003707F1">
        <w:t xml:space="preserve">Some of the factors that influence </w:t>
      </w:r>
      <w:r w:rsidR="00F367D6" w:rsidRPr="003707F1">
        <w:t xml:space="preserve">sustainable </w:t>
      </w:r>
      <w:r w:rsidR="00807D3F" w:rsidRPr="003707F1">
        <w:t>consumption</w:t>
      </w:r>
      <w:r w:rsidRPr="003707F1">
        <w:t xml:space="preserve"> behaviour are cultural values and social identities </w:t>
      </w:r>
      <w:r w:rsidR="00DE4D63" w:rsidRPr="003707F1">
        <w:rPr>
          <w:bCs/>
        </w:rPr>
        <w:t>(</w:t>
      </w:r>
      <w:r w:rsidR="002D7CA8" w:rsidRPr="003707F1">
        <w:rPr>
          <w:bCs/>
        </w:rPr>
        <w:t xml:space="preserve">e.g., </w:t>
      </w:r>
      <w:proofErr w:type="spellStart"/>
      <w:r w:rsidR="00E60EEE" w:rsidRPr="003707F1">
        <w:rPr>
          <w:lang w:val="en-GB"/>
        </w:rPr>
        <w:t>Kuanr</w:t>
      </w:r>
      <w:proofErr w:type="spellEnd"/>
      <w:r w:rsidR="00E60EEE" w:rsidRPr="003707F1">
        <w:rPr>
          <w:lang w:val="en-GB"/>
        </w:rPr>
        <w:t xml:space="preserve">, Israel, Pradhan, &amp; Roy Chaudhuri, 2020; </w:t>
      </w:r>
      <w:r w:rsidR="002A7D29" w:rsidRPr="003707F1">
        <w:t xml:space="preserve">Sharma, </w:t>
      </w:r>
      <w:proofErr w:type="spellStart"/>
      <w:r w:rsidR="002A7D29" w:rsidRPr="003707F1">
        <w:t>Saha</w:t>
      </w:r>
      <w:proofErr w:type="spellEnd"/>
      <w:r w:rsidR="002A7D29" w:rsidRPr="003707F1">
        <w:t xml:space="preserve">, </w:t>
      </w:r>
      <w:proofErr w:type="spellStart"/>
      <w:r w:rsidR="002A7D29" w:rsidRPr="003707F1">
        <w:t>Sreedharan</w:t>
      </w:r>
      <w:proofErr w:type="spellEnd"/>
      <w:r w:rsidR="00C253AF" w:rsidRPr="003707F1">
        <w:t>,</w:t>
      </w:r>
      <w:r w:rsidR="002A7D29" w:rsidRPr="003707F1">
        <w:t xml:space="preserve"> &amp;</w:t>
      </w:r>
      <w:r w:rsidR="004F3EA5" w:rsidRPr="003707F1">
        <w:t xml:space="preserve"> </w:t>
      </w:r>
      <w:r w:rsidR="002A7D29" w:rsidRPr="003707F1">
        <w:t xml:space="preserve">Paul, 2020; </w:t>
      </w:r>
      <w:r w:rsidR="00DE4D63" w:rsidRPr="003707F1">
        <w:rPr>
          <w:bCs/>
        </w:rPr>
        <w:t>Udall, de Groot, de Jong</w:t>
      </w:r>
      <w:r w:rsidR="00C253AF" w:rsidRPr="003707F1">
        <w:rPr>
          <w:bCs/>
        </w:rPr>
        <w:t>,</w:t>
      </w:r>
      <w:r w:rsidR="00DE4D63" w:rsidRPr="003707F1">
        <w:rPr>
          <w:bCs/>
        </w:rPr>
        <w:t xml:space="preserve"> &amp; Shankar, 2020</w:t>
      </w:r>
      <w:proofErr w:type="gramStart"/>
      <w:r w:rsidR="00E60EEE" w:rsidRPr="003707F1">
        <w:rPr>
          <w:bCs/>
        </w:rPr>
        <w:t xml:space="preserve">; </w:t>
      </w:r>
      <w:r w:rsidR="00005DD4" w:rsidRPr="003707F1">
        <w:rPr>
          <w:bCs/>
        </w:rPr>
        <w:t>)</w:t>
      </w:r>
      <w:proofErr w:type="gramEnd"/>
      <w:r w:rsidRPr="003707F1">
        <w:rPr>
          <w:bCs/>
        </w:rPr>
        <w:t xml:space="preserve">. </w:t>
      </w:r>
      <w:r w:rsidR="00BF47D4" w:rsidRPr="003707F1">
        <w:t xml:space="preserve">Whilst research </w:t>
      </w:r>
      <w:proofErr w:type="gramStart"/>
      <w:r w:rsidR="00BF47D4" w:rsidRPr="003707F1">
        <w:t>in the area of</w:t>
      </w:r>
      <w:proofErr w:type="gramEnd"/>
      <w:r w:rsidR="00BF47D4" w:rsidRPr="003707F1">
        <w:t xml:space="preserve"> values, identities, and beliefs </w:t>
      </w:r>
      <w:r w:rsidR="00C92766" w:rsidRPr="003707F1">
        <w:t xml:space="preserve">in a wide range of consumption contexts, including pro-environmental </w:t>
      </w:r>
      <w:r w:rsidR="00790948" w:rsidRPr="003707F1">
        <w:t xml:space="preserve">consumption </w:t>
      </w:r>
      <w:r w:rsidR="00BF47D4" w:rsidRPr="003707F1">
        <w:t xml:space="preserve">has a long </w:t>
      </w:r>
      <w:r w:rsidR="00220487" w:rsidRPr="003707F1">
        <w:t xml:space="preserve">and rich </w:t>
      </w:r>
      <w:r w:rsidR="00BF47D4" w:rsidRPr="003707F1">
        <w:t>history</w:t>
      </w:r>
      <w:r w:rsidR="00790948" w:rsidRPr="003707F1">
        <w:t>,</w:t>
      </w:r>
      <w:r w:rsidR="00D52FB8" w:rsidRPr="003707F1">
        <w:t xml:space="preserve"> </w:t>
      </w:r>
      <w:r w:rsidR="00BF47D4" w:rsidRPr="003707F1">
        <w:t xml:space="preserve">the dynamic nature of sociocultural environment necessitates continued research to monitor changes in consumer behaviour </w:t>
      </w:r>
      <w:r w:rsidR="007E7EFA" w:rsidRPr="003707F1">
        <w:t>(</w:t>
      </w:r>
      <w:r w:rsidR="00424B24" w:rsidRPr="003707F1">
        <w:t xml:space="preserve">Ashraf et al., 2020; </w:t>
      </w:r>
      <w:r w:rsidR="008D5A6A" w:rsidRPr="003707F1">
        <w:t xml:space="preserve">Perreault, 2012; </w:t>
      </w:r>
      <w:proofErr w:type="spellStart"/>
      <w:r w:rsidR="00424B24" w:rsidRPr="003707F1">
        <w:t>Thøgersen</w:t>
      </w:r>
      <w:proofErr w:type="spellEnd"/>
      <w:r w:rsidR="00424B24" w:rsidRPr="003707F1">
        <w:t xml:space="preserve"> &amp; </w:t>
      </w:r>
      <w:proofErr w:type="spellStart"/>
      <w:r w:rsidR="00424B24" w:rsidRPr="003707F1">
        <w:t>Ölander</w:t>
      </w:r>
      <w:proofErr w:type="spellEnd"/>
      <w:r w:rsidR="00424B24" w:rsidRPr="003707F1">
        <w:t>, 2002</w:t>
      </w:r>
      <w:r w:rsidR="00BF47D4" w:rsidRPr="003707F1">
        <w:t>)</w:t>
      </w:r>
      <w:r w:rsidR="00220487" w:rsidRPr="003707F1">
        <w:t xml:space="preserve">, especially in contexts that have been relatively </w:t>
      </w:r>
      <w:proofErr w:type="spellStart"/>
      <w:r w:rsidR="00220487" w:rsidRPr="003707F1">
        <w:t>underresearched</w:t>
      </w:r>
      <w:proofErr w:type="spellEnd"/>
      <w:r w:rsidR="00220487" w:rsidRPr="003707F1">
        <w:t xml:space="preserve">. </w:t>
      </w:r>
    </w:p>
    <w:p w14:paraId="5B21AEF5" w14:textId="78EA07E4" w:rsidR="004D1E3E" w:rsidRPr="003707F1" w:rsidRDefault="006B0574" w:rsidP="00E0777A">
      <w:pPr>
        <w:spacing w:line="360" w:lineRule="auto"/>
        <w:ind w:firstLine="720"/>
        <w:jc w:val="both"/>
        <w:rPr>
          <w:strike/>
        </w:rPr>
      </w:pPr>
      <w:r w:rsidRPr="003707F1">
        <w:t>Researchers and practitioners try to predict consumer behaviour based on cultural values of the consumers. Often, they argue that consumers who hold certain values should be more likely to behave in a certain way</w:t>
      </w:r>
      <w:r w:rsidR="004F3EA5" w:rsidRPr="003707F1">
        <w:t xml:space="preserve"> (</w:t>
      </w:r>
      <w:proofErr w:type="spellStart"/>
      <w:r w:rsidR="004F3EA5" w:rsidRPr="003707F1">
        <w:t>Shavitt</w:t>
      </w:r>
      <w:proofErr w:type="spellEnd"/>
      <w:r w:rsidR="004F3EA5" w:rsidRPr="003707F1">
        <w:t xml:space="preserve"> &amp; Cho, 2016)</w:t>
      </w:r>
      <w:r w:rsidRPr="003707F1">
        <w:t xml:space="preserve">. Hence, </w:t>
      </w:r>
      <w:r w:rsidR="00790948" w:rsidRPr="003707F1">
        <w:t xml:space="preserve">the current study </w:t>
      </w:r>
      <w:r w:rsidR="004D1E3E" w:rsidRPr="003707F1">
        <w:t>draw</w:t>
      </w:r>
      <w:r w:rsidR="00790948" w:rsidRPr="003707F1">
        <w:t>s</w:t>
      </w:r>
      <w:r w:rsidR="004D1E3E" w:rsidRPr="003707F1">
        <w:t xml:space="preserve"> on </w:t>
      </w:r>
      <w:r w:rsidRPr="003707F1">
        <w:t xml:space="preserve">the </w:t>
      </w:r>
      <w:r w:rsidR="004D1E3E" w:rsidRPr="003707F1">
        <w:t xml:space="preserve">value congruence concept to investigate whether individuals who hold </w:t>
      </w:r>
      <w:r w:rsidR="00842589" w:rsidRPr="003707F1">
        <w:t xml:space="preserve">specific </w:t>
      </w:r>
      <w:r w:rsidR="004D1E3E" w:rsidRPr="003707F1">
        <w:t xml:space="preserve">values and identities are more likely to report beliefs that are congruent with those values and identities. In short, value congruence is the extent to which </w:t>
      </w:r>
      <w:r w:rsidR="00C253AF" w:rsidRPr="003707F1">
        <w:t xml:space="preserve">a person’s </w:t>
      </w:r>
      <w:r w:rsidR="004D1E3E" w:rsidRPr="003707F1">
        <w:t xml:space="preserve">values are congruent, or fit, with </w:t>
      </w:r>
      <w:r w:rsidR="00C253AF" w:rsidRPr="003707F1">
        <w:t xml:space="preserve">their </w:t>
      </w:r>
      <w:r w:rsidR="004D1E3E" w:rsidRPr="003707F1">
        <w:t>behaviours or beliefs (</w:t>
      </w:r>
      <w:r w:rsidR="00771206" w:rsidRPr="003707F1">
        <w:t>Kristof, 1996; Zhang &amp; Bloemer, 2009</w:t>
      </w:r>
      <w:r w:rsidR="004D1E3E" w:rsidRPr="003707F1">
        <w:t>). If this is the case, businesses, advertisers</w:t>
      </w:r>
      <w:r w:rsidR="001F4F6E" w:rsidRPr="003707F1">
        <w:t>,</w:t>
      </w:r>
      <w:r w:rsidR="004D1E3E" w:rsidRPr="003707F1">
        <w:t xml:space="preserve"> and consumer activists could </w:t>
      </w:r>
      <w:r w:rsidR="00127DC4" w:rsidRPr="003707F1">
        <w:t>employ</w:t>
      </w:r>
      <w:r w:rsidR="004D1E3E" w:rsidRPr="003707F1">
        <w:t xml:space="preserve"> value congruence to segment the </w:t>
      </w:r>
      <w:r w:rsidR="004D1E3E" w:rsidRPr="003707F1">
        <w:lastRenderedPageBreak/>
        <w:t xml:space="preserve">market with more certainty that people holding certain values and identities are more likely to hold certain beliefs or exhibit certain behaviours. Specifically, we </w:t>
      </w:r>
      <w:r w:rsidR="00B20F6D" w:rsidRPr="003707F1">
        <w:t>study</w:t>
      </w:r>
      <w:r w:rsidR="004D1E3E" w:rsidRPr="003707F1">
        <w:t xml:space="preserve"> how the values of horizontal</w:t>
      </w:r>
      <w:r w:rsidR="00220487" w:rsidRPr="003707F1">
        <w:t>/</w:t>
      </w:r>
      <w:r w:rsidR="004D1E3E" w:rsidRPr="003707F1">
        <w:t>vertical individualism</w:t>
      </w:r>
      <w:r w:rsidR="004F3EA5" w:rsidRPr="003707F1">
        <w:t xml:space="preserve"> and </w:t>
      </w:r>
      <w:r w:rsidR="004D1E3E" w:rsidRPr="003707F1">
        <w:t>collectivism</w:t>
      </w:r>
      <w:r w:rsidR="004F3EA5" w:rsidRPr="003707F1">
        <w:t>,</w:t>
      </w:r>
      <w:r w:rsidR="004D1E3E" w:rsidRPr="003707F1">
        <w:t xml:space="preserve"> and global and social identities are related to PCE. </w:t>
      </w:r>
    </w:p>
    <w:p w14:paraId="3641C558" w14:textId="3E79AA8B" w:rsidR="004D1E3E" w:rsidRPr="003707F1" w:rsidRDefault="004D1E3E" w:rsidP="004D1E3E">
      <w:pPr>
        <w:spacing w:line="360" w:lineRule="auto"/>
        <w:ind w:firstLine="720"/>
        <w:jc w:val="both"/>
      </w:pPr>
      <w:r w:rsidRPr="003707F1">
        <w:t>The construct of horizontal/vertical individualism–collectivism describes the nature of the relationship between individuals and groups that is most influential in a society (</w:t>
      </w:r>
      <w:proofErr w:type="spellStart"/>
      <w:r w:rsidRPr="003707F1">
        <w:t>Singelis</w:t>
      </w:r>
      <w:proofErr w:type="spellEnd"/>
      <w:r w:rsidRPr="003707F1">
        <w:t xml:space="preserve">, </w:t>
      </w:r>
      <w:proofErr w:type="spellStart"/>
      <w:r w:rsidRPr="003707F1">
        <w:t>Triandis</w:t>
      </w:r>
      <w:proofErr w:type="spellEnd"/>
      <w:r w:rsidRPr="003707F1">
        <w:t xml:space="preserve">, </w:t>
      </w:r>
      <w:proofErr w:type="spellStart"/>
      <w:r w:rsidRPr="003707F1">
        <w:t>Bhawuk</w:t>
      </w:r>
      <w:proofErr w:type="spellEnd"/>
      <w:r w:rsidRPr="003707F1">
        <w:t xml:space="preserve"> &amp; Gelfand, 1995). Both horizontal and vertical individualism </w:t>
      </w:r>
      <w:r w:rsidR="00894B4F" w:rsidRPr="003707F1">
        <w:t xml:space="preserve">emphasise </w:t>
      </w:r>
      <w:r w:rsidR="00B17265" w:rsidRPr="003707F1">
        <w:t xml:space="preserve">and </w:t>
      </w:r>
      <w:r w:rsidRPr="003707F1">
        <w:t>individual</w:t>
      </w:r>
      <w:r w:rsidR="00B17265" w:rsidRPr="003707F1">
        <w:t>’s</w:t>
      </w:r>
      <w:r w:rsidRPr="003707F1">
        <w:t xml:space="preserve"> goals over the needs of other individuals or groups</w:t>
      </w:r>
      <w:r w:rsidR="00B17265" w:rsidRPr="003707F1">
        <w:t>:</w:t>
      </w:r>
      <w:r w:rsidRPr="003707F1">
        <w:t xml:space="preserve"> vertical individualism stresses inequality and competition between individuals</w:t>
      </w:r>
      <w:r w:rsidR="00B17265" w:rsidRPr="003707F1">
        <w:t>,</w:t>
      </w:r>
      <w:r w:rsidR="00CF3612" w:rsidRPr="003707F1">
        <w:t xml:space="preserve"> </w:t>
      </w:r>
      <w:r w:rsidR="00B17265" w:rsidRPr="003707F1">
        <w:t xml:space="preserve">while </w:t>
      </w:r>
      <w:r w:rsidRPr="003707F1">
        <w:t xml:space="preserve">horizontal individualism stresses the uniqueness of individuals. For collectivists, group goals are more important than individual interests, but vertical collectivists </w:t>
      </w:r>
      <w:r w:rsidR="00E65AB7" w:rsidRPr="003707F1">
        <w:t xml:space="preserve">recognise </w:t>
      </w:r>
      <w:r w:rsidRPr="003707F1">
        <w:t>hierarchy between individuals within groups where individuals are supposed to be responsible for the well-being of a group</w:t>
      </w:r>
      <w:r w:rsidR="00790948" w:rsidRPr="003707F1">
        <w:t>.</w:t>
      </w:r>
      <w:r w:rsidRPr="003707F1">
        <w:t xml:space="preserve"> </w:t>
      </w:r>
      <w:r w:rsidR="00790948" w:rsidRPr="003707F1">
        <w:t>H</w:t>
      </w:r>
      <w:r w:rsidRPr="003707F1">
        <w:t xml:space="preserve">orizontal collectivists “see themselves as being similar to others (e.g., one person, one vote) and </w:t>
      </w:r>
      <w:r w:rsidR="00E65AB7" w:rsidRPr="003707F1">
        <w:t xml:space="preserve">emphasise </w:t>
      </w:r>
      <w:r w:rsidRPr="003707F1">
        <w:t>common goals with others, interdependence, and sociability” (</w:t>
      </w:r>
      <w:proofErr w:type="spellStart"/>
      <w:r w:rsidRPr="003707F1">
        <w:t>Triandis</w:t>
      </w:r>
      <w:proofErr w:type="spellEnd"/>
      <w:r w:rsidRPr="003707F1">
        <w:t xml:space="preserve"> &amp; Gelfand, 1998</w:t>
      </w:r>
      <w:r w:rsidR="007B2000" w:rsidRPr="003707F1">
        <w:t>,</w:t>
      </w:r>
      <w:r w:rsidRPr="003707F1">
        <w:t xml:space="preserve"> p. 119). </w:t>
      </w:r>
      <w:r w:rsidR="00B20F6D" w:rsidRPr="003707F1">
        <w:t xml:space="preserve">We examine values </w:t>
      </w:r>
      <w:r w:rsidR="004F3EA5" w:rsidRPr="003707F1">
        <w:t xml:space="preserve">of individualism and collectivism </w:t>
      </w:r>
      <w:r w:rsidR="00B20F6D" w:rsidRPr="003707F1">
        <w:t xml:space="preserve">because of the reported </w:t>
      </w:r>
      <w:r w:rsidR="004F3EA5" w:rsidRPr="003707F1">
        <w:t>upward</w:t>
      </w:r>
      <w:r w:rsidR="00B20F6D" w:rsidRPr="003707F1">
        <w:t xml:space="preserve"> changes in levels of individualism across the globe which have been linked to socioeconomic development hence suggesting that such values are relevant in the context of economic activity of consumers including individual consumption (Santos, Varnum, &amp; Grossmann, 2017). Further, we employ the horizontal/vertical measures because of suggested nuances in types of individualism and collectivism, and because these measures more explicitly differentiate between the different hierarchies and relationships between </w:t>
      </w:r>
      <w:proofErr w:type="spellStart"/>
      <w:r w:rsidR="00B20F6D" w:rsidRPr="003707F1">
        <w:t>indivdiuals</w:t>
      </w:r>
      <w:proofErr w:type="spellEnd"/>
      <w:r w:rsidR="00B20F6D" w:rsidRPr="003707F1">
        <w:t xml:space="preserve"> and groups</w:t>
      </w:r>
      <w:r w:rsidR="004F3EA5" w:rsidRPr="003707F1">
        <w:t>.</w:t>
      </w:r>
      <w:r w:rsidR="00B20F6D" w:rsidRPr="003707F1">
        <w:t xml:space="preserve"> </w:t>
      </w:r>
      <w:r w:rsidR="004F3EA5" w:rsidRPr="003707F1">
        <w:t xml:space="preserve">Therefore, these conceptual </w:t>
      </w:r>
      <w:proofErr w:type="gramStart"/>
      <w:r w:rsidR="004F3EA5" w:rsidRPr="003707F1">
        <w:t xml:space="preserve">distinctions </w:t>
      </w:r>
      <w:r w:rsidR="00B20F6D" w:rsidRPr="003707F1">
        <w:t xml:space="preserve"> may</w:t>
      </w:r>
      <w:proofErr w:type="gramEnd"/>
      <w:r w:rsidR="00B20F6D" w:rsidRPr="003707F1">
        <w:t xml:space="preserve"> be important for theoretical and practical reasons (</w:t>
      </w:r>
      <w:proofErr w:type="spellStart"/>
      <w:r w:rsidR="00B20F6D" w:rsidRPr="003707F1">
        <w:t>Fatehi</w:t>
      </w:r>
      <w:proofErr w:type="spellEnd"/>
      <w:r w:rsidR="00B20F6D" w:rsidRPr="003707F1">
        <w:t xml:space="preserve">, Priestley, &amp; </w:t>
      </w:r>
      <w:proofErr w:type="spellStart"/>
      <w:r w:rsidR="00B20F6D" w:rsidRPr="003707F1">
        <w:t>Taasoobshirazi</w:t>
      </w:r>
      <w:proofErr w:type="spellEnd"/>
      <w:r w:rsidR="00B20F6D" w:rsidRPr="003707F1">
        <w:t xml:space="preserve">, 2020; </w:t>
      </w:r>
      <w:proofErr w:type="spellStart"/>
      <w:r w:rsidR="00B20F6D" w:rsidRPr="003707F1">
        <w:t>Shavitt</w:t>
      </w:r>
      <w:proofErr w:type="spellEnd"/>
      <w:r w:rsidR="00BF2E86" w:rsidRPr="003707F1">
        <w:t xml:space="preserve">, </w:t>
      </w:r>
      <w:proofErr w:type="spellStart"/>
      <w:r w:rsidR="00B20F6D" w:rsidRPr="003707F1">
        <w:t>Torelli</w:t>
      </w:r>
      <w:proofErr w:type="spellEnd"/>
      <w:r w:rsidR="00B20F6D" w:rsidRPr="003707F1">
        <w:t xml:space="preserve">, </w:t>
      </w:r>
      <w:r w:rsidR="00BF2E86" w:rsidRPr="003707F1">
        <w:t xml:space="preserve">&amp; Riemer, </w:t>
      </w:r>
      <w:r w:rsidR="00B20F6D" w:rsidRPr="003707F1">
        <w:t>2011).</w:t>
      </w:r>
    </w:p>
    <w:p w14:paraId="7EF2376A" w14:textId="2BDF08AB" w:rsidR="00BB6EF9" w:rsidRPr="003707F1" w:rsidRDefault="004D1E3E" w:rsidP="00BB6EF9">
      <w:pPr>
        <w:spacing w:line="360" w:lineRule="auto"/>
        <w:ind w:firstLine="720"/>
        <w:jc w:val="both"/>
      </w:pPr>
      <w:r w:rsidRPr="003707F1">
        <w:t xml:space="preserve">Social identities, defined as an individual’s </w:t>
      </w:r>
      <w:r w:rsidR="0060667C" w:rsidRPr="003707F1">
        <w:t xml:space="preserve">perception </w:t>
      </w:r>
      <w:r w:rsidRPr="003707F1">
        <w:t xml:space="preserve">that one belongs to certain social groups and derives values from group membership (Tajfel, 1972), have also been found to be significantly influential on </w:t>
      </w:r>
      <w:r w:rsidR="00A35DEA" w:rsidRPr="003707F1">
        <w:t xml:space="preserve">a </w:t>
      </w:r>
      <w:r w:rsidRPr="003707F1">
        <w:t>person’s behaviour (</w:t>
      </w:r>
      <w:proofErr w:type="spellStart"/>
      <w:r w:rsidR="001C16BC" w:rsidRPr="003707F1">
        <w:t>Mutum</w:t>
      </w:r>
      <w:proofErr w:type="spellEnd"/>
      <w:r w:rsidR="001C16BC" w:rsidRPr="003707F1">
        <w:t>, Ghazali &amp; Wei‐Pin, 202</w:t>
      </w:r>
      <w:r w:rsidR="00652FD8" w:rsidRPr="003707F1">
        <w:t>1</w:t>
      </w:r>
      <w:r w:rsidR="001C16BC" w:rsidRPr="003707F1">
        <w:t xml:space="preserve">; </w:t>
      </w:r>
      <w:r w:rsidRPr="003707F1">
        <w:t>Wei, Ang</w:t>
      </w:r>
      <w:r w:rsidR="00BF2E86" w:rsidRPr="003707F1">
        <w:t>,</w:t>
      </w:r>
      <w:r w:rsidRPr="003707F1">
        <w:t xml:space="preserve"> &amp; </w:t>
      </w:r>
      <w:proofErr w:type="spellStart"/>
      <w:r w:rsidRPr="003707F1">
        <w:t>Liou</w:t>
      </w:r>
      <w:proofErr w:type="spellEnd"/>
      <w:r w:rsidRPr="003707F1">
        <w:t>, 20</w:t>
      </w:r>
      <w:r w:rsidR="00B70FBE" w:rsidRPr="003707F1">
        <w:t>20</w:t>
      </w:r>
      <w:r w:rsidRPr="003707F1">
        <w:t xml:space="preserve">). Different types of social identities exist, including local and global social identities (Tu, </w:t>
      </w:r>
      <w:proofErr w:type="spellStart"/>
      <w:r w:rsidRPr="003707F1">
        <w:t>Khare</w:t>
      </w:r>
      <w:proofErr w:type="spellEnd"/>
      <w:r w:rsidR="00BF2E86" w:rsidRPr="003707F1">
        <w:t>,</w:t>
      </w:r>
      <w:r w:rsidRPr="003707F1">
        <w:t xml:space="preserve"> &amp; Zhang, 2012). Local identity </w:t>
      </w:r>
      <w:r w:rsidR="005F27A2" w:rsidRPr="003707F1">
        <w:t xml:space="preserve">is a feeling of </w:t>
      </w:r>
      <w:r w:rsidRPr="003707F1">
        <w:t>belong</w:t>
      </w:r>
      <w:r w:rsidR="005F27A2" w:rsidRPr="003707F1">
        <w:t>ing</w:t>
      </w:r>
      <w:r w:rsidRPr="003707F1">
        <w:t xml:space="preserve"> to </w:t>
      </w:r>
      <w:r w:rsidR="005F27A2" w:rsidRPr="003707F1">
        <w:t xml:space="preserve">one’s </w:t>
      </w:r>
      <w:r w:rsidRPr="003707F1">
        <w:t>local community</w:t>
      </w:r>
      <w:r w:rsidR="005F27A2" w:rsidRPr="003707F1">
        <w:t xml:space="preserve">, </w:t>
      </w:r>
      <w:proofErr w:type="gramStart"/>
      <w:r w:rsidRPr="003707F1">
        <w:t>identif</w:t>
      </w:r>
      <w:r w:rsidR="005F27A2" w:rsidRPr="003707F1">
        <w:t xml:space="preserve">ication </w:t>
      </w:r>
      <w:r w:rsidRPr="003707F1">
        <w:t xml:space="preserve"> with</w:t>
      </w:r>
      <w:proofErr w:type="gramEnd"/>
      <w:r w:rsidRPr="003707F1">
        <w:t xml:space="preserve"> local </w:t>
      </w:r>
      <w:r w:rsidR="005F27A2" w:rsidRPr="003707F1">
        <w:t xml:space="preserve">habits, customs,  beliefs </w:t>
      </w:r>
      <w:r w:rsidRPr="003707F1">
        <w:t>and values of life</w:t>
      </w:r>
      <w:r w:rsidR="005F27A2" w:rsidRPr="003707F1">
        <w:t>.</w:t>
      </w:r>
      <w:r w:rsidRPr="003707F1">
        <w:t xml:space="preserve"> </w:t>
      </w:r>
      <w:r w:rsidR="005F27A2" w:rsidRPr="003707F1">
        <w:t>G</w:t>
      </w:r>
      <w:r w:rsidRPr="003707F1">
        <w:t xml:space="preserve">lobal identity </w:t>
      </w:r>
      <w:r w:rsidR="005F27A2" w:rsidRPr="003707F1">
        <w:t xml:space="preserve">is an identification with a lifestyle which is considered global, and a strong feeling of belonging </w:t>
      </w:r>
      <w:proofErr w:type="gramStart"/>
      <w:r w:rsidR="005F27A2" w:rsidRPr="003707F1">
        <w:t xml:space="preserve">to </w:t>
      </w:r>
      <w:r w:rsidRPr="003707F1">
        <w:t xml:space="preserve"> the</w:t>
      </w:r>
      <w:proofErr w:type="gramEnd"/>
      <w:r w:rsidRPr="003707F1">
        <w:t xml:space="preserve"> entire world (Tu et al., 2012). </w:t>
      </w:r>
    </w:p>
    <w:p w14:paraId="2A0DE781" w14:textId="74AD57B0" w:rsidR="00AB1B27" w:rsidRPr="003707F1" w:rsidRDefault="00BB6EF9" w:rsidP="00BB6EF9">
      <w:pPr>
        <w:spacing w:line="360" w:lineRule="auto"/>
        <w:ind w:firstLine="720"/>
        <w:jc w:val="both"/>
      </w:pPr>
      <w:r w:rsidRPr="003707F1">
        <w:t xml:space="preserve">Over the years, researchers have documented the role of PCE in sustainable consumption choices (Antonetti &amp; </w:t>
      </w:r>
      <w:proofErr w:type="spellStart"/>
      <w:r w:rsidRPr="003707F1">
        <w:t>Maklan</w:t>
      </w:r>
      <w:proofErr w:type="spellEnd"/>
      <w:r w:rsidRPr="003707F1">
        <w:t>, 2014)</w:t>
      </w:r>
      <w:r w:rsidR="00CD451F" w:rsidRPr="003707F1">
        <w:t>;</w:t>
      </w:r>
      <w:r w:rsidR="003051A8" w:rsidRPr="003707F1">
        <w:t xml:space="preserve"> however</w:t>
      </w:r>
      <w:r w:rsidR="00CD451F" w:rsidRPr="003707F1">
        <w:t>,</w:t>
      </w:r>
      <w:r w:rsidRPr="003707F1">
        <w:t xml:space="preserve"> research is concentrated on specific markets, leaving scattered understanding on post-transitional markets</w:t>
      </w:r>
      <w:r w:rsidR="006B0574" w:rsidRPr="003707F1">
        <w:t xml:space="preserve"> (</w:t>
      </w:r>
      <w:proofErr w:type="spellStart"/>
      <w:r w:rsidR="006B0574" w:rsidRPr="003707F1">
        <w:t>Culiberg</w:t>
      </w:r>
      <w:proofErr w:type="spellEnd"/>
      <w:r w:rsidR="006B0574" w:rsidRPr="003707F1">
        <w:t>, 2015</w:t>
      </w:r>
      <w:r w:rsidR="00462394" w:rsidRPr="003707F1">
        <w:t xml:space="preserve">; </w:t>
      </w:r>
      <w:proofErr w:type="spellStart"/>
      <w:r w:rsidR="00462394" w:rsidRPr="003707F1">
        <w:lastRenderedPageBreak/>
        <w:t>Zralek</w:t>
      </w:r>
      <w:proofErr w:type="spellEnd"/>
      <w:r w:rsidR="00462394" w:rsidRPr="003707F1">
        <w:t xml:space="preserve"> &amp; </w:t>
      </w:r>
      <w:proofErr w:type="spellStart"/>
      <w:r w:rsidR="00462394" w:rsidRPr="003707F1">
        <w:t>Burgiel</w:t>
      </w:r>
      <w:proofErr w:type="spellEnd"/>
      <w:r w:rsidR="00462394" w:rsidRPr="003707F1">
        <w:t>, 2020</w:t>
      </w:r>
      <w:r w:rsidR="006B0574" w:rsidRPr="003707F1">
        <w:t>)</w:t>
      </w:r>
      <w:r w:rsidRPr="003707F1">
        <w:t>. Exploring the interactions between values, identities</w:t>
      </w:r>
      <w:r w:rsidR="00BF2E86" w:rsidRPr="003707F1">
        <w:t>,</w:t>
      </w:r>
      <w:r w:rsidRPr="003707F1">
        <w:t xml:space="preserve"> and consumer be</w:t>
      </w:r>
      <w:r w:rsidR="001411AC" w:rsidRPr="003707F1">
        <w:t>liefs</w:t>
      </w:r>
      <w:r w:rsidRPr="003707F1">
        <w:t xml:space="preserve"> in a context of </w:t>
      </w:r>
      <w:r w:rsidR="00BF2E86" w:rsidRPr="003707F1">
        <w:t xml:space="preserve">a </w:t>
      </w:r>
      <w:r w:rsidRPr="003707F1">
        <w:t xml:space="preserve">post-transitional economy is important because such economies are very young consumer cultures and not much is </w:t>
      </w:r>
      <w:r w:rsidR="00EA5E2A" w:rsidRPr="003707F1">
        <w:t xml:space="preserve">reported in academic literature </w:t>
      </w:r>
      <w:r w:rsidRPr="003707F1">
        <w:t>about the behaviour of such consumers in the context of sustainable consumption. Research suggests the cultural settings</w:t>
      </w:r>
      <w:r w:rsidR="003051A8" w:rsidRPr="003707F1">
        <w:t xml:space="preserve"> </w:t>
      </w:r>
      <w:r w:rsidR="004C2062" w:rsidRPr="003707F1">
        <w:t xml:space="preserve">in </w:t>
      </w:r>
      <w:r w:rsidR="003051A8" w:rsidRPr="003707F1">
        <w:t>which</w:t>
      </w:r>
      <w:r w:rsidRPr="003707F1">
        <w:t xml:space="preserve"> one is raised and </w:t>
      </w:r>
      <w:r w:rsidR="00E65AB7" w:rsidRPr="003707F1">
        <w:t xml:space="preserve">socialised </w:t>
      </w:r>
      <w:r w:rsidRPr="003707F1">
        <w:t xml:space="preserve">may influence </w:t>
      </w:r>
      <w:r w:rsidR="00CD451F" w:rsidRPr="003707F1">
        <w:t>one’s</w:t>
      </w:r>
      <w:r w:rsidRPr="003707F1">
        <w:t xml:space="preserve"> consumption behaviour (</w:t>
      </w:r>
      <w:proofErr w:type="spellStart"/>
      <w:r w:rsidRPr="003707F1">
        <w:t>Buenstorf</w:t>
      </w:r>
      <w:proofErr w:type="spellEnd"/>
      <w:r w:rsidRPr="003707F1">
        <w:t xml:space="preserve"> &amp; Cordes, 2008</w:t>
      </w:r>
      <w:r w:rsidR="005E7E18" w:rsidRPr="003707F1">
        <w:t>; Singh, Kwon, &amp; Pereira, 2003</w:t>
      </w:r>
      <w:r w:rsidRPr="003707F1">
        <w:t>)</w:t>
      </w:r>
      <w:r w:rsidR="00D17562" w:rsidRPr="003707F1">
        <w:t>.</w:t>
      </w:r>
    </w:p>
    <w:p w14:paraId="4A90338D" w14:textId="2E9D9E95" w:rsidR="005126A9" w:rsidRPr="003707F1" w:rsidRDefault="00D17562" w:rsidP="00DC3117">
      <w:pPr>
        <w:spacing w:line="360" w:lineRule="auto"/>
        <w:ind w:firstLine="720"/>
        <w:jc w:val="both"/>
      </w:pPr>
      <w:r w:rsidRPr="003707F1">
        <w:rPr>
          <w:bCs/>
        </w:rPr>
        <w:t xml:space="preserve">Consequently, </w:t>
      </w:r>
      <w:r w:rsidRPr="003707F1">
        <w:t xml:space="preserve">this study focuses on </w:t>
      </w:r>
      <w:r w:rsidR="0056717E" w:rsidRPr="003707F1">
        <w:t>understand</w:t>
      </w:r>
      <w:r w:rsidRPr="003707F1">
        <w:t>ing</w:t>
      </w:r>
      <w:r w:rsidR="0056717E" w:rsidRPr="003707F1">
        <w:t xml:space="preserve"> in which circumstances cultural </w:t>
      </w:r>
      <w:r w:rsidR="007178ED" w:rsidRPr="003707F1">
        <w:t xml:space="preserve">values </w:t>
      </w:r>
      <w:r w:rsidR="00947CC8" w:rsidRPr="003707F1">
        <w:t xml:space="preserve">of horizontal and vertical individualism and collectivism </w:t>
      </w:r>
      <w:r w:rsidR="0056717E" w:rsidRPr="003707F1">
        <w:t xml:space="preserve">influence </w:t>
      </w:r>
      <w:proofErr w:type="gramStart"/>
      <w:r w:rsidR="0056717E" w:rsidRPr="003707F1">
        <w:t>consumer’s  perceived</w:t>
      </w:r>
      <w:proofErr w:type="gramEnd"/>
      <w:r w:rsidR="0056717E" w:rsidRPr="003707F1">
        <w:t xml:space="preserve"> consumer effectiveness (PCE)</w:t>
      </w:r>
      <w:r w:rsidRPr="003707F1">
        <w:t xml:space="preserve"> in a </w:t>
      </w:r>
      <w:r w:rsidR="00BE6E1D" w:rsidRPr="003707F1">
        <w:t xml:space="preserve">selected </w:t>
      </w:r>
      <w:r w:rsidRPr="003707F1">
        <w:t>post-transitional economy</w:t>
      </w:r>
      <w:r w:rsidR="0056717E" w:rsidRPr="003707F1">
        <w:t xml:space="preserve">. </w:t>
      </w:r>
      <w:r w:rsidR="002C2F7C" w:rsidRPr="003707F1">
        <w:t xml:space="preserve">Based on evidence that social identities influence consumer behaviour, </w:t>
      </w:r>
      <w:r w:rsidRPr="003707F1">
        <w:t xml:space="preserve">we further </w:t>
      </w:r>
      <w:r w:rsidR="002C2F7C" w:rsidRPr="003707F1">
        <w:t>examine the moderating role of global and local identities (</w:t>
      </w:r>
      <w:r w:rsidR="002F1EA2" w:rsidRPr="003707F1">
        <w:t>Udall et al., 2020</w:t>
      </w:r>
      <w:r w:rsidR="002C2F7C" w:rsidRPr="003707F1">
        <w:t>).</w:t>
      </w:r>
      <w:r w:rsidR="00DC3117" w:rsidRPr="003707F1">
        <w:t xml:space="preserve"> </w:t>
      </w:r>
      <w:r w:rsidR="0070432C" w:rsidRPr="003707F1">
        <w:t xml:space="preserve">These two questions address the issue of whether we can rely on the assumption of congruence between values and identities to explain and predict the level of PCE. In order to address the research questions, pen-and-paper questionnaire was used to collect data from Polish consumers. </w:t>
      </w:r>
    </w:p>
    <w:p w14:paraId="7F9AFF7D" w14:textId="5CB2B236" w:rsidR="001B3D79" w:rsidRPr="003707F1" w:rsidRDefault="0070432C" w:rsidP="00BB6EF9">
      <w:pPr>
        <w:spacing w:line="360" w:lineRule="auto"/>
        <w:ind w:firstLine="720"/>
        <w:jc w:val="both"/>
      </w:pPr>
      <w:r w:rsidRPr="003707F1">
        <w:t>Th</w:t>
      </w:r>
      <w:r w:rsidR="00DC3117" w:rsidRPr="003707F1">
        <w:t xml:space="preserve">is </w:t>
      </w:r>
      <w:r w:rsidRPr="003707F1">
        <w:t xml:space="preserve">study contributes to the literature in </w:t>
      </w:r>
      <w:r w:rsidR="00DC3117" w:rsidRPr="003707F1">
        <w:t xml:space="preserve">the </w:t>
      </w:r>
      <w:r w:rsidRPr="003707F1">
        <w:t xml:space="preserve">following ways. First, we provide </w:t>
      </w:r>
      <w:r w:rsidR="00EA5E2A" w:rsidRPr="003707F1">
        <w:t xml:space="preserve">further </w:t>
      </w:r>
      <w:r w:rsidRPr="003707F1">
        <w:t>evidence that conceptual distinction between horizontal and vertical orientations of individualism and collectivism matters when explaining PCE. Second, our study confirms that global and local social identities are impactful variables in the context of PCE. Third, we provide evidence that the concept of value congruence explains</w:t>
      </w:r>
      <w:r w:rsidR="00F86F41" w:rsidRPr="003707F1">
        <w:t xml:space="preserve"> the hypothesised</w:t>
      </w:r>
      <w:r w:rsidRPr="003707F1">
        <w:t xml:space="preserve"> relations only partially. Fourth, our study contributes to </w:t>
      </w:r>
      <w:r w:rsidR="00842589" w:rsidRPr="003707F1">
        <w:t xml:space="preserve">the </w:t>
      </w:r>
      <w:r w:rsidRPr="003707F1">
        <w:t xml:space="preserve">literature on consumer behaviour in </w:t>
      </w:r>
      <w:r w:rsidR="005E7E18" w:rsidRPr="003707F1">
        <w:t xml:space="preserve">the </w:t>
      </w:r>
      <w:r w:rsidR="006D1865" w:rsidRPr="003707F1">
        <w:t xml:space="preserve">understudied context of </w:t>
      </w:r>
      <w:r w:rsidRPr="003707F1">
        <w:t>post-transitional econom</w:t>
      </w:r>
      <w:r w:rsidR="005E7E18" w:rsidRPr="003707F1">
        <w:t>ies</w:t>
      </w:r>
      <w:r w:rsidR="00F86F41" w:rsidRPr="003707F1">
        <w:t>, specifically in the context of Poland.</w:t>
      </w:r>
      <w:bookmarkEnd w:id="3"/>
      <w:bookmarkEnd w:id="4"/>
    </w:p>
    <w:p w14:paraId="459FF98B" w14:textId="77777777" w:rsidR="00DC3117" w:rsidRPr="003707F1" w:rsidRDefault="00DC3117" w:rsidP="00633546">
      <w:pPr>
        <w:spacing w:line="360" w:lineRule="auto"/>
        <w:jc w:val="both"/>
      </w:pPr>
    </w:p>
    <w:p w14:paraId="1B43B67E" w14:textId="022B1192" w:rsidR="007A5AD4" w:rsidRPr="003707F1" w:rsidRDefault="009F08FA" w:rsidP="00633546">
      <w:pPr>
        <w:spacing w:line="360" w:lineRule="auto"/>
        <w:jc w:val="both"/>
        <w:rPr>
          <w:b/>
          <w:bCs/>
        </w:rPr>
      </w:pPr>
      <w:r w:rsidRPr="003707F1">
        <w:rPr>
          <w:b/>
          <w:bCs/>
        </w:rPr>
        <w:t>C</w:t>
      </w:r>
      <w:r w:rsidR="00EA4AAC" w:rsidRPr="003707F1">
        <w:rPr>
          <w:b/>
          <w:bCs/>
        </w:rPr>
        <w:t xml:space="preserve">onceptual framework </w:t>
      </w:r>
      <w:r w:rsidRPr="003707F1">
        <w:rPr>
          <w:b/>
          <w:bCs/>
        </w:rPr>
        <w:t xml:space="preserve">and literature review </w:t>
      </w:r>
    </w:p>
    <w:p w14:paraId="64177990" w14:textId="0203E358" w:rsidR="007A5AD4" w:rsidRPr="003707F1" w:rsidRDefault="007A5AD4" w:rsidP="00633546">
      <w:pPr>
        <w:spacing w:line="360" w:lineRule="auto"/>
        <w:jc w:val="both"/>
        <w:rPr>
          <w:b/>
          <w:i/>
        </w:rPr>
      </w:pPr>
      <w:r w:rsidRPr="003707F1">
        <w:rPr>
          <w:b/>
          <w:i/>
        </w:rPr>
        <w:t xml:space="preserve">Perceived consumer effectiveness </w:t>
      </w:r>
    </w:p>
    <w:p w14:paraId="48BF11E5" w14:textId="6BECAD39" w:rsidR="007A5AD4" w:rsidRPr="003707F1" w:rsidRDefault="007A5AD4" w:rsidP="00633546">
      <w:pPr>
        <w:spacing w:line="360" w:lineRule="auto"/>
        <w:ind w:firstLine="720"/>
        <w:jc w:val="both"/>
      </w:pPr>
      <w:bookmarkStart w:id="5" w:name="_Hlk32242614"/>
      <w:r w:rsidRPr="003707F1">
        <w:t xml:space="preserve">Perceived consumer effectiveness (PCE), often referred to as </w:t>
      </w:r>
      <w:r w:rsidR="009F3C00" w:rsidRPr="003707F1">
        <w:t xml:space="preserve">consumer </w:t>
      </w:r>
      <w:r w:rsidRPr="003707F1">
        <w:t>self-efficacy, is a belief that one’s consumption choices have an impact on the natural environment, social issues</w:t>
      </w:r>
      <w:r w:rsidR="00C748EA" w:rsidRPr="003707F1">
        <w:t>,</w:t>
      </w:r>
      <w:r w:rsidRPr="003707F1">
        <w:t xml:space="preserve"> and employee welfare (Ellen et al., 1991; Kang,</w:t>
      </w:r>
      <w:r w:rsidR="00E60EEE" w:rsidRPr="003707F1">
        <w:t xml:space="preserve"> </w:t>
      </w:r>
      <w:r w:rsidR="00E60EEE" w:rsidRPr="003707F1">
        <w:rPr>
          <w:lang w:val="en-GB"/>
        </w:rPr>
        <w:t>Liu, &amp; Kim,</w:t>
      </w:r>
      <w:r w:rsidRPr="003707F1">
        <w:t xml:space="preserve"> 2013). </w:t>
      </w:r>
      <w:bookmarkEnd w:id="5"/>
      <w:r w:rsidR="0093731F" w:rsidRPr="003707F1">
        <w:t>C</w:t>
      </w:r>
      <w:r w:rsidR="00AC5BC7" w:rsidRPr="003707F1">
        <w:t xml:space="preserve">onsumer </w:t>
      </w:r>
      <w:r w:rsidRPr="003707F1">
        <w:t xml:space="preserve">self-efficacy </w:t>
      </w:r>
      <w:r w:rsidR="0093731F" w:rsidRPr="003707F1">
        <w:t xml:space="preserve">has been demonstrated to be </w:t>
      </w:r>
      <w:r w:rsidRPr="003707F1">
        <w:t>an important driver of pro-environmental behaviour</w:t>
      </w:r>
      <w:r w:rsidR="00F44D43" w:rsidRPr="003707F1">
        <w:t xml:space="preserve"> i.e.,</w:t>
      </w:r>
      <w:r w:rsidRPr="003707F1">
        <w:t xml:space="preserve"> when consumers believe their actions matter, they are more likely to perform the action</w:t>
      </w:r>
      <w:r w:rsidR="0093731F" w:rsidRPr="003707F1">
        <w:t xml:space="preserve"> (e.g., White, Habib &amp; Hardisty, 2019)</w:t>
      </w:r>
      <w:r w:rsidRPr="003707F1">
        <w:t xml:space="preserve">. </w:t>
      </w:r>
      <w:r w:rsidR="009F0210" w:rsidRPr="003707F1">
        <w:t>S</w:t>
      </w:r>
      <w:r w:rsidR="0093731F" w:rsidRPr="003707F1">
        <w:t xml:space="preserve">tudies which </w:t>
      </w:r>
      <w:r w:rsidR="001411AC" w:rsidRPr="003707F1">
        <w:t>examined</w:t>
      </w:r>
      <w:r w:rsidR="0093731F" w:rsidRPr="003707F1">
        <w:t xml:space="preserve"> PCE </w:t>
      </w:r>
      <w:r w:rsidR="009F0210" w:rsidRPr="003707F1">
        <w:t>demonstrate</w:t>
      </w:r>
      <w:r w:rsidR="0093731F" w:rsidRPr="003707F1">
        <w:t xml:space="preserve"> that </w:t>
      </w:r>
      <w:r w:rsidR="009F0210" w:rsidRPr="003707F1">
        <w:t>the construct is positively</w:t>
      </w:r>
      <w:r w:rsidR="0093731F" w:rsidRPr="003707F1">
        <w:t xml:space="preserve"> associated with pro-environmental consumption intentions and behaviours in a wide range of product categories</w:t>
      </w:r>
      <w:r w:rsidR="00032FAE" w:rsidRPr="003707F1">
        <w:t xml:space="preserve">, </w:t>
      </w:r>
      <w:r w:rsidR="0093731F" w:rsidRPr="003707F1">
        <w:t xml:space="preserve">country markets </w:t>
      </w:r>
      <w:r w:rsidR="00032FAE" w:rsidRPr="003707F1">
        <w:t xml:space="preserve">and consumer groups </w:t>
      </w:r>
      <w:r w:rsidR="0093731F" w:rsidRPr="003707F1">
        <w:t>(</w:t>
      </w:r>
      <w:r w:rsidR="00032FAE" w:rsidRPr="003707F1">
        <w:t xml:space="preserve">see </w:t>
      </w:r>
      <w:r w:rsidR="0093731F" w:rsidRPr="003707F1">
        <w:t>Table 1</w:t>
      </w:r>
      <w:r w:rsidR="00032FAE" w:rsidRPr="003707F1">
        <w:t xml:space="preserve"> for an overview of recent studies which examined PCE</w:t>
      </w:r>
      <w:r w:rsidR="0093731F" w:rsidRPr="003707F1">
        <w:t xml:space="preserve">). </w:t>
      </w:r>
      <w:r w:rsidR="009F0210" w:rsidRPr="003707F1">
        <w:t xml:space="preserve">For example, </w:t>
      </w:r>
      <w:proofErr w:type="spellStart"/>
      <w:r w:rsidRPr="003707F1">
        <w:t>Alzubaidi</w:t>
      </w:r>
      <w:proofErr w:type="spellEnd"/>
      <w:r w:rsidRPr="003707F1">
        <w:t>, Slade</w:t>
      </w:r>
      <w:r w:rsidR="0093731F" w:rsidRPr="003707F1">
        <w:t xml:space="preserve"> and </w:t>
      </w:r>
      <w:r w:rsidRPr="003707F1">
        <w:t xml:space="preserve">Dwivedi (2020), in the context of Saudi Arabia, found that PCE significantly and positively related to </w:t>
      </w:r>
      <w:r w:rsidRPr="003707F1">
        <w:lastRenderedPageBreak/>
        <w:t xml:space="preserve">intentions to purchase </w:t>
      </w:r>
      <w:r w:rsidR="003051A8" w:rsidRPr="003707F1">
        <w:t>environmentally friendly</w:t>
      </w:r>
      <w:r w:rsidRPr="003707F1">
        <w:t xml:space="preserve"> products. </w:t>
      </w:r>
      <w:proofErr w:type="spellStart"/>
      <w:r w:rsidRPr="003707F1">
        <w:t>Yarimoglu</w:t>
      </w:r>
      <w:proofErr w:type="spellEnd"/>
      <w:r w:rsidRPr="003707F1">
        <w:t xml:space="preserve"> and </w:t>
      </w:r>
      <w:proofErr w:type="spellStart"/>
      <w:r w:rsidRPr="003707F1">
        <w:t>Binboga</w:t>
      </w:r>
      <w:proofErr w:type="spellEnd"/>
      <w:r w:rsidRPr="003707F1">
        <w:t xml:space="preserve"> (2019) </w:t>
      </w:r>
      <w:r w:rsidR="00433F09" w:rsidRPr="003707F1">
        <w:t>demonstrated</w:t>
      </w:r>
      <w:r w:rsidRPr="003707F1">
        <w:t xml:space="preserve"> that PCE was the strongest predictor of environmentally conscious consumer behaviour amongst Turkish consumers. </w:t>
      </w:r>
      <w:r w:rsidR="005677C7" w:rsidRPr="003707F1">
        <w:t xml:space="preserve">Elsewhere, </w:t>
      </w:r>
      <w:r w:rsidR="001A7A8F" w:rsidRPr="003707F1">
        <w:t>PCE was a strong predictor of actual consumer behaviours in South Korea</w:t>
      </w:r>
      <w:r w:rsidR="005677C7" w:rsidRPr="003707F1">
        <w:t xml:space="preserve"> (Wesley,</w:t>
      </w:r>
      <w:r w:rsidR="00E569C5" w:rsidRPr="003707F1">
        <w:t xml:space="preserve"> Lee, &amp; Kim,</w:t>
      </w:r>
      <w:r w:rsidR="005677C7" w:rsidRPr="003707F1">
        <w:t xml:space="preserve"> 2012), India (</w:t>
      </w:r>
      <w:proofErr w:type="spellStart"/>
      <w:r w:rsidR="00CE30FB" w:rsidRPr="003707F1">
        <w:t>Kautish</w:t>
      </w:r>
      <w:proofErr w:type="spellEnd"/>
      <w:r w:rsidR="00CE30FB" w:rsidRPr="003707F1">
        <w:t>, Paul</w:t>
      </w:r>
      <w:r w:rsidR="005677C7" w:rsidRPr="003707F1">
        <w:t>, &amp;</w:t>
      </w:r>
      <w:r w:rsidR="00CE30FB" w:rsidRPr="003707F1">
        <w:t xml:space="preserve"> Sharma</w:t>
      </w:r>
      <w:r w:rsidR="005677C7" w:rsidRPr="003707F1">
        <w:t xml:space="preserve">, </w:t>
      </w:r>
      <w:r w:rsidR="00CE30FB" w:rsidRPr="003707F1">
        <w:t>2019)</w:t>
      </w:r>
      <w:r w:rsidR="005677C7" w:rsidRPr="003707F1">
        <w:t>, and amongst young consumers in the USA (</w:t>
      </w:r>
      <w:proofErr w:type="spellStart"/>
      <w:r w:rsidR="005D1497" w:rsidRPr="003707F1">
        <w:t>Heo</w:t>
      </w:r>
      <w:proofErr w:type="spellEnd"/>
      <w:r w:rsidR="005D1497" w:rsidRPr="003707F1">
        <w:t xml:space="preserve"> &amp; </w:t>
      </w:r>
      <w:proofErr w:type="spellStart"/>
      <w:r w:rsidR="005D1497" w:rsidRPr="003707F1">
        <w:t>Muralidharan</w:t>
      </w:r>
      <w:proofErr w:type="spellEnd"/>
      <w:r w:rsidR="005677C7" w:rsidRPr="003707F1">
        <w:t xml:space="preserve">, </w:t>
      </w:r>
      <w:r w:rsidR="005D1497" w:rsidRPr="003707F1">
        <w:t>2019)</w:t>
      </w:r>
      <w:r w:rsidR="005677C7" w:rsidRPr="003707F1">
        <w:t xml:space="preserve">. </w:t>
      </w:r>
      <w:r w:rsidR="00032FAE" w:rsidRPr="003707F1">
        <w:t xml:space="preserve">Taken together, these findings suggest that </w:t>
      </w:r>
      <w:r w:rsidR="001411AC" w:rsidRPr="003707F1">
        <w:t xml:space="preserve">PCE </w:t>
      </w:r>
      <w:r w:rsidR="00032FAE" w:rsidRPr="003707F1">
        <w:t xml:space="preserve">plays an important role in sustainable consumption, </w:t>
      </w:r>
      <w:r w:rsidR="009F0210" w:rsidRPr="003707F1">
        <w:t xml:space="preserve">and that individuals who have strong belief that their consumption choices have an impact on natural, social and employee welfare are more likely to engage in sustainable consumption. However, despite the increased </w:t>
      </w:r>
      <w:r w:rsidR="001411AC" w:rsidRPr="003707F1">
        <w:t xml:space="preserve">recent </w:t>
      </w:r>
      <w:r w:rsidR="009F0210" w:rsidRPr="003707F1">
        <w:t>focus of researchers on this construct, some context</w:t>
      </w:r>
      <w:r w:rsidR="001411AC" w:rsidRPr="003707F1">
        <w:t>s</w:t>
      </w:r>
      <w:r w:rsidR="009F0210" w:rsidRPr="003707F1">
        <w:t xml:space="preserve"> have been neglected, specifically certain country markets, such as </w:t>
      </w:r>
      <w:proofErr w:type="gramStart"/>
      <w:r w:rsidR="009F0210" w:rsidRPr="003707F1">
        <w:t>Poland,  have</w:t>
      </w:r>
      <w:proofErr w:type="gramEnd"/>
      <w:r w:rsidR="009F0210" w:rsidRPr="003707F1">
        <w:t xml:space="preserve"> not been researched. </w:t>
      </w:r>
    </w:p>
    <w:p w14:paraId="7EF521AA" w14:textId="77777777" w:rsidR="00594C5A" w:rsidRPr="003707F1" w:rsidRDefault="00594C5A" w:rsidP="00CE597D">
      <w:pPr>
        <w:spacing w:line="360" w:lineRule="auto"/>
        <w:ind w:firstLine="720"/>
        <w:jc w:val="center"/>
        <w:rPr>
          <w:b/>
          <w:bCs/>
        </w:rPr>
      </w:pPr>
    </w:p>
    <w:p w14:paraId="4DB9F9ED" w14:textId="5AB07304" w:rsidR="0093731F" w:rsidRDefault="000A2A44" w:rsidP="00035E64">
      <w:pPr>
        <w:spacing w:line="360" w:lineRule="auto"/>
        <w:ind w:firstLine="720"/>
        <w:jc w:val="center"/>
        <w:rPr>
          <w:b/>
          <w:bCs/>
        </w:rPr>
      </w:pPr>
      <w:r w:rsidRPr="003707F1">
        <w:rPr>
          <w:b/>
          <w:bCs/>
        </w:rPr>
        <w:t>&lt;&lt;Insert Table 1 about here&gt;&gt;</w:t>
      </w:r>
    </w:p>
    <w:p w14:paraId="3E394AA0" w14:textId="77777777" w:rsidR="00035E64" w:rsidRPr="003707F1" w:rsidRDefault="00035E64" w:rsidP="00035E64">
      <w:pPr>
        <w:spacing w:line="360" w:lineRule="auto"/>
        <w:ind w:firstLine="720"/>
        <w:jc w:val="center"/>
        <w:rPr>
          <w:b/>
          <w:bCs/>
        </w:rPr>
      </w:pPr>
    </w:p>
    <w:p w14:paraId="446A12DC" w14:textId="630A3932" w:rsidR="007A5AD4" w:rsidRPr="003707F1" w:rsidRDefault="007A5AD4" w:rsidP="00AB7714">
      <w:pPr>
        <w:spacing w:line="360" w:lineRule="auto"/>
        <w:jc w:val="both"/>
        <w:rPr>
          <w:b/>
          <w:bCs/>
          <w:i/>
          <w:iCs/>
        </w:rPr>
      </w:pPr>
      <w:r w:rsidRPr="003707F1">
        <w:rPr>
          <w:b/>
          <w:bCs/>
          <w:i/>
          <w:iCs/>
        </w:rPr>
        <w:t xml:space="preserve">Cultural values </w:t>
      </w:r>
    </w:p>
    <w:p w14:paraId="4AA2D73B" w14:textId="3914F7AA" w:rsidR="009F2026" w:rsidRPr="003707F1" w:rsidRDefault="00D87382" w:rsidP="00D62D35">
      <w:pPr>
        <w:spacing w:line="360" w:lineRule="auto"/>
        <w:ind w:firstLine="720"/>
        <w:jc w:val="both"/>
        <w:rPr>
          <w:bCs/>
        </w:rPr>
      </w:pPr>
      <w:r w:rsidRPr="003707F1">
        <w:rPr>
          <w:bCs/>
        </w:rPr>
        <w:t xml:space="preserve">Cultural values are </w:t>
      </w:r>
      <w:r w:rsidR="00CF26E3" w:rsidRPr="003707F1">
        <w:rPr>
          <w:bCs/>
        </w:rPr>
        <w:t xml:space="preserve">important </w:t>
      </w:r>
      <w:r w:rsidRPr="003707F1">
        <w:rPr>
          <w:bCs/>
        </w:rPr>
        <w:t>drivers of consumer behaviour (</w:t>
      </w:r>
      <w:r w:rsidR="00553D64" w:rsidRPr="003707F1">
        <w:rPr>
          <w:bCs/>
        </w:rPr>
        <w:t>Sharma &amp; Jha, 2017</w:t>
      </w:r>
      <w:r w:rsidRPr="003707F1">
        <w:rPr>
          <w:bCs/>
        </w:rPr>
        <w:t xml:space="preserve">). </w:t>
      </w:r>
      <w:r w:rsidR="009F2026" w:rsidRPr="003707F1">
        <w:rPr>
          <w:bCs/>
        </w:rPr>
        <w:t xml:space="preserve">A value is </w:t>
      </w:r>
      <w:r w:rsidR="003E607C" w:rsidRPr="003707F1">
        <w:rPr>
          <w:bCs/>
        </w:rPr>
        <w:t>“</w:t>
      </w:r>
      <w:r w:rsidR="009F2026" w:rsidRPr="003707F1">
        <w:rPr>
          <w:bCs/>
        </w:rPr>
        <w:t>an enduring belief that a specific mode of conduct or end-state of existence is personally or socially preferable to an opposite or converse mode of conduct or end-state of existence</w:t>
      </w:r>
      <w:r w:rsidR="003E607C" w:rsidRPr="003707F1">
        <w:rPr>
          <w:bCs/>
        </w:rPr>
        <w:t>”</w:t>
      </w:r>
      <w:r w:rsidR="009F2026" w:rsidRPr="003707F1">
        <w:rPr>
          <w:bCs/>
        </w:rPr>
        <w:t xml:space="preserve"> (Rokeach, 1973, p. 5). Amongst values that may be relevant </w:t>
      </w:r>
      <w:r w:rsidR="00773B70" w:rsidRPr="003707F1">
        <w:rPr>
          <w:bCs/>
        </w:rPr>
        <w:t>in</w:t>
      </w:r>
      <w:r w:rsidR="009F2026" w:rsidRPr="003707F1">
        <w:rPr>
          <w:bCs/>
        </w:rPr>
        <w:t xml:space="preserve"> examining </w:t>
      </w:r>
      <w:r w:rsidR="00FE3CC2" w:rsidRPr="003707F1">
        <w:rPr>
          <w:bCs/>
        </w:rPr>
        <w:t xml:space="preserve">PCE </w:t>
      </w:r>
      <w:r w:rsidR="009F2026" w:rsidRPr="003707F1">
        <w:rPr>
          <w:bCs/>
        </w:rPr>
        <w:t>are values of individualism and collectivism. Individualism and collectivism have been researched in multiple contexts of consumer behaviour</w:t>
      </w:r>
      <w:r w:rsidR="00BD3829" w:rsidRPr="003707F1">
        <w:rPr>
          <w:bCs/>
        </w:rPr>
        <w:t>, such as</w:t>
      </w:r>
      <w:r w:rsidR="009F2026" w:rsidRPr="003707F1">
        <w:rPr>
          <w:bCs/>
        </w:rPr>
        <w:t xml:space="preserve"> consumer ethics (</w:t>
      </w:r>
      <w:proofErr w:type="spellStart"/>
      <w:r w:rsidR="009F2026" w:rsidRPr="003707F1">
        <w:rPr>
          <w:bCs/>
        </w:rPr>
        <w:t>Culiberg</w:t>
      </w:r>
      <w:proofErr w:type="spellEnd"/>
      <w:r w:rsidR="009F2026" w:rsidRPr="003707F1">
        <w:rPr>
          <w:bCs/>
        </w:rPr>
        <w:t>, 2015),</w:t>
      </w:r>
      <w:r w:rsidR="00175F6F" w:rsidRPr="003707F1">
        <w:rPr>
          <w:bCs/>
        </w:rPr>
        <w:t xml:space="preserve"> </w:t>
      </w:r>
      <w:r w:rsidR="006B0574" w:rsidRPr="003707F1">
        <w:rPr>
          <w:bCs/>
        </w:rPr>
        <w:t>valuation of objects (</w:t>
      </w:r>
      <w:proofErr w:type="spellStart"/>
      <w:r w:rsidR="006B0574" w:rsidRPr="003707F1">
        <w:rPr>
          <w:bCs/>
        </w:rPr>
        <w:t>Gjersoe</w:t>
      </w:r>
      <w:proofErr w:type="spellEnd"/>
      <w:r w:rsidR="006B0574" w:rsidRPr="003707F1">
        <w:rPr>
          <w:bCs/>
        </w:rPr>
        <w:t xml:space="preserve">, Newman, </w:t>
      </w:r>
      <w:proofErr w:type="spellStart"/>
      <w:r w:rsidR="006B0574" w:rsidRPr="003707F1">
        <w:rPr>
          <w:bCs/>
        </w:rPr>
        <w:t>Chituc</w:t>
      </w:r>
      <w:proofErr w:type="spellEnd"/>
      <w:r w:rsidR="003E607C" w:rsidRPr="003707F1">
        <w:rPr>
          <w:bCs/>
        </w:rPr>
        <w:t>,</w:t>
      </w:r>
      <w:r w:rsidR="006B0574" w:rsidRPr="003707F1">
        <w:rPr>
          <w:bCs/>
        </w:rPr>
        <w:t xml:space="preserve"> &amp; Hood, 2014), </w:t>
      </w:r>
      <w:r w:rsidR="00FC59F3" w:rsidRPr="003707F1">
        <w:rPr>
          <w:bCs/>
        </w:rPr>
        <w:t>or environmentally motivated consumption reduction (</w:t>
      </w:r>
      <w:proofErr w:type="spellStart"/>
      <w:r w:rsidR="00FC59F3" w:rsidRPr="003707F1">
        <w:rPr>
          <w:bCs/>
        </w:rPr>
        <w:t>Lasarov</w:t>
      </w:r>
      <w:proofErr w:type="spellEnd"/>
      <w:r w:rsidR="00FC59F3" w:rsidRPr="003707F1">
        <w:rPr>
          <w:bCs/>
        </w:rPr>
        <w:t xml:space="preserve"> et al., 2019)</w:t>
      </w:r>
      <w:r w:rsidR="003E607C" w:rsidRPr="003707F1">
        <w:rPr>
          <w:bCs/>
        </w:rPr>
        <w:t>,</w:t>
      </w:r>
      <w:r w:rsidR="00FC59F3" w:rsidRPr="003707F1">
        <w:rPr>
          <w:bCs/>
        </w:rPr>
        <w:t xml:space="preserve"> to name a few. </w:t>
      </w:r>
      <w:r w:rsidR="00AC2E42" w:rsidRPr="003707F1">
        <w:rPr>
          <w:bCs/>
        </w:rPr>
        <w:t>However, as values may change over time</w:t>
      </w:r>
      <w:r w:rsidR="00FA25F5" w:rsidRPr="003707F1">
        <w:rPr>
          <w:bCs/>
        </w:rPr>
        <w:t xml:space="preserve"> (Santos et al</w:t>
      </w:r>
      <w:r w:rsidR="003E607C" w:rsidRPr="003707F1">
        <w:rPr>
          <w:bCs/>
        </w:rPr>
        <w:t>.</w:t>
      </w:r>
      <w:r w:rsidR="00FA25F5" w:rsidRPr="003707F1">
        <w:rPr>
          <w:bCs/>
        </w:rPr>
        <w:t>, 2017)</w:t>
      </w:r>
      <w:r w:rsidR="00AC2E42" w:rsidRPr="003707F1">
        <w:rPr>
          <w:bCs/>
        </w:rPr>
        <w:t xml:space="preserve">, and </w:t>
      </w:r>
      <w:r w:rsidR="003D5190" w:rsidRPr="003707F1">
        <w:rPr>
          <w:bCs/>
        </w:rPr>
        <w:t xml:space="preserve">the </w:t>
      </w:r>
      <w:r w:rsidR="00AC2E42" w:rsidRPr="003707F1">
        <w:rPr>
          <w:bCs/>
        </w:rPr>
        <w:t xml:space="preserve">social world is dynamic, the need to examine and monitor consumers’ values is important to establish trends and </w:t>
      </w:r>
      <w:r w:rsidR="00FE3CC2" w:rsidRPr="003707F1">
        <w:rPr>
          <w:bCs/>
        </w:rPr>
        <w:t xml:space="preserve">changes </w:t>
      </w:r>
      <w:r w:rsidR="004A70FB" w:rsidRPr="003707F1">
        <w:rPr>
          <w:bCs/>
        </w:rPr>
        <w:t>(Inglehart, 2020)</w:t>
      </w:r>
      <w:r w:rsidR="00AC2E42" w:rsidRPr="003707F1">
        <w:rPr>
          <w:bCs/>
        </w:rPr>
        <w:t xml:space="preserve">. </w:t>
      </w:r>
    </w:p>
    <w:p w14:paraId="6427D63C" w14:textId="734378AF" w:rsidR="009F2026" w:rsidRPr="003707F1" w:rsidRDefault="009F2026" w:rsidP="00253C13">
      <w:pPr>
        <w:spacing w:line="360" w:lineRule="auto"/>
        <w:ind w:firstLine="720"/>
        <w:jc w:val="both"/>
        <w:rPr>
          <w:bCs/>
        </w:rPr>
      </w:pPr>
      <w:bookmarkStart w:id="6" w:name="_Hlk33126856"/>
      <w:r w:rsidRPr="003707F1">
        <w:rPr>
          <w:bCs/>
        </w:rPr>
        <w:t xml:space="preserve">The construct of individualism–collectivism </w:t>
      </w:r>
      <w:r w:rsidR="002305A1" w:rsidRPr="003707F1">
        <w:rPr>
          <w:bCs/>
        </w:rPr>
        <w:t xml:space="preserve">focuses on </w:t>
      </w:r>
      <w:r w:rsidRPr="003707F1">
        <w:rPr>
          <w:bCs/>
        </w:rPr>
        <w:t xml:space="preserve">the </w:t>
      </w:r>
      <w:r w:rsidR="00707694" w:rsidRPr="003707F1">
        <w:rPr>
          <w:bCs/>
        </w:rPr>
        <w:t xml:space="preserve">character </w:t>
      </w:r>
      <w:r w:rsidRPr="003707F1">
        <w:rPr>
          <w:bCs/>
        </w:rPr>
        <w:t>of the relationship</w:t>
      </w:r>
      <w:r w:rsidR="003E607C" w:rsidRPr="003707F1">
        <w:rPr>
          <w:bCs/>
        </w:rPr>
        <w:t>s</w:t>
      </w:r>
      <w:r w:rsidRPr="003707F1">
        <w:rPr>
          <w:bCs/>
        </w:rPr>
        <w:t xml:space="preserve"> between individuals and groups that </w:t>
      </w:r>
      <w:r w:rsidR="003E607C" w:rsidRPr="003707F1">
        <w:rPr>
          <w:bCs/>
        </w:rPr>
        <w:t>are</w:t>
      </w:r>
      <w:r w:rsidRPr="003707F1">
        <w:rPr>
          <w:bCs/>
        </w:rPr>
        <w:t xml:space="preserve"> dominant in a society. </w:t>
      </w:r>
      <w:bookmarkEnd w:id="6"/>
      <w:r w:rsidR="002305A1" w:rsidRPr="003707F1">
        <w:rPr>
          <w:bCs/>
        </w:rPr>
        <w:t xml:space="preserve">Specifically, it distinguishes between </w:t>
      </w:r>
      <w:r w:rsidR="008A0FB2" w:rsidRPr="003707F1">
        <w:rPr>
          <w:bCs/>
        </w:rPr>
        <w:t xml:space="preserve">two </w:t>
      </w:r>
      <w:r w:rsidRPr="003707F1">
        <w:rPr>
          <w:bCs/>
        </w:rPr>
        <w:t>issue</w:t>
      </w:r>
      <w:r w:rsidR="008A0FB2" w:rsidRPr="003707F1">
        <w:rPr>
          <w:bCs/>
        </w:rPr>
        <w:t xml:space="preserve">s: 1) </w:t>
      </w:r>
      <w:r w:rsidRPr="003707F1">
        <w:rPr>
          <w:bCs/>
        </w:rPr>
        <w:t>whose interests</w:t>
      </w:r>
      <w:r w:rsidR="002305A1" w:rsidRPr="003707F1">
        <w:rPr>
          <w:bCs/>
        </w:rPr>
        <w:t xml:space="preserve"> </w:t>
      </w:r>
      <w:r w:rsidRPr="003707F1">
        <w:rPr>
          <w:bCs/>
        </w:rPr>
        <w:t>and needs are more important</w:t>
      </w:r>
      <w:r w:rsidR="00FF2DFD" w:rsidRPr="003707F1">
        <w:rPr>
          <w:bCs/>
        </w:rPr>
        <w:t xml:space="preserve">, </w:t>
      </w:r>
      <w:r w:rsidR="008A0FB2" w:rsidRPr="003707F1">
        <w:rPr>
          <w:bCs/>
        </w:rPr>
        <w:t xml:space="preserve">those of the individual or those of the </w:t>
      </w:r>
      <w:r w:rsidR="00F605E9" w:rsidRPr="003707F1">
        <w:rPr>
          <w:bCs/>
        </w:rPr>
        <w:t>collective; and</w:t>
      </w:r>
      <w:r w:rsidR="00FF2DFD" w:rsidRPr="003707F1">
        <w:rPr>
          <w:bCs/>
        </w:rPr>
        <w:t xml:space="preserve"> </w:t>
      </w:r>
      <w:r w:rsidR="008A0FB2" w:rsidRPr="003707F1">
        <w:rPr>
          <w:bCs/>
        </w:rPr>
        <w:t xml:space="preserve">2) </w:t>
      </w:r>
      <w:r w:rsidR="00333D41" w:rsidRPr="003707F1">
        <w:rPr>
          <w:bCs/>
        </w:rPr>
        <w:t>who bears the responsibility for individual success and behaviour</w:t>
      </w:r>
      <w:r w:rsidR="00BE2D2A" w:rsidRPr="003707F1">
        <w:rPr>
          <w:bCs/>
        </w:rPr>
        <w:t xml:space="preserve"> </w:t>
      </w:r>
      <w:r w:rsidR="00BD6AD1" w:rsidRPr="003707F1">
        <w:rPr>
          <w:bCs/>
        </w:rPr>
        <w:t>(</w:t>
      </w:r>
      <w:proofErr w:type="spellStart"/>
      <w:r w:rsidR="00BD6AD1" w:rsidRPr="003707F1">
        <w:rPr>
          <w:bCs/>
        </w:rPr>
        <w:t>Sivadas</w:t>
      </w:r>
      <w:proofErr w:type="spellEnd"/>
      <w:r w:rsidR="00BD6AD1" w:rsidRPr="003707F1">
        <w:rPr>
          <w:bCs/>
        </w:rPr>
        <w:t xml:space="preserve">, </w:t>
      </w:r>
      <w:proofErr w:type="spellStart"/>
      <w:r w:rsidR="00BD6AD1" w:rsidRPr="003707F1">
        <w:rPr>
          <w:bCs/>
        </w:rPr>
        <w:t>Bruvold</w:t>
      </w:r>
      <w:proofErr w:type="spellEnd"/>
      <w:r w:rsidR="00616D78" w:rsidRPr="003707F1">
        <w:rPr>
          <w:bCs/>
        </w:rPr>
        <w:t>,</w:t>
      </w:r>
      <w:r w:rsidR="00BD6AD1" w:rsidRPr="003707F1">
        <w:rPr>
          <w:bCs/>
        </w:rPr>
        <w:t xml:space="preserve"> &amp; Nelson, 2008)</w:t>
      </w:r>
      <w:r w:rsidR="00C8406C" w:rsidRPr="003707F1">
        <w:rPr>
          <w:bCs/>
        </w:rPr>
        <w:t xml:space="preserve">. </w:t>
      </w:r>
      <w:r w:rsidRPr="003707F1">
        <w:rPr>
          <w:bCs/>
        </w:rPr>
        <w:t xml:space="preserve">For </w:t>
      </w:r>
      <w:r w:rsidR="009075C0" w:rsidRPr="003707F1">
        <w:rPr>
          <w:bCs/>
        </w:rPr>
        <w:t xml:space="preserve">individuals who hold individualistic values, </w:t>
      </w:r>
      <w:r w:rsidRPr="003707F1">
        <w:rPr>
          <w:bCs/>
        </w:rPr>
        <w:t>personal interests and goals are more important than group interests</w:t>
      </w:r>
      <w:r w:rsidR="009075C0" w:rsidRPr="003707F1">
        <w:rPr>
          <w:bCs/>
        </w:rPr>
        <w:t xml:space="preserve">. Such individuals are driven by personal goals and ambitions </w:t>
      </w:r>
      <w:r w:rsidRPr="003707F1">
        <w:rPr>
          <w:bCs/>
        </w:rPr>
        <w:t xml:space="preserve">rather than group </w:t>
      </w:r>
      <w:r w:rsidR="001C16BC" w:rsidRPr="003707F1">
        <w:rPr>
          <w:bCs/>
        </w:rPr>
        <w:t xml:space="preserve">preferences </w:t>
      </w:r>
      <w:r w:rsidRPr="003707F1">
        <w:rPr>
          <w:bCs/>
        </w:rPr>
        <w:t>(</w:t>
      </w:r>
      <w:proofErr w:type="spellStart"/>
      <w:r w:rsidRPr="003707F1">
        <w:rPr>
          <w:bCs/>
        </w:rPr>
        <w:t>Oyserman</w:t>
      </w:r>
      <w:proofErr w:type="spellEnd"/>
      <w:r w:rsidRPr="003707F1">
        <w:rPr>
          <w:bCs/>
        </w:rPr>
        <w:t xml:space="preserve">, Coon &amp; </w:t>
      </w:r>
      <w:proofErr w:type="spellStart"/>
      <w:r w:rsidRPr="003707F1">
        <w:rPr>
          <w:bCs/>
        </w:rPr>
        <w:t>Kemmelmeier</w:t>
      </w:r>
      <w:proofErr w:type="spellEnd"/>
      <w:r w:rsidRPr="003707F1">
        <w:rPr>
          <w:bCs/>
        </w:rPr>
        <w:t xml:space="preserve">, 2002). Collectivists </w:t>
      </w:r>
      <w:r w:rsidR="00E65AB7" w:rsidRPr="003707F1">
        <w:rPr>
          <w:bCs/>
        </w:rPr>
        <w:t xml:space="preserve">prioritise </w:t>
      </w:r>
      <w:r w:rsidRPr="003707F1">
        <w:rPr>
          <w:bCs/>
        </w:rPr>
        <w:t xml:space="preserve">in-group interests and goals </w:t>
      </w:r>
      <w:r w:rsidRPr="003707F1">
        <w:rPr>
          <w:bCs/>
        </w:rPr>
        <w:lastRenderedPageBreak/>
        <w:t>over those of the individual (</w:t>
      </w:r>
      <w:proofErr w:type="spellStart"/>
      <w:r w:rsidRPr="003707F1">
        <w:rPr>
          <w:bCs/>
        </w:rPr>
        <w:t>Oyserman</w:t>
      </w:r>
      <w:proofErr w:type="spellEnd"/>
      <w:r w:rsidRPr="003707F1">
        <w:rPr>
          <w:bCs/>
        </w:rPr>
        <w:t xml:space="preserve"> et al., 2002; </w:t>
      </w:r>
      <w:proofErr w:type="spellStart"/>
      <w:r w:rsidRPr="003707F1">
        <w:rPr>
          <w:bCs/>
        </w:rPr>
        <w:t>Sivadas</w:t>
      </w:r>
      <w:proofErr w:type="spellEnd"/>
      <w:r w:rsidRPr="003707F1">
        <w:rPr>
          <w:bCs/>
        </w:rPr>
        <w:t xml:space="preserve"> et al., 2008). </w:t>
      </w:r>
      <w:r w:rsidR="00B81B14" w:rsidRPr="003707F1">
        <w:rPr>
          <w:bCs/>
        </w:rPr>
        <w:t>Collectivist</w:t>
      </w:r>
      <w:r w:rsidR="009075C0" w:rsidRPr="003707F1">
        <w:rPr>
          <w:bCs/>
        </w:rPr>
        <w:t xml:space="preserve">s are driven </w:t>
      </w:r>
      <w:r w:rsidRPr="003707F1">
        <w:rPr>
          <w:bCs/>
        </w:rPr>
        <w:t>by social norms, group expectations and group hierarchy (</w:t>
      </w:r>
      <w:proofErr w:type="spellStart"/>
      <w:r w:rsidRPr="003707F1">
        <w:rPr>
          <w:bCs/>
        </w:rPr>
        <w:t>Sivadas</w:t>
      </w:r>
      <w:proofErr w:type="spellEnd"/>
      <w:r w:rsidRPr="003707F1">
        <w:rPr>
          <w:bCs/>
        </w:rPr>
        <w:t xml:space="preserve"> et al., 2008). </w:t>
      </w:r>
    </w:p>
    <w:p w14:paraId="6BB2A14A" w14:textId="6A6B7523" w:rsidR="009F2026" w:rsidRPr="003707F1" w:rsidRDefault="00B70FBE" w:rsidP="00FD29BD">
      <w:pPr>
        <w:spacing w:line="360" w:lineRule="auto"/>
        <w:ind w:firstLine="720"/>
        <w:jc w:val="both"/>
        <w:rPr>
          <w:bCs/>
        </w:rPr>
      </w:pPr>
      <w:r w:rsidRPr="003707F1">
        <w:rPr>
          <w:bCs/>
        </w:rPr>
        <w:t>T</w:t>
      </w:r>
      <w:r w:rsidR="009F2026" w:rsidRPr="003707F1">
        <w:rPr>
          <w:bCs/>
        </w:rPr>
        <w:t xml:space="preserve">he polarity of the dichotomous individualism–collectivism dimension did not account for the multifaceted nature of </w:t>
      </w:r>
      <w:r w:rsidR="0049414F" w:rsidRPr="003707F1">
        <w:rPr>
          <w:bCs/>
        </w:rPr>
        <w:t>the different types of individualism and collectivism</w:t>
      </w:r>
      <w:r w:rsidR="009F2026" w:rsidRPr="003707F1">
        <w:rPr>
          <w:bCs/>
        </w:rPr>
        <w:t xml:space="preserve">. </w:t>
      </w:r>
      <w:r w:rsidR="00773B70" w:rsidRPr="003707F1">
        <w:rPr>
          <w:bCs/>
        </w:rPr>
        <w:t>S</w:t>
      </w:r>
      <w:r w:rsidR="004F6580" w:rsidRPr="003707F1">
        <w:rPr>
          <w:bCs/>
        </w:rPr>
        <w:t xml:space="preserve">cholars argued that there are many </w:t>
      </w:r>
      <w:r w:rsidR="00CE30FB" w:rsidRPr="003707F1">
        <w:rPr>
          <w:bCs/>
        </w:rPr>
        <w:t xml:space="preserve">varieties </w:t>
      </w:r>
      <w:r w:rsidR="004F6580" w:rsidRPr="003707F1">
        <w:rPr>
          <w:bCs/>
        </w:rPr>
        <w:t xml:space="preserve">of individualism and collectivism, and the conceptual distinctions between </w:t>
      </w:r>
      <w:r w:rsidR="00BD3829" w:rsidRPr="003707F1">
        <w:rPr>
          <w:bCs/>
        </w:rPr>
        <w:t>those</w:t>
      </w:r>
      <w:r w:rsidR="004F6580" w:rsidRPr="003707F1">
        <w:rPr>
          <w:bCs/>
        </w:rPr>
        <w:t xml:space="preserve"> </w:t>
      </w:r>
      <w:r w:rsidR="00CE30FB" w:rsidRPr="003707F1">
        <w:rPr>
          <w:bCs/>
        </w:rPr>
        <w:t xml:space="preserve">varieties </w:t>
      </w:r>
      <w:r w:rsidR="004F6580" w:rsidRPr="003707F1">
        <w:rPr>
          <w:bCs/>
        </w:rPr>
        <w:t>may have important practical implications (</w:t>
      </w:r>
      <w:proofErr w:type="spellStart"/>
      <w:r w:rsidR="004F6580" w:rsidRPr="003707F1">
        <w:rPr>
          <w:bCs/>
        </w:rPr>
        <w:t>Triandis</w:t>
      </w:r>
      <w:proofErr w:type="spellEnd"/>
      <w:r w:rsidR="004F6580" w:rsidRPr="003707F1">
        <w:rPr>
          <w:bCs/>
        </w:rPr>
        <w:t xml:space="preserve"> &amp; Gelfand, 1998). </w:t>
      </w:r>
      <w:r w:rsidR="009F2026" w:rsidRPr="003707F1">
        <w:rPr>
          <w:bCs/>
        </w:rPr>
        <w:t>Accordingly, an extended typology including horizontal and vertical dimension</w:t>
      </w:r>
      <w:r w:rsidR="002377FE" w:rsidRPr="003707F1">
        <w:rPr>
          <w:bCs/>
        </w:rPr>
        <w:t>s</w:t>
      </w:r>
      <w:r w:rsidR="009F2026" w:rsidRPr="003707F1">
        <w:rPr>
          <w:bCs/>
        </w:rPr>
        <w:t xml:space="preserve"> of </w:t>
      </w:r>
      <w:r w:rsidR="00C21836" w:rsidRPr="003707F1">
        <w:rPr>
          <w:bCs/>
        </w:rPr>
        <w:t xml:space="preserve">individualism and collectivism </w:t>
      </w:r>
      <w:r w:rsidR="009F2026" w:rsidRPr="003707F1">
        <w:rPr>
          <w:bCs/>
        </w:rPr>
        <w:t>w</w:t>
      </w:r>
      <w:r w:rsidRPr="003707F1">
        <w:rPr>
          <w:bCs/>
        </w:rPr>
        <w:t>as</w:t>
      </w:r>
      <w:r w:rsidR="009F2026" w:rsidRPr="003707F1">
        <w:rPr>
          <w:bCs/>
        </w:rPr>
        <w:t xml:space="preserve"> proposed</w:t>
      </w:r>
      <w:r w:rsidR="00BD3829" w:rsidRPr="003707F1">
        <w:rPr>
          <w:bCs/>
        </w:rPr>
        <w:t xml:space="preserve"> (</w:t>
      </w:r>
      <w:proofErr w:type="spellStart"/>
      <w:r w:rsidR="00ED0223" w:rsidRPr="003707F1">
        <w:rPr>
          <w:bCs/>
        </w:rPr>
        <w:t>Singelis</w:t>
      </w:r>
      <w:proofErr w:type="spellEnd"/>
      <w:r w:rsidR="00ED0223" w:rsidRPr="003707F1">
        <w:rPr>
          <w:bCs/>
        </w:rPr>
        <w:t xml:space="preserve"> et al., 1995</w:t>
      </w:r>
      <w:r w:rsidR="00CE30FB" w:rsidRPr="003707F1">
        <w:rPr>
          <w:bCs/>
        </w:rPr>
        <w:t>)</w:t>
      </w:r>
      <w:r w:rsidR="009F2026" w:rsidRPr="003707F1">
        <w:rPr>
          <w:bCs/>
        </w:rPr>
        <w:t xml:space="preserve">. </w:t>
      </w:r>
      <w:r w:rsidR="00BD3829" w:rsidRPr="003707F1">
        <w:rPr>
          <w:bCs/>
        </w:rPr>
        <w:t>Th</w:t>
      </w:r>
      <w:r w:rsidRPr="003707F1">
        <w:rPr>
          <w:bCs/>
        </w:rPr>
        <w:t>is typology</w:t>
      </w:r>
      <w:r w:rsidR="009F2026" w:rsidRPr="003707F1">
        <w:rPr>
          <w:bCs/>
        </w:rPr>
        <w:t xml:space="preserve"> </w:t>
      </w:r>
      <w:r w:rsidR="00FB466D" w:rsidRPr="003707F1">
        <w:rPr>
          <w:bCs/>
        </w:rPr>
        <w:t xml:space="preserve">widened </w:t>
      </w:r>
      <w:r w:rsidR="009F2026" w:rsidRPr="003707F1">
        <w:rPr>
          <w:bCs/>
        </w:rPr>
        <w:t xml:space="preserve">the original </w:t>
      </w:r>
      <w:r w:rsidR="00FB466D" w:rsidRPr="003707F1">
        <w:rPr>
          <w:bCs/>
        </w:rPr>
        <w:t xml:space="preserve">conceptual </w:t>
      </w:r>
      <w:r w:rsidR="009F2026" w:rsidRPr="003707F1">
        <w:rPr>
          <w:bCs/>
        </w:rPr>
        <w:t xml:space="preserve">dichotomy by </w:t>
      </w:r>
      <w:r w:rsidR="003D5190" w:rsidRPr="003707F1">
        <w:rPr>
          <w:bCs/>
        </w:rPr>
        <w:t xml:space="preserve">introducing </w:t>
      </w:r>
      <w:r w:rsidR="009F2026" w:rsidRPr="003707F1">
        <w:rPr>
          <w:bCs/>
        </w:rPr>
        <w:t xml:space="preserve">four dimensions: </w:t>
      </w:r>
      <w:r w:rsidR="00C21836" w:rsidRPr="003707F1">
        <w:rPr>
          <w:bCs/>
        </w:rPr>
        <w:t>h</w:t>
      </w:r>
      <w:r w:rsidR="009F2026" w:rsidRPr="003707F1">
        <w:rPr>
          <w:bCs/>
        </w:rPr>
        <w:t xml:space="preserve">orizontal </w:t>
      </w:r>
      <w:r w:rsidR="00C21836" w:rsidRPr="003707F1">
        <w:rPr>
          <w:bCs/>
        </w:rPr>
        <w:t>i</w:t>
      </w:r>
      <w:r w:rsidR="009F2026" w:rsidRPr="003707F1">
        <w:rPr>
          <w:bCs/>
        </w:rPr>
        <w:t xml:space="preserve">ndividualism (HI), </w:t>
      </w:r>
      <w:r w:rsidR="00C21836" w:rsidRPr="003707F1">
        <w:rPr>
          <w:bCs/>
        </w:rPr>
        <w:t>v</w:t>
      </w:r>
      <w:r w:rsidR="009F2026" w:rsidRPr="003707F1">
        <w:rPr>
          <w:bCs/>
        </w:rPr>
        <w:t xml:space="preserve">ertical </w:t>
      </w:r>
      <w:r w:rsidR="00C21836" w:rsidRPr="003707F1">
        <w:rPr>
          <w:bCs/>
        </w:rPr>
        <w:t>i</w:t>
      </w:r>
      <w:r w:rsidR="009F2026" w:rsidRPr="003707F1">
        <w:rPr>
          <w:bCs/>
        </w:rPr>
        <w:t xml:space="preserve">ndividualism (VI), </w:t>
      </w:r>
      <w:r w:rsidR="00C21836" w:rsidRPr="003707F1">
        <w:rPr>
          <w:bCs/>
        </w:rPr>
        <w:t>h</w:t>
      </w:r>
      <w:r w:rsidR="009F2026" w:rsidRPr="003707F1">
        <w:rPr>
          <w:bCs/>
        </w:rPr>
        <w:t xml:space="preserve">orizontal </w:t>
      </w:r>
      <w:r w:rsidR="00C21836" w:rsidRPr="003707F1">
        <w:rPr>
          <w:bCs/>
        </w:rPr>
        <w:t>c</w:t>
      </w:r>
      <w:r w:rsidR="009F2026" w:rsidRPr="003707F1">
        <w:rPr>
          <w:bCs/>
        </w:rPr>
        <w:t xml:space="preserve">ollectivism (HC), and </w:t>
      </w:r>
      <w:r w:rsidR="00C21836" w:rsidRPr="003707F1">
        <w:rPr>
          <w:bCs/>
        </w:rPr>
        <w:t>v</w:t>
      </w:r>
      <w:r w:rsidR="009F2026" w:rsidRPr="003707F1">
        <w:rPr>
          <w:bCs/>
        </w:rPr>
        <w:t xml:space="preserve">ertical </w:t>
      </w:r>
      <w:r w:rsidR="00C21836" w:rsidRPr="003707F1">
        <w:rPr>
          <w:bCs/>
        </w:rPr>
        <w:t>c</w:t>
      </w:r>
      <w:r w:rsidR="009F2026" w:rsidRPr="003707F1">
        <w:rPr>
          <w:bCs/>
        </w:rPr>
        <w:t>ollectivism (VC) (</w:t>
      </w:r>
      <w:proofErr w:type="spellStart"/>
      <w:r w:rsidR="009F2026" w:rsidRPr="003707F1">
        <w:rPr>
          <w:bCs/>
        </w:rPr>
        <w:t>Triandis</w:t>
      </w:r>
      <w:proofErr w:type="spellEnd"/>
      <w:r w:rsidR="009F2026" w:rsidRPr="003707F1">
        <w:rPr>
          <w:bCs/>
        </w:rPr>
        <w:t xml:space="preserve"> &amp; Gelfand, 1998). These categories of individualism–collectivism classify cultures and individuals according to their readiness to </w:t>
      </w:r>
      <w:r w:rsidR="00E65AB7" w:rsidRPr="003707F1">
        <w:rPr>
          <w:bCs/>
        </w:rPr>
        <w:t xml:space="preserve">recognise </w:t>
      </w:r>
      <w:r w:rsidR="009F2026" w:rsidRPr="003707F1">
        <w:rPr>
          <w:bCs/>
        </w:rPr>
        <w:t xml:space="preserve">and </w:t>
      </w:r>
      <w:r w:rsidR="00CF26E3" w:rsidRPr="003707F1">
        <w:rPr>
          <w:bCs/>
        </w:rPr>
        <w:t xml:space="preserve">accept social </w:t>
      </w:r>
      <w:r w:rsidR="009F2026" w:rsidRPr="003707F1">
        <w:rPr>
          <w:bCs/>
        </w:rPr>
        <w:t>hierarch</w:t>
      </w:r>
      <w:r w:rsidR="00CF26E3" w:rsidRPr="003707F1">
        <w:rPr>
          <w:bCs/>
        </w:rPr>
        <w:t>ies</w:t>
      </w:r>
      <w:r w:rsidR="009F2026" w:rsidRPr="003707F1">
        <w:rPr>
          <w:bCs/>
        </w:rPr>
        <w:t xml:space="preserve"> (</w:t>
      </w:r>
      <w:proofErr w:type="spellStart"/>
      <w:r w:rsidR="009F2026" w:rsidRPr="003707F1">
        <w:rPr>
          <w:bCs/>
        </w:rPr>
        <w:t>Shavitt</w:t>
      </w:r>
      <w:proofErr w:type="spellEnd"/>
      <w:r w:rsidR="009F2026" w:rsidRPr="003707F1">
        <w:rPr>
          <w:bCs/>
        </w:rPr>
        <w:t xml:space="preserve"> &amp; Cho, 2016). Individuals who hold vertical values believe that societies are structurally hierarchical with members of society accepting inequality and acknowledging the importance of social rank</w:t>
      </w:r>
      <w:r w:rsidR="00E91F8C" w:rsidRPr="003707F1">
        <w:rPr>
          <w:bCs/>
        </w:rPr>
        <w:t>.</w:t>
      </w:r>
      <w:r w:rsidR="009F2026" w:rsidRPr="003707F1">
        <w:rPr>
          <w:bCs/>
        </w:rPr>
        <w:t xml:space="preserve"> </w:t>
      </w:r>
      <w:r w:rsidR="00E91F8C" w:rsidRPr="003707F1">
        <w:rPr>
          <w:bCs/>
        </w:rPr>
        <w:t>T</w:t>
      </w:r>
      <w:r w:rsidR="009F2026" w:rsidRPr="003707F1">
        <w:rPr>
          <w:bCs/>
        </w:rPr>
        <w:t xml:space="preserve">hose who hold horizontal values believe that societies are structurally egalitarian with members </w:t>
      </w:r>
      <w:r w:rsidR="003D5190" w:rsidRPr="003707F1">
        <w:rPr>
          <w:bCs/>
        </w:rPr>
        <w:t xml:space="preserve">recognising </w:t>
      </w:r>
      <w:r w:rsidR="009F2026" w:rsidRPr="003707F1">
        <w:rPr>
          <w:bCs/>
        </w:rPr>
        <w:t xml:space="preserve">interdependence and equal status for all (Nelson &amp; </w:t>
      </w:r>
      <w:proofErr w:type="spellStart"/>
      <w:r w:rsidR="009F2026" w:rsidRPr="003707F1">
        <w:rPr>
          <w:bCs/>
        </w:rPr>
        <w:t>Shavitt</w:t>
      </w:r>
      <w:proofErr w:type="spellEnd"/>
      <w:r w:rsidR="009F2026" w:rsidRPr="003707F1">
        <w:rPr>
          <w:bCs/>
        </w:rPr>
        <w:t xml:space="preserve">, 2002). </w:t>
      </w:r>
    </w:p>
    <w:p w14:paraId="2D80DB49" w14:textId="77777777" w:rsidR="00C9497A" w:rsidRPr="003707F1" w:rsidRDefault="009F2026" w:rsidP="00DD61B3">
      <w:pPr>
        <w:spacing w:line="360" w:lineRule="auto"/>
        <w:ind w:firstLine="720"/>
        <w:jc w:val="both"/>
        <w:rPr>
          <w:bCs/>
        </w:rPr>
      </w:pPr>
      <w:r w:rsidRPr="003707F1">
        <w:rPr>
          <w:bCs/>
        </w:rPr>
        <w:t>This conceptual distinction between horizontal and vertical individualism–collectivism is crucial for uncovering new cultural patterns</w:t>
      </w:r>
      <w:r w:rsidR="00CD3134" w:rsidRPr="003707F1">
        <w:rPr>
          <w:bCs/>
        </w:rPr>
        <w:t xml:space="preserve"> or</w:t>
      </w:r>
      <w:r w:rsidR="00C9497A" w:rsidRPr="003707F1">
        <w:rPr>
          <w:bCs/>
        </w:rPr>
        <w:t xml:space="preserve"> </w:t>
      </w:r>
      <w:r w:rsidRPr="003707F1">
        <w:rPr>
          <w:bCs/>
        </w:rPr>
        <w:t>explaining phenomena not anticipated by the more general individualism–collectivism dimension (</w:t>
      </w:r>
      <w:r w:rsidR="00BC262C" w:rsidRPr="003707F1">
        <w:rPr>
          <w:bCs/>
        </w:rPr>
        <w:t>Díaz-Loving, Cruz-Torres, Armenta-</w:t>
      </w:r>
      <w:proofErr w:type="spellStart"/>
      <w:r w:rsidR="00BC262C" w:rsidRPr="003707F1">
        <w:rPr>
          <w:bCs/>
        </w:rPr>
        <w:t>Huarte</w:t>
      </w:r>
      <w:proofErr w:type="spellEnd"/>
      <w:r w:rsidR="00BC262C" w:rsidRPr="003707F1">
        <w:rPr>
          <w:bCs/>
        </w:rPr>
        <w:t xml:space="preserve">, &amp; Reyes-Ruiz, 2018; </w:t>
      </w:r>
      <w:proofErr w:type="spellStart"/>
      <w:r w:rsidRPr="003707F1">
        <w:rPr>
          <w:bCs/>
        </w:rPr>
        <w:t>Shavitt</w:t>
      </w:r>
      <w:proofErr w:type="spellEnd"/>
      <w:r w:rsidRPr="003707F1">
        <w:rPr>
          <w:bCs/>
        </w:rPr>
        <w:t xml:space="preserve"> et al., 2011). </w:t>
      </w:r>
      <w:r w:rsidR="004A3D9E" w:rsidRPr="003707F1">
        <w:rPr>
          <w:bCs/>
        </w:rPr>
        <w:t>The nature of the constructs</w:t>
      </w:r>
      <w:r w:rsidR="00DB524D" w:rsidRPr="003707F1">
        <w:rPr>
          <w:bCs/>
        </w:rPr>
        <w:t xml:space="preserve"> </w:t>
      </w:r>
      <w:r w:rsidRPr="003707F1">
        <w:rPr>
          <w:bCs/>
        </w:rPr>
        <w:t xml:space="preserve">suggests that they may relate in different ways to the propensity for people to believe that their individual </w:t>
      </w:r>
      <w:r w:rsidR="000F24C0" w:rsidRPr="003707F1">
        <w:rPr>
          <w:bCs/>
        </w:rPr>
        <w:t>purchasing decisions</w:t>
      </w:r>
      <w:r w:rsidR="004A3D9E" w:rsidRPr="003707F1">
        <w:rPr>
          <w:bCs/>
        </w:rPr>
        <w:t xml:space="preserve"> </w:t>
      </w:r>
      <w:r w:rsidR="000F24C0" w:rsidRPr="003707F1">
        <w:rPr>
          <w:bCs/>
        </w:rPr>
        <w:t>are a solution to the environmental</w:t>
      </w:r>
      <w:r w:rsidR="00633993" w:rsidRPr="003707F1">
        <w:rPr>
          <w:bCs/>
        </w:rPr>
        <w:t>, employee</w:t>
      </w:r>
      <w:r w:rsidR="000F24C0" w:rsidRPr="003707F1">
        <w:rPr>
          <w:bCs/>
        </w:rPr>
        <w:t xml:space="preserve"> and social problems. </w:t>
      </w:r>
    </w:p>
    <w:p w14:paraId="0D4DD70D" w14:textId="5D923C0E" w:rsidR="0041671C" w:rsidRPr="003707F1" w:rsidRDefault="00A20A63" w:rsidP="00C9497A">
      <w:pPr>
        <w:spacing w:line="360" w:lineRule="auto"/>
        <w:ind w:firstLine="720"/>
        <w:jc w:val="both"/>
        <w:rPr>
          <w:bCs/>
        </w:rPr>
      </w:pPr>
      <w:r w:rsidRPr="003707F1">
        <w:rPr>
          <w:bCs/>
        </w:rPr>
        <w:t>P</w:t>
      </w:r>
      <w:r w:rsidR="00547375" w:rsidRPr="003707F1">
        <w:rPr>
          <w:bCs/>
        </w:rPr>
        <w:t>ast</w:t>
      </w:r>
      <w:r w:rsidRPr="003707F1">
        <w:rPr>
          <w:bCs/>
        </w:rPr>
        <w:t xml:space="preserve"> research which focused on examining </w:t>
      </w:r>
      <w:r w:rsidR="00547375" w:rsidRPr="003707F1">
        <w:rPr>
          <w:bCs/>
        </w:rPr>
        <w:t xml:space="preserve">the relations between </w:t>
      </w:r>
      <w:r w:rsidRPr="003707F1">
        <w:rPr>
          <w:bCs/>
        </w:rPr>
        <w:t xml:space="preserve">values of </w:t>
      </w:r>
      <w:proofErr w:type="spellStart"/>
      <w:r w:rsidR="006F21B2" w:rsidRPr="003707F1">
        <w:rPr>
          <w:bCs/>
        </w:rPr>
        <w:t>horoizontal</w:t>
      </w:r>
      <w:proofErr w:type="spellEnd"/>
      <w:r w:rsidR="006F21B2" w:rsidRPr="003707F1">
        <w:rPr>
          <w:bCs/>
        </w:rPr>
        <w:t xml:space="preserve">/vertical </w:t>
      </w:r>
      <w:r w:rsidR="00547375" w:rsidRPr="003707F1">
        <w:rPr>
          <w:bCs/>
        </w:rPr>
        <w:t>individualism and collectivism, and social identities</w:t>
      </w:r>
      <w:r w:rsidRPr="003707F1">
        <w:rPr>
          <w:bCs/>
        </w:rPr>
        <w:t xml:space="preserve"> </w:t>
      </w:r>
      <w:r w:rsidR="006F21B2" w:rsidRPr="003707F1">
        <w:rPr>
          <w:bCs/>
        </w:rPr>
        <w:t xml:space="preserve">is limited to few studies. </w:t>
      </w:r>
      <w:r w:rsidR="00C9497A" w:rsidRPr="003707F1">
        <w:rPr>
          <w:bCs/>
        </w:rPr>
        <w:t xml:space="preserve">Specifically, studies that measured the vertical-horizontal types of individualism and collectivism and related them to PCE or similar concepts are limited to Cho et al (2013), and Ali et al (2019). </w:t>
      </w:r>
      <w:r w:rsidR="00EF30F0" w:rsidRPr="003707F1">
        <w:rPr>
          <w:bCs/>
        </w:rPr>
        <w:t>V</w:t>
      </w:r>
      <w:r w:rsidR="00C9497A" w:rsidRPr="003707F1">
        <w:rPr>
          <w:bCs/>
        </w:rPr>
        <w:t>ertical individualism was positively related to PCE (Cho et al, 2013); and acted as a positive moderator of motivations to purchase green cars (Ali et al., 2019). Horizontal collectivism was also positively associated with PCE (Cho et al., 2013), and moderated motivations for green purchases (Ali et al., 2019). Ali et al (2019) also found that horizontal collectivism was a statistically significant positive moderator</w:t>
      </w:r>
      <w:r w:rsidR="00EF30F0" w:rsidRPr="003707F1">
        <w:rPr>
          <w:bCs/>
        </w:rPr>
        <w:t xml:space="preserve"> of the relationship between PCE and purchase intention</w:t>
      </w:r>
      <w:r w:rsidR="00C9497A" w:rsidRPr="003707F1">
        <w:rPr>
          <w:bCs/>
        </w:rPr>
        <w:t>. A</w:t>
      </w:r>
      <w:r w:rsidR="006F21B2" w:rsidRPr="003707F1">
        <w:rPr>
          <w:bCs/>
        </w:rPr>
        <w:t xml:space="preserve">mongst Chinese individuals, researchers measured </w:t>
      </w:r>
      <w:r w:rsidR="00390DF5" w:rsidRPr="003707F1">
        <w:rPr>
          <w:bCs/>
        </w:rPr>
        <w:t>p</w:t>
      </w:r>
      <w:r w:rsidR="006F21B2" w:rsidRPr="003707F1">
        <w:rPr>
          <w:bCs/>
        </w:rPr>
        <w:t xml:space="preserve">erceived </w:t>
      </w:r>
      <w:r w:rsidR="00390DF5" w:rsidRPr="003707F1">
        <w:rPr>
          <w:bCs/>
        </w:rPr>
        <w:t>i</w:t>
      </w:r>
      <w:r w:rsidR="006F21B2" w:rsidRPr="003707F1">
        <w:rPr>
          <w:bCs/>
        </w:rPr>
        <w:t xml:space="preserve">ntractability of </w:t>
      </w:r>
      <w:r w:rsidR="00390DF5" w:rsidRPr="003707F1">
        <w:rPr>
          <w:bCs/>
        </w:rPr>
        <w:t>c</w:t>
      </w:r>
      <w:r w:rsidR="006F21B2" w:rsidRPr="003707F1">
        <w:rPr>
          <w:bCs/>
        </w:rPr>
        <w:t xml:space="preserve">limate </w:t>
      </w:r>
      <w:r w:rsidR="00390DF5" w:rsidRPr="003707F1">
        <w:rPr>
          <w:bCs/>
        </w:rPr>
        <w:t>c</w:t>
      </w:r>
      <w:r w:rsidR="006F21B2" w:rsidRPr="003707F1">
        <w:rPr>
          <w:bCs/>
        </w:rPr>
        <w:t xml:space="preserve">hange that focuses on one’s belief that one’s actions can have an </w:t>
      </w:r>
      <w:r w:rsidR="006F21B2" w:rsidRPr="003707F1">
        <w:rPr>
          <w:bCs/>
        </w:rPr>
        <w:lastRenderedPageBreak/>
        <w:t xml:space="preserve">impact on climate change prevention (Xiang et al., 2019). The authors reported that respondents with a high score on the individualism dimension believed that their individual actions did not have a positive impact on climate change; collectivists however believed that their actions mattered more. </w:t>
      </w:r>
      <w:r w:rsidR="00547375" w:rsidRPr="003707F1">
        <w:rPr>
          <w:bCs/>
        </w:rPr>
        <w:t xml:space="preserve">However, </w:t>
      </w:r>
      <w:r w:rsidR="006F21B2" w:rsidRPr="003707F1">
        <w:rPr>
          <w:bCs/>
        </w:rPr>
        <w:t xml:space="preserve">Xiang et </w:t>
      </w:r>
      <w:proofErr w:type="spellStart"/>
      <w:r w:rsidR="006F21B2" w:rsidRPr="003707F1">
        <w:rPr>
          <w:bCs/>
        </w:rPr>
        <w:t>al’s</w:t>
      </w:r>
      <w:proofErr w:type="spellEnd"/>
      <w:r w:rsidR="006F21B2" w:rsidRPr="003707F1">
        <w:rPr>
          <w:bCs/>
        </w:rPr>
        <w:t xml:space="preserve"> study did not report scores for each distinct dimension of vertical/horizontal individualism (despite </w:t>
      </w:r>
      <w:r w:rsidR="00547375" w:rsidRPr="003707F1">
        <w:rPr>
          <w:bCs/>
        </w:rPr>
        <w:t xml:space="preserve">claiming </w:t>
      </w:r>
      <w:r w:rsidR="006F21B2" w:rsidRPr="003707F1">
        <w:rPr>
          <w:bCs/>
        </w:rPr>
        <w:t xml:space="preserve">to measure those four types), hence there is no evidence which type of individualism was </w:t>
      </w:r>
      <w:proofErr w:type="gramStart"/>
      <w:r w:rsidR="006F21B2" w:rsidRPr="003707F1">
        <w:rPr>
          <w:bCs/>
        </w:rPr>
        <w:t>more or less related</w:t>
      </w:r>
      <w:proofErr w:type="gramEnd"/>
      <w:r w:rsidR="006F21B2" w:rsidRPr="003707F1">
        <w:rPr>
          <w:bCs/>
        </w:rPr>
        <w:t xml:space="preserve"> to low levels of belief in one’s actions’ impact on climate change.</w:t>
      </w:r>
    </w:p>
    <w:p w14:paraId="3EE293F0" w14:textId="480745F5" w:rsidR="009F2026" w:rsidRPr="003707F1" w:rsidRDefault="00FA25F5" w:rsidP="00FA25F5">
      <w:pPr>
        <w:spacing w:line="360" w:lineRule="auto"/>
        <w:ind w:firstLine="720"/>
        <w:jc w:val="both"/>
        <w:rPr>
          <w:bCs/>
        </w:rPr>
      </w:pPr>
      <w:r w:rsidRPr="003707F1">
        <w:rPr>
          <w:bCs/>
        </w:rPr>
        <w:t xml:space="preserve">Given the argued importance of the more nuanced constructs of vertical and horizontal individualism and collectivism, </w:t>
      </w:r>
      <w:r w:rsidR="00480D3A" w:rsidRPr="003707F1">
        <w:rPr>
          <w:bCs/>
        </w:rPr>
        <w:t xml:space="preserve">and the limited </w:t>
      </w:r>
      <w:r w:rsidR="00407012" w:rsidRPr="003707F1">
        <w:rPr>
          <w:bCs/>
        </w:rPr>
        <w:t xml:space="preserve">number and </w:t>
      </w:r>
      <w:r w:rsidR="00480D3A" w:rsidRPr="003707F1">
        <w:rPr>
          <w:bCs/>
        </w:rPr>
        <w:t xml:space="preserve">scope of studies that linked these cultural dimensions to PCE, </w:t>
      </w:r>
      <w:r w:rsidRPr="003707F1">
        <w:rPr>
          <w:bCs/>
        </w:rPr>
        <w:t>we therefore measure these constructs with a view to explore if such distinctions will lead to different outcomes</w:t>
      </w:r>
      <w:r w:rsidR="00480D3A" w:rsidRPr="003707F1">
        <w:rPr>
          <w:bCs/>
        </w:rPr>
        <w:t xml:space="preserve"> in </w:t>
      </w:r>
      <w:r w:rsidR="00433F09" w:rsidRPr="003707F1">
        <w:rPr>
          <w:bCs/>
        </w:rPr>
        <w:t>a post-transitional economy of Poland</w:t>
      </w:r>
      <w:r w:rsidR="00480D3A" w:rsidRPr="003707F1">
        <w:rPr>
          <w:bCs/>
        </w:rPr>
        <w:t xml:space="preserve">. </w:t>
      </w:r>
    </w:p>
    <w:p w14:paraId="266B5A55" w14:textId="1E912DBC" w:rsidR="000B3A1F" w:rsidRPr="003707F1" w:rsidRDefault="000B3A1F" w:rsidP="00AB7714">
      <w:pPr>
        <w:spacing w:line="360" w:lineRule="auto"/>
        <w:jc w:val="both"/>
      </w:pPr>
    </w:p>
    <w:p w14:paraId="07536FB2" w14:textId="03403EC0" w:rsidR="00201D18" w:rsidRPr="003707F1" w:rsidRDefault="00070D73" w:rsidP="00AB7714">
      <w:pPr>
        <w:spacing w:line="360" w:lineRule="auto"/>
        <w:jc w:val="both"/>
        <w:rPr>
          <w:b/>
          <w:i/>
          <w:iCs/>
        </w:rPr>
      </w:pPr>
      <w:r w:rsidRPr="003707F1">
        <w:rPr>
          <w:b/>
          <w:i/>
          <w:iCs/>
        </w:rPr>
        <w:t>G</w:t>
      </w:r>
      <w:r w:rsidR="00F330AE" w:rsidRPr="003707F1">
        <w:rPr>
          <w:b/>
          <w:i/>
          <w:iCs/>
        </w:rPr>
        <w:t xml:space="preserve">lobal-local identities </w:t>
      </w:r>
    </w:p>
    <w:p w14:paraId="59E8DF2F" w14:textId="1C443E92" w:rsidR="00D675FA" w:rsidRPr="003707F1" w:rsidRDefault="00201D18" w:rsidP="00B108CE">
      <w:pPr>
        <w:spacing w:line="360" w:lineRule="auto"/>
        <w:ind w:firstLine="720"/>
        <w:jc w:val="both"/>
      </w:pPr>
      <w:r w:rsidRPr="003707F1">
        <w:t xml:space="preserve">Social identity is a person’s perception of belonging to a social category or group (Stets </w:t>
      </w:r>
      <w:r w:rsidR="00B108CE" w:rsidRPr="003707F1">
        <w:t>&amp;</w:t>
      </w:r>
      <w:r w:rsidRPr="003707F1">
        <w:t xml:space="preserve"> Burke, 2000). </w:t>
      </w:r>
      <w:r w:rsidR="00243DFB" w:rsidRPr="003707F1">
        <w:t>Social identity theory</w:t>
      </w:r>
      <w:r w:rsidR="00CA560B" w:rsidRPr="003707F1">
        <w:t xml:space="preserve"> </w:t>
      </w:r>
      <w:r w:rsidR="00243DFB" w:rsidRPr="003707F1">
        <w:t>posits</w:t>
      </w:r>
      <w:r w:rsidRPr="003707F1">
        <w:t xml:space="preserve"> </w:t>
      </w:r>
      <w:r w:rsidR="00243DFB" w:rsidRPr="003707F1">
        <w:t xml:space="preserve">that </w:t>
      </w:r>
      <w:r w:rsidRPr="003707F1">
        <w:t xml:space="preserve">the groups which </w:t>
      </w:r>
      <w:r w:rsidR="00243DFB" w:rsidRPr="003707F1">
        <w:t>individuals</w:t>
      </w:r>
      <w:r w:rsidRPr="003707F1">
        <w:t xml:space="preserve"> </w:t>
      </w:r>
      <w:r w:rsidR="00A65037" w:rsidRPr="003707F1">
        <w:t xml:space="preserve">feel they </w:t>
      </w:r>
      <w:r w:rsidRPr="003707F1">
        <w:t>belong</w:t>
      </w:r>
      <w:r w:rsidR="00243DFB" w:rsidRPr="003707F1">
        <w:t xml:space="preserve"> </w:t>
      </w:r>
      <w:r w:rsidRPr="003707F1">
        <w:t xml:space="preserve">to </w:t>
      </w:r>
      <w:r w:rsidR="00243DFB" w:rsidRPr="003707F1">
        <w:t>are</w:t>
      </w:r>
      <w:r w:rsidRPr="003707F1">
        <w:t xml:space="preserve"> an important source of</w:t>
      </w:r>
      <w:r w:rsidR="00243DFB" w:rsidRPr="003707F1">
        <w:t xml:space="preserve"> social norms, </w:t>
      </w:r>
      <w:proofErr w:type="gramStart"/>
      <w:r w:rsidR="00243DFB" w:rsidRPr="003707F1">
        <w:t>values</w:t>
      </w:r>
      <w:proofErr w:type="gramEnd"/>
      <w:r w:rsidR="00243DFB" w:rsidRPr="003707F1">
        <w:t xml:space="preserve"> and knowledge about acceptable behaviours (</w:t>
      </w:r>
      <w:r w:rsidR="00CA560B" w:rsidRPr="003707F1">
        <w:t>Tajfel, 1978</w:t>
      </w:r>
      <w:r w:rsidR="00243DFB" w:rsidRPr="003707F1">
        <w:t xml:space="preserve">). </w:t>
      </w:r>
      <w:r w:rsidR="00F25192" w:rsidRPr="003707F1">
        <w:t>S</w:t>
      </w:r>
      <w:r w:rsidR="00243DFB" w:rsidRPr="003707F1">
        <w:t xml:space="preserve">ocial identities are important </w:t>
      </w:r>
      <w:r w:rsidR="00B4017B" w:rsidRPr="003707F1">
        <w:t>predictors</w:t>
      </w:r>
      <w:r w:rsidR="00243DFB" w:rsidRPr="003707F1">
        <w:t xml:space="preserve"> of behaviour in</w:t>
      </w:r>
      <w:r w:rsidR="00D675FA" w:rsidRPr="003707F1">
        <w:t xml:space="preserve"> </w:t>
      </w:r>
      <w:r w:rsidR="00CA560B" w:rsidRPr="003707F1">
        <w:t xml:space="preserve">numerous </w:t>
      </w:r>
      <w:r w:rsidR="00243DFB" w:rsidRPr="003707F1">
        <w:t xml:space="preserve">contexts, </w:t>
      </w:r>
      <w:r w:rsidR="00B108CE" w:rsidRPr="003707F1">
        <w:t xml:space="preserve">including </w:t>
      </w:r>
      <w:r w:rsidR="008F75D7" w:rsidRPr="003707F1">
        <w:t>sustainable or environmentally-</w:t>
      </w:r>
      <w:proofErr w:type="spellStart"/>
      <w:r w:rsidR="008F75D7" w:rsidRPr="003707F1">
        <w:t>concious</w:t>
      </w:r>
      <w:proofErr w:type="spellEnd"/>
      <w:r w:rsidR="008F75D7" w:rsidRPr="003707F1">
        <w:t xml:space="preserve"> </w:t>
      </w:r>
      <w:r w:rsidR="003D5190" w:rsidRPr="003707F1">
        <w:t xml:space="preserve">consumer </w:t>
      </w:r>
      <w:r w:rsidR="00243DFB" w:rsidRPr="003707F1">
        <w:t>behaviour</w:t>
      </w:r>
      <w:r w:rsidR="008F75D7" w:rsidRPr="003707F1">
        <w:t xml:space="preserve"> (</w:t>
      </w:r>
      <w:proofErr w:type="spellStart"/>
      <w:r w:rsidR="008F75D7" w:rsidRPr="003707F1">
        <w:t>Bonaiuto</w:t>
      </w:r>
      <w:proofErr w:type="spellEnd"/>
      <w:r w:rsidR="008F75D7" w:rsidRPr="003707F1">
        <w:t xml:space="preserve">, Breakwell, &amp; Cano, 1996; </w:t>
      </w:r>
      <w:proofErr w:type="spellStart"/>
      <w:r w:rsidR="008F75D7" w:rsidRPr="003707F1">
        <w:t>Milfont</w:t>
      </w:r>
      <w:proofErr w:type="spellEnd"/>
      <w:r w:rsidR="008F75D7" w:rsidRPr="003707F1">
        <w:t xml:space="preserve">, Osborne, </w:t>
      </w:r>
      <w:proofErr w:type="spellStart"/>
      <w:r w:rsidR="008F75D7" w:rsidRPr="003707F1">
        <w:t>Yogeeswaran</w:t>
      </w:r>
      <w:proofErr w:type="spellEnd"/>
      <w:r w:rsidR="008F75D7" w:rsidRPr="003707F1">
        <w:t>, &amp; Sibley, 2020)</w:t>
      </w:r>
      <w:r w:rsidR="00243DFB" w:rsidRPr="003707F1">
        <w:t xml:space="preserve">. </w:t>
      </w:r>
      <w:r w:rsidR="00C317A5" w:rsidRPr="003707F1">
        <w:t xml:space="preserve">For example, social identity </w:t>
      </w:r>
      <w:r w:rsidR="00814D19" w:rsidRPr="003707F1">
        <w:t xml:space="preserve">was relevant </w:t>
      </w:r>
      <w:proofErr w:type="gramStart"/>
      <w:r w:rsidR="00814D19" w:rsidRPr="003707F1">
        <w:t xml:space="preserve">for </w:t>
      </w:r>
      <w:r w:rsidR="00C317A5" w:rsidRPr="003707F1">
        <w:t xml:space="preserve"> promoting</w:t>
      </w:r>
      <w:proofErr w:type="gramEnd"/>
      <w:r w:rsidR="00C317A5" w:rsidRPr="003707F1">
        <w:t xml:space="preserve"> health behaviour (Stevens et al., 2017); sustainable consumption behaviour (Bartels &amp; Reinders, 2016; Udall</w:t>
      </w:r>
      <w:r w:rsidR="00F86F41" w:rsidRPr="003707F1">
        <w:t xml:space="preserve"> et al., </w:t>
      </w:r>
      <w:r w:rsidR="00C317A5" w:rsidRPr="003707F1">
        <w:t>20</w:t>
      </w:r>
      <w:r w:rsidR="00F86F41" w:rsidRPr="003707F1">
        <w:t>20</w:t>
      </w:r>
      <w:r w:rsidR="00C317A5" w:rsidRPr="003707F1">
        <w:t xml:space="preserve">; </w:t>
      </w:r>
      <w:r w:rsidR="00A00668" w:rsidRPr="003707F1">
        <w:t>White et al., 2019</w:t>
      </w:r>
      <w:r w:rsidR="00C317A5" w:rsidRPr="003707F1">
        <w:t>), and</w:t>
      </w:r>
      <w:r w:rsidR="00814D19" w:rsidRPr="003707F1">
        <w:t xml:space="preserve"> for increasing</w:t>
      </w:r>
      <w:r w:rsidR="00C317A5" w:rsidRPr="003707F1">
        <w:t xml:space="preserve"> effectiveness of communication (Guan &amp; So, 2016) to name a few.  </w:t>
      </w:r>
    </w:p>
    <w:p w14:paraId="77E76898" w14:textId="74283C67" w:rsidR="00401F53" w:rsidRPr="003707F1" w:rsidRDefault="00632116" w:rsidP="002A7CDE">
      <w:pPr>
        <w:spacing w:line="360" w:lineRule="auto"/>
        <w:ind w:firstLine="720"/>
        <w:jc w:val="both"/>
        <w:rPr>
          <w:bCs/>
        </w:rPr>
      </w:pPr>
      <w:r w:rsidRPr="003707F1">
        <w:t>T</w:t>
      </w:r>
      <w:r w:rsidR="00A00668" w:rsidRPr="003707F1">
        <w:t>u</w:t>
      </w:r>
      <w:r w:rsidRPr="003707F1">
        <w:t xml:space="preserve"> et al (2012), drawing on social identity theory research</w:t>
      </w:r>
      <w:r w:rsidR="00DC3DB3" w:rsidRPr="003707F1">
        <w:t xml:space="preserve">, </w:t>
      </w:r>
      <w:r w:rsidRPr="003707F1">
        <w:t>proposed that individuals have global and local identities. That is</w:t>
      </w:r>
      <w:r w:rsidR="00741315" w:rsidRPr="003707F1">
        <w:t>,</w:t>
      </w:r>
      <w:r w:rsidRPr="003707F1">
        <w:t xml:space="preserve"> they identify </w:t>
      </w:r>
      <w:r w:rsidR="00A65037" w:rsidRPr="003707F1">
        <w:t xml:space="preserve">to different extent </w:t>
      </w:r>
      <w:r w:rsidRPr="003707F1">
        <w:t xml:space="preserve">with global or local communities. </w:t>
      </w:r>
      <w:r w:rsidR="00A00668" w:rsidRPr="003707F1">
        <w:t xml:space="preserve">Global identity is </w:t>
      </w:r>
      <w:r w:rsidR="002524AB" w:rsidRPr="003707F1">
        <w:t xml:space="preserve">a feeling of belonging to the global community and identification with a global lifestyle. Local identity means that individuals feel they belong to their local community and identify with local </w:t>
      </w:r>
      <w:r w:rsidR="00A65037" w:rsidRPr="003707F1">
        <w:t xml:space="preserve">habits, customs, and beliefs </w:t>
      </w:r>
      <w:r w:rsidR="002524AB" w:rsidRPr="003707F1">
        <w:t xml:space="preserve">(Tu et al., 2012). </w:t>
      </w:r>
      <w:r w:rsidR="00221EEC" w:rsidRPr="003707F1">
        <w:rPr>
          <w:bCs/>
        </w:rPr>
        <w:t xml:space="preserve">Zhang </w:t>
      </w:r>
      <w:r w:rsidR="00BC53F5" w:rsidRPr="003707F1">
        <w:rPr>
          <w:bCs/>
        </w:rPr>
        <w:t>and</w:t>
      </w:r>
      <w:r w:rsidR="00221EEC" w:rsidRPr="003707F1">
        <w:rPr>
          <w:bCs/>
        </w:rPr>
        <w:t xml:space="preserve"> </w:t>
      </w:r>
      <w:proofErr w:type="spellStart"/>
      <w:r w:rsidR="00221EEC" w:rsidRPr="003707F1">
        <w:rPr>
          <w:bCs/>
        </w:rPr>
        <w:t>Khare</w:t>
      </w:r>
      <w:proofErr w:type="spellEnd"/>
      <w:r w:rsidR="00221EEC" w:rsidRPr="003707F1">
        <w:rPr>
          <w:bCs/>
        </w:rPr>
        <w:t xml:space="preserve"> (2009) found that identifying consumers’</w:t>
      </w:r>
      <w:r w:rsidR="002524AB" w:rsidRPr="003707F1">
        <w:rPr>
          <w:bCs/>
        </w:rPr>
        <w:t xml:space="preserve"> </w:t>
      </w:r>
      <w:r w:rsidR="00221EEC" w:rsidRPr="003707F1">
        <w:rPr>
          <w:bCs/>
        </w:rPr>
        <w:t xml:space="preserve">identity as </w:t>
      </w:r>
      <w:r w:rsidR="00782BA4" w:rsidRPr="003707F1">
        <w:rPr>
          <w:bCs/>
        </w:rPr>
        <w:t xml:space="preserve">primarily </w:t>
      </w:r>
      <w:r w:rsidR="00221EEC" w:rsidRPr="003707F1">
        <w:rPr>
          <w:bCs/>
        </w:rPr>
        <w:t>global or local was an important factor in understanding consumers’</w:t>
      </w:r>
      <w:r w:rsidR="002524AB" w:rsidRPr="003707F1">
        <w:rPr>
          <w:bCs/>
        </w:rPr>
        <w:t xml:space="preserve"> </w:t>
      </w:r>
      <w:r w:rsidR="00221EEC" w:rsidRPr="003707F1">
        <w:rPr>
          <w:bCs/>
        </w:rPr>
        <w:t xml:space="preserve">attitudes toward global versus local products. Expanding on this, we </w:t>
      </w:r>
      <w:r w:rsidR="00FB0912" w:rsidRPr="003707F1">
        <w:rPr>
          <w:bCs/>
        </w:rPr>
        <w:t xml:space="preserve">propose </w:t>
      </w:r>
      <w:r w:rsidR="00221EEC" w:rsidRPr="003707F1">
        <w:rPr>
          <w:bCs/>
        </w:rPr>
        <w:t xml:space="preserve">that global and local identities may also be relevant in understanding </w:t>
      </w:r>
      <w:r w:rsidR="00B77E8F" w:rsidRPr="003707F1">
        <w:rPr>
          <w:bCs/>
        </w:rPr>
        <w:t xml:space="preserve">a </w:t>
      </w:r>
      <w:r w:rsidR="00221EEC" w:rsidRPr="003707F1">
        <w:rPr>
          <w:bCs/>
        </w:rPr>
        <w:t xml:space="preserve">consumer’s </w:t>
      </w:r>
      <w:r w:rsidR="00600B3B" w:rsidRPr="003707F1">
        <w:rPr>
          <w:bCs/>
        </w:rPr>
        <w:t xml:space="preserve">PCE </w:t>
      </w:r>
      <w:r w:rsidR="00221EEC" w:rsidRPr="003707F1">
        <w:rPr>
          <w:bCs/>
        </w:rPr>
        <w:t>in the conte</w:t>
      </w:r>
      <w:r w:rsidR="002524AB" w:rsidRPr="003707F1">
        <w:rPr>
          <w:bCs/>
        </w:rPr>
        <w:t>xt</w:t>
      </w:r>
      <w:r w:rsidR="00221EEC" w:rsidRPr="003707F1">
        <w:rPr>
          <w:bCs/>
        </w:rPr>
        <w:t xml:space="preserve"> of </w:t>
      </w:r>
      <w:r w:rsidR="00672B68" w:rsidRPr="003707F1">
        <w:rPr>
          <w:bCs/>
        </w:rPr>
        <w:t xml:space="preserve">sustainable </w:t>
      </w:r>
      <w:r w:rsidR="00221EEC" w:rsidRPr="003707F1">
        <w:rPr>
          <w:bCs/>
        </w:rPr>
        <w:t xml:space="preserve">consumption because </w:t>
      </w:r>
      <w:r w:rsidR="00814D19" w:rsidRPr="003707F1">
        <w:rPr>
          <w:bCs/>
        </w:rPr>
        <w:t xml:space="preserve">environmental </w:t>
      </w:r>
      <w:r w:rsidR="00672B68" w:rsidRPr="003707F1">
        <w:rPr>
          <w:bCs/>
        </w:rPr>
        <w:t xml:space="preserve">and social </w:t>
      </w:r>
      <w:proofErr w:type="spellStart"/>
      <w:r w:rsidR="00FB0912" w:rsidRPr="003707F1">
        <w:rPr>
          <w:bCs/>
        </w:rPr>
        <w:t>challanges</w:t>
      </w:r>
      <w:proofErr w:type="spellEnd"/>
      <w:r w:rsidR="00672B68" w:rsidRPr="003707F1">
        <w:rPr>
          <w:bCs/>
        </w:rPr>
        <w:t xml:space="preserve"> </w:t>
      </w:r>
      <w:r w:rsidR="00A00668" w:rsidRPr="003707F1">
        <w:rPr>
          <w:bCs/>
        </w:rPr>
        <w:t xml:space="preserve">affect both local and global environments (Fielding &amp; Hornsey, 2016). </w:t>
      </w:r>
    </w:p>
    <w:p w14:paraId="7D166828" w14:textId="5FA6B533" w:rsidR="00520E59" w:rsidRPr="003707F1" w:rsidRDefault="00520E59" w:rsidP="00AB7714">
      <w:pPr>
        <w:spacing w:line="360" w:lineRule="auto"/>
        <w:jc w:val="both"/>
        <w:rPr>
          <w:bCs/>
        </w:rPr>
      </w:pPr>
    </w:p>
    <w:p w14:paraId="19824A4F" w14:textId="278F69A8" w:rsidR="00520E59" w:rsidRPr="003707F1" w:rsidRDefault="000E71D9" w:rsidP="00AB7714">
      <w:pPr>
        <w:spacing w:line="360" w:lineRule="auto"/>
        <w:jc w:val="both"/>
        <w:rPr>
          <w:b/>
          <w:i/>
          <w:iCs/>
        </w:rPr>
      </w:pPr>
      <w:bookmarkStart w:id="7" w:name="_Hlk78837808"/>
      <w:r w:rsidRPr="003707F1">
        <w:rPr>
          <w:b/>
          <w:i/>
          <w:iCs/>
        </w:rPr>
        <w:lastRenderedPageBreak/>
        <w:t>C</w:t>
      </w:r>
      <w:r w:rsidR="00947CC8" w:rsidRPr="003707F1">
        <w:rPr>
          <w:b/>
          <w:i/>
          <w:iCs/>
        </w:rPr>
        <w:t xml:space="preserve">ongruence </w:t>
      </w:r>
      <w:r w:rsidRPr="003707F1">
        <w:rPr>
          <w:b/>
          <w:i/>
          <w:iCs/>
        </w:rPr>
        <w:t xml:space="preserve">between values, </w:t>
      </w:r>
      <w:proofErr w:type="gramStart"/>
      <w:r w:rsidRPr="003707F1">
        <w:rPr>
          <w:b/>
          <w:i/>
          <w:iCs/>
        </w:rPr>
        <w:t>identities</w:t>
      </w:r>
      <w:proofErr w:type="gramEnd"/>
      <w:r w:rsidRPr="003707F1">
        <w:rPr>
          <w:b/>
          <w:i/>
          <w:iCs/>
        </w:rPr>
        <w:t xml:space="preserve"> and </w:t>
      </w:r>
      <w:r w:rsidR="00134742" w:rsidRPr="003707F1">
        <w:rPr>
          <w:b/>
          <w:i/>
          <w:iCs/>
        </w:rPr>
        <w:t xml:space="preserve">consumption beliefs </w:t>
      </w:r>
    </w:p>
    <w:bookmarkEnd w:id="7"/>
    <w:p w14:paraId="615BF11B" w14:textId="58CF4FEC" w:rsidR="00BA39B5" w:rsidRPr="003707F1" w:rsidRDefault="00C000A4" w:rsidP="00274513">
      <w:pPr>
        <w:spacing w:line="360" w:lineRule="auto"/>
        <w:ind w:firstLine="720"/>
        <w:jc w:val="both"/>
      </w:pPr>
      <w:r w:rsidRPr="003707F1">
        <w:t>R</w:t>
      </w:r>
      <w:r w:rsidR="00AB6A88" w:rsidRPr="003707F1">
        <w:t xml:space="preserve">esearchers remain interested in the effects of similarity as a construct to </w:t>
      </w:r>
      <w:r w:rsidR="00FD6A9C" w:rsidRPr="003707F1">
        <w:t xml:space="preserve">explain and </w:t>
      </w:r>
      <w:r w:rsidR="00AB6A88" w:rsidRPr="003707F1">
        <w:t>predict various outcomes</w:t>
      </w:r>
      <w:r w:rsidR="000A6A15" w:rsidRPr="003707F1">
        <w:t xml:space="preserve"> </w:t>
      </w:r>
      <w:r w:rsidR="000A6A15" w:rsidRPr="003707F1">
        <w:rPr>
          <w:rStyle w:val="Hyperlink"/>
          <w:color w:val="auto"/>
          <w:u w:val="none"/>
        </w:rPr>
        <w:t>(Z</w:t>
      </w:r>
      <w:r w:rsidR="000A6A15" w:rsidRPr="003707F1">
        <w:rPr>
          <w:rStyle w:val="cls-response"/>
        </w:rPr>
        <w:t>hang &amp; Bloemer, 2008)</w:t>
      </w:r>
      <w:r w:rsidR="00307FD9" w:rsidRPr="003707F1">
        <w:t xml:space="preserve">. The concept of </w:t>
      </w:r>
      <w:r w:rsidR="00E87292" w:rsidRPr="003707F1">
        <w:t>congruency or</w:t>
      </w:r>
      <w:r w:rsidR="00307FD9" w:rsidRPr="003707F1">
        <w:t xml:space="preserve"> </w:t>
      </w:r>
      <w:r w:rsidR="001F524C" w:rsidRPr="003707F1">
        <w:t>fit</w:t>
      </w:r>
      <w:r w:rsidR="00307FD9" w:rsidRPr="003707F1">
        <w:t xml:space="preserve"> belongs to a broader category of cognitive‐consistency theories (Simon &amp; </w:t>
      </w:r>
      <w:proofErr w:type="spellStart"/>
      <w:r w:rsidR="00307FD9" w:rsidRPr="003707F1">
        <w:t>Holyoak</w:t>
      </w:r>
      <w:proofErr w:type="spellEnd"/>
      <w:r w:rsidR="00307FD9" w:rsidRPr="003707F1">
        <w:t>, 2002</w:t>
      </w:r>
      <w:r w:rsidR="00FD6A9C" w:rsidRPr="003707F1">
        <w:t>; Zajonc, 1960</w:t>
      </w:r>
      <w:r w:rsidR="00307FD9" w:rsidRPr="003707F1">
        <w:t>)</w:t>
      </w:r>
      <w:r w:rsidR="000E71D9" w:rsidRPr="003707F1">
        <w:t>.</w:t>
      </w:r>
      <w:r w:rsidR="000A6A15" w:rsidRPr="003707F1">
        <w:t xml:space="preserve"> These theories</w:t>
      </w:r>
      <w:r w:rsidR="00307FD9" w:rsidRPr="003707F1">
        <w:t xml:space="preserve"> suggest that </w:t>
      </w:r>
      <w:r w:rsidR="000A6A15" w:rsidRPr="003707F1">
        <w:t xml:space="preserve">individuals </w:t>
      </w:r>
      <w:r w:rsidR="00307FD9" w:rsidRPr="003707F1">
        <w:t>strive for consistency between their values, beliefs and behaviours because inconsistency pro</w:t>
      </w:r>
      <w:r w:rsidR="000A6A15" w:rsidRPr="003707F1">
        <w:t>vokes</w:t>
      </w:r>
      <w:r w:rsidR="00307FD9" w:rsidRPr="003707F1">
        <w:t xml:space="preserve"> </w:t>
      </w:r>
      <w:r w:rsidR="00CD514D" w:rsidRPr="003707F1">
        <w:t>states</w:t>
      </w:r>
      <w:r w:rsidR="00307FD9" w:rsidRPr="003707F1">
        <w:t xml:space="preserve"> of discomfort and tension. </w:t>
      </w:r>
      <w:r w:rsidR="00947CC8" w:rsidRPr="003707F1">
        <w:t xml:space="preserve">Broadly </w:t>
      </w:r>
      <w:proofErr w:type="gramStart"/>
      <w:r w:rsidR="00947CC8" w:rsidRPr="003707F1">
        <w:t xml:space="preserve">speaking,  </w:t>
      </w:r>
      <w:r w:rsidR="00743D0D" w:rsidRPr="003707F1">
        <w:t>congruency</w:t>
      </w:r>
      <w:proofErr w:type="gramEnd"/>
      <w:r w:rsidR="00743D0D" w:rsidRPr="003707F1">
        <w:t xml:space="preserve"> (or fit) </w:t>
      </w:r>
      <w:r w:rsidR="00F75C5F" w:rsidRPr="003707F1">
        <w:t>i</w:t>
      </w:r>
      <w:r w:rsidR="00947CC8" w:rsidRPr="003707F1">
        <w:t xml:space="preserve">s “the degree to which the needs, demands, goals, objectives and/or structure of one component are consistent with the needs, demands, goals, objectives and/or structure of another component” </w:t>
      </w:r>
      <w:r w:rsidR="00F75C5F" w:rsidRPr="003707F1">
        <w:t xml:space="preserve">(Nadler &amp; Tushman,1980, p. 40). </w:t>
      </w:r>
      <w:r w:rsidR="00CD514D" w:rsidRPr="003707F1">
        <w:t>Amongst the different types of congruence (e.g., perceptual, cultural, conceptual), we draw on the construct of conceptual congruence</w:t>
      </w:r>
      <w:r w:rsidR="00F75C5F" w:rsidRPr="003707F1">
        <w:t xml:space="preserve"> </w:t>
      </w:r>
      <w:r w:rsidR="00CD514D" w:rsidRPr="003707F1">
        <w:t xml:space="preserve">to explain the relations between values, identities and </w:t>
      </w:r>
      <w:r w:rsidR="00743D0D" w:rsidRPr="003707F1">
        <w:t>PCE</w:t>
      </w:r>
      <w:r w:rsidR="00CD514D" w:rsidRPr="003707F1">
        <w:t xml:space="preserve">. </w:t>
      </w:r>
      <w:r w:rsidR="00BA39B5" w:rsidRPr="003707F1">
        <w:t xml:space="preserve">Conceptual congruence is a “relatedness of conceptual attributes” (Kuo &amp; Rice, 2015, p. 78). </w:t>
      </w:r>
      <w:r w:rsidR="0078282F" w:rsidRPr="003707F1">
        <w:t xml:space="preserve">The components </w:t>
      </w:r>
      <w:r w:rsidR="00BA39B5" w:rsidRPr="003707F1">
        <w:t xml:space="preserve">that Nadler and </w:t>
      </w:r>
      <w:proofErr w:type="spellStart"/>
      <w:r w:rsidR="00BA39B5" w:rsidRPr="003707F1">
        <w:t>Tushman</w:t>
      </w:r>
      <w:proofErr w:type="spellEnd"/>
      <w:r w:rsidR="00BA39B5" w:rsidRPr="003707F1">
        <w:t xml:space="preserve"> (1980) mention may relate to a number of </w:t>
      </w:r>
      <w:r w:rsidR="000A6A15" w:rsidRPr="003707F1">
        <w:t>variables</w:t>
      </w:r>
      <w:r w:rsidR="00BA39B5" w:rsidRPr="003707F1">
        <w:t xml:space="preserve">, including values, identities and beliefs. </w:t>
      </w:r>
      <w:r w:rsidR="00547375" w:rsidRPr="003707F1">
        <w:t xml:space="preserve">This study draws on conceptual congruence, arguing that values which are conceptually more congruent with selected beliefs are more likely to be positively associated with those beliefs. The concept of congruence in the context of values, identities and beliefs about one’s behaviour suggest that certain values should lead to certain beliefs about one’s behaviours because those values are conceptually congruent with the said beliefs.  </w:t>
      </w:r>
    </w:p>
    <w:p w14:paraId="356FA320" w14:textId="643458D1" w:rsidR="00AB6A88" w:rsidRPr="003707F1" w:rsidRDefault="00E721E2" w:rsidP="00274513">
      <w:pPr>
        <w:spacing w:line="360" w:lineRule="auto"/>
        <w:ind w:firstLine="720"/>
        <w:jc w:val="both"/>
        <w:rPr>
          <w:bCs/>
        </w:rPr>
      </w:pPr>
      <w:r w:rsidRPr="003707F1">
        <w:t xml:space="preserve">The concept of congruency has been explored in </w:t>
      </w:r>
      <w:proofErr w:type="gramStart"/>
      <w:r w:rsidRPr="003707F1">
        <w:t>a number of</w:t>
      </w:r>
      <w:proofErr w:type="gramEnd"/>
      <w:r w:rsidRPr="003707F1">
        <w:t xml:space="preserve"> context</w:t>
      </w:r>
      <w:r w:rsidR="006C40A0" w:rsidRPr="003707F1">
        <w:t>s:</w:t>
      </w:r>
      <w:r w:rsidRPr="003707F1">
        <w:t xml:space="preserve"> </w:t>
      </w:r>
      <w:r w:rsidR="006C40A0" w:rsidRPr="003707F1">
        <w:t>person-organisation fit (Edwards &amp; Cable, 2009), values-</w:t>
      </w:r>
      <w:r w:rsidR="00573B1C" w:rsidRPr="003707F1">
        <w:t>service brands congruence (Zhang &amp; Bloemer, 2008)</w:t>
      </w:r>
      <w:r w:rsidR="006C40A0" w:rsidRPr="003707F1">
        <w:t>, congruence in communications</w:t>
      </w:r>
      <w:r w:rsidR="001F524C" w:rsidRPr="003707F1">
        <w:t xml:space="preserve"> (Hong &amp; Zinkhan, 1995)</w:t>
      </w:r>
      <w:r w:rsidR="0018210E" w:rsidRPr="003707F1">
        <w:t>, or branding (</w:t>
      </w:r>
      <w:proofErr w:type="spellStart"/>
      <w:r w:rsidR="009E0F65" w:rsidRPr="003707F1">
        <w:t>Torelli</w:t>
      </w:r>
      <w:proofErr w:type="spellEnd"/>
      <w:r w:rsidR="009E0F65" w:rsidRPr="003707F1">
        <w:t xml:space="preserve">, </w:t>
      </w:r>
      <w:proofErr w:type="spellStart"/>
      <w:r w:rsidR="009E0F65" w:rsidRPr="003707F1">
        <w:t>Özsomer</w:t>
      </w:r>
      <w:proofErr w:type="spellEnd"/>
      <w:r w:rsidR="009E0F65" w:rsidRPr="003707F1">
        <w:t xml:space="preserve">, Carvalho, </w:t>
      </w:r>
      <w:proofErr w:type="spellStart"/>
      <w:r w:rsidR="009E0F65" w:rsidRPr="003707F1">
        <w:t>Keh</w:t>
      </w:r>
      <w:proofErr w:type="spellEnd"/>
      <w:r w:rsidR="009E0F65" w:rsidRPr="003707F1">
        <w:t xml:space="preserve">, &amp; </w:t>
      </w:r>
      <w:proofErr w:type="spellStart"/>
      <w:r w:rsidR="009E0F65" w:rsidRPr="003707F1">
        <w:t>Maehle</w:t>
      </w:r>
      <w:proofErr w:type="spellEnd"/>
      <w:r w:rsidR="009E0F65" w:rsidRPr="003707F1">
        <w:t xml:space="preserve">, 2012; </w:t>
      </w:r>
      <w:r w:rsidR="0018210E" w:rsidRPr="003707F1">
        <w:t>Martin &amp; Stewart, 2001).</w:t>
      </w:r>
      <w:r w:rsidR="006C40A0" w:rsidRPr="003707F1">
        <w:t xml:space="preserve"> F</w:t>
      </w:r>
      <w:r w:rsidRPr="003707F1">
        <w:t xml:space="preserve">or example, the </w:t>
      </w:r>
      <w:r w:rsidR="00C000A4" w:rsidRPr="003707F1">
        <w:t xml:space="preserve">conceptual </w:t>
      </w:r>
      <w:r w:rsidRPr="003707F1">
        <w:t xml:space="preserve">congruency between different aspects of public service announcements </w:t>
      </w:r>
      <w:r w:rsidR="00EF1B21" w:rsidRPr="003707F1">
        <w:t xml:space="preserve">led to more favourable attitude towards </w:t>
      </w:r>
      <w:r w:rsidR="00732C39" w:rsidRPr="003707F1">
        <w:t xml:space="preserve">an </w:t>
      </w:r>
      <w:r w:rsidR="00EF1B21" w:rsidRPr="003707F1">
        <w:t>ad</w:t>
      </w:r>
      <w:r w:rsidR="00732C39" w:rsidRPr="003707F1">
        <w:t>vertisement</w:t>
      </w:r>
      <w:r w:rsidR="00EF1B21" w:rsidRPr="003707F1">
        <w:t xml:space="preserve"> (Wang, Fu</w:t>
      </w:r>
      <w:r w:rsidR="00A46F9B" w:rsidRPr="003707F1">
        <w:t>,</w:t>
      </w:r>
      <w:r w:rsidR="00EF1B21" w:rsidRPr="003707F1">
        <w:t xml:space="preserve"> &amp; Wu, 2020).</w:t>
      </w:r>
      <w:r w:rsidR="00A153AB" w:rsidRPr="003707F1">
        <w:t xml:space="preserve"> C</w:t>
      </w:r>
      <w:r w:rsidR="0063013E" w:rsidRPr="003707F1">
        <w:t>ongru</w:t>
      </w:r>
      <w:r w:rsidR="00274513" w:rsidRPr="003707F1">
        <w:t>ence</w:t>
      </w:r>
      <w:r w:rsidR="0063013E" w:rsidRPr="003707F1">
        <w:t xml:space="preserve"> between consumer’s values and brand symbolism led to more favourable taste perceptions of food brands</w:t>
      </w:r>
      <w:r w:rsidR="00A153AB" w:rsidRPr="003707F1">
        <w:t xml:space="preserve"> (</w:t>
      </w:r>
      <w:proofErr w:type="spellStart"/>
      <w:r w:rsidR="00A153AB" w:rsidRPr="003707F1">
        <w:t>Paasovaara</w:t>
      </w:r>
      <w:proofErr w:type="spellEnd"/>
      <w:r w:rsidR="00A153AB" w:rsidRPr="003707F1">
        <w:t xml:space="preserve">, Luomala, </w:t>
      </w:r>
      <w:proofErr w:type="spellStart"/>
      <w:r w:rsidR="00A153AB" w:rsidRPr="003707F1">
        <w:t>Pohjanheimo</w:t>
      </w:r>
      <w:proofErr w:type="spellEnd"/>
      <w:r w:rsidR="00A153AB" w:rsidRPr="003707F1">
        <w:t xml:space="preserve"> &amp; </w:t>
      </w:r>
      <w:proofErr w:type="spellStart"/>
      <w:r w:rsidR="00A153AB" w:rsidRPr="003707F1">
        <w:t>Sandell</w:t>
      </w:r>
      <w:proofErr w:type="spellEnd"/>
      <w:r w:rsidR="00A153AB" w:rsidRPr="003707F1">
        <w:t>; 2012)</w:t>
      </w:r>
      <w:r w:rsidR="0063013E" w:rsidRPr="003707F1">
        <w:t xml:space="preserve">. </w:t>
      </w:r>
      <w:r w:rsidR="005A642E" w:rsidRPr="003707F1">
        <w:t xml:space="preserve">Namely, consumers who held hedonic values as primary ones, evaluated a brand with hedonistic symbolism more favourably than a brand with conventional/traditional symbolism. </w:t>
      </w:r>
    </w:p>
    <w:p w14:paraId="4F7C2891" w14:textId="77777777" w:rsidR="005078AE" w:rsidRPr="003707F1" w:rsidRDefault="005078AE" w:rsidP="002C5287">
      <w:pPr>
        <w:spacing w:line="360" w:lineRule="auto"/>
        <w:jc w:val="both"/>
        <w:rPr>
          <w:bCs/>
        </w:rPr>
      </w:pPr>
    </w:p>
    <w:p w14:paraId="18AE2B0C" w14:textId="3F6020C8" w:rsidR="006C2532" w:rsidRPr="003707F1" w:rsidRDefault="00066CC1" w:rsidP="00AB7714">
      <w:pPr>
        <w:spacing w:line="360" w:lineRule="auto"/>
        <w:contextualSpacing/>
        <w:jc w:val="both"/>
        <w:rPr>
          <w:i/>
          <w:iCs/>
          <w:lang w:val="en-US"/>
        </w:rPr>
      </w:pPr>
      <w:r w:rsidRPr="003707F1">
        <w:rPr>
          <w:b/>
          <w:i/>
          <w:iCs/>
        </w:rPr>
        <w:t>Hypothes</w:t>
      </w:r>
      <w:r w:rsidR="00AB7AFF" w:rsidRPr="003707F1">
        <w:rPr>
          <w:b/>
          <w:i/>
          <w:iCs/>
        </w:rPr>
        <w:t>es</w:t>
      </w:r>
    </w:p>
    <w:p w14:paraId="35E7084D" w14:textId="65D662AF" w:rsidR="008D6F80" w:rsidRPr="003707F1" w:rsidRDefault="007A4DB9" w:rsidP="001E219F">
      <w:pPr>
        <w:spacing w:line="360" w:lineRule="auto"/>
        <w:ind w:firstLine="720"/>
        <w:contextualSpacing/>
        <w:jc w:val="both"/>
        <w:rPr>
          <w:lang w:val="en-US"/>
        </w:rPr>
      </w:pPr>
      <w:r w:rsidRPr="003707F1">
        <w:rPr>
          <w:lang w:val="en-US"/>
        </w:rPr>
        <w:t xml:space="preserve">People </w:t>
      </w:r>
      <w:r w:rsidR="007758E1" w:rsidRPr="003707F1">
        <w:rPr>
          <w:lang w:val="en-US"/>
        </w:rPr>
        <w:t xml:space="preserve">who hold individualistic values </w:t>
      </w:r>
      <w:proofErr w:type="spellStart"/>
      <w:r w:rsidR="00E65AB7" w:rsidRPr="003707F1">
        <w:rPr>
          <w:lang w:val="en-US"/>
        </w:rPr>
        <w:t>prioritise</w:t>
      </w:r>
      <w:proofErr w:type="spellEnd"/>
      <w:r w:rsidR="00E65AB7" w:rsidRPr="003707F1">
        <w:rPr>
          <w:lang w:val="en-US"/>
        </w:rPr>
        <w:t xml:space="preserve"> </w:t>
      </w:r>
      <w:r w:rsidR="007758E1" w:rsidRPr="003707F1">
        <w:rPr>
          <w:lang w:val="en-US"/>
        </w:rPr>
        <w:t xml:space="preserve">individual interests </w:t>
      </w:r>
      <w:r w:rsidR="00DB524D" w:rsidRPr="003707F1">
        <w:rPr>
          <w:lang w:val="en-US"/>
        </w:rPr>
        <w:t>o</w:t>
      </w:r>
      <w:r w:rsidR="007758E1" w:rsidRPr="003707F1">
        <w:rPr>
          <w:lang w:val="en-US"/>
        </w:rPr>
        <w:t xml:space="preserve">ver the interests of their groups. </w:t>
      </w:r>
      <w:r w:rsidRPr="003707F1">
        <w:rPr>
          <w:lang w:val="en-US"/>
        </w:rPr>
        <w:t xml:space="preserve">Vertical individualists </w:t>
      </w:r>
      <w:r w:rsidR="005503E5" w:rsidRPr="003707F1">
        <w:rPr>
          <w:lang w:val="en-US"/>
        </w:rPr>
        <w:t>believe in their own individual responsibility</w:t>
      </w:r>
      <w:r w:rsidR="00FD43D7" w:rsidRPr="003707F1">
        <w:rPr>
          <w:lang w:val="en-US"/>
        </w:rPr>
        <w:t xml:space="preserve">: </w:t>
      </w:r>
      <w:r w:rsidRPr="003707F1">
        <w:rPr>
          <w:lang w:val="en-US"/>
        </w:rPr>
        <w:t xml:space="preserve">success is attributed to the individual self </w:t>
      </w:r>
      <w:r w:rsidR="002E4A70" w:rsidRPr="003707F1">
        <w:rPr>
          <w:lang w:val="en-US"/>
        </w:rPr>
        <w:t>(</w:t>
      </w:r>
      <w:proofErr w:type="spellStart"/>
      <w:r w:rsidR="008D6F80" w:rsidRPr="003707F1">
        <w:rPr>
          <w:lang w:val="en-US"/>
        </w:rPr>
        <w:t>Shavitt</w:t>
      </w:r>
      <w:proofErr w:type="spellEnd"/>
      <w:r w:rsidR="008D6F80" w:rsidRPr="003707F1">
        <w:rPr>
          <w:lang w:val="en-US"/>
        </w:rPr>
        <w:t xml:space="preserve"> &amp; Cho, 2016; </w:t>
      </w:r>
      <w:proofErr w:type="spellStart"/>
      <w:r w:rsidR="00486801" w:rsidRPr="003707F1">
        <w:rPr>
          <w:lang w:val="en-US"/>
        </w:rPr>
        <w:t>Triandis</w:t>
      </w:r>
      <w:proofErr w:type="spellEnd"/>
      <w:r w:rsidR="00486801" w:rsidRPr="003707F1">
        <w:rPr>
          <w:lang w:val="en-US"/>
        </w:rPr>
        <w:t xml:space="preserve"> &amp; Gelfand, 1998</w:t>
      </w:r>
      <w:r w:rsidR="008D6F80" w:rsidRPr="003707F1">
        <w:rPr>
          <w:lang w:val="en-US"/>
        </w:rPr>
        <w:t xml:space="preserve">). Such </w:t>
      </w:r>
      <w:r w:rsidR="008D6F80" w:rsidRPr="003707F1">
        <w:rPr>
          <w:lang w:val="en-US"/>
        </w:rPr>
        <w:lastRenderedPageBreak/>
        <w:t xml:space="preserve">individuals will be therefore more likely to </w:t>
      </w:r>
      <w:r w:rsidR="004D1129" w:rsidRPr="003707F1">
        <w:rPr>
          <w:lang w:val="en-US"/>
        </w:rPr>
        <w:t>agree</w:t>
      </w:r>
      <w:r w:rsidR="008D6F80" w:rsidRPr="003707F1">
        <w:rPr>
          <w:lang w:val="en-US"/>
        </w:rPr>
        <w:t xml:space="preserve"> that their individual </w:t>
      </w:r>
      <w:r w:rsidR="004D1129" w:rsidRPr="003707F1">
        <w:rPr>
          <w:lang w:val="en-US"/>
        </w:rPr>
        <w:t xml:space="preserve">choices have consequences for </w:t>
      </w:r>
      <w:r w:rsidR="00423FED" w:rsidRPr="003707F1">
        <w:rPr>
          <w:lang w:val="en-US"/>
        </w:rPr>
        <w:t xml:space="preserve">the natural environment, </w:t>
      </w:r>
      <w:proofErr w:type="gramStart"/>
      <w:r w:rsidR="008D6F80" w:rsidRPr="003707F1">
        <w:rPr>
          <w:lang w:val="en-US"/>
        </w:rPr>
        <w:t>society</w:t>
      </w:r>
      <w:proofErr w:type="gramEnd"/>
      <w:r w:rsidR="008D6F80" w:rsidRPr="003707F1">
        <w:rPr>
          <w:lang w:val="en-US"/>
        </w:rPr>
        <w:t xml:space="preserve"> and</w:t>
      </w:r>
      <w:r w:rsidR="00423FED" w:rsidRPr="003707F1">
        <w:rPr>
          <w:lang w:val="en-US"/>
        </w:rPr>
        <w:t xml:space="preserve"> employees</w:t>
      </w:r>
      <w:r w:rsidR="00125577" w:rsidRPr="003707F1">
        <w:rPr>
          <w:lang w:val="en-US"/>
        </w:rPr>
        <w:t xml:space="preserve">, because values of vertical individualism are conceptually congruent with PCE. </w:t>
      </w:r>
    </w:p>
    <w:p w14:paraId="4CF06638" w14:textId="6C94BF18" w:rsidR="00CC625A" w:rsidRPr="003707F1" w:rsidRDefault="00CC625A" w:rsidP="00AB7714">
      <w:pPr>
        <w:spacing w:line="360" w:lineRule="auto"/>
        <w:ind w:firstLine="709"/>
        <w:contextualSpacing/>
        <w:jc w:val="both"/>
        <w:rPr>
          <w:bCs/>
          <w:lang w:val="en-US"/>
        </w:rPr>
      </w:pPr>
      <w:r w:rsidRPr="003707F1">
        <w:rPr>
          <w:bCs/>
          <w:lang w:val="en-US"/>
        </w:rPr>
        <w:t xml:space="preserve">Drawing on </w:t>
      </w:r>
      <w:r w:rsidR="009214E1" w:rsidRPr="003707F1">
        <w:rPr>
          <w:bCs/>
          <w:lang w:val="en-US"/>
        </w:rPr>
        <w:t xml:space="preserve">the value congruence </w:t>
      </w:r>
      <w:r w:rsidR="00CE5DE5" w:rsidRPr="003707F1">
        <w:rPr>
          <w:bCs/>
          <w:lang w:val="en-US"/>
        </w:rPr>
        <w:t>concept, we</w:t>
      </w:r>
      <w:r w:rsidR="00125577" w:rsidRPr="003707F1">
        <w:rPr>
          <w:bCs/>
          <w:lang w:val="en-US"/>
        </w:rPr>
        <w:t xml:space="preserve"> propose</w:t>
      </w:r>
      <w:r w:rsidRPr="003707F1">
        <w:rPr>
          <w:bCs/>
          <w:lang w:val="en-US"/>
        </w:rPr>
        <w:t xml:space="preserve"> that </w:t>
      </w:r>
      <w:r w:rsidR="00A153AB" w:rsidRPr="003707F1">
        <w:rPr>
          <w:bCs/>
          <w:lang w:val="en-US"/>
        </w:rPr>
        <w:t>i</w:t>
      </w:r>
      <w:r w:rsidRPr="003707F1">
        <w:rPr>
          <w:bCs/>
          <w:lang w:val="en-US"/>
        </w:rPr>
        <w:t xml:space="preserve">ndividuals who </w:t>
      </w:r>
      <w:r w:rsidR="00423FED" w:rsidRPr="003707F1">
        <w:rPr>
          <w:bCs/>
          <w:lang w:val="en-US"/>
        </w:rPr>
        <w:t xml:space="preserve">hold </w:t>
      </w:r>
      <w:r w:rsidRPr="003707F1">
        <w:rPr>
          <w:bCs/>
          <w:lang w:val="en-US"/>
        </w:rPr>
        <w:t>VI values believe that they are responsible for their own success</w:t>
      </w:r>
      <w:r w:rsidR="00634E17" w:rsidRPr="003707F1">
        <w:rPr>
          <w:bCs/>
          <w:lang w:val="en-US"/>
        </w:rPr>
        <w:t xml:space="preserve"> (</w:t>
      </w:r>
      <w:proofErr w:type="spellStart"/>
      <w:r w:rsidR="00634E17" w:rsidRPr="003707F1">
        <w:rPr>
          <w:bCs/>
          <w:lang w:val="en-US"/>
        </w:rPr>
        <w:t>Singelis</w:t>
      </w:r>
      <w:proofErr w:type="spellEnd"/>
      <w:r w:rsidR="00634E17" w:rsidRPr="003707F1">
        <w:rPr>
          <w:bCs/>
          <w:lang w:val="en-US"/>
        </w:rPr>
        <w:t xml:space="preserve"> et al., 1995),</w:t>
      </w:r>
      <w:r w:rsidRPr="003707F1">
        <w:rPr>
          <w:bCs/>
          <w:lang w:val="en-US"/>
        </w:rPr>
        <w:t xml:space="preserve"> and </w:t>
      </w:r>
      <w:r w:rsidR="00423FED" w:rsidRPr="003707F1">
        <w:rPr>
          <w:bCs/>
          <w:lang w:val="en-US"/>
        </w:rPr>
        <w:t>therefore</w:t>
      </w:r>
      <w:r w:rsidRPr="003707F1">
        <w:rPr>
          <w:bCs/>
          <w:lang w:val="en-US"/>
        </w:rPr>
        <w:t xml:space="preserve"> should believe in the importance and impact of their own individual </w:t>
      </w:r>
      <w:r w:rsidR="00634E17" w:rsidRPr="003707F1">
        <w:rPr>
          <w:bCs/>
          <w:lang w:val="en-US"/>
        </w:rPr>
        <w:t xml:space="preserve">consumption </w:t>
      </w:r>
      <w:r w:rsidRPr="003707F1">
        <w:rPr>
          <w:bCs/>
          <w:lang w:val="en-US"/>
        </w:rPr>
        <w:t>actions</w:t>
      </w:r>
      <w:r w:rsidR="00423FED" w:rsidRPr="003707F1">
        <w:rPr>
          <w:bCs/>
          <w:lang w:val="en-US"/>
        </w:rPr>
        <w:t xml:space="preserve">: </w:t>
      </w:r>
    </w:p>
    <w:p w14:paraId="366F887B" w14:textId="77777777" w:rsidR="0056751F" w:rsidRPr="003707F1" w:rsidRDefault="0056751F" w:rsidP="00AB7714">
      <w:pPr>
        <w:spacing w:line="360" w:lineRule="auto"/>
        <w:ind w:firstLine="709"/>
        <w:contextualSpacing/>
        <w:jc w:val="both"/>
        <w:rPr>
          <w:bCs/>
          <w:lang w:val="en-US"/>
        </w:rPr>
      </w:pPr>
    </w:p>
    <w:p w14:paraId="1C013142" w14:textId="0C045169" w:rsidR="00B4017B" w:rsidRPr="003707F1" w:rsidRDefault="00CC625A" w:rsidP="00AB7714">
      <w:pPr>
        <w:spacing w:line="360" w:lineRule="auto"/>
        <w:ind w:firstLine="709"/>
        <w:contextualSpacing/>
        <w:jc w:val="both"/>
        <w:rPr>
          <w:lang w:val="en-US"/>
        </w:rPr>
      </w:pPr>
      <w:r w:rsidRPr="003707F1">
        <w:rPr>
          <w:b/>
          <w:lang w:val="en-US"/>
        </w:rPr>
        <w:t>H1A:</w:t>
      </w:r>
      <w:r w:rsidRPr="003707F1">
        <w:rPr>
          <w:lang w:val="en-US"/>
        </w:rPr>
        <w:t xml:space="preserve"> Vertical individualism (VI) is positively associated with PCE. </w:t>
      </w:r>
    </w:p>
    <w:p w14:paraId="718448EC" w14:textId="77777777" w:rsidR="00423FED" w:rsidRPr="003707F1" w:rsidRDefault="00423FED" w:rsidP="00AB7714">
      <w:pPr>
        <w:spacing w:line="360" w:lineRule="auto"/>
        <w:ind w:firstLine="709"/>
        <w:contextualSpacing/>
        <w:jc w:val="both"/>
        <w:rPr>
          <w:lang w:val="en-US"/>
        </w:rPr>
      </w:pPr>
    </w:p>
    <w:p w14:paraId="74CB8078" w14:textId="7350B2F9" w:rsidR="00CC625A" w:rsidRPr="003707F1" w:rsidRDefault="00423FED" w:rsidP="007B6F95">
      <w:pPr>
        <w:spacing w:line="360" w:lineRule="auto"/>
        <w:ind w:firstLine="709"/>
        <w:contextualSpacing/>
        <w:jc w:val="both"/>
        <w:rPr>
          <w:lang w:val="en-US"/>
        </w:rPr>
      </w:pPr>
      <w:r w:rsidRPr="003707F1">
        <w:rPr>
          <w:lang w:val="en-US"/>
        </w:rPr>
        <w:t>H</w:t>
      </w:r>
      <w:r w:rsidR="00125577" w:rsidRPr="003707F1">
        <w:rPr>
          <w:lang w:val="en-US"/>
        </w:rPr>
        <w:t xml:space="preserve">orizontal individualists value expressing one’s uniqueness and establishing one’s capability to be successfully </w:t>
      </w:r>
      <w:r w:rsidR="00E87292" w:rsidRPr="003707F1">
        <w:rPr>
          <w:lang w:val="en-US"/>
        </w:rPr>
        <w:t>self-reliant,</w:t>
      </w:r>
      <w:r w:rsidR="00125577" w:rsidRPr="003707F1">
        <w:rPr>
          <w:lang w:val="en-US"/>
        </w:rPr>
        <w:t xml:space="preserve"> but </w:t>
      </w:r>
      <w:r w:rsidR="00621B22" w:rsidRPr="003707F1">
        <w:rPr>
          <w:lang w:val="en-US"/>
        </w:rPr>
        <w:t>this</w:t>
      </w:r>
      <w:r w:rsidR="00125577" w:rsidRPr="003707F1">
        <w:rPr>
          <w:lang w:val="en-US"/>
        </w:rPr>
        <w:t xml:space="preserve"> is not linked to competition, social comparison, and achievement (</w:t>
      </w:r>
      <w:proofErr w:type="spellStart"/>
      <w:r w:rsidR="00125577" w:rsidRPr="003707F1">
        <w:rPr>
          <w:lang w:val="en-US"/>
        </w:rPr>
        <w:t>Shavitt</w:t>
      </w:r>
      <w:proofErr w:type="spellEnd"/>
      <w:r w:rsidR="00125577" w:rsidRPr="003707F1">
        <w:rPr>
          <w:lang w:val="en-US"/>
        </w:rPr>
        <w:t xml:space="preserve"> et al., 2011).</w:t>
      </w:r>
      <w:r w:rsidR="007B6F95" w:rsidRPr="003707F1">
        <w:rPr>
          <w:lang w:val="en-US"/>
        </w:rPr>
        <w:t xml:space="preserve"> </w:t>
      </w:r>
      <w:r w:rsidR="00CC625A" w:rsidRPr="003707F1">
        <w:rPr>
          <w:lang w:val="en-US"/>
        </w:rPr>
        <w:t xml:space="preserve">Horizontal individualists </w:t>
      </w:r>
      <w:r w:rsidR="004D1129" w:rsidRPr="003707F1">
        <w:rPr>
          <w:lang w:val="en-US"/>
        </w:rPr>
        <w:t xml:space="preserve">“do their own thing” because they </w:t>
      </w:r>
      <w:r w:rsidR="00CC625A" w:rsidRPr="003707F1">
        <w:rPr>
          <w:lang w:val="en-US"/>
        </w:rPr>
        <w:t xml:space="preserve">see themselves as different </w:t>
      </w:r>
      <w:r w:rsidR="004D1129" w:rsidRPr="003707F1">
        <w:rPr>
          <w:lang w:val="en-US"/>
        </w:rPr>
        <w:t xml:space="preserve">and independent </w:t>
      </w:r>
      <w:r w:rsidR="00CC625A" w:rsidRPr="003707F1">
        <w:rPr>
          <w:lang w:val="en-US"/>
        </w:rPr>
        <w:t xml:space="preserve">from others. </w:t>
      </w:r>
      <w:r w:rsidR="0087288B" w:rsidRPr="003707F1">
        <w:rPr>
          <w:lang w:val="en-US"/>
        </w:rPr>
        <w:t xml:space="preserve">They value personal interests and goals over those of groups, and they believe </w:t>
      </w:r>
      <w:r w:rsidR="008D6F80" w:rsidRPr="003707F1">
        <w:rPr>
          <w:lang w:val="en-US"/>
        </w:rPr>
        <w:t xml:space="preserve">in </w:t>
      </w:r>
      <w:r w:rsidR="00B4017B" w:rsidRPr="003707F1">
        <w:rPr>
          <w:lang w:val="en-US"/>
        </w:rPr>
        <w:t>their</w:t>
      </w:r>
      <w:r w:rsidR="008D6F80" w:rsidRPr="003707F1">
        <w:rPr>
          <w:lang w:val="en-US"/>
        </w:rPr>
        <w:t xml:space="preserve"> uniq</w:t>
      </w:r>
      <w:r w:rsidR="00B4017B" w:rsidRPr="003707F1">
        <w:rPr>
          <w:lang w:val="en-US"/>
        </w:rPr>
        <w:t>u</w:t>
      </w:r>
      <w:r w:rsidR="008D6F80" w:rsidRPr="003707F1">
        <w:rPr>
          <w:lang w:val="en-US"/>
        </w:rPr>
        <w:t>e</w:t>
      </w:r>
      <w:r w:rsidR="00B4017B" w:rsidRPr="003707F1">
        <w:rPr>
          <w:lang w:val="en-US"/>
        </w:rPr>
        <w:t>ne</w:t>
      </w:r>
      <w:r w:rsidR="008D6F80" w:rsidRPr="003707F1">
        <w:rPr>
          <w:lang w:val="en-US"/>
        </w:rPr>
        <w:t xml:space="preserve">ss. </w:t>
      </w:r>
      <w:r w:rsidR="00A11600" w:rsidRPr="003707F1">
        <w:rPr>
          <w:lang w:val="en-US"/>
        </w:rPr>
        <w:t>Values of horizontal individualism are also conceptually more congruent with PCE because for such individuals, focus is on individual actions</w:t>
      </w:r>
      <w:r w:rsidR="007B6F95" w:rsidRPr="003707F1">
        <w:rPr>
          <w:lang w:val="en-US"/>
        </w:rPr>
        <w:t xml:space="preserve"> (</w:t>
      </w:r>
      <w:proofErr w:type="spellStart"/>
      <w:r w:rsidR="007B6F95" w:rsidRPr="003707F1">
        <w:rPr>
          <w:lang w:val="en-US"/>
        </w:rPr>
        <w:t>Singelis</w:t>
      </w:r>
      <w:proofErr w:type="spellEnd"/>
      <w:r w:rsidR="007B6F95" w:rsidRPr="003707F1">
        <w:rPr>
          <w:lang w:val="en-US"/>
        </w:rPr>
        <w:t xml:space="preserve"> et al., 1995)</w:t>
      </w:r>
      <w:r w:rsidR="00A11600" w:rsidRPr="003707F1">
        <w:rPr>
          <w:lang w:val="en-US"/>
        </w:rPr>
        <w:t xml:space="preserve">. </w:t>
      </w:r>
      <w:r w:rsidR="008D6F80" w:rsidRPr="003707F1">
        <w:rPr>
          <w:lang w:val="en-US"/>
        </w:rPr>
        <w:t xml:space="preserve">Such </w:t>
      </w:r>
      <w:r w:rsidR="00B4017B" w:rsidRPr="003707F1">
        <w:rPr>
          <w:lang w:val="en-US"/>
        </w:rPr>
        <w:t>individuals</w:t>
      </w:r>
      <w:r w:rsidR="008D6F80" w:rsidRPr="003707F1">
        <w:rPr>
          <w:lang w:val="en-US"/>
        </w:rPr>
        <w:t xml:space="preserve"> may also be more likely to </w:t>
      </w:r>
      <w:r w:rsidR="00B4017B" w:rsidRPr="003707F1">
        <w:rPr>
          <w:lang w:val="en-US"/>
        </w:rPr>
        <w:t>believe</w:t>
      </w:r>
      <w:r w:rsidR="008D6F80" w:rsidRPr="003707F1">
        <w:rPr>
          <w:lang w:val="en-US"/>
        </w:rPr>
        <w:t xml:space="preserve"> that their </w:t>
      </w:r>
      <w:r w:rsidR="00EC27C1" w:rsidRPr="003707F1">
        <w:rPr>
          <w:lang w:val="en-US"/>
        </w:rPr>
        <w:t xml:space="preserve">individual consumption choices </w:t>
      </w:r>
      <w:r w:rsidR="008D6F80" w:rsidRPr="003707F1">
        <w:rPr>
          <w:lang w:val="en-US"/>
        </w:rPr>
        <w:t>matter</w:t>
      </w:r>
      <w:r w:rsidR="007F0813" w:rsidRPr="003707F1">
        <w:rPr>
          <w:lang w:val="en-US"/>
        </w:rPr>
        <w:t>,</w:t>
      </w:r>
      <w:r w:rsidR="008D6F80" w:rsidRPr="003707F1">
        <w:rPr>
          <w:lang w:val="en-US"/>
        </w:rPr>
        <w:t xml:space="preserve"> and hence: </w:t>
      </w:r>
    </w:p>
    <w:p w14:paraId="3E0C7308" w14:textId="77777777" w:rsidR="00CC625A" w:rsidRPr="003707F1" w:rsidRDefault="00CC625A" w:rsidP="00AB7714">
      <w:pPr>
        <w:spacing w:line="360" w:lineRule="auto"/>
        <w:ind w:firstLine="720"/>
        <w:contextualSpacing/>
        <w:jc w:val="both"/>
        <w:rPr>
          <w:lang w:val="en-US"/>
        </w:rPr>
      </w:pPr>
    </w:p>
    <w:p w14:paraId="1B2ED703" w14:textId="14509D9B" w:rsidR="00CE5DE5" w:rsidRPr="003707F1" w:rsidRDefault="00CC625A" w:rsidP="008D617B">
      <w:pPr>
        <w:spacing w:line="360" w:lineRule="auto"/>
        <w:ind w:left="709"/>
        <w:contextualSpacing/>
        <w:jc w:val="both"/>
        <w:rPr>
          <w:lang w:val="en-US"/>
        </w:rPr>
      </w:pPr>
      <w:r w:rsidRPr="003707F1">
        <w:rPr>
          <w:b/>
          <w:lang w:val="en-US"/>
        </w:rPr>
        <w:t>H1B:</w:t>
      </w:r>
      <w:r w:rsidRPr="003707F1">
        <w:rPr>
          <w:lang w:val="en-US"/>
        </w:rPr>
        <w:t xml:space="preserve"> Horizontal individualism (HI) is positively associated with PCE.</w:t>
      </w:r>
    </w:p>
    <w:p w14:paraId="16AF2F15" w14:textId="77777777" w:rsidR="005503E5" w:rsidRPr="003707F1" w:rsidRDefault="005503E5" w:rsidP="00225D50">
      <w:pPr>
        <w:spacing w:line="360" w:lineRule="auto"/>
        <w:contextualSpacing/>
        <w:jc w:val="both"/>
        <w:rPr>
          <w:lang w:val="en-US"/>
        </w:rPr>
      </w:pPr>
    </w:p>
    <w:p w14:paraId="35E9F348" w14:textId="51C03D05" w:rsidR="00692440" w:rsidRPr="003707F1" w:rsidRDefault="007A4DB9" w:rsidP="00063004">
      <w:pPr>
        <w:spacing w:line="360" w:lineRule="auto"/>
        <w:ind w:firstLine="709"/>
        <w:contextualSpacing/>
        <w:jc w:val="both"/>
        <w:rPr>
          <w:lang w:val="en-US"/>
        </w:rPr>
      </w:pPr>
      <w:r w:rsidRPr="003707F1">
        <w:rPr>
          <w:lang w:val="en-US"/>
        </w:rPr>
        <w:t xml:space="preserve">Vertical collectivists </w:t>
      </w:r>
      <w:r w:rsidR="00202E4D" w:rsidRPr="003707F1">
        <w:rPr>
          <w:lang w:val="en-US"/>
        </w:rPr>
        <w:t xml:space="preserve">believe that </w:t>
      </w:r>
      <w:r w:rsidRPr="003707F1">
        <w:rPr>
          <w:lang w:val="en-US"/>
        </w:rPr>
        <w:t>their</w:t>
      </w:r>
      <w:r w:rsidR="00202E4D" w:rsidRPr="003707F1">
        <w:rPr>
          <w:lang w:val="en-US"/>
        </w:rPr>
        <w:t xml:space="preserve"> individual</w:t>
      </w:r>
      <w:r w:rsidRPr="003707F1">
        <w:rPr>
          <w:lang w:val="en-US"/>
        </w:rPr>
        <w:t xml:space="preserve"> goals</w:t>
      </w:r>
      <w:r w:rsidR="00202E4D" w:rsidRPr="003707F1">
        <w:rPr>
          <w:lang w:val="en-US"/>
        </w:rPr>
        <w:t xml:space="preserve"> and interests are less important than </w:t>
      </w:r>
      <w:r w:rsidR="00E65AB7" w:rsidRPr="003707F1">
        <w:rPr>
          <w:lang w:val="en-US"/>
        </w:rPr>
        <w:t>group goals and interests</w:t>
      </w:r>
      <w:r w:rsidR="00EC27C1" w:rsidRPr="003707F1">
        <w:rPr>
          <w:lang w:val="en-US"/>
        </w:rPr>
        <w:t>, but they believe in hierarchy</w:t>
      </w:r>
      <w:r w:rsidR="00202E4D" w:rsidRPr="003707F1">
        <w:rPr>
          <w:lang w:val="en-US"/>
        </w:rPr>
        <w:t xml:space="preserve">. </w:t>
      </w:r>
      <w:r w:rsidR="00F75C5F" w:rsidRPr="003707F1">
        <w:rPr>
          <w:lang w:val="en-US"/>
        </w:rPr>
        <w:t>For such individuals, c</w:t>
      </w:r>
      <w:r w:rsidR="00E65AB7" w:rsidRPr="003707F1">
        <w:rPr>
          <w:lang w:val="en-US"/>
        </w:rPr>
        <w:t xml:space="preserve">arrying out their duties and obligations towards the group takes precedence over fulfilling individual goals. This preference for group </w:t>
      </w:r>
      <w:proofErr w:type="gramStart"/>
      <w:r w:rsidR="00E65AB7" w:rsidRPr="003707F1">
        <w:rPr>
          <w:lang w:val="en-US"/>
        </w:rPr>
        <w:t>interests  suggests</w:t>
      </w:r>
      <w:proofErr w:type="gramEnd"/>
      <w:r w:rsidR="00E65AB7" w:rsidRPr="003707F1">
        <w:rPr>
          <w:lang w:val="en-US"/>
        </w:rPr>
        <w:t xml:space="preserve"> that such individuals value conformity</w:t>
      </w:r>
      <w:r w:rsidR="00F75C5F" w:rsidRPr="003707F1">
        <w:rPr>
          <w:lang w:val="en-US"/>
        </w:rPr>
        <w:t>;</w:t>
      </w:r>
      <w:r w:rsidR="00E65AB7" w:rsidRPr="003707F1">
        <w:rPr>
          <w:lang w:val="en-US"/>
        </w:rPr>
        <w:t xml:space="preserve"> hence they </w:t>
      </w:r>
      <w:r w:rsidR="00BF3568" w:rsidRPr="003707F1">
        <w:rPr>
          <w:lang w:val="en-US"/>
        </w:rPr>
        <w:t xml:space="preserve">willingly </w:t>
      </w:r>
      <w:r w:rsidRPr="003707F1">
        <w:rPr>
          <w:lang w:val="en-US"/>
        </w:rPr>
        <w:t xml:space="preserve">submit to </w:t>
      </w:r>
      <w:r w:rsidR="00BF3568" w:rsidRPr="003707F1">
        <w:rPr>
          <w:lang w:val="en-US"/>
        </w:rPr>
        <w:t>the authority</w:t>
      </w:r>
      <w:r w:rsidR="004D1129" w:rsidRPr="003707F1">
        <w:rPr>
          <w:lang w:val="en-US"/>
        </w:rPr>
        <w:t xml:space="preserve"> of other people in their groups</w:t>
      </w:r>
      <w:r w:rsidR="00F75C5F" w:rsidRPr="003707F1">
        <w:rPr>
          <w:lang w:val="en-US"/>
        </w:rPr>
        <w:t xml:space="preserve"> (</w:t>
      </w:r>
      <w:proofErr w:type="spellStart"/>
      <w:r w:rsidR="00F75C5F" w:rsidRPr="003707F1">
        <w:rPr>
          <w:lang w:val="en-US"/>
        </w:rPr>
        <w:t>Singelis</w:t>
      </w:r>
      <w:proofErr w:type="spellEnd"/>
      <w:r w:rsidR="00F75C5F" w:rsidRPr="003707F1">
        <w:rPr>
          <w:lang w:val="en-US"/>
        </w:rPr>
        <w:t xml:space="preserve"> et al., 1995)</w:t>
      </w:r>
      <w:r w:rsidRPr="003707F1">
        <w:rPr>
          <w:lang w:val="en-US"/>
        </w:rPr>
        <w:t xml:space="preserve">. </w:t>
      </w:r>
      <w:r w:rsidR="00EC27C1" w:rsidRPr="003707F1">
        <w:rPr>
          <w:lang w:val="en-US"/>
        </w:rPr>
        <w:t xml:space="preserve">Such beliefs may lead to a dispersion of individual responsibility, or even giving it up and delegating it to those higher in </w:t>
      </w:r>
      <w:r w:rsidR="0041352F" w:rsidRPr="003707F1">
        <w:rPr>
          <w:lang w:val="en-US"/>
        </w:rPr>
        <w:t xml:space="preserve">the </w:t>
      </w:r>
      <w:r w:rsidR="00EC27C1" w:rsidRPr="003707F1">
        <w:rPr>
          <w:lang w:val="en-US"/>
        </w:rPr>
        <w:t xml:space="preserve">hierarchy, hence: </w:t>
      </w:r>
    </w:p>
    <w:p w14:paraId="1AFA121A" w14:textId="77777777" w:rsidR="00EC27C1" w:rsidRPr="003707F1" w:rsidRDefault="00EC27C1" w:rsidP="00EC27C1">
      <w:pPr>
        <w:spacing w:line="360" w:lineRule="auto"/>
        <w:contextualSpacing/>
        <w:jc w:val="both"/>
        <w:rPr>
          <w:lang w:val="en-US"/>
        </w:rPr>
      </w:pPr>
    </w:p>
    <w:p w14:paraId="44B8E41D" w14:textId="640D3EFC" w:rsidR="00692440" w:rsidRPr="003707F1" w:rsidRDefault="00692440" w:rsidP="00692440">
      <w:pPr>
        <w:spacing w:line="360" w:lineRule="auto"/>
        <w:ind w:left="709"/>
        <w:contextualSpacing/>
        <w:jc w:val="both"/>
        <w:rPr>
          <w:lang w:val="en-US"/>
        </w:rPr>
      </w:pPr>
      <w:r w:rsidRPr="003707F1">
        <w:rPr>
          <w:b/>
          <w:lang w:val="en-US"/>
        </w:rPr>
        <w:t>H2A:</w:t>
      </w:r>
      <w:r w:rsidRPr="003707F1">
        <w:rPr>
          <w:lang w:val="en-US"/>
        </w:rPr>
        <w:t xml:space="preserve"> Vertical collectivism is negatively associated with PCE.</w:t>
      </w:r>
    </w:p>
    <w:p w14:paraId="6309A077" w14:textId="04140BFF" w:rsidR="00FD43D7" w:rsidRPr="003707F1" w:rsidRDefault="00FD43D7" w:rsidP="007B6F95">
      <w:pPr>
        <w:spacing w:line="360" w:lineRule="auto"/>
        <w:ind w:firstLine="720"/>
        <w:contextualSpacing/>
        <w:jc w:val="both"/>
        <w:rPr>
          <w:lang w:val="en-US"/>
        </w:rPr>
      </w:pPr>
    </w:p>
    <w:p w14:paraId="224E3FA8" w14:textId="7A6A4191" w:rsidR="004D3DFC" w:rsidRPr="003707F1" w:rsidRDefault="00EC27C1" w:rsidP="003D74D5">
      <w:pPr>
        <w:spacing w:line="360" w:lineRule="auto"/>
        <w:ind w:firstLine="720"/>
        <w:contextualSpacing/>
        <w:jc w:val="both"/>
        <w:rPr>
          <w:lang w:val="en-US"/>
        </w:rPr>
      </w:pPr>
      <w:r w:rsidRPr="003707F1">
        <w:rPr>
          <w:lang w:val="en-US"/>
        </w:rPr>
        <w:t>Whilst h</w:t>
      </w:r>
      <w:r w:rsidR="007A4DB9" w:rsidRPr="003707F1">
        <w:rPr>
          <w:lang w:val="en-US"/>
        </w:rPr>
        <w:t xml:space="preserve">orizontal collectivists </w:t>
      </w:r>
      <w:r w:rsidRPr="003707F1">
        <w:rPr>
          <w:lang w:val="en-US"/>
        </w:rPr>
        <w:t xml:space="preserve">also believe that their individual goals and interests are less important than group goals and interests, they </w:t>
      </w:r>
      <w:r w:rsidR="000A6A15" w:rsidRPr="003707F1">
        <w:rPr>
          <w:lang w:val="en-US"/>
        </w:rPr>
        <w:t>perceive</w:t>
      </w:r>
      <w:r w:rsidR="007A4DB9" w:rsidRPr="003707F1">
        <w:rPr>
          <w:lang w:val="en-US"/>
        </w:rPr>
        <w:t xml:space="preserve"> themselves as </w:t>
      </w:r>
      <w:proofErr w:type="gramStart"/>
      <w:r w:rsidR="007A4DB9" w:rsidRPr="003707F1">
        <w:rPr>
          <w:lang w:val="en-US"/>
        </w:rPr>
        <w:t>similar to</w:t>
      </w:r>
      <w:proofErr w:type="gramEnd"/>
      <w:r w:rsidR="007A4DB9" w:rsidRPr="003707F1">
        <w:rPr>
          <w:lang w:val="en-US"/>
        </w:rPr>
        <w:t xml:space="preserve"> others</w:t>
      </w:r>
      <w:r w:rsidRPr="003707F1">
        <w:rPr>
          <w:lang w:val="en-US"/>
        </w:rPr>
        <w:t xml:space="preserve"> and do not believe in hierarchy between </w:t>
      </w:r>
      <w:proofErr w:type="spellStart"/>
      <w:r w:rsidRPr="003707F1">
        <w:rPr>
          <w:lang w:val="en-US"/>
        </w:rPr>
        <w:t>indivdiuals</w:t>
      </w:r>
      <w:proofErr w:type="spellEnd"/>
      <w:r w:rsidRPr="003707F1">
        <w:rPr>
          <w:lang w:val="en-US"/>
        </w:rPr>
        <w:t xml:space="preserve"> and groups</w:t>
      </w:r>
      <w:r w:rsidR="00E65AB7" w:rsidRPr="003707F1">
        <w:rPr>
          <w:lang w:val="en-US"/>
        </w:rPr>
        <w:t xml:space="preserve">. They </w:t>
      </w:r>
      <w:proofErr w:type="spellStart"/>
      <w:r w:rsidR="00E65AB7" w:rsidRPr="003707F1">
        <w:rPr>
          <w:lang w:val="en-US"/>
        </w:rPr>
        <w:t>emphasise</w:t>
      </w:r>
      <w:proofErr w:type="spellEnd"/>
      <w:r w:rsidR="00E65AB7" w:rsidRPr="003707F1">
        <w:rPr>
          <w:lang w:val="en-US"/>
        </w:rPr>
        <w:t xml:space="preserve"> benevolence, </w:t>
      </w:r>
      <w:r w:rsidR="00E65AB7" w:rsidRPr="003707F1">
        <w:rPr>
          <w:lang w:val="en-US"/>
        </w:rPr>
        <w:lastRenderedPageBreak/>
        <w:t xml:space="preserve">egalitarianism, common goals and shared social responsibility </w:t>
      </w:r>
      <w:r w:rsidR="007A4DB9" w:rsidRPr="003707F1">
        <w:rPr>
          <w:lang w:val="en-US"/>
        </w:rPr>
        <w:fldChar w:fldCharType="begin"/>
      </w:r>
      <w:r w:rsidR="007A4DB9" w:rsidRPr="003707F1">
        <w:rPr>
          <w:lang w:val="en-US"/>
        </w:rPr>
        <w:instrText xml:space="preserve"> ADDIN EN.CITE &lt;EndNote&gt;&lt;Cite&gt;&lt;Author&gt;Shavitt&lt;/Author&gt;&lt;Year&gt;2011&lt;/Year&gt;&lt;RecNum&gt;1004&lt;/RecNum&gt;&lt;DisplayText&gt;(Shavitt et al., 2011)&lt;/DisplayText&gt;&lt;record&gt;&lt;rec-number&gt;1004&lt;/rec-number&gt;&lt;foreign-keys&gt;&lt;key app="EN" db-id="e99tpwtz9dt509e2z5sxsdt2dezd0dftfspz" timestamp="1501599785"&gt;1004&lt;/key&gt;&lt;/foreign-keys&gt;&lt;ref-type name="Book Section"&gt;5&lt;/ref-type&gt;&lt;contributors&gt;&lt;authors&gt;&lt;author&gt;Sharon Shavitt&lt;/author&gt;&lt;author&gt;Carlos J. Torelli&lt;/author&gt;&lt;author&gt;Hila Riemer&lt;/author&gt;&lt;/authors&gt;&lt;secondary-authors&gt;&lt;author&gt;Michele J. Gelfand&lt;/author&gt;&lt;author&gt;Chi-yue Chiu&lt;/author&gt;&lt;author&gt;Ying-yi Hong&lt;/author&gt;&lt;/secondary-authors&gt;&lt;/contributors&gt;&lt;titles&gt;&lt;title&gt;Horizontal and vertical individualism and collectivism: implications for understanding psychological processes&lt;/title&gt;&lt;secondary-title&gt;Advances in Culture and Psychology&lt;/secondary-title&gt;&lt;tertiary-title&gt;Advances in Culture and Psychology&lt;/tertiary-title&gt;&lt;/titles&gt;&lt;pages&gt;309-350&lt;/pages&gt;&lt;volume&gt;1&lt;/volume&gt;&lt;section&gt;7&lt;/section&gt;&lt;dates&gt;&lt;year&gt;2011&lt;/year&gt;&lt;/dates&gt;&lt;pub-location&gt;London&lt;/pub-location&gt;&lt;publisher&gt;Oxford University Press&lt;/publisher&gt;&lt;urls&gt;&lt;/urls&gt;&lt;/record&gt;&lt;/Cite&gt;&lt;/EndNote&gt;</w:instrText>
      </w:r>
      <w:r w:rsidR="007A4DB9" w:rsidRPr="003707F1">
        <w:rPr>
          <w:lang w:val="en-US"/>
        </w:rPr>
        <w:fldChar w:fldCharType="separate"/>
      </w:r>
      <w:r w:rsidR="007A4DB9" w:rsidRPr="003707F1">
        <w:rPr>
          <w:lang w:val="en-US"/>
        </w:rPr>
        <w:t>(</w:t>
      </w:r>
      <w:hyperlink w:anchor="_ENREF_56" w:tooltip="Shavitt, 2011 #1004" w:history="1">
        <w:r w:rsidR="007A4DB9" w:rsidRPr="003707F1">
          <w:rPr>
            <w:lang w:val="en-US"/>
          </w:rPr>
          <w:t>Shavitt et al., 2011</w:t>
        </w:r>
      </w:hyperlink>
      <w:r w:rsidR="007A4DB9" w:rsidRPr="003707F1">
        <w:rPr>
          <w:lang w:val="en-US"/>
        </w:rPr>
        <w:t>)</w:t>
      </w:r>
      <w:r w:rsidR="007A4DB9" w:rsidRPr="003707F1">
        <w:rPr>
          <w:lang w:val="en-US"/>
        </w:rPr>
        <w:fldChar w:fldCharType="end"/>
      </w:r>
      <w:r w:rsidR="007A4DB9" w:rsidRPr="003707F1">
        <w:rPr>
          <w:lang w:val="en-US"/>
        </w:rPr>
        <w:t>.</w:t>
      </w:r>
      <w:r w:rsidR="003D74D5" w:rsidRPr="003707F1">
        <w:rPr>
          <w:lang w:val="en-US"/>
        </w:rPr>
        <w:t xml:space="preserve"> </w:t>
      </w:r>
      <w:r w:rsidR="0059435B" w:rsidRPr="003707F1">
        <w:rPr>
          <w:lang w:val="en-US"/>
        </w:rPr>
        <w:t xml:space="preserve">Such </w:t>
      </w:r>
      <w:r w:rsidR="00114057" w:rsidRPr="003707F1">
        <w:rPr>
          <w:lang w:val="en-US"/>
        </w:rPr>
        <w:t xml:space="preserve">values </w:t>
      </w:r>
      <w:r w:rsidR="0059435B" w:rsidRPr="003707F1">
        <w:rPr>
          <w:lang w:val="en-US"/>
        </w:rPr>
        <w:t xml:space="preserve">of collective </w:t>
      </w:r>
      <w:r w:rsidR="00DE7A54" w:rsidRPr="003707F1">
        <w:rPr>
          <w:lang w:val="en-US"/>
        </w:rPr>
        <w:t xml:space="preserve">purpose and </w:t>
      </w:r>
      <w:r w:rsidR="0059435B" w:rsidRPr="003707F1">
        <w:rPr>
          <w:lang w:val="en-US"/>
        </w:rPr>
        <w:t>responsibility may subdue</w:t>
      </w:r>
      <w:r w:rsidR="007A4DB9" w:rsidRPr="003707F1">
        <w:rPr>
          <w:lang w:val="en-US"/>
        </w:rPr>
        <w:t xml:space="preserve"> the freedom of individual expression </w:t>
      </w:r>
      <w:r w:rsidR="006D4F55" w:rsidRPr="003707F1">
        <w:rPr>
          <w:lang w:val="en-US"/>
        </w:rPr>
        <w:t xml:space="preserve">and responsibility </w:t>
      </w:r>
      <w:r w:rsidR="007A4DB9" w:rsidRPr="003707F1">
        <w:rPr>
          <w:lang w:val="en-US"/>
        </w:rPr>
        <w:t xml:space="preserve">among </w:t>
      </w:r>
      <w:r w:rsidRPr="003707F1">
        <w:rPr>
          <w:lang w:val="en-US"/>
        </w:rPr>
        <w:t>horizontal</w:t>
      </w:r>
      <w:r w:rsidR="002C5287" w:rsidRPr="003707F1">
        <w:rPr>
          <w:lang w:val="en-US"/>
        </w:rPr>
        <w:t xml:space="preserve"> </w:t>
      </w:r>
      <w:r w:rsidR="007A4DB9" w:rsidRPr="003707F1">
        <w:rPr>
          <w:lang w:val="en-US"/>
        </w:rPr>
        <w:t>collectivists</w:t>
      </w:r>
      <w:r w:rsidR="002C5287" w:rsidRPr="003707F1">
        <w:rPr>
          <w:lang w:val="en-US"/>
        </w:rPr>
        <w:t>.</w:t>
      </w:r>
      <w:r w:rsidR="007A4DB9" w:rsidRPr="003707F1">
        <w:rPr>
          <w:lang w:val="en-US"/>
        </w:rPr>
        <w:t xml:space="preserve"> </w:t>
      </w:r>
      <w:r w:rsidR="002C5287" w:rsidRPr="003707F1">
        <w:rPr>
          <w:lang w:val="en-US"/>
        </w:rPr>
        <w:t xml:space="preserve">This </w:t>
      </w:r>
      <w:r w:rsidR="007A4DB9" w:rsidRPr="003707F1">
        <w:rPr>
          <w:lang w:val="en-US"/>
        </w:rPr>
        <w:t xml:space="preserve">consequently </w:t>
      </w:r>
      <w:r w:rsidR="009F30D9" w:rsidRPr="003707F1">
        <w:rPr>
          <w:lang w:val="en-US"/>
        </w:rPr>
        <w:t xml:space="preserve">may </w:t>
      </w:r>
      <w:r w:rsidR="00DE7A54" w:rsidRPr="003707F1">
        <w:rPr>
          <w:lang w:val="en-US"/>
        </w:rPr>
        <w:t xml:space="preserve">lead to a situation where </w:t>
      </w:r>
      <w:r w:rsidR="009F30D9" w:rsidRPr="003707F1">
        <w:rPr>
          <w:lang w:val="en-US"/>
        </w:rPr>
        <w:t xml:space="preserve">individual responsibility is dispersed amongst group members </w:t>
      </w:r>
      <w:r w:rsidR="004D3DFC" w:rsidRPr="003707F1">
        <w:rPr>
          <w:lang w:val="en-US"/>
        </w:rPr>
        <w:fldChar w:fldCharType="begin"/>
      </w:r>
      <w:r w:rsidR="004D3DFC" w:rsidRPr="003707F1">
        <w:rPr>
          <w:lang w:val="en-US"/>
        </w:rPr>
        <w:instrText xml:space="preserve"> ADDIN EN.CITE &lt;EndNote&gt;&lt;Cite&gt;&lt;Author&gt;Shavitt&lt;/Author&gt;&lt;Year&gt;2011&lt;/Year&gt;&lt;RecNum&gt;1004&lt;/RecNum&gt;&lt;DisplayText&gt;(Shavitt et al., 2011)&lt;/DisplayText&gt;&lt;record&gt;&lt;rec-number&gt;1004&lt;/rec-number&gt;&lt;foreign-keys&gt;&lt;key app="EN" db-id="e99tpwtz9dt509e2z5sxsdt2dezd0dftfspz" timestamp="1501599785"&gt;1004&lt;/key&gt;&lt;/foreign-keys&gt;&lt;ref-type name="Book Section"&gt;5&lt;/ref-type&gt;&lt;contributors&gt;&lt;authors&gt;&lt;author&gt;Sharon Shavitt&lt;/author&gt;&lt;author&gt;Carlos J. Torelli&lt;/author&gt;&lt;author&gt;Hila Riemer&lt;/author&gt;&lt;/authors&gt;&lt;secondary-authors&gt;&lt;author&gt;Michele J. Gelfand&lt;/author&gt;&lt;author&gt;Chi-yue Chiu&lt;/author&gt;&lt;author&gt;Ying-yi Hong&lt;/author&gt;&lt;/secondary-authors&gt;&lt;/contributors&gt;&lt;titles&gt;&lt;title&gt;Horizontal and vertical individualism and collectivism: implications for understanding psychological processes&lt;/title&gt;&lt;secondary-title&gt;Advances in Culture and Psychology&lt;/secondary-title&gt;&lt;tertiary-title&gt;Advances in Culture and Psychology&lt;/tertiary-title&gt;&lt;/titles&gt;&lt;pages&gt;309-350&lt;/pages&gt;&lt;volume&gt;1&lt;/volume&gt;&lt;section&gt;7&lt;/section&gt;&lt;dates&gt;&lt;year&gt;2011&lt;/year&gt;&lt;/dates&gt;&lt;pub-location&gt;London&lt;/pub-location&gt;&lt;publisher&gt;Oxford University Press&lt;/publisher&gt;&lt;urls&gt;&lt;/urls&gt;&lt;/record&gt;&lt;/Cite&gt;&lt;/EndNote&gt;</w:instrText>
      </w:r>
      <w:r w:rsidR="004D3DFC" w:rsidRPr="003707F1">
        <w:rPr>
          <w:lang w:val="en-US"/>
        </w:rPr>
        <w:fldChar w:fldCharType="separate"/>
      </w:r>
      <w:r w:rsidR="004D3DFC" w:rsidRPr="003707F1">
        <w:rPr>
          <w:lang w:val="en-US"/>
        </w:rPr>
        <w:t>(</w:t>
      </w:r>
      <w:hyperlink w:anchor="_ENREF_56" w:tooltip="Shavitt, 2011 #1004" w:history="1">
        <w:r w:rsidR="004D3DFC" w:rsidRPr="003707F1">
          <w:rPr>
            <w:lang w:val="en-US"/>
          </w:rPr>
          <w:t>Shavitt et al., 2011</w:t>
        </w:r>
      </w:hyperlink>
      <w:r w:rsidR="004D3DFC" w:rsidRPr="003707F1">
        <w:rPr>
          <w:lang w:val="en-US"/>
        </w:rPr>
        <w:t>)</w:t>
      </w:r>
      <w:r w:rsidR="004D3DFC" w:rsidRPr="003707F1">
        <w:rPr>
          <w:lang w:val="en-US"/>
        </w:rPr>
        <w:fldChar w:fldCharType="end"/>
      </w:r>
      <w:r w:rsidR="004D3DFC" w:rsidRPr="003707F1">
        <w:rPr>
          <w:lang w:val="en-US"/>
        </w:rPr>
        <w:t xml:space="preserve">, </w:t>
      </w:r>
      <w:r w:rsidR="00F62827" w:rsidRPr="003707F1">
        <w:rPr>
          <w:lang w:val="en-US"/>
        </w:rPr>
        <w:t>hence</w:t>
      </w:r>
      <w:r w:rsidR="004D3DFC" w:rsidRPr="003707F1">
        <w:rPr>
          <w:lang w:val="en-US"/>
        </w:rPr>
        <w:t xml:space="preserve">: </w:t>
      </w:r>
    </w:p>
    <w:p w14:paraId="3F611B7B" w14:textId="36FA666F" w:rsidR="007A4DB9" w:rsidRPr="003707F1" w:rsidRDefault="007A4DB9" w:rsidP="00AB7714">
      <w:pPr>
        <w:spacing w:line="360" w:lineRule="auto"/>
        <w:ind w:firstLine="709"/>
        <w:contextualSpacing/>
        <w:jc w:val="both"/>
        <w:rPr>
          <w:lang w:val="en-US"/>
        </w:rPr>
      </w:pPr>
    </w:p>
    <w:p w14:paraId="540404BB" w14:textId="1FF9C82D" w:rsidR="007A4DB9" w:rsidRPr="003707F1" w:rsidRDefault="007A4DB9" w:rsidP="00FB0912">
      <w:pPr>
        <w:spacing w:line="360" w:lineRule="auto"/>
        <w:ind w:left="709"/>
        <w:contextualSpacing/>
        <w:jc w:val="both"/>
        <w:rPr>
          <w:lang w:val="en-US"/>
        </w:rPr>
      </w:pPr>
      <w:r w:rsidRPr="003707F1">
        <w:rPr>
          <w:b/>
          <w:lang w:val="en-US"/>
        </w:rPr>
        <w:t>H</w:t>
      </w:r>
      <w:r w:rsidR="004D3DFC" w:rsidRPr="003707F1">
        <w:rPr>
          <w:b/>
          <w:lang w:val="en-US"/>
        </w:rPr>
        <w:t>2B</w:t>
      </w:r>
      <w:r w:rsidRPr="003707F1">
        <w:rPr>
          <w:b/>
          <w:lang w:val="en-US"/>
        </w:rPr>
        <w:t>:</w:t>
      </w:r>
      <w:r w:rsidRPr="003707F1">
        <w:rPr>
          <w:lang w:val="en-US"/>
        </w:rPr>
        <w:t xml:space="preserve"> Horizontal collectivism (HC) is negatively associated with PCE.</w:t>
      </w:r>
    </w:p>
    <w:p w14:paraId="32505E74" w14:textId="5044546B" w:rsidR="007A4DB9" w:rsidRPr="003707F1" w:rsidRDefault="007A4DB9" w:rsidP="00AB7714">
      <w:pPr>
        <w:spacing w:line="360" w:lineRule="auto"/>
        <w:jc w:val="both"/>
        <w:rPr>
          <w:b/>
          <w:lang w:val="en-US"/>
        </w:rPr>
      </w:pPr>
    </w:p>
    <w:p w14:paraId="555737D1" w14:textId="5EAE7594" w:rsidR="00DF61E6" w:rsidRPr="003707F1" w:rsidRDefault="00133EE7" w:rsidP="002A5ED9">
      <w:pPr>
        <w:spacing w:line="360" w:lineRule="auto"/>
        <w:ind w:firstLine="720"/>
        <w:contextualSpacing/>
        <w:jc w:val="both"/>
        <w:rPr>
          <w:lang w:val="en-US"/>
        </w:rPr>
      </w:pPr>
      <w:r w:rsidRPr="003707F1">
        <w:rPr>
          <w:lang w:val="en-US"/>
        </w:rPr>
        <w:t xml:space="preserve">Individualism and collectivism </w:t>
      </w:r>
      <w:r w:rsidR="00114057" w:rsidRPr="003707F1">
        <w:rPr>
          <w:lang w:val="en-US"/>
        </w:rPr>
        <w:t xml:space="preserve">are </w:t>
      </w:r>
      <w:r w:rsidR="006D4F55" w:rsidRPr="003707F1">
        <w:rPr>
          <w:lang w:val="en-US"/>
        </w:rPr>
        <w:t xml:space="preserve">values </w:t>
      </w:r>
      <w:r w:rsidR="00A37B97" w:rsidRPr="003707F1">
        <w:rPr>
          <w:lang w:val="en-US"/>
        </w:rPr>
        <w:t xml:space="preserve">that </w:t>
      </w:r>
      <w:r w:rsidR="00EB3F4A" w:rsidRPr="003707F1">
        <w:rPr>
          <w:lang w:val="en-US"/>
        </w:rPr>
        <w:t xml:space="preserve">describe </w:t>
      </w:r>
      <w:r w:rsidRPr="003707F1">
        <w:rPr>
          <w:lang w:val="en-US"/>
        </w:rPr>
        <w:t>a person’s or group’s relationship to others</w:t>
      </w:r>
      <w:r w:rsidR="00114057" w:rsidRPr="003707F1">
        <w:rPr>
          <w:lang w:val="en-US"/>
        </w:rPr>
        <w:t xml:space="preserve"> (</w:t>
      </w:r>
      <w:proofErr w:type="spellStart"/>
      <w:r w:rsidR="00114057" w:rsidRPr="003707F1">
        <w:rPr>
          <w:lang w:val="en-US"/>
        </w:rPr>
        <w:t>Singelis</w:t>
      </w:r>
      <w:proofErr w:type="spellEnd"/>
      <w:r w:rsidR="00114057" w:rsidRPr="003707F1">
        <w:rPr>
          <w:lang w:val="en-US"/>
        </w:rPr>
        <w:t xml:space="preserve"> et al., 1995)</w:t>
      </w:r>
      <w:r w:rsidRPr="003707F1">
        <w:rPr>
          <w:lang w:val="en-US"/>
        </w:rPr>
        <w:t xml:space="preserve">. Social identities are constructs which </w:t>
      </w:r>
      <w:r w:rsidR="00EB3F4A" w:rsidRPr="003707F1">
        <w:rPr>
          <w:lang w:val="en-US"/>
        </w:rPr>
        <w:t xml:space="preserve">also </w:t>
      </w:r>
      <w:r w:rsidRPr="003707F1">
        <w:rPr>
          <w:lang w:val="en-US"/>
        </w:rPr>
        <w:t xml:space="preserve">describe how a person views </w:t>
      </w:r>
      <w:r w:rsidR="002864FE" w:rsidRPr="003707F1">
        <w:rPr>
          <w:lang w:val="en-US"/>
        </w:rPr>
        <w:t xml:space="preserve">their </w:t>
      </w:r>
      <w:r w:rsidRPr="003707F1">
        <w:rPr>
          <w:lang w:val="en-US"/>
        </w:rPr>
        <w:t xml:space="preserve">relationship with the outside world. </w:t>
      </w:r>
      <w:r w:rsidR="00DF61E6" w:rsidRPr="003707F1">
        <w:rPr>
          <w:lang w:val="en-US"/>
        </w:rPr>
        <w:t xml:space="preserve">Social identities </w:t>
      </w:r>
      <w:r w:rsidR="00114057" w:rsidRPr="003707F1">
        <w:rPr>
          <w:lang w:val="en-US"/>
        </w:rPr>
        <w:t xml:space="preserve">are </w:t>
      </w:r>
      <w:r w:rsidR="00DF61E6" w:rsidRPr="003707F1">
        <w:rPr>
          <w:lang w:val="en-US"/>
        </w:rPr>
        <w:t xml:space="preserve">important constructs in explaining and predicting pro-environmental </w:t>
      </w:r>
      <w:proofErr w:type="spellStart"/>
      <w:r w:rsidR="00DF61E6" w:rsidRPr="003707F1">
        <w:rPr>
          <w:lang w:val="en-US"/>
        </w:rPr>
        <w:t>behaviours</w:t>
      </w:r>
      <w:proofErr w:type="spellEnd"/>
      <w:r w:rsidR="00DF61E6" w:rsidRPr="003707F1">
        <w:rPr>
          <w:lang w:val="en-US"/>
        </w:rPr>
        <w:t xml:space="preserve"> (Fritsche et al., 2018). </w:t>
      </w:r>
      <w:proofErr w:type="spellStart"/>
      <w:r w:rsidR="005B3865" w:rsidRPr="003707F1">
        <w:rPr>
          <w:lang w:val="en-US"/>
        </w:rPr>
        <w:t>Brieger</w:t>
      </w:r>
      <w:proofErr w:type="spellEnd"/>
      <w:r w:rsidR="005B3865" w:rsidRPr="003707F1">
        <w:rPr>
          <w:lang w:val="en-US"/>
        </w:rPr>
        <w:t xml:space="preserve"> (201</w:t>
      </w:r>
      <w:r w:rsidR="005B2067" w:rsidRPr="003707F1">
        <w:rPr>
          <w:lang w:val="en-US"/>
        </w:rPr>
        <w:t>9</w:t>
      </w:r>
      <w:r w:rsidR="005B3865" w:rsidRPr="003707F1">
        <w:rPr>
          <w:lang w:val="en-US"/>
        </w:rPr>
        <w:t xml:space="preserve">) proposed that </w:t>
      </w:r>
      <w:r w:rsidR="00F605E9" w:rsidRPr="003707F1">
        <w:rPr>
          <w:lang w:val="en-US"/>
        </w:rPr>
        <w:t xml:space="preserve">a person’s </w:t>
      </w:r>
      <w:r w:rsidR="005B3865" w:rsidRPr="003707F1">
        <w:rPr>
          <w:lang w:val="en-US"/>
        </w:rPr>
        <w:t xml:space="preserve">perception of being a member of a </w:t>
      </w:r>
      <w:r w:rsidR="00F605E9" w:rsidRPr="003707F1">
        <w:rPr>
          <w:lang w:val="en-US"/>
        </w:rPr>
        <w:t xml:space="preserve">group </w:t>
      </w:r>
      <w:r w:rsidR="005B3865" w:rsidRPr="003707F1">
        <w:rPr>
          <w:lang w:val="en-US"/>
        </w:rPr>
        <w:t xml:space="preserve">influences the preference for a healthy and pleasant environment for the members of the respective </w:t>
      </w:r>
      <w:r w:rsidR="00F605E9" w:rsidRPr="003707F1">
        <w:rPr>
          <w:lang w:val="en-US"/>
        </w:rPr>
        <w:t>group</w:t>
      </w:r>
      <w:r w:rsidR="002C5287" w:rsidRPr="003707F1">
        <w:rPr>
          <w:lang w:val="en-US"/>
        </w:rPr>
        <w:t xml:space="preserve"> i.e., </w:t>
      </w:r>
      <w:r w:rsidR="00CF4E63" w:rsidRPr="003707F1">
        <w:rPr>
          <w:lang w:val="en-US"/>
        </w:rPr>
        <w:t xml:space="preserve">the </w:t>
      </w:r>
      <w:r w:rsidR="005E784F" w:rsidRPr="003707F1">
        <w:rPr>
          <w:lang w:val="en-US"/>
        </w:rPr>
        <w:t xml:space="preserve">greater the </w:t>
      </w:r>
      <w:r w:rsidR="00CF4E63" w:rsidRPr="003707F1">
        <w:rPr>
          <w:lang w:val="en-US"/>
        </w:rPr>
        <w:t xml:space="preserve">person’s identification with </w:t>
      </w:r>
      <w:r w:rsidR="006F644B" w:rsidRPr="003707F1">
        <w:rPr>
          <w:lang w:val="en-US"/>
        </w:rPr>
        <w:t xml:space="preserve">their community, nation, and world </w:t>
      </w:r>
      <w:r w:rsidR="00CF4E63" w:rsidRPr="003707F1">
        <w:rPr>
          <w:lang w:val="en-US"/>
        </w:rPr>
        <w:t>is, the</w:t>
      </w:r>
      <w:r w:rsidR="006F644B" w:rsidRPr="003707F1">
        <w:rPr>
          <w:lang w:val="en-US"/>
        </w:rPr>
        <w:t xml:space="preserve"> more willing </w:t>
      </w:r>
      <w:r w:rsidR="00CF4E63" w:rsidRPr="003707F1">
        <w:rPr>
          <w:lang w:val="en-US"/>
        </w:rPr>
        <w:t>they are to</w:t>
      </w:r>
      <w:r w:rsidR="006F644B" w:rsidRPr="003707F1">
        <w:rPr>
          <w:lang w:val="en-US"/>
        </w:rPr>
        <w:t xml:space="preserve"> make economic sacrifices for environmental protection. </w:t>
      </w:r>
    </w:p>
    <w:p w14:paraId="7EDD3A0E" w14:textId="1A053292" w:rsidR="00A81222" w:rsidRPr="003707F1" w:rsidRDefault="00A81222" w:rsidP="006D4F55">
      <w:pPr>
        <w:spacing w:line="360" w:lineRule="auto"/>
        <w:ind w:firstLine="720"/>
        <w:contextualSpacing/>
        <w:jc w:val="both"/>
        <w:rPr>
          <w:lang w:val="en-US"/>
        </w:rPr>
      </w:pPr>
      <w:r w:rsidRPr="003707F1">
        <w:rPr>
          <w:lang w:val="en-US"/>
        </w:rPr>
        <w:t xml:space="preserve">Drawing on </w:t>
      </w:r>
      <w:r w:rsidR="00ED0223" w:rsidRPr="003707F1">
        <w:rPr>
          <w:lang w:val="en-US"/>
        </w:rPr>
        <w:t xml:space="preserve">social identity theory and value congruence, </w:t>
      </w:r>
      <w:r w:rsidRPr="003707F1">
        <w:rPr>
          <w:lang w:val="en-US"/>
        </w:rPr>
        <w:t xml:space="preserve">we </w:t>
      </w:r>
      <w:r w:rsidR="006D4F55" w:rsidRPr="003707F1">
        <w:rPr>
          <w:lang w:val="en-US"/>
        </w:rPr>
        <w:t xml:space="preserve">argue </w:t>
      </w:r>
      <w:r w:rsidRPr="003707F1">
        <w:rPr>
          <w:lang w:val="en-US"/>
        </w:rPr>
        <w:t xml:space="preserve">that social identity will </w:t>
      </w:r>
      <w:r w:rsidR="006D4F55" w:rsidRPr="003707F1">
        <w:rPr>
          <w:lang w:val="en-US"/>
        </w:rPr>
        <w:t xml:space="preserve">influence </w:t>
      </w:r>
      <w:r w:rsidRPr="003707F1">
        <w:rPr>
          <w:lang w:val="en-US"/>
        </w:rPr>
        <w:t xml:space="preserve">the relationship between values </w:t>
      </w:r>
      <w:r w:rsidR="00EB3F4A" w:rsidRPr="003707F1">
        <w:rPr>
          <w:lang w:val="en-US"/>
        </w:rPr>
        <w:t xml:space="preserve">of </w:t>
      </w:r>
      <w:r w:rsidR="00684723" w:rsidRPr="003707F1">
        <w:rPr>
          <w:lang w:val="en-US"/>
        </w:rPr>
        <w:t xml:space="preserve">vertical/horizontal </w:t>
      </w:r>
      <w:r w:rsidR="00EB3F4A" w:rsidRPr="003707F1">
        <w:rPr>
          <w:lang w:val="en-US"/>
        </w:rPr>
        <w:t xml:space="preserve">individualism and collectivism </w:t>
      </w:r>
      <w:r w:rsidRPr="003707F1">
        <w:rPr>
          <w:lang w:val="en-US"/>
        </w:rPr>
        <w:t xml:space="preserve">and PCE. </w:t>
      </w:r>
      <w:r w:rsidR="00ED0223" w:rsidRPr="003707F1">
        <w:rPr>
          <w:lang w:val="en-US"/>
        </w:rPr>
        <w:t>G</w:t>
      </w:r>
      <w:r w:rsidRPr="003707F1">
        <w:rPr>
          <w:lang w:val="en-US"/>
        </w:rPr>
        <w:t xml:space="preserve">lobal identity is more relevant to </w:t>
      </w:r>
      <w:r w:rsidR="00BC53F5" w:rsidRPr="003707F1">
        <w:rPr>
          <w:lang w:val="en-US"/>
        </w:rPr>
        <w:t xml:space="preserve">and congruent with </w:t>
      </w:r>
      <w:r w:rsidRPr="003707F1">
        <w:rPr>
          <w:lang w:val="en-US"/>
        </w:rPr>
        <w:t>individualistic consumers who may be more likely to identify with outgroups rather than collectivistic consumers</w:t>
      </w:r>
      <w:r w:rsidR="00D41DD3" w:rsidRPr="003707F1">
        <w:rPr>
          <w:lang w:val="en-US"/>
        </w:rPr>
        <w:t xml:space="preserve"> who are in-group oriented</w:t>
      </w:r>
      <w:r w:rsidR="000A6C71" w:rsidRPr="003707F1">
        <w:rPr>
          <w:lang w:val="en-US"/>
        </w:rPr>
        <w:t>.</w:t>
      </w:r>
      <w:r w:rsidRPr="003707F1">
        <w:rPr>
          <w:lang w:val="en-US"/>
        </w:rPr>
        <w:t xml:space="preserve"> </w:t>
      </w:r>
      <w:r w:rsidR="00B244DC" w:rsidRPr="003707F1">
        <w:rPr>
          <w:lang w:val="en-US"/>
        </w:rPr>
        <w:t xml:space="preserve"> </w:t>
      </w:r>
      <w:r w:rsidR="00F27AC7" w:rsidRPr="003707F1">
        <w:rPr>
          <w:lang w:val="en-US"/>
        </w:rPr>
        <w:t xml:space="preserve">For example, Wei, Ang and </w:t>
      </w:r>
      <w:proofErr w:type="spellStart"/>
      <w:r w:rsidR="00F27AC7" w:rsidRPr="003707F1">
        <w:rPr>
          <w:lang w:val="en-US"/>
        </w:rPr>
        <w:t>Liou</w:t>
      </w:r>
      <w:proofErr w:type="spellEnd"/>
      <w:r w:rsidR="00F27AC7" w:rsidRPr="003707F1">
        <w:rPr>
          <w:lang w:val="en-US"/>
        </w:rPr>
        <w:t xml:space="preserve"> (2020) examined the effectiveness of global versus local scope of cause-related marketing in the context of individualism and PCE</w:t>
      </w:r>
      <w:r w:rsidR="00123D2E" w:rsidRPr="003707F1">
        <w:rPr>
          <w:lang w:val="en-US"/>
        </w:rPr>
        <w:t>. The authors</w:t>
      </w:r>
      <w:r w:rsidR="00F27AC7" w:rsidRPr="003707F1">
        <w:rPr>
          <w:lang w:val="en-US"/>
        </w:rPr>
        <w:t xml:space="preserve"> f</w:t>
      </w:r>
      <w:r w:rsidR="00123D2E" w:rsidRPr="003707F1">
        <w:rPr>
          <w:lang w:val="en-US"/>
        </w:rPr>
        <w:t>ou</w:t>
      </w:r>
      <w:r w:rsidR="00F27AC7" w:rsidRPr="003707F1">
        <w:rPr>
          <w:lang w:val="en-US"/>
        </w:rPr>
        <w:t xml:space="preserve">nd that PCE differed between the global versus local </w:t>
      </w:r>
      <w:proofErr w:type="gramStart"/>
      <w:r w:rsidR="00F27AC7" w:rsidRPr="003707F1">
        <w:rPr>
          <w:lang w:val="en-US"/>
        </w:rPr>
        <w:t>condition, and</w:t>
      </w:r>
      <w:proofErr w:type="gramEnd"/>
      <w:r w:rsidR="00F27AC7" w:rsidRPr="003707F1">
        <w:rPr>
          <w:lang w:val="en-US"/>
        </w:rPr>
        <w:t xml:space="preserve"> depended on the level of individualism and collectivism. Specifically, PCE was overall higher for those who held individualistic values, than those who held collectivistic values, and this was the case for both global and local scope. However, local scope yielded higher scores of PCE than global scope, for collectivistic consumers. </w:t>
      </w:r>
      <w:r w:rsidR="006D4F55" w:rsidRPr="003707F1">
        <w:rPr>
          <w:lang w:val="en-US"/>
        </w:rPr>
        <w:t xml:space="preserve">This </w:t>
      </w:r>
      <w:r w:rsidR="009432B0" w:rsidRPr="003707F1">
        <w:rPr>
          <w:lang w:val="en-US"/>
        </w:rPr>
        <w:t>suggests</w:t>
      </w:r>
      <w:r w:rsidR="006D4F55" w:rsidRPr="003707F1">
        <w:rPr>
          <w:lang w:val="en-US"/>
        </w:rPr>
        <w:t xml:space="preserve"> that local-scope communication is more effective for collectivistic consumers, whilst for individualistic consumers, both scopes lead to high </w:t>
      </w:r>
      <w:r w:rsidR="00F27AC7" w:rsidRPr="003707F1">
        <w:rPr>
          <w:lang w:val="en-US"/>
        </w:rPr>
        <w:t xml:space="preserve">PCE. </w:t>
      </w:r>
      <w:r w:rsidR="00BC53F5" w:rsidRPr="003707F1">
        <w:rPr>
          <w:lang w:val="en-US"/>
        </w:rPr>
        <w:t xml:space="preserve">Ng and </w:t>
      </w:r>
      <w:proofErr w:type="spellStart"/>
      <w:r w:rsidR="00BC53F5" w:rsidRPr="003707F1">
        <w:rPr>
          <w:lang w:val="en-US"/>
        </w:rPr>
        <w:t>Basu</w:t>
      </w:r>
      <w:proofErr w:type="spellEnd"/>
      <w:r w:rsidR="00BC53F5" w:rsidRPr="003707F1">
        <w:rPr>
          <w:lang w:val="en-US"/>
        </w:rPr>
        <w:t xml:space="preserve"> (2019) found that global identity was related to increased pro-environmental </w:t>
      </w:r>
      <w:proofErr w:type="spellStart"/>
      <w:r w:rsidR="00BC53F5" w:rsidRPr="003707F1">
        <w:rPr>
          <w:lang w:val="en-US"/>
        </w:rPr>
        <w:t>behaviours</w:t>
      </w:r>
      <w:proofErr w:type="spellEnd"/>
      <w:r w:rsidR="00BC53F5" w:rsidRPr="003707F1">
        <w:rPr>
          <w:lang w:val="en-US"/>
        </w:rPr>
        <w:t xml:space="preserve"> and was driven by a sense of strong personal responsibility. </w:t>
      </w:r>
      <w:r w:rsidR="00D41DD3" w:rsidRPr="003707F1">
        <w:rPr>
          <w:lang w:val="en-US"/>
        </w:rPr>
        <w:t>Individualists</w:t>
      </w:r>
      <w:r w:rsidR="00B244DC" w:rsidRPr="003707F1">
        <w:rPr>
          <w:lang w:val="en-US"/>
        </w:rPr>
        <w:t xml:space="preserve"> do not feel strongly connected to their groups such as families, </w:t>
      </w:r>
      <w:proofErr w:type="gramStart"/>
      <w:r w:rsidR="00B244DC" w:rsidRPr="003707F1">
        <w:rPr>
          <w:lang w:val="en-US"/>
        </w:rPr>
        <w:t>rela</w:t>
      </w:r>
      <w:r w:rsidR="008C6D24" w:rsidRPr="003707F1">
        <w:rPr>
          <w:lang w:val="en-US"/>
        </w:rPr>
        <w:t>tions</w:t>
      </w:r>
      <w:proofErr w:type="gramEnd"/>
      <w:r w:rsidR="00B244DC" w:rsidRPr="003707F1">
        <w:rPr>
          <w:lang w:val="en-US"/>
        </w:rPr>
        <w:t xml:space="preserve"> or geographic district </w:t>
      </w:r>
      <w:r w:rsidR="008C6D24" w:rsidRPr="003707F1">
        <w:rPr>
          <w:lang w:val="en-US"/>
        </w:rPr>
        <w:t>(</w:t>
      </w:r>
      <w:proofErr w:type="spellStart"/>
      <w:r w:rsidR="008C6D24" w:rsidRPr="003707F1">
        <w:rPr>
          <w:lang w:val="en-US"/>
        </w:rPr>
        <w:t>Capozza</w:t>
      </w:r>
      <w:proofErr w:type="spellEnd"/>
      <w:r w:rsidR="008C6D24" w:rsidRPr="003707F1">
        <w:rPr>
          <w:lang w:val="en-US"/>
        </w:rPr>
        <w:t xml:space="preserve">, </w:t>
      </w:r>
      <w:proofErr w:type="spellStart"/>
      <w:r w:rsidR="008C6D24" w:rsidRPr="003707F1">
        <w:rPr>
          <w:lang w:val="en-US"/>
        </w:rPr>
        <w:t>Voci</w:t>
      </w:r>
      <w:proofErr w:type="spellEnd"/>
      <w:r w:rsidR="003447AB" w:rsidRPr="003707F1">
        <w:rPr>
          <w:lang w:val="en-US"/>
        </w:rPr>
        <w:t>,</w:t>
      </w:r>
      <w:r w:rsidR="008C6D24" w:rsidRPr="003707F1">
        <w:rPr>
          <w:lang w:val="en-US"/>
        </w:rPr>
        <w:t xml:space="preserve"> &amp; Licciardello, 2000), </w:t>
      </w:r>
      <w:r w:rsidR="00B244DC" w:rsidRPr="003707F1">
        <w:rPr>
          <w:lang w:val="en-US"/>
        </w:rPr>
        <w:t xml:space="preserve">and may be more </w:t>
      </w:r>
      <w:r w:rsidR="008C6D24" w:rsidRPr="003707F1">
        <w:rPr>
          <w:lang w:val="en-US"/>
        </w:rPr>
        <w:t>likely</w:t>
      </w:r>
      <w:r w:rsidR="00B244DC" w:rsidRPr="003707F1">
        <w:rPr>
          <w:lang w:val="en-US"/>
        </w:rPr>
        <w:t xml:space="preserve"> to identify with outgroups</w:t>
      </w:r>
      <w:r w:rsidR="004721FF" w:rsidRPr="003707F1">
        <w:rPr>
          <w:lang w:val="en-US"/>
        </w:rPr>
        <w:t xml:space="preserve">; </w:t>
      </w:r>
      <w:r w:rsidR="00B244DC" w:rsidRPr="003707F1">
        <w:rPr>
          <w:lang w:val="en-US"/>
        </w:rPr>
        <w:t>hence</w:t>
      </w:r>
      <w:r w:rsidR="004721FF" w:rsidRPr="003707F1">
        <w:rPr>
          <w:lang w:val="en-US"/>
        </w:rPr>
        <w:t>,</w:t>
      </w:r>
      <w:r w:rsidR="00B244DC" w:rsidRPr="003707F1">
        <w:rPr>
          <w:lang w:val="en-US"/>
        </w:rPr>
        <w:t xml:space="preserve"> global identification will </w:t>
      </w:r>
      <w:r w:rsidR="003D2A22" w:rsidRPr="003707F1">
        <w:rPr>
          <w:lang w:val="en-US"/>
        </w:rPr>
        <w:t>strengthen the association between values of i</w:t>
      </w:r>
      <w:r w:rsidR="003447AB" w:rsidRPr="003707F1">
        <w:rPr>
          <w:lang w:val="en-US"/>
        </w:rPr>
        <w:t>ndividualism</w:t>
      </w:r>
      <w:r w:rsidR="003D2A22" w:rsidRPr="003707F1">
        <w:rPr>
          <w:lang w:val="en-US"/>
        </w:rPr>
        <w:t xml:space="preserve"> and PCE: </w:t>
      </w:r>
    </w:p>
    <w:p w14:paraId="68676343" w14:textId="77777777" w:rsidR="007A4DB9" w:rsidRPr="003707F1" w:rsidRDefault="007A4DB9" w:rsidP="00AB7714">
      <w:pPr>
        <w:spacing w:line="360" w:lineRule="auto"/>
        <w:jc w:val="both"/>
        <w:rPr>
          <w:b/>
          <w:lang w:val="en-US"/>
        </w:rPr>
      </w:pPr>
    </w:p>
    <w:p w14:paraId="42D89F0D" w14:textId="15503551" w:rsidR="009F30D9" w:rsidRPr="003707F1" w:rsidRDefault="00460EF2" w:rsidP="006919DD">
      <w:pPr>
        <w:spacing w:line="360" w:lineRule="auto"/>
        <w:ind w:left="720"/>
        <w:jc w:val="both"/>
      </w:pPr>
      <w:r w:rsidRPr="003707F1">
        <w:rPr>
          <w:b/>
          <w:bCs/>
        </w:rPr>
        <w:t>H</w:t>
      </w:r>
      <w:r w:rsidR="004D3DFC" w:rsidRPr="003707F1">
        <w:rPr>
          <w:b/>
          <w:bCs/>
        </w:rPr>
        <w:t>3</w:t>
      </w:r>
      <w:r w:rsidRPr="003707F1">
        <w:t>: Global identity positively moderate</w:t>
      </w:r>
      <w:r w:rsidR="00E87292" w:rsidRPr="003707F1">
        <w:t>s</w:t>
      </w:r>
      <w:r w:rsidRPr="003707F1">
        <w:t xml:space="preserve"> the </w:t>
      </w:r>
      <w:r w:rsidR="00E87292" w:rsidRPr="003707F1">
        <w:t xml:space="preserve">relationship </w:t>
      </w:r>
      <w:r w:rsidRPr="003707F1">
        <w:t xml:space="preserve">between </w:t>
      </w:r>
      <w:r w:rsidR="00276B4E" w:rsidRPr="003707F1">
        <w:t xml:space="preserve">vertical individualism </w:t>
      </w:r>
      <w:r w:rsidR="00D41DD3" w:rsidRPr="003707F1">
        <w:t xml:space="preserve">and PCE </w:t>
      </w:r>
      <w:r w:rsidR="00276B4E" w:rsidRPr="003707F1">
        <w:rPr>
          <w:b/>
          <w:bCs/>
        </w:rPr>
        <w:t>(H3</w:t>
      </w:r>
      <w:r w:rsidR="006E4A1B" w:rsidRPr="003707F1">
        <w:rPr>
          <w:b/>
          <w:bCs/>
        </w:rPr>
        <w:t>A</w:t>
      </w:r>
      <w:r w:rsidR="00276B4E" w:rsidRPr="003707F1">
        <w:rPr>
          <w:b/>
          <w:bCs/>
        </w:rPr>
        <w:t>)</w:t>
      </w:r>
      <w:r w:rsidR="00123D2E" w:rsidRPr="003707F1">
        <w:t>;</w:t>
      </w:r>
      <w:r w:rsidR="00276B4E" w:rsidRPr="003707F1">
        <w:t xml:space="preserve"> </w:t>
      </w:r>
      <w:r w:rsidR="00D41DD3" w:rsidRPr="003707F1">
        <w:t xml:space="preserve">and </w:t>
      </w:r>
      <w:r w:rsidR="00276B4E" w:rsidRPr="003707F1">
        <w:t xml:space="preserve">horizontal individualism </w:t>
      </w:r>
      <w:r w:rsidRPr="003707F1">
        <w:t>and PCE</w:t>
      </w:r>
      <w:r w:rsidR="00D41DD3" w:rsidRPr="003707F1">
        <w:t xml:space="preserve"> </w:t>
      </w:r>
      <w:r w:rsidR="00D41DD3" w:rsidRPr="003707F1">
        <w:rPr>
          <w:b/>
          <w:bCs/>
        </w:rPr>
        <w:t>(H3</w:t>
      </w:r>
      <w:r w:rsidR="006E4A1B" w:rsidRPr="003707F1">
        <w:rPr>
          <w:b/>
          <w:bCs/>
        </w:rPr>
        <w:t>B</w:t>
      </w:r>
      <w:r w:rsidR="00D41DD3" w:rsidRPr="003707F1">
        <w:rPr>
          <w:b/>
          <w:bCs/>
        </w:rPr>
        <w:t>)</w:t>
      </w:r>
      <w:r w:rsidR="00D41DD3" w:rsidRPr="003707F1">
        <w:t xml:space="preserve">.  </w:t>
      </w:r>
    </w:p>
    <w:p w14:paraId="05D33124" w14:textId="77777777" w:rsidR="00705D35" w:rsidRPr="003707F1" w:rsidRDefault="00705D35" w:rsidP="00AB7714">
      <w:pPr>
        <w:spacing w:line="360" w:lineRule="auto"/>
        <w:jc w:val="both"/>
      </w:pPr>
    </w:p>
    <w:p w14:paraId="331BDF5D" w14:textId="0400CD20" w:rsidR="00705D35" w:rsidRPr="003707F1" w:rsidRDefault="00BC53F5" w:rsidP="0024247B">
      <w:pPr>
        <w:spacing w:line="360" w:lineRule="auto"/>
        <w:ind w:firstLine="720"/>
        <w:jc w:val="both"/>
      </w:pPr>
      <w:r w:rsidRPr="003707F1">
        <w:t>As mentioned, l</w:t>
      </w:r>
      <w:r w:rsidR="00A81222" w:rsidRPr="003707F1">
        <w:t xml:space="preserve">ocal identity is conceptually more </w:t>
      </w:r>
      <w:proofErr w:type="gramStart"/>
      <w:r w:rsidR="009F3BDC" w:rsidRPr="003707F1">
        <w:t xml:space="preserve">congruent </w:t>
      </w:r>
      <w:r w:rsidR="00A81222" w:rsidRPr="003707F1">
        <w:t xml:space="preserve"> </w:t>
      </w:r>
      <w:r w:rsidR="009F3BDC" w:rsidRPr="003707F1">
        <w:t>with</w:t>
      </w:r>
      <w:proofErr w:type="gramEnd"/>
      <w:r w:rsidR="009F3BDC" w:rsidRPr="003707F1">
        <w:t xml:space="preserve"> </w:t>
      </w:r>
      <w:r w:rsidR="00A81222" w:rsidRPr="003707F1">
        <w:t xml:space="preserve"> collectivistic </w:t>
      </w:r>
      <w:r w:rsidR="009F3BDC" w:rsidRPr="003707F1">
        <w:t xml:space="preserve">values </w:t>
      </w:r>
      <w:r w:rsidR="00A81222" w:rsidRPr="003707F1">
        <w:t xml:space="preserve">because </w:t>
      </w:r>
      <w:r w:rsidR="00276B4E" w:rsidRPr="003707F1">
        <w:t>collectivists</w:t>
      </w:r>
      <w:r w:rsidR="009F3BDC" w:rsidRPr="003707F1">
        <w:t xml:space="preserve"> </w:t>
      </w:r>
      <w:r w:rsidR="00980947" w:rsidRPr="003707F1">
        <w:t>perceive themselves in terms of the groups they belong to</w:t>
      </w:r>
      <w:r w:rsidR="0005292A" w:rsidRPr="003707F1">
        <w:t>,</w:t>
      </w:r>
      <w:r w:rsidR="00980947" w:rsidRPr="003707F1">
        <w:t xml:space="preserve"> such as family</w:t>
      </w:r>
      <w:r w:rsidR="00B70FBE" w:rsidRPr="003707F1">
        <w:t xml:space="preserve"> or </w:t>
      </w:r>
      <w:r w:rsidR="00BF3568" w:rsidRPr="003707F1">
        <w:t xml:space="preserve">local community </w:t>
      </w:r>
      <w:r w:rsidR="00C53527" w:rsidRPr="003707F1">
        <w:t>(</w:t>
      </w:r>
      <w:proofErr w:type="spellStart"/>
      <w:r w:rsidR="00C53527" w:rsidRPr="003707F1">
        <w:t>Capozza</w:t>
      </w:r>
      <w:proofErr w:type="spellEnd"/>
      <w:r w:rsidR="00C53527" w:rsidRPr="003707F1">
        <w:t xml:space="preserve">, </w:t>
      </w:r>
      <w:proofErr w:type="spellStart"/>
      <w:r w:rsidR="00C53527" w:rsidRPr="003707F1">
        <w:t>Voci</w:t>
      </w:r>
      <w:proofErr w:type="spellEnd"/>
      <w:r w:rsidR="00A611B2" w:rsidRPr="003707F1">
        <w:t>,</w:t>
      </w:r>
      <w:r w:rsidR="00C53527" w:rsidRPr="003707F1">
        <w:t xml:space="preserve"> &amp; Licciardello, 2000)</w:t>
      </w:r>
      <w:r w:rsidR="00AD109D" w:rsidRPr="003707F1">
        <w:t xml:space="preserve">. Local identity is the strength of one’s connection to local community, traditions, </w:t>
      </w:r>
      <w:proofErr w:type="gramStart"/>
      <w:r w:rsidR="00AD109D" w:rsidRPr="003707F1">
        <w:t>groups</w:t>
      </w:r>
      <w:proofErr w:type="gramEnd"/>
      <w:r w:rsidR="00AD109D" w:rsidRPr="003707F1">
        <w:t xml:space="preserve"> and events (Tu et al., 2021) and therefore it is more congruent with collectivistic values of belonging to one’s group and community. Strong local identity </w:t>
      </w:r>
      <w:r w:rsidR="009F3BDC" w:rsidRPr="003707F1">
        <w:t>will weaken the negative link between collectivism and PCE</w:t>
      </w:r>
      <w:r w:rsidRPr="003707F1">
        <w:t xml:space="preserve">. </w:t>
      </w:r>
      <w:proofErr w:type="gramStart"/>
      <w:r w:rsidRPr="003707F1">
        <w:t xml:space="preserve">Hence, </w:t>
      </w:r>
      <w:r w:rsidR="009F3BDC" w:rsidRPr="003707F1">
        <w:t xml:space="preserve"> collectiv</w:t>
      </w:r>
      <w:r w:rsidR="00B70FBE" w:rsidRPr="003707F1">
        <w:t>istic</w:t>
      </w:r>
      <w:proofErr w:type="gramEnd"/>
      <w:r w:rsidR="009F3BDC" w:rsidRPr="003707F1">
        <w:t xml:space="preserve"> consumers with strong local identity will </w:t>
      </w:r>
      <w:r w:rsidR="00696D8D" w:rsidRPr="003707F1">
        <w:t>have higher PCE than collectivistic consumers with low local identity</w:t>
      </w:r>
      <w:r w:rsidRPr="003707F1">
        <w:t xml:space="preserve"> because the strength of local identity will </w:t>
      </w:r>
      <w:r w:rsidR="00CA2C28" w:rsidRPr="003707F1">
        <w:t>increase their belief that their consumption choices will impact environment, employee welfare and community because they may relate it more to their local community</w:t>
      </w:r>
      <w:r w:rsidR="00585C01" w:rsidRPr="003707F1">
        <w:t>, hence</w:t>
      </w:r>
      <w:r w:rsidR="00CA2C28" w:rsidRPr="003707F1">
        <w:t xml:space="preserve">: </w:t>
      </w:r>
    </w:p>
    <w:p w14:paraId="03747C38" w14:textId="77777777" w:rsidR="00705D35" w:rsidRPr="003707F1" w:rsidRDefault="00705D35" w:rsidP="00AB7714">
      <w:pPr>
        <w:spacing w:line="360" w:lineRule="auto"/>
        <w:jc w:val="both"/>
      </w:pPr>
    </w:p>
    <w:p w14:paraId="4B8582CB" w14:textId="772441D2" w:rsidR="00460EF2" w:rsidRPr="003707F1" w:rsidRDefault="009F30D9" w:rsidP="006919DD">
      <w:pPr>
        <w:spacing w:line="360" w:lineRule="auto"/>
        <w:ind w:left="720"/>
        <w:jc w:val="both"/>
      </w:pPr>
      <w:r w:rsidRPr="003707F1">
        <w:rPr>
          <w:b/>
          <w:bCs/>
        </w:rPr>
        <w:t>H</w:t>
      </w:r>
      <w:r w:rsidR="004D3DFC" w:rsidRPr="003707F1">
        <w:rPr>
          <w:b/>
          <w:bCs/>
        </w:rPr>
        <w:t>4</w:t>
      </w:r>
      <w:r w:rsidRPr="003707F1">
        <w:t xml:space="preserve">: </w:t>
      </w:r>
      <w:r w:rsidR="00460EF2" w:rsidRPr="003707F1">
        <w:t xml:space="preserve">Local identity </w:t>
      </w:r>
      <w:r w:rsidR="007C7F93" w:rsidRPr="003707F1">
        <w:t>weaken</w:t>
      </w:r>
      <w:r w:rsidR="00E87292" w:rsidRPr="003707F1">
        <w:t>s</w:t>
      </w:r>
      <w:r w:rsidR="007C7F93" w:rsidRPr="003707F1">
        <w:t xml:space="preserve"> </w:t>
      </w:r>
      <w:r w:rsidR="00460EF2" w:rsidRPr="003707F1">
        <w:t xml:space="preserve">the </w:t>
      </w:r>
      <w:r w:rsidR="00486DA7" w:rsidRPr="003707F1">
        <w:t>negative relationship</w:t>
      </w:r>
      <w:r w:rsidR="00E87292" w:rsidRPr="003707F1">
        <w:t xml:space="preserve"> </w:t>
      </w:r>
      <w:r w:rsidR="00460EF2" w:rsidRPr="003707F1">
        <w:t xml:space="preserve">between </w:t>
      </w:r>
      <w:r w:rsidR="00276B4E" w:rsidRPr="003707F1">
        <w:t xml:space="preserve">vertical collectivism </w:t>
      </w:r>
      <w:r w:rsidR="003D725D" w:rsidRPr="003707F1">
        <w:t xml:space="preserve">and PCE </w:t>
      </w:r>
      <w:r w:rsidR="00276B4E" w:rsidRPr="003707F1">
        <w:rPr>
          <w:b/>
          <w:bCs/>
        </w:rPr>
        <w:t>(H4</w:t>
      </w:r>
      <w:r w:rsidR="006E4A1B" w:rsidRPr="003707F1">
        <w:rPr>
          <w:b/>
          <w:bCs/>
        </w:rPr>
        <w:t>A</w:t>
      </w:r>
      <w:r w:rsidR="00276B4E" w:rsidRPr="003707F1">
        <w:rPr>
          <w:b/>
          <w:bCs/>
        </w:rPr>
        <w:t>)</w:t>
      </w:r>
      <w:r w:rsidR="003D725D" w:rsidRPr="003707F1">
        <w:t>;</w:t>
      </w:r>
      <w:r w:rsidR="00276B4E" w:rsidRPr="003707F1">
        <w:t xml:space="preserve"> and horizontal collectivism </w:t>
      </w:r>
      <w:r w:rsidR="00460EF2" w:rsidRPr="003707F1">
        <w:t>and PCE</w:t>
      </w:r>
      <w:r w:rsidR="00123D2E" w:rsidRPr="003707F1">
        <w:t xml:space="preserve"> </w:t>
      </w:r>
      <w:r w:rsidR="00123D2E" w:rsidRPr="003707F1">
        <w:rPr>
          <w:b/>
          <w:bCs/>
        </w:rPr>
        <w:t>(H4</w:t>
      </w:r>
      <w:r w:rsidR="006E4A1B" w:rsidRPr="003707F1">
        <w:rPr>
          <w:b/>
          <w:bCs/>
        </w:rPr>
        <w:t>B</w:t>
      </w:r>
      <w:r w:rsidR="00123D2E" w:rsidRPr="003707F1">
        <w:rPr>
          <w:b/>
          <w:bCs/>
        </w:rPr>
        <w:t>)</w:t>
      </w:r>
      <w:r w:rsidR="00460EF2" w:rsidRPr="003707F1">
        <w:t xml:space="preserve">. </w:t>
      </w:r>
    </w:p>
    <w:p w14:paraId="75502A61" w14:textId="77777777" w:rsidR="005102F2" w:rsidRPr="003707F1" w:rsidRDefault="005102F2" w:rsidP="005102F2">
      <w:pPr>
        <w:spacing w:line="360" w:lineRule="auto"/>
        <w:jc w:val="both"/>
        <w:rPr>
          <w:b/>
          <w:bCs/>
        </w:rPr>
      </w:pPr>
    </w:p>
    <w:p w14:paraId="5B9618B3" w14:textId="66AEFB94" w:rsidR="0017473F" w:rsidRPr="003707F1" w:rsidRDefault="0017473F" w:rsidP="006858CE">
      <w:pPr>
        <w:spacing w:line="360" w:lineRule="auto"/>
        <w:jc w:val="both"/>
        <w:rPr>
          <w:b/>
          <w:bCs/>
          <w:i/>
          <w:iCs/>
        </w:rPr>
      </w:pPr>
      <w:r w:rsidRPr="003707F1">
        <w:rPr>
          <w:b/>
          <w:bCs/>
          <w:i/>
          <w:iCs/>
        </w:rPr>
        <w:t xml:space="preserve">Control variables </w:t>
      </w:r>
    </w:p>
    <w:p w14:paraId="1E09E8B7" w14:textId="2EC8AC45" w:rsidR="00607947" w:rsidRPr="003707F1" w:rsidRDefault="00607947" w:rsidP="00341CD0">
      <w:pPr>
        <w:spacing w:line="360" w:lineRule="auto"/>
        <w:contextualSpacing/>
        <w:jc w:val="both"/>
        <w:rPr>
          <w:bCs/>
          <w:iCs/>
          <w:lang w:val="en-US"/>
        </w:rPr>
      </w:pPr>
      <w:r w:rsidRPr="003707F1">
        <w:rPr>
          <w:rFonts w:ascii="Calibri" w:hAnsi="Calibri" w:cs="Calibri"/>
          <w:bCs/>
          <w:iCs/>
          <w:lang w:val="en-US"/>
        </w:rPr>
        <w:t>﻿</w:t>
      </w:r>
      <w:r w:rsidRPr="003707F1">
        <w:rPr>
          <w:rFonts w:ascii="Calibri" w:hAnsi="Calibri" w:cs="Calibri"/>
          <w:bCs/>
          <w:iCs/>
          <w:lang w:val="en-US"/>
        </w:rPr>
        <w:tab/>
      </w:r>
      <w:r w:rsidRPr="003707F1">
        <w:rPr>
          <w:bCs/>
          <w:iCs/>
          <w:lang w:val="en-US"/>
        </w:rPr>
        <w:t xml:space="preserve">For model estimations, the conceptual framework controlled for consumer’s age and </w:t>
      </w:r>
      <w:r w:rsidR="00EE0E02" w:rsidRPr="003707F1">
        <w:rPr>
          <w:bCs/>
          <w:iCs/>
          <w:lang w:val="en-US"/>
        </w:rPr>
        <w:t>income</w:t>
      </w:r>
      <w:r w:rsidR="006858CE" w:rsidRPr="003707F1">
        <w:rPr>
          <w:bCs/>
          <w:iCs/>
          <w:lang w:val="en-US"/>
        </w:rPr>
        <w:t>–two important consumer segmentation bases</w:t>
      </w:r>
      <w:r w:rsidRPr="003707F1">
        <w:rPr>
          <w:bCs/>
          <w:iCs/>
          <w:lang w:val="en-US"/>
        </w:rPr>
        <w:t xml:space="preserve">. The selection of the control variables was grounded </w:t>
      </w:r>
      <w:r w:rsidR="0042046E" w:rsidRPr="003707F1">
        <w:rPr>
          <w:bCs/>
          <w:iCs/>
          <w:lang w:val="en-US"/>
        </w:rPr>
        <w:t>i</w:t>
      </w:r>
      <w:r w:rsidRPr="003707F1">
        <w:rPr>
          <w:bCs/>
          <w:iCs/>
          <w:lang w:val="en-US"/>
        </w:rPr>
        <w:t xml:space="preserve">n past research, which demonstrated that </w:t>
      </w:r>
      <w:r w:rsidR="00955F80" w:rsidRPr="003707F1">
        <w:rPr>
          <w:bCs/>
          <w:iCs/>
          <w:lang w:val="en-US"/>
        </w:rPr>
        <w:t xml:space="preserve">values and </w:t>
      </w:r>
      <w:r w:rsidR="00341CD0" w:rsidRPr="003707F1">
        <w:t xml:space="preserve">global and local social identities </w:t>
      </w:r>
      <w:r w:rsidR="006858CE" w:rsidRPr="003707F1">
        <w:rPr>
          <w:bCs/>
          <w:iCs/>
          <w:lang w:val="en-US"/>
        </w:rPr>
        <w:t xml:space="preserve">vary by </w:t>
      </w:r>
      <w:r w:rsidR="00341CD0" w:rsidRPr="003707F1">
        <w:rPr>
          <w:bCs/>
          <w:iCs/>
          <w:lang w:val="en-US"/>
        </w:rPr>
        <w:t>consumers’</w:t>
      </w:r>
      <w:r w:rsidRPr="003707F1">
        <w:rPr>
          <w:bCs/>
          <w:iCs/>
          <w:lang w:val="en-US"/>
        </w:rPr>
        <w:t xml:space="preserve"> age</w:t>
      </w:r>
      <w:r w:rsidR="00341CD0" w:rsidRPr="003707F1">
        <w:rPr>
          <w:bCs/>
          <w:iCs/>
          <w:lang w:val="en-US"/>
        </w:rPr>
        <w:t xml:space="preserve"> and</w:t>
      </w:r>
      <w:r w:rsidRPr="003707F1">
        <w:rPr>
          <w:bCs/>
          <w:iCs/>
          <w:lang w:val="en-US"/>
        </w:rPr>
        <w:t xml:space="preserve"> </w:t>
      </w:r>
      <w:r w:rsidR="00EE0E02" w:rsidRPr="003707F1">
        <w:rPr>
          <w:bCs/>
          <w:iCs/>
          <w:lang w:val="en-US"/>
        </w:rPr>
        <w:t>may also be affected by income</w:t>
      </w:r>
      <w:r w:rsidR="00594C5A" w:rsidRPr="003707F1">
        <w:rPr>
          <w:bCs/>
          <w:iCs/>
          <w:lang w:val="en-US"/>
        </w:rPr>
        <w:t xml:space="preserve"> </w:t>
      </w:r>
      <w:r w:rsidR="00341CD0" w:rsidRPr="003707F1">
        <w:rPr>
          <w:bCs/>
          <w:iCs/>
          <w:lang w:val="en-US"/>
        </w:rPr>
        <w:t>(</w:t>
      </w:r>
      <w:r w:rsidR="002E15C9" w:rsidRPr="003707F1">
        <w:rPr>
          <w:bCs/>
          <w:iCs/>
          <w:lang w:val="en-US"/>
        </w:rPr>
        <w:t xml:space="preserve">Czarnecka &amp; Schivinski, 2019; </w:t>
      </w:r>
      <w:r w:rsidR="001C73F8" w:rsidRPr="003707F1">
        <w:rPr>
          <w:bCs/>
          <w:iCs/>
          <w:lang w:val="en-US"/>
        </w:rPr>
        <w:t xml:space="preserve">Gao, Mittal, &amp; Zhang, 2020; </w:t>
      </w:r>
      <w:r w:rsidR="00235F74" w:rsidRPr="003707F1">
        <w:rPr>
          <w:bCs/>
          <w:iCs/>
          <w:lang w:val="en-US"/>
        </w:rPr>
        <w:t xml:space="preserve">Park &amp; Lin, 2020; </w:t>
      </w:r>
      <w:r w:rsidR="00B842C1" w:rsidRPr="003707F1">
        <w:rPr>
          <w:bCs/>
          <w:iCs/>
          <w:lang w:val="en-US"/>
        </w:rPr>
        <w:t xml:space="preserve">Schwartz &amp; Rubel, 2005; </w:t>
      </w:r>
      <w:r w:rsidR="00955F80" w:rsidRPr="003707F1">
        <w:rPr>
          <w:bCs/>
          <w:iCs/>
          <w:lang w:val="en-US"/>
        </w:rPr>
        <w:t>Gaines et al., 1997</w:t>
      </w:r>
      <w:r w:rsidR="00341CD0" w:rsidRPr="003707F1">
        <w:rPr>
          <w:bCs/>
          <w:iCs/>
          <w:lang w:val="en-US"/>
        </w:rPr>
        <w:t>).</w:t>
      </w:r>
      <w:r w:rsidRPr="003707F1">
        <w:rPr>
          <w:bCs/>
          <w:iCs/>
          <w:lang w:val="en-US"/>
        </w:rPr>
        <w:t xml:space="preserve"> </w:t>
      </w:r>
      <w:r w:rsidR="000A2A44" w:rsidRPr="003707F1">
        <w:rPr>
          <w:bCs/>
          <w:iCs/>
          <w:lang w:val="en-US"/>
        </w:rPr>
        <w:t xml:space="preserve">The conceptual model is presented in Figure 1. </w:t>
      </w:r>
    </w:p>
    <w:p w14:paraId="62BA2040" w14:textId="17587328" w:rsidR="000A2A44" w:rsidRPr="003707F1" w:rsidRDefault="000A2A44" w:rsidP="00341CD0">
      <w:pPr>
        <w:spacing w:line="360" w:lineRule="auto"/>
        <w:contextualSpacing/>
        <w:jc w:val="both"/>
        <w:rPr>
          <w:bCs/>
          <w:iCs/>
          <w:lang w:val="en-US"/>
        </w:rPr>
      </w:pPr>
    </w:p>
    <w:p w14:paraId="37467FAD" w14:textId="7AAF8C2F" w:rsidR="000A2A44" w:rsidRPr="003707F1" w:rsidRDefault="000A2A44" w:rsidP="000A2A44">
      <w:pPr>
        <w:spacing w:line="360" w:lineRule="auto"/>
        <w:contextualSpacing/>
        <w:jc w:val="center"/>
        <w:rPr>
          <w:b/>
          <w:iCs/>
          <w:lang w:val="en-US"/>
        </w:rPr>
      </w:pPr>
      <w:r w:rsidRPr="003707F1">
        <w:rPr>
          <w:b/>
          <w:iCs/>
          <w:lang w:val="en-US"/>
        </w:rPr>
        <w:t>&lt;&lt;Insert Figure 1 about here&gt;&gt;</w:t>
      </w:r>
    </w:p>
    <w:p w14:paraId="3BA1CEDA" w14:textId="36F0C4BA" w:rsidR="00804756" w:rsidRPr="003707F1" w:rsidRDefault="00804756" w:rsidP="000A2A44">
      <w:pPr>
        <w:spacing w:line="360" w:lineRule="auto"/>
        <w:contextualSpacing/>
        <w:jc w:val="center"/>
        <w:rPr>
          <w:b/>
          <w:iCs/>
          <w:lang w:val="en-US"/>
        </w:rPr>
      </w:pPr>
    </w:p>
    <w:p w14:paraId="7F7A9270" w14:textId="77777777" w:rsidR="005102F2" w:rsidRPr="003707F1" w:rsidRDefault="005102F2" w:rsidP="00AB7714">
      <w:pPr>
        <w:spacing w:line="360" w:lineRule="auto"/>
        <w:contextualSpacing/>
        <w:jc w:val="both"/>
        <w:rPr>
          <w:bCs/>
          <w:iCs/>
          <w:lang w:val="en-US"/>
        </w:rPr>
      </w:pPr>
    </w:p>
    <w:p w14:paraId="3E0BD8D2" w14:textId="77777777" w:rsidR="007275B7" w:rsidRPr="003707F1" w:rsidRDefault="007275B7" w:rsidP="007275B7">
      <w:pPr>
        <w:spacing w:line="360" w:lineRule="auto"/>
        <w:contextualSpacing/>
        <w:jc w:val="both"/>
        <w:rPr>
          <w:b/>
          <w:iCs/>
          <w:lang w:val="en-US"/>
        </w:rPr>
      </w:pPr>
      <w:r w:rsidRPr="003707F1">
        <w:rPr>
          <w:b/>
          <w:iCs/>
          <w:lang w:val="en-US"/>
        </w:rPr>
        <w:t xml:space="preserve">Methodology </w:t>
      </w:r>
    </w:p>
    <w:p w14:paraId="6789B31F" w14:textId="77777777" w:rsidR="007275B7" w:rsidRPr="003707F1" w:rsidRDefault="007275B7" w:rsidP="007275B7">
      <w:pPr>
        <w:spacing w:line="360" w:lineRule="auto"/>
        <w:jc w:val="both"/>
        <w:rPr>
          <w:b/>
          <w:i/>
          <w:iCs/>
        </w:rPr>
      </w:pPr>
      <w:r w:rsidRPr="003707F1">
        <w:rPr>
          <w:b/>
          <w:i/>
          <w:iCs/>
        </w:rPr>
        <w:t>Country justification</w:t>
      </w:r>
    </w:p>
    <w:p w14:paraId="28A9AD5D" w14:textId="7AD6FA42" w:rsidR="007275B7" w:rsidRPr="003707F1" w:rsidRDefault="007275B7" w:rsidP="007275B7">
      <w:pPr>
        <w:spacing w:line="360" w:lineRule="auto"/>
        <w:ind w:firstLine="720"/>
        <w:jc w:val="both"/>
        <w:rPr>
          <w:strike/>
        </w:rPr>
      </w:pPr>
      <w:r w:rsidRPr="003707F1">
        <w:t xml:space="preserve">Poland is a unique economy in </w:t>
      </w:r>
      <w:r w:rsidR="006608FE" w:rsidRPr="003707F1">
        <w:t>the</w:t>
      </w:r>
      <w:r w:rsidRPr="003707F1">
        <w:t xml:space="preserve"> sense that it has become a developed economy as of September 2018. Previously, Poland had been rated as an emerging economy, one that has been developing at a fast pace (WBJ, 2018). Poland is the first Central and Eastern European </w:t>
      </w:r>
      <w:r w:rsidRPr="003707F1">
        <w:lastRenderedPageBreak/>
        <w:t>economy to be upgraded to a developed economy status (</w:t>
      </w:r>
      <w:r w:rsidR="00A611B2" w:rsidRPr="003707F1">
        <w:t>Radu, 2018</w:t>
      </w:r>
      <w:r w:rsidRPr="003707F1">
        <w:t xml:space="preserve">). </w:t>
      </w:r>
      <w:r w:rsidR="006608FE" w:rsidRPr="003707F1">
        <w:t xml:space="preserve">The </w:t>
      </w:r>
      <w:r w:rsidRPr="003707F1">
        <w:t>Polish economy has been growing steadily</w:t>
      </w:r>
      <w:r w:rsidR="00ED10D9" w:rsidRPr="003707F1">
        <w:t xml:space="preserve"> and the role of consumption has been increasing. Polish consumers have</w:t>
      </w:r>
      <w:r w:rsidRPr="003707F1">
        <w:t xml:space="preserve"> shown a great rate of acceptance of Western/global shopping habits</w:t>
      </w:r>
      <w:r w:rsidR="00DF0D55" w:rsidRPr="003707F1">
        <w:t xml:space="preserve">. </w:t>
      </w:r>
      <w:r w:rsidRPr="003707F1">
        <w:t xml:space="preserve">For example, in the 1990s, shopping malls/centres were a rarity, as opposed to </w:t>
      </w:r>
      <w:r w:rsidR="006608FE" w:rsidRPr="003707F1">
        <w:t>the</w:t>
      </w:r>
      <w:r w:rsidRPr="003707F1">
        <w:t xml:space="preserve"> 2010s when the number of shopping centres increased from 295 in 2008, to 351 in 2012 (Knap, 2013), to 430 in 2017 (Savills, 2017). </w:t>
      </w:r>
      <w:r w:rsidR="00ED10D9" w:rsidRPr="003707F1">
        <w:t>Yet, consumer research has not kept up with the pace of changes and considering the size of the population of Poland (</w:t>
      </w:r>
      <w:r w:rsidR="00123D2E" w:rsidRPr="003707F1">
        <w:t xml:space="preserve">about </w:t>
      </w:r>
      <w:r w:rsidR="00ED10D9" w:rsidRPr="003707F1">
        <w:t>38</w:t>
      </w:r>
      <w:r w:rsidR="00123D2E" w:rsidRPr="003707F1">
        <w:t xml:space="preserve"> </w:t>
      </w:r>
      <w:r w:rsidR="00ED10D9" w:rsidRPr="003707F1">
        <w:t>m</w:t>
      </w:r>
      <w:r w:rsidR="00123D2E" w:rsidRPr="003707F1">
        <w:t>illion</w:t>
      </w:r>
      <w:r w:rsidR="00ED10D9" w:rsidRPr="003707F1">
        <w:t xml:space="preserve">), it is important to </w:t>
      </w:r>
      <w:r w:rsidR="00835FB8" w:rsidRPr="003707F1">
        <w:t>examine</w:t>
      </w:r>
      <w:r w:rsidR="00ED10D9" w:rsidRPr="003707F1">
        <w:t xml:space="preserve"> the antecedent</w:t>
      </w:r>
      <w:r w:rsidR="0024247B" w:rsidRPr="003707F1">
        <w:t>s</w:t>
      </w:r>
      <w:r w:rsidR="00ED10D9" w:rsidRPr="003707F1">
        <w:t xml:space="preserve"> of </w:t>
      </w:r>
      <w:r w:rsidR="0024247B" w:rsidRPr="003707F1">
        <w:t xml:space="preserve">important </w:t>
      </w:r>
      <w:r w:rsidR="006608FE" w:rsidRPr="003707F1">
        <w:t xml:space="preserve">Polish </w:t>
      </w:r>
      <w:r w:rsidR="00ED10D9" w:rsidRPr="003707F1">
        <w:t>consumer</w:t>
      </w:r>
      <w:r w:rsidR="0024247B" w:rsidRPr="003707F1">
        <w:t xml:space="preserve"> beliefs</w:t>
      </w:r>
      <w:r w:rsidR="00ED10D9" w:rsidRPr="003707F1">
        <w:t xml:space="preserve">. </w:t>
      </w:r>
      <w:r w:rsidRPr="003707F1">
        <w:t xml:space="preserve">Poland offers a suitable context to examine how cultural values of individualism and collectivism relate to PCE, and how this relation is affected by global-local identities because it is a </w:t>
      </w:r>
      <w:r w:rsidR="00C856DA" w:rsidRPr="003707F1">
        <w:t xml:space="preserve">society open to global influences but </w:t>
      </w:r>
      <w:r w:rsidR="00D11F5F" w:rsidRPr="003707F1">
        <w:t xml:space="preserve">has a </w:t>
      </w:r>
      <w:r w:rsidR="00C856DA" w:rsidRPr="003707F1">
        <w:t xml:space="preserve">relatively young consumer culture </w:t>
      </w:r>
      <w:r w:rsidR="00D53216" w:rsidRPr="003707F1">
        <w:t>(</w:t>
      </w:r>
      <w:proofErr w:type="spellStart"/>
      <w:r w:rsidR="00D53216" w:rsidRPr="003707F1">
        <w:t>Kramarczyk</w:t>
      </w:r>
      <w:proofErr w:type="spellEnd"/>
      <w:r w:rsidR="00D53216" w:rsidRPr="003707F1">
        <w:t xml:space="preserve"> &amp; </w:t>
      </w:r>
      <w:proofErr w:type="spellStart"/>
      <w:r w:rsidR="00D53216" w:rsidRPr="003707F1">
        <w:t>Alemany</w:t>
      </w:r>
      <w:proofErr w:type="spellEnd"/>
      <w:r w:rsidR="00D53216" w:rsidRPr="003707F1">
        <w:t xml:space="preserve"> Oliver, 2020) </w:t>
      </w:r>
      <w:r w:rsidR="00C856DA" w:rsidRPr="003707F1">
        <w:t xml:space="preserve">with strong national/local orientation. </w:t>
      </w:r>
      <w:r w:rsidR="00652799" w:rsidRPr="003707F1">
        <w:t xml:space="preserve">Moreover, it is an understudied country despite its significance and contribution to the </w:t>
      </w:r>
      <w:r w:rsidR="001B7A6A" w:rsidRPr="003707F1">
        <w:t xml:space="preserve">EU and </w:t>
      </w:r>
      <w:r w:rsidR="00652799" w:rsidRPr="003707F1">
        <w:t xml:space="preserve">global economy, </w:t>
      </w:r>
      <w:r w:rsidR="00BE6772" w:rsidRPr="003707F1">
        <w:t xml:space="preserve">and </w:t>
      </w:r>
      <w:r w:rsidR="00652799" w:rsidRPr="003707F1">
        <w:t>size of the population</w:t>
      </w:r>
      <w:r w:rsidR="00BE6772" w:rsidRPr="003707F1">
        <w:t xml:space="preserve"> (Export.gov, 2019)</w:t>
      </w:r>
      <w:r w:rsidR="00652799" w:rsidRPr="003707F1">
        <w:t>.</w:t>
      </w:r>
    </w:p>
    <w:p w14:paraId="106CA15B" w14:textId="77777777" w:rsidR="007275B7" w:rsidRPr="003707F1" w:rsidRDefault="007275B7" w:rsidP="007275B7">
      <w:pPr>
        <w:spacing w:line="360" w:lineRule="auto"/>
        <w:contextualSpacing/>
        <w:jc w:val="both"/>
        <w:rPr>
          <w:b/>
          <w:i/>
          <w:lang w:val="en-US"/>
        </w:rPr>
      </w:pPr>
    </w:p>
    <w:p w14:paraId="42C9C8ED" w14:textId="77777777" w:rsidR="00E131CE" w:rsidRPr="003707F1" w:rsidRDefault="007275B7" w:rsidP="00E131CE">
      <w:pPr>
        <w:spacing w:line="360" w:lineRule="auto"/>
        <w:contextualSpacing/>
        <w:jc w:val="both"/>
      </w:pPr>
      <w:r w:rsidRPr="003707F1">
        <w:rPr>
          <w:b/>
          <w:i/>
          <w:lang w:val="en-US"/>
        </w:rPr>
        <w:t>Measures and survey</w:t>
      </w:r>
    </w:p>
    <w:p w14:paraId="59281547" w14:textId="1ACC9C30" w:rsidR="007275B7" w:rsidRPr="003707F1" w:rsidRDefault="007275B7" w:rsidP="007275B7">
      <w:pPr>
        <w:spacing w:line="360" w:lineRule="auto"/>
        <w:ind w:firstLine="720"/>
        <w:jc w:val="both"/>
      </w:pPr>
      <w:r w:rsidRPr="003707F1">
        <w:rPr>
          <w:bCs/>
          <w:lang w:val="en-US"/>
        </w:rPr>
        <w:t>Individualism</w:t>
      </w:r>
      <w:r w:rsidR="00F539EE" w:rsidRPr="003707F1">
        <w:rPr>
          <w:bCs/>
          <w:lang w:val="en-US"/>
        </w:rPr>
        <w:t>-c</w:t>
      </w:r>
      <w:r w:rsidRPr="003707F1">
        <w:rPr>
          <w:bCs/>
          <w:lang w:val="en-US"/>
        </w:rPr>
        <w:t>ollectivism values</w:t>
      </w:r>
      <w:r w:rsidRPr="003707F1">
        <w:rPr>
          <w:b/>
          <w:lang w:val="en-US"/>
        </w:rPr>
        <w:t xml:space="preserve"> </w:t>
      </w:r>
      <w:r w:rsidRPr="003707F1">
        <w:rPr>
          <w:lang w:val="en-US"/>
        </w:rPr>
        <w:t>were assessed with a scale of 14 items measuring four dimensions of individualism/collectivism at the individual level: horizontal collectivism (4 items), vertical collectivism (4 items), horizontal individualism (3 items), and vertical individualism (</w:t>
      </w:r>
      <w:r w:rsidR="009658C7" w:rsidRPr="003707F1">
        <w:rPr>
          <w:lang w:val="en-US"/>
        </w:rPr>
        <w:t>3</w:t>
      </w:r>
      <w:r w:rsidRPr="003707F1">
        <w:rPr>
          <w:lang w:val="en-US"/>
        </w:rPr>
        <w:t xml:space="preserve"> items) </w:t>
      </w:r>
      <w:r w:rsidRPr="003707F1">
        <w:rPr>
          <w:lang w:val="en-US"/>
        </w:rPr>
        <w:fldChar w:fldCharType="begin"/>
      </w:r>
      <w:r w:rsidRPr="003707F1">
        <w:rPr>
          <w:lang w:val="en-US"/>
        </w:rPr>
        <w:instrText xml:space="preserve"> ADDIN EN.CITE &lt;EndNote&gt;&lt;Cite&gt;&lt;Author&gt;Sivadasa&lt;/Author&gt;&lt;Year&gt;2008&lt;/Year&gt;&lt;RecNum&gt;700&lt;/RecNum&gt;&lt;DisplayText&gt;(Sivadasa, Bruvoldb, &amp;amp; Nelsonc, 2008)&lt;/DisplayText&gt;&lt;record&gt;&lt;rec-number&gt;700&lt;/rec-number&gt;&lt;foreign-keys&gt;&lt;key app="EN" db-id="azsr9t2sn99ssuet2zjxfw5atxrdrse95wd2" timestamp="1457344285"&gt;700&lt;/key&gt;&lt;/foreign-keys&gt;&lt;ref-type name="Journal Article"&gt;17&lt;/ref-type&gt;&lt;contributors&gt;&lt;authors&gt;&lt;author&gt;Eugene Sivadasa&lt;/author&gt;&lt;author&gt;Norman T Bruvoldb&lt;/author&gt;&lt;author&gt;Michelle R Nelsonc&lt;/author&gt;&lt;/authors&gt;&lt;/contributors&gt;&lt;titles&gt;&lt;title&gt;A reduced version of the horizontal and vertical individualism and collectivism scale: A four-country assessment&lt;/title&gt;&lt;secondary-title&gt;Journal of Business Research&lt;/secondary-title&gt;&lt;/titles&gt;&lt;periodical&gt;&lt;full-title&gt;Journal of Business Research&lt;/full-title&gt;&lt;/periodical&gt;&lt;pages&gt;201-210&lt;/pages&gt;&lt;volume&gt;61&lt;/volume&gt;&lt;number&gt;3&lt;/number&gt;&lt;dates&gt;&lt;year&gt;2008&lt;/year&gt;&lt;/dates&gt;&lt;urls&gt;&lt;/urls&gt;&lt;/record&gt;&lt;/Cite&gt;&lt;/EndNote&gt;</w:instrText>
      </w:r>
      <w:r w:rsidRPr="003707F1">
        <w:rPr>
          <w:lang w:val="en-US"/>
        </w:rPr>
        <w:fldChar w:fldCharType="separate"/>
      </w:r>
      <w:r w:rsidRPr="003707F1">
        <w:rPr>
          <w:noProof/>
          <w:lang w:val="en-US"/>
        </w:rPr>
        <w:t>(</w:t>
      </w:r>
      <w:hyperlink w:anchor="_ENREF_58" w:tooltip="Sivadasa, 2008 #700" w:history="1">
        <w:r w:rsidRPr="003707F1">
          <w:rPr>
            <w:noProof/>
            <w:lang w:val="en-US"/>
          </w:rPr>
          <w:t>Sivadas</w:t>
        </w:r>
        <w:r w:rsidR="004A22E6" w:rsidRPr="003707F1">
          <w:rPr>
            <w:noProof/>
            <w:lang w:val="en-US"/>
          </w:rPr>
          <w:t xml:space="preserve"> et al.</w:t>
        </w:r>
        <w:r w:rsidRPr="003707F1">
          <w:rPr>
            <w:noProof/>
            <w:lang w:val="en-US"/>
          </w:rPr>
          <w:t>, 2008</w:t>
        </w:r>
      </w:hyperlink>
      <w:r w:rsidRPr="003707F1">
        <w:rPr>
          <w:noProof/>
          <w:lang w:val="en-US"/>
        </w:rPr>
        <w:t>)</w:t>
      </w:r>
      <w:r w:rsidRPr="003707F1">
        <w:rPr>
          <w:lang w:val="en-US"/>
        </w:rPr>
        <w:fldChar w:fldCharType="end"/>
      </w:r>
      <w:r w:rsidRPr="003707F1">
        <w:rPr>
          <w:lang w:val="en-US"/>
        </w:rPr>
        <w:t>.</w:t>
      </w:r>
      <w:r w:rsidRPr="003707F1">
        <w:rPr>
          <w:b/>
          <w:lang w:val="en-US"/>
        </w:rPr>
        <w:t xml:space="preserve"> </w:t>
      </w:r>
      <w:r w:rsidRPr="003707F1">
        <w:rPr>
          <w:lang w:val="en-US"/>
        </w:rPr>
        <w:t>The items</w:t>
      </w:r>
      <w:r w:rsidRPr="003707F1">
        <w:rPr>
          <w:b/>
          <w:lang w:val="en-US"/>
        </w:rPr>
        <w:t xml:space="preserve"> </w:t>
      </w:r>
      <w:r w:rsidRPr="003707F1">
        <w:rPr>
          <w:lang w:val="en-US"/>
        </w:rPr>
        <w:t>were rated on a seven-point Likert scale ranging from 1 (</w:t>
      </w:r>
      <w:r w:rsidRPr="003707F1">
        <w:rPr>
          <w:iCs/>
          <w:lang w:val="en-US"/>
        </w:rPr>
        <w:t>never</w:t>
      </w:r>
      <w:r w:rsidRPr="003707F1">
        <w:rPr>
          <w:lang w:val="en-US"/>
        </w:rPr>
        <w:t>) to 7 (</w:t>
      </w:r>
      <w:r w:rsidRPr="003707F1">
        <w:rPr>
          <w:iCs/>
          <w:lang w:val="en-US"/>
        </w:rPr>
        <w:t>always</w:t>
      </w:r>
      <w:r w:rsidRPr="003707F1">
        <w:rPr>
          <w:lang w:val="en-US"/>
        </w:rPr>
        <w:t xml:space="preserve">). </w:t>
      </w:r>
      <w:r w:rsidRPr="003707F1">
        <w:rPr>
          <w:bCs/>
        </w:rPr>
        <w:t>Perceived consumer effectiveness</w:t>
      </w:r>
      <w:r w:rsidRPr="003707F1">
        <w:rPr>
          <w:b/>
        </w:rPr>
        <w:t xml:space="preserve"> </w:t>
      </w:r>
      <w:r w:rsidRPr="003707F1">
        <w:t>was measured with four items adapted from Roberts (1996) and Kang et al</w:t>
      </w:r>
      <w:r w:rsidR="00F86F41" w:rsidRPr="003707F1">
        <w:t>.</w:t>
      </w:r>
      <w:r w:rsidRPr="003707F1">
        <w:t xml:space="preserve"> (2013) on a seven-point scale from 1 (strongly disagree) to 7 (strongly agree).</w:t>
      </w:r>
      <w:r w:rsidRPr="003707F1">
        <w:rPr>
          <w:bCs/>
        </w:rPr>
        <w:t xml:space="preserve"> Global and local identities</w:t>
      </w:r>
      <w:r w:rsidRPr="003707F1">
        <w:t xml:space="preserve"> were measured with a scale proposed by Tu et al (2012). Global identity </w:t>
      </w:r>
      <w:r w:rsidR="00C676B5" w:rsidRPr="003707F1">
        <w:t xml:space="preserve">and local identity </w:t>
      </w:r>
      <w:r w:rsidRPr="003707F1">
        <w:t>w</w:t>
      </w:r>
      <w:r w:rsidR="00C676B5" w:rsidRPr="003707F1">
        <w:t>ere</w:t>
      </w:r>
      <w:r w:rsidRPr="003707F1">
        <w:t xml:space="preserve"> measured by four items</w:t>
      </w:r>
      <w:r w:rsidR="00C676B5" w:rsidRPr="003707F1">
        <w:t xml:space="preserve"> each</w:t>
      </w:r>
      <w:r w:rsidRPr="003707F1">
        <w:t>, rated on a five-point scale ranging from 1 (strongly disagree) to 5 (strongly agree).</w:t>
      </w:r>
      <w:r w:rsidR="00E131CE" w:rsidRPr="003707F1">
        <w:t xml:space="preserve"> The survey captured the consumers’ age, </w:t>
      </w:r>
      <w:r w:rsidR="00B9285C" w:rsidRPr="003707F1">
        <w:t xml:space="preserve">income, </w:t>
      </w:r>
      <w:r w:rsidR="00E131CE" w:rsidRPr="003707F1">
        <w:t>gender, level of education, employment status, and place/location of residence.</w:t>
      </w:r>
    </w:p>
    <w:p w14:paraId="71C5260C" w14:textId="43755529" w:rsidR="007275B7" w:rsidRPr="003707F1" w:rsidRDefault="007275B7" w:rsidP="007275B7">
      <w:pPr>
        <w:spacing w:line="360" w:lineRule="auto"/>
        <w:ind w:firstLine="720"/>
        <w:jc w:val="both"/>
      </w:pPr>
      <w:r w:rsidRPr="003707F1">
        <w:rPr>
          <w:rFonts w:ascii="Calibri" w:hAnsi="Calibri" w:cs="Calibri"/>
        </w:rPr>
        <w:t>﻿</w:t>
      </w:r>
      <w:r w:rsidRPr="003707F1">
        <w:t xml:space="preserve"> To ensure correct translation of the items a back-translation</w:t>
      </w:r>
      <w:r w:rsidR="0013036C" w:rsidRPr="003707F1">
        <w:t xml:space="preserve"> from English to </w:t>
      </w:r>
      <w:proofErr w:type="gramStart"/>
      <w:r w:rsidR="0013036C" w:rsidRPr="003707F1">
        <w:t xml:space="preserve">Polish </w:t>
      </w:r>
      <w:r w:rsidRPr="003707F1">
        <w:t xml:space="preserve"> process</w:t>
      </w:r>
      <w:proofErr w:type="gramEnd"/>
      <w:r w:rsidRPr="003707F1">
        <w:t xml:space="preserve"> </w:t>
      </w:r>
      <w:r w:rsidR="00910AF4" w:rsidRPr="003707F1">
        <w:t xml:space="preserve">was employed </w:t>
      </w:r>
      <w:r w:rsidRPr="003707F1">
        <w:t>(</w:t>
      </w:r>
      <w:proofErr w:type="spellStart"/>
      <w:r w:rsidR="00910AF4" w:rsidRPr="003707F1">
        <w:t>Brislin</w:t>
      </w:r>
      <w:proofErr w:type="spellEnd"/>
      <w:r w:rsidRPr="003707F1">
        <w:t xml:space="preserve">, </w:t>
      </w:r>
      <w:r w:rsidR="00910AF4" w:rsidRPr="003707F1">
        <w:t>1970</w:t>
      </w:r>
      <w:r w:rsidRPr="003707F1">
        <w:t>). Two experts in the field checked both English and Polish surveys and reported on the accuracy of the translations. The survey was tested with 20 students in Poland. Minor changes to the order and wording of items were made after the pre-test</w:t>
      </w:r>
      <w:r w:rsidR="0024247B" w:rsidRPr="003707F1">
        <w:t xml:space="preserve"> to ensure grammatical accuracy. </w:t>
      </w:r>
    </w:p>
    <w:p w14:paraId="335191B9" w14:textId="77777777" w:rsidR="007275B7" w:rsidRPr="003707F1" w:rsidRDefault="007275B7" w:rsidP="007275B7">
      <w:pPr>
        <w:spacing w:line="360" w:lineRule="auto"/>
        <w:jc w:val="both"/>
      </w:pPr>
    </w:p>
    <w:p w14:paraId="5B502752" w14:textId="77777777" w:rsidR="007275B7" w:rsidRPr="003707F1" w:rsidRDefault="007275B7" w:rsidP="007275B7">
      <w:pPr>
        <w:spacing w:line="360" w:lineRule="auto"/>
        <w:jc w:val="both"/>
        <w:rPr>
          <w:b/>
          <w:i/>
          <w:iCs/>
        </w:rPr>
      </w:pPr>
      <w:r w:rsidRPr="003707F1">
        <w:rPr>
          <w:b/>
          <w:i/>
          <w:iCs/>
        </w:rPr>
        <w:t xml:space="preserve">Multi-step sampling </w:t>
      </w:r>
    </w:p>
    <w:p w14:paraId="4A420A4F" w14:textId="205581A7" w:rsidR="003956EB" w:rsidRPr="003707F1" w:rsidRDefault="00654CE3" w:rsidP="00DB3916">
      <w:pPr>
        <w:spacing w:line="360" w:lineRule="auto"/>
        <w:ind w:firstLine="720"/>
        <w:jc w:val="both"/>
      </w:pPr>
      <w:r w:rsidRPr="003707F1">
        <w:lastRenderedPageBreak/>
        <w:t xml:space="preserve">We </w:t>
      </w:r>
      <w:r w:rsidR="007275B7" w:rsidRPr="003707F1">
        <w:t>employed a stratified sampling procedure to produce variation on three key factors</w:t>
      </w:r>
      <w:r w:rsidR="00DB3916" w:rsidRPr="003707F1">
        <w:t xml:space="preserve"> i.e.,</w:t>
      </w:r>
      <w:r w:rsidR="007275B7" w:rsidRPr="003707F1">
        <w:t xml:space="preserve"> age, </w:t>
      </w:r>
      <w:r w:rsidR="00087873" w:rsidRPr="003707F1">
        <w:t>income</w:t>
      </w:r>
      <w:r w:rsidR="00DB3916" w:rsidRPr="003707F1">
        <w:t>,</w:t>
      </w:r>
      <w:r w:rsidR="00910AF4" w:rsidRPr="003707F1">
        <w:t xml:space="preserve"> and </w:t>
      </w:r>
      <w:r w:rsidR="007275B7" w:rsidRPr="003707F1">
        <w:t>location. Data w</w:t>
      </w:r>
      <w:r w:rsidR="00E131CE" w:rsidRPr="003707F1">
        <w:t>ere</w:t>
      </w:r>
      <w:r w:rsidR="007275B7" w:rsidRPr="003707F1">
        <w:t xml:space="preserve"> collected via mall intercept in 1</w:t>
      </w:r>
      <w:r w:rsidR="00230574" w:rsidRPr="003707F1">
        <w:t>8</w:t>
      </w:r>
      <w:r w:rsidR="007275B7" w:rsidRPr="003707F1">
        <w:t xml:space="preserve"> randomly selected locations in Poland. We used an official government register with a list of all places in Poland (KNMIOF, 2015). </w:t>
      </w:r>
      <w:r w:rsidR="00DB3916" w:rsidRPr="003707F1">
        <w:t>To ensure heterogeneity of the data, the</w:t>
      </w:r>
      <w:r w:rsidR="007275B7" w:rsidRPr="003707F1">
        <w:t xml:space="preserve"> list was used to randomly select 2 large cities, 2 towns, and 2 villages. Before visiting these locations, Internet search to identify if these places had a local shop or hosted a local market or had other locations where individuals could be publicly approached (GP surgery, school, local authority office) was conducted. These 6 locations were then visited, and </w:t>
      </w:r>
      <w:r w:rsidR="00627DAB" w:rsidRPr="003707F1">
        <w:t xml:space="preserve">the </w:t>
      </w:r>
      <w:r w:rsidR="007275B7" w:rsidRPr="003707F1">
        <w:t xml:space="preserve">mall intercept survey conducted. Two </w:t>
      </w:r>
      <w:r w:rsidR="00DB3916" w:rsidRPr="003707F1">
        <w:t xml:space="preserve">trained </w:t>
      </w:r>
      <w:r w:rsidR="007275B7" w:rsidRPr="003707F1">
        <w:t xml:space="preserve">interviewees travelled to these locations </w:t>
      </w:r>
      <w:r w:rsidR="007275B7" w:rsidRPr="003707F1">
        <w:rPr>
          <w:color w:val="000000" w:themeColor="text1"/>
        </w:rPr>
        <w:t xml:space="preserve">together and approached </w:t>
      </w:r>
      <w:r w:rsidR="007275B7" w:rsidRPr="003707F1">
        <w:t xml:space="preserve">potential respondents and invited them to complete the </w:t>
      </w:r>
      <w:r w:rsidR="00C03301" w:rsidRPr="003707F1">
        <w:t xml:space="preserve">pen-and-paper </w:t>
      </w:r>
      <w:r w:rsidR="007275B7" w:rsidRPr="003707F1">
        <w:t xml:space="preserve">survey. This procedure was repeated three times; hence 18 locations were visited </w:t>
      </w:r>
      <w:proofErr w:type="gramStart"/>
      <w:r w:rsidR="007275B7" w:rsidRPr="003707F1">
        <w:t>in order to</w:t>
      </w:r>
      <w:proofErr w:type="gramEnd"/>
      <w:r w:rsidR="007275B7" w:rsidRPr="003707F1">
        <w:t xml:space="preserve"> achieve satisfactory sample</w:t>
      </w:r>
      <w:r w:rsidR="001771B6" w:rsidRPr="003707F1">
        <w:t xml:space="preserve"> size</w:t>
      </w:r>
      <w:r w:rsidR="007275B7" w:rsidRPr="003707F1">
        <w:t>. This sampling approach generated 4</w:t>
      </w:r>
      <w:r w:rsidR="001B7A6A" w:rsidRPr="003707F1">
        <w:t>32</w:t>
      </w:r>
      <w:r w:rsidR="007275B7" w:rsidRPr="003707F1">
        <w:t xml:space="preserve"> completed questionnaires. </w:t>
      </w:r>
    </w:p>
    <w:p w14:paraId="254F3261" w14:textId="5CC09845" w:rsidR="007275B7" w:rsidRPr="003707F1" w:rsidRDefault="003956EB" w:rsidP="00312256">
      <w:pPr>
        <w:spacing w:line="360" w:lineRule="auto"/>
        <w:ind w:firstLine="720"/>
        <w:jc w:val="both"/>
      </w:pPr>
      <w:r w:rsidRPr="003707F1">
        <w:t>Females represented 55.09% (</w:t>
      </w:r>
      <w:r w:rsidRPr="003707F1">
        <w:rPr>
          <w:i/>
          <w:iCs/>
        </w:rPr>
        <w:t>n</w:t>
      </w:r>
      <w:r w:rsidRPr="003707F1">
        <w:t xml:space="preserve"> = 238) of the sample, the observed mean age was 31.71 (SD = 10.17), the median education level was university degree (59.3%; </w:t>
      </w:r>
      <w:r w:rsidRPr="003707F1">
        <w:rPr>
          <w:i/>
          <w:iCs/>
        </w:rPr>
        <w:t>n</w:t>
      </w:r>
      <w:r w:rsidRPr="003707F1">
        <w:t xml:space="preserve"> = 256)</w:t>
      </w:r>
      <w:r w:rsidR="00B73D92" w:rsidRPr="003707F1">
        <w:t xml:space="preserve">, and </w:t>
      </w:r>
      <w:r w:rsidRPr="003707F1">
        <w:t xml:space="preserve">308 (71.3%) respondents declared to be employed (full or part time). </w:t>
      </w:r>
      <w:r w:rsidR="00DB524D" w:rsidRPr="003707F1">
        <w:t>T</w:t>
      </w:r>
      <w:r w:rsidRPr="003707F1">
        <w:t>here was an even spread of respondents from rural areas, small towns</w:t>
      </w:r>
      <w:r w:rsidR="009A0DF3" w:rsidRPr="003707F1">
        <w:t>,</w:t>
      </w:r>
      <w:r w:rsidRPr="003707F1">
        <w:t xml:space="preserve"> and large cities across the sample. The characteristics of the final sample closely match the typical consumer demographics in Poland (GUS Central Statistical Office, 2016).</w:t>
      </w:r>
    </w:p>
    <w:p w14:paraId="12C7CCBB" w14:textId="77777777" w:rsidR="007275B7" w:rsidRPr="003707F1" w:rsidRDefault="007275B7" w:rsidP="007275B7">
      <w:pPr>
        <w:spacing w:line="360" w:lineRule="auto"/>
        <w:jc w:val="both"/>
      </w:pPr>
    </w:p>
    <w:p w14:paraId="1605D0FE" w14:textId="503F44ED" w:rsidR="007275B7" w:rsidRPr="003707F1" w:rsidRDefault="007275B7" w:rsidP="007275B7">
      <w:pPr>
        <w:spacing w:line="360" w:lineRule="auto"/>
        <w:jc w:val="both"/>
        <w:rPr>
          <w:b/>
          <w:bCs/>
          <w:i/>
          <w:iCs/>
        </w:rPr>
      </w:pPr>
      <w:r w:rsidRPr="003707F1">
        <w:rPr>
          <w:b/>
          <w:bCs/>
          <w:i/>
          <w:iCs/>
        </w:rPr>
        <w:t xml:space="preserve">Data </w:t>
      </w:r>
      <w:r w:rsidR="009658C7" w:rsidRPr="003707F1">
        <w:rPr>
          <w:b/>
          <w:bCs/>
          <w:i/>
          <w:iCs/>
        </w:rPr>
        <w:t xml:space="preserve">analysis </w:t>
      </w:r>
    </w:p>
    <w:p w14:paraId="782F5672" w14:textId="1DEF0BC3" w:rsidR="007275B7" w:rsidRPr="003707F1" w:rsidRDefault="007275B7" w:rsidP="007275B7">
      <w:pPr>
        <w:spacing w:line="360" w:lineRule="auto"/>
        <w:jc w:val="both"/>
      </w:pPr>
      <w:r w:rsidRPr="003707F1">
        <w:rPr>
          <w:rFonts w:ascii="Calibri" w:hAnsi="Calibri" w:cs="Calibri"/>
        </w:rPr>
        <w:t>﻿</w:t>
      </w:r>
      <w:r w:rsidRPr="003707F1">
        <w:tab/>
        <w:t xml:space="preserve">Data </w:t>
      </w:r>
      <w:r w:rsidR="009658C7" w:rsidRPr="003707F1">
        <w:t>analysis</w:t>
      </w:r>
      <w:r w:rsidRPr="003707F1">
        <w:t xml:space="preserve"> included </w:t>
      </w:r>
      <w:r w:rsidRPr="003707F1">
        <w:rPr>
          <w:color w:val="000000"/>
          <w:lang w:val="en-US"/>
        </w:rPr>
        <w:t xml:space="preserve">procedures to ensure the robustness of the estimations. First, the dataset was verified for possible </w:t>
      </w:r>
      <w:r w:rsidRPr="003707F1">
        <w:t xml:space="preserve">rejection of invalid and incomplete questionnaires. For rejecting invalid entries, we calculated the standard deviation of all items included in the survey to </w:t>
      </w:r>
      <w:proofErr w:type="spellStart"/>
      <w:r w:rsidRPr="003707F1">
        <w:t>i</w:t>
      </w:r>
      <w:proofErr w:type="spellEnd"/>
      <w:r w:rsidRPr="003707F1">
        <w:t>) detect whether consumers rated all the question</w:t>
      </w:r>
      <w:r w:rsidR="00B9285C" w:rsidRPr="003707F1">
        <w:t>s</w:t>
      </w:r>
      <w:r w:rsidRPr="003707F1">
        <w:t xml:space="preserve"> with only one anchor (e.g., by</w:t>
      </w:r>
      <w:r w:rsidR="00B9285C" w:rsidRPr="003707F1">
        <w:t xml:space="preserve"> choosing</w:t>
      </w:r>
      <w:r w:rsidRPr="003707F1">
        <w:t xml:space="preserve"> the same scale-point throughout the whole survey; such endorsing behaviour yields a </w:t>
      </w:r>
      <w:proofErr w:type="spellStart"/>
      <w:r w:rsidRPr="003707F1">
        <w:t>SD</w:t>
      </w:r>
      <w:r w:rsidRPr="003707F1">
        <w:rPr>
          <w:vertAlign w:val="subscript"/>
        </w:rPr>
        <w:t>.items</w:t>
      </w:r>
      <w:proofErr w:type="spellEnd"/>
      <w:r w:rsidRPr="003707F1">
        <w:t xml:space="preserve"> = 0; and ii) detect very low engagement into the task through an indication of </w:t>
      </w:r>
      <w:proofErr w:type="spellStart"/>
      <w:r w:rsidRPr="003707F1">
        <w:t>SD</w:t>
      </w:r>
      <w:r w:rsidRPr="003707F1">
        <w:rPr>
          <w:vertAlign w:val="subscript"/>
        </w:rPr>
        <w:t>.items</w:t>
      </w:r>
      <w:proofErr w:type="spellEnd"/>
      <w:r w:rsidRPr="003707F1">
        <w:t xml:space="preserve"> ranging from 0.1 to 0.3</w:t>
      </w:r>
      <w:r w:rsidR="00063004" w:rsidRPr="003707F1">
        <w:t xml:space="preserve"> (Schivinski, </w:t>
      </w:r>
      <w:proofErr w:type="spellStart"/>
      <w:r w:rsidR="00063004" w:rsidRPr="003707F1">
        <w:t>Muntinga</w:t>
      </w:r>
      <w:proofErr w:type="spellEnd"/>
      <w:r w:rsidR="00063004" w:rsidRPr="003707F1">
        <w:t>, Pontes, &amp; Lukasik, 2021)</w:t>
      </w:r>
      <w:r w:rsidRPr="003707F1">
        <w:t xml:space="preserve">. Incomplete questionnaires were also rejected to avoid the imputation of data. </w:t>
      </w:r>
    </w:p>
    <w:p w14:paraId="4B1439C4" w14:textId="044E7772" w:rsidR="007275B7" w:rsidRPr="003707F1" w:rsidRDefault="007275B7" w:rsidP="007275B7">
      <w:pPr>
        <w:spacing w:line="360" w:lineRule="auto"/>
        <w:ind w:firstLine="720"/>
        <w:jc w:val="both"/>
      </w:pPr>
      <w:r w:rsidRPr="003707F1">
        <w:t xml:space="preserve">Second, </w:t>
      </w:r>
      <w:r w:rsidRPr="003707F1">
        <w:rPr>
          <w:color w:val="000000"/>
          <w:lang w:val="en-US"/>
        </w:rPr>
        <w:t xml:space="preserve">to check for univariate normality of the data, none of the </w:t>
      </w:r>
      <w:r w:rsidR="00B9285C" w:rsidRPr="003707F1">
        <w:rPr>
          <w:color w:val="000000"/>
          <w:lang w:val="en-US"/>
        </w:rPr>
        <w:t>questionnaire</w:t>
      </w:r>
      <w:r w:rsidRPr="003707F1">
        <w:rPr>
          <w:color w:val="000000"/>
          <w:lang w:val="en-US"/>
        </w:rPr>
        <w:t xml:space="preserve"> items had absolute values of </w:t>
      </w:r>
      <w:r w:rsidR="00BF6171" w:rsidRPr="003707F1">
        <w:rPr>
          <w:color w:val="000000"/>
          <w:lang w:val="en-US"/>
        </w:rPr>
        <w:t>s</w:t>
      </w:r>
      <w:r w:rsidRPr="003707F1">
        <w:rPr>
          <w:color w:val="000000"/>
          <w:lang w:val="en-US"/>
        </w:rPr>
        <w:t xml:space="preserve">kewness &gt;3.0 and </w:t>
      </w:r>
      <w:r w:rsidR="00BF6171" w:rsidRPr="003707F1">
        <w:rPr>
          <w:color w:val="000000"/>
          <w:lang w:val="en-US"/>
        </w:rPr>
        <w:t>k</w:t>
      </w:r>
      <w:r w:rsidRPr="003707F1">
        <w:rPr>
          <w:color w:val="000000"/>
          <w:lang w:val="en-US"/>
        </w:rPr>
        <w:t xml:space="preserve">urtosis &gt;8.0 </w:t>
      </w:r>
      <w:r w:rsidRPr="003707F1">
        <w:rPr>
          <w:bCs/>
        </w:rPr>
        <w:t>(Hair</w:t>
      </w:r>
      <w:r w:rsidR="00BF3495" w:rsidRPr="003707F1">
        <w:rPr>
          <w:bCs/>
        </w:rPr>
        <w:t xml:space="preserve">, </w:t>
      </w:r>
      <w:r w:rsidR="00BF3495" w:rsidRPr="003707F1">
        <w:t xml:space="preserve">Black, </w:t>
      </w:r>
      <w:proofErr w:type="spellStart"/>
      <w:r w:rsidR="00BF3495" w:rsidRPr="003707F1">
        <w:t>Babin</w:t>
      </w:r>
      <w:proofErr w:type="spellEnd"/>
      <w:r w:rsidR="00BF3495" w:rsidRPr="003707F1">
        <w:t>, &amp; Anderson</w:t>
      </w:r>
      <w:r w:rsidRPr="003707F1">
        <w:rPr>
          <w:bCs/>
        </w:rPr>
        <w:t>, 2010)</w:t>
      </w:r>
      <w:r w:rsidRPr="003707F1">
        <w:rPr>
          <w:color w:val="000000"/>
          <w:lang w:val="en-US"/>
        </w:rPr>
        <w:t xml:space="preserve">. </w:t>
      </w:r>
      <w:r w:rsidRPr="003707F1">
        <w:t xml:space="preserve">The final sample resulted in 432 (92.9%) valid surveys </w:t>
      </w:r>
      <w:r w:rsidRPr="003707F1">
        <w:rPr>
          <w:color w:val="000000"/>
          <w:lang w:val="en-US"/>
        </w:rPr>
        <w:t>eligible for analyses</w:t>
      </w:r>
      <w:r w:rsidRPr="003707F1">
        <w:t xml:space="preserve">. </w:t>
      </w:r>
      <w:r w:rsidRPr="003707F1">
        <w:rPr>
          <w:color w:val="000000"/>
          <w:lang w:val="en-US"/>
        </w:rPr>
        <w:t xml:space="preserve">All the reported computations were executed using </w:t>
      </w:r>
      <w:r w:rsidRPr="003707F1">
        <w:rPr>
          <w:rFonts w:ascii="Courier New" w:hAnsi="Courier New" w:cs="Courier New"/>
          <w:color w:val="000000"/>
          <w:lang w:val="en-US"/>
        </w:rPr>
        <w:t>R</w:t>
      </w:r>
      <w:r w:rsidRPr="003707F1" w:rsidDel="00C97C21">
        <w:rPr>
          <w:rFonts w:eastAsia="Courier New"/>
          <w:color w:val="000000"/>
          <w:lang w:val="en-US"/>
        </w:rPr>
        <w:t xml:space="preserve"> </w:t>
      </w:r>
      <w:r w:rsidRPr="003707F1">
        <w:rPr>
          <w:color w:val="000000"/>
          <w:lang w:val="en-US"/>
        </w:rPr>
        <w:t xml:space="preserve">system for statistical computing Version 3.6.2 “Dark and Stormy Night” using the packages </w:t>
      </w:r>
      <w:r w:rsidRPr="003707F1">
        <w:rPr>
          <w:rFonts w:ascii="Courier New" w:hAnsi="Courier New" w:cs="Courier New"/>
          <w:color w:val="000000"/>
          <w:lang w:val="en-US"/>
        </w:rPr>
        <w:t>psych</w:t>
      </w:r>
      <w:r w:rsidRPr="003707F1">
        <w:rPr>
          <w:color w:val="000000"/>
          <w:lang w:val="en-US"/>
        </w:rPr>
        <w:t xml:space="preserve"> (Procedures for Psychological, </w:t>
      </w:r>
      <w:r w:rsidRPr="003707F1">
        <w:rPr>
          <w:color w:val="000000"/>
          <w:lang w:val="en-US"/>
        </w:rPr>
        <w:lastRenderedPageBreak/>
        <w:t>Psychometric, and Personality Research Version 1.9.12) (</w:t>
      </w:r>
      <w:proofErr w:type="spellStart"/>
      <w:r w:rsidRPr="003707F1">
        <w:rPr>
          <w:color w:val="000000"/>
          <w:lang w:val="en-US"/>
        </w:rPr>
        <w:t>Revelle</w:t>
      </w:r>
      <w:proofErr w:type="spellEnd"/>
      <w:r w:rsidRPr="003707F1">
        <w:rPr>
          <w:color w:val="000000"/>
          <w:lang w:val="en-US"/>
        </w:rPr>
        <w:t xml:space="preserve">, 2015), and </w:t>
      </w:r>
      <w:proofErr w:type="spellStart"/>
      <w:r w:rsidRPr="003707F1">
        <w:rPr>
          <w:rFonts w:ascii="Courier New" w:hAnsi="Courier New" w:cs="Courier New"/>
          <w:color w:val="000000"/>
          <w:lang w:val="en-US"/>
        </w:rPr>
        <w:t>lavaan</w:t>
      </w:r>
      <w:proofErr w:type="spellEnd"/>
      <w:r w:rsidRPr="003707F1">
        <w:rPr>
          <w:color w:val="000000"/>
          <w:lang w:val="en-US"/>
        </w:rPr>
        <w:t xml:space="preserve"> (Latent Variable Analysis Version 0.6-5) (</w:t>
      </w:r>
      <w:proofErr w:type="spellStart"/>
      <w:r w:rsidRPr="003707F1">
        <w:rPr>
          <w:color w:val="000000"/>
          <w:lang w:val="en-US"/>
        </w:rPr>
        <w:t>Rosseel</w:t>
      </w:r>
      <w:proofErr w:type="spellEnd"/>
      <w:r w:rsidRPr="003707F1">
        <w:rPr>
          <w:color w:val="000000"/>
          <w:lang w:val="en-US"/>
        </w:rPr>
        <w:t>, 2012).</w:t>
      </w:r>
    </w:p>
    <w:p w14:paraId="61F8F2D6" w14:textId="77777777" w:rsidR="007275B7" w:rsidRPr="003707F1" w:rsidRDefault="007275B7" w:rsidP="007275B7">
      <w:pPr>
        <w:spacing w:line="360" w:lineRule="auto"/>
        <w:jc w:val="both"/>
        <w:rPr>
          <w:b/>
        </w:rPr>
      </w:pPr>
    </w:p>
    <w:p w14:paraId="2688E565" w14:textId="77777777" w:rsidR="007275B7" w:rsidRPr="003707F1" w:rsidRDefault="007275B7" w:rsidP="007275B7">
      <w:pPr>
        <w:spacing w:line="360" w:lineRule="auto"/>
        <w:jc w:val="both"/>
        <w:rPr>
          <w:b/>
        </w:rPr>
      </w:pPr>
      <w:r w:rsidRPr="003707F1">
        <w:rPr>
          <w:rFonts w:ascii="Calibri" w:hAnsi="Calibri" w:cs="Calibri"/>
          <w:bCs/>
        </w:rPr>
        <w:t>﻿</w:t>
      </w:r>
      <w:r w:rsidRPr="003707F1">
        <w:rPr>
          <w:b/>
        </w:rPr>
        <w:t>Results</w:t>
      </w:r>
    </w:p>
    <w:p w14:paraId="0FAB2334" w14:textId="77777777" w:rsidR="007275B7" w:rsidRPr="003707F1" w:rsidRDefault="007275B7" w:rsidP="007275B7">
      <w:pPr>
        <w:spacing w:line="360" w:lineRule="auto"/>
        <w:jc w:val="both"/>
        <w:rPr>
          <w:b/>
          <w:bCs/>
          <w:i/>
          <w:iCs/>
        </w:rPr>
      </w:pPr>
      <w:r w:rsidRPr="003707F1">
        <w:rPr>
          <w:b/>
          <w:bCs/>
          <w:i/>
          <w:iCs/>
        </w:rPr>
        <w:t>Construct validity and dimensionality</w:t>
      </w:r>
    </w:p>
    <w:p w14:paraId="70983ADF" w14:textId="3F4A6B8B" w:rsidR="00316158" w:rsidRPr="003707F1" w:rsidRDefault="00316158" w:rsidP="00316158">
      <w:pPr>
        <w:spacing w:line="360" w:lineRule="auto"/>
        <w:ind w:firstLine="720"/>
        <w:jc w:val="both"/>
        <w:rPr>
          <w:color w:val="000000"/>
          <w:lang w:val="en-US"/>
        </w:rPr>
      </w:pPr>
      <w:r w:rsidRPr="003707F1">
        <w:rPr>
          <w:color w:val="000000"/>
          <w:lang w:val="en-US"/>
        </w:rPr>
        <w:t xml:space="preserve">The following model fit indices were used to examine the goodness of fit of the structural </w:t>
      </w:r>
      <w:proofErr w:type="gramStart"/>
      <w:r w:rsidRPr="003707F1">
        <w:rPr>
          <w:color w:val="000000"/>
          <w:lang w:val="en-US"/>
        </w:rPr>
        <w:t>models,</w:t>
      </w:r>
      <w:proofErr w:type="gramEnd"/>
      <w:r w:rsidRPr="003707F1">
        <w:rPr>
          <w:color w:val="000000"/>
          <w:lang w:val="en-US"/>
        </w:rPr>
        <w:t xml:space="preserve"> hence, root mean square error of approximation (RMSEA) [≤ 0.08], RMSEA 90% confidence interval (CI) with the lower limit close to 0 and the upper limit less than or equal to 0.08; Comparative Fit Index (CFI); and Tucker-Lewis Fit Index (TLI) [ ≥ 0.90] </w:t>
      </w:r>
      <w:r w:rsidRPr="003707F1">
        <w:rPr>
          <w:bCs/>
        </w:rPr>
        <w:t>(Hair et al., 2010)</w:t>
      </w:r>
      <w:r w:rsidRPr="003707F1">
        <w:rPr>
          <w:color w:val="000000"/>
          <w:lang w:val="en-US"/>
        </w:rPr>
        <w:t xml:space="preserve">. </w:t>
      </w:r>
    </w:p>
    <w:p w14:paraId="2452350A" w14:textId="17228C7C" w:rsidR="00316158" w:rsidRPr="003707F1" w:rsidRDefault="007275B7" w:rsidP="00316158">
      <w:pPr>
        <w:spacing w:line="360" w:lineRule="auto"/>
        <w:ind w:firstLine="720"/>
        <w:jc w:val="both"/>
        <w:rPr>
          <w:lang w:val="en-US"/>
        </w:rPr>
      </w:pPr>
      <w:r w:rsidRPr="003707F1">
        <w:rPr>
          <w:lang w:val="en-US"/>
        </w:rPr>
        <w:t xml:space="preserve">Prior to the validity and dimensionality tests, the data were verified against systematic response patterns i.e., </w:t>
      </w:r>
      <w:r w:rsidR="00BA1819" w:rsidRPr="003707F1">
        <w:rPr>
          <w:lang w:val="en-US"/>
        </w:rPr>
        <w:t>c</w:t>
      </w:r>
      <w:r w:rsidRPr="003707F1">
        <w:rPr>
          <w:lang w:val="en-US"/>
        </w:rPr>
        <w:t xml:space="preserve">ommon </w:t>
      </w:r>
      <w:r w:rsidR="00BA1819" w:rsidRPr="003707F1">
        <w:rPr>
          <w:lang w:val="en-US"/>
        </w:rPr>
        <w:t>m</w:t>
      </w:r>
      <w:r w:rsidRPr="003707F1">
        <w:rPr>
          <w:lang w:val="en-US"/>
        </w:rPr>
        <w:t xml:space="preserve">ethod </w:t>
      </w:r>
      <w:r w:rsidR="00BA1819" w:rsidRPr="003707F1">
        <w:rPr>
          <w:lang w:val="en-US"/>
        </w:rPr>
        <w:t>b</w:t>
      </w:r>
      <w:r w:rsidRPr="003707F1">
        <w:rPr>
          <w:lang w:val="en-US"/>
        </w:rPr>
        <w:t xml:space="preserve">ias (CMB). CMB was tested by implementing the common latent factor method using the </w:t>
      </w:r>
      <w:r w:rsidRPr="003707F1">
        <w:rPr>
          <w:color w:val="000000"/>
          <w:lang w:val="en-US"/>
        </w:rPr>
        <w:t>confirmatory factor analysis (</w:t>
      </w:r>
      <w:r w:rsidRPr="003707F1">
        <w:rPr>
          <w:lang w:val="en-US"/>
        </w:rPr>
        <w:t>CFA) approach</w:t>
      </w:r>
      <w:r w:rsidR="002A6F71" w:rsidRPr="003707F1">
        <w:rPr>
          <w:lang w:val="en-US"/>
        </w:rPr>
        <w:t xml:space="preserve"> </w:t>
      </w:r>
      <w:r w:rsidR="00F47606" w:rsidRPr="003707F1">
        <w:rPr>
          <w:lang w:val="en-US"/>
        </w:rPr>
        <w:t xml:space="preserve">and </w:t>
      </w:r>
      <w:r w:rsidR="002A6F71" w:rsidRPr="003707F1">
        <w:rPr>
          <w:lang w:val="en-US"/>
        </w:rPr>
        <w:t>the maximum likelihood estimation method (ML)</w:t>
      </w:r>
      <w:r w:rsidRPr="003707F1">
        <w:rPr>
          <w:lang w:val="en-US"/>
        </w:rPr>
        <w:t xml:space="preserve"> (Podsakoff</w:t>
      </w:r>
      <w:r w:rsidR="00152DF3" w:rsidRPr="003707F1">
        <w:rPr>
          <w:lang w:val="en-US"/>
        </w:rPr>
        <w:t xml:space="preserve">, </w:t>
      </w:r>
      <w:proofErr w:type="spellStart"/>
      <w:r w:rsidR="00152DF3" w:rsidRPr="003707F1">
        <w:t>MacKenzie</w:t>
      </w:r>
      <w:proofErr w:type="spellEnd"/>
      <w:r w:rsidR="00152DF3" w:rsidRPr="003707F1">
        <w:t>, Lee, &amp; Podsakoff</w:t>
      </w:r>
      <w:r w:rsidRPr="003707F1">
        <w:rPr>
          <w:lang w:val="en-US"/>
        </w:rPr>
        <w:t xml:space="preserve">, 2003). </w:t>
      </w:r>
      <w:r w:rsidR="00E025F8" w:rsidRPr="003707F1">
        <w:rPr>
          <w:color w:val="000000"/>
          <w:lang w:val="en-US"/>
        </w:rPr>
        <w:t xml:space="preserve">To </w:t>
      </w:r>
      <w:r w:rsidR="002A6F71" w:rsidRPr="003707F1">
        <w:rPr>
          <w:lang w:val="en-US"/>
        </w:rPr>
        <w:t>implement</w:t>
      </w:r>
      <w:r w:rsidR="002A6F71" w:rsidRPr="003707F1">
        <w:rPr>
          <w:color w:val="000000"/>
          <w:lang w:val="en-US"/>
        </w:rPr>
        <w:t xml:space="preserve"> </w:t>
      </w:r>
      <w:r w:rsidR="00E025F8" w:rsidRPr="003707F1">
        <w:rPr>
          <w:color w:val="000000"/>
          <w:lang w:val="en-US"/>
        </w:rPr>
        <w:t xml:space="preserve">the </w:t>
      </w:r>
      <w:r w:rsidR="00E025F8" w:rsidRPr="003707F1">
        <w:rPr>
          <w:lang w:val="en-US"/>
        </w:rPr>
        <w:t>common latent factor method, t</w:t>
      </w:r>
      <w:r w:rsidR="00E658EF" w:rsidRPr="003707F1">
        <w:rPr>
          <w:lang w:val="en-US"/>
        </w:rPr>
        <w:t xml:space="preserve">he items of all latent variables (factors) were stipulated to freely load into a single factor solution (i.e., unconstrained same-source model). </w:t>
      </w:r>
      <w:r w:rsidR="00E025F8" w:rsidRPr="003707F1">
        <w:rPr>
          <w:lang w:val="en-US"/>
        </w:rPr>
        <w:t xml:space="preserve">The unconstrained same-source model yielded the </w:t>
      </w:r>
      <w:r w:rsidR="00E025F8" w:rsidRPr="003707F1">
        <w:rPr>
          <w:color w:val="000000"/>
          <w:lang w:val="en-US"/>
        </w:rPr>
        <w:t>following results: ML</w:t>
      </w:r>
      <w:r w:rsidR="00E025F8" w:rsidRPr="003707F1">
        <w:rPr>
          <w:color w:val="000000"/>
          <w:vertAlign w:val="subscript"/>
          <w:lang w:val="en-US"/>
        </w:rPr>
        <w:t>unconstrained</w:t>
      </w:r>
      <w:r w:rsidR="00E025F8" w:rsidRPr="003707F1">
        <w:rPr>
          <w:color w:val="000000"/>
          <w:lang w:val="en-US"/>
        </w:rPr>
        <w:t>χ</w:t>
      </w:r>
      <w:r w:rsidR="00E025F8" w:rsidRPr="003707F1">
        <w:rPr>
          <w:color w:val="000000"/>
          <w:vertAlign w:val="superscript"/>
          <w:lang w:val="en-US"/>
        </w:rPr>
        <w:t>2</w:t>
      </w:r>
      <w:r w:rsidR="00E025F8" w:rsidRPr="003707F1">
        <w:rPr>
          <w:color w:val="000000"/>
          <w:vertAlign w:val="subscript"/>
          <w:lang w:val="en-US"/>
        </w:rPr>
        <w:t>(</w:t>
      </w:r>
      <w:r w:rsidR="00E025F8" w:rsidRPr="003707F1">
        <w:rPr>
          <w:vertAlign w:val="subscript"/>
        </w:rPr>
        <w:t>2</w:t>
      </w:r>
      <w:r w:rsidR="004638F2" w:rsidRPr="003707F1">
        <w:rPr>
          <w:vertAlign w:val="subscript"/>
        </w:rPr>
        <w:t>99</w:t>
      </w:r>
      <w:r w:rsidR="00E025F8" w:rsidRPr="003707F1">
        <w:rPr>
          <w:color w:val="000000"/>
          <w:vertAlign w:val="subscript"/>
          <w:lang w:val="en-US"/>
        </w:rPr>
        <w:t xml:space="preserve">) </w:t>
      </w:r>
      <w:r w:rsidR="00E025F8" w:rsidRPr="003707F1">
        <w:rPr>
          <w:color w:val="000000"/>
          <w:lang w:val="en-US"/>
        </w:rPr>
        <w:t>=</w:t>
      </w:r>
      <w:r w:rsidR="00E025F8" w:rsidRPr="003707F1">
        <w:t xml:space="preserve"> </w:t>
      </w:r>
      <w:r w:rsidR="00032F7F" w:rsidRPr="003707F1">
        <w:t>60</w:t>
      </w:r>
      <w:r w:rsidR="004638F2" w:rsidRPr="003707F1">
        <w:t>86</w:t>
      </w:r>
      <w:r w:rsidR="00E025F8" w:rsidRPr="003707F1">
        <w:t>.1</w:t>
      </w:r>
      <w:r w:rsidR="004638F2" w:rsidRPr="003707F1">
        <w:t>5</w:t>
      </w:r>
      <w:r w:rsidR="00E025F8" w:rsidRPr="003707F1">
        <w:rPr>
          <w:color w:val="000000"/>
          <w:lang w:val="en-US"/>
        </w:rPr>
        <w:t>; CFI = 0.</w:t>
      </w:r>
      <w:r w:rsidR="004638F2" w:rsidRPr="003707F1">
        <w:rPr>
          <w:color w:val="000000"/>
          <w:lang w:val="en-US"/>
        </w:rPr>
        <w:t>19</w:t>
      </w:r>
      <w:r w:rsidR="00E025F8" w:rsidRPr="003707F1">
        <w:rPr>
          <w:color w:val="000000"/>
          <w:lang w:val="en-US"/>
        </w:rPr>
        <w:t>; TLI = 0.</w:t>
      </w:r>
      <w:r w:rsidR="004638F2" w:rsidRPr="003707F1">
        <w:rPr>
          <w:color w:val="000000"/>
          <w:lang w:val="en-US"/>
        </w:rPr>
        <w:t>12</w:t>
      </w:r>
      <w:r w:rsidR="00E025F8" w:rsidRPr="003707F1">
        <w:rPr>
          <w:color w:val="000000"/>
          <w:lang w:val="en-US"/>
        </w:rPr>
        <w:t>; RMSEA = 0.</w:t>
      </w:r>
      <w:r w:rsidR="004638F2" w:rsidRPr="003707F1">
        <w:rPr>
          <w:color w:val="000000"/>
          <w:lang w:val="en-US"/>
        </w:rPr>
        <w:t>21</w:t>
      </w:r>
      <w:r w:rsidR="00E025F8" w:rsidRPr="003707F1">
        <w:rPr>
          <w:color w:val="000000"/>
          <w:lang w:val="en-US"/>
        </w:rPr>
        <w:t xml:space="preserve"> [90% CI: 0.</w:t>
      </w:r>
      <w:r w:rsidR="004638F2" w:rsidRPr="003707F1">
        <w:rPr>
          <w:color w:val="000000"/>
          <w:lang w:val="en-US"/>
        </w:rPr>
        <w:t>20</w:t>
      </w:r>
      <w:r w:rsidR="00E025F8" w:rsidRPr="003707F1">
        <w:rPr>
          <w:color w:val="000000"/>
          <w:lang w:val="en-US"/>
        </w:rPr>
        <w:t>–0.</w:t>
      </w:r>
      <w:r w:rsidR="004638F2" w:rsidRPr="003707F1">
        <w:rPr>
          <w:color w:val="000000"/>
          <w:lang w:val="en-US"/>
        </w:rPr>
        <w:t>21</w:t>
      </w:r>
      <w:r w:rsidR="00E025F8" w:rsidRPr="003707F1">
        <w:rPr>
          <w:color w:val="000000"/>
          <w:lang w:val="en-US"/>
        </w:rPr>
        <w:t xml:space="preserve">]. </w:t>
      </w:r>
      <w:r w:rsidR="00E658EF" w:rsidRPr="003707F1">
        <w:rPr>
          <w:lang w:val="en-US"/>
        </w:rPr>
        <w:t xml:space="preserve">The unconstrained model was subsequently </w:t>
      </w:r>
      <w:proofErr w:type="spellStart"/>
      <w:r w:rsidR="00E658EF" w:rsidRPr="003707F1">
        <w:rPr>
          <w:lang w:val="en-US"/>
        </w:rPr>
        <w:t>contratasted</w:t>
      </w:r>
      <w:proofErr w:type="spellEnd"/>
      <w:r w:rsidR="00E658EF" w:rsidRPr="003707F1">
        <w:rPr>
          <w:lang w:val="en-US"/>
        </w:rPr>
        <w:t xml:space="preserve"> to a constrained model where the factor loadings were </w:t>
      </w:r>
      <w:r w:rsidR="002A6F71" w:rsidRPr="003707F1">
        <w:rPr>
          <w:lang w:val="en-US"/>
        </w:rPr>
        <w:t>restricted</w:t>
      </w:r>
      <w:r w:rsidR="00E658EF" w:rsidRPr="003707F1">
        <w:rPr>
          <w:lang w:val="en-US"/>
        </w:rPr>
        <w:t xml:space="preserve"> to zero</w:t>
      </w:r>
      <w:r w:rsidR="00E025F8" w:rsidRPr="003707F1">
        <w:rPr>
          <w:lang w:val="en-US"/>
        </w:rPr>
        <w:t xml:space="preserve"> (</w:t>
      </w:r>
      <w:r w:rsidR="00E025F8" w:rsidRPr="003707F1">
        <w:rPr>
          <w:color w:val="000000"/>
          <w:lang w:val="en-US"/>
        </w:rPr>
        <w:t>ML</w:t>
      </w:r>
      <w:r w:rsidR="00E025F8" w:rsidRPr="003707F1">
        <w:rPr>
          <w:color w:val="000000"/>
          <w:vertAlign w:val="subscript"/>
          <w:lang w:val="en-US"/>
        </w:rPr>
        <w:t>constrained</w:t>
      </w:r>
      <w:r w:rsidR="00E025F8" w:rsidRPr="003707F1">
        <w:rPr>
          <w:color w:val="000000"/>
          <w:lang w:val="en-US"/>
        </w:rPr>
        <w:t>χ</w:t>
      </w:r>
      <w:r w:rsidR="00E025F8" w:rsidRPr="003707F1">
        <w:rPr>
          <w:color w:val="000000"/>
          <w:vertAlign w:val="superscript"/>
          <w:lang w:val="en-US"/>
        </w:rPr>
        <w:t>2</w:t>
      </w:r>
      <w:r w:rsidR="00E025F8" w:rsidRPr="003707F1">
        <w:rPr>
          <w:color w:val="000000"/>
          <w:vertAlign w:val="subscript"/>
          <w:lang w:val="en-US"/>
        </w:rPr>
        <w:t>(</w:t>
      </w:r>
      <w:r w:rsidR="00032F7F" w:rsidRPr="003707F1">
        <w:rPr>
          <w:vertAlign w:val="subscript"/>
        </w:rPr>
        <w:t>3</w:t>
      </w:r>
      <w:r w:rsidR="002A6F71" w:rsidRPr="003707F1">
        <w:rPr>
          <w:vertAlign w:val="subscript"/>
        </w:rPr>
        <w:t>25</w:t>
      </w:r>
      <w:r w:rsidR="00E025F8" w:rsidRPr="003707F1">
        <w:rPr>
          <w:color w:val="000000"/>
          <w:vertAlign w:val="subscript"/>
          <w:lang w:val="en-US"/>
        </w:rPr>
        <w:t xml:space="preserve">) </w:t>
      </w:r>
      <w:r w:rsidR="00E025F8" w:rsidRPr="003707F1">
        <w:rPr>
          <w:color w:val="000000"/>
          <w:lang w:val="en-US"/>
        </w:rPr>
        <w:t>=</w:t>
      </w:r>
      <w:r w:rsidR="00E025F8" w:rsidRPr="003707F1">
        <w:t xml:space="preserve"> </w:t>
      </w:r>
      <w:r w:rsidR="002A6F71" w:rsidRPr="003707F1">
        <w:t>5667</w:t>
      </w:r>
      <w:r w:rsidR="00E025F8" w:rsidRPr="003707F1">
        <w:t>.</w:t>
      </w:r>
      <w:r w:rsidR="002A6F71" w:rsidRPr="003707F1">
        <w:t>3</w:t>
      </w:r>
      <w:r w:rsidR="00E025F8" w:rsidRPr="003707F1">
        <w:t>7</w:t>
      </w:r>
      <w:r w:rsidR="00E025F8" w:rsidRPr="003707F1">
        <w:rPr>
          <w:color w:val="000000"/>
          <w:lang w:val="en-US"/>
        </w:rPr>
        <w:t>; CFI = 0.</w:t>
      </w:r>
      <w:r w:rsidR="002A6F71" w:rsidRPr="003707F1">
        <w:rPr>
          <w:color w:val="000000"/>
          <w:lang w:val="en-US"/>
        </w:rPr>
        <w:t>21</w:t>
      </w:r>
      <w:r w:rsidR="00E025F8" w:rsidRPr="003707F1">
        <w:rPr>
          <w:color w:val="000000"/>
          <w:lang w:val="en-US"/>
        </w:rPr>
        <w:t>; TLI = 0.</w:t>
      </w:r>
      <w:r w:rsidR="002A6F71" w:rsidRPr="003707F1">
        <w:rPr>
          <w:color w:val="000000"/>
          <w:lang w:val="en-US"/>
        </w:rPr>
        <w:t>14</w:t>
      </w:r>
      <w:r w:rsidR="00E025F8" w:rsidRPr="003707F1">
        <w:rPr>
          <w:color w:val="000000"/>
          <w:lang w:val="en-US"/>
        </w:rPr>
        <w:t>; RMSEA = 0.</w:t>
      </w:r>
      <w:r w:rsidR="002A6F71" w:rsidRPr="003707F1">
        <w:rPr>
          <w:color w:val="000000"/>
          <w:lang w:val="en-US"/>
        </w:rPr>
        <w:t>18</w:t>
      </w:r>
      <w:r w:rsidR="00E025F8" w:rsidRPr="003707F1">
        <w:rPr>
          <w:color w:val="000000"/>
          <w:lang w:val="en-US"/>
        </w:rPr>
        <w:t xml:space="preserve"> [90% CI: 0.</w:t>
      </w:r>
      <w:r w:rsidR="002A6F71" w:rsidRPr="003707F1">
        <w:rPr>
          <w:color w:val="000000"/>
          <w:lang w:val="en-US"/>
        </w:rPr>
        <w:t>18</w:t>
      </w:r>
      <w:r w:rsidR="00E025F8" w:rsidRPr="003707F1">
        <w:rPr>
          <w:color w:val="000000"/>
          <w:lang w:val="en-US"/>
        </w:rPr>
        <w:t>–0.</w:t>
      </w:r>
      <w:r w:rsidR="002A6F71" w:rsidRPr="003707F1">
        <w:rPr>
          <w:color w:val="000000"/>
          <w:lang w:val="en-US"/>
        </w:rPr>
        <w:t>19</w:t>
      </w:r>
      <w:r w:rsidR="00E025F8" w:rsidRPr="003707F1">
        <w:rPr>
          <w:color w:val="000000"/>
          <w:lang w:val="en-US"/>
        </w:rPr>
        <w:t xml:space="preserve">]). </w:t>
      </w:r>
      <w:r w:rsidR="00E658EF" w:rsidRPr="003707F1">
        <w:rPr>
          <w:lang w:val="en-US"/>
        </w:rPr>
        <w:t>The model fit of the unconstrained same-source model was worse than the constrained model</w:t>
      </w:r>
      <w:r w:rsidR="00316158" w:rsidRPr="003707F1">
        <w:rPr>
          <w:lang w:val="en-US"/>
        </w:rPr>
        <w:t xml:space="preserve">. </w:t>
      </w:r>
      <w:proofErr w:type="gramStart"/>
      <w:r w:rsidR="00316158" w:rsidRPr="003707F1">
        <w:rPr>
          <w:lang w:val="en-US"/>
        </w:rPr>
        <w:t>Therefore</w:t>
      </w:r>
      <w:proofErr w:type="gramEnd"/>
      <w:r w:rsidR="00E658EF" w:rsidRPr="003707F1">
        <w:rPr>
          <w:lang w:val="en-US"/>
        </w:rPr>
        <w:t xml:space="preserve"> </w:t>
      </w:r>
      <w:r w:rsidR="00316158" w:rsidRPr="003707F1">
        <w:rPr>
          <w:lang w:val="en-US"/>
        </w:rPr>
        <w:t xml:space="preserve">the results indicated no issues regarding CMB in the data (Podsakoff, </w:t>
      </w:r>
      <w:proofErr w:type="spellStart"/>
      <w:r w:rsidR="00316158" w:rsidRPr="003707F1">
        <w:t>MacKenzie</w:t>
      </w:r>
      <w:proofErr w:type="spellEnd"/>
      <w:r w:rsidR="00316158" w:rsidRPr="003707F1">
        <w:t>, Lee, &amp; Podsakoff</w:t>
      </w:r>
      <w:r w:rsidR="00316158" w:rsidRPr="003707F1">
        <w:rPr>
          <w:lang w:val="en-US"/>
        </w:rPr>
        <w:t xml:space="preserve">, 2003). </w:t>
      </w:r>
    </w:p>
    <w:p w14:paraId="413C5463" w14:textId="02837C27" w:rsidR="007275B7" w:rsidRPr="003707F1" w:rsidRDefault="00F47606" w:rsidP="007275B7">
      <w:pPr>
        <w:spacing w:line="360" w:lineRule="auto"/>
        <w:ind w:firstLine="720"/>
        <w:jc w:val="both"/>
        <w:rPr>
          <w:lang w:val="en-US"/>
        </w:rPr>
      </w:pPr>
      <w:r w:rsidRPr="003707F1">
        <w:rPr>
          <w:color w:val="000000"/>
          <w:lang w:val="en-US"/>
        </w:rPr>
        <w:t>C</w:t>
      </w:r>
      <w:r w:rsidR="007275B7" w:rsidRPr="003707F1">
        <w:rPr>
          <w:color w:val="000000"/>
          <w:lang w:val="en-US"/>
        </w:rPr>
        <w:t>onstruct validity and dimensionality of the conceptual model w</w:t>
      </w:r>
      <w:r w:rsidR="00B9285C" w:rsidRPr="003707F1">
        <w:rPr>
          <w:color w:val="000000"/>
          <w:lang w:val="en-US"/>
        </w:rPr>
        <w:t>ere</w:t>
      </w:r>
      <w:r w:rsidR="007275B7" w:rsidRPr="003707F1">
        <w:rPr>
          <w:color w:val="000000"/>
          <w:lang w:val="en-US"/>
        </w:rPr>
        <w:t xml:space="preserve"> </w:t>
      </w:r>
      <w:r w:rsidR="00B9285C" w:rsidRPr="003707F1">
        <w:rPr>
          <w:color w:val="000000"/>
          <w:lang w:val="en-US"/>
        </w:rPr>
        <w:t>examined</w:t>
      </w:r>
      <w:r w:rsidR="007275B7" w:rsidRPr="003707F1">
        <w:rPr>
          <w:color w:val="000000"/>
          <w:lang w:val="en-US"/>
        </w:rPr>
        <w:t xml:space="preserve"> by</w:t>
      </w:r>
      <w:r w:rsidR="00E025F8" w:rsidRPr="003707F1">
        <w:rPr>
          <w:color w:val="000000"/>
          <w:lang w:val="en-US"/>
        </w:rPr>
        <w:t xml:space="preserve"> </w:t>
      </w:r>
      <w:r w:rsidR="007275B7" w:rsidRPr="003707F1">
        <w:rPr>
          <w:color w:val="000000"/>
          <w:lang w:val="en-US"/>
        </w:rPr>
        <w:t>computing a CFA</w:t>
      </w:r>
      <w:r w:rsidR="002A6F71" w:rsidRPr="003707F1">
        <w:rPr>
          <w:color w:val="000000"/>
          <w:lang w:val="en-US"/>
        </w:rPr>
        <w:t xml:space="preserve"> using t</w:t>
      </w:r>
      <w:r w:rsidR="002A6F71" w:rsidRPr="003707F1">
        <w:rPr>
          <w:lang w:val="en-US"/>
        </w:rPr>
        <w:t xml:space="preserve">he </w:t>
      </w:r>
      <w:r w:rsidR="002A6F71" w:rsidRPr="003707F1">
        <w:rPr>
          <w:color w:val="000000"/>
          <w:lang w:val="en-US"/>
        </w:rPr>
        <w:t>robust maximum likelihood estimation method (MLR)</w:t>
      </w:r>
      <w:r w:rsidR="007275B7" w:rsidRPr="003707F1">
        <w:rPr>
          <w:color w:val="000000"/>
          <w:lang w:val="en-US"/>
        </w:rPr>
        <w:t>. The CFA yielded the following results: MLRχ</w:t>
      </w:r>
      <w:r w:rsidR="007275B7" w:rsidRPr="003707F1">
        <w:rPr>
          <w:color w:val="000000"/>
          <w:vertAlign w:val="superscript"/>
          <w:lang w:val="en-US"/>
        </w:rPr>
        <w:t>2</w:t>
      </w:r>
      <w:r w:rsidR="007275B7" w:rsidRPr="003707F1">
        <w:rPr>
          <w:color w:val="000000"/>
          <w:vertAlign w:val="subscript"/>
          <w:lang w:val="en-US"/>
        </w:rPr>
        <w:t>(</w:t>
      </w:r>
      <w:r w:rsidR="007275B7" w:rsidRPr="003707F1">
        <w:rPr>
          <w:vertAlign w:val="subscript"/>
        </w:rPr>
        <w:t>278</w:t>
      </w:r>
      <w:r w:rsidR="007275B7" w:rsidRPr="003707F1">
        <w:rPr>
          <w:color w:val="000000"/>
          <w:vertAlign w:val="subscript"/>
          <w:lang w:val="en-US"/>
        </w:rPr>
        <w:t xml:space="preserve">) </w:t>
      </w:r>
      <w:r w:rsidR="007275B7" w:rsidRPr="003707F1">
        <w:rPr>
          <w:color w:val="000000"/>
          <w:lang w:val="en-US"/>
        </w:rPr>
        <w:t>=</w:t>
      </w:r>
      <w:r w:rsidR="007275B7" w:rsidRPr="003707F1">
        <w:t xml:space="preserve"> 749.17</w:t>
      </w:r>
      <w:r w:rsidR="007275B7" w:rsidRPr="003707F1">
        <w:rPr>
          <w:color w:val="000000"/>
          <w:lang w:val="en-US"/>
        </w:rPr>
        <w:t>; CFI = 0.94; TLI = 0.93; RMSEA = 0.06 [90% CI: 0.06–0.07]. These results evidence the excellent fit of the conceptual model to the data.</w:t>
      </w:r>
    </w:p>
    <w:p w14:paraId="427E3467" w14:textId="51E4374A" w:rsidR="007275B7" w:rsidRPr="003707F1" w:rsidRDefault="00AB78D6" w:rsidP="007275B7">
      <w:pPr>
        <w:spacing w:line="360" w:lineRule="auto"/>
        <w:ind w:firstLine="720"/>
        <w:jc w:val="both"/>
        <w:rPr>
          <w:lang w:val="en-US"/>
        </w:rPr>
      </w:pPr>
      <w:r w:rsidRPr="003707F1">
        <w:rPr>
          <w:color w:val="000000"/>
          <w:lang w:val="en-US"/>
        </w:rPr>
        <w:t>A</w:t>
      </w:r>
      <w:proofErr w:type="spellStart"/>
      <w:r w:rsidR="007275B7" w:rsidRPr="003707F1">
        <w:rPr>
          <w:bCs/>
        </w:rPr>
        <w:t>ll</w:t>
      </w:r>
      <w:proofErr w:type="spellEnd"/>
      <w:r w:rsidR="007275B7" w:rsidRPr="003707F1">
        <w:rPr>
          <w:bCs/>
        </w:rPr>
        <w:t xml:space="preserve"> the</w:t>
      </w:r>
      <w:r w:rsidR="002A0A05" w:rsidRPr="003707F1">
        <w:rPr>
          <w:bCs/>
        </w:rPr>
        <w:t xml:space="preserve"> </w:t>
      </w:r>
      <w:r w:rsidR="00E65AB7" w:rsidRPr="003707F1">
        <w:rPr>
          <w:bCs/>
        </w:rPr>
        <w:t xml:space="preserve">standardised </w:t>
      </w:r>
      <w:r w:rsidR="007275B7" w:rsidRPr="003707F1">
        <w:rPr>
          <w:bCs/>
        </w:rPr>
        <w:t xml:space="preserve">loadings estimates were statistically significant and greater than </w:t>
      </w:r>
      <w:r w:rsidR="007275B7" w:rsidRPr="003707F1">
        <w:rPr>
          <w:bCs/>
        </w:rPr>
        <w:sym w:font="Symbol" w:char="F06C"/>
      </w:r>
      <w:r w:rsidR="007275B7" w:rsidRPr="003707F1">
        <w:rPr>
          <w:bCs/>
        </w:rPr>
        <w:t xml:space="preserve"> = 0.59. There was </w:t>
      </w:r>
      <w:r w:rsidR="007275B7" w:rsidRPr="003707F1">
        <w:rPr>
          <w:lang w:val="en-US"/>
        </w:rPr>
        <w:t xml:space="preserve">no evidence of cross-loading across the items (the full description of descriptive statistics can be found at Appendix A). The tests evidence convergent validity </w:t>
      </w:r>
      <w:r w:rsidR="007275B7" w:rsidRPr="003707F1">
        <w:rPr>
          <w:bCs/>
        </w:rPr>
        <w:t>(Hair et al., 2010)</w:t>
      </w:r>
      <w:r w:rsidR="007275B7" w:rsidRPr="003707F1">
        <w:rPr>
          <w:color w:val="000000"/>
          <w:lang w:val="en-US"/>
        </w:rPr>
        <w:t>.</w:t>
      </w:r>
    </w:p>
    <w:p w14:paraId="7EAD3678" w14:textId="67959029" w:rsidR="007275B7" w:rsidRPr="003707F1" w:rsidRDefault="007275B7" w:rsidP="007275B7">
      <w:pPr>
        <w:spacing w:line="360" w:lineRule="auto"/>
        <w:ind w:firstLine="720"/>
        <w:jc w:val="both"/>
        <w:rPr>
          <w:noProof/>
          <w:lang w:val="en-US"/>
        </w:rPr>
      </w:pPr>
      <w:r w:rsidRPr="003707F1">
        <w:rPr>
          <w:color w:val="000000"/>
          <w:lang w:val="en-US"/>
        </w:rPr>
        <w:lastRenderedPageBreak/>
        <w:t xml:space="preserve">In terms of discriminant validity, </w:t>
      </w:r>
      <w:r w:rsidRPr="003707F1">
        <w:rPr>
          <w:lang w:val="en-US"/>
        </w:rPr>
        <w:t xml:space="preserve">the average variance extracted (AVE) was </w:t>
      </w:r>
      <w:r w:rsidRPr="003707F1">
        <w:rPr>
          <w:bCs/>
        </w:rPr>
        <w:t xml:space="preserve">calculated for each </w:t>
      </w:r>
      <w:r w:rsidRPr="003707F1">
        <w:rPr>
          <w:lang w:val="en-US"/>
        </w:rPr>
        <w:t>latent variable. They ranged from 0.50 to 0.7</w:t>
      </w:r>
      <w:r w:rsidR="00C77FDB" w:rsidRPr="003707F1">
        <w:rPr>
          <w:lang w:val="en-US"/>
        </w:rPr>
        <w:t>9</w:t>
      </w:r>
      <w:r w:rsidRPr="003707F1">
        <w:rPr>
          <w:lang w:val="en-US"/>
        </w:rPr>
        <w:t xml:space="preserve"> and were equal or above the acceptable threshold of 0.50</w:t>
      </w:r>
      <w:r w:rsidRPr="003707F1">
        <w:rPr>
          <w:noProof/>
          <w:lang w:val="en-US"/>
        </w:rPr>
        <w:t xml:space="preserve"> (Bagozzi &amp; Yi, 1988). Finally, </w:t>
      </w:r>
      <w:r w:rsidRPr="003707F1">
        <w:rPr>
          <w:lang w:val="en-US"/>
        </w:rPr>
        <w:t xml:space="preserve">the square roots of the AVE scores were higher than the correlations across the factors. The abovementioned tests support discriminant validity </w:t>
      </w:r>
      <w:r w:rsidRPr="003707F1">
        <w:rPr>
          <w:bCs/>
        </w:rPr>
        <w:t>(Hair et al., 2010)</w:t>
      </w:r>
      <w:r w:rsidRPr="003707F1">
        <w:rPr>
          <w:color w:val="000000"/>
          <w:lang w:val="en-US"/>
        </w:rPr>
        <w:t>.</w:t>
      </w:r>
    </w:p>
    <w:p w14:paraId="560F9EBE" w14:textId="77777777" w:rsidR="007275B7" w:rsidRPr="003707F1" w:rsidRDefault="007275B7" w:rsidP="007275B7">
      <w:pPr>
        <w:spacing w:line="360" w:lineRule="auto"/>
        <w:jc w:val="both"/>
        <w:rPr>
          <w:b/>
          <w:lang w:val="en-US"/>
        </w:rPr>
      </w:pPr>
    </w:p>
    <w:p w14:paraId="3049B052" w14:textId="77777777" w:rsidR="007275B7" w:rsidRPr="003707F1" w:rsidRDefault="007275B7" w:rsidP="007275B7">
      <w:pPr>
        <w:spacing w:line="360" w:lineRule="auto"/>
        <w:jc w:val="both"/>
        <w:rPr>
          <w:i/>
          <w:iCs/>
          <w:noProof/>
          <w:lang w:val="en-US"/>
        </w:rPr>
      </w:pPr>
      <w:r w:rsidRPr="003707F1">
        <w:rPr>
          <w:b/>
          <w:i/>
          <w:iCs/>
          <w:lang w:val="en-US"/>
        </w:rPr>
        <w:t>Reliability analysis</w:t>
      </w:r>
    </w:p>
    <w:p w14:paraId="15FE16B4" w14:textId="7E0B1885" w:rsidR="007275B7" w:rsidRPr="003707F1" w:rsidRDefault="007275B7" w:rsidP="007275B7">
      <w:pPr>
        <w:spacing w:line="360" w:lineRule="auto"/>
        <w:ind w:firstLine="720"/>
        <w:jc w:val="both"/>
        <w:rPr>
          <w:bCs/>
        </w:rPr>
      </w:pPr>
      <w:r w:rsidRPr="003707F1">
        <w:rPr>
          <w:lang w:val="en-US"/>
        </w:rPr>
        <w:t>The scales</w:t>
      </w:r>
      <w:r w:rsidR="00454D64" w:rsidRPr="003707F1">
        <w:rPr>
          <w:lang w:val="en-US"/>
        </w:rPr>
        <w:t>’</w:t>
      </w:r>
      <w:r w:rsidRPr="003707F1">
        <w:rPr>
          <w:lang w:val="en-US"/>
        </w:rPr>
        <w:t xml:space="preserve"> internal consistency was evaluated using Cronbach’s alpha and composite reliability (CR). The alpha and CR values were well above the recommended 0.70 threshold </w:t>
      </w:r>
      <w:r w:rsidRPr="003707F1">
        <w:rPr>
          <w:bCs/>
        </w:rPr>
        <w:t>(Hair et al., 2010)</w:t>
      </w:r>
      <w:r w:rsidRPr="003707F1">
        <w:rPr>
          <w:noProof/>
          <w:lang w:val="en-US"/>
        </w:rPr>
        <w:t xml:space="preserve"> </w:t>
      </w:r>
      <w:r w:rsidRPr="003707F1">
        <w:rPr>
          <w:lang w:val="en-US"/>
        </w:rPr>
        <w:t xml:space="preserve">ranging from 0.80 to 0.94, therefore evidencing the internal consistency of all the scales used in the study. </w:t>
      </w:r>
      <w:r w:rsidRPr="003707F1">
        <w:rPr>
          <w:color w:val="000000"/>
          <w:lang w:val="en-US"/>
        </w:rPr>
        <w:t xml:space="preserve">Appendix B </w:t>
      </w:r>
      <w:proofErr w:type="spellStart"/>
      <w:r w:rsidR="00E65AB7" w:rsidRPr="003707F1">
        <w:rPr>
          <w:color w:val="000000"/>
          <w:lang w:val="en-US"/>
        </w:rPr>
        <w:t>summarises</w:t>
      </w:r>
      <w:proofErr w:type="spellEnd"/>
      <w:r w:rsidR="00E65AB7" w:rsidRPr="003707F1">
        <w:rPr>
          <w:color w:val="000000"/>
          <w:lang w:val="en-US"/>
        </w:rPr>
        <w:t xml:space="preserve"> </w:t>
      </w:r>
      <w:r w:rsidRPr="003707F1">
        <w:rPr>
          <w:color w:val="000000"/>
          <w:lang w:val="en-US"/>
        </w:rPr>
        <w:t>the reliability, validity, and CFA tests.</w:t>
      </w:r>
    </w:p>
    <w:p w14:paraId="4FB9B3DB" w14:textId="77777777" w:rsidR="007275B7" w:rsidRPr="003707F1" w:rsidRDefault="007275B7" w:rsidP="007275B7">
      <w:pPr>
        <w:spacing w:line="360" w:lineRule="auto"/>
        <w:jc w:val="both"/>
        <w:rPr>
          <w:bCs/>
        </w:rPr>
      </w:pPr>
    </w:p>
    <w:p w14:paraId="2235C8CE" w14:textId="77777777" w:rsidR="007275B7" w:rsidRPr="003707F1" w:rsidRDefault="007275B7" w:rsidP="007275B7">
      <w:pPr>
        <w:spacing w:line="360" w:lineRule="auto"/>
        <w:jc w:val="both"/>
        <w:rPr>
          <w:noProof/>
          <w:lang w:val="en-US"/>
        </w:rPr>
      </w:pPr>
      <w:r w:rsidRPr="003707F1">
        <w:rPr>
          <w:b/>
          <w:bCs/>
          <w:i/>
          <w:iCs/>
          <w:color w:val="000000"/>
          <w:lang w:val="en-US"/>
        </w:rPr>
        <w:t>Hypothesis testing</w:t>
      </w:r>
    </w:p>
    <w:p w14:paraId="5E92FA9D" w14:textId="731C7FC7" w:rsidR="00CD6AEB" w:rsidRPr="003707F1" w:rsidRDefault="007275B7" w:rsidP="00CD6AEB">
      <w:pPr>
        <w:spacing w:line="360" w:lineRule="auto"/>
        <w:jc w:val="both"/>
        <w:rPr>
          <w:color w:val="000000"/>
          <w:lang w:val="en-US"/>
        </w:rPr>
      </w:pPr>
      <w:r w:rsidRPr="003707F1">
        <w:rPr>
          <w:rFonts w:ascii="Calibri" w:hAnsi="Calibri" w:cs="Calibri"/>
          <w:color w:val="000000"/>
          <w:lang w:val="en-US"/>
        </w:rPr>
        <w:t>﻿</w:t>
      </w:r>
      <w:r w:rsidRPr="003707F1">
        <w:rPr>
          <w:rFonts w:ascii="Calibri" w:hAnsi="Calibri" w:cs="Calibri"/>
          <w:color w:val="000000"/>
          <w:lang w:val="en-US"/>
        </w:rPr>
        <w:tab/>
      </w:r>
      <w:r w:rsidR="00284F84" w:rsidRPr="003707F1">
        <w:rPr>
          <w:color w:val="000000"/>
          <w:lang w:val="en-US"/>
        </w:rPr>
        <w:t xml:space="preserve"> </w:t>
      </w:r>
      <w:r w:rsidR="00CD6AEB" w:rsidRPr="003707F1">
        <w:rPr>
          <w:color w:val="000000"/>
          <w:lang w:val="en-US"/>
        </w:rPr>
        <w:t xml:space="preserve">To test the hypotheses, we implemented path and moderation analysis with structural equation modeling (SEM). The estimator method was MLR. The </w:t>
      </w:r>
      <w:r w:rsidR="00A34F7B" w:rsidRPr="003707F1">
        <w:rPr>
          <w:color w:val="000000"/>
          <w:lang w:val="en-US"/>
        </w:rPr>
        <w:t xml:space="preserve">goodness of fit </w:t>
      </w:r>
      <w:r w:rsidR="00CD6AEB" w:rsidRPr="003707F1">
        <w:rPr>
          <w:color w:val="000000"/>
          <w:lang w:val="en-US"/>
        </w:rPr>
        <w:t xml:space="preserve">GOF values for the directional model </w:t>
      </w:r>
      <w:r w:rsidR="00CD6AEB" w:rsidRPr="003707F1">
        <w:t>MLR χ</w:t>
      </w:r>
      <w:r w:rsidR="00CD6AEB" w:rsidRPr="003707F1">
        <w:rPr>
          <w:vertAlign w:val="superscript"/>
        </w:rPr>
        <w:t>2</w:t>
      </w:r>
      <w:r w:rsidR="00CD6AEB" w:rsidRPr="003707F1">
        <w:rPr>
          <w:vertAlign w:val="subscript"/>
        </w:rPr>
        <w:t>(383)</w:t>
      </w:r>
      <w:r w:rsidR="00CD6AEB" w:rsidRPr="003707F1">
        <w:t xml:space="preserve"> = 3177.22, CFI = 0.91, TLI = 0.90, RMSEA = 0.06 [90% C.I. 0.06–0.08]</w:t>
      </w:r>
      <w:r w:rsidR="00CD6AEB" w:rsidRPr="003707F1">
        <w:rPr>
          <w:color w:val="000000"/>
          <w:lang w:val="en-US"/>
        </w:rPr>
        <w:t xml:space="preserve">. In terms of control variables, age and income were regressed on PCE. The calculations indicated that consumer age was found to positively influence </w:t>
      </w:r>
      <w:r w:rsidR="00087873" w:rsidRPr="003707F1">
        <w:rPr>
          <w:color w:val="000000"/>
          <w:lang w:val="en-US"/>
        </w:rPr>
        <w:t xml:space="preserve">PCE </w:t>
      </w:r>
      <w:r w:rsidR="00CD6AEB" w:rsidRPr="003707F1">
        <w:rPr>
          <w:color w:val="000000"/>
          <w:lang w:val="en-US"/>
        </w:rPr>
        <w:t>(</w:t>
      </w:r>
      <w:r w:rsidR="00CD6AEB" w:rsidRPr="003707F1">
        <w:rPr>
          <w:i/>
          <w:iCs/>
          <w:color w:val="000000"/>
          <w:lang w:val="en-US"/>
        </w:rPr>
        <w:sym w:font="Symbol" w:char="F062"/>
      </w:r>
      <w:r w:rsidR="00CD6AEB" w:rsidRPr="003707F1">
        <w:rPr>
          <w:color w:val="000000"/>
          <w:lang w:val="en-US"/>
        </w:rPr>
        <w:t xml:space="preserve"> = 0.11; </w:t>
      </w:r>
      <w:r w:rsidR="00CD6AEB" w:rsidRPr="003707F1">
        <w:rPr>
          <w:i/>
          <w:iCs/>
          <w:color w:val="000000"/>
          <w:lang w:val="en-US"/>
        </w:rPr>
        <w:t>t</w:t>
      </w:r>
      <w:r w:rsidR="00CD6AEB" w:rsidRPr="003707F1">
        <w:rPr>
          <w:color w:val="000000"/>
          <w:lang w:val="en-US"/>
        </w:rPr>
        <w:t xml:space="preserve">-value = 2.40; </w:t>
      </w:r>
      <w:r w:rsidR="00CD6AEB" w:rsidRPr="003707F1">
        <w:rPr>
          <w:i/>
          <w:iCs/>
          <w:color w:val="000000"/>
          <w:lang w:val="en-US"/>
        </w:rPr>
        <w:t>p</w:t>
      </w:r>
      <w:r w:rsidR="00CD6AEB" w:rsidRPr="003707F1">
        <w:rPr>
          <w:color w:val="000000"/>
          <w:lang w:val="en-US"/>
        </w:rPr>
        <w:t>-value = 0.01). No effect was identified for the influence of income on PCE (</w:t>
      </w:r>
      <w:r w:rsidR="00CD6AEB" w:rsidRPr="003707F1">
        <w:rPr>
          <w:i/>
          <w:iCs/>
          <w:color w:val="000000"/>
          <w:lang w:val="en-US"/>
        </w:rPr>
        <w:t>p</w:t>
      </w:r>
      <w:r w:rsidR="00CD6AEB" w:rsidRPr="003707F1">
        <w:rPr>
          <w:color w:val="000000"/>
          <w:lang w:val="en-US"/>
        </w:rPr>
        <w:t>-value = 0.83).</w:t>
      </w:r>
    </w:p>
    <w:p w14:paraId="47A54E73" w14:textId="11FD94C7" w:rsidR="00CD6AEB" w:rsidRPr="003707F1" w:rsidRDefault="00CD6AEB" w:rsidP="00CD6AEB">
      <w:pPr>
        <w:spacing w:line="360" w:lineRule="auto"/>
        <w:jc w:val="both"/>
        <w:rPr>
          <w:color w:val="000000"/>
          <w:lang w:val="en-US"/>
        </w:rPr>
      </w:pPr>
      <w:r w:rsidRPr="003707F1">
        <w:rPr>
          <w:color w:val="000000"/>
          <w:lang w:val="en-US"/>
        </w:rPr>
        <w:tab/>
        <w:t xml:space="preserve">The first set of directional hypotheses posited </w:t>
      </w:r>
      <w:r w:rsidRPr="003707F1">
        <w:rPr>
          <w:lang w:val="en-US"/>
        </w:rPr>
        <w:t xml:space="preserve">that vertical individualism positively influences </w:t>
      </w:r>
      <w:r w:rsidRPr="003707F1">
        <w:rPr>
          <w:color w:val="000000"/>
          <w:lang w:val="en-US"/>
        </w:rPr>
        <w:t xml:space="preserve">PCE </w:t>
      </w:r>
      <w:r w:rsidRPr="003707F1">
        <w:rPr>
          <w:b/>
          <w:bCs/>
          <w:color w:val="000000"/>
          <w:lang w:val="en-US"/>
        </w:rPr>
        <w:t>(</w:t>
      </w:r>
      <w:r w:rsidRPr="003707F1">
        <w:rPr>
          <w:b/>
          <w:bCs/>
          <w:lang w:val="en-US"/>
        </w:rPr>
        <w:t>H1A)</w:t>
      </w:r>
      <w:r w:rsidRPr="003707F1">
        <w:rPr>
          <w:lang w:val="en-US"/>
        </w:rPr>
        <w:t xml:space="preserve">. The calculations supported the directional relationship </w:t>
      </w:r>
      <w:bookmarkStart w:id="8" w:name="_Hlk46924984"/>
      <w:r w:rsidRPr="003707F1">
        <w:rPr>
          <w:color w:val="000000"/>
          <w:lang w:val="en-US"/>
        </w:rPr>
        <w:t>(</w:t>
      </w:r>
      <w:bookmarkStart w:id="9" w:name="_Hlk46926516"/>
      <w:r w:rsidRPr="003707F1">
        <w:rPr>
          <w:i/>
          <w:iCs/>
          <w:color w:val="000000"/>
          <w:lang w:val="en-US"/>
        </w:rPr>
        <w:sym w:font="Symbol" w:char="F062"/>
      </w:r>
      <w:r w:rsidRPr="003707F1">
        <w:rPr>
          <w:color w:val="000000"/>
          <w:lang w:val="en-US"/>
        </w:rPr>
        <w:t xml:space="preserve"> </w:t>
      </w:r>
      <w:bookmarkEnd w:id="9"/>
      <w:r w:rsidRPr="003707F1">
        <w:rPr>
          <w:color w:val="000000"/>
          <w:lang w:val="en-US"/>
        </w:rPr>
        <w:t xml:space="preserve">= 0.17; </w:t>
      </w:r>
      <w:r w:rsidRPr="003707F1">
        <w:rPr>
          <w:i/>
          <w:iCs/>
          <w:color w:val="000000"/>
          <w:lang w:val="en-US"/>
        </w:rPr>
        <w:t>t</w:t>
      </w:r>
      <w:r w:rsidRPr="003707F1">
        <w:rPr>
          <w:color w:val="000000"/>
          <w:lang w:val="en-US"/>
        </w:rPr>
        <w:t xml:space="preserve">-value = 2.86; </w:t>
      </w:r>
      <w:r w:rsidRPr="003707F1">
        <w:rPr>
          <w:i/>
          <w:iCs/>
          <w:color w:val="000000"/>
          <w:lang w:val="en-US"/>
        </w:rPr>
        <w:t>p</w:t>
      </w:r>
      <w:r w:rsidRPr="003707F1">
        <w:rPr>
          <w:color w:val="000000"/>
          <w:lang w:val="en-US"/>
        </w:rPr>
        <w:t>-value = 0.01</w:t>
      </w:r>
      <w:r w:rsidRPr="003707F1">
        <w:rPr>
          <w:lang w:val="en-US"/>
        </w:rPr>
        <w:t xml:space="preserve">). </w:t>
      </w:r>
      <w:bookmarkEnd w:id="8"/>
      <w:r w:rsidRPr="003707F1">
        <w:rPr>
          <w:b/>
          <w:lang w:val="en-US"/>
        </w:rPr>
        <w:t xml:space="preserve">H1B </w:t>
      </w:r>
      <w:r w:rsidRPr="003707F1">
        <w:rPr>
          <w:bCs/>
          <w:lang w:val="en-US"/>
        </w:rPr>
        <w:t>anticipated</w:t>
      </w:r>
      <w:r w:rsidRPr="003707F1">
        <w:rPr>
          <w:lang w:val="en-US"/>
        </w:rPr>
        <w:t xml:space="preserve"> that horizontal individualism </w:t>
      </w:r>
      <w:r w:rsidR="00063004" w:rsidRPr="003707F1">
        <w:rPr>
          <w:lang w:val="en-US"/>
        </w:rPr>
        <w:t xml:space="preserve">is </w:t>
      </w:r>
      <w:r w:rsidRPr="003707F1">
        <w:rPr>
          <w:lang w:val="en-US"/>
        </w:rPr>
        <w:t xml:space="preserve">positively </w:t>
      </w:r>
      <w:r w:rsidR="00063004" w:rsidRPr="003707F1">
        <w:rPr>
          <w:lang w:val="en-US"/>
        </w:rPr>
        <w:t xml:space="preserve">associated with </w:t>
      </w:r>
      <w:r w:rsidRPr="003707F1">
        <w:rPr>
          <w:lang w:val="en-US"/>
        </w:rPr>
        <w:t>PCE. The calculations did not support the relationship (</w:t>
      </w:r>
      <w:r w:rsidRPr="003707F1">
        <w:rPr>
          <w:i/>
          <w:iCs/>
          <w:color w:val="000000"/>
          <w:lang w:val="en-US"/>
        </w:rPr>
        <w:t>p</w:t>
      </w:r>
      <w:r w:rsidRPr="003707F1">
        <w:rPr>
          <w:color w:val="000000"/>
          <w:lang w:val="en-US"/>
        </w:rPr>
        <w:t>-value = 0.55</w:t>
      </w:r>
      <w:r w:rsidRPr="003707F1">
        <w:rPr>
          <w:lang w:val="en-US"/>
        </w:rPr>
        <w:t xml:space="preserve">). The second </w:t>
      </w:r>
      <w:r w:rsidRPr="003707F1">
        <w:rPr>
          <w:color w:val="000000"/>
          <w:lang w:val="en-US"/>
        </w:rPr>
        <w:t xml:space="preserve">set of directional hypotheses posited a negative </w:t>
      </w:r>
      <w:r w:rsidR="00A91820" w:rsidRPr="003707F1">
        <w:rPr>
          <w:color w:val="000000"/>
          <w:lang w:val="en-US"/>
        </w:rPr>
        <w:t xml:space="preserve">association between </w:t>
      </w:r>
      <w:r w:rsidRPr="003707F1">
        <w:rPr>
          <w:color w:val="000000"/>
          <w:lang w:val="en-US"/>
        </w:rPr>
        <w:t xml:space="preserve">vertical collectivism </w:t>
      </w:r>
      <w:r w:rsidR="00874C1A" w:rsidRPr="003707F1">
        <w:rPr>
          <w:color w:val="000000"/>
          <w:lang w:val="en-US"/>
        </w:rPr>
        <w:t>and PCE</w:t>
      </w:r>
      <w:r w:rsidRPr="003707F1">
        <w:rPr>
          <w:color w:val="000000"/>
          <w:lang w:val="en-US"/>
        </w:rPr>
        <w:t xml:space="preserve"> </w:t>
      </w:r>
      <w:r w:rsidRPr="003707F1">
        <w:rPr>
          <w:b/>
          <w:bCs/>
          <w:color w:val="000000"/>
          <w:lang w:val="en-US"/>
        </w:rPr>
        <w:t>(H2A)</w:t>
      </w:r>
      <w:r w:rsidRPr="003707F1">
        <w:rPr>
          <w:color w:val="000000"/>
          <w:lang w:val="en-US"/>
        </w:rPr>
        <w:t xml:space="preserve">. This relationship was </w:t>
      </w:r>
      <w:r w:rsidR="00A91820" w:rsidRPr="003707F1">
        <w:rPr>
          <w:color w:val="000000"/>
          <w:lang w:val="en-US"/>
        </w:rPr>
        <w:t xml:space="preserve">not </w:t>
      </w:r>
      <w:r w:rsidR="00874C1A" w:rsidRPr="003707F1">
        <w:rPr>
          <w:color w:val="000000"/>
          <w:lang w:val="en-US"/>
        </w:rPr>
        <w:t>supported based</w:t>
      </w:r>
      <w:r w:rsidRPr="003707F1">
        <w:rPr>
          <w:color w:val="000000"/>
          <w:lang w:val="en-US"/>
        </w:rPr>
        <w:t xml:space="preserve"> on the analysis (</w:t>
      </w:r>
      <w:r w:rsidRPr="003707F1">
        <w:rPr>
          <w:i/>
          <w:iCs/>
          <w:color w:val="000000"/>
          <w:lang w:val="en-US"/>
        </w:rPr>
        <w:sym w:font="Symbol" w:char="F062"/>
      </w:r>
      <w:r w:rsidRPr="003707F1">
        <w:rPr>
          <w:color w:val="000000"/>
          <w:lang w:val="en-US"/>
        </w:rPr>
        <w:t xml:space="preserve"> = 0.32, t-value=4.66; </w:t>
      </w:r>
      <w:r w:rsidRPr="003707F1">
        <w:rPr>
          <w:i/>
          <w:iCs/>
          <w:color w:val="000000"/>
          <w:lang w:val="en-US"/>
        </w:rPr>
        <w:t>p</w:t>
      </w:r>
      <w:r w:rsidRPr="003707F1">
        <w:rPr>
          <w:color w:val="000000"/>
          <w:lang w:val="en-US"/>
        </w:rPr>
        <w:t xml:space="preserve">-value </w:t>
      </w:r>
      <w:r w:rsidR="006F352C" w:rsidRPr="003707F1">
        <w:rPr>
          <w:color w:val="000000"/>
          <w:lang w:val="en-US"/>
        </w:rPr>
        <w:t>&gt;</w:t>
      </w:r>
      <w:r w:rsidRPr="003707F1">
        <w:rPr>
          <w:color w:val="000000"/>
          <w:lang w:val="en-US"/>
        </w:rPr>
        <w:t xml:space="preserve"> 0.001) as the association was positive. Finally, </w:t>
      </w:r>
      <w:r w:rsidRPr="003707F1">
        <w:rPr>
          <w:b/>
          <w:lang w:val="en-US"/>
        </w:rPr>
        <w:t xml:space="preserve">H2B </w:t>
      </w:r>
      <w:r w:rsidRPr="003707F1">
        <w:rPr>
          <w:bCs/>
          <w:lang w:val="en-US"/>
        </w:rPr>
        <w:t>anticipated</w:t>
      </w:r>
      <w:r w:rsidRPr="003707F1">
        <w:rPr>
          <w:lang w:val="en-US"/>
        </w:rPr>
        <w:t xml:space="preserve"> horizontal collectivism to </w:t>
      </w:r>
      <w:r w:rsidR="00063004" w:rsidRPr="003707F1">
        <w:rPr>
          <w:lang w:val="en-US"/>
        </w:rPr>
        <w:t xml:space="preserve">be </w:t>
      </w:r>
      <w:r w:rsidRPr="003707F1">
        <w:rPr>
          <w:lang w:val="en-US"/>
        </w:rPr>
        <w:t xml:space="preserve">negatively </w:t>
      </w:r>
      <w:r w:rsidR="00063004" w:rsidRPr="003707F1">
        <w:rPr>
          <w:lang w:val="en-US"/>
        </w:rPr>
        <w:t xml:space="preserve">associated with </w:t>
      </w:r>
      <w:r w:rsidRPr="003707F1">
        <w:rPr>
          <w:lang w:val="en-US"/>
        </w:rPr>
        <w:t xml:space="preserve">PCE. The results did not support this hypothesis </w:t>
      </w:r>
      <w:r w:rsidRPr="003707F1">
        <w:rPr>
          <w:color w:val="000000"/>
          <w:lang w:val="en-US"/>
        </w:rPr>
        <w:t>(</w:t>
      </w:r>
      <w:r w:rsidRPr="003707F1">
        <w:rPr>
          <w:i/>
          <w:iCs/>
          <w:color w:val="000000"/>
          <w:lang w:val="en-US"/>
        </w:rPr>
        <w:t>p</w:t>
      </w:r>
      <w:r w:rsidRPr="003707F1">
        <w:rPr>
          <w:color w:val="000000"/>
          <w:lang w:val="en-US"/>
        </w:rPr>
        <w:t>-value = 0.28</w:t>
      </w:r>
      <w:r w:rsidRPr="003707F1">
        <w:rPr>
          <w:lang w:val="en-US"/>
        </w:rPr>
        <w:t xml:space="preserve">). </w:t>
      </w:r>
    </w:p>
    <w:p w14:paraId="0538426B" w14:textId="70521144" w:rsidR="006F352C" w:rsidRPr="003707F1" w:rsidRDefault="00CD6AEB" w:rsidP="006F352C">
      <w:pPr>
        <w:spacing w:line="360" w:lineRule="auto"/>
        <w:ind w:firstLine="720"/>
        <w:jc w:val="both"/>
        <w:rPr>
          <w:color w:val="000000"/>
          <w:lang w:val="en-US"/>
        </w:rPr>
      </w:pPr>
      <w:r w:rsidRPr="003707F1">
        <w:rPr>
          <w:color w:val="000000"/>
          <w:lang w:val="en-US"/>
        </w:rPr>
        <w:t xml:space="preserve">In terms of moderation analysis, the </w:t>
      </w:r>
      <w:r w:rsidR="006F352C" w:rsidRPr="003707F1">
        <w:rPr>
          <w:color w:val="000000"/>
          <w:lang w:val="en-US"/>
        </w:rPr>
        <w:t>interaction terms were computed as composite scoring combining the items from the respective underlying latent variables (</w:t>
      </w:r>
      <w:proofErr w:type="spellStart"/>
      <w:r w:rsidR="006F352C" w:rsidRPr="003707F1">
        <w:rPr>
          <w:color w:val="000000"/>
          <w:lang w:val="en-US"/>
        </w:rPr>
        <w:t>Rosseel</w:t>
      </w:r>
      <w:proofErr w:type="spellEnd"/>
      <w:r w:rsidR="006F352C" w:rsidRPr="003707F1">
        <w:rPr>
          <w:color w:val="000000"/>
          <w:lang w:val="en-US"/>
        </w:rPr>
        <w:t xml:space="preserve">, 2012). The calculations were based on 5000 bootstrapping samples. </w:t>
      </w:r>
    </w:p>
    <w:p w14:paraId="20CD1439" w14:textId="35255B29" w:rsidR="007275B7" w:rsidRPr="003707F1" w:rsidRDefault="006F352C" w:rsidP="0015533E">
      <w:pPr>
        <w:spacing w:line="360" w:lineRule="auto"/>
        <w:ind w:firstLine="720"/>
        <w:jc w:val="both"/>
        <w:rPr>
          <w:color w:val="000000"/>
          <w:lang w:val="en-US"/>
        </w:rPr>
      </w:pPr>
      <w:r w:rsidRPr="003707F1">
        <w:rPr>
          <w:color w:val="000000"/>
          <w:lang w:val="en-US"/>
        </w:rPr>
        <w:lastRenderedPageBreak/>
        <w:t xml:space="preserve">The </w:t>
      </w:r>
      <w:r w:rsidR="00CD6AEB" w:rsidRPr="003707F1">
        <w:rPr>
          <w:color w:val="000000"/>
          <w:lang w:val="en-US"/>
        </w:rPr>
        <w:t xml:space="preserve">first interaction </w:t>
      </w:r>
      <w:r w:rsidR="00CD6AEB" w:rsidRPr="003707F1">
        <w:rPr>
          <w:b/>
          <w:bCs/>
          <w:color w:val="000000"/>
          <w:lang w:val="en-US"/>
        </w:rPr>
        <w:t>(H3A)</w:t>
      </w:r>
      <w:r w:rsidR="00CD6AEB" w:rsidRPr="003707F1">
        <w:rPr>
          <w:color w:val="000000"/>
          <w:lang w:val="en-US"/>
        </w:rPr>
        <w:t xml:space="preserve"> anticipated that global identity should positively moderate the relationship between vertical individualism and PCE. Hypothesis H3A was supported (</w:t>
      </w:r>
      <w:r w:rsidR="00CD6AEB" w:rsidRPr="003707F1">
        <w:rPr>
          <w:i/>
          <w:iCs/>
          <w:color w:val="000000"/>
          <w:lang w:val="en-US"/>
        </w:rPr>
        <w:sym w:font="Symbol" w:char="F062"/>
      </w:r>
      <w:r w:rsidR="00CD6AEB" w:rsidRPr="003707F1">
        <w:rPr>
          <w:color w:val="000000"/>
          <w:lang w:val="en-US"/>
        </w:rPr>
        <w:t xml:space="preserve"> = 0.07; </w:t>
      </w:r>
      <w:r w:rsidR="00CD6AEB" w:rsidRPr="003707F1">
        <w:rPr>
          <w:i/>
          <w:iCs/>
          <w:color w:val="000000"/>
          <w:lang w:val="en-US"/>
        </w:rPr>
        <w:t>t</w:t>
      </w:r>
      <w:r w:rsidR="00CD6AEB" w:rsidRPr="003707F1">
        <w:rPr>
          <w:color w:val="000000"/>
          <w:lang w:val="en-US"/>
        </w:rPr>
        <w:t xml:space="preserve">-value = 1.65; </w:t>
      </w:r>
      <w:r w:rsidR="00CD6AEB" w:rsidRPr="003707F1">
        <w:rPr>
          <w:i/>
          <w:iCs/>
          <w:color w:val="000000"/>
          <w:lang w:val="en-US"/>
        </w:rPr>
        <w:t>p</w:t>
      </w:r>
      <w:r w:rsidR="00CD6AEB" w:rsidRPr="003707F1">
        <w:rPr>
          <w:color w:val="000000"/>
          <w:lang w:val="en-US"/>
        </w:rPr>
        <w:t>-value = 0.09</w:t>
      </w:r>
      <w:r w:rsidR="00CD6AEB" w:rsidRPr="003707F1">
        <w:rPr>
          <w:lang w:val="en-US"/>
        </w:rPr>
        <w:t>)</w:t>
      </w:r>
      <w:r w:rsidR="00CD6AEB" w:rsidRPr="003707F1">
        <w:rPr>
          <w:color w:val="000000"/>
          <w:lang w:val="en-US"/>
        </w:rPr>
        <w:t xml:space="preserve">, as indeed changes in the levels of global identity enhanced the positive influence of vertical individualism on PCE (see Figure 1). Lastly, </w:t>
      </w:r>
      <w:r w:rsidR="00CD6AEB" w:rsidRPr="003707F1">
        <w:rPr>
          <w:b/>
          <w:bCs/>
          <w:color w:val="000000"/>
          <w:lang w:val="en-US"/>
        </w:rPr>
        <w:t>H4A</w:t>
      </w:r>
      <w:r w:rsidR="00CD6AEB" w:rsidRPr="003707F1">
        <w:rPr>
          <w:color w:val="000000"/>
          <w:lang w:val="en-US"/>
        </w:rPr>
        <w:t xml:space="preserve"> postulated that local identity would weaken the relationship between vertical collectivism and PCE. Whilst local identity moderates the relationship between vertical collectivism and PCE (see Figure 2), it does not do so in the hypothesized direction, leading to the rejection of H4A (</w:t>
      </w:r>
      <w:r w:rsidR="00CD6AEB" w:rsidRPr="003707F1">
        <w:rPr>
          <w:i/>
          <w:iCs/>
          <w:color w:val="000000"/>
          <w:lang w:val="en-US"/>
        </w:rPr>
        <w:sym w:font="Symbol" w:char="F062"/>
      </w:r>
      <w:r w:rsidR="00CD6AEB" w:rsidRPr="003707F1">
        <w:rPr>
          <w:color w:val="000000"/>
          <w:lang w:val="en-US"/>
        </w:rPr>
        <w:t xml:space="preserve"> = 0.23; </w:t>
      </w:r>
      <w:r w:rsidR="00CD6AEB" w:rsidRPr="003707F1">
        <w:rPr>
          <w:i/>
          <w:iCs/>
          <w:color w:val="000000"/>
          <w:lang w:val="en-US"/>
        </w:rPr>
        <w:t>t</w:t>
      </w:r>
      <w:r w:rsidR="00CD6AEB" w:rsidRPr="003707F1">
        <w:rPr>
          <w:color w:val="000000"/>
          <w:lang w:val="en-US"/>
        </w:rPr>
        <w:t xml:space="preserve">-value = 4.76; </w:t>
      </w:r>
      <w:r w:rsidR="00CD6AEB" w:rsidRPr="003707F1">
        <w:rPr>
          <w:i/>
          <w:iCs/>
          <w:color w:val="000000"/>
          <w:lang w:val="en-US"/>
        </w:rPr>
        <w:t>p</w:t>
      </w:r>
      <w:r w:rsidR="00CD6AEB" w:rsidRPr="003707F1">
        <w:rPr>
          <w:color w:val="000000"/>
          <w:lang w:val="en-US"/>
        </w:rPr>
        <w:t xml:space="preserve">-value </w:t>
      </w:r>
      <w:r w:rsidRPr="003707F1">
        <w:rPr>
          <w:color w:val="000000"/>
          <w:lang w:val="en-US"/>
        </w:rPr>
        <w:t>&gt;</w:t>
      </w:r>
      <w:r w:rsidR="00CD6AEB" w:rsidRPr="003707F1">
        <w:rPr>
          <w:color w:val="000000"/>
          <w:lang w:val="en-US"/>
        </w:rPr>
        <w:t xml:space="preserve"> 0.001</w:t>
      </w:r>
      <w:r w:rsidR="00CD6AEB" w:rsidRPr="003707F1">
        <w:rPr>
          <w:lang w:val="en-US"/>
        </w:rPr>
        <w:t>)</w:t>
      </w:r>
      <w:r w:rsidR="00CD6AEB" w:rsidRPr="003707F1">
        <w:rPr>
          <w:color w:val="000000"/>
          <w:lang w:val="en-US"/>
        </w:rPr>
        <w:t xml:space="preserve">. Table </w:t>
      </w:r>
      <w:r w:rsidR="00695C3C" w:rsidRPr="003707F1">
        <w:rPr>
          <w:color w:val="000000"/>
          <w:lang w:val="en-US"/>
        </w:rPr>
        <w:t xml:space="preserve">2 </w:t>
      </w:r>
      <w:proofErr w:type="spellStart"/>
      <w:r w:rsidR="00E65AB7" w:rsidRPr="003707F1">
        <w:rPr>
          <w:color w:val="000000"/>
          <w:lang w:val="en-US"/>
        </w:rPr>
        <w:t>summarises</w:t>
      </w:r>
      <w:proofErr w:type="spellEnd"/>
      <w:r w:rsidR="00E65AB7" w:rsidRPr="003707F1">
        <w:rPr>
          <w:color w:val="000000"/>
          <w:lang w:val="en-US"/>
        </w:rPr>
        <w:t xml:space="preserve"> </w:t>
      </w:r>
      <w:r w:rsidR="00CD6AEB" w:rsidRPr="003707F1">
        <w:rPr>
          <w:color w:val="000000"/>
          <w:lang w:val="en-US"/>
        </w:rPr>
        <w:t>the hypothesis tests and provides additional statistics.</w:t>
      </w:r>
    </w:p>
    <w:p w14:paraId="1B1C9B93" w14:textId="32D6BD01" w:rsidR="0051219A" w:rsidRPr="003707F1" w:rsidRDefault="0051219A" w:rsidP="0015533E">
      <w:pPr>
        <w:spacing w:line="360" w:lineRule="auto"/>
        <w:ind w:firstLine="720"/>
        <w:jc w:val="both"/>
        <w:rPr>
          <w:color w:val="000000"/>
          <w:lang w:val="en-US"/>
        </w:rPr>
      </w:pPr>
    </w:p>
    <w:p w14:paraId="5FD18401" w14:textId="16B7DE35" w:rsidR="00CB2A4B" w:rsidRDefault="00CB2A4B" w:rsidP="00063004">
      <w:pPr>
        <w:spacing w:line="360" w:lineRule="auto"/>
        <w:jc w:val="center"/>
        <w:rPr>
          <w:b/>
          <w:bCs/>
          <w:color w:val="000000"/>
          <w:lang w:val="en-US"/>
        </w:rPr>
      </w:pPr>
      <w:r w:rsidRPr="003707F1">
        <w:rPr>
          <w:b/>
          <w:bCs/>
          <w:color w:val="000000"/>
          <w:lang w:val="en-US"/>
        </w:rPr>
        <w:t xml:space="preserve">&gt;&gt;Insert Table </w:t>
      </w:r>
      <w:r w:rsidR="008A6D7A" w:rsidRPr="003707F1">
        <w:rPr>
          <w:b/>
          <w:bCs/>
          <w:color w:val="000000"/>
          <w:lang w:val="en-US"/>
        </w:rPr>
        <w:t>2</w:t>
      </w:r>
      <w:r w:rsidRPr="003707F1">
        <w:rPr>
          <w:b/>
          <w:bCs/>
          <w:color w:val="000000"/>
          <w:lang w:val="en-US"/>
        </w:rPr>
        <w:t xml:space="preserve"> here&lt;&lt;</w:t>
      </w:r>
    </w:p>
    <w:p w14:paraId="0E18679E" w14:textId="77777777" w:rsidR="0000119B" w:rsidRPr="003707F1" w:rsidRDefault="0000119B" w:rsidP="0000119B">
      <w:pPr>
        <w:spacing w:line="360" w:lineRule="auto"/>
        <w:rPr>
          <w:b/>
          <w:bCs/>
          <w:color w:val="000000"/>
        </w:rPr>
      </w:pPr>
    </w:p>
    <w:p w14:paraId="45B07ECF" w14:textId="222BE954" w:rsidR="00CB2A4B" w:rsidRPr="003707F1" w:rsidRDefault="00CB2A4B" w:rsidP="005F6058">
      <w:pPr>
        <w:spacing w:line="360" w:lineRule="auto"/>
        <w:jc w:val="center"/>
        <w:rPr>
          <w:b/>
          <w:bCs/>
          <w:color w:val="000000"/>
        </w:rPr>
      </w:pPr>
      <w:r w:rsidRPr="003707F1">
        <w:rPr>
          <w:b/>
          <w:bCs/>
          <w:color w:val="000000"/>
        </w:rPr>
        <w:t xml:space="preserve">&gt;&gt;Insert Figure </w:t>
      </w:r>
      <w:r w:rsidR="008A6D7A" w:rsidRPr="003707F1">
        <w:rPr>
          <w:b/>
          <w:bCs/>
          <w:color w:val="000000"/>
        </w:rPr>
        <w:t>2</w:t>
      </w:r>
      <w:r w:rsidRPr="003707F1">
        <w:rPr>
          <w:b/>
          <w:bCs/>
          <w:color w:val="000000"/>
        </w:rPr>
        <w:t xml:space="preserve"> here&lt;&lt;</w:t>
      </w:r>
    </w:p>
    <w:p w14:paraId="09A3113D" w14:textId="3943B99B" w:rsidR="0000119B" w:rsidRPr="003707F1" w:rsidRDefault="0000119B" w:rsidP="0000119B">
      <w:pPr>
        <w:spacing w:line="360" w:lineRule="auto"/>
        <w:rPr>
          <w:b/>
          <w:bCs/>
          <w:color w:val="000000"/>
        </w:rPr>
      </w:pPr>
    </w:p>
    <w:p w14:paraId="550F8703" w14:textId="4ED5C940" w:rsidR="00CB2A4B" w:rsidRDefault="00CB2A4B" w:rsidP="00063004">
      <w:pPr>
        <w:spacing w:line="360" w:lineRule="auto"/>
        <w:jc w:val="center"/>
        <w:rPr>
          <w:b/>
          <w:bCs/>
          <w:color w:val="000000"/>
        </w:rPr>
      </w:pPr>
      <w:r w:rsidRPr="003707F1">
        <w:rPr>
          <w:b/>
          <w:bCs/>
          <w:color w:val="000000"/>
        </w:rPr>
        <w:t xml:space="preserve">&gt;&gt;Insert Figure </w:t>
      </w:r>
      <w:r w:rsidR="008A6D7A" w:rsidRPr="003707F1">
        <w:rPr>
          <w:b/>
          <w:bCs/>
          <w:color w:val="000000"/>
        </w:rPr>
        <w:t>3</w:t>
      </w:r>
      <w:r w:rsidRPr="003707F1">
        <w:rPr>
          <w:b/>
          <w:bCs/>
          <w:color w:val="000000"/>
        </w:rPr>
        <w:t xml:space="preserve"> here&lt;&lt;</w:t>
      </w:r>
    </w:p>
    <w:p w14:paraId="7A968E5D" w14:textId="77777777" w:rsidR="00035E64" w:rsidRPr="003707F1" w:rsidRDefault="00035E64" w:rsidP="00063004">
      <w:pPr>
        <w:spacing w:line="360" w:lineRule="auto"/>
        <w:jc w:val="center"/>
        <w:rPr>
          <w:b/>
          <w:bCs/>
          <w:color w:val="000000"/>
        </w:rPr>
      </w:pPr>
    </w:p>
    <w:p w14:paraId="4E996CC1" w14:textId="763448B2" w:rsidR="0000119B" w:rsidRPr="003707F1" w:rsidRDefault="0000119B" w:rsidP="00063004">
      <w:pPr>
        <w:spacing w:line="360" w:lineRule="auto"/>
        <w:jc w:val="center"/>
        <w:rPr>
          <w:b/>
          <w:bCs/>
          <w:color w:val="000000"/>
        </w:rPr>
      </w:pPr>
    </w:p>
    <w:p w14:paraId="63BE3963" w14:textId="77777777" w:rsidR="00CB2A4B" w:rsidRPr="003707F1" w:rsidRDefault="00CB2A4B" w:rsidP="00CB2A4B">
      <w:pPr>
        <w:spacing w:after="200" w:line="276" w:lineRule="auto"/>
        <w:jc w:val="center"/>
        <w:rPr>
          <w:color w:val="000000"/>
          <w:lang w:val="en-US"/>
        </w:rPr>
      </w:pPr>
    </w:p>
    <w:p w14:paraId="4026900E" w14:textId="5C44C391" w:rsidR="00C911C7" w:rsidRPr="003707F1" w:rsidRDefault="00C911C7" w:rsidP="00CB2A4B">
      <w:pPr>
        <w:spacing w:after="200" w:line="276" w:lineRule="auto"/>
        <w:rPr>
          <w:b/>
        </w:rPr>
      </w:pPr>
      <w:r w:rsidRPr="003707F1">
        <w:rPr>
          <w:b/>
        </w:rPr>
        <w:t>Discussion</w:t>
      </w:r>
    </w:p>
    <w:p w14:paraId="755B433A" w14:textId="624A1E1A" w:rsidR="0019529B" w:rsidRPr="003707F1" w:rsidRDefault="0091096C" w:rsidP="005918E0">
      <w:pPr>
        <w:spacing w:line="360" w:lineRule="auto"/>
        <w:ind w:firstLine="720"/>
        <w:jc w:val="both"/>
        <w:rPr>
          <w:bCs/>
        </w:rPr>
      </w:pPr>
      <w:r w:rsidRPr="003707F1">
        <w:rPr>
          <w:bCs/>
        </w:rPr>
        <w:t>Building</w:t>
      </w:r>
      <w:r w:rsidR="00311805" w:rsidRPr="003707F1">
        <w:rPr>
          <w:bCs/>
        </w:rPr>
        <w:t xml:space="preserve"> on the </w:t>
      </w:r>
      <w:r w:rsidR="00802229" w:rsidRPr="003707F1">
        <w:rPr>
          <w:bCs/>
        </w:rPr>
        <w:t xml:space="preserve">concept of </w:t>
      </w:r>
      <w:r w:rsidR="00FD1AC3" w:rsidRPr="003707F1">
        <w:rPr>
          <w:bCs/>
        </w:rPr>
        <w:t xml:space="preserve">value </w:t>
      </w:r>
      <w:r w:rsidR="00802229" w:rsidRPr="003707F1">
        <w:rPr>
          <w:bCs/>
        </w:rPr>
        <w:t xml:space="preserve">congruence </w:t>
      </w:r>
      <w:r w:rsidR="00311805" w:rsidRPr="003707F1">
        <w:rPr>
          <w:bCs/>
        </w:rPr>
        <w:t xml:space="preserve">we </w:t>
      </w:r>
      <w:r w:rsidR="00E80ABF" w:rsidRPr="003707F1">
        <w:rPr>
          <w:bCs/>
        </w:rPr>
        <w:t>examined</w:t>
      </w:r>
      <w:r w:rsidR="00311805" w:rsidRPr="003707F1">
        <w:rPr>
          <w:bCs/>
        </w:rPr>
        <w:t xml:space="preserve"> </w:t>
      </w:r>
      <w:r w:rsidR="001B1EFD" w:rsidRPr="003707F1">
        <w:rPr>
          <w:bCs/>
        </w:rPr>
        <w:t xml:space="preserve">the assumption that </w:t>
      </w:r>
      <w:r w:rsidR="00311805" w:rsidRPr="003707F1">
        <w:rPr>
          <w:bCs/>
        </w:rPr>
        <w:t xml:space="preserve">the </w:t>
      </w:r>
      <w:r w:rsidR="0004196C" w:rsidRPr="003707F1">
        <w:rPr>
          <w:bCs/>
        </w:rPr>
        <w:t xml:space="preserve">conceptual </w:t>
      </w:r>
      <w:r w:rsidR="00876BF1" w:rsidRPr="003707F1">
        <w:rPr>
          <w:bCs/>
        </w:rPr>
        <w:t xml:space="preserve">congruence </w:t>
      </w:r>
      <w:r w:rsidR="00311805" w:rsidRPr="003707F1">
        <w:rPr>
          <w:bCs/>
        </w:rPr>
        <w:t xml:space="preserve">between individual cultural values </w:t>
      </w:r>
      <w:r w:rsidR="00E97A04" w:rsidRPr="003707F1">
        <w:rPr>
          <w:bCs/>
        </w:rPr>
        <w:t xml:space="preserve">of vertical/horizontal individualism </w:t>
      </w:r>
      <w:r w:rsidR="008358F6" w:rsidRPr="003707F1">
        <w:rPr>
          <w:bCs/>
        </w:rPr>
        <w:t xml:space="preserve">and collectivism </w:t>
      </w:r>
      <w:r w:rsidRPr="003707F1">
        <w:rPr>
          <w:bCs/>
        </w:rPr>
        <w:t xml:space="preserve">and </w:t>
      </w:r>
      <w:r w:rsidR="001B1EFD" w:rsidRPr="003707F1">
        <w:rPr>
          <w:bCs/>
        </w:rPr>
        <w:t xml:space="preserve">PCE </w:t>
      </w:r>
      <w:r w:rsidRPr="003707F1">
        <w:rPr>
          <w:bCs/>
        </w:rPr>
        <w:t>belief leads to higher levels of that belief. In addition, we tested the moderating effect of global and local social identities</w:t>
      </w:r>
      <w:r w:rsidR="0004196C" w:rsidRPr="003707F1">
        <w:rPr>
          <w:bCs/>
        </w:rPr>
        <w:t xml:space="preserve"> to examine if </w:t>
      </w:r>
      <w:r w:rsidR="00802229" w:rsidRPr="003707F1">
        <w:rPr>
          <w:bCs/>
        </w:rPr>
        <w:t xml:space="preserve">congruence between values and identities </w:t>
      </w:r>
      <w:r w:rsidR="00B32757" w:rsidRPr="003707F1">
        <w:rPr>
          <w:bCs/>
        </w:rPr>
        <w:t>influences</w:t>
      </w:r>
      <w:r w:rsidR="00802229" w:rsidRPr="003707F1">
        <w:rPr>
          <w:bCs/>
        </w:rPr>
        <w:t xml:space="preserve"> </w:t>
      </w:r>
      <w:r w:rsidR="0004196C" w:rsidRPr="003707F1">
        <w:rPr>
          <w:bCs/>
        </w:rPr>
        <w:t xml:space="preserve">the basic relationships. </w:t>
      </w:r>
    </w:p>
    <w:p w14:paraId="1D70F431" w14:textId="55897C4C" w:rsidR="00F86D0F" w:rsidRPr="003707F1" w:rsidRDefault="006F352C" w:rsidP="005918E0">
      <w:pPr>
        <w:spacing w:line="360" w:lineRule="auto"/>
        <w:ind w:firstLine="720"/>
        <w:jc w:val="both"/>
        <w:rPr>
          <w:bCs/>
        </w:rPr>
      </w:pPr>
      <w:r w:rsidRPr="003707F1">
        <w:rPr>
          <w:bCs/>
        </w:rPr>
        <w:t xml:space="preserve">The findings </w:t>
      </w:r>
      <w:r w:rsidR="001618FD" w:rsidRPr="003707F1">
        <w:rPr>
          <w:bCs/>
        </w:rPr>
        <w:t xml:space="preserve">demonstrated that </w:t>
      </w:r>
      <w:r w:rsidR="002D5403" w:rsidRPr="003707F1">
        <w:rPr>
          <w:bCs/>
        </w:rPr>
        <w:t>vertical individualist</w:t>
      </w:r>
      <w:r w:rsidR="0013036C" w:rsidRPr="003707F1">
        <w:rPr>
          <w:bCs/>
        </w:rPr>
        <w:t>s</w:t>
      </w:r>
      <w:r w:rsidR="002D5403" w:rsidRPr="003707F1">
        <w:rPr>
          <w:bCs/>
        </w:rPr>
        <w:t xml:space="preserve"> (those who believe in their own individual responsibility</w:t>
      </w:r>
      <w:r w:rsidR="00E47615" w:rsidRPr="003707F1">
        <w:rPr>
          <w:bCs/>
        </w:rPr>
        <w:t>,</w:t>
      </w:r>
      <w:r w:rsidR="002D5403" w:rsidRPr="003707F1">
        <w:rPr>
          <w:bCs/>
        </w:rPr>
        <w:t xml:space="preserve"> and competition) are more likely to </w:t>
      </w:r>
      <w:r w:rsidR="00FD1AC3" w:rsidRPr="003707F1">
        <w:rPr>
          <w:bCs/>
        </w:rPr>
        <w:t>believe</w:t>
      </w:r>
      <w:r w:rsidR="002D5403" w:rsidRPr="003707F1">
        <w:rPr>
          <w:bCs/>
        </w:rPr>
        <w:t xml:space="preserve"> that their </w:t>
      </w:r>
      <w:r w:rsidR="008831F1" w:rsidRPr="003707F1">
        <w:rPr>
          <w:bCs/>
        </w:rPr>
        <w:t xml:space="preserve">purchases matter for the environment, </w:t>
      </w:r>
      <w:r w:rsidR="008358F6" w:rsidRPr="003707F1">
        <w:rPr>
          <w:bCs/>
        </w:rPr>
        <w:t>community</w:t>
      </w:r>
      <w:r w:rsidR="00074229" w:rsidRPr="003707F1">
        <w:rPr>
          <w:bCs/>
        </w:rPr>
        <w:t>,</w:t>
      </w:r>
      <w:r w:rsidR="008358F6" w:rsidRPr="003707F1">
        <w:rPr>
          <w:bCs/>
        </w:rPr>
        <w:t xml:space="preserve"> and </w:t>
      </w:r>
      <w:r w:rsidR="008831F1" w:rsidRPr="003707F1">
        <w:rPr>
          <w:bCs/>
        </w:rPr>
        <w:t xml:space="preserve">employee welfare. </w:t>
      </w:r>
      <w:r w:rsidR="00876BF1" w:rsidRPr="003707F1">
        <w:rPr>
          <w:bCs/>
        </w:rPr>
        <w:t>T</w:t>
      </w:r>
      <w:r w:rsidR="002D5403" w:rsidRPr="003707F1">
        <w:rPr>
          <w:bCs/>
        </w:rPr>
        <w:t xml:space="preserve">his relationship </w:t>
      </w:r>
      <w:r w:rsidR="0013036C" w:rsidRPr="003707F1">
        <w:rPr>
          <w:bCs/>
        </w:rPr>
        <w:t xml:space="preserve">was </w:t>
      </w:r>
      <w:r w:rsidR="00133797" w:rsidRPr="003707F1">
        <w:rPr>
          <w:bCs/>
        </w:rPr>
        <w:t>strengthened</w:t>
      </w:r>
      <w:r w:rsidRPr="003707F1">
        <w:rPr>
          <w:bCs/>
        </w:rPr>
        <w:t xml:space="preserve"> by </w:t>
      </w:r>
      <w:r w:rsidR="002D5403" w:rsidRPr="003707F1">
        <w:rPr>
          <w:bCs/>
        </w:rPr>
        <w:t xml:space="preserve">the higher level of global identity. </w:t>
      </w:r>
      <w:r w:rsidR="00876BF1" w:rsidRPr="003707F1">
        <w:rPr>
          <w:bCs/>
        </w:rPr>
        <w:t xml:space="preserve">In this case, </w:t>
      </w:r>
      <w:r w:rsidR="008358F6" w:rsidRPr="003707F1">
        <w:rPr>
          <w:bCs/>
        </w:rPr>
        <w:t xml:space="preserve">the proposed </w:t>
      </w:r>
      <w:r w:rsidR="00876BF1" w:rsidRPr="003707F1">
        <w:rPr>
          <w:bCs/>
        </w:rPr>
        <w:t xml:space="preserve">congruence </w:t>
      </w:r>
      <w:r w:rsidR="0013036C" w:rsidRPr="003707F1">
        <w:rPr>
          <w:bCs/>
        </w:rPr>
        <w:t>was</w:t>
      </w:r>
      <w:r w:rsidR="00876BF1" w:rsidRPr="003707F1">
        <w:rPr>
          <w:bCs/>
        </w:rPr>
        <w:t xml:space="preserve"> supported. </w:t>
      </w:r>
      <w:r w:rsidR="002D5403" w:rsidRPr="003707F1">
        <w:rPr>
          <w:bCs/>
        </w:rPr>
        <w:t>Similarly, vertical collectivists also believe that their purchases matter, and this is even stronger when local identity increases</w:t>
      </w:r>
      <w:r w:rsidR="008358F6" w:rsidRPr="003707F1">
        <w:rPr>
          <w:bCs/>
        </w:rPr>
        <w:t>, but th</w:t>
      </w:r>
      <w:r w:rsidR="00E47615" w:rsidRPr="003707F1">
        <w:rPr>
          <w:bCs/>
        </w:rPr>
        <w:t>ese</w:t>
      </w:r>
      <w:r w:rsidR="008358F6" w:rsidRPr="003707F1">
        <w:rPr>
          <w:bCs/>
        </w:rPr>
        <w:t xml:space="preserve"> finding</w:t>
      </w:r>
      <w:r w:rsidR="00E47615" w:rsidRPr="003707F1">
        <w:rPr>
          <w:bCs/>
        </w:rPr>
        <w:t>s</w:t>
      </w:r>
      <w:r w:rsidR="008358F6" w:rsidRPr="003707F1">
        <w:rPr>
          <w:bCs/>
        </w:rPr>
        <w:t xml:space="preserve"> w</w:t>
      </w:r>
      <w:r w:rsidR="00E47615" w:rsidRPr="003707F1">
        <w:rPr>
          <w:bCs/>
        </w:rPr>
        <w:t>ere</w:t>
      </w:r>
      <w:r w:rsidR="008358F6" w:rsidRPr="003707F1">
        <w:rPr>
          <w:bCs/>
        </w:rPr>
        <w:t xml:space="preserve"> in opposition to </w:t>
      </w:r>
      <w:r w:rsidRPr="003707F1">
        <w:rPr>
          <w:bCs/>
        </w:rPr>
        <w:t xml:space="preserve">the postulated </w:t>
      </w:r>
      <w:r w:rsidR="008358F6" w:rsidRPr="003707F1">
        <w:rPr>
          <w:bCs/>
        </w:rPr>
        <w:t>hypothes</w:t>
      </w:r>
      <w:r w:rsidR="00E47615" w:rsidRPr="003707F1">
        <w:rPr>
          <w:bCs/>
        </w:rPr>
        <w:t>e</w:t>
      </w:r>
      <w:r w:rsidR="008358F6" w:rsidRPr="003707F1">
        <w:rPr>
          <w:bCs/>
        </w:rPr>
        <w:t xml:space="preserve">s. </w:t>
      </w:r>
      <w:r w:rsidR="00F86D0F" w:rsidRPr="003707F1">
        <w:rPr>
          <w:bCs/>
        </w:rPr>
        <w:t>The findings suggest that vertical individualists and vertical collectivists both belie</w:t>
      </w:r>
      <w:r w:rsidR="00074229" w:rsidRPr="003707F1">
        <w:rPr>
          <w:bCs/>
        </w:rPr>
        <w:t>ve</w:t>
      </w:r>
      <w:r w:rsidR="00F86D0F" w:rsidRPr="003707F1">
        <w:rPr>
          <w:bCs/>
        </w:rPr>
        <w:t xml:space="preserve"> their purchases matter, but they may hold these beliefs for different reasons. Vertical individualist</w:t>
      </w:r>
      <w:r w:rsidR="00074229" w:rsidRPr="003707F1">
        <w:rPr>
          <w:bCs/>
        </w:rPr>
        <w:t>s</w:t>
      </w:r>
      <w:r w:rsidR="00F86D0F" w:rsidRPr="003707F1">
        <w:rPr>
          <w:bCs/>
        </w:rPr>
        <w:t xml:space="preserve"> may think it is important to make considered purchases because they believe in </w:t>
      </w:r>
      <w:r w:rsidR="00F86D0F" w:rsidRPr="003707F1">
        <w:rPr>
          <w:bCs/>
        </w:rPr>
        <w:lastRenderedPageBreak/>
        <w:t xml:space="preserve">the power of their own individual actions, and vertical collectivists may hold these beliefs because of the impact their individual purchases have on their groups. However, this interpretation requires further examination, by for example exploring motives behind those beliefs. </w:t>
      </w:r>
    </w:p>
    <w:p w14:paraId="63EBF22C" w14:textId="167261B1" w:rsidR="00D31A9E" w:rsidRPr="003707F1" w:rsidRDefault="002D5403" w:rsidP="00695C3C">
      <w:pPr>
        <w:spacing w:line="360" w:lineRule="auto"/>
        <w:ind w:firstLine="720"/>
        <w:jc w:val="both"/>
        <w:rPr>
          <w:bCs/>
        </w:rPr>
      </w:pPr>
      <w:r w:rsidRPr="003707F1">
        <w:rPr>
          <w:bCs/>
        </w:rPr>
        <w:t xml:space="preserve">Even though </w:t>
      </w:r>
      <w:r w:rsidR="00AF05C6" w:rsidRPr="003707F1">
        <w:rPr>
          <w:bCs/>
        </w:rPr>
        <w:t>the results provide limited support for the proposition that value congruence explains the relationship between values</w:t>
      </w:r>
      <w:r w:rsidR="00876BF1" w:rsidRPr="003707F1">
        <w:rPr>
          <w:bCs/>
        </w:rPr>
        <w:t>, social identities</w:t>
      </w:r>
      <w:r w:rsidR="00074229" w:rsidRPr="003707F1">
        <w:rPr>
          <w:bCs/>
        </w:rPr>
        <w:t>,</w:t>
      </w:r>
      <w:r w:rsidR="00AF05C6" w:rsidRPr="003707F1">
        <w:rPr>
          <w:bCs/>
        </w:rPr>
        <w:t xml:space="preserve"> and beliefs, </w:t>
      </w:r>
      <w:r w:rsidR="006F352C" w:rsidRPr="003707F1">
        <w:rPr>
          <w:bCs/>
        </w:rPr>
        <w:t xml:space="preserve">the </w:t>
      </w:r>
      <w:r w:rsidR="00AF05C6" w:rsidRPr="003707F1">
        <w:rPr>
          <w:bCs/>
        </w:rPr>
        <w:t xml:space="preserve">findings are not at odds with previous research. </w:t>
      </w:r>
      <w:r w:rsidR="00876BF1" w:rsidRPr="003707F1">
        <w:rPr>
          <w:bCs/>
        </w:rPr>
        <w:t xml:space="preserve">Studies that examined the relations </w:t>
      </w:r>
      <w:r w:rsidR="00CD0706" w:rsidRPr="003707F1">
        <w:rPr>
          <w:bCs/>
        </w:rPr>
        <w:t>between</w:t>
      </w:r>
      <w:r w:rsidR="00876BF1" w:rsidRPr="003707F1">
        <w:rPr>
          <w:bCs/>
        </w:rPr>
        <w:t xml:space="preserve"> vertical/horizontal individualism and collectivism and PCE, or broader sustainable consumption behaviour, produced inconclusive findings. Cho et al., (2013) found that vertical individualism was positively related to PCE amongst consumers in the USA and South Korea, but contrary to </w:t>
      </w:r>
      <w:r w:rsidR="007A5FDD" w:rsidRPr="003707F1">
        <w:rPr>
          <w:bCs/>
        </w:rPr>
        <w:t>the current findings</w:t>
      </w:r>
      <w:r w:rsidR="00876BF1" w:rsidRPr="003707F1">
        <w:rPr>
          <w:bCs/>
        </w:rPr>
        <w:t xml:space="preserve">, </w:t>
      </w:r>
      <w:r w:rsidR="001F482D" w:rsidRPr="003707F1">
        <w:rPr>
          <w:bCs/>
        </w:rPr>
        <w:t>Cho et al. (2013</w:t>
      </w:r>
      <w:proofErr w:type="gramStart"/>
      <w:r w:rsidR="001F482D" w:rsidRPr="003707F1">
        <w:rPr>
          <w:bCs/>
        </w:rPr>
        <w:t xml:space="preserve">) </w:t>
      </w:r>
      <w:r w:rsidR="00876BF1" w:rsidRPr="003707F1">
        <w:rPr>
          <w:bCs/>
        </w:rPr>
        <w:t xml:space="preserve"> found</w:t>
      </w:r>
      <w:proofErr w:type="gramEnd"/>
      <w:r w:rsidR="00876BF1" w:rsidRPr="003707F1">
        <w:rPr>
          <w:bCs/>
        </w:rPr>
        <w:t xml:space="preserve"> it was horizontal collectivism not vertical collectivism that </w:t>
      </w:r>
      <w:r w:rsidR="00AF02C7" w:rsidRPr="003707F1">
        <w:rPr>
          <w:bCs/>
        </w:rPr>
        <w:t xml:space="preserve">was </w:t>
      </w:r>
      <w:r w:rsidR="00876BF1" w:rsidRPr="003707F1">
        <w:rPr>
          <w:bCs/>
        </w:rPr>
        <w:t xml:space="preserve">positively </w:t>
      </w:r>
      <w:r w:rsidR="00AF02C7" w:rsidRPr="003707F1">
        <w:rPr>
          <w:bCs/>
        </w:rPr>
        <w:t xml:space="preserve">associated with </w:t>
      </w:r>
      <w:r w:rsidR="00876BF1" w:rsidRPr="003707F1">
        <w:rPr>
          <w:bCs/>
        </w:rPr>
        <w:t>PCE.</w:t>
      </w:r>
      <w:r w:rsidR="00AF05C6" w:rsidRPr="003707F1">
        <w:rPr>
          <w:bCs/>
        </w:rPr>
        <w:t xml:space="preserve"> </w:t>
      </w:r>
      <w:r w:rsidR="006E3BD0" w:rsidRPr="003707F1">
        <w:rPr>
          <w:bCs/>
        </w:rPr>
        <w:t>Ali et al</w:t>
      </w:r>
      <w:r w:rsidR="008831F1" w:rsidRPr="003707F1">
        <w:rPr>
          <w:bCs/>
        </w:rPr>
        <w:t>. (2019)</w:t>
      </w:r>
      <w:r w:rsidR="006E3BD0" w:rsidRPr="003707F1">
        <w:rPr>
          <w:bCs/>
        </w:rPr>
        <w:t xml:space="preserve"> found that vertical individualism and vertical collectivism play a </w:t>
      </w:r>
      <w:r w:rsidR="008831F1" w:rsidRPr="003707F1">
        <w:rPr>
          <w:bCs/>
        </w:rPr>
        <w:t xml:space="preserve">positive moderating </w:t>
      </w:r>
      <w:r w:rsidR="006E3BD0" w:rsidRPr="003707F1">
        <w:rPr>
          <w:bCs/>
        </w:rPr>
        <w:t>role in motivations for purchasing green cars</w:t>
      </w:r>
      <w:r w:rsidR="008831F1" w:rsidRPr="003707F1">
        <w:rPr>
          <w:bCs/>
        </w:rPr>
        <w:t xml:space="preserve"> amongst Chinese </w:t>
      </w:r>
      <w:r w:rsidR="003A08E3" w:rsidRPr="003707F1">
        <w:rPr>
          <w:bCs/>
        </w:rPr>
        <w:t xml:space="preserve">and German </w:t>
      </w:r>
      <w:r w:rsidR="008831F1" w:rsidRPr="003707F1">
        <w:rPr>
          <w:bCs/>
        </w:rPr>
        <w:t>consumers</w:t>
      </w:r>
      <w:r w:rsidR="006E3BD0" w:rsidRPr="003707F1">
        <w:rPr>
          <w:bCs/>
        </w:rPr>
        <w:t>. However, the</w:t>
      </w:r>
      <w:r w:rsidR="00406310" w:rsidRPr="003707F1">
        <w:rPr>
          <w:bCs/>
        </w:rPr>
        <w:t xml:space="preserve"> authors</w:t>
      </w:r>
      <w:r w:rsidR="006E3BD0" w:rsidRPr="003707F1">
        <w:rPr>
          <w:bCs/>
        </w:rPr>
        <w:t xml:space="preserve"> found that horizontal collectivism too is important. </w:t>
      </w:r>
      <w:r w:rsidR="00887B49" w:rsidRPr="003707F1">
        <w:rPr>
          <w:bCs/>
        </w:rPr>
        <w:t xml:space="preserve">These inconclusive findings suggest that both dimensions of individualism and collectivism are positively related to PCE but both individualists and collectivists </w:t>
      </w:r>
      <w:r w:rsidR="00154D3D" w:rsidRPr="003707F1">
        <w:rPr>
          <w:bCs/>
        </w:rPr>
        <w:t>hold such b</w:t>
      </w:r>
      <w:r w:rsidR="003C64D6" w:rsidRPr="003707F1">
        <w:rPr>
          <w:bCs/>
        </w:rPr>
        <w:t>e</w:t>
      </w:r>
      <w:r w:rsidR="00154D3D" w:rsidRPr="003707F1">
        <w:rPr>
          <w:bCs/>
        </w:rPr>
        <w:t xml:space="preserve">liefs for different reasons. </w:t>
      </w:r>
    </w:p>
    <w:p w14:paraId="1CA56271" w14:textId="11A7BCDF" w:rsidR="00081895" w:rsidRPr="003707F1" w:rsidRDefault="007302FE" w:rsidP="005918E0">
      <w:pPr>
        <w:spacing w:line="360" w:lineRule="auto"/>
        <w:ind w:firstLine="720"/>
        <w:jc w:val="both"/>
        <w:rPr>
          <w:bCs/>
        </w:rPr>
      </w:pPr>
      <w:r w:rsidRPr="003707F1">
        <w:rPr>
          <w:bCs/>
        </w:rPr>
        <w:t>Moreover</w:t>
      </w:r>
      <w:r w:rsidR="00081895" w:rsidRPr="003707F1">
        <w:rPr>
          <w:bCs/>
        </w:rPr>
        <w:t xml:space="preserve">, the study’s </w:t>
      </w:r>
      <w:r w:rsidR="00695C3C" w:rsidRPr="003707F1">
        <w:rPr>
          <w:bCs/>
        </w:rPr>
        <w:t xml:space="preserve">findings </w:t>
      </w:r>
      <w:r w:rsidR="00081895" w:rsidRPr="003707F1">
        <w:rPr>
          <w:bCs/>
        </w:rPr>
        <w:t>confirm that social identity can act as an amplifier</w:t>
      </w:r>
      <w:r w:rsidR="001B1EFD" w:rsidRPr="003707F1">
        <w:rPr>
          <w:bCs/>
        </w:rPr>
        <w:t xml:space="preserve">, hence provides support to assertions that social identities are important in explaining, </w:t>
      </w:r>
      <w:proofErr w:type="gramStart"/>
      <w:r w:rsidR="001B1EFD" w:rsidRPr="003707F1">
        <w:rPr>
          <w:bCs/>
        </w:rPr>
        <w:t>predicting</w:t>
      </w:r>
      <w:proofErr w:type="gramEnd"/>
      <w:r w:rsidR="001B1EFD" w:rsidRPr="003707F1">
        <w:rPr>
          <w:bCs/>
        </w:rPr>
        <w:t xml:space="preserve"> and possibly influencing sustainable consumer behaviours and intentions (White et al., 2019)</w:t>
      </w:r>
      <w:r w:rsidR="00081895" w:rsidRPr="003707F1">
        <w:rPr>
          <w:bCs/>
        </w:rPr>
        <w:t xml:space="preserve">. The positive relationship between individuals’ level of vertical individualism and PCE is positively moderated by global identity, and the positive relationship between vertical collectivism and PCE is positively moderated by local identity. This </w:t>
      </w:r>
      <w:r w:rsidR="003C64D6" w:rsidRPr="003707F1">
        <w:rPr>
          <w:bCs/>
        </w:rPr>
        <w:t>suggests</w:t>
      </w:r>
      <w:r w:rsidR="00081895" w:rsidRPr="003707F1">
        <w:rPr>
          <w:bCs/>
        </w:rPr>
        <w:t xml:space="preserve"> that the stronger the global or local identity is, the stronger the effect of values on PCE is, confirming the significance of social identity </w:t>
      </w:r>
      <w:r w:rsidR="00B26A03" w:rsidRPr="003707F1">
        <w:rPr>
          <w:bCs/>
        </w:rPr>
        <w:t xml:space="preserve">and its impact on </w:t>
      </w:r>
      <w:r w:rsidR="00081895" w:rsidRPr="003707F1">
        <w:rPr>
          <w:bCs/>
        </w:rPr>
        <w:t xml:space="preserve">beliefs of </w:t>
      </w:r>
      <w:r w:rsidR="00B26A03" w:rsidRPr="003707F1">
        <w:rPr>
          <w:bCs/>
        </w:rPr>
        <w:t xml:space="preserve">consumer </w:t>
      </w:r>
      <w:r w:rsidR="00081895" w:rsidRPr="003707F1">
        <w:rPr>
          <w:bCs/>
        </w:rPr>
        <w:t xml:space="preserve">self-efficacy. </w:t>
      </w:r>
    </w:p>
    <w:p w14:paraId="2C924B0D" w14:textId="77777777" w:rsidR="00520E59" w:rsidRPr="003707F1" w:rsidRDefault="00520E59" w:rsidP="005918E0">
      <w:pPr>
        <w:spacing w:line="360" w:lineRule="auto"/>
        <w:contextualSpacing/>
        <w:jc w:val="both"/>
        <w:rPr>
          <w:b/>
          <w:lang w:val="en-US"/>
        </w:rPr>
      </w:pPr>
    </w:p>
    <w:p w14:paraId="4756C2E3" w14:textId="029516A4" w:rsidR="00520E59" w:rsidRPr="003707F1" w:rsidRDefault="00520E59" w:rsidP="005918E0">
      <w:pPr>
        <w:spacing w:line="360" w:lineRule="auto"/>
        <w:contextualSpacing/>
        <w:jc w:val="both"/>
        <w:rPr>
          <w:b/>
          <w:i/>
          <w:iCs/>
          <w:color w:val="000000"/>
          <w:lang w:val="en-US"/>
        </w:rPr>
      </w:pPr>
      <w:r w:rsidRPr="003707F1">
        <w:rPr>
          <w:b/>
          <w:i/>
          <w:iCs/>
          <w:color w:val="000000"/>
          <w:lang w:val="en-US"/>
        </w:rPr>
        <w:t xml:space="preserve">Theoretical contributions </w:t>
      </w:r>
    </w:p>
    <w:p w14:paraId="667F6C75" w14:textId="3009B6A5" w:rsidR="00520E59" w:rsidRPr="003707F1" w:rsidRDefault="00520E59" w:rsidP="00695C3C">
      <w:pPr>
        <w:spacing w:line="360" w:lineRule="auto"/>
        <w:ind w:firstLine="720"/>
        <w:contextualSpacing/>
        <w:jc w:val="both"/>
        <w:rPr>
          <w:color w:val="000000"/>
          <w:lang w:val="en-US"/>
        </w:rPr>
      </w:pPr>
      <w:r w:rsidRPr="003707F1">
        <w:rPr>
          <w:color w:val="000000"/>
          <w:lang w:val="en-US"/>
        </w:rPr>
        <w:t>Theoretically, this study offers t</w:t>
      </w:r>
      <w:r w:rsidR="00A31508" w:rsidRPr="003707F1">
        <w:rPr>
          <w:color w:val="000000"/>
          <w:lang w:val="en-US"/>
        </w:rPr>
        <w:t>he following</w:t>
      </w:r>
      <w:r w:rsidRPr="003707F1">
        <w:rPr>
          <w:color w:val="000000"/>
          <w:lang w:val="en-US"/>
        </w:rPr>
        <w:t xml:space="preserve"> contributions. First, it </w:t>
      </w:r>
      <w:r w:rsidR="00954DEF" w:rsidRPr="003707F1">
        <w:rPr>
          <w:color w:val="000000"/>
          <w:lang w:val="en-US"/>
        </w:rPr>
        <w:t xml:space="preserve">provides context-specific evidence </w:t>
      </w:r>
      <w:r w:rsidR="00445163" w:rsidRPr="003707F1">
        <w:rPr>
          <w:color w:val="000000"/>
          <w:lang w:val="en-US"/>
        </w:rPr>
        <w:t xml:space="preserve">from an understudied market </w:t>
      </w:r>
      <w:r w:rsidR="00954DEF" w:rsidRPr="003707F1">
        <w:rPr>
          <w:color w:val="000000"/>
          <w:lang w:val="en-US"/>
        </w:rPr>
        <w:t xml:space="preserve">that </w:t>
      </w:r>
      <w:r w:rsidR="00F12CA2" w:rsidRPr="003707F1">
        <w:rPr>
          <w:color w:val="000000"/>
          <w:lang w:val="en-US"/>
        </w:rPr>
        <w:t xml:space="preserve">supports the notion that the conceptual distinction </w:t>
      </w:r>
      <w:proofErr w:type="gramStart"/>
      <w:r w:rsidR="00F12CA2" w:rsidRPr="003707F1">
        <w:rPr>
          <w:color w:val="000000"/>
          <w:lang w:val="en-US"/>
        </w:rPr>
        <w:t xml:space="preserve">between </w:t>
      </w:r>
      <w:r w:rsidRPr="003707F1">
        <w:rPr>
          <w:color w:val="000000"/>
          <w:lang w:val="en-US"/>
        </w:rPr>
        <w:t xml:space="preserve"> vertical</w:t>
      </w:r>
      <w:proofErr w:type="gramEnd"/>
      <w:r w:rsidRPr="003707F1">
        <w:rPr>
          <w:color w:val="000000"/>
          <w:lang w:val="en-US"/>
        </w:rPr>
        <w:t xml:space="preserve"> and horizontal values of the individualism-collectivism dimension </w:t>
      </w:r>
      <w:r w:rsidR="00F12CA2" w:rsidRPr="003707F1">
        <w:rPr>
          <w:color w:val="000000"/>
          <w:lang w:val="en-US"/>
        </w:rPr>
        <w:t xml:space="preserve">matters in explaining consumer behavior </w:t>
      </w:r>
      <w:r w:rsidRPr="003707F1">
        <w:rPr>
          <w:color w:val="000000"/>
          <w:lang w:val="en-US"/>
        </w:rPr>
        <w:t>(</w:t>
      </w:r>
      <w:proofErr w:type="spellStart"/>
      <w:r w:rsidR="00F12CA2" w:rsidRPr="003707F1">
        <w:rPr>
          <w:color w:val="000000"/>
          <w:lang w:val="en-US"/>
        </w:rPr>
        <w:t>Fatehi</w:t>
      </w:r>
      <w:proofErr w:type="spellEnd"/>
      <w:r w:rsidR="00F12CA2" w:rsidRPr="003707F1">
        <w:rPr>
          <w:color w:val="000000"/>
          <w:lang w:val="en-US"/>
        </w:rPr>
        <w:t xml:space="preserve">, Priestley &amp; </w:t>
      </w:r>
      <w:proofErr w:type="spellStart"/>
      <w:r w:rsidR="00F12CA2" w:rsidRPr="003707F1">
        <w:rPr>
          <w:color w:val="000000"/>
          <w:lang w:val="en-US"/>
        </w:rPr>
        <w:t>Taasoobshirazi</w:t>
      </w:r>
      <w:proofErr w:type="spellEnd"/>
      <w:r w:rsidR="00F12CA2" w:rsidRPr="003707F1">
        <w:rPr>
          <w:color w:val="000000"/>
          <w:lang w:val="en-US"/>
        </w:rPr>
        <w:t xml:space="preserve">, 2020; Czarnecka, Schivinski &amp; Keles, 2020; Cho et al., 2013; </w:t>
      </w:r>
      <w:proofErr w:type="spellStart"/>
      <w:r w:rsidRPr="003707F1">
        <w:rPr>
          <w:color w:val="000000"/>
          <w:lang w:val="en-US"/>
        </w:rPr>
        <w:t>Shavitt</w:t>
      </w:r>
      <w:proofErr w:type="spellEnd"/>
      <w:r w:rsidRPr="003707F1">
        <w:rPr>
          <w:color w:val="000000"/>
          <w:lang w:val="en-US"/>
        </w:rPr>
        <w:t xml:space="preserve"> &amp; Cho, 2016).</w:t>
      </w:r>
      <w:r w:rsidRPr="003707F1">
        <w:t xml:space="preserve"> </w:t>
      </w:r>
      <w:r w:rsidR="007A5FDD" w:rsidRPr="003707F1">
        <w:rPr>
          <w:color w:val="000000"/>
          <w:lang w:val="en-US"/>
        </w:rPr>
        <w:t xml:space="preserve">The current </w:t>
      </w:r>
      <w:r w:rsidRPr="003707F1">
        <w:rPr>
          <w:color w:val="000000"/>
          <w:lang w:val="en-US"/>
        </w:rPr>
        <w:t>study suggests that it is the vertical versus horizontal distinction that plays a role in explaining consumers’</w:t>
      </w:r>
      <w:r w:rsidR="00D17A72" w:rsidRPr="003707F1">
        <w:rPr>
          <w:color w:val="000000"/>
          <w:lang w:val="en-US"/>
        </w:rPr>
        <w:t xml:space="preserve"> level of PCE</w:t>
      </w:r>
      <w:r w:rsidR="00CD0706" w:rsidRPr="003707F1">
        <w:rPr>
          <w:color w:val="000000"/>
          <w:lang w:val="en-US"/>
        </w:rPr>
        <w:t xml:space="preserve"> in the studied sample</w:t>
      </w:r>
      <w:r w:rsidRPr="003707F1">
        <w:rPr>
          <w:color w:val="000000"/>
          <w:lang w:val="en-US"/>
        </w:rPr>
        <w:t xml:space="preserve">. The level of </w:t>
      </w:r>
      <w:r w:rsidR="00D17A72" w:rsidRPr="003707F1">
        <w:rPr>
          <w:color w:val="000000"/>
          <w:lang w:val="en-US"/>
        </w:rPr>
        <w:t xml:space="preserve">PCE </w:t>
      </w:r>
      <w:r w:rsidRPr="003707F1">
        <w:rPr>
          <w:color w:val="000000"/>
          <w:lang w:val="en-US"/>
        </w:rPr>
        <w:t xml:space="preserve">is </w:t>
      </w:r>
      <w:r w:rsidR="00F12CA2" w:rsidRPr="003707F1">
        <w:rPr>
          <w:color w:val="000000"/>
          <w:lang w:val="en-US"/>
        </w:rPr>
        <w:t xml:space="preserve">related to </w:t>
      </w:r>
      <w:r w:rsidRPr="003707F1">
        <w:rPr>
          <w:color w:val="000000"/>
          <w:lang w:val="en-US"/>
        </w:rPr>
        <w:t xml:space="preserve">a person’s </w:t>
      </w:r>
      <w:r w:rsidRPr="003707F1">
        <w:rPr>
          <w:color w:val="000000"/>
          <w:lang w:val="en-US"/>
        </w:rPr>
        <w:lastRenderedPageBreak/>
        <w:t>preference for social hierarchies</w:t>
      </w:r>
      <w:r w:rsidR="00F12CA2" w:rsidRPr="003707F1">
        <w:rPr>
          <w:color w:val="000000"/>
          <w:lang w:val="en-US"/>
        </w:rPr>
        <w:t xml:space="preserve"> between individuals amongst other individuals, and between individuals within groups. </w:t>
      </w:r>
      <w:r w:rsidRPr="003707F1">
        <w:rPr>
          <w:color w:val="000000"/>
          <w:lang w:val="en-US"/>
        </w:rPr>
        <w:t xml:space="preserve"> </w:t>
      </w:r>
      <w:r w:rsidR="005B495F" w:rsidRPr="003707F1">
        <w:rPr>
          <w:color w:val="000000"/>
          <w:lang w:val="en-US"/>
        </w:rPr>
        <w:t>Those individuals who believe that success is an individual achievement</w:t>
      </w:r>
      <w:r w:rsidR="001D7BFE" w:rsidRPr="003707F1">
        <w:rPr>
          <w:color w:val="000000"/>
          <w:lang w:val="en-US"/>
        </w:rPr>
        <w:t xml:space="preserve"> (</w:t>
      </w:r>
      <w:r w:rsidR="005B495F" w:rsidRPr="003707F1">
        <w:rPr>
          <w:color w:val="000000"/>
          <w:lang w:val="en-US"/>
        </w:rPr>
        <w:t xml:space="preserve">attributed only to the </w:t>
      </w:r>
      <w:r w:rsidR="0050620E" w:rsidRPr="003707F1">
        <w:rPr>
          <w:color w:val="000000"/>
          <w:lang w:val="en-US"/>
        </w:rPr>
        <w:t>individual</w:t>
      </w:r>
      <w:r w:rsidR="001D7BFE" w:rsidRPr="003707F1">
        <w:rPr>
          <w:color w:val="000000"/>
          <w:lang w:val="en-US"/>
        </w:rPr>
        <w:t>)</w:t>
      </w:r>
      <w:r w:rsidR="005B495F" w:rsidRPr="003707F1">
        <w:rPr>
          <w:color w:val="000000"/>
          <w:lang w:val="en-US"/>
        </w:rPr>
        <w:t>, and those who believe they must sacrifice their own interests for the benefit of the group (hence, their own individual action is important for the benefit of the group) are more likely to believe their individual actions matter in the context of consumption’s impact on the environment, employee</w:t>
      </w:r>
      <w:r w:rsidR="001D7BFE" w:rsidRPr="003707F1">
        <w:rPr>
          <w:color w:val="000000"/>
          <w:lang w:val="en-US"/>
        </w:rPr>
        <w:t xml:space="preserve"> welfare</w:t>
      </w:r>
      <w:r w:rsidR="005B495F" w:rsidRPr="003707F1">
        <w:rPr>
          <w:color w:val="000000"/>
          <w:lang w:val="en-US"/>
        </w:rPr>
        <w:t xml:space="preserve"> and social issues.</w:t>
      </w:r>
      <w:r w:rsidR="009660AC" w:rsidRPr="003707F1">
        <w:t xml:space="preserve"> </w:t>
      </w:r>
      <w:r w:rsidR="009F0210" w:rsidRPr="003707F1">
        <w:t>It also suggests that both individu</w:t>
      </w:r>
      <w:r w:rsidR="00E6704D" w:rsidRPr="003707F1">
        <w:t>a</w:t>
      </w:r>
      <w:r w:rsidR="009F0210" w:rsidRPr="003707F1">
        <w:t xml:space="preserve">lists and collectivists exhibit </w:t>
      </w:r>
      <w:proofErr w:type="gramStart"/>
      <w:r w:rsidR="009F0210" w:rsidRPr="003707F1">
        <w:t>PCE</w:t>
      </w:r>
      <w:proofErr w:type="gramEnd"/>
      <w:r w:rsidR="009F0210" w:rsidRPr="003707F1">
        <w:t xml:space="preserve"> but they may hold these beliefs for different reasons – </w:t>
      </w:r>
      <w:r w:rsidR="00695C3C" w:rsidRPr="003707F1">
        <w:t>vertical individualism</w:t>
      </w:r>
      <w:r w:rsidR="009F0210" w:rsidRPr="003707F1">
        <w:t xml:space="preserve"> because of </w:t>
      </w:r>
      <w:r w:rsidR="00695C3C" w:rsidRPr="003707F1">
        <w:t>personal</w:t>
      </w:r>
      <w:r w:rsidR="009F0210" w:rsidRPr="003707F1">
        <w:t xml:space="preserve"> gain, and </w:t>
      </w:r>
      <w:r w:rsidR="00695C3C" w:rsidRPr="003707F1">
        <w:t xml:space="preserve">vertical collectivism </w:t>
      </w:r>
      <w:r w:rsidR="009F0210" w:rsidRPr="003707F1">
        <w:t xml:space="preserve">because of benefit for the group. </w:t>
      </w:r>
      <w:r w:rsidR="00D9493F" w:rsidRPr="003707F1">
        <w:rPr>
          <w:color w:val="000000"/>
          <w:lang w:val="en-US"/>
        </w:rPr>
        <w:t>Moreover, the study confirms the importance of social identities as a factor that influences PCE.</w:t>
      </w:r>
    </w:p>
    <w:p w14:paraId="7916F205" w14:textId="3B935EBB" w:rsidR="00E61561" w:rsidRPr="003707F1" w:rsidRDefault="00520E59" w:rsidP="005918E0">
      <w:pPr>
        <w:spacing w:line="360" w:lineRule="auto"/>
        <w:ind w:firstLine="720"/>
        <w:contextualSpacing/>
        <w:jc w:val="both"/>
        <w:rPr>
          <w:color w:val="000000"/>
          <w:lang w:val="en-US"/>
        </w:rPr>
      </w:pPr>
      <w:r w:rsidRPr="003707F1">
        <w:rPr>
          <w:color w:val="000000"/>
          <w:lang w:val="en-US"/>
        </w:rPr>
        <w:t xml:space="preserve">Second, the results of the study suggest that the </w:t>
      </w:r>
      <w:r w:rsidR="008C46BE" w:rsidRPr="003707F1">
        <w:rPr>
          <w:color w:val="000000"/>
          <w:lang w:val="en-US"/>
        </w:rPr>
        <w:t xml:space="preserve">conceptual value </w:t>
      </w:r>
      <w:r w:rsidR="00B764D1" w:rsidRPr="003707F1">
        <w:rPr>
          <w:color w:val="000000"/>
          <w:lang w:val="en-US"/>
        </w:rPr>
        <w:t xml:space="preserve">congruence proposition only partially explains the relationships between variables. </w:t>
      </w:r>
      <w:r w:rsidR="0019529B" w:rsidRPr="003707F1">
        <w:rPr>
          <w:color w:val="000000"/>
          <w:lang w:val="en-US"/>
        </w:rPr>
        <w:t>Specifically,</w:t>
      </w:r>
      <w:r w:rsidR="008C46BE" w:rsidRPr="003707F1">
        <w:rPr>
          <w:color w:val="000000"/>
          <w:lang w:val="en-US"/>
        </w:rPr>
        <w:t xml:space="preserve"> </w:t>
      </w:r>
      <w:r w:rsidR="005E3E4E" w:rsidRPr="003707F1">
        <w:rPr>
          <w:color w:val="000000"/>
          <w:lang w:val="en-US"/>
        </w:rPr>
        <w:t>vertical individualism</w:t>
      </w:r>
      <w:r w:rsidR="008C46BE" w:rsidRPr="003707F1">
        <w:rPr>
          <w:color w:val="000000"/>
          <w:lang w:val="en-US"/>
        </w:rPr>
        <w:t xml:space="preserve"> and</w:t>
      </w:r>
      <w:r w:rsidR="00B764D1" w:rsidRPr="003707F1">
        <w:rPr>
          <w:color w:val="000000"/>
          <w:lang w:val="en-US"/>
        </w:rPr>
        <w:t xml:space="preserve"> global identity lead to increase of PCE, and local identity increases PCE for vertical collectivists. Perhaps, the congruency here should be defined by responsibility rather than orientation between </w:t>
      </w:r>
      <w:r w:rsidR="005E3E4E" w:rsidRPr="003707F1">
        <w:rPr>
          <w:color w:val="000000"/>
          <w:lang w:val="en-US"/>
        </w:rPr>
        <w:t>individualism-collectivism</w:t>
      </w:r>
      <w:r w:rsidR="00B764D1" w:rsidRPr="003707F1">
        <w:rPr>
          <w:color w:val="000000"/>
          <w:lang w:val="en-US"/>
        </w:rPr>
        <w:t xml:space="preserve">. </w:t>
      </w:r>
      <w:r w:rsidRPr="003707F1">
        <w:rPr>
          <w:color w:val="000000"/>
          <w:lang w:val="en-US"/>
        </w:rPr>
        <w:t xml:space="preserve">The finding of the importance of vertical orientation for the </w:t>
      </w:r>
      <w:r w:rsidR="00E61561" w:rsidRPr="003707F1">
        <w:rPr>
          <w:color w:val="000000"/>
          <w:lang w:val="en-US"/>
        </w:rPr>
        <w:t xml:space="preserve">higher level of </w:t>
      </w:r>
      <w:r w:rsidR="00C522F6" w:rsidRPr="003707F1">
        <w:rPr>
          <w:color w:val="000000"/>
          <w:lang w:val="en-US"/>
        </w:rPr>
        <w:t>PCE suggests</w:t>
      </w:r>
      <w:r w:rsidRPr="003707F1">
        <w:rPr>
          <w:color w:val="000000"/>
          <w:lang w:val="en-US"/>
        </w:rPr>
        <w:t xml:space="preserve"> that consumers who accept inequality and social hierarchies between individuals, or hierarchies between individuals in groups</w:t>
      </w:r>
      <w:r w:rsidR="00E61561" w:rsidRPr="003707F1">
        <w:rPr>
          <w:color w:val="000000"/>
          <w:lang w:val="en-US"/>
        </w:rPr>
        <w:t xml:space="preserve"> perceive themselves as more responsible</w:t>
      </w:r>
      <w:r w:rsidR="00695C3C" w:rsidRPr="003707F1">
        <w:rPr>
          <w:color w:val="000000"/>
          <w:lang w:val="en-US"/>
        </w:rPr>
        <w:t>.</w:t>
      </w:r>
      <w:r w:rsidR="00E61561" w:rsidRPr="003707F1">
        <w:rPr>
          <w:color w:val="000000"/>
          <w:lang w:val="en-US"/>
        </w:rPr>
        <w:t xml:space="preserve"> </w:t>
      </w:r>
      <w:r w:rsidR="00695C3C" w:rsidRPr="003707F1">
        <w:rPr>
          <w:color w:val="000000"/>
          <w:lang w:val="en-US"/>
        </w:rPr>
        <w:t>T</w:t>
      </w:r>
      <w:r w:rsidR="00E61561" w:rsidRPr="003707F1">
        <w:rPr>
          <w:color w:val="000000"/>
          <w:lang w:val="en-US"/>
        </w:rPr>
        <w:t xml:space="preserve">hey </w:t>
      </w:r>
      <w:r w:rsidR="00465853" w:rsidRPr="003707F1">
        <w:rPr>
          <w:color w:val="000000"/>
          <w:lang w:val="en-US"/>
        </w:rPr>
        <w:t>believe</w:t>
      </w:r>
      <w:r w:rsidR="00E61561" w:rsidRPr="003707F1">
        <w:rPr>
          <w:color w:val="000000"/>
          <w:lang w:val="en-US"/>
        </w:rPr>
        <w:t xml:space="preserve"> their actions matter</w:t>
      </w:r>
      <w:r w:rsidRPr="003707F1">
        <w:rPr>
          <w:color w:val="000000"/>
          <w:lang w:val="en-US"/>
        </w:rPr>
        <w:t xml:space="preserve">. As horizontal individualists and collectivists </w:t>
      </w:r>
      <w:r w:rsidR="00F12CA2" w:rsidRPr="003707F1">
        <w:rPr>
          <w:color w:val="000000"/>
          <w:lang w:val="en-US"/>
        </w:rPr>
        <w:t xml:space="preserve">prefer </w:t>
      </w:r>
      <w:r w:rsidRPr="003707F1">
        <w:rPr>
          <w:color w:val="000000"/>
          <w:lang w:val="en-US"/>
        </w:rPr>
        <w:t>more egalitarian</w:t>
      </w:r>
      <w:r w:rsidR="00F12CA2" w:rsidRPr="003707F1">
        <w:rPr>
          <w:color w:val="000000"/>
          <w:lang w:val="en-US"/>
        </w:rPr>
        <w:t xml:space="preserve"> relations amongst people</w:t>
      </w:r>
      <w:r w:rsidRPr="003707F1">
        <w:rPr>
          <w:color w:val="000000"/>
          <w:lang w:val="en-US"/>
        </w:rPr>
        <w:t xml:space="preserve">, </w:t>
      </w:r>
      <w:r w:rsidR="00E61561" w:rsidRPr="003707F1">
        <w:rPr>
          <w:color w:val="000000"/>
          <w:lang w:val="en-US"/>
        </w:rPr>
        <w:t xml:space="preserve">they may not necessarily </w:t>
      </w:r>
      <w:proofErr w:type="gramStart"/>
      <w:r w:rsidR="00445163" w:rsidRPr="003707F1">
        <w:rPr>
          <w:color w:val="000000"/>
          <w:lang w:val="en-US"/>
        </w:rPr>
        <w:t xml:space="preserve">perceive </w:t>
      </w:r>
      <w:r w:rsidR="00E61561" w:rsidRPr="003707F1">
        <w:rPr>
          <w:color w:val="000000"/>
          <w:lang w:val="en-US"/>
        </w:rPr>
        <w:t xml:space="preserve"> their</w:t>
      </w:r>
      <w:proofErr w:type="gramEnd"/>
      <w:r w:rsidR="00E61561" w:rsidRPr="003707F1">
        <w:rPr>
          <w:color w:val="000000"/>
          <w:lang w:val="en-US"/>
        </w:rPr>
        <w:t xml:space="preserve"> individual actions being important and rather may think their actions may matter only if others </w:t>
      </w:r>
      <w:r w:rsidR="00F12CA2" w:rsidRPr="003707F1">
        <w:rPr>
          <w:color w:val="000000"/>
          <w:lang w:val="en-US"/>
        </w:rPr>
        <w:t>perform those actions</w:t>
      </w:r>
      <w:r w:rsidR="00E61561" w:rsidRPr="003707F1">
        <w:rPr>
          <w:color w:val="000000"/>
          <w:lang w:val="en-US"/>
        </w:rPr>
        <w:t xml:space="preserve"> too. </w:t>
      </w:r>
    </w:p>
    <w:p w14:paraId="24A8001A" w14:textId="3E19D904" w:rsidR="00495182" w:rsidRPr="003707F1" w:rsidRDefault="00F56802" w:rsidP="00F56802">
      <w:pPr>
        <w:spacing w:line="360" w:lineRule="auto"/>
        <w:ind w:firstLine="720"/>
        <w:jc w:val="both"/>
        <w:rPr>
          <w:bCs/>
        </w:rPr>
      </w:pPr>
      <w:r w:rsidRPr="003707F1">
        <w:rPr>
          <w:bCs/>
        </w:rPr>
        <w:t xml:space="preserve">However, when findings of this study are taken into consideration in the wider context of </w:t>
      </w:r>
      <w:r w:rsidR="00405A3B" w:rsidRPr="003707F1">
        <w:rPr>
          <w:bCs/>
        </w:rPr>
        <w:t xml:space="preserve">past </w:t>
      </w:r>
      <w:r w:rsidRPr="003707F1">
        <w:rPr>
          <w:bCs/>
        </w:rPr>
        <w:t xml:space="preserve">studies which examined the association between the </w:t>
      </w:r>
      <w:r w:rsidR="00405A3B" w:rsidRPr="003707F1">
        <w:rPr>
          <w:bCs/>
        </w:rPr>
        <w:t xml:space="preserve">specified </w:t>
      </w:r>
      <w:r w:rsidRPr="003707F1">
        <w:rPr>
          <w:bCs/>
        </w:rPr>
        <w:t xml:space="preserve">variables, the lack of </w:t>
      </w:r>
      <w:r w:rsidR="00405A3B" w:rsidRPr="003707F1">
        <w:rPr>
          <w:bCs/>
        </w:rPr>
        <w:t>repeatable and</w:t>
      </w:r>
      <w:r w:rsidRPr="003707F1">
        <w:rPr>
          <w:bCs/>
        </w:rPr>
        <w:t xml:space="preserve"> conclusive </w:t>
      </w:r>
      <w:r w:rsidR="00405A3B" w:rsidRPr="003707F1">
        <w:rPr>
          <w:bCs/>
        </w:rPr>
        <w:t xml:space="preserve">patterns </w:t>
      </w:r>
      <w:r w:rsidRPr="003707F1">
        <w:rPr>
          <w:bCs/>
        </w:rPr>
        <w:t>across the discussed studies is an important finding itself</w:t>
      </w:r>
      <w:r w:rsidR="00405A3B" w:rsidRPr="003707F1">
        <w:rPr>
          <w:bCs/>
        </w:rPr>
        <w:t xml:space="preserve"> (Laws, 2016;</w:t>
      </w:r>
      <w:r w:rsidR="00405A3B" w:rsidRPr="003707F1">
        <w:t xml:space="preserve"> </w:t>
      </w:r>
      <w:r w:rsidR="00405A3B" w:rsidRPr="003707F1">
        <w:rPr>
          <w:bCs/>
        </w:rPr>
        <w:t>Maxwell, Lau</w:t>
      </w:r>
      <w:r w:rsidR="006F1EA8" w:rsidRPr="003707F1">
        <w:rPr>
          <w:bCs/>
        </w:rPr>
        <w:t>,</w:t>
      </w:r>
      <w:r w:rsidR="00405A3B" w:rsidRPr="003707F1">
        <w:rPr>
          <w:bCs/>
        </w:rPr>
        <w:t xml:space="preserve"> &amp; Howard, 2015). </w:t>
      </w:r>
      <w:r w:rsidR="004A3A4E" w:rsidRPr="003707F1">
        <w:rPr>
          <w:bCs/>
        </w:rPr>
        <w:t>I</w:t>
      </w:r>
      <w:r w:rsidRPr="003707F1">
        <w:rPr>
          <w:bCs/>
        </w:rPr>
        <w:t xml:space="preserve">t </w:t>
      </w:r>
      <w:r w:rsidR="00695C3C" w:rsidRPr="003707F1">
        <w:rPr>
          <w:bCs/>
        </w:rPr>
        <w:t>suggests that</w:t>
      </w:r>
      <w:r w:rsidRPr="003707F1">
        <w:rPr>
          <w:bCs/>
        </w:rPr>
        <w:t xml:space="preserve"> such relationships exist for some indiv</w:t>
      </w:r>
      <w:r w:rsidR="00695C3C" w:rsidRPr="003707F1">
        <w:rPr>
          <w:bCs/>
        </w:rPr>
        <w:t>i</w:t>
      </w:r>
      <w:r w:rsidRPr="003707F1">
        <w:rPr>
          <w:bCs/>
        </w:rPr>
        <w:t>duals</w:t>
      </w:r>
      <w:r w:rsidR="00405A3B" w:rsidRPr="003707F1">
        <w:rPr>
          <w:bCs/>
        </w:rPr>
        <w:t xml:space="preserve"> only,</w:t>
      </w:r>
      <w:r w:rsidRPr="003707F1">
        <w:rPr>
          <w:bCs/>
        </w:rPr>
        <w:t xml:space="preserve"> but not for others</w:t>
      </w:r>
      <w:r w:rsidR="003657DF" w:rsidRPr="003707F1">
        <w:rPr>
          <w:bCs/>
        </w:rPr>
        <w:t xml:space="preserve"> regardless of the level of individualism and collectivism and their </w:t>
      </w:r>
      <w:proofErr w:type="gramStart"/>
      <w:r w:rsidR="003657DF" w:rsidRPr="003707F1">
        <w:rPr>
          <w:bCs/>
        </w:rPr>
        <w:t>types</w:t>
      </w:r>
      <w:r w:rsidRPr="003707F1">
        <w:rPr>
          <w:bCs/>
        </w:rPr>
        <w:t>, or</w:t>
      </w:r>
      <w:proofErr w:type="gramEnd"/>
      <w:r w:rsidRPr="003707F1">
        <w:rPr>
          <w:bCs/>
        </w:rPr>
        <w:t xml:space="preserve"> may depend on the methodology applied (for example, the way questionnaire questions are presented</w:t>
      </w:r>
      <w:r w:rsidR="00405A3B" w:rsidRPr="003707F1">
        <w:rPr>
          <w:bCs/>
        </w:rPr>
        <w:t>, or sample size</w:t>
      </w:r>
      <w:r w:rsidRPr="003707F1">
        <w:rPr>
          <w:bCs/>
        </w:rPr>
        <w:t xml:space="preserve">). </w:t>
      </w:r>
    </w:p>
    <w:p w14:paraId="36D701E0" w14:textId="77777777" w:rsidR="00F56802" w:rsidRPr="003707F1" w:rsidRDefault="00F56802" w:rsidP="004A3A4E">
      <w:pPr>
        <w:spacing w:line="360" w:lineRule="auto"/>
        <w:jc w:val="both"/>
        <w:rPr>
          <w:bCs/>
        </w:rPr>
      </w:pPr>
    </w:p>
    <w:p w14:paraId="26D2F319" w14:textId="111932A5" w:rsidR="00711045" w:rsidRPr="003707F1" w:rsidRDefault="008F09B3" w:rsidP="0019529B">
      <w:pPr>
        <w:spacing w:line="360" w:lineRule="auto"/>
        <w:jc w:val="both"/>
        <w:rPr>
          <w:i/>
          <w:iCs/>
        </w:rPr>
      </w:pPr>
      <w:r w:rsidRPr="003707F1">
        <w:rPr>
          <w:rFonts w:eastAsia="Calibri"/>
          <w:b/>
          <w:bCs/>
          <w:i/>
          <w:iCs/>
        </w:rPr>
        <w:t>Practical implications</w:t>
      </w:r>
    </w:p>
    <w:p w14:paraId="014B8617" w14:textId="297E565F" w:rsidR="0069249E" w:rsidRPr="003707F1" w:rsidRDefault="0015533E" w:rsidP="0019529B">
      <w:pPr>
        <w:spacing w:line="360" w:lineRule="auto"/>
        <w:ind w:firstLine="720"/>
        <w:jc w:val="both"/>
      </w:pPr>
      <w:r w:rsidRPr="003707F1">
        <w:t xml:space="preserve">The current </w:t>
      </w:r>
      <w:r w:rsidR="00711045" w:rsidRPr="003707F1">
        <w:t xml:space="preserve">study may be of use to both commercial marketers </w:t>
      </w:r>
      <w:r w:rsidR="0069249E" w:rsidRPr="003707F1">
        <w:t xml:space="preserve">who </w:t>
      </w:r>
      <w:r w:rsidR="0013036C" w:rsidRPr="003707F1">
        <w:t>promote</w:t>
      </w:r>
      <w:r w:rsidR="0069249E" w:rsidRPr="003707F1">
        <w:t xml:space="preserve"> green products, and to </w:t>
      </w:r>
      <w:r w:rsidR="00711045" w:rsidRPr="003707F1">
        <w:t xml:space="preserve">social marketers and consumer organisations who work to raise awareness </w:t>
      </w:r>
      <w:r w:rsidR="0013036C" w:rsidRPr="003707F1">
        <w:t>about sustainable consumer behaviour.</w:t>
      </w:r>
      <w:r w:rsidR="00711045" w:rsidRPr="003707F1">
        <w:t xml:space="preserve"> </w:t>
      </w:r>
      <w:r w:rsidRPr="003707F1">
        <w:t>The findings</w:t>
      </w:r>
      <w:r w:rsidR="00E14A98" w:rsidRPr="003707F1">
        <w:t xml:space="preserve"> suggest that companies offering green products or sustainable products should consider the cultural values of</w:t>
      </w:r>
      <w:r w:rsidR="00A269E0" w:rsidRPr="003707F1">
        <w:t xml:space="preserve"> horizontal and vertical </w:t>
      </w:r>
      <w:r w:rsidR="00E14A98" w:rsidRPr="003707F1">
        <w:lastRenderedPageBreak/>
        <w:t xml:space="preserve">individualism and collectivism and global-local identities of consumers when creating marketing strategies. Because PCE is higher for consumers who hold vertical individualistic and vertical collectivistic values, companies should focus </w:t>
      </w:r>
      <w:r w:rsidR="0013036C" w:rsidRPr="003707F1">
        <w:t xml:space="preserve">primarily </w:t>
      </w:r>
      <w:r w:rsidR="00E14A98" w:rsidRPr="003707F1">
        <w:t xml:space="preserve">on </w:t>
      </w:r>
      <w:r w:rsidR="0069249E" w:rsidRPr="003707F1">
        <w:t xml:space="preserve">this group </w:t>
      </w:r>
      <w:r w:rsidR="00C848B2" w:rsidRPr="003707F1">
        <w:t xml:space="preserve">as such </w:t>
      </w:r>
      <w:r w:rsidR="000E0C7D" w:rsidRPr="003707F1">
        <w:t xml:space="preserve">consumers should respond the most favourably to products and brands that are positioned as environmentally and socially responsible. </w:t>
      </w:r>
      <w:r w:rsidR="002A0A05" w:rsidRPr="003707F1">
        <w:t>Considering</w:t>
      </w:r>
      <w:r w:rsidR="00015D7F" w:rsidRPr="003707F1">
        <w:t xml:space="preserve"> </w:t>
      </w:r>
      <w:r w:rsidRPr="003707F1">
        <w:t xml:space="preserve">the current </w:t>
      </w:r>
      <w:r w:rsidR="002A0A05" w:rsidRPr="003707F1">
        <w:t xml:space="preserve">study in the context </w:t>
      </w:r>
      <w:proofErr w:type="gramStart"/>
      <w:r w:rsidR="002A0A05" w:rsidRPr="003707F1">
        <w:t xml:space="preserve">of </w:t>
      </w:r>
      <w:r w:rsidRPr="003707F1">
        <w:t xml:space="preserve"> </w:t>
      </w:r>
      <w:r w:rsidR="00015D7F" w:rsidRPr="003707F1">
        <w:t>results</w:t>
      </w:r>
      <w:proofErr w:type="gramEnd"/>
      <w:r w:rsidR="00015D7F" w:rsidRPr="003707F1">
        <w:t xml:space="preserve"> of </w:t>
      </w:r>
      <w:r w:rsidR="002A0A05" w:rsidRPr="003707F1">
        <w:t>past</w:t>
      </w:r>
      <w:r w:rsidR="00015D7F" w:rsidRPr="003707F1">
        <w:t xml:space="preserve"> studies, practitioners can be confident that especially </w:t>
      </w:r>
      <w:r w:rsidR="00C848B2" w:rsidRPr="003707F1">
        <w:t>v</w:t>
      </w:r>
      <w:r w:rsidR="00015D7F" w:rsidRPr="003707F1">
        <w:t xml:space="preserve">ertical </w:t>
      </w:r>
      <w:r w:rsidR="00C848B2" w:rsidRPr="003707F1">
        <w:t>i</w:t>
      </w:r>
      <w:r w:rsidR="00015D7F" w:rsidRPr="003707F1">
        <w:t xml:space="preserve">ndividualists </w:t>
      </w:r>
      <w:r w:rsidR="00513101" w:rsidRPr="003707F1">
        <w:t>who have global identity will be more likely to believe that their individual consumption matters for environmental, social</w:t>
      </w:r>
      <w:r w:rsidR="00D614AE" w:rsidRPr="003707F1">
        <w:t>,</w:t>
      </w:r>
      <w:r w:rsidR="00513101" w:rsidRPr="003707F1">
        <w:t xml:space="preserve"> and employee welfare. Although our study also showed that vertical collectivists with local </w:t>
      </w:r>
      <w:r w:rsidR="005F30F2" w:rsidRPr="003707F1">
        <w:t>identity</w:t>
      </w:r>
      <w:r w:rsidR="00513101" w:rsidRPr="003707F1">
        <w:t xml:space="preserve"> believe their consumption actions matter, this is not widely confirmed by previous studies, and may be only specific to the context we studied. </w:t>
      </w:r>
      <w:r w:rsidR="002A0A05" w:rsidRPr="003707F1">
        <w:t xml:space="preserve">As no positive association was found between </w:t>
      </w:r>
      <w:r w:rsidR="00681CD7" w:rsidRPr="003707F1">
        <w:t xml:space="preserve">horizontal individualism </w:t>
      </w:r>
      <w:r w:rsidR="002A0A05" w:rsidRPr="003707F1">
        <w:t xml:space="preserve">and </w:t>
      </w:r>
      <w:r w:rsidR="00681CD7" w:rsidRPr="003707F1">
        <w:t xml:space="preserve">horizontal collectivism </w:t>
      </w:r>
      <w:r w:rsidR="002A0A05" w:rsidRPr="003707F1">
        <w:t xml:space="preserve">tendencies and PCE, further research could focus on how to increase PCE of such consumers.  </w:t>
      </w:r>
    </w:p>
    <w:p w14:paraId="31ABD4B4" w14:textId="05334761" w:rsidR="008F09B3" w:rsidRPr="003707F1" w:rsidRDefault="00636A65">
      <w:pPr>
        <w:spacing w:line="360" w:lineRule="auto"/>
        <w:ind w:firstLine="720"/>
        <w:jc w:val="both"/>
      </w:pPr>
      <w:r w:rsidRPr="003707F1">
        <w:t>Some researchers advocate for social</w:t>
      </w:r>
      <w:r w:rsidR="00C3238E" w:rsidRPr="003707F1">
        <w:t xml:space="preserve"> </w:t>
      </w:r>
      <w:r w:rsidRPr="003707F1">
        <w:t>identity</w:t>
      </w:r>
      <w:r w:rsidR="00C3238E" w:rsidRPr="003707F1">
        <w:t>-</w:t>
      </w:r>
      <w:r w:rsidRPr="003707F1">
        <w:t>based motivation strategies to influence behaviour (</w:t>
      </w:r>
      <w:proofErr w:type="spellStart"/>
      <w:r w:rsidR="00BF757C" w:rsidRPr="003707F1">
        <w:t>Nurra</w:t>
      </w:r>
      <w:proofErr w:type="spellEnd"/>
      <w:r w:rsidR="00BF757C" w:rsidRPr="003707F1">
        <w:t xml:space="preserve"> &amp; </w:t>
      </w:r>
      <w:proofErr w:type="spellStart"/>
      <w:r w:rsidR="00BF757C" w:rsidRPr="003707F1">
        <w:t>Oyserman</w:t>
      </w:r>
      <w:proofErr w:type="spellEnd"/>
      <w:r w:rsidR="00BF757C" w:rsidRPr="003707F1">
        <w:t>, 2018</w:t>
      </w:r>
      <w:r w:rsidRPr="003707F1">
        <w:t xml:space="preserve">), and hence </w:t>
      </w:r>
      <w:r w:rsidR="0015533E" w:rsidRPr="003707F1">
        <w:t xml:space="preserve">the current </w:t>
      </w:r>
      <w:r w:rsidRPr="003707F1">
        <w:t>research findings are potentially useful to those practitioners who wish to employ</w:t>
      </w:r>
      <w:r w:rsidR="00DB1A77" w:rsidRPr="003707F1">
        <w:t xml:space="preserve"> an</w:t>
      </w:r>
      <w:r w:rsidRPr="003707F1">
        <w:t xml:space="preserve"> </w:t>
      </w:r>
      <w:r w:rsidR="009706AB" w:rsidRPr="003707F1">
        <w:t>identi</w:t>
      </w:r>
      <w:r w:rsidR="005F30F2" w:rsidRPr="003707F1">
        <w:t>t</w:t>
      </w:r>
      <w:r w:rsidR="009706AB" w:rsidRPr="003707F1">
        <w:t>y</w:t>
      </w:r>
      <w:r w:rsidRPr="003707F1">
        <w:t>-based motivation approach in their segmentation, targeting and communication strategies</w:t>
      </w:r>
      <w:r w:rsidR="008C778E" w:rsidRPr="003707F1">
        <w:t xml:space="preserve"> (Costa-Pinto, Herter, Rossi &amp; </w:t>
      </w:r>
      <w:proofErr w:type="spellStart"/>
      <w:r w:rsidR="008C778E" w:rsidRPr="003707F1">
        <w:t>Borgers</w:t>
      </w:r>
      <w:proofErr w:type="spellEnd"/>
      <w:r w:rsidR="008C778E" w:rsidRPr="003707F1">
        <w:t>, 2014)</w:t>
      </w:r>
      <w:r w:rsidRPr="003707F1">
        <w:t xml:space="preserve">. </w:t>
      </w:r>
      <w:bookmarkStart w:id="10" w:name="_Hlk78838124"/>
      <w:r w:rsidR="001D2AB2" w:rsidRPr="003707F1">
        <w:t xml:space="preserve">The </w:t>
      </w:r>
      <w:proofErr w:type="gramStart"/>
      <w:r w:rsidR="001D2AB2" w:rsidRPr="003707F1">
        <w:t xml:space="preserve">results </w:t>
      </w:r>
      <w:r w:rsidR="003C488E" w:rsidRPr="003707F1">
        <w:t xml:space="preserve"> suggests</w:t>
      </w:r>
      <w:proofErr w:type="gramEnd"/>
      <w:r w:rsidR="003C488E" w:rsidRPr="003707F1">
        <w:t xml:space="preserve"> that employing global and local identity strategies may be effective </w:t>
      </w:r>
      <w:r w:rsidR="001D2AB2" w:rsidRPr="003707F1">
        <w:t xml:space="preserve">in strengthening </w:t>
      </w:r>
      <w:r w:rsidR="003C488E" w:rsidRPr="003707F1">
        <w:t xml:space="preserve">PCE in </w:t>
      </w:r>
      <w:r w:rsidR="00F47606" w:rsidRPr="003707F1">
        <w:t xml:space="preserve">Polish </w:t>
      </w:r>
      <w:r w:rsidR="003C488E" w:rsidRPr="003707F1">
        <w:t xml:space="preserve">consumers. </w:t>
      </w:r>
      <w:bookmarkEnd w:id="10"/>
      <w:r w:rsidR="00CC6AFD" w:rsidRPr="003707F1">
        <w:t xml:space="preserve">However, this proposition requires further </w:t>
      </w:r>
      <w:r w:rsidR="00F712F3" w:rsidRPr="003707F1">
        <w:t xml:space="preserve">investigation into </w:t>
      </w:r>
      <w:r w:rsidR="00DB1A77" w:rsidRPr="003707F1">
        <w:t xml:space="preserve">the </w:t>
      </w:r>
      <w:r w:rsidR="00F712F3" w:rsidRPr="003707F1">
        <w:t xml:space="preserve">effectiveness of such identity-based efforts. </w:t>
      </w:r>
    </w:p>
    <w:p w14:paraId="6A07DB40" w14:textId="77777777" w:rsidR="008F09B3" w:rsidRPr="003707F1" w:rsidRDefault="008F09B3">
      <w:pPr>
        <w:spacing w:line="360" w:lineRule="auto"/>
        <w:jc w:val="both"/>
        <w:rPr>
          <w:rFonts w:ascii="Calibri" w:eastAsia="Calibri" w:hAnsi="Calibri"/>
        </w:rPr>
      </w:pPr>
    </w:p>
    <w:p w14:paraId="63AD8810" w14:textId="77777777" w:rsidR="00520E59" w:rsidRPr="003707F1" w:rsidRDefault="00520E59" w:rsidP="004A3D9E">
      <w:pPr>
        <w:spacing w:line="360" w:lineRule="auto"/>
        <w:contextualSpacing/>
        <w:jc w:val="both"/>
        <w:rPr>
          <w:rFonts w:eastAsia="Calibri"/>
          <w:b/>
          <w:i/>
          <w:iCs/>
          <w:color w:val="000000"/>
          <w:lang w:val="en-US"/>
        </w:rPr>
      </w:pPr>
      <w:r w:rsidRPr="003707F1">
        <w:rPr>
          <w:rFonts w:eastAsia="Calibri"/>
          <w:b/>
          <w:i/>
          <w:iCs/>
          <w:color w:val="000000"/>
          <w:lang w:val="en-US"/>
        </w:rPr>
        <w:t xml:space="preserve">Limitations and future research </w:t>
      </w:r>
    </w:p>
    <w:p w14:paraId="36F75E63" w14:textId="52BCCF9F" w:rsidR="009660AC" w:rsidRPr="003707F1" w:rsidRDefault="006F644B" w:rsidP="004A3D9E">
      <w:pPr>
        <w:spacing w:line="360" w:lineRule="auto"/>
        <w:ind w:firstLine="720"/>
        <w:contextualSpacing/>
        <w:jc w:val="both"/>
        <w:rPr>
          <w:rFonts w:eastAsia="Calibri"/>
          <w:color w:val="000000"/>
          <w:lang w:val="en-US"/>
        </w:rPr>
      </w:pPr>
      <w:r w:rsidRPr="003707F1">
        <w:rPr>
          <w:rFonts w:eastAsia="Calibri"/>
          <w:color w:val="000000"/>
          <w:lang w:val="en-US"/>
        </w:rPr>
        <w:t>Although this study adds to the current literature on PCE by providing new insights</w:t>
      </w:r>
      <w:r w:rsidR="001F3C1F" w:rsidRPr="003707F1">
        <w:rPr>
          <w:rFonts w:eastAsia="Calibri"/>
          <w:color w:val="000000"/>
          <w:lang w:val="en-US"/>
        </w:rPr>
        <w:t xml:space="preserve"> regarding antecedents and moderators</w:t>
      </w:r>
      <w:r w:rsidRPr="003707F1">
        <w:rPr>
          <w:rFonts w:eastAsia="Calibri"/>
          <w:color w:val="000000"/>
          <w:lang w:val="en-US"/>
        </w:rPr>
        <w:t xml:space="preserve">, the findings must be </w:t>
      </w:r>
      <w:r w:rsidR="003E2F4B" w:rsidRPr="003707F1">
        <w:rPr>
          <w:rFonts w:eastAsia="Calibri"/>
          <w:color w:val="000000"/>
          <w:lang w:val="en-US"/>
        </w:rPr>
        <w:t>c</w:t>
      </w:r>
      <w:r w:rsidR="00681CD7" w:rsidRPr="003707F1">
        <w:rPr>
          <w:rFonts w:eastAsia="Calibri"/>
          <w:color w:val="000000"/>
          <w:lang w:val="en-US"/>
        </w:rPr>
        <w:t>o</w:t>
      </w:r>
      <w:r w:rsidR="003E2F4B" w:rsidRPr="003707F1">
        <w:rPr>
          <w:rFonts w:eastAsia="Calibri"/>
          <w:color w:val="000000"/>
          <w:lang w:val="en-US"/>
        </w:rPr>
        <w:t xml:space="preserve">nsidered </w:t>
      </w:r>
      <w:r w:rsidRPr="003707F1">
        <w:rPr>
          <w:rFonts w:eastAsia="Calibri"/>
          <w:color w:val="000000"/>
          <w:lang w:val="en-US"/>
        </w:rPr>
        <w:t xml:space="preserve">within </w:t>
      </w:r>
      <w:r w:rsidR="00C3238E" w:rsidRPr="003707F1">
        <w:rPr>
          <w:rFonts w:eastAsia="Calibri"/>
          <w:color w:val="000000"/>
          <w:lang w:val="en-US"/>
        </w:rPr>
        <w:t>certain</w:t>
      </w:r>
      <w:r w:rsidRPr="003707F1">
        <w:rPr>
          <w:rFonts w:eastAsia="Calibri"/>
          <w:color w:val="000000"/>
          <w:lang w:val="en-US"/>
        </w:rPr>
        <w:t xml:space="preserve"> limitations. </w:t>
      </w:r>
      <w:r w:rsidR="00520E59" w:rsidRPr="003707F1">
        <w:rPr>
          <w:rFonts w:eastAsia="Calibri"/>
          <w:color w:val="000000"/>
          <w:lang w:val="en-US"/>
        </w:rPr>
        <w:t>The cross-sectional</w:t>
      </w:r>
      <w:r w:rsidR="001F3C1F" w:rsidRPr="003707F1">
        <w:rPr>
          <w:rFonts w:eastAsia="Calibri"/>
          <w:color w:val="000000"/>
          <w:lang w:val="en-US"/>
        </w:rPr>
        <w:t xml:space="preserve"> </w:t>
      </w:r>
      <w:r w:rsidR="00520E59" w:rsidRPr="003707F1">
        <w:rPr>
          <w:rFonts w:eastAsia="Calibri"/>
          <w:color w:val="000000"/>
          <w:lang w:val="en-US"/>
        </w:rPr>
        <w:t xml:space="preserve">design of this study </w:t>
      </w:r>
      <w:r w:rsidR="009213D2" w:rsidRPr="003707F1">
        <w:rPr>
          <w:rFonts w:eastAsia="Calibri"/>
          <w:color w:val="000000"/>
          <w:lang w:val="en-US"/>
        </w:rPr>
        <w:t xml:space="preserve">limits the strength of </w:t>
      </w:r>
      <w:r w:rsidR="00520E59" w:rsidRPr="003707F1">
        <w:rPr>
          <w:rFonts w:eastAsia="Calibri"/>
          <w:color w:val="000000"/>
          <w:lang w:val="en-US"/>
        </w:rPr>
        <w:t xml:space="preserve">causal inferences </w:t>
      </w:r>
      <w:r w:rsidR="009213D2" w:rsidRPr="003707F1">
        <w:rPr>
          <w:rFonts w:eastAsia="Calibri"/>
          <w:color w:val="000000"/>
          <w:lang w:val="en-US"/>
        </w:rPr>
        <w:t xml:space="preserve">that can be drawn </w:t>
      </w:r>
      <w:r w:rsidR="00520E59" w:rsidRPr="003707F1">
        <w:rPr>
          <w:rFonts w:eastAsia="Calibri"/>
          <w:color w:val="000000"/>
          <w:lang w:val="en-US"/>
        </w:rPr>
        <w:t xml:space="preserve">from the data. </w:t>
      </w:r>
      <w:bookmarkStart w:id="11" w:name="_Hlk31891328"/>
      <w:r w:rsidR="004D6745" w:rsidRPr="003707F1">
        <w:rPr>
          <w:rFonts w:eastAsia="Calibri"/>
          <w:color w:val="000000"/>
          <w:lang w:val="en-US"/>
        </w:rPr>
        <w:t xml:space="preserve">Cross-sectional surveys </w:t>
      </w:r>
      <w:r w:rsidR="00924006" w:rsidRPr="003707F1">
        <w:rPr>
          <w:rFonts w:eastAsia="Calibri"/>
          <w:color w:val="000000"/>
          <w:lang w:val="en-US"/>
        </w:rPr>
        <w:t xml:space="preserve">measure </w:t>
      </w:r>
      <w:r w:rsidR="004D6745" w:rsidRPr="003707F1">
        <w:rPr>
          <w:rFonts w:eastAsia="Calibri"/>
          <w:color w:val="000000"/>
          <w:lang w:val="en-US"/>
        </w:rPr>
        <w:t xml:space="preserve">individuals’ perceptions of variables rather than the actual </w:t>
      </w:r>
      <w:r w:rsidR="00C17ED8" w:rsidRPr="003707F1">
        <w:rPr>
          <w:rFonts w:eastAsia="Calibri"/>
          <w:color w:val="000000"/>
          <w:lang w:val="en-US"/>
        </w:rPr>
        <w:t xml:space="preserve">causal </w:t>
      </w:r>
      <w:r w:rsidR="004D6745" w:rsidRPr="003707F1">
        <w:rPr>
          <w:rFonts w:eastAsia="Calibri"/>
          <w:color w:val="000000"/>
          <w:lang w:val="en-US"/>
        </w:rPr>
        <w:t xml:space="preserve">processes that </w:t>
      </w:r>
      <w:r w:rsidR="002305A1" w:rsidRPr="003707F1">
        <w:rPr>
          <w:rFonts w:eastAsia="Calibri"/>
          <w:color w:val="000000"/>
          <w:lang w:val="en-US"/>
        </w:rPr>
        <w:t xml:space="preserve">occur </w:t>
      </w:r>
      <w:r w:rsidR="004D6745" w:rsidRPr="003707F1">
        <w:rPr>
          <w:rFonts w:eastAsia="Calibri"/>
          <w:color w:val="000000"/>
          <w:lang w:val="en-US"/>
        </w:rPr>
        <w:t xml:space="preserve">between </w:t>
      </w:r>
      <w:r w:rsidR="002305A1" w:rsidRPr="003707F1">
        <w:rPr>
          <w:rFonts w:eastAsia="Calibri"/>
          <w:color w:val="000000"/>
          <w:lang w:val="en-US"/>
        </w:rPr>
        <w:t xml:space="preserve">them </w:t>
      </w:r>
      <w:r w:rsidR="004D6745" w:rsidRPr="003707F1">
        <w:rPr>
          <w:rFonts w:eastAsia="Calibri"/>
          <w:color w:val="000000"/>
          <w:lang w:val="en-US"/>
        </w:rPr>
        <w:t xml:space="preserve">(Woodside, 2011). </w:t>
      </w:r>
      <w:r w:rsidR="0015533E" w:rsidRPr="003707F1">
        <w:rPr>
          <w:rFonts w:eastAsia="Calibri"/>
          <w:color w:val="000000"/>
          <w:lang w:val="en-US"/>
        </w:rPr>
        <w:t xml:space="preserve">The </w:t>
      </w:r>
      <w:r w:rsidR="00520E59" w:rsidRPr="003707F1">
        <w:rPr>
          <w:rFonts w:eastAsia="Calibri"/>
          <w:color w:val="000000"/>
          <w:lang w:val="en-US"/>
        </w:rPr>
        <w:t>sampling approach focused on reaching respondents who represent variance in the level of</w:t>
      </w:r>
      <w:r w:rsidR="003932DE" w:rsidRPr="003707F1">
        <w:rPr>
          <w:rFonts w:eastAsia="Calibri"/>
          <w:color w:val="000000"/>
          <w:lang w:val="en-US"/>
        </w:rPr>
        <w:t xml:space="preserve"> the studied variables</w:t>
      </w:r>
      <w:bookmarkEnd w:id="11"/>
      <w:r w:rsidR="00084E35" w:rsidRPr="003707F1">
        <w:rPr>
          <w:rFonts w:eastAsia="Calibri"/>
          <w:color w:val="000000"/>
          <w:lang w:val="en-US"/>
        </w:rPr>
        <w:t xml:space="preserve">, and although </w:t>
      </w:r>
      <w:r w:rsidR="009213D2" w:rsidRPr="003707F1">
        <w:rPr>
          <w:rFonts w:eastAsia="Calibri"/>
          <w:color w:val="000000"/>
          <w:lang w:val="en-US"/>
        </w:rPr>
        <w:t xml:space="preserve">systematic process was followed </w:t>
      </w:r>
      <w:r w:rsidR="00084E35" w:rsidRPr="003707F1">
        <w:rPr>
          <w:rFonts w:eastAsia="Calibri"/>
          <w:color w:val="000000"/>
          <w:lang w:val="en-US"/>
        </w:rPr>
        <w:t xml:space="preserve">to ensure a wide range of individuals were surveyed, </w:t>
      </w:r>
      <w:r w:rsidR="00A37C38" w:rsidRPr="003707F1">
        <w:rPr>
          <w:rFonts w:eastAsia="Calibri"/>
          <w:color w:val="000000"/>
          <w:lang w:val="en-US"/>
        </w:rPr>
        <w:t xml:space="preserve">the study did not </w:t>
      </w:r>
      <w:r w:rsidR="009213D2" w:rsidRPr="003707F1">
        <w:rPr>
          <w:rFonts w:eastAsia="Calibri"/>
          <w:color w:val="000000"/>
          <w:lang w:val="en-US"/>
        </w:rPr>
        <w:t xml:space="preserve">employ </w:t>
      </w:r>
      <w:r w:rsidR="00A37C38" w:rsidRPr="003707F1">
        <w:rPr>
          <w:rFonts w:eastAsia="Calibri"/>
          <w:color w:val="000000"/>
          <w:lang w:val="en-US"/>
        </w:rPr>
        <w:t>simple random sampling</w:t>
      </w:r>
      <w:r w:rsidR="009213D2" w:rsidRPr="003707F1">
        <w:rPr>
          <w:rFonts w:eastAsia="Calibri"/>
          <w:color w:val="000000"/>
          <w:lang w:val="en-US"/>
        </w:rPr>
        <w:t xml:space="preserve"> strategy</w:t>
      </w:r>
      <w:r w:rsidR="00A37C38" w:rsidRPr="003707F1">
        <w:rPr>
          <w:rFonts w:eastAsia="Calibri"/>
          <w:color w:val="000000"/>
          <w:lang w:val="en-US"/>
        </w:rPr>
        <w:t xml:space="preserve"> which would allow for </w:t>
      </w:r>
      <w:proofErr w:type="spellStart"/>
      <w:r w:rsidR="00E65AB7" w:rsidRPr="003707F1">
        <w:rPr>
          <w:rFonts w:eastAsia="Calibri"/>
          <w:color w:val="000000"/>
          <w:lang w:val="en-US"/>
        </w:rPr>
        <w:t>generalisations</w:t>
      </w:r>
      <w:proofErr w:type="spellEnd"/>
      <w:r w:rsidR="00A37C38" w:rsidRPr="003707F1">
        <w:rPr>
          <w:rFonts w:eastAsia="Calibri"/>
          <w:color w:val="000000"/>
          <w:lang w:val="en-US"/>
        </w:rPr>
        <w:t>.</w:t>
      </w:r>
    </w:p>
    <w:p w14:paraId="4D410205" w14:textId="42339D03" w:rsidR="00576257" w:rsidRPr="003707F1" w:rsidRDefault="00576257" w:rsidP="004A3D9E">
      <w:pPr>
        <w:spacing w:line="360" w:lineRule="auto"/>
        <w:ind w:firstLine="720"/>
        <w:contextualSpacing/>
        <w:jc w:val="both"/>
        <w:rPr>
          <w:rFonts w:eastAsia="Calibri"/>
          <w:color w:val="000000"/>
          <w:lang w:val="en-US"/>
        </w:rPr>
      </w:pPr>
      <w:r w:rsidRPr="003707F1">
        <w:rPr>
          <w:rFonts w:eastAsia="Calibri"/>
          <w:color w:val="000000"/>
          <w:lang w:val="en-US"/>
        </w:rPr>
        <w:t xml:space="preserve">Future research </w:t>
      </w:r>
      <w:r w:rsidR="00FE69B2" w:rsidRPr="003707F1">
        <w:rPr>
          <w:rFonts w:eastAsia="Calibri"/>
          <w:color w:val="000000"/>
          <w:lang w:val="en-US"/>
        </w:rPr>
        <w:t>could follow several directions</w:t>
      </w:r>
      <w:r w:rsidRPr="003707F1">
        <w:rPr>
          <w:rFonts w:eastAsia="Calibri"/>
          <w:color w:val="000000"/>
          <w:lang w:val="en-US"/>
        </w:rPr>
        <w:t xml:space="preserve">. First, we propose that this study should be replicated in other national contexts to establish </w:t>
      </w:r>
      <w:r w:rsidR="007F1B8C" w:rsidRPr="003707F1">
        <w:rPr>
          <w:rFonts w:eastAsia="Calibri"/>
          <w:color w:val="000000"/>
          <w:lang w:val="en-US"/>
        </w:rPr>
        <w:t>whether these patterns can be found elsewhere</w:t>
      </w:r>
      <w:r w:rsidR="000E0C7D" w:rsidRPr="003707F1">
        <w:rPr>
          <w:rFonts w:eastAsia="Calibri"/>
          <w:color w:val="000000"/>
          <w:lang w:val="en-US"/>
        </w:rPr>
        <w:t xml:space="preserve"> and further examine the reasons behind such variations between studies regarding </w:t>
      </w:r>
      <w:r w:rsidR="000E0C7D" w:rsidRPr="003707F1">
        <w:rPr>
          <w:rFonts w:eastAsia="Calibri"/>
          <w:color w:val="000000"/>
          <w:lang w:val="en-US"/>
        </w:rPr>
        <w:lastRenderedPageBreak/>
        <w:t>the associations of horizontal/vertical values and PCE</w:t>
      </w:r>
      <w:r w:rsidR="007F1B8C" w:rsidRPr="003707F1">
        <w:rPr>
          <w:rFonts w:eastAsia="Calibri"/>
          <w:color w:val="000000"/>
          <w:lang w:val="en-US"/>
        </w:rPr>
        <w:t xml:space="preserve">. </w:t>
      </w:r>
      <w:r w:rsidR="003C64D6" w:rsidRPr="003707F1">
        <w:rPr>
          <w:rFonts w:eastAsia="Calibri"/>
          <w:color w:val="000000"/>
          <w:lang w:val="en-US"/>
        </w:rPr>
        <w:t>Second, e</w:t>
      </w:r>
      <w:r w:rsidR="00E2272A" w:rsidRPr="003707F1">
        <w:rPr>
          <w:rFonts w:eastAsia="Calibri"/>
          <w:color w:val="000000"/>
          <w:lang w:val="en-US"/>
        </w:rPr>
        <w:t>xamining the differences in PCE levels between the different types of individualism and collectivism would shed light on which values are associated with higher levels of PCE</w:t>
      </w:r>
      <w:r w:rsidR="004A3A4E" w:rsidRPr="003707F1">
        <w:rPr>
          <w:rFonts w:eastAsia="Calibri"/>
          <w:color w:val="000000"/>
          <w:lang w:val="en-US"/>
        </w:rPr>
        <w:t xml:space="preserve"> </w:t>
      </w:r>
      <w:r w:rsidR="00E320C4" w:rsidRPr="003707F1">
        <w:rPr>
          <w:rFonts w:eastAsia="Calibri"/>
          <w:color w:val="000000"/>
          <w:lang w:val="en-US"/>
        </w:rPr>
        <w:t xml:space="preserve">beyond </w:t>
      </w:r>
      <w:proofErr w:type="spellStart"/>
      <w:r w:rsidR="00E320C4" w:rsidRPr="003707F1">
        <w:rPr>
          <w:rFonts w:eastAsia="Calibri"/>
          <w:color w:val="000000"/>
          <w:lang w:val="en-US"/>
        </w:rPr>
        <w:t>marely</w:t>
      </w:r>
      <w:proofErr w:type="spellEnd"/>
      <w:r w:rsidR="00E320C4" w:rsidRPr="003707F1">
        <w:rPr>
          <w:rFonts w:eastAsia="Calibri"/>
          <w:color w:val="000000"/>
          <w:lang w:val="en-US"/>
        </w:rPr>
        <w:t xml:space="preserve"> stating positive or negative associations between those variables. </w:t>
      </w:r>
      <w:r w:rsidR="003C64D6" w:rsidRPr="003707F1">
        <w:rPr>
          <w:rFonts w:eastAsia="Calibri"/>
          <w:color w:val="000000"/>
          <w:lang w:val="en-US"/>
        </w:rPr>
        <w:t>Third</w:t>
      </w:r>
      <w:r w:rsidR="00FE69B2" w:rsidRPr="003707F1">
        <w:rPr>
          <w:rFonts w:eastAsia="Calibri"/>
          <w:color w:val="000000"/>
          <w:lang w:val="en-US"/>
        </w:rPr>
        <w:t xml:space="preserve">, it is important to monitor PCE longitudinally since its intensity may change over </w:t>
      </w:r>
      <w:r w:rsidR="009051E7" w:rsidRPr="003707F1">
        <w:rPr>
          <w:rFonts w:eastAsia="Calibri"/>
          <w:color w:val="000000"/>
          <w:lang w:val="en-US"/>
        </w:rPr>
        <w:t xml:space="preserve">the </w:t>
      </w:r>
      <w:r w:rsidR="00FE69B2" w:rsidRPr="003707F1">
        <w:rPr>
          <w:rFonts w:eastAsia="Calibri"/>
          <w:color w:val="000000"/>
          <w:lang w:val="en-US"/>
        </w:rPr>
        <w:t>consumer’s life cycle.</w:t>
      </w:r>
      <w:r w:rsidR="00B212AB" w:rsidRPr="003707F1">
        <w:rPr>
          <w:rFonts w:eastAsia="Calibri"/>
          <w:color w:val="000000"/>
          <w:lang w:val="en-US"/>
        </w:rPr>
        <w:t xml:space="preserve"> </w:t>
      </w:r>
      <w:r w:rsidR="003C64D6" w:rsidRPr="003707F1">
        <w:rPr>
          <w:rFonts w:eastAsia="Calibri"/>
          <w:color w:val="000000"/>
          <w:lang w:val="en-US"/>
        </w:rPr>
        <w:t>Forth</w:t>
      </w:r>
      <w:r w:rsidR="00B212AB" w:rsidRPr="003707F1">
        <w:rPr>
          <w:rFonts w:eastAsia="Calibri"/>
          <w:color w:val="000000"/>
          <w:lang w:val="en-US"/>
        </w:rPr>
        <w:t xml:space="preserve">, future studies could examine other possible </w:t>
      </w:r>
      <w:r w:rsidR="00BE7664" w:rsidRPr="003707F1">
        <w:rPr>
          <w:rFonts w:eastAsia="Calibri"/>
          <w:color w:val="000000"/>
          <w:lang w:val="en-US"/>
        </w:rPr>
        <w:t xml:space="preserve">value </w:t>
      </w:r>
      <w:r w:rsidR="00B212AB" w:rsidRPr="003707F1">
        <w:rPr>
          <w:rFonts w:eastAsia="Calibri"/>
          <w:color w:val="000000"/>
          <w:lang w:val="en-US"/>
        </w:rPr>
        <w:t>antecedents of PCE. F</w:t>
      </w:r>
      <w:r w:rsidR="003C64D6" w:rsidRPr="003707F1">
        <w:rPr>
          <w:rFonts w:eastAsia="Calibri"/>
          <w:color w:val="000000"/>
          <w:lang w:val="en-US"/>
        </w:rPr>
        <w:t>ifth</w:t>
      </w:r>
      <w:r w:rsidR="00B212AB" w:rsidRPr="003707F1">
        <w:rPr>
          <w:rFonts w:eastAsia="Calibri"/>
          <w:color w:val="000000"/>
          <w:lang w:val="en-US"/>
        </w:rPr>
        <w:t xml:space="preserve">, it would be worthwhile to examine </w:t>
      </w:r>
      <w:r w:rsidR="00BE7664" w:rsidRPr="003707F1">
        <w:rPr>
          <w:rFonts w:eastAsia="Calibri"/>
          <w:color w:val="000000"/>
          <w:lang w:val="en-US"/>
        </w:rPr>
        <w:t xml:space="preserve">how </w:t>
      </w:r>
      <w:r w:rsidR="00B212AB" w:rsidRPr="003707F1">
        <w:rPr>
          <w:rFonts w:eastAsia="Calibri"/>
          <w:color w:val="000000"/>
          <w:lang w:val="en-US"/>
        </w:rPr>
        <w:t xml:space="preserve">PCE relates to product categories. Do consumers consider </w:t>
      </w:r>
      <w:r w:rsidR="000E0C7D" w:rsidRPr="003707F1">
        <w:rPr>
          <w:rFonts w:eastAsia="Calibri"/>
          <w:color w:val="000000"/>
          <w:lang w:val="en-US"/>
        </w:rPr>
        <w:t xml:space="preserve">the </w:t>
      </w:r>
      <w:r w:rsidR="00B212AB" w:rsidRPr="003707F1">
        <w:rPr>
          <w:rFonts w:eastAsia="Calibri"/>
          <w:color w:val="000000"/>
          <w:lang w:val="en-US"/>
        </w:rPr>
        <w:t xml:space="preserve">environmental and </w:t>
      </w:r>
      <w:r w:rsidR="003B7888" w:rsidRPr="003707F1">
        <w:rPr>
          <w:rFonts w:eastAsia="Calibri"/>
          <w:color w:val="000000"/>
          <w:lang w:val="en-US"/>
        </w:rPr>
        <w:t xml:space="preserve">societal consequences of their purchases when they buy certain products but ignore it when they buy others? </w:t>
      </w:r>
      <w:r w:rsidR="003C64D6" w:rsidRPr="003707F1">
        <w:rPr>
          <w:rFonts w:eastAsia="Calibri"/>
          <w:color w:val="000000"/>
          <w:lang w:val="en-US"/>
        </w:rPr>
        <w:t>Moreover</w:t>
      </w:r>
      <w:r w:rsidR="003B7888" w:rsidRPr="003707F1">
        <w:rPr>
          <w:rFonts w:eastAsia="Calibri"/>
          <w:color w:val="000000"/>
          <w:lang w:val="en-US"/>
        </w:rPr>
        <w:t>, e</w:t>
      </w:r>
      <w:r w:rsidR="007F1B8C" w:rsidRPr="003707F1">
        <w:rPr>
          <w:rFonts w:eastAsia="Calibri"/>
          <w:color w:val="000000"/>
          <w:lang w:val="en-US"/>
        </w:rPr>
        <w:t xml:space="preserve">xperimental studies to test how consumers would respond to marketing communications featuring </w:t>
      </w:r>
      <w:r w:rsidR="0019529B" w:rsidRPr="003707F1">
        <w:rPr>
          <w:rFonts w:eastAsia="Calibri"/>
          <w:color w:val="000000"/>
          <w:lang w:val="en-US"/>
        </w:rPr>
        <w:t>environmentally friendly</w:t>
      </w:r>
      <w:r w:rsidR="007F1B8C" w:rsidRPr="003707F1">
        <w:rPr>
          <w:rFonts w:eastAsia="Calibri"/>
          <w:color w:val="000000"/>
          <w:lang w:val="en-US"/>
        </w:rPr>
        <w:t xml:space="preserve"> products and </w:t>
      </w:r>
      <w:proofErr w:type="spellStart"/>
      <w:r w:rsidR="00E65AB7" w:rsidRPr="003707F1">
        <w:rPr>
          <w:rFonts w:eastAsia="Calibri"/>
          <w:color w:val="000000"/>
          <w:lang w:val="en-US"/>
        </w:rPr>
        <w:t>emphasising</w:t>
      </w:r>
      <w:proofErr w:type="spellEnd"/>
      <w:r w:rsidR="00E65AB7" w:rsidRPr="003707F1">
        <w:rPr>
          <w:rFonts w:eastAsia="Calibri"/>
          <w:color w:val="000000"/>
          <w:lang w:val="en-US"/>
        </w:rPr>
        <w:t xml:space="preserve"> </w:t>
      </w:r>
      <w:r w:rsidR="00924006" w:rsidRPr="003707F1">
        <w:rPr>
          <w:rFonts w:eastAsia="Calibri"/>
          <w:color w:val="000000"/>
          <w:lang w:val="en-US"/>
        </w:rPr>
        <w:t xml:space="preserve">vertical individualism </w:t>
      </w:r>
      <w:r w:rsidR="007F1B8C" w:rsidRPr="003707F1">
        <w:rPr>
          <w:rFonts w:eastAsia="Calibri"/>
          <w:color w:val="000000"/>
          <w:lang w:val="en-US"/>
        </w:rPr>
        <w:t>values</w:t>
      </w:r>
      <w:r w:rsidR="00924006" w:rsidRPr="003707F1">
        <w:rPr>
          <w:rFonts w:eastAsia="Calibri"/>
          <w:color w:val="000000"/>
          <w:lang w:val="en-US"/>
        </w:rPr>
        <w:t xml:space="preserve"> or vertical collectivism values (versus horizontal)</w:t>
      </w:r>
      <w:r w:rsidR="007F1B8C" w:rsidRPr="003707F1">
        <w:rPr>
          <w:rFonts w:eastAsia="Calibri"/>
          <w:color w:val="000000"/>
          <w:lang w:val="en-US"/>
        </w:rPr>
        <w:t xml:space="preserve"> and</w:t>
      </w:r>
      <w:r w:rsidR="003B7888" w:rsidRPr="003707F1">
        <w:rPr>
          <w:rFonts w:eastAsia="Calibri"/>
          <w:color w:val="000000"/>
          <w:lang w:val="en-US"/>
        </w:rPr>
        <w:t xml:space="preserve"> </w:t>
      </w:r>
      <w:r w:rsidR="00F25192" w:rsidRPr="003707F1">
        <w:rPr>
          <w:rFonts w:eastAsia="Calibri"/>
          <w:color w:val="000000"/>
          <w:lang w:val="en-US"/>
        </w:rPr>
        <w:t xml:space="preserve">global or local </w:t>
      </w:r>
      <w:r w:rsidR="007F1B8C" w:rsidRPr="003707F1">
        <w:rPr>
          <w:rFonts w:eastAsia="Calibri"/>
          <w:color w:val="000000"/>
          <w:lang w:val="en-US"/>
        </w:rPr>
        <w:t xml:space="preserve">identity would establish if such </w:t>
      </w:r>
      <w:r w:rsidR="00BE7664" w:rsidRPr="003707F1">
        <w:rPr>
          <w:rFonts w:eastAsia="Calibri"/>
          <w:color w:val="000000"/>
          <w:lang w:val="en-US"/>
        </w:rPr>
        <w:t xml:space="preserve">manipulations </w:t>
      </w:r>
      <w:proofErr w:type="gramStart"/>
      <w:r w:rsidR="00BE7664" w:rsidRPr="003707F1">
        <w:rPr>
          <w:rFonts w:eastAsia="Calibri"/>
          <w:color w:val="000000"/>
          <w:lang w:val="en-US"/>
        </w:rPr>
        <w:t>result</w:t>
      </w:r>
      <w:proofErr w:type="gramEnd"/>
      <w:r w:rsidR="00BE7664" w:rsidRPr="003707F1">
        <w:rPr>
          <w:rFonts w:eastAsia="Calibri"/>
          <w:color w:val="000000"/>
          <w:lang w:val="en-US"/>
        </w:rPr>
        <w:t xml:space="preserve"> in differences in effectiveness depending on the </w:t>
      </w:r>
      <w:r w:rsidR="00107A8D" w:rsidRPr="003707F1">
        <w:rPr>
          <w:rFonts w:eastAsia="Calibri"/>
          <w:color w:val="000000"/>
          <w:lang w:val="en-US"/>
        </w:rPr>
        <w:t>consumer</w:t>
      </w:r>
      <w:r w:rsidR="00BE7664" w:rsidRPr="003707F1">
        <w:rPr>
          <w:rFonts w:eastAsia="Calibri"/>
          <w:color w:val="000000"/>
          <w:lang w:val="en-US"/>
        </w:rPr>
        <w:t>’s values</w:t>
      </w:r>
      <w:r w:rsidR="00767089" w:rsidRPr="003707F1">
        <w:rPr>
          <w:rFonts w:eastAsia="Calibri"/>
          <w:color w:val="000000"/>
          <w:lang w:val="en-US"/>
        </w:rPr>
        <w:t xml:space="preserve"> (e.g., Lee &amp; Haley, 2020)</w:t>
      </w:r>
      <w:r w:rsidR="007F1B8C" w:rsidRPr="003707F1">
        <w:rPr>
          <w:rFonts w:eastAsia="Calibri"/>
          <w:color w:val="000000"/>
          <w:lang w:val="en-US"/>
        </w:rPr>
        <w:t xml:space="preserve">. </w:t>
      </w:r>
      <w:r w:rsidR="00E320C4" w:rsidRPr="003707F1">
        <w:rPr>
          <w:rFonts w:eastAsia="Calibri"/>
          <w:color w:val="000000"/>
          <w:lang w:val="en-US"/>
        </w:rPr>
        <w:t xml:space="preserve">Lastly, </w:t>
      </w:r>
      <w:r w:rsidR="00E320C4" w:rsidRPr="003707F1">
        <w:rPr>
          <w:bCs/>
        </w:rPr>
        <w:t>we recommend that a meta-analysis of studies which focused on individualism and collectivism (including vertical and horizontal individualism-collectivism) and PCE would clarify controversies arising from apparently conflicting studies.</w:t>
      </w:r>
    </w:p>
    <w:bookmarkEnd w:id="2"/>
    <w:p w14:paraId="0FE5148E" w14:textId="61EF22A0" w:rsidR="006B19FC" w:rsidRPr="003707F1" w:rsidRDefault="006B19FC" w:rsidP="00AB7714">
      <w:pPr>
        <w:spacing w:line="360" w:lineRule="auto"/>
        <w:jc w:val="both"/>
        <w:rPr>
          <w:rFonts w:ascii="Calibri" w:eastAsia="Calibri" w:hAnsi="Calibri"/>
          <w:lang w:val="en-US"/>
        </w:rPr>
      </w:pPr>
    </w:p>
    <w:p w14:paraId="2E104904" w14:textId="514C9C16" w:rsidR="0019529B" w:rsidRPr="003707F1" w:rsidRDefault="0019529B" w:rsidP="00AB7714">
      <w:pPr>
        <w:spacing w:line="360" w:lineRule="auto"/>
        <w:jc w:val="both"/>
        <w:rPr>
          <w:rFonts w:ascii="Calibri" w:eastAsia="Calibri" w:hAnsi="Calibri"/>
          <w:lang w:val="en-US"/>
        </w:rPr>
      </w:pPr>
    </w:p>
    <w:p w14:paraId="030CCA44" w14:textId="403EC64A" w:rsidR="00594C5A" w:rsidRPr="003707F1" w:rsidRDefault="00594C5A" w:rsidP="00AB7714">
      <w:pPr>
        <w:spacing w:line="360" w:lineRule="auto"/>
        <w:jc w:val="both"/>
        <w:rPr>
          <w:rFonts w:ascii="Calibri" w:eastAsia="Calibri" w:hAnsi="Calibri"/>
          <w:lang w:val="en-US"/>
        </w:rPr>
      </w:pPr>
    </w:p>
    <w:p w14:paraId="4349EC06" w14:textId="77777777" w:rsidR="00695C3C" w:rsidRPr="003707F1" w:rsidRDefault="00695C3C" w:rsidP="00AB7714">
      <w:pPr>
        <w:spacing w:line="360" w:lineRule="auto"/>
        <w:jc w:val="both"/>
        <w:rPr>
          <w:rFonts w:ascii="Calibri" w:eastAsia="Calibri" w:hAnsi="Calibri"/>
          <w:lang w:val="en-US"/>
        </w:rPr>
      </w:pPr>
    </w:p>
    <w:p w14:paraId="4AFC6E08" w14:textId="77777777" w:rsidR="00B32757" w:rsidRPr="003707F1" w:rsidRDefault="00B32757" w:rsidP="00AB7714">
      <w:pPr>
        <w:spacing w:line="360" w:lineRule="auto"/>
        <w:jc w:val="both"/>
        <w:rPr>
          <w:rFonts w:ascii="Calibri" w:eastAsia="Calibri" w:hAnsi="Calibri"/>
          <w:lang w:val="en-US"/>
        </w:rPr>
      </w:pPr>
    </w:p>
    <w:p w14:paraId="73857AE6" w14:textId="77777777" w:rsidR="00035E64" w:rsidRDefault="00035E64" w:rsidP="00AB7714">
      <w:pPr>
        <w:spacing w:line="360" w:lineRule="auto"/>
        <w:jc w:val="both"/>
        <w:rPr>
          <w:b/>
        </w:rPr>
      </w:pPr>
    </w:p>
    <w:p w14:paraId="487E70DA" w14:textId="77777777" w:rsidR="00035E64" w:rsidRDefault="00035E64" w:rsidP="00AB7714">
      <w:pPr>
        <w:spacing w:line="360" w:lineRule="auto"/>
        <w:jc w:val="both"/>
        <w:rPr>
          <w:b/>
        </w:rPr>
      </w:pPr>
    </w:p>
    <w:p w14:paraId="101A8E25" w14:textId="77777777" w:rsidR="00035E64" w:rsidRDefault="00035E64" w:rsidP="00AB7714">
      <w:pPr>
        <w:spacing w:line="360" w:lineRule="auto"/>
        <w:jc w:val="both"/>
        <w:rPr>
          <w:b/>
        </w:rPr>
      </w:pPr>
    </w:p>
    <w:p w14:paraId="56A2F954" w14:textId="77777777" w:rsidR="00035E64" w:rsidRDefault="00035E64" w:rsidP="00AB7714">
      <w:pPr>
        <w:spacing w:line="360" w:lineRule="auto"/>
        <w:jc w:val="both"/>
        <w:rPr>
          <w:b/>
        </w:rPr>
      </w:pPr>
    </w:p>
    <w:p w14:paraId="59DF38ED" w14:textId="77777777" w:rsidR="00035E64" w:rsidRDefault="00035E64" w:rsidP="00AB7714">
      <w:pPr>
        <w:spacing w:line="360" w:lineRule="auto"/>
        <w:jc w:val="both"/>
        <w:rPr>
          <w:b/>
        </w:rPr>
      </w:pPr>
    </w:p>
    <w:p w14:paraId="5033D273" w14:textId="77777777" w:rsidR="00035E64" w:rsidRDefault="00035E64" w:rsidP="00AB7714">
      <w:pPr>
        <w:spacing w:line="360" w:lineRule="auto"/>
        <w:jc w:val="both"/>
        <w:rPr>
          <w:b/>
        </w:rPr>
      </w:pPr>
    </w:p>
    <w:p w14:paraId="580BFDFD" w14:textId="77777777" w:rsidR="00035E64" w:rsidRDefault="00035E64" w:rsidP="00AB7714">
      <w:pPr>
        <w:spacing w:line="360" w:lineRule="auto"/>
        <w:jc w:val="both"/>
        <w:rPr>
          <w:b/>
        </w:rPr>
      </w:pPr>
    </w:p>
    <w:p w14:paraId="43DBD221" w14:textId="77777777" w:rsidR="00035E64" w:rsidRDefault="00035E64" w:rsidP="00AB7714">
      <w:pPr>
        <w:spacing w:line="360" w:lineRule="auto"/>
        <w:jc w:val="both"/>
        <w:rPr>
          <w:b/>
        </w:rPr>
      </w:pPr>
    </w:p>
    <w:p w14:paraId="53E8BD60" w14:textId="77777777" w:rsidR="00035E64" w:rsidRDefault="00035E64" w:rsidP="00AB7714">
      <w:pPr>
        <w:spacing w:line="360" w:lineRule="auto"/>
        <w:jc w:val="both"/>
        <w:rPr>
          <w:b/>
        </w:rPr>
      </w:pPr>
    </w:p>
    <w:p w14:paraId="3B567FD2" w14:textId="77777777" w:rsidR="00035E64" w:rsidRDefault="00035E64" w:rsidP="00AB7714">
      <w:pPr>
        <w:spacing w:line="360" w:lineRule="auto"/>
        <w:jc w:val="both"/>
        <w:rPr>
          <w:b/>
        </w:rPr>
      </w:pPr>
    </w:p>
    <w:p w14:paraId="40215A63" w14:textId="77777777" w:rsidR="00035E64" w:rsidRDefault="00035E64" w:rsidP="00AB7714">
      <w:pPr>
        <w:spacing w:line="360" w:lineRule="auto"/>
        <w:jc w:val="both"/>
        <w:rPr>
          <w:b/>
        </w:rPr>
      </w:pPr>
    </w:p>
    <w:p w14:paraId="454D684B" w14:textId="77777777" w:rsidR="00E13C9C" w:rsidRDefault="00E13C9C" w:rsidP="00AB7714">
      <w:pPr>
        <w:spacing w:line="360" w:lineRule="auto"/>
        <w:jc w:val="both"/>
        <w:rPr>
          <w:b/>
        </w:rPr>
      </w:pPr>
    </w:p>
    <w:p w14:paraId="376981AA" w14:textId="182E5A5D" w:rsidR="005B1015" w:rsidRPr="003707F1" w:rsidRDefault="005B1015" w:rsidP="00AB7714">
      <w:pPr>
        <w:spacing w:line="360" w:lineRule="auto"/>
        <w:jc w:val="both"/>
        <w:rPr>
          <w:b/>
        </w:rPr>
      </w:pPr>
      <w:r w:rsidRPr="003707F1">
        <w:rPr>
          <w:b/>
        </w:rPr>
        <w:lastRenderedPageBreak/>
        <w:t>REFERENCES</w:t>
      </w:r>
    </w:p>
    <w:p w14:paraId="1010E56E" w14:textId="77777777" w:rsidR="00BC19C4" w:rsidRPr="003707F1" w:rsidRDefault="00BC19C4" w:rsidP="00BC19C4">
      <w:pPr>
        <w:jc w:val="both"/>
        <w:rPr>
          <w:lang w:val="en-GB"/>
        </w:rPr>
      </w:pPr>
      <w:bookmarkStart w:id="12" w:name="_Hlk71369396"/>
      <w:r w:rsidRPr="003707F1">
        <w:rPr>
          <w:lang w:val="en-GB"/>
        </w:rPr>
        <w:t xml:space="preserve">Ali, A., </w:t>
      </w:r>
      <w:proofErr w:type="spellStart"/>
      <w:r w:rsidRPr="003707F1">
        <w:rPr>
          <w:lang w:val="en-GB"/>
        </w:rPr>
        <w:t>Xiaoling</w:t>
      </w:r>
      <w:proofErr w:type="spellEnd"/>
      <w:r w:rsidRPr="003707F1">
        <w:rPr>
          <w:lang w:val="en-GB"/>
        </w:rPr>
        <w:t xml:space="preserve">, G., Ali, A., Sherwani, M., &amp; </w:t>
      </w:r>
      <w:proofErr w:type="spellStart"/>
      <w:r w:rsidRPr="003707F1">
        <w:rPr>
          <w:lang w:val="en-GB"/>
        </w:rPr>
        <w:t>Muneeb</w:t>
      </w:r>
      <w:proofErr w:type="spellEnd"/>
      <w:r w:rsidRPr="003707F1">
        <w:rPr>
          <w:lang w:val="en-GB"/>
        </w:rPr>
        <w:t xml:space="preserve">, F. M. (2019). Customer motivations </w:t>
      </w:r>
    </w:p>
    <w:p w14:paraId="3FF35653" w14:textId="6ADAE7E6" w:rsidR="00BC19C4" w:rsidRPr="003707F1" w:rsidRDefault="00BC19C4" w:rsidP="00BC19C4">
      <w:pPr>
        <w:ind w:left="720"/>
        <w:jc w:val="both"/>
        <w:rPr>
          <w:lang w:val="en-GB"/>
        </w:rPr>
      </w:pPr>
      <w:r w:rsidRPr="003707F1">
        <w:rPr>
          <w:lang w:val="en-GB"/>
        </w:rPr>
        <w:t xml:space="preserve">for sustainable consumption: Investigating the drivers of </w:t>
      </w:r>
      <w:bookmarkEnd w:id="12"/>
      <w:r w:rsidRPr="003707F1">
        <w:rPr>
          <w:lang w:val="en-GB"/>
        </w:rPr>
        <w:t xml:space="preserve">purchase </w:t>
      </w:r>
      <w:proofErr w:type="spellStart"/>
      <w:r w:rsidRPr="003707F1">
        <w:rPr>
          <w:lang w:val="en-GB"/>
        </w:rPr>
        <w:t>behavior</w:t>
      </w:r>
      <w:proofErr w:type="spellEnd"/>
      <w:r w:rsidRPr="003707F1">
        <w:rPr>
          <w:lang w:val="en-GB"/>
        </w:rPr>
        <w:t xml:space="preserve"> for a green‐luxury car. </w:t>
      </w:r>
      <w:r w:rsidRPr="003707F1">
        <w:rPr>
          <w:i/>
          <w:iCs/>
          <w:lang w:val="en-GB"/>
        </w:rPr>
        <w:t>Business Strategy and the Environment</w:t>
      </w:r>
      <w:r w:rsidRPr="003707F1">
        <w:rPr>
          <w:lang w:val="en-GB"/>
        </w:rPr>
        <w:t>, 28(5), 833-846.</w:t>
      </w:r>
      <w:r w:rsidR="00DC3DB3" w:rsidRPr="003707F1">
        <w:rPr>
          <w:lang w:val="en-GB"/>
        </w:rPr>
        <w:t xml:space="preserve"> </w:t>
      </w:r>
      <w:proofErr w:type="spellStart"/>
      <w:r w:rsidR="00DC3DB3" w:rsidRPr="003707F1">
        <w:rPr>
          <w:lang w:val="en-GB"/>
        </w:rPr>
        <w:t>doi</w:t>
      </w:r>
      <w:proofErr w:type="spellEnd"/>
      <w:r w:rsidR="00DC3DB3" w:rsidRPr="003707F1">
        <w:rPr>
          <w:lang w:val="en-GB"/>
        </w:rPr>
        <w:t xml:space="preserve">: </w:t>
      </w:r>
      <w:hyperlink r:id="rId8" w:history="1">
        <w:r w:rsidR="00DC3DB3" w:rsidRPr="003707F1">
          <w:rPr>
            <w:rStyle w:val="Hyperlink"/>
          </w:rPr>
          <w:t>https://doi.org/10.1002/bse.2284</w:t>
        </w:r>
      </w:hyperlink>
      <w:r w:rsidR="00DC3DB3" w:rsidRPr="003707F1">
        <w:t xml:space="preserve"> </w:t>
      </w:r>
    </w:p>
    <w:p w14:paraId="254F6614" w14:textId="46C863A2" w:rsidR="00DC5E52" w:rsidRPr="003707F1" w:rsidRDefault="00DC5E52" w:rsidP="00063004">
      <w:pPr>
        <w:pStyle w:val="NormalWeb"/>
        <w:spacing w:before="0" w:beforeAutospacing="0" w:after="0" w:afterAutospacing="0"/>
        <w:jc w:val="both"/>
      </w:pPr>
      <w:proofErr w:type="spellStart"/>
      <w:r w:rsidRPr="003707F1">
        <w:t>Alsaad</w:t>
      </w:r>
      <w:proofErr w:type="spellEnd"/>
      <w:r w:rsidRPr="003707F1">
        <w:t xml:space="preserve">, A., </w:t>
      </w:r>
      <w:proofErr w:type="spellStart"/>
      <w:r w:rsidRPr="003707F1">
        <w:t>Saif-Alyousfi</w:t>
      </w:r>
      <w:proofErr w:type="spellEnd"/>
      <w:r w:rsidRPr="003707F1">
        <w:t>, A.Y.H.</w:t>
      </w:r>
      <w:r w:rsidR="00183698" w:rsidRPr="003707F1">
        <w:rPr>
          <w:rStyle w:val="Hyperlink"/>
        </w:rPr>
        <w:t>,</w:t>
      </w:r>
      <w:r w:rsidRPr="003707F1">
        <w:t xml:space="preserve"> </w:t>
      </w:r>
      <w:r w:rsidR="00183698" w:rsidRPr="003707F1">
        <w:t>&amp;</w:t>
      </w:r>
      <w:r w:rsidRPr="003707F1">
        <w:t xml:space="preserve"> </w:t>
      </w:r>
      <w:proofErr w:type="spellStart"/>
      <w:r w:rsidRPr="003707F1">
        <w:t>Elrehail</w:t>
      </w:r>
      <w:proofErr w:type="spellEnd"/>
      <w:r w:rsidRPr="003707F1">
        <w:t xml:space="preserve">, H. (2020), "Religiosity, idealism, and ethical  </w:t>
      </w:r>
    </w:p>
    <w:p w14:paraId="0C82C524" w14:textId="29A4C8DE" w:rsidR="00DC5E52" w:rsidRPr="003707F1" w:rsidRDefault="00DC5E52" w:rsidP="00063004">
      <w:pPr>
        <w:pStyle w:val="NormalWeb"/>
        <w:spacing w:before="0" w:beforeAutospacing="0" w:after="0" w:afterAutospacing="0"/>
        <w:ind w:left="720"/>
        <w:jc w:val="both"/>
      </w:pPr>
      <w:r w:rsidRPr="003707F1">
        <w:t xml:space="preserve">consumption: the mediating effect of perceived customer effectiveness and moral obligation", </w:t>
      </w:r>
      <w:r w:rsidRPr="003707F1">
        <w:rPr>
          <w:i/>
          <w:iCs/>
        </w:rPr>
        <w:t>Journal of Social Marketing</w:t>
      </w:r>
      <w:r w:rsidRPr="003707F1">
        <w:t xml:space="preserve">, 11(1), 25-43. </w:t>
      </w:r>
      <w:hyperlink r:id="rId9" w:tooltip="DOI: https://doi.org/10.1108/JSOCM-07-2020-0116" w:history="1">
        <w:r w:rsidRPr="003707F1">
          <w:rPr>
            <w:rStyle w:val="Hyperlink"/>
          </w:rPr>
          <w:t>https://doi.org/10.1108/JSOCM-07-2020-0116</w:t>
        </w:r>
      </w:hyperlink>
      <w:r w:rsidRPr="003707F1">
        <w:t xml:space="preserve"> </w:t>
      </w:r>
    </w:p>
    <w:p w14:paraId="4A6EB7A7" w14:textId="77777777" w:rsidR="00862440" w:rsidRPr="003707F1" w:rsidRDefault="00862440" w:rsidP="00063004">
      <w:pPr>
        <w:jc w:val="both"/>
      </w:pPr>
      <w:r w:rsidRPr="003707F1">
        <w:t>Al-</w:t>
      </w:r>
      <w:proofErr w:type="spellStart"/>
      <w:r w:rsidRPr="003707F1">
        <w:t>Swidi</w:t>
      </w:r>
      <w:proofErr w:type="spellEnd"/>
      <w:r w:rsidRPr="003707F1">
        <w:t xml:space="preserve">, A., &amp; Saleh, R. M. (2021). How green our future would be? An investigation of the </w:t>
      </w:r>
    </w:p>
    <w:p w14:paraId="4D0EC8B4" w14:textId="77777777" w:rsidR="00862440" w:rsidRPr="003707F1" w:rsidRDefault="00862440" w:rsidP="00063004">
      <w:pPr>
        <w:ind w:firstLine="720"/>
        <w:jc w:val="both"/>
      </w:pPr>
      <w:r w:rsidRPr="003707F1">
        <w:t xml:space="preserve">determinants of green purchasing </w:t>
      </w:r>
      <w:proofErr w:type="spellStart"/>
      <w:r w:rsidRPr="003707F1">
        <w:t>behavior</w:t>
      </w:r>
      <w:proofErr w:type="spellEnd"/>
      <w:r w:rsidRPr="003707F1">
        <w:t xml:space="preserve"> of young citizens in a developing Country. </w:t>
      </w:r>
    </w:p>
    <w:p w14:paraId="01F79112" w14:textId="77777777" w:rsidR="00862440" w:rsidRPr="003707F1" w:rsidRDefault="00862440" w:rsidP="00063004">
      <w:pPr>
        <w:ind w:firstLine="720"/>
        <w:jc w:val="both"/>
      </w:pPr>
      <w:r w:rsidRPr="003707F1">
        <w:rPr>
          <w:i/>
          <w:iCs/>
        </w:rPr>
        <w:t>Environment, Development and Sustainability</w:t>
      </w:r>
      <w:r w:rsidRPr="003707F1">
        <w:t xml:space="preserve">, 1-33. DOI: </w:t>
      </w:r>
    </w:p>
    <w:p w14:paraId="77E7B020" w14:textId="70F31CD6" w:rsidR="00862440" w:rsidRPr="003707F1" w:rsidRDefault="00C224F2" w:rsidP="00063004">
      <w:pPr>
        <w:ind w:firstLine="720"/>
        <w:jc w:val="both"/>
      </w:pPr>
      <w:hyperlink r:id="rId10" w:history="1">
        <w:r w:rsidR="00862440" w:rsidRPr="003707F1">
          <w:rPr>
            <w:rStyle w:val="Hyperlink"/>
          </w:rPr>
          <w:t>https://doi.org/10.1007/s10668-020-01220-z</w:t>
        </w:r>
      </w:hyperlink>
      <w:r w:rsidR="00862440" w:rsidRPr="003707F1">
        <w:t xml:space="preserve"> </w:t>
      </w:r>
    </w:p>
    <w:p w14:paraId="237DEFA2" w14:textId="77777777" w:rsidR="00E252E5" w:rsidRPr="003707F1" w:rsidRDefault="000B3A1F" w:rsidP="00063004">
      <w:pPr>
        <w:jc w:val="both"/>
      </w:pPr>
      <w:proofErr w:type="spellStart"/>
      <w:r w:rsidRPr="003707F1">
        <w:t>Alzubaidi</w:t>
      </w:r>
      <w:proofErr w:type="spellEnd"/>
      <w:r w:rsidRPr="003707F1">
        <w:t xml:space="preserve">, H., Slade, E. L., &amp; Dwivedi, Y. K. (2020). Examining antecedents of consumers’ </w:t>
      </w:r>
    </w:p>
    <w:p w14:paraId="2C589F81" w14:textId="3A40FA7E" w:rsidR="000B3A1F" w:rsidRPr="003707F1" w:rsidRDefault="000B3A1F" w:rsidP="00063004">
      <w:pPr>
        <w:ind w:left="720"/>
        <w:jc w:val="both"/>
      </w:pPr>
      <w:r w:rsidRPr="003707F1">
        <w:t xml:space="preserve">pro-environmental behaviours: TPB extended with materialism and innovativeness. </w:t>
      </w:r>
      <w:r w:rsidRPr="003707F1">
        <w:rPr>
          <w:i/>
          <w:iCs/>
        </w:rPr>
        <w:t>Journal of Business Research</w:t>
      </w:r>
      <w:r w:rsidRPr="003707F1">
        <w:t>.</w:t>
      </w:r>
      <w:r w:rsidR="00C017C7" w:rsidRPr="003707F1">
        <w:t xml:space="preserve"> 122 (1), 685-699. </w:t>
      </w:r>
      <w:proofErr w:type="spellStart"/>
      <w:r w:rsidR="005006D4" w:rsidRPr="003707F1">
        <w:t>d</w:t>
      </w:r>
      <w:r w:rsidR="00C017C7" w:rsidRPr="003707F1">
        <w:t>oi</w:t>
      </w:r>
      <w:proofErr w:type="spellEnd"/>
      <w:r w:rsidR="00C017C7" w:rsidRPr="003707F1">
        <w:t>:</w:t>
      </w:r>
      <w:r w:rsidR="005006D4" w:rsidRPr="003707F1">
        <w:t xml:space="preserve"> </w:t>
      </w:r>
      <w:hyperlink r:id="rId11" w:tgtFrame="_blank" w:tooltip="Persistent link using digital object identifier" w:history="1">
        <w:r w:rsidR="005006D4" w:rsidRPr="003707F1">
          <w:rPr>
            <w:rStyle w:val="Hyperlink"/>
          </w:rPr>
          <w:t>https://doi.org/10.1016/j.jbusres.2020.01.017</w:t>
        </w:r>
      </w:hyperlink>
    </w:p>
    <w:p w14:paraId="1AF8CE04" w14:textId="77777777" w:rsidR="00812C85" w:rsidRPr="003707F1" w:rsidRDefault="00812C85" w:rsidP="00063004">
      <w:pPr>
        <w:jc w:val="both"/>
      </w:pPr>
      <w:r w:rsidRPr="003707F1">
        <w:t xml:space="preserve">Antonetti, P., &amp; </w:t>
      </w:r>
      <w:proofErr w:type="spellStart"/>
      <w:r w:rsidRPr="003707F1">
        <w:t>Maklan</w:t>
      </w:r>
      <w:proofErr w:type="spellEnd"/>
      <w:r w:rsidRPr="003707F1">
        <w:t xml:space="preserve">, S. (2014). Feelings that make a difference: How guilt and pride </w:t>
      </w:r>
    </w:p>
    <w:p w14:paraId="7760DA45" w14:textId="77777777" w:rsidR="00812C85" w:rsidRPr="003707F1" w:rsidRDefault="00812C85" w:rsidP="00063004">
      <w:pPr>
        <w:ind w:firstLine="720"/>
        <w:jc w:val="both"/>
        <w:rPr>
          <w:i/>
          <w:iCs/>
        </w:rPr>
      </w:pPr>
      <w:r w:rsidRPr="003707F1">
        <w:t xml:space="preserve">convince consumers of the effectiveness of sustainable consumption choices. </w:t>
      </w:r>
      <w:r w:rsidRPr="003707F1">
        <w:rPr>
          <w:i/>
          <w:iCs/>
        </w:rPr>
        <w:t xml:space="preserve">Journal </w:t>
      </w:r>
    </w:p>
    <w:p w14:paraId="16446484" w14:textId="6E7A8969" w:rsidR="00812C85" w:rsidRPr="003707F1" w:rsidRDefault="00812C85" w:rsidP="00063004">
      <w:pPr>
        <w:ind w:firstLine="720"/>
        <w:jc w:val="both"/>
      </w:pPr>
      <w:r w:rsidRPr="003707F1">
        <w:rPr>
          <w:i/>
          <w:iCs/>
        </w:rPr>
        <w:t>of Business Ethics</w:t>
      </w:r>
      <w:r w:rsidRPr="003707F1">
        <w:t>, 124(1), 117-134.</w:t>
      </w:r>
      <w:r w:rsidR="00C017C7" w:rsidRPr="003707F1">
        <w:t xml:space="preserve"> </w:t>
      </w:r>
      <w:proofErr w:type="spellStart"/>
      <w:r w:rsidR="00C017C7" w:rsidRPr="003707F1">
        <w:t>doi</w:t>
      </w:r>
      <w:proofErr w:type="spellEnd"/>
      <w:r w:rsidR="00C017C7" w:rsidRPr="003707F1">
        <w:t xml:space="preserve">: </w:t>
      </w:r>
      <w:hyperlink r:id="rId12" w:tgtFrame="_blank" w:history="1">
        <w:r w:rsidR="00C017C7" w:rsidRPr="003707F1">
          <w:rPr>
            <w:rStyle w:val="Hyperlink"/>
          </w:rPr>
          <w:t>https://doi.org/10.1007/s10551-013-1841-9</w:t>
        </w:r>
      </w:hyperlink>
      <w:r w:rsidR="00C017C7" w:rsidRPr="003707F1">
        <w:t xml:space="preserve"> </w:t>
      </w:r>
    </w:p>
    <w:p w14:paraId="05F1851E" w14:textId="103B16BF" w:rsidR="00567582" w:rsidRPr="003707F1" w:rsidRDefault="00567582" w:rsidP="00063004">
      <w:pPr>
        <w:jc w:val="both"/>
      </w:pPr>
      <w:r w:rsidRPr="003707F1">
        <w:t xml:space="preserve">Arias, C., &amp; Trujillo, C. A. (2020). Perceived consumer effectiveness as a trigger of </w:t>
      </w:r>
    </w:p>
    <w:p w14:paraId="41377F08" w14:textId="39A63FAC" w:rsidR="00567582" w:rsidRPr="003707F1" w:rsidRDefault="00567582" w:rsidP="00063004">
      <w:pPr>
        <w:ind w:left="720"/>
        <w:jc w:val="both"/>
      </w:pPr>
      <w:proofErr w:type="spellStart"/>
      <w:r w:rsidRPr="003707F1">
        <w:t>behavioral</w:t>
      </w:r>
      <w:proofErr w:type="spellEnd"/>
      <w:r w:rsidRPr="003707F1">
        <w:t xml:space="preserve"> </w:t>
      </w:r>
      <w:proofErr w:type="spellStart"/>
      <w:r w:rsidRPr="003707F1">
        <w:t>spillover</w:t>
      </w:r>
      <w:proofErr w:type="spellEnd"/>
      <w:r w:rsidRPr="003707F1">
        <w:t xml:space="preserve"> effects: a path towards recycling. </w:t>
      </w:r>
      <w:r w:rsidRPr="003707F1">
        <w:rPr>
          <w:i/>
          <w:iCs/>
        </w:rPr>
        <w:t>Sustainability</w:t>
      </w:r>
      <w:r w:rsidRPr="003707F1">
        <w:t xml:space="preserve">, 12(11), 4348. DOI: </w:t>
      </w:r>
      <w:hyperlink r:id="rId13" w:history="1">
        <w:r w:rsidRPr="003707F1">
          <w:rPr>
            <w:rStyle w:val="Hyperlink"/>
          </w:rPr>
          <w:t>https://doi.org/10.3390/su12114348</w:t>
        </w:r>
      </w:hyperlink>
      <w:r w:rsidRPr="003707F1">
        <w:t xml:space="preserve"> </w:t>
      </w:r>
    </w:p>
    <w:p w14:paraId="084CC709" w14:textId="77777777" w:rsidR="00F9624F" w:rsidRPr="003707F1" w:rsidRDefault="00F9624F" w:rsidP="00063004">
      <w:pPr>
        <w:jc w:val="both"/>
      </w:pPr>
      <w:proofErr w:type="spellStart"/>
      <w:r w:rsidRPr="003707F1">
        <w:t>Asadi</w:t>
      </w:r>
      <w:proofErr w:type="spellEnd"/>
      <w:r w:rsidRPr="003707F1">
        <w:t xml:space="preserve">, S., </w:t>
      </w:r>
      <w:proofErr w:type="spellStart"/>
      <w:r w:rsidRPr="003707F1">
        <w:t>Nilashi</w:t>
      </w:r>
      <w:proofErr w:type="spellEnd"/>
      <w:r w:rsidRPr="003707F1">
        <w:t xml:space="preserve">, M., Samad, S., Abdullah, R., Mahmoud, M., </w:t>
      </w:r>
      <w:proofErr w:type="spellStart"/>
      <w:r w:rsidRPr="003707F1">
        <w:t>Alkinani</w:t>
      </w:r>
      <w:proofErr w:type="spellEnd"/>
      <w:r w:rsidRPr="003707F1">
        <w:t xml:space="preserve">, M. H., &amp; </w:t>
      </w:r>
    </w:p>
    <w:p w14:paraId="524299C7" w14:textId="4381C684" w:rsidR="00F9624F" w:rsidRPr="003707F1" w:rsidRDefault="00F9624F" w:rsidP="00063004">
      <w:pPr>
        <w:ind w:left="720"/>
        <w:jc w:val="both"/>
      </w:pPr>
      <w:proofErr w:type="spellStart"/>
      <w:r w:rsidRPr="003707F1">
        <w:t>Yadegaridehkordi</w:t>
      </w:r>
      <w:proofErr w:type="spellEnd"/>
      <w:r w:rsidRPr="003707F1">
        <w:t xml:space="preserve">, E. (2021). Factors impacting consumers’ intention toward adoption of electric vehicles in Malaysia. </w:t>
      </w:r>
      <w:r w:rsidRPr="003707F1">
        <w:rPr>
          <w:i/>
          <w:iCs/>
        </w:rPr>
        <w:t>Journal of Cleaner Production</w:t>
      </w:r>
      <w:r w:rsidRPr="003707F1">
        <w:t>, 282, 124474.</w:t>
      </w:r>
      <w:r w:rsidR="00C017C7" w:rsidRPr="003707F1">
        <w:t xml:space="preserve"> </w:t>
      </w:r>
      <w:proofErr w:type="spellStart"/>
      <w:r w:rsidR="00C017C7" w:rsidRPr="003707F1">
        <w:t>doi</w:t>
      </w:r>
      <w:proofErr w:type="spellEnd"/>
      <w:r w:rsidR="00C017C7" w:rsidRPr="003707F1">
        <w:t xml:space="preserve">: </w:t>
      </w:r>
      <w:hyperlink r:id="rId14" w:tgtFrame="_blank" w:tooltip="Persistent link using digital object identifier" w:history="1">
        <w:r w:rsidR="00C017C7" w:rsidRPr="003707F1">
          <w:rPr>
            <w:rStyle w:val="Hyperlink"/>
          </w:rPr>
          <w:t>https://doi.org/10.1016/j.jclepro.2020.124474</w:t>
        </w:r>
      </w:hyperlink>
      <w:r w:rsidR="00C017C7" w:rsidRPr="003707F1">
        <w:t xml:space="preserve"> </w:t>
      </w:r>
    </w:p>
    <w:p w14:paraId="6A9FED0B" w14:textId="77777777" w:rsidR="0080105F" w:rsidRPr="003707F1" w:rsidRDefault="0080105F" w:rsidP="00681CD7">
      <w:pPr>
        <w:jc w:val="both"/>
      </w:pPr>
      <w:r w:rsidRPr="003707F1">
        <w:t xml:space="preserve">Ashraf, M. S., Hou, F., Kim, W. G., Ahmad, W., &amp; Ashraf, R. U. (2020). Modeling tourists' </w:t>
      </w:r>
    </w:p>
    <w:p w14:paraId="33B27175" w14:textId="77777777" w:rsidR="0080105F" w:rsidRPr="003707F1" w:rsidRDefault="0080105F" w:rsidP="00681CD7">
      <w:pPr>
        <w:ind w:firstLine="720"/>
        <w:jc w:val="both"/>
      </w:pPr>
      <w:r w:rsidRPr="003707F1">
        <w:t xml:space="preserve">visiting intentions toward ecofriendly destinations: Implications for sustainable tourism </w:t>
      </w:r>
    </w:p>
    <w:p w14:paraId="068473F3" w14:textId="141E0E70" w:rsidR="0080105F" w:rsidRPr="003707F1" w:rsidRDefault="0080105F" w:rsidP="00C017C7">
      <w:pPr>
        <w:ind w:left="720"/>
        <w:jc w:val="both"/>
      </w:pPr>
      <w:r w:rsidRPr="003707F1">
        <w:t xml:space="preserve">operators. </w:t>
      </w:r>
      <w:r w:rsidRPr="003707F1">
        <w:rPr>
          <w:i/>
          <w:iCs/>
        </w:rPr>
        <w:t>Business Strategy and the Environment</w:t>
      </w:r>
      <w:r w:rsidRPr="003707F1">
        <w:t>, 29(1), 54-71.</w:t>
      </w:r>
      <w:r w:rsidR="00C017C7" w:rsidRPr="003707F1">
        <w:t xml:space="preserve"> </w:t>
      </w:r>
      <w:proofErr w:type="spellStart"/>
      <w:r w:rsidR="00C017C7" w:rsidRPr="003707F1">
        <w:t>doi</w:t>
      </w:r>
      <w:proofErr w:type="spellEnd"/>
      <w:r w:rsidR="00C017C7" w:rsidRPr="003707F1">
        <w:t xml:space="preserve">: </w:t>
      </w:r>
      <w:hyperlink r:id="rId15" w:history="1">
        <w:r w:rsidR="00C017C7" w:rsidRPr="003707F1">
          <w:rPr>
            <w:rStyle w:val="Hyperlink"/>
          </w:rPr>
          <w:t>https://doi.org/10.1002/bse.2350</w:t>
        </w:r>
      </w:hyperlink>
      <w:r w:rsidR="00C017C7" w:rsidRPr="003707F1">
        <w:t xml:space="preserve"> </w:t>
      </w:r>
    </w:p>
    <w:p w14:paraId="4AF66345" w14:textId="77777777" w:rsidR="00093268" w:rsidRPr="003707F1" w:rsidRDefault="00093268" w:rsidP="00681CD7">
      <w:pPr>
        <w:jc w:val="both"/>
        <w:rPr>
          <w:i/>
          <w:iCs/>
        </w:rPr>
      </w:pPr>
      <w:proofErr w:type="spellStart"/>
      <w:r w:rsidRPr="003707F1">
        <w:t>Bagozzi</w:t>
      </w:r>
      <w:proofErr w:type="spellEnd"/>
      <w:r w:rsidRPr="003707F1">
        <w:t xml:space="preserve">, R. P., &amp; Yi, Y. (1988). On the evaluation of structural equation models. </w:t>
      </w:r>
      <w:r w:rsidRPr="003707F1">
        <w:rPr>
          <w:i/>
          <w:iCs/>
        </w:rPr>
        <w:t xml:space="preserve">Journal of </w:t>
      </w:r>
    </w:p>
    <w:p w14:paraId="0F506BAB" w14:textId="41048A3F" w:rsidR="00093268" w:rsidRPr="003707F1" w:rsidRDefault="00093268" w:rsidP="00C017C7">
      <w:pPr>
        <w:ind w:left="720"/>
        <w:jc w:val="both"/>
      </w:pPr>
      <w:r w:rsidRPr="003707F1">
        <w:rPr>
          <w:i/>
          <w:iCs/>
        </w:rPr>
        <w:t>the Academy of Marketing Science</w:t>
      </w:r>
      <w:r w:rsidRPr="003707F1">
        <w:t xml:space="preserve">, 16(1), 74–94. </w:t>
      </w:r>
      <w:r w:rsidR="00C017C7" w:rsidRPr="003707F1">
        <w:t xml:space="preserve">Doi: </w:t>
      </w:r>
      <w:hyperlink r:id="rId16" w:history="1">
        <w:r w:rsidR="00C017C7" w:rsidRPr="003707F1">
          <w:rPr>
            <w:rStyle w:val="Hyperlink"/>
          </w:rPr>
          <w:t>https://doi.org/10.1007/BF02723327</w:t>
        </w:r>
      </w:hyperlink>
      <w:r w:rsidR="00C017C7" w:rsidRPr="003707F1">
        <w:t xml:space="preserve"> </w:t>
      </w:r>
    </w:p>
    <w:p w14:paraId="2DD7B25F" w14:textId="77777777" w:rsidR="00851C75" w:rsidRPr="003707F1" w:rsidRDefault="00851C75" w:rsidP="00681CD7">
      <w:pPr>
        <w:jc w:val="both"/>
      </w:pPr>
      <w:r w:rsidRPr="003707F1">
        <w:t xml:space="preserve">Bartels, J., &amp; Reinders, M. J. (2016). Consuming apart, together: The role of multiple identities </w:t>
      </w:r>
    </w:p>
    <w:p w14:paraId="16E18710" w14:textId="5374C57D" w:rsidR="00851C75" w:rsidRPr="003707F1" w:rsidRDefault="00851C75" w:rsidP="00C017C7">
      <w:pPr>
        <w:ind w:left="720"/>
        <w:jc w:val="both"/>
      </w:pPr>
      <w:r w:rsidRPr="003707F1">
        <w:t xml:space="preserve">in sustainable behaviour. </w:t>
      </w:r>
      <w:r w:rsidRPr="003707F1">
        <w:rPr>
          <w:i/>
          <w:iCs/>
        </w:rPr>
        <w:t>International Journal of Consumer Studies</w:t>
      </w:r>
      <w:r w:rsidRPr="003707F1">
        <w:t>, 40(4), 444-452.</w:t>
      </w:r>
      <w:r w:rsidR="00C017C7" w:rsidRPr="003707F1">
        <w:t xml:space="preserve"> </w:t>
      </w:r>
      <w:proofErr w:type="spellStart"/>
      <w:r w:rsidR="00C017C7" w:rsidRPr="003707F1">
        <w:t>doi</w:t>
      </w:r>
      <w:proofErr w:type="spellEnd"/>
      <w:r w:rsidR="00C017C7" w:rsidRPr="003707F1">
        <w:t xml:space="preserve">: </w:t>
      </w:r>
      <w:hyperlink r:id="rId17" w:history="1">
        <w:r w:rsidR="00C017C7" w:rsidRPr="003707F1">
          <w:rPr>
            <w:rStyle w:val="Hyperlink"/>
          </w:rPr>
          <w:t>https://doi.org/10.1111/ijcs.12269</w:t>
        </w:r>
      </w:hyperlink>
    </w:p>
    <w:p w14:paraId="3E6CA066" w14:textId="59B8988C" w:rsidR="00E86528" w:rsidRPr="003707F1" w:rsidRDefault="00E86528" w:rsidP="00681CD7">
      <w:pPr>
        <w:jc w:val="both"/>
      </w:pPr>
      <w:r w:rsidRPr="003707F1">
        <w:t xml:space="preserve">Bolton, R. N. (2020). The </w:t>
      </w:r>
      <w:r w:rsidR="00525480" w:rsidRPr="003707F1">
        <w:t>l</w:t>
      </w:r>
      <w:r w:rsidRPr="003707F1">
        <w:t xml:space="preserve">ong </w:t>
      </w:r>
      <w:r w:rsidR="00525480" w:rsidRPr="003707F1">
        <w:t>v</w:t>
      </w:r>
      <w:r w:rsidRPr="003707F1">
        <w:t xml:space="preserve">iew on the </w:t>
      </w:r>
      <w:r w:rsidR="00525480" w:rsidRPr="003707F1">
        <w:t>r</w:t>
      </w:r>
      <w:r w:rsidRPr="003707F1">
        <w:t xml:space="preserve">esponsibilities of </w:t>
      </w:r>
      <w:r w:rsidR="00525480" w:rsidRPr="003707F1">
        <w:t>b</w:t>
      </w:r>
      <w:r w:rsidRPr="003707F1">
        <w:t xml:space="preserve">usiness and </w:t>
      </w:r>
      <w:r w:rsidR="00525480" w:rsidRPr="003707F1">
        <w:t>m</w:t>
      </w:r>
      <w:r w:rsidRPr="003707F1">
        <w:t xml:space="preserve">arketers. </w:t>
      </w:r>
    </w:p>
    <w:p w14:paraId="06139984" w14:textId="7E662E9A" w:rsidR="00E86528" w:rsidRPr="003707F1" w:rsidRDefault="00E86528" w:rsidP="00681CD7">
      <w:pPr>
        <w:ind w:firstLine="720"/>
        <w:jc w:val="both"/>
        <w:rPr>
          <w:rStyle w:val="Hyperlink"/>
        </w:rPr>
      </w:pPr>
      <w:r w:rsidRPr="003707F1">
        <w:rPr>
          <w:i/>
          <w:iCs/>
        </w:rPr>
        <w:t xml:space="preserve">Journal of </w:t>
      </w:r>
      <w:proofErr w:type="spellStart"/>
      <w:r w:rsidRPr="003707F1">
        <w:rPr>
          <w:i/>
          <w:iCs/>
        </w:rPr>
        <w:t>Macromarketing</w:t>
      </w:r>
      <w:proofErr w:type="spellEnd"/>
      <w:r w:rsidR="00E5495F" w:rsidRPr="003707F1">
        <w:t>,</w:t>
      </w:r>
      <w:r w:rsidRPr="003707F1">
        <w:t xml:space="preserve"> </w:t>
      </w:r>
      <w:r w:rsidR="00183698" w:rsidRPr="003707F1">
        <w:rPr>
          <w:rStyle w:val="cls-response"/>
        </w:rPr>
        <w:t>40(3)</w:t>
      </w:r>
      <w:r w:rsidR="00E5495F" w:rsidRPr="003707F1">
        <w:rPr>
          <w:rStyle w:val="cls-response"/>
        </w:rPr>
        <w:t>,</w:t>
      </w:r>
      <w:r w:rsidR="00183698" w:rsidRPr="003707F1">
        <w:rPr>
          <w:rStyle w:val="cls-response"/>
        </w:rPr>
        <w:t xml:space="preserve">332-335. </w:t>
      </w:r>
      <w:r w:rsidR="00C017C7" w:rsidRPr="003707F1">
        <w:rPr>
          <w:rStyle w:val="cls-response"/>
        </w:rPr>
        <w:t>doi</w:t>
      </w:r>
      <w:r w:rsidR="00183698" w:rsidRPr="003707F1">
        <w:rPr>
          <w:rStyle w:val="cls-response"/>
        </w:rPr>
        <w:t>:</w:t>
      </w:r>
      <w:hyperlink r:id="rId18" w:history="1">
        <w:r w:rsidR="00183698" w:rsidRPr="003707F1">
          <w:rPr>
            <w:rStyle w:val="Hyperlink"/>
          </w:rPr>
          <w:t>10.1177/0276146720926641</w:t>
        </w:r>
      </w:hyperlink>
    </w:p>
    <w:p w14:paraId="734E8FE4" w14:textId="77777777" w:rsidR="000B41CF" w:rsidRPr="003707F1" w:rsidRDefault="000B41CF" w:rsidP="000B41CF">
      <w:proofErr w:type="spellStart"/>
      <w:r w:rsidRPr="003707F1">
        <w:t>Bonaiuto</w:t>
      </w:r>
      <w:proofErr w:type="spellEnd"/>
      <w:r w:rsidRPr="003707F1">
        <w:t xml:space="preserve">, M., Breakwell, G. M., &amp; Cano, I. (1996). Identity processes and environmental </w:t>
      </w:r>
    </w:p>
    <w:p w14:paraId="6A7F61D7" w14:textId="4A10BD3E" w:rsidR="000B41CF" w:rsidRPr="003707F1" w:rsidRDefault="000B41CF" w:rsidP="000B41CF">
      <w:pPr>
        <w:ind w:left="720"/>
      </w:pPr>
      <w:r w:rsidRPr="003707F1">
        <w:t xml:space="preserve">threat: The effects of nationalism and local identity upon perception of beach pollution. </w:t>
      </w:r>
      <w:r w:rsidRPr="003707F1">
        <w:rPr>
          <w:i/>
          <w:iCs/>
        </w:rPr>
        <w:t>Journal of Community &amp; Applied Social Psychology</w:t>
      </w:r>
      <w:r w:rsidRPr="003707F1">
        <w:t>, 6(3), 157-175.</w:t>
      </w:r>
      <w:r w:rsidR="005006D4" w:rsidRPr="003707F1">
        <w:t xml:space="preserve"> </w:t>
      </w:r>
      <w:proofErr w:type="spellStart"/>
      <w:r w:rsidR="005006D4" w:rsidRPr="003707F1">
        <w:t>doi</w:t>
      </w:r>
      <w:proofErr w:type="spellEnd"/>
      <w:r w:rsidR="005006D4" w:rsidRPr="003707F1">
        <w:t xml:space="preserve">: </w:t>
      </w:r>
      <w:hyperlink r:id="rId19" w:history="1">
        <w:r w:rsidR="005006D4" w:rsidRPr="003707F1">
          <w:rPr>
            <w:rStyle w:val="Hyperlink"/>
          </w:rPr>
          <w:t>https://doi.org/10.1002/(SICI)1099-1298(199608)6:3&lt;157::AID-CASP367&gt;3.0.CO;2-W</w:t>
        </w:r>
      </w:hyperlink>
    </w:p>
    <w:p w14:paraId="01673DE9" w14:textId="77777777" w:rsidR="00486425" w:rsidRPr="003707F1" w:rsidRDefault="00486425" w:rsidP="00681CD7">
      <w:pPr>
        <w:jc w:val="both"/>
        <w:rPr>
          <w:rStyle w:val="Hyperlink"/>
          <w:color w:val="auto"/>
          <w:u w:val="none"/>
        </w:rPr>
      </w:pPr>
      <w:proofErr w:type="spellStart"/>
      <w:r w:rsidRPr="003707F1">
        <w:rPr>
          <w:rStyle w:val="Hyperlink"/>
          <w:color w:val="auto"/>
          <w:u w:val="none"/>
        </w:rPr>
        <w:t>Brieger</w:t>
      </w:r>
      <w:proofErr w:type="spellEnd"/>
      <w:r w:rsidRPr="003707F1">
        <w:rPr>
          <w:rStyle w:val="Hyperlink"/>
          <w:color w:val="auto"/>
          <w:u w:val="none"/>
        </w:rPr>
        <w:t xml:space="preserve">, S. A. (2019). Social identity and environmental concern: The importance of contextual </w:t>
      </w:r>
    </w:p>
    <w:p w14:paraId="2FEBAB98" w14:textId="21B1A337" w:rsidR="00486425" w:rsidRPr="003707F1" w:rsidRDefault="00486425" w:rsidP="005006D4">
      <w:pPr>
        <w:ind w:left="720"/>
        <w:jc w:val="both"/>
        <w:rPr>
          <w:rStyle w:val="Hyperlink"/>
          <w:color w:val="auto"/>
          <w:u w:val="none"/>
        </w:rPr>
      </w:pPr>
      <w:r w:rsidRPr="003707F1">
        <w:rPr>
          <w:rStyle w:val="Hyperlink"/>
          <w:color w:val="auto"/>
          <w:u w:val="none"/>
        </w:rPr>
        <w:t xml:space="preserve">effects. </w:t>
      </w:r>
      <w:r w:rsidRPr="003707F1">
        <w:rPr>
          <w:rStyle w:val="Hyperlink"/>
          <w:i/>
          <w:iCs/>
          <w:color w:val="auto"/>
          <w:u w:val="none"/>
        </w:rPr>
        <w:t xml:space="preserve">Environment and </w:t>
      </w:r>
      <w:proofErr w:type="spellStart"/>
      <w:r w:rsidRPr="003707F1">
        <w:rPr>
          <w:rStyle w:val="Hyperlink"/>
          <w:i/>
          <w:iCs/>
          <w:color w:val="auto"/>
          <w:u w:val="none"/>
        </w:rPr>
        <w:t>Behavior</w:t>
      </w:r>
      <w:proofErr w:type="spellEnd"/>
      <w:r w:rsidRPr="003707F1">
        <w:rPr>
          <w:rStyle w:val="Hyperlink"/>
          <w:color w:val="auto"/>
          <w:u w:val="none"/>
        </w:rPr>
        <w:t>, 51(7), 828-855</w:t>
      </w:r>
      <w:r w:rsidR="005006D4" w:rsidRPr="003707F1">
        <w:rPr>
          <w:rStyle w:val="Hyperlink"/>
          <w:color w:val="auto"/>
          <w:u w:val="none"/>
        </w:rPr>
        <w:t xml:space="preserve">. </w:t>
      </w:r>
      <w:proofErr w:type="spellStart"/>
      <w:r w:rsidR="005006D4" w:rsidRPr="003707F1">
        <w:rPr>
          <w:rStyle w:val="Hyperlink"/>
          <w:color w:val="auto"/>
          <w:u w:val="none"/>
        </w:rPr>
        <w:t>doi</w:t>
      </w:r>
      <w:proofErr w:type="spellEnd"/>
      <w:r w:rsidR="005006D4" w:rsidRPr="003707F1">
        <w:rPr>
          <w:rStyle w:val="Hyperlink"/>
          <w:color w:val="auto"/>
          <w:u w:val="none"/>
        </w:rPr>
        <w:t xml:space="preserve">: </w:t>
      </w:r>
      <w:hyperlink r:id="rId20" w:history="1">
        <w:r w:rsidR="005006D4" w:rsidRPr="003707F1">
          <w:rPr>
            <w:rStyle w:val="Hyperlink"/>
          </w:rPr>
          <w:t>https://doi.org/10.1177/0013916518756988</w:t>
        </w:r>
      </w:hyperlink>
      <w:r w:rsidR="005006D4" w:rsidRPr="003707F1">
        <w:t xml:space="preserve"> </w:t>
      </w:r>
    </w:p>
    <w:p w14:paraId="1A7E5B6E" w14:textId="3F77A6EF" w:rsidR="00D814D9" w:rsidRPr="003707F1" w:rsidRDefault="00AE5D2E" w:rsidP="00063004">
      <w:pPr>
        <w:jc w:val="both"/>
        <w:rPr>
          <w:i/>
          <w:iCs/>
        </w:rPr>
      </w:pPr>
      <w:proofErr w:type="spellStart"/>
      <w:r w:rsidRPr="003707F1">
        <w:t>Brislin</w:t>
      </w:r>
      <w:proofErr w:type="spellEnd"/>
      <w:r w:rsidRPr="003707F1">
        <w:t xml:space="preserve">, R. W. (1970). Back-translation for cross-cultural research. </w:t>
      </w:r>
      <w:r w:rsidRPr="003707F1">
        <w:rPr>
          <w:i/>
          <w:iCs/>
        </w:rPr>
        <w:t xml:space="preserve">Journal of </w:t>
      </w:r>
      <w:r w:rsidR="00433F74" w:rsidRPr="003707F1">
        <w:rPr>
          <w:i/>
          <w:iCs/>
        </w:rPr>
        <w:t>C</w:t>
      </w:r>
      <w:r w:rsidRPr="003707F1">
        <w:rPr>
          <w:i/>
          <w:iCs/>
        </w:rPr>
        <w:t xml:space="preserve">ross-cultural </w:t>
      </w:r>
    </w:p>
    <w:p w14:paraId="0FD379B8" w14:textId="3666CAB0" w:rsidR="00AE5D2E" w:rsidRPr="003707F1" w:rsidRDefault="00433F74" w:rsidP="00063004">
      <w:pPr>
        <w:ind w:firstLine="720"/>
        <w:jc w:val="both"/>
        <w:rPr>
          <w:lang w:val="en-GB"/>
        </w:rPr>
      </w:pPr>
      <w:r w:rsidRPr="003707F1">
        <w:rPr>
          <w:i/>
          <w:iCs/>
          <w:lang w:val="en-GB"/>
        </w:rPr>
        <w:t>P</w:t>
      </w:r>
      <w:r w:rsidR="00AE5D2E" w:rsidRPr="003707F1">
        <w:rPr>
          <w:i/>
          <w:iCs/>
          <w:lang w:val="en-GB"/>
        </w:rPr>
        <w:t>sychology</w:t>
      </w:r>
      <w:r w:rsidR="00AE5D2E" w:rsidRPr="003707F1">
        <w:rPr>
          <w:lang w:val="en-GB"/>
        </w:rPr>
        <w:t>, 1(3), 185-216.</w:t>
      </w:r>
      <w:r w:rsidR="005006D4" w:rsidRPr="003707F1">
        <w:rPr>
          <w:lang w:val="en-GB"/>
        </w:rPr>
        <w:t xml:space="preserve"> </w:t>
      </w:r>
      <w:proofErr w:type="spellStart"/>
      <w:r w:rsidR="005006D4" w:rsidRPr="003707F1">
        <w:rPr>
          <w:lang w:val="en-GB"/>
        </w:rPr>
        <w:t>doi</w:t>
      </w:r>
      <w:proofErr w:type="spellEnd"/>
      <w:r w:rsidR="005006D4" w:rsidRPr="003707F1">
        <w:rPr>
          <w:lang w:val="en-GB"/>
        </w:rPr>
        <w:t xml:space="preserve">: </w:t>
      </w:r>
      <w:hyperlink r:id="rId21" w:history="1">
        <w:r w:rsidR="005006D4" w:rsidRPr="003707F1">
          <w:rPr>
            <w:rStyle w:val="Hyperlink"/>
            <w:lang w:val="en-GB"/>
          </w:rPr>
          <w:t>https://doi.org/10.1177/135910457000100301</w:t>
        </w:r>
      </w:hyperlink>
    </w:p>
    <w:p w14:paraId="054CEC53" w14:textId="77777777" w:rsidR="008B51B7" w:rsidRPr="003707F1" w:rsidRDefault="008B51B7" w:rsidP="00063004">
      <w:pPr>
        <w:jc w:val="both"/>
      </w:pPr>
      <w:proofErr w:type="spellStart"/>
      <w:r w:rsidRPr="003707F1">
        <w:t>Brusselaers</w:t>
      </w:r>
      <w:proofErr w:type="spellEnd"/>
      <w:r w:rsidRPr="003707F1">
        <w:t xml:space="preserve">, J., Verbeke, W., </w:t>
      </w:r>
      <w:proofErr w:type="spellStart"/>
      <w:r w:rsidRPr="003707F1">
        <w:t>Mettepenningen</w:t>
      </w:r>
      <w:proofErr w:type="spellEnd"/>
      <w:r w:rsidRPr="003707F1">
        <w:t xml:space="preserve">, E., &amp; </w:t>
      </w:r>
      <w:proofErr w:type="spellStart"/>
      <w:r w:rsidRPr="003707F1">
        <w:t>Buysse</w:t>
      </w:r>
      <w:proofErr w:type="spellEnd"/>
      <w:r w:rsidRPr="003707F1">
        <w:t xml:space="preserve">, J. (2020). Unravelling the true </w:t>
      </w:r>
    </w:p>
    <w:p w14:paraId="1883ECF5" w14:textId="58BAB52F" w:rsidR="008B51B7" w:rsidRPr="003707F1" w:rsidRDefault="008B51B7" w:rsidP="00063004">
      <w:pPr>
        <w:ind w:left="720"/>
        <w:jc w:val="both"/>
      </w:pPr>
      <w:r w:rsidRPr="003707F1">
        <w:lastRenderedPageBreak/>
        <w:t xml:space="preserve">drivers for eco-certified wood consumption by introducing scarcity. </w:t>
      </w:r>
      <w:r w:rsidRPr="003707F1">
        <w:rPr>
          <w:i/>
          <w:iCs/>
        </w:rPr>
        <w:t>Forest Policy and Economics</w:t>
      </w:r>
      <w:r w:rsidRPr="003707F1">
        <w:t xml:space="preserve">, 111, 102026. </w:t>
      </w:r>
      <w:proofErr w:type="spellStart"/>
      <w:r w:rsidR="005006D4" w:rsidRPr="003707F1">
        <w:t>doi</w:t>
      </w:r>
      <w:proofErr w:type="spellEnd"/>
      <w:r w:rsidRPr="003707F1">
        <w:t xml:space="preserve">: </w:t>
      </w:r>
      <w:hyperlink r:id="rId22" w:history="1">
        <w:r w:rsidRPr="003707F1">
          <w:rPr>
            <w:rStyle w:val="Hyperlink"/>
          </w:rPr>
          <w:t>https://doi.org/10.1016/j.forpol.2019.102026</w:t>
        </w:r>
      </w:hyperlink>
      <w:r w:rsidRPr="003707F1">
        <w:t xml:space="preserve"> </w:t>
      </w:r>
    </w:p>
    <w:p w14:paraId="53C5AED8" w14:textId="77777777" w:rsidR="003B0CF7" w:rsidRPr="003707F1" w:rsidRDefault="003B0CF7" w:rsidP="00063004">
      <w:pPr>
        <w:jc w:val="both"/>
        <w:rPr>
          <w:rStyle w:val="Hyperlink"/>
          <w:color w:val="auto"/>
          <w:u w:val="none"/>
        </w:rPr>
      </w:pPr>
      <w:proofErr w:type="spellStart"/>
      <w:r w:rsidRPr="003707F1">
        <w:rPr>
          <w:rStyle w:val="Hyperlink"/>
          <w:color w:val="auto"/>
          <w:u w:val="none"/>
        </w:rPr>
        <w:t>Buenstorf</w:t>
      </w:r>
      <w:proofErr w:type="spellEnd"/>
      <w:r w:rsidRPr="003707F1">
        <w:rPr>
          <w:rStyle w:val="Hyperlink"/>
          <w:color w:val="auto"/>
          <w:u w:val="none"/>
        </w:rPr>
        <w:t xml:space="preserve">, G., &amp; Cordes, C. (2008). Can sustainable consumption be learned? A model of </w:t>
      </w:r>
    </w:p>
    <w:p w14:paraId="389D140C" w14:textId="03BA025F" w:rsidR="003B0CF7" w:rsidRPr="003707F1" w:rsidRDefault="003B0CF7" w:rsidP="005006D4">
      <w:pPr>
        <w:ind w:left="720"/>
        <w:jc w:val="both"/>
        <w:rPr>
          <w:rStyle w:val="Hyperlink"/>
          <w:color w:val="auto"/>
          <w:u w:val="none"/>
        </w:rPr>
      </w:pPr>
      <w:r w:rsidRPr="003707F1">
        <w:rPr>
          <w:rStyle w:val="Hyperlink"/>
          <w:color w:val="auto"/>
          <w:u w:val="none"/>
        </w:rPr>
        <w:t xml:space="preserve">cultural evolution. </w:t>
      </w:r>
      <w:r w:rsidRPr="003707F1">
        <w:rPr>
          <w:rStyle w:val="Hyperlink"/>
          <w:i/>
          <w:iCs/>
          <w:color w:val="auto"/>
          <w:u w:val="none"/>
        </w:rPr>
        <w:t>Ecological Economics</w:t>
      </w:r>
      <w:r w:rsidRPr="003707F1">
        <w:rPr>
          <w:rStyle w:val="Hyperlink"/>
          <w:color w:val="auto"/>
          <w:u w:val="none"/>
        </w:rPr>
        <w:t>, 67(4), 646-657.</w:t>
      </w:r>
      <w:r w:rsidR="005006D4" w:rsidRPr="003707F1">
        <w:rPr>
          <w:rStyle w:val="Hyperlink"/>
          <w:color w:val="auto"/>
          <w:u w:val="none"/>
        </w:rPr>
        <w:t xml:space="preserve"> </w:t>
      </w:r>
      <w:proofErr w:type="spellStart"/>
      <w:r w:rsidR="005006D4" w:rsidRPr="003707F1">
        <w:rPr>
          <w:rStyle w:val="Hyperlink"/>
          <w:color w:val="auto"/>
          <w:u w:val="none"/>
        </w:rPr>
        <w:t>doi</w:t>
      </w:r>
      <w:proofErr w:type="spellEnd"/>
      <w:r w:rsidR="005006D4" w:rsidRPr="003707F1">
        <w:rPr>
          <w:rStyle w:val="Hyperlink"/>
          <w:color w:val="auto"/>
          <w:u w:val="none"/>
        </w:rPr>
        <w:t xml:space="preserve">: </w:t>
      </w:r>
      <w:hyperlink r:id="rId23" w:history="1">
        <w:r w:rsidR="005006D4" w:rsidRPr="003707F1">
          <w:rPr>
            <w:rStyle w:val="Hyperlink"/>
          </w:rPr>
          <w:t>https://doi.org/10.1016/j.ecolecon.2008.01.028</w:t>
        </w:r>
      </w:hyperlink>
      <w:r w:rsidR="005006D4" w:rsidRPr="003707F1">
        <w:t xml:space="preserve"> </w:t>
      </w:r>
    </w:p>
    <w:p w14:paraId="444739C3" w14:textId="77777777" w:rsidR="00F9418E" w:rsidRPr="003707F1" w:rsidRDefault="00F9418E" w:rsidP="00063004">
      <w:pPr>
        <w:jc w:val="both"/>
      </w:pPr>
      <w:proofErr w:type="spellStart"/>
      <w:r w:rsidRPr="003707F1">
        <w:t>Burhanudin</w:t>
      </w:r>
      <w:proofErr w:type="spellEnd"/>
      <w:r w:rsidRPr="003707F1">
        <w:t xml:space="preserve">, B., Ronny, R., &amp; </w:t>
      </w:r>
      <w:proofErr w:type="spellStart"/>
      <w:r w:rsidRPr="003707F1">
        <w:t>Sihotang</w:t>
      </w:r>
      <w:proofErr w:type="spellEnd"/>
      <w:r w:rsidRPr="003707F1">
        <w:t xml:space="preserve">, E. T. (2021). Consumer guilt and green banking </w:t>
      </w:r>
    </w:p>
    <w:p w14:paraId="769036F8" w14:textId="509FC8FF" w:rsidR="005006D4" w:rsidRPr="003707F1" w:rsidRDefault="00F9418E" w:rsidP="005006D4">
      <w:pPr>
        <w:ind w:left="720"/>
        <w:jc w:val="both"/>
      </w:pPr>
      <w:r w:rsidRPr="003707F1">
        <w:t xml:space="preserve">services. </w:t>
      </w:r>
      <w:r w:rsidRPr="003707F1">
        <w:rPr>
          <w:i/>
          <w:iCs/>
        </w:rPr>
        <w:t>International Journal of Consumer Studies</w:t>
      </w:r>
      <w:r w:rsidRPr="003707F1">
        <w:t xml:space="preserve">, </w:t>
      </w:r>
      <w:r w:rsidRPr="003707F1">
        <w:rPr>
          <w:i/>
          <w:iCs/>
        </w:rPr>
        <w:t>45</w:t>
      </w:r>
      <w:r w:rsidRPr="003707F1">
        <w:t xml:space="preserve">(1), 38-53. </w:t>
      </w:r>
      <w:proofErr w:type="spellStart"/>
      <w:r w:rsidR="005006D4" w:rsidRPr="003707F1">
        <w:t>doi</w:t>
      </w:r>
      <w:proofErr w:type="spellEnd"/>
      <w:r w:rsidRPr="003707F1">
        <w:t xml:space="preserve">: </w:t>
      </w:r>
      <w:hyperlink r:id="rId24" w:history="1">
        <w:r w:rsidR="005006D4" w:rsidRPr="003707F1">
          <w:rPr>
            <w:rStyle w:val="Hyperlink"/>
          </w:rPr>
          <w:t>https://doi.org/10.1111/ijcs.12602</w:t>
        </w:r>
      </w:hyperlink>
      <w:r w:rsidRPr="003707F1">
        <w:t xml:space="preserve"> </w:t>
      </w:r>
    </w:p>
    <w:p w14:paraId="043F256D" w14:textId="77777777" w:rsidR="005006D4" w:rsidRPr="003707F1" w:rsidRDefault="005006D4" w:rsidP="005006D4">
      <w:pPr>
        <w:jc w:val="both"/>
        <w:rPr>
          <w:rStyle w:val="Emphasis"/>
        </w:rPr>
      </w:pPr>
      <w:proofErr w:type="spellStart"/>
      <w:r w:rsidRPr="003707F1">
        <w:t>Capozza</w:t>
      </w:r>
      <w:proofErr w:type="spellEnd"/>
      <w:r w:rsidRPr="003707F1">
        <w:t xml:space="preserve">, D., </w:t>
      </w:r>
      <w:proofErr w:type="spellStart"/>
      <w:r w:rsidRPr="003707F1">
        <w:t>Voci</w:t>
      </w:r>
      <w:proofErr w:type="spellEnd"/>
      <w:r w:rsidRPr="003707F1">
        <w:t xml:space="preserve">, A., &amp; Licciardello, O. (2000). </w:t>
      </w:r>
      <w:r w:rsidRPr="003707F1">
        <w:rPr>
          <w:rStyle w:val="Emphasis"/>
        </w:rPr>
        <w:t xml:space="preserve">Individualism, collectivism and social </w:t>
      </w:r>
    </w:p>
    <w:p w14:paraId="1594ED68" w14:textId="4237E8F1" w:rsidR="005006D4" w:rsidRPr="003707F1" w:rsidRDefault="005006D4" w:rsidP="005006D4">
      <w:pPr>
        <w:ind w:left="720"/>
        <w:jc w:val="both"/>
        <w:rPr>
          <w:rStyle w:val="Hyperlink"/>
          <w:color w:val="auto"/>
          <w:u w:val="none"/>
        </w:rPr>
      </w:pPr>
      <w:r w:rsidRPr="003707F1">
        <w:rPr>
          <w:rStyle w:val="Emphasis"/>
        </w:rPr>
        <w:t>identity theory.</w:t>
      </w:r>
      <w:r w:rsidRPr="003707F1">
        <w:t xml:space="preserve"> In D. </w:t>
      </w:r>
      <w:proofErr w:type="spellStart"/>
      <w:r w:rsidRPr="003707F1">
        <w:t>Capozza</w:t>
      </w:r>
      <w:proofErr w:type="spellEnd"/>
      <w:r w:rsidRPr="003707F1">
        <w:t xml:space="preserve"> &amp; R. Brown (Eds.), </w:t>
      </w:r>
      <w:r w:rsidRPr="003707F1">
        <w:rPr>
          <w:rStyle w:val="Emphasis"/>
        </w:rPr>
        <w:t>Social identity processes: Trends in theory and research</w:t>
      </w:r>
      <w:r w:rsidRPr="003707F1">
        <w:t xml:space="preserve"> (p. 62–80). Sage Publications Ltd. </w:t>
      </w:r>
      <w:proofErr w:type="spellStart"/>
      <w:r w:rsidRPr="003707F1">
        <w:t>doi</w:t>
      </w:r>
      <w:proofErr w:type="spellEnd"/>
      <w:r w:rsidRPr="003707F1">
        <w:t xml:space="preserve">:  </w:t>
      </w:r>
      <w:hyperlink r:id="rId25" w:tgtFrame="_blank" w:history="1">
        <w:r w:rsidRPr="003707F1">
          <w:rPr>
            <w:rStyle w:val="Hyperlink"/>
          </w:rPr>
          <w:t>https://doi.org/10.4135/9781446218617.n5</w:t>
        </w:r>
      </w:hyperlink>
    </w:p>
    <w:p w14:paraId="5EDC18FE" w14:textId="101F232B" w:rsidR="007D37AE" w:rsidRPr="003707F1" w:rsidRDefault="0014556E" w:rsidP="00681CD7">
      <w:pPr>
        <w:jc w:val="both"/>
        <w:rPr>
          <w:rStyle w:val="Hyperlink"/>
          <w:color w:val="auto"/>
          <w:u w:val="none"/>
        </w:rPr>
      </w:pPr>
      <w:r w:rsidRPr="003707F1">
        <w:rPr>
          <w:rStyle w:val="Hyperlink"/>
          <w:color w:val="auto"/>
          <w:u w:val="none"/>
        </w:rPr>
        <w:t xml:space="preserve">Chen, M‐F. </w:t>
      </w:r>
      <w:r w:rsidR="007D37AE" w:rsidRPr="003707F1">
        <w:rPr>
          <w:rStyle w:val="Hyperlink"/>
          <w:color w:val="auto"/>
          <w:u w:val="none"/>
        </w:rPr>
        <w:t xml:space="preserve">(2020) </w:t>
      </w:r>
      <w:r w:rsidRPr="003707F1">
        <w:rPr>
          <w:rStyle w:val="Hyperlink"/>
          <w:color w:val="auto"/>
          <w:u w:val="none"/>
        </w:rPr>
        <w:t xml:space="preserve">The impacts of perceived moral obligation and sustainability self‐identity </w:t>
      </w:r>
    </w:p>
    <w:p w14:paraId="04C2BEDF" w14:textId="77777777" w:rsidR="007D37AE" w:rsidRPr="003707F1" w:rsidRDefault="0014556E" w:rsidP="00681CD7">
      <w:pPr>
        <w:ind w:firstLine="720"/>
        <w:jc w:val="both"/>
        <w:rPr>
          <w:rStyle w:val="Hyperlink"/>
          <w:color w:val="auto"/>
          <w:u w:val="none"/>
        </w:rPr>
      </w:pPr>
      <w:proofErr w:type="gramStart"/>
      <w:r w:rsidRPr="003707F1">
        <w:rPr>
          <w:rStyle w:val="Hyperlink"/>
          <w:color w:val="auto"/>
          <w:u w:val="none"/>
        </w:rPr>
        <w:t xml:space="preserve">on </w:t>
      </w:r>
      <w:r w:rsidR="007D37AE" w:rsidRPr="003707F1">
        <w:rPr>
          <w:rStyle w:val="Hyperlink"/>
          <w:color w:val="auto"/>
          <w:u w:val="none"/>
        </w:rPr>
        <w:t xml:space="preserve"> </w:t>
      </w:r>
      <w:r w:rsidRPr="003707F1">
        <w:rPr>
          <w:rStyle w:val="Hyperlink"/>
          <w:color w:val="auto"/>
          <w:u w:val="none"/>
        </w:rPr>
        <w:t>sustainability</w:t>
      </w:r>
      <w:proofErr w:type="gramEnd"/>
      <w:r w:rsidRPr="003707F1">
        <w:rPr>
          <w:rStyle w:val="Hyperlink"/>
          <w:color w:val="auto"/>
          <w:u w:val="none"/>
        </w:rPr>
        <w:t xml:space="preserve"> development: A theory of planned </w:t>
      </w:r>
      <w:proofErr w:type="spellStart"/>
      <w:r w:rsidRPr="003707F1">
        <w:rPr>
          <w:rStyle w:val="Hyperlink"/>
          <w:color w:val="auto"/>
          <w:u w:val="none"/>
        </w:rPr>
        <w:t>behavior</w:t>
      </w:r>
      <w:proofErr w:type="spellEnd"/>
      <w:r w:rsidRPr="003707F1">
        <w:rPr>
          <w:rStyle w:val="Hyperlink"/>
          <w:color w:val="auto"/>
          <w:u w:val="none"/>
        </w:rPr>
        <w:t xml:space="preserve"> purchase intention model </w:t>
      </w:r>
    </w:p>
    <w:p w14:paraId="4879F80D" w14:textId="77777777" w:rsidR="007D37AE" w:rsidRPr="003707F1" w:rsidRDefault="0014556E" w:rsidP="00681CD7">
      <w:pPr>
        <w:ind w:firstLine="720"/>
        <w:jc w:val="both"/>
        <w:rPr>
          <w:rStyle w:val="Hyperlink"/>
          <w:color w:val="auto"/>
          <w:u w:val="none"/>
        </w:rPr>
      </w:pPr>
      <w:proofErr w:type="gramStart"/>
      <w:r w:rsidRPr="003707F1">
        <w:rPr>
          <w:rStyle w:val="Hyperlink"/>
          <w:color w:val="auto"/>
          <w:u w:val="none"/>
        </w:rPr>
        <w:t xml:space="preserve">of </w:t>
      </w:r>
      <w:r w:rsidR="007D37AE" w:rsidRPr="003707F1">
        <w:rPr>
          <w:rStyle w:val="Hyperlink"/>
          <w:color w:val="auto"/>
          <w:u w:val="none"/>
        </w:rPr>
        <w:t xml:space="preserve"> </w:t>
      </w:r>
      <w:r w:rsidRPr="003707F1">
        <w:rPr>
          <w:rStyle w:val="Hyperlink"/>
          <w:color w:val="auto"/>
          <w:u w:val="none"/>
        </w:rPr>
        <w:t>sustainability</w:t>
      </w:r>
      <w:proofErr w:type="gramEnd"/>
      <w:r w:rsidRPr="003707F1">
        <w:rPr>
          <w:rStyle w:val="Hyperlink"/>
          <w:color w:val="auto"/>
          <w:u w:val="none"/>
        </w:rPr>
        <w:t xml:space="preserve">‐labelled coffee and the moderating effect of climate change </w:t>
      </w:r>
    </w:p>
    <w:p w14:paraId="1DEB4259" w14:textId="0BCCEA8B" w:rsidR="007D37AE" w:rsidRPr="003707F1" w:rsidRDefault="0014556E" w:rsidP="00681CD7">
      <w:pPr>
        <w:ind w:firstLine="720"/>
        <w:jc w:val="both"/>
        <w:rPr>
          <w:rStyle w:val="Hyperlink"/>
          <w:color w:val="auto"/>
          <w:u w:val="none"/>
        </w:rPr>
      </w:pPr>
      <w:r w:rsidRPr="003707F1">
        <w:rPr>
          <w:rStyle w:val="Hyperlink"/>
          <w:color w:val="auto"/>
          <w:u w:val="none"/>
        </w:rPr>
        <w:t xml:space="preserve">scepticism. </w:t>
      </w:r>
      <w:r w:rsidRPr="003707F1">
        <w:rPr>
          <w:rStyle w:val="Hyperlink"/>
          <w:i/>
          <w:iCs/>
          <w:color w:val="auto"/>
          <w:u w:val="none"/>
        </w:rPr>
        <w:t>Business Strategy and the Environment.</w:t>
      </w:r>
      <w:r w:rsidRPr="003707F1">
        <w:rPr>
          <w:rStyle w:val="Hyperlink"/>
          <w:color w:val="auto"/>
          <w:u w:val="none"/>
        </w:rPr>
        <w:t xml:space="preserve"> 1– 14. </w:t>
      </w:r>
      <w:proofErr w:type="spellStart"/>
      <w:r w:rsidR="007A1FC3" w:rsidRPr="003707F1">
        <w:rPr>
          <w:rStyle w:val="Hyperlink"/>
          <w:color w:val="auto"/>
          <w:u w:val="none"/>
        </w:rPr>
        <w:t>doi</w:t>
      </w:r>
      <w:proofErr w:type="spellEnd"/>
      <w:r w:rsidR="007A1FC3" w:rsidRPr="003707F1">
        <w:rPr>
          <w:rStyle w:val="Hyperlink"/>
          <w:color w:val="auto"/>
          <w:u w:val="none"/>
        </w:rPr>
        <w:t xml:space="preserve">: </w:t>
      </w:r>
    </w:p>
    <w:p w14:paraId="45CFE40C" w14:textId="76F0DC16" w:rsidR="0014556E" w:rsidRPr="003707F1" w:rsidRDefault="00C224F2" w:rsidP="00681CD7">
      <w:pPr>
        <w:ind w:firstLine="720"/>
        <w:jc w:val="both"/>
        <w:rPr>
          <w:rStyle w:val="Hyperlink"/>
          <w:color w:val="auto"/>
          <w:u w:val="none"/>
        </w:rPr>
      </w:pPr>
      <w:hyperlink r:id="rId26" w:history="1">
        <w:r w:rsidR="007D37AE" w:rsidRPr="003707F1">
          <w:rPr>
            <w:rStyle w:val="Hyperlink"/>
          </w:rPr>
          <w:t>https://doi.org/10.1002/bse.2510</w:t>
        </w:r>
      </w:hyperlink>
    </w:p>
    <w:p w14:paraId="67BBE3F3" w14:textId="77777777" w:rsidR="00483256" w:rsidRPr="003707F1" w:rsidRDefault="00B43789" w:rsidP="00681CD7">
      <w:pPr>
        <w:jc w:val="both"/>
        <w:rPr>
          <w:rStyle w:val="Hyperlink"/>
          <w:color w:val="auto"/>
          <w:u w:val="none"/>
        </w:rPr>
      </w:pPr>
      <w:r w:rsidRPr="003707F1">
        <w:rPr>
          <w:rStyle w:val="Hyperlink"/>
          <w:color w:val="auto"/>
          <w:u w:val="none"/>
        </w:rPr>
        <w:t xml:space="preserve">Cho, Y. N., </w:t>
      </w:r>
      <w:proofErr w:type="spellStart"/>
      <w:r w:rsidRPr="003707F1">
        <w:rPr>
          <w:rStyle w:val="Hyperlink"/>
          <w:color w:val="auto"/>
          <w:u w:val="none"/>
        </w:rPr>
        <w:t>Thyroff</w:t>
      </w:r>
      <w:proofErr w:type="spellEnd"/>
      <w:r w:rsidRPr="003707F1">
        <w:rPr>
          <w:rStyle w:val="Hyperlink"/>
          <w:color w:val="auto"/>
          <w:u w:val="none"/>
        </w:rPr>
        <w:t xml:space="preserve">, A., </w:t>
      </w:r>
      <w:proofErr w:type="spellStart"/>
      <w:r w:rsidRPr="003707F1">
        <w:rPr>
          <w:rStyle w:val="Hyperlink"/>
          <w:color w:val="auto"/>
          <w:u w:val="none"/>
        </w:rPr>
        <w:t>Rapert</w:t>
      </w:r>
      <w:proofErr w:type="spellEnd"/>
      <w:r w:rsidRPr="003707F1">
        <w:rPr>
          <w:rStyle w:val="Hyperlink"/>
          <w:color w:val="auto"/>
          <w:u w:val="none"/>
        </w:rPr>
        <w:t xml:space="preserve">, M. I., Park, S. Y., &amp; Lee, H. J. (2013). To be or not to be </w:t>
      </w:r>
    </w:p>
    <w:p w14:paraId="3488B498" w14:textId="70B0EE96" w:rsidR="00B43789" w:rsidRPr="003707F1" w:rsidRDefault="00B43789" w:rsidP="00681CD7">
      <w:pPr>
        <w:ind w:left="720"/>
        <w:jc w:val="both"/>
        <w:rPr>
          <w:rStyle w:val="Hyperlink"/>
          <w:color w:val="auto"/>
          <w:u w:val="none"/>
        </w:rPr>
      </w:pPr>
      <w:r w:rsidRPr="003707F1">
        <w:rPr>
          <w:rStyle w:val="Hyperlink"/>
          <w:color w:val="auto"/>
          <w:u w:val="none"/>
        </w:rPr>
        <w:t xml:space="preserve">green: Exploring individualism and collectivism as antecedents of environmental </w:t>
      </w:r>
      <w:proofErr w:type="spellStart"/>
      <w:r w:rsidRPr="003707F1">
        <w:rPr>
          <w:rStyle w:val="Hyperlink"/>
          <w:color w:val="auto"/>
          <w:u w:val="none"/>
        </w:rPr>
        <w:t>behavior</w:t>
      </w:r>
      <w:proofErr w:type="spellEnd"/>
      <w:r w:rsidRPr="003707F1">
        <w:rPr>
          <w:rStyle w:val="Hyperlink"/>
          <w:color w:val="auto"/>
          <w:u w:val="none"/>
        </w:rPr>
        <w:t xml:space="preserve">. </w:t>
      </w:r>
      <w:r w:rsidRPr="003707F1">
        <w:rPr>
          <w:rStyle w:val="Hyperlink"/>
          <w:i/>
          <w:iCs/>
          <w:color w:val="auto"/>
          <w:u w:val="none"/>
        </w:rPr>
        <w:t>Journal of Busi</w:t>
      </w:r>
      <w:r w:rsidR="002A2216" w:rsidRPr="003707F1">
        <w:rPr>
          <w:rStyle w:val="Hyperlink"/>
          <w:i/>
          <w:iCs/>
          <w:color w:val="auto"/>
          <w:u w:val="none"/>
        </w:rPr>
        <w:t>ness Research</w:t>
      </w:r>
      <w:r w:rsidR="002A2216" w:rsidRPr="003707F1">
        <w:rPr>
          <w:rStyle w:val="Hyperlink"/>
          <w:color w:val="auto"/>
          <w:u w:val="none"/>
        </w:rPr>
        <w:t>, 66(8), 1052-1059</w:t>
      </w:r>
      <w:r w:rsidR="007A1FC3" w:rsidRPr="003707F1">
        <w:rPr>
          <w:rStyle w:val="Hyperlink"/>
          <w:color w:val="auto"/>
          <w:u w:val="none"/>
        </w:rPr>
        <w:t xml:space="preserve">. </w:t>
      </w:r>
      <w:proofErr w:type="spellStart"/>
      <w:r w:rsidR="007A1FC3" w:rsidRPr="003707F1">
        <w:rPr>
          <w:rStyle w:val="Hyperlink"/>
          <w:color w:val="auto"/>
          <w:u w:val="none"/>
        </w:rPr>
        <w:t>doi</w:t>
      </w:r>
      <w:proofErr w:type="spellEnd"/>
      <w:r w:rsidR="007A1FC3" w:rsidRPr="003707F1">
        <w:rPr>
          <w:rStyle w:val="Hyperlink"/>
          <w:color w:val="auto"/>
          <w:u w:val="none"/>
        </w:rPr>
        <w:t xml:space="preserve">: </w:t>
      </w:r>
      <w:r w:rsidR="002A2216" w:rsidRPr="003707F1">
        <w:rPr>
          <w:rStyle w:val="Hyperlink"/>
          <w:color w:val="auto"/>
          <w:u w:val="none"/>
        </w:rPr>
        <w:t xml:space="preserve"> </w:t>
      </w:r>
      <w:hyperlink r:id="rId27" w:tgtFrame="_blank" w:tooltip="Persistent link using digital object identifier" w:history="1">
        <w:r w:rsidR="00FD2B03" w:rsidRPr="003707F1">
          <w:rPr>
            <w:rStyle w:val="Hyperlink"/>
          </w:rPr>
          <w:t>https://doi.org/10.1016/j.jbusres.2012.08.020</w:t>
        </w:r>
      </w:hyperlink>
    </w:p>
    <w:p w14:paraId="6F911C76" w14:textId="0B8FE408" w:rsidR="004171C2" w:rsidRPr="003707F1" w:rsidRDefault="004171C2" w:rsidP="00681CD7">
      <w:pPr>
        <w:jc w:val="both"/>
        <w:rPr>
          <w:rStyle w:val="Hyperlink"/>
          <w:color w:val="auto"/>
          <w:u w:val="none"/>
        </w:rPr>
      </w:pPr>
      <w:r w:rsidRPr="003707F1">
        <w:rPr>
          <w:rStyle w:val="Hyperlink"/>
          <w:color w:val="auto"/>
          <w:u w:val="none"/>
        </w:rPr>
        <w:t>Costa</w:t>
      </w:r>
      <w:r w:rsidR="00FD2B03" w:rsidRPr="003707F1">
        <w:rPr>
          <w:rStyle w:val="Hyperlink"/>
          <w:color w:val="auto"/>
          <w:u w:val="none"/>
        </w:rPr>
        <w:t>-</w:t>
      </w:r>
      <w:r w:rsidRPr="003707F1">
        <w:rPr>
          <w:rStyle w:val="Hyperlink"/>
          <w:color w:val="auto"/>
          <w:u w:val="none"/>
        </w:rPr>
        <w:t xml:space="preserve">Pinto, D., Herter, M. M., Rossi, P., &amp; Borges, A. (2014). Going green for self or for </w:t>
      </w:r>
    </w:p>
    <w:p w14:paraId="2057440C" w14:textId="77777777" w:rsidR="004171C2" w:rsidRPr="003707F1" w:rsidRDefault="004171C2" w:rsidP="00681CD7">
      <w:pPr>
        <w:ind w:firstLine="720"/>
        <w:jc w:val="both"/>
        <w:rPr>
          <w:rStyle w:val="Hyperlink"/>
          <w:i/>
          <w:iCs/>
          <w:color w:val="auto"/>
          <w:u w:val="none"/>
        </w:rPr>
      </w:pPr>
      <w:r w:rsidRPr="003707F1">
        <w:rPr>
          <w:rStyle w:val="Hyperlink"/>
          <w:color w:val="auto"/>
          <w:u w:val="none"/>
        </w:rPr>
        <w:t xml:space="preserve">others? Gender and identity salience effects on sustainable consumption. </w:t>
      </w:r>
      <w:r w:rsidRPr="003707F1">
        <w:rPr>
          <w:rStyle w:val="Hyperlink"/>
          <w:i/>
          <w:iCs/>
          <w:color w:val="auto"/>
          <w:u w:val="none"/>
        </w:rPr>
        <w:t xml:space="preserve">International </w:t>
      </w:r>
    </w:p>
    <w:p w14:paraId="5FA97B68" w14:textId="193704EF" w:rsidR="004171C2" w:rsidRPr="003707F1" w:rsidRDefault="004171C2" w:rsidP="00681CD7">
      <w:pPr>
        <w:ind w:firstLine="720"/>
        <w:jc w:val="both"/>
        <w:rPr>
          <w:rStyle w:val="Hyperlink"/>
          <w:color w:val="auto"/>
          <w:u w:val="none"/>
        </w:rPr>
      </w:pPr>
      <w:r w:rsidRPr="003707F1">
        <w:rPr>
          <w:rStyle w:val="Hyperlink"/>
          <w:i/>
          <w:iCs/>
          <w:color w:val="auto"/>
          <w:u w:val="none"/>
        </w:rPr>
        <w:t>Journal of Consumer Studies</w:t>
      </w:r>
      <w:r w:rsidRPr="003707F1">
        <w:rPr>
          <w:rStyle w:val="Hyperlink"/>
          <w:color w:val="auto"/>
          <w:u w:val="none"/>
        </w:rPr>
        <w:t>, 38(5), 540-549.</w:t>
      </w:r>
      <w:r w:rsidR="00FD2B03" w:rsidRPr="003707F1">
        <w:rPr>
          <w:rStyle w:val="Hyperlink"/>
          <w:color w:val="auto"/>
          <w:u w:val="none"/>
        </w:rPr>
        <w:t xml:space="preserve"> </w:t>
      </w:r>
      <w:proofErr w:type="spellStart"/>
      <w:r w:rsidR="00FD2B03" w:rsidRPr="003707F1">
        <w:rPr>
          <w:rStyle w:val="Hyperlink"/>
          <w:color w:val="auto"/>
          <w:u w:val="none"/>
        </w:rPr>
        <w:t>doi</w:t>
      </w:r>
      <w:proofErr w:type="spellEnd"/>
      <w:r w:rsidR="00FD2B03" w:rsidRPr="003707F1">
        <w:rPr>
          <w:rStyle w:val="Hyperlink"/>
          <w:color w:val="auto"/>
          <w:u w:val="none"/>
        </w:rPr>
        <w:t xml:space="preserve">: </w:t>
      </w:r>
      <w:hyperlink r:id="rId28" w:history="1">
        <w:r w:rsidR="00FD2B03" w:rsidRPr="003707F1">
          <w:rPr>
            <w:rStyle w:val="Hyperlink"/>
          </w:rPr>
          <w:t>https://doi.org/10.1111/ijcs.12114</w:t>
        </w:r>
      </w:hyperlink>
    </w:p>
    <w:p w14:paraId="532B140F" w14:textId="77777777" w:rsidR="00483256" w:rsidRPr="003707F1" w:rsidRDefault="002E55E0" w:rsidP="00681CD7">
      <w:pPr>
        <w:jc w:val="both"/>
      </w:pPr>
      <w:proofErr w:type="spellStart"/>
      <w:r w:rsidRPr="003707F1">
        <w:t>Culiberg</w:t>
      </w:r>
      <w:proofErr w:type="spellEnd"/>
      <w:r w:rsidRPr="003707F1">
        <w:t xml:space="preserve">, B. (2015). The role of moral philosophies and value orientations in consumer ethics: </w:t>
      </w:r>
    </w:p>
    <w:p w14:paraId="5807CF48" w14:textId="41D06749" w:rsidR="002E55E0" w:rsidRPr="003707F1" w:rsidRDefault="002E55E0" w:rsidP="00681CD7">
      <w:pPr>
        <w:ind w:left="720"/>
        <w:jc w:val="both"/>
      </w:pPr>
      <w:r w:rsidRPr="003707F1">
        <w:t xml:space="preserve">A post-transitional European country perspective. </w:t>
      </w:r>
      <w:r w:rsidRPr="003707F1">
        <w:rPr>
          <w:i/>
          <w:iCs/>
        </w:rPr>
        <w:t>Journal of Consumer Policy</w:t>
      </w:r>
      <w:r w:rsidRPr="003707F1">
        <w:t xml:space="preserve">, </w:t>
      </w:r>
      <w:r w:rsidRPr="003707F1">
        <w:rPr>
          <w:i/>
          <w:iCs/>
        </w:rPr>
        <w:t>38</w:t>
      </w:r>
      <w:r w:rsidRPr="003707F1">
        <w:t>(3), 211-228.</w:t>
      </w:r>
      <w:r w:rsidR="00FD2B03" w:rsidRPr="003707F1">
        <w:t xml:space="preserve"> </w:t>
      </w:r>
      <w:proofErr w:type="spellStart"/>
      <w:r w:rsidR="00FD2B03" w:rsidRPr="003707F1">
        <w:t>doi</w:t>
      </w:r>
      <w:proofErr w:type="spellEnd"/>
      <w:r w:rsidR="00FD2B03" w:rsidRPr="003707F1">
        <w:t xml:space="preserve">: </w:t>
      </w:r>
      <w:hyperlink r:id="rId29" w:history="1">
        <w:r w:rsidR="00FD2B03" w:rsidRPr="003707F1">
          <w:rPr>
            <w:rStyle w:val="Hyperlink"/>
          </w:rPr>
          <w:t>https://doi.org/10.1007/s10603-015-9295-3</w:t>
        </w:r>
      </w:hyperlink>
    </w:p>
    <w:p w14:paraId="7CF9762A" w14:textId="77777777" w:rsidR="00FD2B03" w:rsidRPr="003707F1" w:rsidRDefault="002E15C9" w:rsidP="002E15C9">
      <w:pPr>
        <w:jc w:val="both"/>
      </w:pPr>
      <w:r w:rsidRPr="003707F1">
        <w:t xml:space="preserve">Czarnecka, B., &amp; Schivinski, B. (2019). Do consumers acculturated to global consumer culture </w:t>
      </w:r>
    </w:p>
    <w:p w14:paraId="38A285DA" w14:textId="77777777" w:rsidR="00FD2B03" w:rsidRPr="003707F1" w:rsidRDefault="002E15C9" w:rsidP="00FD2B03">
      <w:pPr>
        <w:ind w:firstLine="720"/>
        <w:jc w:val="both"/>
      </w:pPr>
      <w:r w:rsidRPr="003707F1">
        <w:t xml:space="preserve">buy more impulsively? The moderating role of attitudes towards and beliefs about </w:t>
      </w:r>
    </w:p>
    <w:p w14:paraId="563865CF" w14:textId="4BC57DA8" w:rsidR="002E15C9" w:rsidRPr="003707F1" w:rsidRDefault="002E15C9" w:rsidP="00FD2B03">
      <w:pPr>
        <w:ind w:left="720"/>
        <w:jc w:val="both"/>
      </w:pPr>
      <w:r w:rsidRPr="003707F1">
        <w:t xml:space="preserve">advertising. </w:t>
      </w:r>
      <w:r w:rsidRPr="003707F1">
        <w:rPr>
          <w:i/>
          <w:iCs/>
        </w:rPr>
        <w:t>Journal of Global Marketing</w:t>
      </w:r>
      <w:r w:rsidRPr="003707F1">
        <w:t xml:space="preserve">, </w:t>
      </w:r>
      <w:r w:rsidRPr="003707F1">
        <w:rPr>
          <w:i/>
          <w:iCs/>
        </w:rPr>
        <w:t>32</w:t>
      </w:r>
      <w:r w:rsidRPr="003707F1">
        <w:t xml:space="preserve">(4), 219-238. </w:t>
      </w:r>
      <w:proofErr w:type="spellStart"/>
      <w:r w:rsidR="00FD2B03" w:rsidRPr="003707F1">
        <w:t>doi</w:t>
      </w:r>
      <w:proofErr w:type="spellEnd"/>
      <w:r w:rsidRPr="003707F1">
        <w:t xml:space="preserve">: </w:t>
      </w:r>
      <w:hyperlink r:id="rId30" w:history="1">
        <w:r w:rsidR="00FD2B03" w:rsidRPr="003707F1">
          <w:rPr>
            <w:rStyle w:val="Hyperlink"/>
          </w:rPr>
          <w:t>https://doi.org/10.1080/08911762.2019.1600094</w:t>
        </w:r>
      </w:hyperlink>
    </w:p>
    <w:p w14:paraId="3DA16863" w14:textId="77777777" w:rsidR="003069FF" w:rsidRPr="003707F1" w:rsidRDefault="003069FF" w:rsidP="00681CD7">
      <w:pPr>
        <w:jc w:val="both"/>
      </w:pPr>
      <w:r w:rsidRPr="003707F1">
        <w:rPr>
          <w:lang w:val="pl-PL"/>
        </w:rPr>
        <w:t xml:space="preserve">Czarnecka, B., Schivinski, B., &amp; Keles, S. (2020). </w:t>
      </w:r>
      <w:r w:rsidRPr="003707F1">
        <w:t xml:space="preserve">How values of individualism and </w:t>
      </w:r>
    </w:p>
    <w:p w14:paraId="0C555CC8" w14:textId="2395AA89" w:rsidR="0015533E" w:rsidRPr="003707F1" w:rsidRDefault="003069FF" w:rsidP="00681CD7">
      <w:pPr>
        <w:ind w:left="720"/>
        <w:jc w:val="both"/>
        <w:rPr>
          <w:rStyle w:val="Hyperlink"/>
        </w:rPr>
      </w:pPr>
      <w:r w:rsidRPr="003707F1">
        <w:t xml:space="preserve">collectivism influence impulsive buying and money budgeting: the mediating role of acculturation to global consumer culture. </w:t>
      </w:r>
      <w:r w:rsidRPr="003707F1">
        <w:rPr>
          <w:i/>
          <w:iCs/>
        </w:rPr>
        <w:t>Journal of Consumer Behaviour</w:t>
      </w:r>
      <w:r w:rsidR="00FD2B03" w:rsidRPr="003707F1">
        <w:t xml:space="preserve">, </w:t>
      </w:r>
      <w:r w:rsidR="00FD2B03" w:rsidRPr="003707F1">
        <w:rPr>
          <w:rStyle w:val="vol"/>
        </w:rPr>
        <w:t xml:space="preserve">19, </w:t>
      </w:r>
      <w:r w:rsidR="00FD2B03" w:rsidRPr="003707F1">
        <w:rPr>
          <w:rStyle w:val="pagefirst"/>
        </w:rPr>
        <w:t>505</w:t>
      </w:r>
      <w:r w:rsidR="00FD2B03" w:rsidRPr="003707F1">
        <w:t xml:space="preserve">– </w:t>
      </w:r>
      <w:r w:rsidR="00FD2B03" w:rsidRPr="003707F1">
        <w:rPr>
          <w:rStyle w:val="pagelast"/>
        </w:rPr>
        <w:t>522.</w:t>
      </w:r>
      <w:r w:rsidRPr="003707F1">
        <w:t xml:space="preserve"> </w:t>
      </w:r>
      <w:proofErr w:type="spellStart"/>
      <w:r w:rsidR="00FD2B03" w:rsidRPr="003707F1">
        <w:t>doi</w:t>
      </w:r>
      <w:proofErr w:type="spellEnd"/>
      <w:r w:rsidRPr="003707F1">
        <w:t xml:space="preserve">: </w:t>
      </w:r>
      <w:hyperlink r:id="rId31" w:history="1">
        <w:r w:rsidR="007A5FDD" w:rsidRPr="003707F1">
          <w:rPr>
            <w:rStyle w:val="Hyperlink"/>
          </w:rPr>
          <w:t>https://doi.org/10.1002/cb.1833</w:t>
        </w:r>
      </w:hyperlink>
    </w:p>
    <w:p w14:paraId="5A570B9A" w14:textId="77777777" w:rsidR="00BC262C" w:rsidRPr="003707F1" w:rsidRDefault="00BC262C" w:rsidP="00063004">
      <w:pPr>
        <w:jc w:val="both"/>
      </w:pPr>
      <w:r w:rsidRPr="003707F1">
        <w:t>Díaz-Loving, R., Cruz-Torres, C. E., Armenta-</w:t>
      </w:r>
      <w:proofErr w:type="spellStart"/>
      <w:r w:rsidRPr="003707F1">
        <w:t>Huarte</w:t>
      </w:r>
      <w:proofErr w:type="spellEnd"/>
      <w:r w:rsidRPr="003707F1">
        <w:t xml:space="preserve">, C., &amp; Reyes-Ruiz, N. E. (2018). </w:t>
      </w:r>
    </w:p>
    <w:p w14:paraId="661DC308" w14:textId="59E9C023" w:rsidR="00BC262C" w:rsidRPr="003707F1" w:rsidRDefault="00BC262C" w:rsidP="00063004">
      <w:pPr>
        <w:ind w:left="720"/>
        <w:jc w:val="both"/>
      </w:pPr>
      <w:r w:rsidRPr="003707F1">
        <w:t>Variations in horizontal and vertical individualism-collectivism in four regions of Mexico/</w:t>
      </w:r>
      <w:proofErr w:type="spellStart"/>
      <w:r w:rsidRPr="003707F1">
        <w:t>Variaciones</w:t>
      </w:r>
      <w:proofErr w:type="spellEnd"/>
      <w:r w:rsidRPr="003707F1">
        <w:t xml:space="preserve"> </w:t>
      </w:r>
      <w:proofErr w:type="spellStart"/>
      <w:r w:rsidRPr="003707F1">
        <w:t>en</w:t>
      </w:r>
      <w:proofErr w:type="spellEnd"/>
      <w:r w:rsidRPr="003707F1">
        <w:t xml:space="preserve"> </w:t>
      </w:r>
      <w:proofErr w:type="spellStart"/>
      <w:r w:rsidRPr="003707F1">
        <w:t>el</w:t>
      </w:r>
      <w:proofErr w:type="spellEnd"/>
      <w:r w:rsidRPr="003707F1">
        <w:t xml:space="preserve"> </w:t>
      </w:r>
      <w:proofErr w:type="spellStart"/>
      <w:r w:rsidRPr="003707F1">
        <w:t>individualismo-colectivismo</w:t>
      </w:r>
      <w:proofErr w:type="spellEnd"/>
      <w:r w:rsidRPr="003707F1">
        <w:t xml:space="preserve"> horizontal y vertical </w:t>
      </w:r>
      <w:proofErr w:type="spellStart"/>
      <w:r w:rsidRPr="003707F1">
        <w:t>en</w:t>
      </w:r>
      <w:proofErr w:type="spellEnd"/>
      <w:r w:rsidRPr="003707F1">
        <w:t xml:space="preserve"> </w:t>
      </w:r>
      <w:proofErr w:type="spellStart"/>
      <w:r w:rsidRPr="003707F1">
        <w:t>cuatro</w:t>
      </w:r>
      <w:proofErr w:type="spellEnd"/>
      <w:r w:rsidRPr="003707F1">
        <w:t xml:space="preserve"> </w:t>
      </w:r>
      <w:proofErr w:type="spellStart"/>
      <w:r w:rsidRPr="003707F1">
        <w:t>regiones</w:t>
      </w:r>
      <w:proofErr w:type="spellEnd"/>
      <w:r w:rsidRPr="003707F1">
        <w:t xml:space="preserve"> de México. </w:t>
      </w:r>
      <w:proofErr w:type="spellStart"/>
      <w:r w:rsidRPr="003707F1">
        <w:rPr>
          <w:i/>
          <w:iCs/>
        </w:rPr>
        <w:t>Revista</w:t>
      </w:r>
      <w:proofErr w:type="spellEnd"/>
      <w:r w:rsidRPr="003707F1">
        <w:rPr>
          <w:i/>
          <w:iCs/>
        </w:rPr>
        <w:t xml:space="preserve"> de </w:t>
      </w:r>
      <w:proofErr w:type="spellStart"/>
      <w:r w:rsidRPr="003707F1">
        <w:rPr>
          <w:i/>
          <w:iCs/>
        </w:rPr>
        <w:t>Psicología</w:t>
      </w:r>
      <w:proofErr w:type="spellEnd"/>
      <w:r w:rsidRPr="003707F1">
        <w:rPr>
          <w:i/>
          <w:iCs/>
        </w:rPr>
        <w:t xml:space="preserve"> Social</w:t>
      </w:r>
      <w:r w:rsidRPr="003707F1">
        <w:t xml:space="preserve">, </w:t>
      </w:r>
      <w:r w:rsidRPr="003707F1">
        <w:rPr>
          <w:i/>
          <w:iCs/>
        </w:rPr>
        <w:t>33</w:t>
      </w:r>
      <w:r w:rsidRPr="003707F1">
        <w:t xml:space="preserve">(2), 329-356. </w:t>
      </w:r>
      <w:proofErr w:type="spellStart"/>
      <w:r w:rsidR="00FD2B03" w:rsidRPr="003707F1">
        <w:t>doi</w:t>
      </w:r>
      <w:proofErr w:type="spellEnd"/>
      <w:r w:rsidRPr="003707F1">
        <w:t xml:space="preserve">: </w:t>
      </w:r>
      <w:hyperlink r:id="rId32" w:history="1">
        <w:r w:rsidRPr="003707F1">
          <w:rPr>
            <w:rStyle w:val="Hyperlink"/>
          </w:rPr>
          <w:t>ttps://doi.org/10.1080/02134748.2018.1435217</w:t>
        </w:r>
      </w:hyperlink>
    </w:p>
    <w:p w14:paraId="1A0FE3F0" w14:textId="77777777" w:rsidR="0056751F" w:rsidRPr="003707F1" w:rsidRDefault="003F281C" w:rsidP="00063004">
      <w:pPr>
        <w:jc w:val="both"/>
        <w:rPr>
          <w:i/>
          <w:iCs/>
        </w:rPr>
      </w:pPr>
      <w:r w:rsidRPr="003707F1">
        <w:t xml:space="preserve">Edwards, J. R., &amp; Cable, D. M. (2009). The value of value congruence. </w:t>
      </w:r>
      <w:r w:rsidRPr="003707F1">
        <w:rPr>
          <w:i/>
          <w:iCs/>
        </w:rPr>
        <w:t xml:space="preserve">Journal of Applied </w:t>
      </w:r>
    </w:p>
    <w:p w14:paraId="36A15754" w14:textId="62FE0B5F" w:rsidR="003F281C" w:rsidRPr="003707F1" w:rsidRDefault="003F281C" w:rsidP="00063004">
      <w:pPr>
        <w:ind w:firstLine="720"/>
        <w:jc w:val="both"/>
        <w:rPr>
          <w:lang w:val="en-GB"/>
        </w:rPr>
      </w:pPr>
      <w:r w:rsidRPr="003707F1">
        <w:rPr>
          <w:i/>
          <w:iCs/>
          <w:lang w:val="en-GB"/>
        </w:rPr>
        <w:t>Psychology</w:t>
      </w:r>
      <w:r w:rsidRPr="003707F1">
        <w:rPr>
          <w:lang w:val="en-GB"/>
        </w:rPr>
        <w:t>, 94(3), 654–677.</w:t>
      </w:r>
      <w:r w:rsidR="00FD2B03" w:rsidRPr="003707F1">
        <w:rPr>
          <w:lang w:val="en-GB"/>
        </w:rPr>
        <w:t xml:space="preserve"> </w:t>
      </w:r>
      <w:proofErr w:type="spellStart"/>
      <w:r w:rsidR="00FD2B03" w:rsidRPr="003707F1">
        <w:rPr>
          <w:lang w:val="en-GB"/>
        </w:rPr>
        <w:t>doi</w:t>
      </w:r>
      <w:proofErr w:type="spellEnd"/>
      <w:r w:rsidR="00FD2B03" w:rsidRPr="003707F1">
        <w:rPr>
          <w:lang w:val="en-GB"/>
        </w:rPr>
        <w:t>:</w:t>
      </w:r>
      <w:r w:rsidRPr="003707F1">
        <w:rPr>
          <w:lang w:val="en-GB"/>
        </w:rPr>
        <w:t xml:space="preserve"> </w:t>
      </w:r>
      <w:hyperlink r:id="rId33" w:history="1">
        <w:r w:rsidRPr="003707F1">
          <w:rPr>
            <w:rStyle w:val="Hyperlink"/>
            <w:lang w:val="en-GB"/>
          </w:rPr>
          <w:t>https://doi.org/10.1037/a0014891</w:t>
        </w:r>
      </w:hyperlink>
    </w:p>
    <w:p w14:paraId="48E0F598" w14:textId="77777777" w:rsidR="00483256" w:rsidRPr="003707F1" w:rsidRDefault="00B525B5" w:rsidP="00681CD7">
      <w:pPr>
        <w:jc w:val="both"/>
      </w:pPr>
      <w:r w:rsidRPr="003707F1">
        <w:t xml:space="preserve">Ellen, P., </w:t>
      </w:r>
      <w:bookmarkStart w:id="13" w:name="_Hlk71293419"/>
      <w:r w:rsidRPr="003707F1">
        <w:t>Wiener, J., &amp; Cobb-</w:t>
      </w:r>
      <w:proofErr w:type="spellStart"/>
      <w:r w:rsidRPr="003707F1">
        <w:t>Walgren</w:t>
      </w:r>
      <w:bookmarkEnd w:id="13"/>
      <w:proofErr w:type="spellEnd"/>
      <w:r w:rsidRPr="003707F1">
        <w:t xml:space="preserve">, C. (1991). The </w:t>
      </w:r>
      <w:r w:rsidR="00483256" w:rsidRPr="003707F1">
        <w:t>r</w:t>
      </w:r>
      <w:r w:rsidRPr="003707F1">
        <w:t xml:space="preserve">ole of </w:t>
      </w:r>
      <w:r w:rsidR="00483256" w:rsidRPr="003707F1">
        <w:t>p</w:t>
      </w:r>
      <w:r w:rsidRPr="003707F1">
        <w:t xml:space="preserve">erceived </w:t>
      </w:r>
      <w:r w:rsidR="00483256" w:rsidRPr="003707F1">
        <w:t>c</w:t>
      </w:r>
      <w:r w:rsidRPr="003707F1">
        <w:t xml:space="preserve">onsumer </w:t>
      </w:r>
    </w:p>
    <w:p w14:paraId="4779B098" w14:textId="5947F838" w:rsidR="00B525B5" w:rsidRPr="003707F1" w:rsidRDefault="00483256" w:rsidP="00681CD7">
      <w:pPr>
        <w:ind w:left="720"/>
        <w:jc w:val="both"/>
      </w:pPr>
      <w:r w:rsidRPr="003707F1">
        <w:t>e</w:t>
      </w:r>
      <w:r w:rsidR="00B525B5" w:rsidRPr="003707F1">
        <w:t xml:space="preserve">ffectiveness in </w:t>
      </w:r>
      <w:r w:rsidRPr="003707F1">
        <w:t>m</w:t>
      </w:r>
      <w:r w:rsidR="00B525B5" w:rsidRPr="003707F1">
        <w:t xml:space="preserve">otivating </w:t>
      </w:r>
      <w:r w:rsidRPr="003707F1">
        <w:t>e</w:t>
      </w:r>
      <w:r w:rsidR="00B525B5" w:rsidRPr="003707F1">
        <w:t xml:space="preserve">nvironmentally </w:t>
      </w:r>
      <w:r w:rsidRPr="003707F1">
        <w:t>c</w:t>
      </w:r>
      <w:r w:rsidR="00B525B5" w:rsidRPr="003707F1">
        <w:t xml:space="preserve">onscious </w:t>
      </w:r>
      <w:proofErr w:type="spellStart"/>
      <w:r w:rsidR="0056751F" w:rsidRPr="003707F1">
        <w:t>b</w:t>
      </w:r>
      <w:r w:rsidR="00B525B5" w:rsidRPr="003707F1">
        <w:t>ehaviors</w:t>
      </w:r>
      <w:proofErr w:type="spellEnd"/>
      <w:r w:rsidR="00B525B5" w:rsidRPr="003707F1">
        <w:t xml:space="preserve">. </w:t>
      </w:r>
      <w:r w:rsidR="00B525B5" w:rsidRPr="003707F1">
        <w:rPr>
          <w:i/>
          <w:iCs/>
        </w:rPr>
        <w:t>Journal of Public Policy &amp; Marketing</w:t>
      </w:r>
      <w:r w:rsidR="00B525B5" w:rsidRPr="003707F1">
        <w:t xml:space="preserve">, 10(2), 102-117. </w:t>
      </w:r>
      <w:proofErr w:type="spellStart"/>
      <w:r w:rsidR="00FD2B03" w:rsidRPr="003707F1">
        <w:t>doi</w:t>
      </w:r>
      <w:proofErr w:type="spellEnd"/>
      <w:r w:rsidR="00FD2B03" w:rsidRPr="003707F1">
        <w:t xml:space="preserve">: </w:t>
      </w:r>
      <w:hyperlink r:id="rId34" w:history="1">
        <w:r w:rsidR="00FD2B03" w:rsidRPr="003707F1">
          <w:rPr>
            <w:rStyle w:val="Hyperlink"/>
          </w:rPr>
          <w:t>http://www.jstor.org/stable/30000238</w:t>
        </w:r>
      </w:hyperlink>
      <w:r w:rsidR="00FD2B03" w:rsidRPr="003707F1">
        <w:t xml:space="preserve"> </w:t>
      </w:r>
    </w:p>
    <w:p w14:paraId="5C3A7A4C" w14:textId="77777777" w:rsidR="00547105" w:rsidRPr="003707F1" w:rsidRDefault="00547105" w:rsidP="00063004">
      <w:pPr>
        <w:jc w:val="both"/>
      </w:pPr>
      <w:proofErr w:type="spellStart"/>
      <w:r w:rsidRPr="003707F1">
        <w:t>Escario</w:t>
      </w:r>
      <w:proofErr w:type="spellEnd"/>
      <w:r w:rsidRPr="003707F1">
        <w:t xml:space="preserve">, J. J., Rodriguez-Sanchez, C., &amp; </w:t>
      </w:r>
      <w:proofErr w:type="spellStart"/>
      <w:r w:rsidRPr="003707F1">
        <w:t>Casaló</w:t>
      </w:r>
      <w:proofErr w:type="spellEnd"/>
      <w:r w:rsidRPr="003707F1">
        <w:t xml:space="preserve">, L. V. (2020). The influence of </w:t>
      </w:r>
    </w:p>
    <w:p w14:paraId="28ED4C55" w14:textId="77777777" w:rsidR="00547105" w:rsidRPr="003707F1" w:rsidRDefault="00547105" w:rsidP="00063004">
      <w:pPr>
        <w:ind w:firstLine="720"/>
        <w:jc w:val="both"/>
      </w:pPr>
      <w:r w:rsidRPr="003707F1">
        <w:t xml:space="preserve">environmental attitudes and perceived effectiveness on recycling, reducing, and </w:t>
      </w:r>
    </w:p>
    <w:p w14:paraId="4458CEB8" w14:textId="340DC34C" w:rsidR="00547105" w:rsidRPr="003707F1" w:rsidRDefault="00547105" w:rsidP="00063004">
      <w:pPr>
        <w:ind w:firstLine="720"/>
        <w:jc w:val="both"/>
      </w:pPr>
      <w:r w:rsidRPr="003707F1">
        <w:t xml:space="preserve">reusing packaging materials in Spain. </w:t>
      </w:r>
      <w:r w:rsidRPr="003707F1">
        <w:rPr>
          <w:i/>
          <w:iCs/>
        </w:rPr>
        <w:t>Waste Management</w:t>
      </w:r>
      <w:r w:rsidRPr="003707F1">
        <w:t xml:space="preserve">, </w:t>
      </w:r>
      <w:r w:rsidRPr="003707F1">
        <w:rPr>
          <w:i/>
          <w:iCs/>
        </w:rPr>
        <w:t>113</w:t>
      </w:r>
      <w:r w:rsidRPr="003707F1">
        <w:t xml:space="preserve">, 251-260. </w:t>
      </w:r>
      <w:proofErr w:type="spellStart"/>
      <w:r w:rsidR="00FD2B03" w:rsidRPr="003707F1">
        <w:t>doi</w:t>
      </w:r>
      <w:proofErr w:type="spellEnd"/>
      <w:r w:rsidRPr="003707F1">
        <w:t xml:space="preserve">: </w:t>
      </w:r>
    </w:p>
    <w:p w14:paraId="631C19C5" w14:textId="0B7D1736" w:rsidR="00547105" w:rsidRPr="003707F1" w:rsidRDefault="00C224F2" w:rsidP="00063004">
      <w:pPr>
        <w:ind w:firstLine="720"/>
        <w:jc w:val="both"/>
      </w:pPr>
      <w:hyperlink r:id="rId35" w:history="1">
        <w:r w:rsidR="00561425" w:rsidRPr="003707F1">
          <w:rPr>
            <w:rStyle w:val="Hyperlink"/>
          </w:rPr>
          <w:t>https://doi.org/10.1016/j.wasman.2020.05.043</w:t>
        </w:r>
      </w:hyperlink>
    </w:p>
    <w:p w14:paraId="0E86B821" w14:textId="77777777" w:rsidR="00F9624F" w:rsidRPr="003707F1" w:rsidRDefault="00F9624F" w:rsidP="00063004">
      <w:pPr>
        <w:jc w:val="both"/>
      </w:pPr>
      <w:r w:rsidRPr="003707F1">
        <w:t xml:space="preserve">Ettinger, A., </w:t>
      </w:r>
      <w:proofErr w:type="spellStart"/>
      <w:r w:rsidRPr="003707F1">
        <w:t>Grabner-Kräuter</w:t>
      </w:r>
      <w:proofErr w:type="spellEnd"/>
      <w:r w:rsidRPr="003707F1">
        <w:t xml:space="preserve">, S., Okazaki, S., &amp; </w:t>
      </w:r>
      <w:proofErr w:type="spellStart"/>
      <w:r w:rsidRPr="003707F1">
        <w:t>Terlutter</w:t>
      </w:r>
      <w:proofErr w:type="spellEnd"/>
      <w:r w:rsidRPr="003707F1">
        <w:t xml:space="preserve">, R. (2021). The desirability of </w:t>
      </w:r>
    </w:p>
    <w:p w14:paraId="71EE7CEC" w14:textId="153CC179" w:rsidR="00F9624F" w:rsidRPr="003707F1" w:rsidRDefault="00F9624F" w:rsidP="00063004">
      <w:pPr>
        <w:ind w:left="720"/>
        <w:jc w:val="both"/>
      </w:pPr>
      <w:r w:rsidRPr="003707F1">
        <w:lastRenderedPageBreak/>
        <w:t xml:space="preserve">CSR communication versus </w:t>
      </w:r>
      <w:proofErr w:type="spellStart"/>
      <w:r w:rsidRPr="003707F1">
        <w:t>greenhushing</w:t>
      </w:r>
      <w:proofErr w:type="spellEnd"/>
      <w:r w:rsidRPr="003707F1">
        <w:t xml:space="preserve"> in the hospitality industry: The customers’ perspective. </w:t>
      </w:r>
      <w:r w:rsidRPr="003707F1">
        <w:rPr>
          <w:i/>
          <w:iCs/>
        </w:rPr>
        <w:t>Journal of Travel Research</w:t>
      </w:r>
      <w:r w:rsidRPr="003707F1">
        <w:t>, 60(3), 618-638.</w:t>
      </w:r>
      <w:r w:rsidR="00507446" w:rsidRPr="003707F1">
        <w:t xml:space="preserve"> </w:t>
      </w:r>
      <w:proofErr w:type="spellStart"/>
      <w:r w:rsidR="00507446" w:rsidRPr="003707F1">
        <w:t>doi</w:t>
      </w:r>
      <w:proofErr w:type="spellEnd"/>
      <w:r w:rsidR="00507446" w:rsidRPr="003707F1">
        <w:t xml:space="preserve">: </w:t>
      </w:r>
      <w:hyperlink r:id="rId36" w:history="1">
        <w:r w:rsidR="00507446" w:rsidRPr="003707F1">
          <w:rPr>
            <w:rStyle w:val="Hyperlink"/>
          </w:rPr>
          <w:t>https://doi.org/10.1177/0047287520930087</w:t>
        </w:r>
      </w:hyperlink>
      <w:r w:rsidR="00507446" w:rsidRPr="003707F1">
        <w:t xml:space="preserve"> </w:t>
      </w:r>
    </w:p>
    <w:p w14:paraId="77D25CD2" w14:textId="56D704B7" w:rsidR="00BE6772" w:rsidRPr="003707F1" w:rsidRDefault="00BE6772" w:rsidP="00681CD7">
      <w:pPr>
        <w:jc w:val="both"/>
        <w:rPr>
          <w:rStyle w:val="Hyperlink"/>
          <w:color w:val="000000" w:themeColor="text1"/>
          <w:u w:val="none"/>
        </w:rPr>
      </w:pPr>
      <w:r w:rsidRPr="003707F1">
        <w:rPr>
          <w:rStyle w:val="Hyperlink"/>
          <w:color w:val="000000" w:themeColor="text1"/>
          <w:u w:val="none"/>
        </w:rPr>
        <w:t>Export.gov (2019)</w:t>
      </w:r>
      <w:r w:rsidR="00507446" w:rsidRPr="003707F1">
        <w:rPr>
          <w:rStyle w:val="Hyperlink"/>
          <w:color w:val="000000" w:themeColor="text1"/>
          <w:u w:val="none"/>
        </w:rPr>
        <w:t>.</w:t>
      </w:r>
      <w:r w:rsidRPr="003707F1">
        <w:rPr>
          <w:rStyle w:val="Hyperlink"/>
          <w:color w:val="000000" w:themeColor="text1"/>
          <w:u w:val="none"/>
        </w:rPr>
        <w:t xml:space="preserve"> Poland – market overview. Available from: </w:t>
      </w:r>
    </w:p>
    <w:p w14:paraId="6455ABA6" w14:textId="0C3C13DA" w:rsidR="00BE6772" w:rsidRPr="003707F1" w:rsidRDefault="00BE6772" w:rsidP="00681CD7">
      <w:pPr>
        <w:ind w:left="720"/>
        <w:jc w:val="both"/>
        <w:rPr>
          <w:rStyle w:val="Hyperlink"/>
          <w:color w:val="000000" w:themeColor="text1"/>
          <w:u w:val="none"/>
        </w:rPr>
      </w:pPr>
      <w:r w:rsidRPr="003707F1">
        <w:rPr>
          <w:rStyle w:val="Hyperlink"/>
          <w:color w:val="000000" w:themeColor="text1"/>
          <w:u w:val="none"/>
        </w:rPr>
        <w:t>https://www.export.gov/article?series=a0pt0000000PAuiAAG&amp;type=Country_Commercial__kav, accessed on August 14, 2020.</w:t>
      </w:r>
    </w:p>
    <w:p w14:paraId="077962D0" w14:textId="77777777" w:rsidR="000056CE" w:rsidRPr="003707F1" w:rsidRDefault="0005240B" w:rsidP="00681CD7">
      <w:pPr>
        <w:jc w:val="both"/>
        <w:rPr>
          <w:rStyle w:val="Hyperlink"/>
          <w:color w:val="auto"/>
          <w:u w:val="none"/>
        </w:rPr>
      </w:pPr>
      <w:proofErr w:type="spellStart"/>
      <w:r w:rsidRPr="003707F1">
        <w:rPr>
          <w:rStyle w:val="Hyperlink"/>
          <w:color w:val="auto"/>
          <w:u w:val="none"/>
        </w:rPr>
        <w:t>Fatehi</w:t>
      </w:r>
      <w:proofErr w:type="spellEnd"/>
      <w:r w:rsidRPr="003707F1">
        <w:rPr>
          <w:rStyle w:val="Hyperlink"/>
          <w:color w:val="auto"/>
          <w:u w:val="none"/>
        </w:rPr>
        <w:t xml:space="preserve">, K., Priestley, J. L., &amp; </w:t>
      </w:r>
      <w:proofErr w:type="spellStart"/>
      <w:r w:rsidRPr="003707F1">
        <w:rPr>
          <w:rStyle w:val="Hyperlink"/>
          <w:color w:val="auto"/>
          <w:u w:val="none"/>
        </w:rPr>
        <w:t>Taasoobshirazi</w:t>
      </w:r>
      <w:proofErr w:type="spellEnd"/>
      <w:r w:rsidRPr="003707F1">
        <w:rPr>
          <w:rStyle w:val="Hyperlink"/>
          <w:color w:val="auto"/>
          <w:u w:val="none"/>
        </w:rPr>
        <w:t xml:space="preserve">, G. (2020). The expanded view of individualism </w:t>
      </w:r>
    </w:p>
    <w:p w14:paraId="5D23D5AF" w14:textId="45455FE1" w:rsidR="0005240B" w:rsidRPr="003707F1" w:rsidRDefault="0005240B" w:rsidP="00681CD7">
      <w:pPr>
        <w:ind w:left="720"/>
        <w:jc w:val="both"/>
        <w:rPr>
          <w:rStyle w:val="Hyperlink"/>
          <w:color w:val="auto"/>
          <w:u w:val="none"/>
        </w:rPr>
      </w:pPr>
      <w:r w:rsidRPr="003707F1">
        <w:rPr>
          <w:rStyle w:val="Hyperlink"/>
          <w:color w:val="auto"/>
          <w:u w:val="none"/>
        </w:rPr>
        <w:t xml:space="preserve">and collectivism: One, two, or four dimensions? </w:t>
      </w:r>
      <w:r w:rsidRPr="003707F1">
        <w:rPr>
          <w:rStyle w:val="Hyperlink"/>
          <w:i/>
          <w:iCs/>
          <w:color w:val="auto"/>
          <w:u w:val="none"/>
        </w:rPr>
        <w:t xml:space="preserve">International Journal of </w:t>
      </w:r>
      <w:proofErr w:type="gramStart"/>
      <w:r w:rsidRPr="003707F1">
        <w:rPr>
          <w:rStyle w:val="Hyperlink"/>
          <w:i/>
          <w:iCs/>
          <w:color w:val="auto"/>
          <w:u w:val="none"/>
        </w:rPr>
        <w:t>Cross Cultural</w:t>
      </w:r>
      <w:proofErr w:type="gramEnd"/>
      <w:r w:rsidRPr="003707F1">
        <w:rPr>
          <w:rStyle w:val="Hyperlink"/>
          <w:i/>
          <w:iCs/>
          <w:color w:val="auto"/>
          <w:u w:val="none"/>
        </w:rPr>
        <w:t xml:space="preserve"> Management,</w:t>
      </w:r>
      <w:r w:rsidRPr="003707F1">
        <w:rPr>
          <w:rStyle w:val="Hyperlink"/>
          <w:color w:val="auto"/>
          <w:u w:val="none"/>
        </w:rPr>
        <w:t xml:space="preserve"> 20(1), 7–24.</w:t>
      </w:r>
      <w:r w:rsidR="00507446" w:rsidRPr="003707F1">
        <w:rPr>
          <w:rStyle w:val="Hyperlink"/>
          <w:color w:val="auto"/>
          <w:u w:val="none"/>
        </w:rPr>
        <w:t xml:space="preserve"> </w:t>
      </w:r>
      <w:proofErr w:type="spellStart"/>
      <w:r w:rsidR="00507446" w:rsidRPr="003707F1">
        <w:rPr>
          <w:rStyle w:val="Hyperlink"/>
          <w:color w:val="auto"/>
          <w:u w:val="none"/>
        </w:rPr>
        <w:t>doi</w:t>
      </w:r>
      <w:proofErr w:type="spellEnd"/>
      <w:r w:rsidR="00507446" w:rsidRPr="003707F1">
        <w:rPr>
          <w:rStyle w:val="Hyperlink"/>
          <w:color w:val="auto"/>
          <w:u w:val="none"/>
        </w:rPr>
        <w:t>:</w:t>
      </w:r>
      <w:r w:rsidRPr="003707F1">
        <w:rPr>
          <w:rStyle w:val="Hyperlink"/>
          <w:color w:val="auto"/>
          <w:u w:val="none"/>
        </w:rPr>
        <w:t xml:space="preserve"> https://doi.org/10.1177/1470595820913077</w:t>
      </w:r>
    </w:p>
    <w:p w14:paraId="0932ADC4" w14:textId="77777777" w:rsidR="005078AE" w:rsidRPr="003707F1" w:rsidRDefault="005078AE" w:rsidP="00681CD7">
      <w:pPr>
        <w:jc w:val="both"/>
      </w:pPr>
      <w:r w:rsidRPr="003707F1">
        <w:t xml:space="preserve">Fielding, K. S., &amp; Hornsey, M. J. (2016). A social identity analysis of climate change and </w:t>
      </w:r>
    </w:p>
    <w:p w14:paraId="143C32A6" w14:textId="29D15A03" w:rsidR="005078AE" w:rsidRPr="003707F1" w:rsidRDefault="005078AE" w:rsidP="00681CD7">
      <w:pPr>
        <w:ind w:left="720"/>
        <w:jc w:val="both"/>
        <w:rPr>
          <w:rStyle w:val="Hyperlink"/>
        </w:rPr>
      </w:pPr>
      <w:r w:rsidRPr="003707F1">
        <w:t xml:space="preserve">environmental attitudes and </w:t>
      </w:r>
      <w:proofErr w:type="spellStart"/>
      <w:r w:rsidRPr="003707F1">
        <w:t>behaviors</w:t>
      </w:r>
      <w:proofErr w:type="spellEnd"/>
      <w:r w:rsidRPr="003707F1">
        <w:t xml:space="preserve">: Insights and opportunities. </w:t>
      </w:r>
      <w:r w:rsidRPr="003707F1">
        <w:rPr>
          <w:i/>
          <w:iCs/>
        </w:rPr>
        <w:t>Frontiers in Psychology</w:t>
      </w:r>
      <w:r w:rsidRPr="003707F1">
        <w:t xml:space="preserve">, </w:t>
      </w:r>
      <w:r w:rsidRPr="003707F1">
        <w:rPr>
          <w:i/>
          <w:iCs/>
        </w:rPr>
        <w:t>7</w:t>
      </w:r>
      <w:r w:rsidRPr="003707F1">
        <w:t>, 121.</w:t>
      </w:r>
      <w:r w:rsidR="00507446" w:rsidRPr="003707F1">
        <w:t xml:space="preserve"> </w:t>
      </w:r>
      <w:proofErr w:type="spellStart"/>
      <w:r w:rsidR="00507446" w:rsidRPr="003707F1">
        <w:t>doi</w:t>
      </w:r>
      <w:proofErr w:type="spellEnd"/>
      <w:r w:rsidR="00507446" w:rsidRPr="003707F1">
        <w:t xml:space="preserve">: </w:t>
      </w:r>
      <w:hyperlink r:id="rId37" w:history="1">
        <w:r w:rsidR="00507446" w:rsidRPr="003707F1">
          <w:rPr>
            <w:rStyle w:val="Hyperlink"/>
          </w:rPr>
          <w:t>https://doi.org/10.3389/fpsyg.2016.00121</w:t>
        </w:r>
      </w:hyperlink>
    </w:p>
    <w:p w14:paraId="26CF3E5A" w14:textId="50959C09" w:rsidR="00DF61E6" w:rsidRPr="003707F1" w:rsidRDefault="00DF61E6" w:rsidP="00681CD7">
      <w:pPr>
        <w:jc w:val="both"/>
      </w:pPr>
      <w:r w:rsidRPr="003707F1">
        <w:t xml:space="preserve">Fritsche, I., Barth, M., </w:t>
      </w:r>
      <w:proofErr w:type="spellStart"/>
      <w:r w:rsidRPr="003707F1">
        <w:t>Jugert</w:t>
      </w:r>
      <w:proofErr w:type="spellEnd"/>
      <w:r w:rsidRPr="003707F1">
        <w:t xml:space="preserve">, P., Masson, T., &amp; Reese, G. (2018). A </w:t>
      </w:r>
      <w:r w:rsidR="00507446" w:rsidRPr="003707F1">
        <w:t>s</w:t>
      </w:r>
      <w:r w:rsidRPr="003707F1">
        <w:t xml:space="preserve">ocial </w:t>
      </w:r>
      <w:proofErr w:type="spellStart"/>
      <w:r w:rsidR="00507446" w:rsidRPr="003707F1">
        <w:t>s</w:t>
      </w:r>
      <w:r w:rsidRPr="003707F1">
        <w:t>dentity</w:t>
      </w:r>
      <w:proofErr w:type="spellEnd"/>
      <w:r w:rsidRPr="003707F1">
        <w:t xml:space="preserve"> </w:t>
      </w:r>
      <w:r w:rsidR="00507446" w:rsidRPr="003707F1">
        <w:t>m</w:t>
      </w:r>
      <w:r w:rsidRPr="003707F1">
        <w:t xml:space="preserve">odel of </w:t>
      </w:r>
    </w:p>
    <w:p w14:paraId="1456AF16" w14:textId="25DE0989" w:rsidR="00DF61E6" w:rsidRPr="003707F1" w:rsidRDefault="00507446" w:rsidP="00681CD7">
      <w:pPr>
        <w:ind w:firstLine="720"/>
        <w:jc w:val="both"/>
      </w:pPr>
      <w:r w:rsidRPr="003707F1">
        <w:t>p</w:t>
      </w:r>
      <w:r w:rsidR="00DF61E6" w:rsidRPr="003707F1">
        <w:t>ro-</w:t>
      </w:r>
      <w:r w:rsidRPr="003707F1">
        <w:t>e</w:t>
      </w:r>
      <w:r w:rsidR="00DF61E6" w:rsidRPr="003707F1">
        <w:t xml:space="preserve">nvironmental </w:t>
      </w:r>
      <w:r w:rsidRPr="003707F1">
        <w:t>a</w:t>
      </w:r>
      <w:r w:rsidR="00DF61E6" w:rsidRPr="003707F1">
        <w:t xml:space="preserve">ction (SIMPEA). </w:t>
      </w:r>
      <w:r w:rsidR="00DF61E6" w:rsidRPr="003707F1">
        <w:rPr>
          <w:i/>
          <w:iCs/>
        </w:rPr>
        <w:t>Psychological Review</w:t>
      </w:r>
      <w:r w:rsidR="00DF61E6" w:rsidRPr="003707F1">
        <w:t xml:space="preserve">, 125(2), 245–269. </w:t>
      </w:r>
      <w:proofErr w:type="spellStart"/>
      <w:r w:rsidRPr="003707F1">
        <w:t>doi</w:t>
      </w:r>
      <w:proofErr w:type="spellEnd"/>
      <w:r w:rsidRPr="003707F1">
        <w:t>:</w:t>
      </w:r>
    </w:p>
    <w:p w14:paraId="4B35CC70" w14:textId="4A75F84B" w:rsidR="00DF61E6" w:rsidRPr="003707F1" w:rsidRDefault="00C224F2" w:rsidP="00681CD7">
      <w:pPr>
        <w:ind w:firstLine="720"/>
        <w:jc w:val="both"/>
      </w:pPr>
      <w:hyperlink r:id="rId38" w:history="1">
        <w:r w:rsidR="00507446" w:rsidRPr="003707F1">
          <w:rPr>
            <w:rStyle w:val="Hyperlink"/>
          </w:rPr>
          <w:t>https://doi.org/10.1037/rev0000090</w:t>
        </w:r>
      </w:hyperlink>
      <w:r w:rsidR="00507446" w:rsidRPr="003707F1">
        <w:t xml:space="preserve"> </w:t>
      </w:r>
    </w:p>
    <w:p w14:paraId="0D88F7D2" w14:textId="77777777" w:rsidR="006F72D9" w:rsidRPr="003707F1" w:rsidRDefault="00B842C1" w:rsidP="00681CD7">
      <w:pPr>
        <w:jc w:val="both"/>
      </w:pPr>
      <w:r w:rsidRPr="003707F1">
        <w:t xml:space="preserve">Gaines Jr, S. O., </w:t>
      </w:r>
      <w:proofErr w:type="spellStart"/>
      <w:r w:rsidRPr="003707F1">
        <w:t>Marelich</w:t>
      </w:r>
      <w:proofErr w:type="spellEnd"/>
      <w:r w:rsidRPr="003707F1">
        <w:t xml:space="preserve">, W. D., Bledsoe, K. L., Steers, W. N., Henderson, M. C., </w:t>
      </w:r>
      <w:proofErr w:type="spellStart"/>
      <w:r w:rsidRPr="003707F1">
        <w:t>Granrose</w:t>
      </w:r>
      <w:proofErr w:type="spellEnd"/>
      <w:r w:rsidRPr="003707F1">
        <w:t xml:space="preserve">, </w:t>
      </w:r>
    </w:p>
    <w:p w14:paraId="60BE36ED" w14:textId="619183C2" w:rsidR="00B842C1" w:rsidRPr="003707F1" w:rsidRDefault="00B842C1" w:rsidP="00681CD7">
      <w:pPr>
        <w:ind w:left="720"/>
        <w:jc w:val="both"/>
      </w:pPr>
      <w:r w:rsidRPr="003707F1">
        <w:t xml:space="preserve">C. S., ... &amp; Yum, N. (1997). Links between race/ethnicity and cultural values as mediated by racial/ethnic identity and moderated by gender. </w:t>
      </w:r>
      <w:r w:rsidRPr="003707F1">
        <w:rPr>
          <w:i/>
          <w:iCs/>
        </w:rPr>
        <w:t xml:space="preserve">Journal of </w:t>
      </w:r>
      <w:r w:rsidR="006F72D9" w:rsidRPr="003707F1">
        <w:rPr>
          <w:i/>
          <w:iCs/>
        </w:rPr>
        <w:t>P</w:t>
      </w:r>
      <w:r w:rsidRPr="003707F1">
        <w:rPr>
          <w:i/>
          <w:iCs/>
        </w:rPr>
        <w:t xml:space="preserve">ersonality and </w:t>
      </w:r>
      <w:r w:rsidR="006F72D9" w:rsidRPr="003707F1">
        <w:rPr>
          <w:i/>
          <w:iCs/>
        </w:rPr>
        <w:t>S</w:t>
      </w:r>
      <w:r w:rsidRPr="003707F1">
        <w:rPr>
          <w:i/>
          <w:iCs/>
        </w:rPr>
        <w:t xml:space="preserve">ocial </w:t>
      </w:r>
      <w:r w:rsidR="006F72D9" w:rsidRPr="003707F1">
        <w:rPr>
          <w:i/>
          <w:iCs/>
        </w:rPr>
        <w:t>P</w:t>
      </w:r>
      <w:r w:rsidRPr="003707F1">
        <w:rPr>
          <w:i/>
          <w:iCs/>
        </w:rPr>
        <w:t>sychology</w:t>
      </w:r>
      <w:r w:rsidRPr="003707F1">
        <w:t>, 72(6), 1460.</w:t>
      </w:r>
      <w:r w:rsidR="00507446" w:rsidRPr="003707F1">
        <w:t xml:space="preserve"> </w:t>
      </w:r>
      <w:proofErr w:type="spellStart"/>
      <w:r w:rsidR="00507446" w:rsidRPr="003707F1">
        <w:t>doi</w:t>
      </w:r>
      <w:proofErr w:type="spellEnd"/>
      <w:r w:rsidR="00507446" w:rsidRPr="003707F1">
        <w:t xml:space="preserve">: </w:t>
      </w:r>
      <w:hyperlink r:id="rId39" w:tgtFrame="_blank" w:history="1">
        <w:r w:rsidR="00507446" w:rsidRPr="003707F1">
          <w:rPr>
            <w:rStyle w:val="Hyperlink"/>
          </w:rPr>
          <w:t xml:space="preserve">10.1037//0022-3514.72.6.1460 </w:t>
        </w:r>
      </w:hyperlink>
      <w:r w:rsidR="00507446" w:rsidRPr="003707F1">
        <w:rPr>
          <w:rStyle w:val="identifier"/>
        </w:rPr>
        <w:t xml:space="preserve"> </w:t>
      </w:r>
    </w:p>
    <w:p w14:paraId="13EF372D" w14:textId="5B34704D" w:rsidR="006F72D9" w:rsidRPr="003707F1" w:rsidRDefault="00D41DD3" w:rsidP="00681CD7">
      <w:pPr>
        <w:jc w:val="both"/>
      </w:pPr>
      <w:r w:rsidRPr="003707F1">
        <w:t xml:space="preserve">Gao, H., Mittal, V., &amp; Zhang, Y. (2020). The </w:t>
      </w:r>
      <w:r w:rsidR="00525480" w:rsidRPr="003707F1">
        <w:t>d</w:t>
      </w:r>
      <w:r w:rsidRPr="003707F1">
        <w:t xml:space="preserve">ifferential </w:t>
      </w:r>
      <w:r w:rsidR="00525480" w:rsidRPr="003707F1">
        <w:t>e</w:t>
      </w:r>
      <w:r w:rsidRPr="003707F1">
        <w:t xml:space="preserve">ffect of </w:t>
      </w:r>
      <w:r w:rsidR="00525480" w:rsidRPr="003707F1">
        <w:t>l</w:t>
      </w:r>
      <w:r w:rsidRPr="003707F1">
        <w:t>ocal–</w:t>
      </w:r>
      <w:r w:rsidR="00525480" w:rsidRPr="003707F1">
        <w:t>g</w:t>
      </w:r>
      <w:r w:rsidRPr="003707F1">
        <w:t xml:space="preserve">lobal </w:t>
      </w:r>
      <w:r w:rsidR="00525480" w:rsidRPr="003707F1">
        <w:t>i</w:t>
      </w:r>
      <w:r w:rsidRPr="003707F1">
        <w:t xml:space="preserve">dentity </w:t>
      </w:r>
    </w:p>
    <w:p w14:paraId="1F7E0BAE" w14:textId="1435F0CC" w:rsidR="006F72D9" w:rsidRPr="003707F1" w:rsidRDefault="00525480" w:rsidP="00681CD7">
      <w:pPr>
        <w:ind w:firstLine="720"/>
        <w:jc w:val="both"/>
        <w:rPr>
          <w:i/>
          <w:iCs/>
        </w:rPr>
      </w:pPr>
      <w:r w:rsidRPr="003707F1">
        <w:t>a</w:t>
      </w:r>
      <w:r w:rsidR="00D41DD3" w:rsidRPr="003707F1">
        <w:t xml:space="preserve">mong </w:t>
      </w:r>
      <w:r w:rsidRPr="003707F1">
        <w:t>m</w:t>
      </w:r>
      <w:r w:rsidR="00D41DD3" w:rsidRPr="003707F1">
        <w:t xml:space="preserve">ales and </w:t>
      </w:r>
      <w:r w:rsidRPr="003707F1">
        <w:t>f</w:t>
      </w:r>
      <w:r w:rsidR="00D41DD3" w:rsidRPr="003707F1">
        <w:t xml:space="preserve">emales: The </w:t>
      </w:r>
      <w:r w:rsidRPr="003707F1">
        <w:t>c</w:t>
      </w:r>
      <w:r w:rsidR="00D41DD3" w:rsidRPr="003707F1">
        <w:t xml:space="preserve">ase of </w:t>
      </w:r>
      <w:r w:rsidRPr="003707F1">
        <w:t>p</w:t>
      </w:r>
      <w:r w:rsidR="00D41DD3" w:rsidRPr="003707F1">
        <w:t xml:space="preserve">rice </w:t>
      </w:r>
      <w:r w:rsidRPr="003707F1">
        <w:t>s</w:t>
      </w:r>
      <w:r w:rsidR="00D41DD3" w:rsidRPr="003707F1">
        <w:t xml:space="preserve">ensitivity. </w:t>
      </w:r>
      <w:r w:rsidR="00D41DD3" w:rsidRPr="003707F1">
        <w:rPr>
          <w:i/>
          <w:iCs/>
        </w:rPr>
        <w:t xml:space="preserve">Journal of Marketing </w:t>
      </w:r>
    </w:p>
    <w:p w14:paraId="4138218F" w14:textId="2327E93C" w:rsidR="00D41DD3" w:rsidRPr="003707F1" w:rsidRDefault="00D41DD3" w:rsidP="00681CD7">
      <w:pPr>
        <w:ind w:firstLine="720"/>
        <w:jc w:val="both"/>
      </w:pPr>
      <w:r w:rsidRPr="003707F1">
        <w:rPr>
          <w:i/>
          <w:iCs/>
        </w:rPr>
        <w:t>Research,</w:t>
      </w:r>
      <w:r w:rsidRPr="003707F1">
        <w:t xml:space="preserve"> 57(1), 173–191. </w:t>
      </w:r>
      <w:proofErr w:type="spellStart"/>
      <w:r w:rsidR="00BF3495" w:rsidRPr="003707F1">
        <w:t>doi</w:t>
      </w:r>
      <w:proofErr w:type="spellEnd"/>
      <w:r w:rsidR="00BF3495" w:rsidRPr="003707F1">
        <w:t xml:space="preserve">: </w:t>
      </w:r>
      <w:hyperlink r:id="rId40" w:history="1">
        <w:r w:rsidR="00BF3495" w:rsidRPr="003707F1">
          <w:rPr>
            <w:rStyle w:val="Hyperlink"/>
          </w:rPr>
          <w:t>https://doi.org/10.1177/0022243719889028</w:t>
        </w:r>
      </w:hyperlink>
    </w:p>
    <w:p w14:paraId="06269D4F" w14:textId="77777777" w:rsidR="00AA0E24" w:rsidRPr="003707F1" w:rsidRDefault="00AA0E24" w:rsidP="00063004">
      <w:pPr>
        <w:jc w:val="both"/>
      </w:pPr>
      <w:r w:rsidRPr="003707F1">
        <w:t xml:space="preserve">Gao, J., Zhao, J., Wang, J., &amp; Wang, J. (2020). The influence mechanism of environmental </w:t>
      </w:r>
    </w:p>
    <w:p w14:paraId="1212A73F" w14:textId="77777777" w:rsidR="00AA0E24" w:rsidRPr="003707F1" w:rsidRDefault="00AA0E24" w:rsidP="00063004">
      <w:pPr>
        <w:ind w:firstLine="720"/>
        <w:jc w:val="both"/>
        <w:rPr>
          <w:i/>
          <w:iCs/>
        </w:rPr>
      </w:pPr>
      <w:r w:rsidRPr="003707F1">
        <w:t xml:space="preserve">anxiety on pro‐environmental behaviour: The role of self‐discrepancy. </w:t>
      </w:r>
      <w:r w:rsidRPr="003707F1">
        <w:rPr>
          <w:i/>
          <w:iCs/>
        </w:rPr>
        <w:t xml:space="preserve">International </w:t>
      </w:r>
    </w:p>
    <w:p w14:paraId="7993F1F1" w14:textId="0D258849" w:rsidR="00BF3495" w:rsidRPr="003707F1" w:rsidRDefault="00AA0E24" w:rsidP="00BF3495">
      <w:pPr>
        <w:ind w:firstLine="720"/>
        <w:jc w:val="both"/>
      </w:pPr>
      <w:r w:rsidRPr="003707F1">
        <w:rPr>
          <w:i/>
          <w:iCs/>
        </w:rPr>
        <w:t>Journal of Consumer Studies</w:t>
      </w:r>
      <w:r w:rsidR="00BF3495" w:rsidRPr="003707F1">
        <w:t xml:space="preserve">, 45, 54–64. </w:t>
      </w:r>
      <w:proofErr w:type="spellStart"/>
      <w:r w:rsidR="00BF3495" w:rsidRPr="003707F1">
        <w:t>doi</w:t>
      </w:r>
      <w:proofErr w:type="spellEnd"/>
      <w:r w:rsidR="00BF3495" w:rsidRPr="003707F1">
        <w:t xml:space="preserve">: 10.1111/ijcs.12604 </w:t>
      </w:r>
    </w:p>
    <w:p w14:paraId="571613B2" w14:textId="77777777" w:rsidR="008854BD" w:rsidRPr="003707F1" w:rsidRDefault="008854BD" w:rsidP="00063004">
      <w:pPr>
        <w:pStyle w:val="NormalWeb"/>
        <w:spacing w:before="0" w:beforeAutospacing="0" w:after="0" w:afterAutospacing="0"/>
        <w:jc w:val="both"/>
      </w:pPr>
      <w:r w:rsidRPr="003707F1">
        <w:t xml:space="preserve">Garg, P., &amp; Pandey, A. (2020). Towards sustainable tourism: an empirical investigation. </w:t>
      </w:r>
    </w:p>
    <w:p w14:paraId="163F3695" w14:textId="5F974AEC" w:rsidR="008854BD" w:rsidRPr="003707F1" w:rsidRDefault="00BF3495" w:rsidP="00BF3495">
      <w:pPr>
        <w:pStyle w:val="NormalWeb"/>
        <w:spacing w:before="0" w:beforeAutospacing="0" w:after="0" w:afterAutospacing="0"/>
        <w:ind w:firstLine="720"/>
        <w:jc w:val="both"/>
      </w:pPr>
      <w:r w:rsidRPr="003707F1">
        <w:rPr>
          <w:i/>
          <w:iCs/>
        </w:rPr>
        <w:t>F</w:t>
      </w:r>
      <w:r w:rsidR="008854BD" w:rsidRPr="003707F1">
        <w:rPr>
          <w:i/>
          <w:iCs/>
        </w:rPr>
        <w:t>oresight</w:t>
      </w:r>
      <w:r w:rsidRPr="003707F1">
        <w:t xml:space="preserve">, 23(2), 188-200. </w:t>
      </w:r>
      <w:proofErr w:type="spellStart"/>
      <w:r w:rsidRPr="003707F1">
        <w:t>doi</w:t>
      </w:r>
      <w:proofErr w:type="spellEnd"/>
      <w:r w:rsidRPr="003707F1">
        <w:t xml:space="preserve">: </w:t>
      </w:r>
      <w:hyperlink r:id="rId41" w:tooltip="DOI: https://doi.org/10.1108/FS-04-2020-0042" w:history="1">
        <w:r w:rsidRPr="003707F1">
          <w:rPr>
            <w:rStyle w:val="Hyperlink"/>
          </w:rPr>
          <w:t>https://doi.org/10.1108/FS-04-2020-0042</w:t>
        </w:r>
      </w:hyperlink>
      <w:r w:rsidRPr="003707F1">
        <w:t xml:space="preserve"> </w:t>
      </w:r>
    </w:p>
    <w:p w14:paraId="0D1F5A60" w14:textId="77777777" w:rsidR="00B21BF8" w:rsidRPr="003707F1" w:rsidRDefault="00B21BF8" w:rsidP="00063004">
      <w:pPr>
        <w:pStyle w:val="NormalWeb"/>
        <w:spacing w:before="0" w:beforeAutospacing="0" w:after="0" w:afterAutospacing="0"/>
        <w:jc w:val="both"/>
      </w:pPr>
      <w:r w:rsidRPr="003707F1">
        <w:t xml:space="preserve">Gautam, V. (2020). Examining </w:t>
      </w:r>
      <w:proofErr w:type="gramStart"/>
      <w:r w:rsidRPr="003707F1">
        <w:t>environmental</w:t>
      </w:r>
      <w:proofErr w:type="gramEnd"/>
      <w:r w:rsidRPr="003707F1">
        <w:t xml:space="preserve"> friendly </w:t>
      </w:r>
      <w:proofErr w:type="spellStart"/>
      <w:r w:rsidRPr="003707F1">
        <w:t>behaviors</w:t>
      </w:r>
      <w:proofErr w:type="spellEnd"/>
      <w:r w:rsidRPr="003707F1">
        <w:t xml:space="preserve"> of tourists towards </w:t>
      </w:r>
    </w:p>
    <w:p w14:paraId="461E5F6A" w14:textId="7A059E1F" w:rsidR="008854BD" w:rsidRPr="003707F1" w:rsidRDefault="00B21BF8" w:rsidP="00063004">
      <w:pPr>
        <w:pStyle w:val="NormalWeb"/>
        <w:spacing w:before="0" w:beforeAutospacing="0" w:after="0" w:afterAutospacing="0"/>
        <w:ind w:left="720"/>
        <w:jc w:val="both"/>
      </w:pPr>
      <w:r w:rsidRPr="003707F1">
        <w:t xml:space="preserve">sustainable development. </w:t>
      </w:r>
      <w:r w:rsidRPr="003707F1">
        <w:rPr>
          <w:i/>
          <w:iCs/>
        </w:rPr>
        <w:t>Journal of Environmental Management</w:t>
      </w:r>
      <w:r w:rsidRPr="003707F1">
        <w:t xml:space="preserve">, </w:t>
      </w:r>
      <w:r w:rsidRPr="003707F1">
        <w:rPr>
          <w:i/>
          <w:iCs/>
        </w:rPr>
        <w:t>276</w:t>
      </w:r>
      <w:r w:rsidRPr="003707F1">
        <w:t xml:space="preserve">, 111292. </w:t>
      </w:r>
      <w:proofErr w:type="spellStart"/>
      <w:r w:rsidR="00BF3495" w:rsidRPr="003707F1">
        <w:t>doi</w:t>
      </w:r>
      <w:proofErr w:type="spellEnd"/>
      <w:r w:rsidRPr="003707F1">
        <w:t xml:space="preserve">: </w:t>
      </w:r>
      <w:hyperlink r:id="rId42" w:history="1">
        <w:r w:rsidRPr="003707F1">
          <w:rPr>
            <w:rStyle w:val="Hyperlink"/>
          </w:rPr>
          <w:t>https://doi.org/10.1016/j.jenvman.2020.111292</w:t>
        </w:r>
      </w:hyperlink>
      <w:r w:rsidRPr="003707F1">
        <w:t xml:space="preserve"> </w:t>
      </w:r>
    </w:p>
    <w:p w14:paraId="2FC6ABA7" w14:textId="291C17A5" w:rsidR="006B0574" w:rsidRPr="003707F1" w:rsidRDefault="006B0574" w:rsidP="00681CD7">
      <w:pPr>
        <w:jc w:val="both"/>
      </w:pPr>
      <w:proofErr w:type="spellStart"/>
      <w:r w:rsidRPr="003707F1">
        <w:t>Gjersoe</w:t>
      </w:r>
      <w:proofErr w:type="spellEnd"/>
      <w:r w:rsidRPr="003707F1">
        <w:t xml:space="preserve"> NL</w:t>
      </w:r>
      <w:r w:rsidR="009432B0" w:rsidRPr="003707F1">
        <w:t>.</w:t>
      </w:r>
      <w:r w:rsidRPr="003707F1">
        <w:t xml:space="preserve">, Newman GE, </w:t>
      </w:r>
      <w:proofErr w:type="spellStart"/>
      <w:r w:rsidRPr="003707F1">
        <w:t>Chituc</w:t>
      </w:r>
      <w:proofErr w:type="spellEnd"/>
      <w:r w:rsidRPr="003707F1">
        <w:t xml:space="preserve"> V</w:t>
      </w:r>
      <w:r w:rsidR="009432B0" w:rsidRPr="003707F1">
        <w:t>. &amp;</w:t>
      </w:r>
      <w:r w:rsidRPr="003707F1">
        <w:t xml:space="preserve"> Hood B</w:t>
      </w:r>
      <w:r w:rsidR="009432B0" w:rsidRPr="003707F1">
        <w:t>.</w:t>
      </w:r>
      <w:r w:rsidRPr="003707F1">
        <w:t xml:space="preserve"> (2014) Individualism and the </w:t>
      </w:r>
      <w:proofErr w:type="gramStart"/>
      <w:r w:rsidRPr="003707F1">
        <w:t>extended-self</w:t>
      </w:r>
      <w:proofErr w:type="gramEnd"/>
      <w:r w:rsidRPr="003707F1">
        <w:t xml:space="preserve">: </w:t>
      </w:r>
    </w:p>
    <w:p w14:paraId="2EA917B5" w14:textId="085F5FAD" w:rsidR="006B0574" w:rsidRPr="003707F1" w:rsidRDefault="006B0574" w:rsidP="00681CD7">
      <w:pPr>
        <w:ind w:left="720"/>
        <w:jc w:val="both"/>
      </w:pPr>
      <w:r w:rsidRPr="003707F1">
        <w:t xml:space="preserve">cross-cultural differences in the valuation of authentic objects. </w:t>
      </w:r>
      <w:proofErr w:type="spellStart"/>
      <w:r w:rsidRPr="003707F1">
        <w:t>PLoS</w:t>
      </w:r>
      <w:proofErr w:type="spellEnd"/>
      <w:r w:rsidRPr="003707F1">
        <w:t xml:space="preserve"> ONE 9(3): e90787.</w:t>
      </w:r>
      <w:r w:rsidR="00BF3495" w:rsidRPr="003707F1">
        <w:t xml:space="preserve"> </w:t>
      </w:r>
      <w:proofErr w:type="spellStart"/>
      <w:r w:rsidR="00BF3495" w:rsidRPr="003707F1">
        <w:t>doi</w:t>
      </w:r>
      <w:proofErr w:type="spellEnd"/>
      <w:r w:rsidR="00BF3495" w:rsidRPr="003707F1">
        <w:t>:</w:t>
      </w:r>
      <w:r w:rsidRPr="003707F1">
        <w:t xml:space="preserve"> </w:t>
      </w:r>
      <w:hyperlink r:id="rId43" w:history="1">
        <w:r w:rsidR="00BF3495" w:rsidRPr="003707F1">
          <w:rPr>
            <w:rStyle w:val="Hyperlink"/>
          </w:rPr>
          <w:t>https://doi.org/10.1371/journal.pone.0090787</w:t>
        </w:r>
      </w:hyperlink>
      <w:r w:rsidR="00BF3495" w:rsidRPr="003707F1">
        <w:t xml:space="preserve"> </w:t>
      </w:r>
    </w:p>
    <w:p w14:paraId="22BA5E80" w14:textId="77777777" w:rsidR="00600C60" w:rsidRPr="003707F1" w:rsidRDefault="00600C60" w:rsidP="00681CD7">
      <w:pPr>
        <w:jc w:val="both"/>
      </w:pPr>
      <w:r w:rsidRPr="003707F1">
        <w:t xml:space="preserve">Guan, M., &amp; So, J. (2016). Influence of social identity on self-efficacy beliefs through </w:t>
      </w:r>
    </w:p>
    <w:p w14:paraId="27868768" w14:textId="36C0DEB8" w:rsidR="00B72783" w:rsidRPr="003707F1" w:rsidRDefault="00600C60" w:rsidP="001D2AB2">
      <w:pPr>
        <w:ind w:left="720" w:hanging="720"/>
        <w:jc w:val="both"/>
      </w:pPr>
      <w:r w:rsidRPr="003707F1">
        <w:t xml:space="preserve">perceived social support: A social identity theory perspective. </w:t>
      </w:r>
      <w:r w:rsidRPr="003707F1">
        <w:rPr>
          <w:i/>
          <w:iCs/>
        </w:rPr>
        <w:t>Communication Studies</w:t>
      </w:r>
      <w:r w:rsidRPr="003707F1">
        <w:t>, 67(5), 588-604.</w:t>
      </w:r>
      <w:r w:rsidR="00BF3495" w:rsidRPr="003707F1">
        <w:t xml:space="preserve"> </w:t>
      </w:r>
      <w:proofErr w:type="spellStart"/>
      <w:r w:rsidR="00BF3495" w:rsidRPr="003707F1">
        <w:t>doi</w:t>
      </w:r>
      <w:proofErr w:type="spellEnd"/>
      <w:r w:rsidR="00BF3495" w:rsidRPr="003707F1">
        <w:t xml:space="preserve">: </w:t>
      </w:r>
      <w:hyperlink r:id="rId44" w:history="1">
        <w:r w:rsidR="00BF3495" w:rsidRPr="003707F1">
          <w:rPr>
            <w:rStyle w:val="Hyperlink"/>
          </w:rPr>
          <w:t>https://doi.org/10.1080/10510974.2016.1239645</w:t>
        </w:r>
      </w:hyperlink>
    </w:p>
    <w:p w14:paraId="71A2FA66" w14:textId="77777777" w:rsidR="004A22E6" w:rsidRPr="003707F1" w:rsidRDefault="004A22E6" w:rsidP="004A22E6">
      <w:r w:rsidRPr="003707F1">
        <w:t xml:space="preserve">GUS Central Statistical Office. (2016). Structure of the population by 2016, available from: </w:t>
      </w:r>
    </w:p>
    <w:p w14:paraId="5E46D25B" w14:textId="052237FF" w:rsidR="004A22E6" w:rsidRPr="003707F1" w:rsidRDefault="00C224F2" w:rsidP="004A22E6">
      <w:pPr>
        <w:ind w:left="480"/>
      </w:pPr>
      <w:hyperlink r:id="rId45" w:history="1">
        <w:r w:rsidR="004A22E6" w:rsidRPr="003707F1">
          <w:rPr>
            <w:rStyle w:val="Hyperlink"/>
          </w:rPr>
          <w:t>https://stat.gov.pl/en/topics/population/population/structure-of-the-population-by-2016,7,1.html</w:t>
        </w:r>
      </w:hyperlink>
      <w:r w:rsidR="004A22E6" w:rsidRPr="003707F1">
        <w:t xml:space="preserve">, accessed on </w:t>
      </w:r>
      <w:proofErr w:type="gramStart"/>
      <w:r w:rsidR="004A22E6" w:rsidRPr="003707F1">
        <w:t>may</w:t>
      </w:r>
      <w:proofErr w:type="gramEnd"/>
      <w:r w:rsidR="004A22E6" w:rsidRPr="003707F1">
        <w:t xml:space="preserve"> 7, 2021. </w:t>
      </w:r>
    </w:p>
    <w:p w14:paraId="7C40F621" w14:textId="693F65C5" w:rsidR="00B55BD8" w:rsidRPr="003707F1" w:rsidRDefault="00B55BD8" w:rsidP="00063004">
      <w:pPr>
        <w:pStyle w:val="NormalWeb"/>
        <w:spacing w:before="0" w:beforeAutospacing="0" w:after="0" w:afterAutospacing="0"/>
        <w:ind w:left="480" w:hanging="480"/>
        <w:jc w:val="both"/>
      </w:pPr>
      <w:r w:rsidRPr="003707F1">
        <w:t xml:space="preserve">Hair Jr., J. F., Black, Wi. C., </w:t>
      </w:r>
      <w:proofErr w:type="spellStart"/>
      <w:r w:rsidRPr="003707F1">
        <w:t>Babin</w:t>
      </w:r>
      <w:proofErr w:type="spellEnd"/>
      <w:r w:rsidRPr="003707F1">
        <w:t xml:space="preserve">, B. J., &amp; Anderson, R. E. (2010). </w:t>
      </w:r>
      <w:r w:rsidRPr="003707F1">
        <w:rPr>
          <w:i/>
          <w:iCs/>
        </w:rPr>
        <w:t>Multivariate data analysis: A global perspective</w:t>
      </w:r>
      <w:r w:rsidRPr="003707F1">
        <w:t xml:space="preserve"> (7th Ed.). Upper Saddle River, NJ: Pearson Prentice Hall.</w:t>
      </w:r>
    </w:p>
    <w:p w14:paraId="0CB532A8" w14:textId="77777777" w:rsidR="00166978" w:rsidRPr="003707F1" w:rsidRDefault="00A66719" w:rsidP="00681CD7">
      <w:pPr>
        <w:jc w:val="both"/>
      </w:pPr>
      <w:bookmarkStart w:id="14" w:name="_Hlk13236589"/>
      <w:proofErr w:type="spellStart"/>
      <w:r w:rsidRPr="003707F1">
        <w:t>Heo</w:t>
      </w:r>
      <w:proofErr w:type="spellEnd"/>
      <w:r w:rsidRPr="003707F1">
        <w:t xml:space="preserve">, J., &amp; </w:t>
      </w:r>
      <w:proofErr w:type="spellStart"/>
      <w:r w:rsidRPr="003707F1">
        <w:t>Muralidharan</w:t>
      </w:r>
      <w:proofErr w:type="spellEnd"/>
      <w:r w:rsidRPr="003707F1">
        <w:t>, S. (2019</w:t>
      </w:r>
      <w:bookmarkEnd w:id="14"/>
      <w:r w:rsidRPr="003707F1">
        <w:t xml:space="preserve">). What triggers young Millennials to purchase eco-friendly </w:t>
      </w:r>
    </w:p>
    <w:p w14:paraId="1EF25A2D" w14:textId="16A7031D" w:rsidR="00445374" w:rsidRPr="003707F1" w:rsidRDefault="00A66719" w:rsidP="00681CD7">
      <w:pPr>
        <w:ind w:left="720"/>
        <w:jc w:val="both"/>
      </w:pPr>
      <w:proofErr w:type="gramStart"/>
      <w:r w:rsidRPr="003707F1">
        <w:t>products?:</w:t>
      </w:r>
      <w:proofErr w:type="gramEnd"/>
      <w:r w:rsidRPr="003707F1">
        <w:t xml:space="preserve"> the interrelationships among knowledge, perceived consumer effectiveness, and environmental concern. </w:t>
      </w:r>
      <w:r w:rsidRPr="003707F1">
        <w:rPr>
          <w:i/>
          <w:iCs/>
        </w:rPr>
        <w:t>Journal of Marketing Communications</w:t>
      </w:r>
      <w:r w:rsidRPr="003707F1">
        <w:t>, 25(4), 421-437.</w:t>
      </w:r>
      <w:r w:rsidR="00BF3495" w:rsidRPr="003707F1">
        <w:t xml:space="preserve"> </w:t>
      </w:r>
      <w:proofErr w:type="spellStart"/>
      <w:r w:rsidR="00BF3495" w:rsidRPr="003707F1">
        <w:t>doi</w:t>
      </w:r>
      <w:proofErr w:type="spellEnd"/>
      <w:r w:rsidR="00BF3495" w:rsidRPr="003707F1">
        <w:t xml:space="preserve">: </w:t>
      </w:r>
      <w:hyperlink r:id="rId46" w:history="1">
        <w:r w:rsidR="00BF3495" w:rsidRPr="003707F1">
          <w:rPr>
            <w:rStyle w:val="Hyperlink"/>
          </w:rPr>
          <w:t>https://doi.org/10.1080/13527266.2017.1303623</w:t>
        </w:r>
      </w:hyperlink>
      <w:r w:rsidR="00BF3495" w:rsidRPr="003707F1">
        <w:t xml:space="preserve"> </w:t>
      </w:r>
    </w:p>
    <w:p w14:paraId="5680D020" w14:textId="3281702E" w:rsidR="00445374" w:rsidRPr="003707F1" w:rsidRDefault="00445374" w:rsidP="00681CD7">
      <w:pPr>
        <w:jc w:val="both"/>
      </w:pPr>
      <w:r w:rsidRPr="003707F1">
        <w:t xml:space="preserve">Hong, J.W. </w:t>
      </w:r>
      <w:r w:rsidR="0056751F" w:rsidRPr="003707F1">
        <w:t>&amp;</w:t>
      </w:r>
      <w:r w:rsidRPr="003707F1">
        <w:t xml:space="preserve"> Zinkhan, G.M. (1995), Self‐concept and advertising effectiveness: The </w:t>
      </w:r>
    </w:p>
    <w:p w14:paraId="43C18784" w14:textId="77777777" w:rsidR="00445374" w:rsidRPr="003707F1" w:rsidRDefault="00445374" w:rsidP="00681CD7">
      <w:pPr>
        <w:ind w:firstLine="720"/>
        <w:jc w:val="both"/>
        <w:rPr>
          <w:i/>
          <w:iCs/>
        </w:rPr>
      </w:pPr>
      <w:r w:rsidRPr="003707F1">
        <w:t xml:space="preserve">influence of congruency, conspicuousness, and response mode. </w:t>
      </w:r>
      <w:r w:rsidRPr="003707F1">
        <w:rPr>
          <w:i/>
          <w:iCs/>
        </w:rPr>
        <w:t xml:space="preserve">Psychology &amp; </w:t>
      </w:r>
    </w:p>
    <w:p w14:paraId="6686CE26" w14:textId="487870DA" w:rsidR="00445374" w:rsidRPr="003707F1" w:rsidRDefault="00445374" w:rsidP="00681CD7">
      <w:pPr>
        <w:ind w:firstLine="720"/>
        <w:jc w:val="both"/>
      </w:pPr>
      <w:r w:rsidRPr="003707F1">
        <w:rPr>
          <w:i/>
          <w:iCs/>
        </w:rPr>
        <w:t>Marketing,</w:t>
      </w:r>
      <w:r w:rsidRPr="003707F1">
        <w:t xml:space="preserve"> 12: 53-77. doi:10.1002/mar.4220120105</w:t>
      </w:r>
      <w:r w:rsidR="00BF3495" w:rsidRPr="003707F1">
        <w:t xml:space="preserve"> </w:t>
      </w:r>
    </w:p>
    <w:p w14:paraId="093A408A" w14:textId="77777777" w:rsidR="00F9624F" w:rsidRPr="003707F1" w:rsidRDefault="00F9624F" w:rsidP="00063004">
      <w:pPr>
        <w:jc w:val="both"/>
      </w:pPr>
      <w:r w:rsidRPr="003707F1">
        <w:t xml:space="preserve">Hosta, M., &amp; </w:t>
      </w:r>
      <w:proofErr w:type="spellStart"/>
      <w:r w:rsidRPr="003707F1">
        <w:t>Zabkar</w:t>
      </w:r>
      <w:proofErr w:type="spellEnd"/>
      <w:r w:rsidRPr="003707F1">
        <w:t xml:space="preserve">, V. (2020). Antecedents of environmentally and socially responsible </w:t>
      </w:r>
    </w:p>
    <w:p w14:paraId="26400BFE" w14:textId="1C2EDC80" w:rsidR="00F9624F" w:rsidRPr="003707F1" w:rsidRDefault="00F9624F" w:rsidP="00BF3495">
      <w:pPr>
        <w:ind w:left="720"/>
        <w:jc w:val="both"/>
      </w:pPr>
      <w:r w:rsidRPr="003707F1">
        <w:lastRenderedPageBreak/>
        <w:t xml:space="preserve">sustainable consumer </w:t>
      </w:r>
      <w:proofErr w:type="spellStart"/>
      <w:r w:rsidRPr="003707F1">
        <w:t>behavior</w:t>
      </w:r>
      <w:proofErr w:type="spellEnd"/>
      <w:r w:rsidRPr="003707F1">
        <w:t xml:space="preserve">. </w:t>
      </w:r>
      <w:r w:rsidRPr="003707F1">
        <w:rPr>
          <w:i/>
          <w:iCs/>
        </w:rPr>
        <w:t>Journal of Business Ethics</w:t>
      </w:r>
      <w:r w:rsidRPr="003707F1">
        <w:t>, 1-21.</w:t>
      </w:r>
      <w:r w:rsidR="00BF3495" w:rsidRPr="003707F1">
        <w:t xml:space="preserve"> </w:t>
      </w:r>
      <w:proofErr w:type="spellStart"/>
      <w:r w:rsidR="00BF3495" w:rsidRPr="003707F1">
        <w:t>doi</w:t>
      </w:r>
      <w:proofErr w:type="spellEnd"/>
      <w:r w:rsidR="00BF3495" w:rsidRPr="003707F1">
        <w:t xml:space="preserve">: </w:t>
      </w:r>
      <w:hyperlink r:id="rId47" w:history="1">
        <w:r w:rsidR="00BF3495" w:rsidRPr="003707F1">
          <w:rPr>
            <w:rStyle w:val="Hyperlink"/>
          </w:rPr>
          <w:t>https://doi.org/10.1007/s10551-019-04416-0</w:t>
        </w:r>
      </w:hyperlink>
      <w:r w:rsidR="00BF3495" w:rsidRPr="003707F1">
        <w:rPr>
          <w:rStyle w:val="c-bibliographic-informationvalue"/>
        </w:rPr>
        <w:t xml:space="preserve"> </w:t>
      </w:r>
    </w:p>
    <w:p w14:paraId="53080EDC" w14:textId="73A6BE36" w:rsidR="004A70FB" w:rsidRPr="003707F1" w:rsidRDefault="004A70FB" w:rsidP="00681CD7">
      <w:pPr>
        <w:jc w:val="both"/>
        <w:rPr>
          <w:i/>
          <w:iCs/>
        </w:rPr>
      </w:pPr>
      <w:r w:rsidRPr="003707F1">
        <w:t xml:space="preserve">Inglehart, R. (2020). </w:t>
      </w:r>
      <w:r w:rsidRPr="003707F1">
        <w:rPr>
          <w:i/>
          <w:iCs/>
        </w:rPr>
        <w:t xml:space="preserve">Modernization and </w:t>
      </w:r>
      <w:proofErr w:type="spellStart"/>
      <w:r w:rsidRPr="003707F1">
        <w:rPr>
          <w:i/>
          <w:iCs/>
        </w:rPr>
        <w:t>postmodernization</w:t>
      </w:r>
      <w:proofErr w:type="spellEnd"/>
      <w:r w:rsidRPr="003707F1">
        <w:rPr>
          <w:i/>
          <w:iCs/>
        </w:rPr>
        <w:t xml:space="preserve">: Cultural, economic, and political </w:t>
      </w:r>
    </w:p>
    <w:p w14:paraId="02319AE5" w14:textId="650D0215" w:rsidR="004A70FB" w:rsidRPr="003707F1" w:rsidRDefault="004A70FB" w:rsidP="00681CD7">
      <w:pPr>
        <w:ind w:firstLine="720"/>
        <w:jc w:val="both"/>
      </w:pPr>
      <w:r w:rsidRPr="003707F1">
        <w:rPr>
          <w:i/>
          <w:iCs/>
        </w:rPr>
        <w:t>change in 43 societies</w:t>
      </w:r>
      <w:r w:rsidRPr="003707F1">
        <w:t xml:space="preserve">. Princeton </w:t>
      </w:r>
      <w:r w:rsidR="00BF3495" w:rsidRPr="003707F1">
        <w:t>U</w:t>
      </w:r>
      <w:r w:rsidRPr="003707F1">
        <w:t xml:space="preserve">niversity </w:t>
      </w:r>
      <w:r w:rsidR="00BF3495" w:rsidRPr="003707F1">
        <w:t>P</w:t>
      </w:r>
      <w:r w:rsidRPr="003707F1">
        <w:t>ress.</w:t>
      </w:r>
    </w:p>
    <w:p w14:paraId="2775F633" w14:textId="77777777" w:rsidR="00166978" w:rsidRPr="003707F1" w:rsidRDefault="005B1015" w:rsidP="00681CD7">
      <w:pPr>
        <w:jc w:val="both"/>
      </w:pPr>
      <w:r w:rsidRPr="003707F1">
        <w:rPr>
          <w:lang w:val="pl-PL"/>
        </w:rPr>
        <w:t xml:space="preserve">Kang, J., Liu, C., &amp; Kim, S. H. (2013). </w:t>
      </w:r>
      <w:r w:rsidRPr="003707F1">
        <w:t xml:space="preserve">Environmentally sustainable textile and apparel </w:t>
      </w:r>
    </w:p>
    <w:p w14:paraId="54C814BA" w14:textId="0BD1C725" w:rsidR="005B1015" w:rsidRPr="003707F1" w:rsidRDefault="005B1015" w:rsidP="00681CD7">
      <w:pPr>
        <w:ind w:left="720"/>
        <w:jc w:val="both"/>
      </w:pPr>
      <w:r w:rsidRPr="003707F1">
        <w:t xml:space="preserve">consumption: the role of consumer knowledge, perceived consumer effectiveness and perceived personal relevance. </w:t>
      </w:r>
      <w:r w:rsidRPr="003707F1">
        <w:rPr>
          <w:i/>
          <w:iCs/>
        </w:rPr>
        <w:t>International Journal of Consumer Studies</w:t>
      </w:r>
      <w:r w:rsidRPr="003707F1">
        <w:t>, 37(4), 442-452.</w:t>
      </w:r>
      <w:r w:rsidR="00E60EEE" w:rsidRPr="003707F1">
        <w:t xml:space="preserve"> </w:t>
      </w:r>
      <w:proofErr w:type="spellStart"/>
      <w:r w:rsidR="00E60EEE" w:rsidRPr="003707F1">
        <w:t>doi</w:t>
      </w:r>
      <w:proofErr w:type="spellEnd"/>
      <w:r w:rsidR="00E60EEE" w:rsidRPr="003707F1">
        <w:t xml:space="preserve">: </w:t>
      </w:r>
      <w:hyperlink r:id="rId48" w:history="1">
        <w:r w:rsidR="00E60EEE" w:rsidRPr="003707F1">
          <w:rPr>
            <w:rStyle w:val="Hyperlink"/>
          </w:rPr>
          <w:t>https://doi.org/10.1111/ijcs.12013</w:t>
        </w:r>
      </w:hyperlink>
      <w:r w:rsidR="00E60EEE" w:rsidRPr="003707F1">
        <w:t xml:space="preserve"> </w:t>
      </w:r>
    </w:p>
    <w:p w14:paraId="4DEEEF82" w14:textId="77777777" w:rsidR="00407FFD" w:rsidRPr="003707F1" w:rsidRDefault="00407FFD" w:rsidP="00681CD7">
      <w:pPr>
        <w:jc w:val="both"/>
      </w:pPr>
      <w:proofErr w:type="spellStart"/>
      <w:r w:rsidRPr="003707F1">
        <w:t>Kautish</w:t>
      </w:r>
      <w:proofErr w:type="spellEnd"/>
      <w:r w:rsidRPr="003707F1">
        <w:t xml:space="preserve">, P., Paul, J., &amp; Sharma, R. (2019). The moderating influence of environmental </w:t>
      </w:r>
    </w:p>
    <w:p w14:paraId="2E053CFB" w14:textId="77777777" w:rsidR="00407FFD" w:rsidRPr="003707F1" w:rsidRDefault="00407FFD" w:rsidP="00681CD7">
      <w:pPr>
        <w:ind w:firstLine="720"/>
        <w:jc w:val="both"/>
        <w:rPr>
          <w:i/>
          <w:iCs/>
        </w:rPr>
      </w:pPr>
      <w:r w:rsidRPr="003707F1">
        <w:t xml:space="preserve">consciousness and recycling intentions on green purchase </w:t>
      </w:r>
      <w:proofErr w:type="spellStart"/>
      <w:r w:rsidRPr="003707F1">
        <w:t>behavior</w:t>
      </w:r>
      <w:proofErr w:type="spellEnd"/>
      <w:r w:rsidRPr="003707F1">
        <w:t xml:space="preserve">. </w:t>
      </w:r>
      <w:r w:rsidRPr="003707F1">
        <w:rPr>
          <w:i/>
          <w:iCs/>
        </w:rPr>
        <w:t xml:space="preserve">Journal of Cleaner </w:t>
      </w:r>
    </w:p>
    <w:p w14:paraId="383C202F" w14:textId="04D4A4A3" w:rsidR="00407FFD" w:rsidRPr="003707F1" w:rsidRDefault="00407FFD" w:rsidP="00681CD7">
      <w:pPr>
        <w:ind w:firstLine="720"/>
        <w:jc w:val="both"/>
      </w:pPr>
      <w:r w:rsidRPr="003707F1">
        <w:rPr>
          <w:i/>
          <w:iCs/>
        </w:rPr>
        <w:t>Production</w:t>
      </w:r>
      <w:r w:rsidRPr="003707F1">
        <w:t>, 228, 1425-1436.</w:t>
      </w:r>
      <w:r w:rsidR="00E60EEE" w:rsidRPr="003707F1">
        <w:t xml:space="preserve"> </w:t>
      </w:r>
      <w:proofErr w:type="spellStart"/>
      <w:r w:rsidR="00E60EEE" w:rsidRPr="003707F1">
        <w:t>doi</w:t>
      </w:r>
      <w:proofErr w:type="spellEnd"/>
      <w:r w:rsidR="00E60EEE" w:rsidRPr="003707F1">
        <w:t xml:space="preserve">: </w:t>
      </w:r>
      <w:hyperlink r:id="rId49" w:tgtFrame="_blank" w:tooltip="Persistent link using digital object identifier" w:history="1">
        <w:r w:rsidR="00E60EEE" w:rsidRPr="003707F1">
          <w:rPr>
            <w:rStyle w:val="Hyperlink"/>
          </w:rPr>
          <w:t>https://doi.org/10.1016/j.jclepro.2019.04.389</w:t>
        </w:r>
      </w:hyperlink>
      <w:r w:rsidR="00E60EEE" w:rsidRPr="003707F1">
        <w:t xml:space="preserve"> </w:t>
      </w:r>
    </w:p>
    <w:p w14:paraId="6CBCB823" w14:textId="28A922CB" w:rsidR="009B7363" w:rsidRPr="003707F1" w:rsidRDefault="009B7363" w:rsidP="009B7363">
      <w:pPr>
        <w:pStyle w:val="EndNoteBibliography"/>
        <w:spacing w:after="0"/>
        <w:ind w:left="720" w:hanging="720"/>
        <w:rPr>
          <w:rFonts w:ascii="Times New Roman" w:hAnsi="Times New Roman"/>
          <w:noProof w:val="0"/>
          <w:sz w:val="24"/>
          <w:szCs w:val="24"/>
          <w:lang w:val="en-GB"/>
        </w:rPr>
      </w:pPr>
      <w:r w:rsidRPr="003707F1">
        <w:rPr>
          <w:rFonts w:ascii="Times New Roman" w:hAnsi="Times New Roman"/>
          <w:noProof w:val="0"/>
          <w:sz w:val="24"/>
          <w:szCs w:val="24"/>
          <w:lang w:val="pl-PL"/>
        </w:rPr>
        <w:t xml:space="preserve">Knap, R. (2013). </w:t>
      </w:r>
      <w:r w:rsidRPr="003707F1">
        <w:rPr>
          <w:rFonts w:ascii="Times New Roman" w:hAnsi="Times New Roman"/>
          <w:i/>
          <w:noProof w:val="0"/>
          <w:sz w:val="24"/>
          <w:szCs w:val="24"/>
          <w:lang w:val="pl-PL"/>
        </w:rPr>
        <w:t>Centra handlowe – rynek, konsument i kariera</w:t>
      </w:r>
      <w:r w:rsidRPr="003707F1">
        <w:rPr>
          <w:rFonts w:ascii="Times New Roman" w:hAnsi="Times New Roman"/>
          <w:noProof w:val="0"/>
          <w:sz w:val="24"/>
          <w:szCs w:val="24"/>
          <w:lang w:val="pl-PL"/>
        </w:rPr>
        <w:t xml:space="preserve">. </w:t>
      </w:r>
      <w:r w:rsidRPr="003707F1">
        <w:rPr>
          <w:rFonts w:ascii="Times New Roman" w:hAnsi="Times New Roman"/>
          <w:noProof w:val="0"/>
          <w:sz w:val="24"/>
          <w:szCs w:val="24"/>
          <w:lang w:val="en-GB"/>
        </w:rPr>
        <w:t xml:space="preserve">Available from ue.poznan.pl/www/data/upload/image/zo/Knap2.pdf, accessed on March 3, 2019. </w:t>
      </w:r>
    </w:p>
    <w:p w14:paraId="72DA8821" w14:textId="77777777" w:rsidR="000A51D5" w:rsidRPr="003707F1" w:rsidRDefault="000A51D5" w:rsidP="00681CD7">
      <w:pPr>
        <w:jc w:val="both"/>
        <w:rPr>
          <w:lang w:val="pl-PL"/>
        </w:rPr>
      </w:pPr>
      <w:r w:rsidRPr="003707F1">
        <w:rPr>
          <w:lang w:val="pl-PL"/>
        </w:rPr>
        <w:t xml:space="preserve">KNMIOF (2015). Wykaz urzędowych nazw miejscowości i ich części [List of official names </w:t>
      </w:r>
    </w:p>
    <w:p w14:paraId="44A54150" w14:textId="77777777" w:rsidR="000A51D5" w:rsidRPr="003707F1" w:rsidRDefault="000A51D5" w:rsidP="00681CD7">
      <w:pPr>
        <w:ind w:firstLine="720"/>
        <w:jc w:val="both"/>
      </w:pPr>
      <w:r w:rsidRPr="003707F1">
        <w:t xml:space="preserve">of places and their parts]. Available from: </w:t>
      </w:r>
    </w:p>
    <w:p w14:paraId="12C7867D" w14:textId="77777777" w:rsidR="000A51D5" w:rsidRPr="003707F1" w:rsidRDefault="00C224F2" w:rsidP="00681CD7">
      <w:pPr>
        <w:ind w:left="720"/>
        <w:jc w:val="both"/>
      </w:pPr>
      <w:hyperlink r:id="rId50" w:history="1">
        <w:r w:rsidR="000A51D5" w:rsidRPr="003707F1">
          <w:rPr>
            <w:rStyle w:val="Hyperlink"/>
          </w:rPr>
          <w:t>http://knmiof.mswia.gov.pl/kn/baza-nazw-miejscowosci/10466,Wykaz-urzedowych-nazw-miejscowosci-i-ich-czesci.html</w:t>
        </w:r>
      </w:hyperlink>
      <w:r w:rsidR="000A51D5" w:rsidRPr="003707F1">
        <w:t xml:space="preserve">, accessed on August 14, 2020. </w:t>
      </w:r>
    </w:p>
    <w:p w14:paraId="7BF0A63D" w14:textId="0EC1F9C3" w:rsidR="00A40A39" w:rsidRPr="003707F1" w:rsidRDefault="00A40A39" w:rsidP="00681CD7">
      <w:pPr>
        <w:jc w:val="both"/>
      </w:pPr>
      <w:proofErr w:type="spellStart"/>
      <w:r w:rsidRPr="003707F1">
        <w:t>Kramarczyk</w:t>
      </w:r>
      <w:proofErr w:type="spellEnd"/>
      <w:r w:rsidRPr="003707F1">
        <w:t xml:space="preserve">, J., &amp; </w:t>
      </w:r>
      <w:proofErr w:type="spellStart"/>
      <w:r w:rsidRPr="003707F1">
        <w:t>Alemany</w:t>
      </w:r>
      <w:proofErr w:type="spellEnd"/>
      <w:r w:rsidRPr="003707F1">
        <w:t xml:space="preserve"> Oliver, M. (2020). Accumulative vs. appreciative expressions of </w:t>
      </w:r>
    </w:p>
    <w:p w14:paraId="258FAD22" w14:textId="0DFD377E" w:rsidR="000A51D5" w:rsidRPr="003707F1" w:rsidRDefault="00A40A39" w:rsidP="00681CD7">
      <w:pPr>
        <w:ind w:left="720"/>
        <w:jc w:val="both"/>
        <w:rPr>
          <w:rStyle w:val="Hyperlink"/>
        </w:rPr>
      </w:pPr>
      <w:r w:rsidRPr="003707F1">
        <w:t xml:space="preserve">materialism: revising materialism </w:t>
      </w:r>
      <w:proofErr w:type="gramStart"/>
      <w:r w:rsidRPr="003707F1">
        <w:t>in light of</w:t>
      </w:r>
      <w:proofErr w:type="gramEnd"/>
      <w:r w:rsidRPr="003707F1">
        <w:t xml:space="preserve"> Polish simplifiers and new materialism. </w:t>
      </w:r>
      <w:r w:rsidRPr="003707F1">
        <w:rPr>
          <w:i/>
          <w:iCs/>
        </w:rPr>
        <w:t>Journal of Business Ethics</w:t>
      </w:r>
      <w:r w:rsidRPr="003707F1">
        <w:t xml:space="preserve">. </w:t>
      </w:r>
      <w:hyperlink r:id="rId51" w:history="1">
        <w:r w:rsidR="0092396B" w:rsidRPr="003707F1">
          <w:rPr>
            <w:rStyle w:val="Hyperlink"/>
          </w:rPr>
          <w:t>https://doi.org/10.1007/s10551-020-04628-9</w:t>
        </w:r>
      </w:hyperlink>
    </w:p>
    <w:p w14:paraId="4BAEB9BC" w14:textId="77777777" w:rsidR="00E60EEE" w:rsidRPr="003707F1" w:rsidRDefault="00771206" w:rsidP="00771206">
      <w:pPr>
        <w:jc w:val="both"/>
      </w:pPr>
      <w:r w:rsidRPr="003707F1">
        <w:t xml:space="preserve">Kristof, A. L. (1996). Person-organization fit: An integrative review of its conceptualizations, </w:t>
      </w:r>
    </w:p>
    <w:p w14:paraId="46469D10" w14:textId="3BD5A178" w:rsidR="00771206" w:rsidRPr="003707F1" w:rsidRDefault="00771206" w:rsidP="00E60EEE">
      <w:pPr>
        <w:ind w:left="720"/>
        <w:jc w:val="both"/>
      </w:pPr>
      <w:r w:rsidRPr="003707F1">
        <w:t>measurement, and</w:t>
      </w:r>
      <w:r w:rsidR="00E60EEE" w:rsidRPr="003707F1">
        <w:t xml:space="preserve"> </w:t>
      </w:r>
      <w:r w:rsidRPr="003707F1">
        <w:t xml:space="preserve">implications. </w:t>
      </w:r>
      <w:r w:rsidRPr="003707F1">
        <w:rPr>
          <w:i/>
          <w:iCs/>
        </w:rPr>
        <w:t>Personnel Psychology</w:t>
      </w:r>
      <w:r w:rsidRPr="003707F1">
        <w:t>,</w:t>
      </w:r>
      <w:r w:rsidR="00E60EEE" w:rsidRPr="003707F1">
        <w:t xml:space="preserve"> </w:t>
      </w:r>
      <w:r w:rsidRPr="003707F1">
        <w:t xml:space="preserve">49,1-49. </w:t>
      </w:r>
      <w:proofErr w:type="spellStart"/>
      <w:r w:rsidR="00E60EEE" w:rsidRPr="003707F1">
        <w:t>doi</w:t>
      </w:r>
      <w:proofErr w:type="spellEnd"/>
      <w:r w:rsidRPr="003707F1">
        <w:t xml:space="preserve">: </w:t>
      </w:r>
      <w:hyperlink r:id="rId52" w:history="1">
        <w:r w:rsidR="00E60EEE" w:rsidRPr="003707F1">
          <w:rPr>
            <w:rStyle w:val="Hyperlink"/>
          </w:rPr>
          <w:t>https://doi.org/10.1111/j.1744-6570.1996.tb01790.x</w:t>
        </w:r>
      </w:hyperlink>
    </w:p>
    <w:p w14:paraId="3609EA4C" w14:textId="77777777" w:rsidR="0092396B" w:rsidRPr="003707F1" w:rsidRDefault="0092396B" w:rsidP="00681CD7">
      <w:pPr>
        <w:jc w:val="both"/>
        <w:rPr>
          <w:lang w:val="en-GB"/>
        </w:rPr>
      </w:pPr>
      <w:proofErr w:type="spellStart"/>
      <w:r w:rsidRPr="003707F1">
        <w:rPr>
          <w:lang w:val="en-GB"/>
        </w:rPr>
        <w:t>Kuanr</w:t>
      </w:r>
      <w:proofErr w:type="spellEnd"/>
      <w:r w:rsidRPr="003707F1">
        <w:rPr>
          <w:lang w:val="en-GB"/>
        </w:rPr>
        <w:t xml:space="preserve">, A., Israel, D., Pradhan, D., &amp; Roy Chaudhuri, H. (2020). Can we anti‐consume our way </w:t>
      </w:r>
    </w:p>
    <w:p w14:paraId="5684D719" w14:textId="30E5086C" w:rsidR="0092396B" w:rsidRPr="003707F1" w:rsidRDefault="0092396B" w:rsidP="00681CD7">
      <w:pPr>
        <w:ind w:left="720"/>
        <w:jc w:val="both"/>
        <w:rPr>
          <w:lang w:val="en-GB"/>
        </w:rPr>
      </w:pPr>
      <w:r w:rsidRPr="003707F1">
        <w:rPr>
          <w:lang w:val="en-GB"/>
        </w:rPr>
        <w:t xml:space="preserve">to sustainability? Finding answers at the intersection of cultural values. </w:t>
      </w:r>
      <w:r w:rsidRPr="003707F1">
        <w:rPr>
          <w:i/>
          <w:iCs/>
          <w:lang w:val="en-GB"/>
        </w:rPr>
        <w:t>Journal of Consumer Behaviour</w:t>
      </w:r>
      <w:r w:rsidRPr="003707F1">
        <w:rPr>
          <w:lang w:val="en-GB"/>
        </w:rPr>
        <w:t>.</w:t>
      </w:r>
      <w:r w:rsidR="00E60EEE" w:rsidRPr="003707F1">
        <w:rPr>
          <w:lang w:val="en-GB"/>
        </w:rPr>
        <w:t xml:space="preserve"> 1-14</w:t>
      </w:r>
      <w:r w:rsidR="00E60EEE" w:rsidRPr="003707F1">
        <w:rPr>
          <w:i/>
          <w:iCs/>
          <w:lang w:val="en-GB"/>
        </w:rPr>
        <w:t>,</w:t>
      </w:r>
      <w:r w:rsidRPr="003707F1">
        <w:rPr>
          <w:i/>
          <w:iCs/>
          <w:lang w:val="en-GB"/>
        </w:rPr>
        <w:t xml:space="preserve"> </w:t>
      </w:r>
      <w:proofErr w:type="spellStart"/>
      <w:r w:rsidR="00E60EEE" w:rsidRPr="003707F1">
        <w:rPr>
          <w:lang w:val="en-GB"/>
        </w:rPr>
        <w:t>d</w:t>
      </w:r>
      <w:r w:rsidRPr="003707F1">
        <w:rPr>
          <w:lang w:val="en-GB"/>
        </w:rPr>
        <w:t>oi</w:t>
      </w:r>
      <w:proofErr w:type="spellEnd"/>
      <w:r w:rsidRPr="003707F1">
        <w:rPr>
          <w:lang w:val="en-GB"/>
        </w:rPr>
        <w:t xml:space="preserve">: </w:t>
      </w:r>
      <w:hyperlink r:id="rId53" w:history="1">
        <w:r w:rsidR="00E60EEE" w:rsidRPr="003707F1">
          <w:rPr>
            <w:rStyle w:val="Hyperlink"/>
            <w:lang w:val="en-GB"/>
          </w:rPr>
          <w:t>https://doi.org/10.1002/cb.1914</w:t>
        </w:r>
      </w:hyperlink>
      <w:r w:rsidR="00E60EEE" w:rsidRPr="003707F1">
        <w:rPr>
          <w:lang w:val="en-GB"/>
        </w:rPr>
        <w:t xml:space="preserve"> </w:t>
      </w:r>
    </w:p>
    <w:p w14:paraId="12B554CF" w14:textId="77777777" w:rsidR="00DC3DB3" w:rsidRPr="003707F1" w:rsidRDefault="00DC3DB3" w:rsidP="00DC3DB3">
      <w:r w:rsidRPr="003707F1">
        <w:t xml:space="preserve">Kuo, A., &amp; Rice, D. H. (2015). The impact of perceptual congruence on the effectiveness of </w:t>
      </w:r>
    </w:p>
    <w:p w14:paraId="5D80EDB3" w14:textId="51833C26" w:rsidR="00DC3DB3" w:rsidRPr="003707F1" w:rsidRDefault="00DC3DB3" w:rsidP="00DC3DB3">
      <w:pPr>
        <w:ind w:left="720"/>
      </w:pPr>
      <w:r w:rsidRPr="003707F1">
        <w:t xml:space="preserve">cause-related marketing campaigns. </w:t>
      </w:r>
      <w:r w:rsidRPr="003707F1">
        <w:rPr>
          <w:i/>
          <w:iCs/>
        </w:rPr>
        <w:t>Journal of Consumer Psychology</w:t>
      </w:r>
      <w:r w:rsidRPr="003707F1">
        <w:t xml:space="preserve">, 25(1), 78-88. </w:t>
      </w:r>
      <w:proofErr w:type="spellStart"/>
      <w:r w:rsidRPr="003707F1">
        <w:t>doi</w:t>
      </w:r>
      <w:proofErr w:type="spellEnd"/>
      <w:r w:rsidRPr="003707F1">
        <w:t xml:space="preserve">: </w:t>
      </w:r>
      <w:hyperlink r:id="rId54" w:history="1">
        <w:r w:rsidRPr="003707F1">
          <w:rPr>
            <w:rStyle w:val="Hyperlink"/>
          </w:rPr>
          <w:t>https://doi.org/10.1016/j.jcps.2014.06.002</w:t>
        </w:r>
      </w:hyperlink>
      <w:r w:rsidRPr="003707F1">
        <w:t xml:space="preserve"> </w:t>
      </w:r>
    </w:p>
    <w:p w14:paraId="4F355208" w14:textId="77777777" w:rsidR="0031080D" w:rsidRPr="003707F1" w:rsidRDefault="0031080D" w:rsidP="00681CD7">
      <w:pPr>
        <w:jc w:val="both"/>
      </w:pPr>
      <w:proofErr w:type="spellStart"/>
      <w:r w:rsidRPr="003707F1">
        <w:t>Lasarov</w:t>
      </w:r>
      <w:proofErr w:type="spellEnd"/>
      <w:r w:rsidRPr="003707F1">
        <w:t xml:space="preserve">, W., Mai, R., de </w:t>
      </w:r>
      <w:proofErr w:type="spellStart"/>
      <w:r w:rsidRPr="003707F1">
        <w:t>Frutos</w:t>
      </w:r>
      <w:proofErr w:type="spellEnd"/>
      <w:r w:rsidRPr="003707F1">
        <w:t xml:space="preserve">, N. G., </w:t>
      </w:r>
      <w:proofErr w:type="spellStart"/>
      <w:r w:rsidRPr="003707F1">
        <w:t>Egea</w:t>
      </w:r>
      <w:proofErr w:type="spellEnd"/>
      <w:r w:rsidRPr="003707F1">
        <w:t xml:space="preserve">, J. M. O., &amp; Hoffmann, S. (2019). Counter-arguing </w:t>
      </w:r>
    </w:p>
    <w:p w14:paraId="417BCEAC" w14:textId="77777777" w:rsidR="0031080D" w:rsidRPr="003707F1" w:rsidRDefault="0031080D" w:rsidP="00681CD7">
      <w:pPr>
        <w:ind w:firstLine="720"/>
        <w:jc w:val="both"/>
      </w:pPr>
      <w:r w:rsidRPr="003707F1">
        <w:t xml:space="preserve">as barriers to environmentally motivated consumption reduction: A multi-country </w:t>
      </w:r>
    </w:p>
    <w:p w14:paraId="38C3FF5B" w14:textId="1C848705" w:rsidR="0031080D" w:rsidRPr="003707F1" w:rsidRDefault="0031080D" w:rsidP="00E60EEE">
      <w:pPr>
        <w:ind w:left="720"/>
        <w:jc w:val="both"/>
      </w:pPr>
      <w:r w:rsidRPr="003707F1">
        <w:t xml:space="preserve">study. </w:t>
      </w:r>
      <w:r w:rsidRPr="003707F1">
        <w:rPr>
          <w:i/>
          <w:iCs/>
        </w:rPr>
        <w:t>International Journal of Research in Marketing</w:t>
      </w:r>
      <w:r w:rsidRPr="003707F1">
        <w:t>, 36(2), 281-305.</w:t>
      </w:r>
      <w:r w:rsidR="00E60EEE" w:rsidRPr="003707F1">
        <w:t xml:space="preserve"> </w:t>
      </w:r>
      <w:proofErr w:type="spellStart"/>
      <w:r w:rsidR="00E60EEE" w:rsidRPr="003707F1">
        <w:t>doi</w:t>
      </w:r>
      <w:proofErr w:type="spellEnd"/>
      <w:r w:rsidR="00E60EEE" w:rsidRPr="003707F1">
        <w:t xml:space="preserve">: </w:t>
      </w:r>
      <w:hyperlink r:id="rId55" w:history="1">
        <w:r w:rsidR="00E60EEE" w:rsidRPr="003707F1">
          <w:rPr>
            <w:rStyle w:val="Hyperlink"/>
          </w:rPr>
          <w:t>https://doi.org/10.1016/j.ijresmar.2018.11.005</w:t>
        </w:r>
      </w:hyperlink>
      <w:r w:rsidR="00E60EEE" w:rsidRPr="003707F1">
        <w:t xml:space="preserve"> </w:t>
      </w:r>
    </w:p>
    <w:p w14:paraId="2FB29668" w14:textId="7F7CC0B4" w:rsidR="00773735" w:rsidRPr="003707F1" w:rsidRDefault="00773735" w:rsidP="00063004">
      <w:pPr>
        <w:jc w:val="both"/>
        <w:rPr>
          <w:lang w:val="pl-PL"/>
        </w:rPr>
      </w:pPr>
      <w:r w:rsidRPr="003707F1">
        <w:t xml:space="preserve">Laws, K.R. (2016) Psychology, replication &amp; beyond. </w:t>
      </w:r>
      <w:r w:rsidRPr="003707F1">
        <w:rPr>
          <w:i/>
          <w:iCs/>
          <w:lang w:val="pl-PL"/>
        </w:rPr>
        <w:t>BMC Psychol</w:t>
      </w:r>
      <w:r w:rsidR="00633993" w:rsidRPr="003707F1">
        <w:rPr>
          <w:i/>
          <w:iCs/>
          <w:lang w:val="pl-PL"/>
        </w:rPr>
        <w:t>ogy</w:t>
      </w:r>
      <w:r w:rsidRPr="003707F1">
        <w:rPr>
          <w:lang w:val="pl-PL"/>
        </w:rPr>
        <w:t xml:space="preserve"> 4, 30</w:t>
      </w:r>
      <w:r w:rsidR="00E60EEE" w:rsidRPr="003707F1">
        <w:rPr>
          <w:lang w:val="pl-PL"/>
        </w:rPr>
        <w:t xml:space="preserve">. doi: </w:t>
      </w:r>
    </w:p>
    <w:p w14:paraId="25CC6BBA" w14:textId="40F5B653" w:rsidR="00773735" w:rsidRPr="003707F1" w:rsidRDefault="00C224F2" w:rsidP="00063004">
      <w:pPr>
        <w:ind w:firstLine="720"/>
        <w:jc w:val="both"/>
        <w:rPr>
          <w:lang w:val="pl-PL"/>
        </w:rPr>
      </w:pPr>
      <w:hyperlink r:id="rId56" w:history="1">
        <w:r w:rsidR="00767089" w:rsidRPr="003707F1">
          <w:rPr>
            <w:rStyle w:val="Hyperlink"/>
            <w:lang w:val="pl-PL"/>
          </w:rPr>
          <w:t>https://doi.org/10.1186/s40359-016-0135-2</w:t>
        </w:r>
      </w:hyperlink>
    </w:p>
    <w:p w14:paraId="27FCA980" w14:textId="6E0AC87B" w:rsidR="000E11DF" w:rsidRPr="003707F1" w:rsidRDefault="00767089" w:rsidP="00767089">
      <w:pPr>
        <w:jc w:val="both"/>
      </w:pPr>
      <w:r w:rsidRPr="003707F1">
        <w:t xml:space="preserve">Lee, Y. J., &amp; Haley, E. (2020). How </w:t>
      </w:r>
      <w:r w:rsidR="000E11DF" w:rsidRPr="003707F1">
        <w:t>d</w:t>
      </w:r>
      <w:r w:rsidRPr="003707F1">
        <w:t xml:space="preserve">o </w:t>
      </w:r>
      <w:r w:rsidR="000E11DF" w:rsidRPr="003707F1">
        <w:t>g</w:t>
      </w:r>
      <w:r w:rsidRPr="003707F1">
        <w:t xml:space="preserve">enerational </w:t>
      </w:r>
      <w:r w:rsidR="000E11DF" w:rsidRPr="003707F1">
        <w:t>d</w:t>
      </w:r>
      <w:r w:rsidRPr="003707F1">
        <w:t xml:space="preserve">ifferences </w:t>
      </w:r>
      <w:r w:rsidR="000E11DF" w:rsidRPr="003707F1">
        <w:t>d</w:t>
      </w:r>
      <w:r w:rsidRPr="003707F1">
        <w:t xml:space="preserve">rive </w:t>
      </w:r>
      <w:r w:rsidR="000E11DF" w:rsidRPr="003707F1">
        <w:t>r</w:t>
      </w:r>
      <w:r w:rsidRPr="003707F1">
        <w:t xml:space="preserve">esponse to </w:t>
      </w:r>
      <w:proofErr w:type="gramStart"/>
      <w:r w:rsidR="000E11DF" w:rsidRPr="003707F1">
        <w:t>s</w:t>
      </w:r>
      <w:r w:rsidRPr="003707F1">
        <w:t>ocial-</w:t>
      </w:r>
      <w:proofErr w:type="gramEnd"/>
    </w:p>
    <w:p w14:paraId="14E30EC7" w14:textId="2F3D5B42" w:rsidR="00767089" w:rsidRPr="003707F1" w:rsidRDefault="000E11DF" w:rsidP="000E11DF">
      <w:pPr>
        <w:ind w:left="720"/>
        <w:jc w:val="both"/>
      </w:pPr>
      <w:r w:rsidRPr="003707F1">
        <w:t>i</w:t>
      </w:r>
      <w:r w:rsidR="00767089" w:rsidRPr="003707F1">
        <w:t xml:space="preserve">ssue </w:t>
      </w:r>
      <w:proofErr w:type="gramStart"/>
      <w:r w:rsidRPr="003707F1">
        <w:t>a</w:t>
      </w:r>
      <w:r w:rsidR="00767089" w:rsidRPr="003707F1">
        <w:t>ds?:</w:t>
      </w:r>
      <w:proofErr w:type="gramEnd"/>
      <w:r w:rsidR="00767089" w:rsidRPr="003707F1">
        <w:t xml:space="preserve"> The </w:t>
      </w:r>
      <w:r w:rsidRPr="003707F1">
        <w:t>e</w:t>
      </w:r>
      <w:r w:rsidR="00767089" w:rsidRPr="003707F1">
        <w:t xml:space="preserve">ffect of </w:t>
      </w:r>
      <w:r w:rsidRPr="003707F1">
        <w:t>v</w:t>
      </w:r>
      <w:r w:rsidR="00767089" w:rsidRPr="003707F1">
        <w:t xml:space="preserve">alue </w:t>
      </w:r>
      <w:r w:rsidRPr="003707F1">
        <w:t>o</w:t>
      </w:r>
      <w:r w:rsidR="00767089" w:rsidRPr="003707F1">
        <w:t xml:space="preserve">rientations </w:t>
      </w:r>
      <w:r w:rsidRPr="003707F1">
        <w:t>a</w:t>
      </w:r>
      <w:r w:rsidR="00767089" w:rsidRPr="003707F1">
        <w:t xml:space="preserve">cross </w:t>
      </w:r>
      <w:r w:rsidRPr="003707F1">
        <w:t>g</w:t>
      </w:r>
      <w:r w:rsidR="00767089" w:rsidRPr="003707F1">
        <w:t xml:space="preserve">enerations in the US. </w:t>
      </w:r>
      <w:r w:rsidR="00767089" w:rsidRPr="003707F1">
        <w:rPr>
          <w:i/>
          <w:iCs/>
        </w:rPr>
        <w:t xml:space="preserve">Journal </w:t>
      </w:r>
      <w:proofErr w:type="gramStart"/>
      <w:r w:rsidR="00767089" w:rsidRPr="003707F1">
        <w:rPr>
          <w:i/>
          <w:iCs/>
        </w:rPr>
        <w:t xml:space="preserve">of </w:t>
      </w:r>
      <w:r w:rsidRPr="003707F1">
        <w:rPr>
          <w:i/>
          <w:iCs/>
        </w:rPr>
        <w:t xml:space="preserve"> </w:t>
      </w:r>
      <w:r w:rsidR="00767089" w:rsidRPr="003707F1">
        <w:rPr>
          <w:i/>
          <w:iCs/>
        </w:rPr>
        <w:t>Advertising</w:t>
      </w:r>
      <w:proofErr w:type="gramEnd"/>
      <w:r w:rsidR="00767089" w:rsidRPr="003707F1">
        <w:rPr>
          <w:i/>
          <w:iCs/>
        </w:rPr>
        <w:t xml:space="preserve"> Research</w:t>
      </w:r>
      <w:r w:rsidR="00767089" w:rsidRPr="003707F1">
        <w:t xml:space="preserve">, </w:t>
      </w:r>
      <w:r w:rsidR="00767089" w:rsidRPr="003707F1">
        <w:rPr>
          <w:i/>
          <w:iCs/>
        </w:rPr>
        <w:t>60</w:t>
      </w:r>
      <w:r w:rsidR="00767089" w:rsidRPr="003707F1">
        <w:t>(3), 271-289.</w:t>
      </w:r>
      <w:r w:rsidRPr="003707F1">
        <w:t xml:space="preserve"> </w:t>
      </w:r>
      <w:proofErr w:type="spellStart"/>
      <w:r w:rsidRPr="003707F1">
        <w:t>doi</w:t>
      </w:r>
      <w:proofErr w:type="spellEnd"/>
      <w:r w:rsidRPr="003707F1">
        <w:t xml:space="preserve">: </w:t>
      </w:r>
      <w:r w:rsidRPr="003707F1">
        <w:rPr>
          <w:rStyle w:val="highwire-cite-metadata-doi"/>
        </w:rPr>
        <w:t xml:space="preserve">10.2501/JAR-2019-013 </w:t>
      </w:r>
    </w:p>
    <w:p w14:paraId="57484A24" w14:textId="78C5BD33" w:rsidR="00BC2E2E" w:rsidRPr="003707F1" w:rsidRDefault="0018210E" w:rsidP="00681CD7">
      <w:pPr>
        <w:jc w:val="both"/>
      </w:pPr>
      <w:r w:rsidRPr="003707F1">
        <w:rPr>
          <w:lang w:val="en-GB"/>
        </w:rPr>
        <w:t xml:space="preserve">Martin, I. M., &amp; Stewart, D. W. (2001). </w:t>
      </w:r>
      <w:r w:rsidRPr="003707F1">
        <w:t xml:space="preserve">The </w:t>
      </w:r>
      <w:r w:rsidR="00672AF6" w:rsidRPr="003707F1">
        <w:t>d</w:t>
      </w:r>
      <w:r w:rsidRPr="003707F1">
        <w:t xml:space="preserve">ifferential </w:t>
      </w:r>
      <w:r w:rsidR="00672AF6" w:rsidRPr="003707F1">
        <w:t>i</w:t>
      </w:r>
      <w:r w:rsidRPr="003707F1">
        <w:t xml:space="preserve">mpact of </w:t>
      </w:r>
      <w:r w:rsidR="00672AF6" w:rsidRPr="003707F1">
        <w:t>g</w:t>
      </w:r>
      <w:r w:rsidRPr="003707F1">
        <w:t xml:space="preserve">oal </w:t>
      </w:r>
      <w:r w:rsidR="00672AF6" w:rsidRPr="003707F1">
        <w:t>c</w:t>
      </w:r>
      <w:r w:rsidRPr="003707F1">
        <w:t xml:space="preserve">ongruency on </w:t>
      </w:r>
    </w:p>
    <w:p w14:paraId="4695F8EF" w14:textId="2A0F4D81" w:rsidR="00BC2E2E" w:rsidRPr="003707F1" w:rsidRDefault="00672AF6" w:rsidP="00681CD7">
      <w:pPr>
        <w:ind w:firstLine="720"/>
        <w:jc w:val="both"/>
      </w:pPr>
      <w:r w:rsidRPr="003707F1">
        <w:t>a</w:t>
      </w:r>
      <w:r w:rsidR="0018210E" w:rsidRPr="003707F1">
        <w:t xml:space="preserve">ttitudes, </w:t>
      </w:r>
      <w:r w:rsidRPr="003707F1">
        <w:t>i</w:t>
      </w:r>
      <w:r w:rsidR="0018210E" w:rsidRPr="003707F1">
        <w:t xml:space="preserve">ntentions, and the </w:t>
      </w:r>
      <w:r w:rsidRPr="003707F1">
        <w:t>t</w:t>
      </w:r>
      <w:r w:rsidR="0018210E" w:rsidRPr="003707F1">
        <w:t xml:space="preserve">ransfer of </w:t>
      </w:r>
      <w:r w:rsidRPr="003707F1">
        <w:t>b</w:t>
      </w:r>
      <w:r w:rsidR="0018210E" w:rsidRPr="003707F1">
        <w:t xml:space="preserve">rand </w:t>
      </w:r>
      <w:r w:rsidRPr="003707F1">
        <w:t>e</w:t>
      </w:r>
      <w:r w:rsidR="0018210E" w:rsidRPr="003707F1">
        <w:t xml:space="preserve">quity. </w:t>
      </w:r>
      <w:r w:rsidR="0018210E" w:rsidRPr="003707F1">
        <w:rPr>
          <w:i/>
          <w:iCs/>
        </w:rPr>
        <w:t>Journal of Marketing Research</w:t>
      </w:r>
      <w:r w:rsidR="0018210E" w:rsidRPr="003707F1">
        <w:t xml:space="preserve">, </w:t>
      </w:r>
    </w:p>
    <w:p w14:paraId="445C0C1B" w14:textId="179CE2FF" w:rsidR="0018210E" w:rsidRPr="003707F1" w:rsidRDefault="0018210E" w:rsidP="00681CD7">
      <w:pPr>
        <w:ind w:firstLine="720"/>
        <w:jc w:val="both"/>
        <w:rPr>
          <w:lang w:val="en-GB"/>
        </w:rPr>
      </w:pPr>
      <w:r w:rsidRPr="003707F1">
        <w:rPr>
          <w:lang w:val="en-GB"/>
        </w:rPr>
        <w:t>38(4), 471–484.</w:t>
      </w:r>
      <w:r w:rsidR="00652FD8" w:rsidRPr="003707F1">
        <w:rPr>
          <w:lang w:val="en-GB"/>
        </w:rPr>
        <w:t xml:space="preserve"> </w:t>
      </w:r>
      <w:proofErr w:type="spellStart"/>
      <w:r w:rsidR="00652FD8" w:rsidRPr="003707F1">
        <w:rPr>
          <w:lang w:val="en-GB"/>
        </w:rPr>
        <w:t>doi</w:t>
      </w:r>
      <w:proofErr w:type="spellEnd"/>
      <w:r w:rsidR="00652FD8" w:rsidRPr="003707F1">
        <w:rPr>
          <w:lang w:val="en-GB"/>
        </w:rPr>
        <w:t>:</w:t>
      </w:r>
      <w:r w:rsidRPr="003707F1">
        <w:rPr>
          <w:lang w:val="en-GB"/>
        </w:rPr>
        <w:t xml:space="preserve"> </w:t>
      </w:r>
      <w:hyperlink r:id="rId57" w:history="1">
        <w:r w:rsidR="00773735" w:rsidRPr="003707F1">
          <w:rPr>
            <w:rStyle w:val="Hyperlink"/>
            <w:lang w:val="en-GB"/>
          </w:rPr>
          <w:t>https://doi.org/10.1509/jmkr.38.4.471.18912</w:t>
        </w:r>
      </w:hyperlink>
    </w:p>
    <w:p w14:paraId="5614D47D" w14:textId="77777777" w:rsidR="00773735" w:rsidRPr="003707F1" w:rsidRDefault="00773735" w:rsidP="00063004">
      <w:pPr>
        <w:jc w:val="both"/>
      </w:pPr>
      <w:r w:rsidRPr="003707F1">
        <w:t xml:space="preserve">Maxwell, S. E., Lau, M. Y., &amp; Howard, G. S. (2015). Is psychology suffering from a </w:t>
      </w:r>
    </w:p>
    <w:p w14:paraId="43EC284A" w14:textId="0400A9BC" w:rsidR="00773735" w:rsidRPr="003707F1" w:rsidRDefault="00773735" w:rsidP="00063004">
      <w:pPr>
        <w:ind w:left="720"/>
        <w:jc w:val="both"/>
      </w:pPr>
      <w:r w:rsidRPr="003707F1">
        <w:t xml:space="preserve">replication crisis? What does “failure to replicate” really mean? </w:t>
      </w:r>
      <w:r w:rsidRPr="003707F1">
        <w:rPr>
          <w:i/>
          <w:iCs/>
        </w:rPr>
        <w:t>American Psychologist</w:t>
      </w:r>
      <w:r w:rsidRPr="003707F1">
        <w:t>, 70(6), 487–498.</w:t>
      </w:r>
      <w:r w:rsidR="00652FD8" w:rsidRPr="003707F1">
        <w:t xml:space="preserve"> </w:t>
      </w:r>
      <w:proofErr w:type="spellStart"/>
      <w:r w:rsidR="00652FD8" w:rsidRPr="003707F1">
        <w:t>doi</w:t>
      </w:r>
      <w:proofErr w:type="spellEnd"/>
      <w:r w:rsidR="00652FD8" w:rsidRPr="003707F1">
        <w:t>:</w:t>
      </w:r>
      <w:r w:rsidRPr="003707F1">
        <w:t xml:space="preserve"> </w:t>
      </w:r>
      <w:hyperlink r:id="rId58" w:history="1">
        <w:r w:rsidR="000B41CF" w:rsidRPr="003707F1">
          <w:rPr>
            <w:rStyle w:val="Hyperlink"/>
          </w:rPr>
          <w:t>https://doi.org/10.1037/a0039400</w:t>
        </w:r>
      </w:hyperlink>
    </w:p>
    <w:p w14:paraId="20F833FF" w14:textId="77777777" w:rsidR="000B41CF" w:rsidRPr="003707F1" w:rsidRDefault="000B41CF" w:rsidP="000B41CF">
      <w:proofErr w:type="spellStart"/>
      <w:r w:rsidRPr="003707F1">
        <w:t>Milfont</w:t>
      </w:r>
      <w:proofErr w:type="spellEnd"/>
      <w:r w:rsidRPr="003707F1">
        <w:t xml:space="preserve">, T. L., Osborne, D., </w:t>
      </w:r>
      <w:proofErr w:type="spellStart"/>
      <w:r w:rsidRPr="003707F1">
        <w:t>Yogeeswaran</w:t>
      </w:r>
      <w:proofErr w:type="spellEnd"/>
      <w:r w:rsidRPr="003707F1">
        <w:t xml:space="preserve">, K., &amp; Sibley, C. G. (2020). The role of national </w:t>
      </w:r>
    </w:p>
    <w:p w14:paraId="6C0A7B0E" w14:textId="54A818E9" w:rsidR="000B41CF" w:rsidRPr="003707F1" w:rsidRDefault="000B41CF" w:rsidP="000B41CF">
      <w:pPr>
        <w:ind w:left="720"/>
      </w:pPr>
      <w:r w:rsidRPr="003707F1">
        <w:t xml:space="preserve">identity in collective pro-environmental action. </w:t>
      </w:r>
      <w:r w:rsidRPr="003707F1">
        <w:rPr>
          <w:i/>
          <w:iCs/>
        </w:rPr>
        <w:t>Journal of Environmental Psychology</w:t>
      </w:r>
      <w:r w:rsidRPr="003707F1">
        <w:t xml:space="preserve">, 72, 101522. </w:t>
      </w:r>
      <w:proofErr w:type="spellStart"/>
      <w:r w:rsidR="00652FD8" w:rsidRPr="003707F1">
        <w:t>doi</w:t>
      </w:r>
      <w:proofErr w:type="spellEnd"/>
      <w:r w:rsidR="00652FD8" w:rsidRPr="003707F1">
        <w:t xml:space="preserve">: </w:t>
      </w:r>
      <w:hyperlink r:id="rId59" w:tgtFrame="_blank" w:tooltip="Persistent link using digital object identifier" w:history="1">
        <w:r w:rsidR="00652FD8" w:rsidRPr="003707F1">
          <w:rPr>
            <w:rStyle w:val="Hyperlink"/>
          </w:rPr>
          <w:t>https://doi.org/10.1016/j.jenvp.2020.101522</w:t>
        </w:r>
      </w:hyperlink>
      <w:r w:rsidR="00652FD8" w:rsidRPr="003707F1">
        <w:t xml:space="preserve"> </w:t>
      </w:r>
    </w:p>
    <w:p w14:paraId="3430D251" w14:textId="3C0B9523" w:rsidR="001C16BC" w:rsidRPr="003707F1" w:rsidRDefault="001C16BC" w:rsidP="00681CD7">
      <w:pPr>
        <w:jc w:val="both"/>
      </w:pPr>
      <w:r w:rsidRPr="003707F1">
        <w:rPr>
          <w:lang w:val="pl-PL"/>
        </w:rPr>
        <w:t>Mutum, D. S., Ghazali, E. M., &amp; Wei‐Pin, W. (202</w:t>
      </w:r>
      <w:r w:rsidR="00652FD8" w:rsidRPr="003707F1">
        <w:rPr>
          <w:lang w:val="pl-PL"/>
        </w:rPr>
        <w:t>1</w:t>
      </w:r>
      <w:r w:rsidRPr="003707F1">
        <w:rPr>
          <w:lang w:val="pl-PL"/>
        </w:rPr>
        <w:t xml:space="preserve">). </w:t>
      </w:r>
      <w:r w:rsidRPr="003707F1">
        <w:t xml:space="preserve">Parallel mediation effect of consumption </w:t>
      </w:r>
    </w:p>
    <w:p w14:paraId="5863380D" w14:textId="77777777" w:rsidR="001C16BC" w:rsidRPr="003707F1" w:rsidRDefault="001C16BC" w:rsidP="00681CD7">
      <w:pPr>
        <w:ind w:firstLine="720"/>
        <w:jc w:val="both"/>
      </w:pPr>
      <w:r w:rsidRPr="003707F1">
        <w:t xml:space="preserve">values and the moderation effect of innovativeness, in predicting the influence of </w:t>
      </w:r>
    </w:p>
    <w:p w14:paraId="09520362" w14:textId="75D77FBD" w:rsidR="001C16BC" w:rsidRPr="003707F1" w:rsidRDefault="001C16BC" w:rsidP="00652FD8">
      <w:pPr>
        <w:ind w:left="720"/>
        <w:jc w:val="both"/>
      </w:pPr>
      <w:r w:rsidRPr="003707F1">
        <w:lastRenderedPageBreak/>
        <w:t xml:space="preserve">identity on green purchasing </w:t>
      </w:r>
      <w:proofErr w:type="spellStart"/>
      <w:r w:rsidRPr="003707F1">
        <w:t>behavior</w:t>
      </w:r>
      <w:proofErr w:type="spellEnd"/>
      <w:r w:rsidRPr="003707F1">
        <w:t xml:space="preserve">. </w:t>
      </w:r>
      <w:r w:rsidRPr="003707F1">
        <w:rPr>
          <w:i/>
          <w:iCs/>
        </w:rPr>
        <w:t>Journal of Consumer Behaviour</w:t>
      </w:r>
      <w:r w:rsidRPr="003707F1">
        <w:t>.</w:t>
      </w:r>
      <w:r w:rsidR="00652FD8" w:rsidRPr="003707F1">
        <w:t xml:space="preserve"> 1-18, </w:t>
      </w:r>
      <w:proofErr w:type="spellStart"/>
      <w:r w:rsidR="00652FD8" w:rsidRPr="003707F1">
        <w:t>doi</w:t>
      </w:r>
      <w:proofErr w:type="spellEnd"/>
      <w:r w:rsidR="00652FD8" w:rsidRPr="003707F1">
        <w:t xml:space="preserve">: </w:t>
      </w:r>
      <w:hyperlink r:id="rId60" w:history="1">
        <w:r w:rsidR="00652FD8" w:rsidRPr="003707F1">
          <w:rPr>
            <w:rStyle w:val="Hyperlink"/>
          </w:rPr>
          <w:t>https://doi.org/10.1002/cb.1913</w:t>
        </w:r>
      </w:hyperlink>
      <w:r w:rsidR="00652FD8" w:rsidRPr="003707F1">
        <w:t xml:space="preserve"> </w:t>
      </w:r>
    </w:p>
    <w:p w14:paraId="2A99030F" w14:textId="77777777" w:rsidR="00865847" w:rsidRPr="003707F1" w:rsidRDefault="00BE01E5" w:rsidP="00681CD7">
      <w:pPr>
        <w:jc w:val="both"/>
      </w:pPr>
      <w:r w:rsidRPr="003707F1">
        <w:t xml:space="preserve">Nadler, D., &amp; </w:t>
      </w:r>
      <w:proofErr w:type="spellStart"/>
      <w:r w:rsidRPr="003707F1">
        <w:t>Tushman</w:t>
      </w:r>
      <w:proofErr w:type="spellEnd"/>
      <w:r w:rsidRPr="003707F1">
        <w:t xml:space="preserve">, M. (1980). A diagnostic model for organizational </w:t>
      </w:r>
      <w:proofErr w:type="spellStart"/>
      <w:r w:rsidRPr="003707F1">
        <w:t>behavior</w:t>
      </w:r>
      <w:proofErr w:type="spellEnd"/>
      <w:r w:rsidRPr="003707F1">
        <w:t xml:space="preserve">. In J. R. </w:t>
      </w:r>
    </w:p>
    <w:p w14:paraId="127F65D4" w14:textId="7EC64ED5" w:rsidR="00BE01E5" w:rsidRPr="003707F1" w:rsidRDefault="00BE01E5" w:rsidP="00681CD7">
      <w:pPr>
        <w:ind w:left="720"/>
        <w:jc w:val="both"/>
      </w:pPr>
      <w:r w:rsidRPr="003707F1">
        <w:t xml:space="preserve">Hackman et al. (Eds.), </w:t>
      </w:r>
      <w:r w:rsidRPr="003707F1">
        <w:rPr>
          <w:i/>
          <w:iCs/>
        </w:rPr>
        <w:t xml:space="preserve">Perspectives on </w:t>
      </w:r>
      <w:proofErr w:type="spellStart"/>
      <w:r w:rsidRPr="003707F1">
        <w:rPr>
          <w:i/>
          <w:iCs/>
        </w:rPr>
        <w:t>behavior</w:t>
      </w:r>
      <w:proofErr w:type="spellEnd"/>
      <w:r w:rsidRPr="003707F1">
        <w:rPr>
          <w:i/>
          <w:iCs/>
        </w:rPr>
        <w:t xml:space="preserve"> in organizations</w:t>
      </w:r>
      <w:r w:rsidRPr="003707F1">
        <w:t xml:space="preserve"> (pp. 83–100). New York: McGraw Hill.</w:t>
      </w:r>
    </w:p>
    <w:p w14:paraId="7CC71518" w14:textId="77777777" w:rsidR="00C748EA" w:rsidRPr="003707F1" w:rsidRDefault="00C748EA" w:rsidP="00C748EA">
      <w:r w:rsidRPr="003707F1">
        <w:t xml:space="preserve">Nelson, M. R., &amp; </w:t>
      </w:r>
      <w:proofErr w:type="spellStart"/>
      <w:r w:rsidRPr="003707F1">
        <w:t>Shavitt</w:t>
      </w:r>
      <w:proofErr w:type="spellEnd"/>
      <w:r w:rsidRPr="003707F1">
        <w:t xml:space="preserve">, S. (2002). Horizontal and vertical individualism and achievement </w:t>
      </w:r>
    </w:p>
    <w:p w14:paraId="04F1177B" w14:textId="77777777" w:rsidR="00C748EA" w:rsidRPr="003707F1" w:rsidRDefault="00C748EA" w:rsidP="00C748EA">
      <w:pPr>
        <w:ind w:firstLine="720"/>
        <w:rPr>
          <w:i/>
          <w:iCs/>
        </w:rPr>
      </w:pPr>
      <w:r w:rsidRPr="003707F1">
        <w:t xml:space="preserve">values: A multimethod examination of Denmark and the United States. </w:t>
      </w:r>
      <w:r w:rsidRPr="003707F1">
        <w:rPr>
          <w:i/>
          <w:iCs/>
        </w:rPr>
        <w:t xml:space="preserve">Journal of </w:t>
      </w:r>
    </w:p>
    <w:p w14:paraId="1A6FB9B1" w14:textId="77777777" w:rsidR="00C748EA" w:rsidRPr="003707F1" w:rsidRDefault="00C748EA" w:rsidP="00C748EA">
      <w:pPr>
        <w:ind w:firstLine="720"/>
      </w:pPr>
      <w:r w:rsidRPr="003707F1">
        <w:rPr>
          <w:i/>
          <w:iCs/>
        </w:rPr>
        <w:t>Cross-Cultural Psychology</w:t>
      </w:r>
      <w:r w:rsidRPr="003707F1">
        <w:t xml:space="preserve">, </w:t>
      </w:r>
      <w:r w:rsidRPr="003707F1">
        <w:rPr>
          <w:i/>
          <w:iCs/>
        </w:rPr>
        <w:t>33</w:t>
      </w:r>
      <w:r w:rsidRPr="003707F1">
        <w:t xml:space="preserve">(5), 439-458.  </w:t>
      </w:r>
      <w:proofErr w:type="spellStart"/>
      <w:r w:rsidRPr="003707F1">
        <w:t>doi</w:t>
      </w:r>
      <w:proofErr w:type="spellEnd"/>
      <w:r w:rsidRPr="003707F1">
        <w:t xml:space="preserve">: </w:t>
      </w:r>
    </w:p>
    <w:p w14:paraId="18CB3FDC" w14:textId="39FB397D" w:rsidR="00C748EA" w:rsidRPr="003707F1" w:rsidRDefault="00C224F2" w:rsidP="00C748EA">
      <w:pPr>
        <w:ind w:firstLine="720"/>
      </w:pPr>
      <w:hyperlink r:id="rId61" w:history="1">
        <w:r w:rsidR="00C748EA" w:rsidRPr="003707F1">
          <w:rPr>
            <w:rStyle w:val="Hyperlink"/>
          </w:rPr>
          <w:t>https://doi.org/10.1177/0022022102033005001</w:t>
        </w:r>
      </w:hyperlink>
      <w:r w:rsidR="00C748EA" w:rsidRPr="003707F1">
        <w:t xml:space="preserve"> </w:t>
      </w:r>
    </w:p>
    <w:p w14:paraId="6883B7EF" w14:textId="77777777" w:rsidR="006919DD" w:rsidRPr="003707F1" w:rsidRDefault="006919DD" w:rsidP="006919DD">
      <w:r w:rsidRPr="003707F1">
        <w:t xml:space="preserve">Ng, S., &amp; </w:t>
      </w:r>
      <w:proofErr w:type="spellStart"/>
      <w:r w:rsidRPr="003707F1">
        <w:t>Basu</w:t>
      </w:r>
      <w:proofErr w:type="spellEnd"/>
      <w:r w:rsidRPr="003707F1">
        <w:t xml:space="preserve">, S. (2019). Global Identity and Preference for Environmentally Friendly </w:t>
      </w:r>
    </w:p>
    <w:p w14:paraId="72A28279" w14:textId="24294400" w:rsidR="006919DD" w:rsidRPr="003707F1" w:rsidRDefault="006919DD" w:rsidP="006919DD">
      <w:pPr>
        <w:ind w:left="720"/>
      </w:pPr>
      <w:r w:rsidRPr="003707F1">
        <w:t xml:space="preserve">Products: The Role of Personal Responsibility. </w:t>
      </w:r>
      <w:r w:rsidRPr="003707F1">
        <w:rPr>
          <w:i/>
          <w:iCs/>
        </w:rPr>
        <w:t>Journal of Cross-Cultural Psychology</w:t>
      </w:r>
      <w:r w:rsidRPr="003707F1">
        <w:t>, 50(8), 919–936.</w:t>
      </w:r>
      <w:r w:rsidR="00652FD8" w:rsidRPr="003707F1">
        <w:t xml:space="preserve"> </w:t>
      </w:r>
      <w:proofErr w:type="spellStart"/>
      <w:r w:rsidR="00652FD8" w:rsidRPr="003707F1">
        <w:t>doi</w:t>
      </w:r>
      <w:proofErr w:type="spellEnd"/>
      <w:r w:rsidR="00652FD8" w:rsidRPr="003707F1">
        <w:t>:</w:t>
      </w:r>
      <w:r w:rsidRPr="003707F1">
        <w:t xml:space="preserve"> </w:t>
      </w:r>
      <w:hyperlink r:id="rId62" w:history="1">
        <w:r w:rsidRPr="003707F1">
          <w:rPr>
            <w:rStyle w:val="Hyperlink"/>
          </w:rPr>
          <w:t>https://doi.org/10.1177/0022022119873432</w:t>
        </w:r>
      </w:hyperlink>
      <w:r w:rsidRPr="003707F1">
        <w:t xml:space="preserve"> </w:t>
      </w:r>
    </w:p>
    <w:p w14:paraId="0FC9C0F0" w14:textId="77777777" w:rsidR="00F9624F" w:rsidRPr="003707F1" w:rsidRDefault="00F9624F" w:rsidP="00063004">
      <w:pPr>
        <w:jc w:val="both"/>
      </w:pPr>
      <w:r w:rsidRPr="003707F1">
        <w:t xml:space="preserve">Nguyen, N., &amp; </w:t>
      </w:r>
      <w:proofErr w:type="spellStart"/>
      <w:r w:rsidRPr="003707F1">
        <w:t>Pervan</w:t>
      </w:r>
      <w:proofErr w:type="spellEnd"/>
      <w:r w:rsidRPr="003707F1">
        <w:t xml:space="preserve">, S. (2020). Retailer corporate social responsibility and consumer </w:t>
      </w:r>
    </w:p>
    <w:p w14:paraId="4B6BE21F" w14:textId="77777777" w:rsidR="00F9624F" w:rsidRPr="003707F1" w:rsidRDefault="00F9624F" w:rsidP="00063004">
      <w:pPr>
        <w:ind w:firstLine="720"/>
        <w:jc w:val="both"/>
      </w:pPr>
      <w:r w:rsidRPr="003707F1">
        <w:t xml:space="preserve">citizenship </w:t>
      </w:r>
      <w:proofErr w:type="spellStart"/>
      <w:r w:rsidRPr="003707F1">
        <w:t>behavior</w:t>
      </w:r>
      <w:proofErr w:type="spellEnd"/>
      <w:r w:rsidRPr="003707F1">
        <w:t xml:space="preserve">: The mediating roles of perceived consumer effectiveness and </w:t>
      </w:r>
    </w:p>
    <w:p w14:paraId="6DFD4F85" w14:textId="7911A218" w:rsidR="00F9624F" w:rsidRPr="003707F1" w:rsidRDefault="00F9624F" w:rsidP="00652FD8">
      <w:pPr>
        <w:ind w:left="720"/>
        <w:jc w:val="both"/>
      </w:pPr>
      <w:r w:rsidRPr="003707F1">
        <w:t xml:space="preserve">consumer trust. </w:t>
      </w:r>
      <w:r w:rsidRPr="003707F1">
        <w:rPr>
          <w:i/>
          <w:iCs/>
        </w:rPr>
        <w:t>Journal of Retailing and Consumer Services</w:t>
      </w:r>
      <w:r w:rsidRPr="003707F1">
        <w:t xml:space="preserve">, </w:t>
      </w:r>
      <w:r w:rsidRPr="003707F1">
        <w:rPr>
          <w:i/>
          <w:iCs/>
        </w:rPr>
        <w:t>55</w:t>
      </w:r>
      <w:r w:rsidRPr="003707F1">
        <w:t>, 102082.</w:t>
      </w:r>
      <w:r w:rsidR="00652FD8" w:rsidRPr="003707F1">
        <w:t xml:space="preserve"> </w:t>
      </w:r>
      <w:proofErr w:type="spellStart"/>
      <w:r w:rsidR="00652FD8" w:rsidRPr="003707F1">
        <w:t>doi</w:t>
      </w:r>
      <w:proofErr w:type="spellEnd"/>
      <w:r w:rsidR="00652FD8" w:rsidRPr="003707F1">
        <w:t xml:space="preserve">: </w:t>
      </w:r>
      <w:hyperlink r:id="rId63" w:history="1">
        <w:r w:rsidR="00652FD8" w:rsidRPr="003707F1">
          <w:rPr>
            <w:rStyle w:val="Hyperlink"/>
          </w:rPr>
          <w:t>https://doi.org/10.1016/j.jretconser.2020.102082</w:t>
        </w:r>
      </w:hyperlink>
      <w:r w:rsidR="00652FD8" w:rsidRPr="003707F1">
        <w:t xml:space="preserve"> </w:t>
      </w:r>
    </w:p>
    <w:p w14:paraId="785573B8" w14:textId="77777777" w:rsidR="00BF757C" w:rsidRPr="003707F1" w:rsidRDefault="00BF757C" w:rsidP="00681CD7">
      <w:pPr>
        <w:jc w:val="both"/>
      </w:pPr>
      <w:proofErr w:type="spellStart"/>
      <w:r w:rsidRPr="003707F1">
        <w:t>Nurra</w:t>
      </w:r>
      <w:proofErr w:type="spellEnd"/>
      <w:r w:rsidRPr="003707F1">
        <w:t xml:space="preserve">, C., &amp; </w:t>
      </w:r>
      <w:proofErr w:type="spellStart"/>
      <w:r w:rsidRPr="003707F1">
        <w:t>Oyserman</w:t>
      </w:r>
      <w:proofErr w:type="spellEnd"/>
      <w:r w:rsidRPr="003707F1">
        <w:t xml:space="preserve">, D. (2018). From future self to current action: An identity-based </w:t>
      </w:r>
    </w:p>
    <w:p w14:paraId="39E0BA96" w14:textId="7F641D26" w:rsidR="00BF757C" w:rsidRPr="003707F1" w:rsidRDefault="00BF757C" w:rsidP="00652FD8">
      <w:pPr>
        <w:ind w:left="720"/>
        <w:jc w:val="both"/>
      </w:pPr>
      <w:r w:rsidRPr="003707F1">
        <w:t xml:space="preserve">motivation perspective. </w:t>
      </w:r>
      <w:r w:rsidRPr="003707F1">
        <w:rPr>
          <w:i/>
          <w:iCs/>
        </w:rPr>
        <w:t>Self and identity</w:t>
      </w:r>
      <w:r w:rsidRPr="003707F1">
        <w:t>, 17(3), 343-364.</w:t>
      </w:r>
      <w:r w:rsidR="00652FD8" w:rsidRPr="003707F1">
        <w:t xml:space="preserve"> </w:t>
      </w:r>
      <w:proofErr w:type="spellStart"/>
      <w:r w:rsidR="00652FD8" w:rsidRPr="003707F1">
        <w:t>doi</w:t>
      </w:r>
      <w:proofErr w:type="spellEnd"/>
      <w:r w:rsidR="00652FD8" w:rsidRPr="003707F1">
        <w:t xml:space="preserve">: </w:t>
      </w:r>
      <w:hyperlink r:id="rId64" w:history="1">
        <w:r w:rsidR="00652FD8" w:rsidRPr="003707F1">
          <w:rPr>
            <w:rStyle w:val="Hyperlink"/>
          </w:rPr>
          <w:t>https://doi.org/10.1080/15298868.2017.1375003</w:t>
        </w:r>
      </w:hyperlink>
      <w:r w:rsidR="00652FD8" w:rsidRPr="003707F1">
        <w:t xml:space="preserve"> </w:t>
      </w:r>
    </w:p>
    <w:p w14:paraId="794EFE41" w14:textId="77777777" w:rsidR="00617079" w:rsidRPr="003707F1" w:rsidRDefault="00E252E5" w:rsidP="00681CD7">
      <w:pPr>
        <w:jc w:val="both"/>
      </w:pPr>
      <w:proofErr w:type="spellStart"/>
      <w:r w:rsidRPr="003707F1">
        <w:t>Oyserman</w:t>
      </w:r>
      <w:proofErr w:type="spellEnd"/>
      <w:r w:rsidRPr="003707F1">
        <w:t xml:space="preserve">, D., Coon, H. M., &amp; </w:t>
      </w:r>
      <w:proofErr w:type="spellStart"/>
      <w:r w:rsidRPr="003707F1">
        <w:t>Kemmelmeier</w:t>
      </w:r>
      <w:proofErr w:type="spellEnd"/>
      <w:r w:rsidRPr="003707F1">
        <w:t xml:space="preserve">, M. (2002). Rethinking individualism and </w:t>
      </w:r>
    </w:p>
    <w:p w14:paraId="6BF220BD" w14:textId="689D198F" w:rsidR="00E252E5" w:rsidRPr="003707F1" w:rsidRDefault="00E252E5" w:rsidP="00681CD7">
      <w:pPr>
        <w:ind w:left="720"/>
        <w:jc w:val="both"/>
        <w:rPr>
          <w:rStyle w:val="Hyperlink"/>
          <w:lang w:val="en-GB"/>
        </w:rPr>
      </w:pPr>
      <w:r w:rsidRPr="003707F1">
        <w:t xml:space="preserve">collectivism: Evaluation of theoretical assumptions and meta-analyses. </w:t>
      </w:r>
      <w:r w:rsidRPr="003707F1">
        <w:rPr>
          <w:i/>
          <w:iCs/>
        </w:rPr>
        <w:t>Psychological Bulletin</w:t>
      </w:r>
      <w:r w:rsidRPr="003707F1">
        <w:t>, 128(1), 3–72.</w:t>
      </w:r>
      <w:r w:rsidR="00652FD8" w:rsidRPr="003707F1">
        <w:t xml:space="preserve"> </w:t>
      </w:r>
      <w:proofErr w:type="spellStart"/>
      <w:r w:rsidR="00652FD8" w:rsidRPr="003707F1">
        <w:t>doi</w:t>
      </w:r>
      <w:proofErr w:type="spellEnd"/>
      <w:r w:rsidR="00652FD8" w:rsidRPr="003707F1">
        <w:t>:</w:t>
      </w:r>
      <w:r w:rsidRPr="003707F1">
        <w:t xml:space="preserve"> </w:t>
      </w:r>
      <w:hyperlink r:id="rId65" w:history="1">
        <w:r w:rsidR="0063058F" w:rsidRPr="003707F1">
          <w:rPr>
            <w:rStyle w:val="Hyperlink"/>
            <w:lang w:val="en-GB"/>
          </w:rPr>
          <w:t>https://doi.org/10.1037/0033-2909.128.1.3</w:t>
        </w:r>
      </w:hyperlink>
    </w:p>
    <w:p w14:paraId="5787AE14" w14:textId="77777777" w:rsidR="005746F7" w:rsidRPr="003707F1" w:rsidRDefault="003F281C" w:rsidP="00681CD7">
      <w:pPr>
        <w:jc w:val="both"/>
        <w:rPr>
          <w:rStyle w:val="Hyperlink"/>
          <w:color w:val="auto"/>
          <w:u w:val="none"/>
        </w:rPr>
      </w:pPr>
      <w:proofErr w:type="spellStart"/>
      <w:r w:rsidRPr="003707F1">
        <w:rPr>
          <w:rStyle w:val="Hyperlink"/>
          <w:color w:val="auto"/>
          <w:u w:val="none"/>
          <w:lang w:val="en-GB"/>
        </w:rPr>
        <w:t>Paasovaara</w:t>
      </w:r>
      <w:proofErr w:type="spellEnd"/>
      <w:r w:rsidRPr="003707F1">
        <w:rPr>
          <w:rStyle w:val="Hyperlink"/>
          <w:color w:val="auto"/>
          <w:u w:val="none"/>
          <w:lang w:val="en-GB"/>
        </w:rPr>
        <w:t xml:space="preserve">, R., Luomala, H. T., </w:t>
      </w:r>
      <w:proofErr w:type="spellStart"/>
      <w:r w:rsidRPr="003707F1">
        <w:rPr>
          <w:rStyle w:val="Hyperlink"/>
          <w:color w:val="auto"/>
          <w:u w:val="none"/>
          <w:lang w:val="en-GB"/>
        </w:rPr>
        <w:t>Pohjanheimo</w:t>
      </w:r>
      <w:proofErr w:type="spellEnd"/>
      <w:r w:rsidRPr="003707F1">
        <w:rPr>
          <w:rStyle w:val="Hyperlink"/>
          <w:color w:val="auto"/>
          <w:u w:val="none"/>
          <w:lang w:val="en-GB"/>
        </w:rPr>
        <w:t xml:space="preserve">, T., &amp; </w:t>
      </w:r>
      <w:proofErr w:type="spellStart"/>
      <w:r w:rsidRPr="003707F1">
        <w:rPr>
          <w:rStyle w:val="Hyperlink"/>
          <w:color w:val="auto"/>
          <w:u w:val="none"/>
          <w:lang w:val="en-GB"/>
        </w:rPr>
        <w:t>Sandell</w:t>
      </w:r>
      <w:proofErr w:type="spellEnd"/>
      <w:r w:rsidRPr="003707F1">
        <w:rPr>
          <w:rStyle w:val="Hyperlink"/>
          <w:color w:val="auto"/>
          <w:u w:val="none"/>
          <w:lang w:val="en-GB"/>
        </w:rPr>
        <w:t xml:space="preserve">, M. (2012). </w:t>
      </w:r>
      <w:r w:rsidRPr="003707F1">
        <w:rPr>
          <w:rStyle w:val="Hyperlink"/>
          <w:color w:val="auto"/>
          <w:u w:val="none"/>
        </w:rPr>
        <w:t xml:space="preserve">Understanding </w:t>
      </w:r>
    </w:p>
    <w:p w14:paraId="03C3B0EE" w14:textId="77777777" w:rsidR="005746F7" w:rsidRPr="003707F1" w:rsidRDefault="003F281C" w:rsidP="00681CD7">
      <w:pPr>
        <w:ind w:firstLine="720"/>
        <w:jc w:val="both"/>
        <w:rPr>
          <w:rStyle w:val="Hyperlink"/>
          <w:color w:val="auto"/>
          <w:u w:val="none"/>
        </w:rPr>
      </w:pPr>
      <w:r w:rsidRPr="003707F1">
        <w:rPr>
          <w:rStyle w:val="Hyperlink"/>
          <w:color w:val="auto"/>
          <w:u w:val="none"/>
        </w:rPr>
        <w:t>consumers' brand‐induced food taste perception: A comparison of ‘brand familiarity’–</w:t>
      </w:r>
    </w:p>
    <w:p w14:paraId="65DE109A" w14:textId="77777777" w:rsidR="005746F7" w:rsidRPr="003707F1" w:rsidRDefault="003F281C" w:rsidP="00681CD7">
      <w:pPr>
        <w:ind w:firstLine="720"/>
        <w:jc w:val="both"/>
        <w:rPr>
          <w:rStyle w:val="Hyperlink"/>
          <w:i/>
          <w:iCs/>
          <w:color w:val="auto"/>
          <w:u w:val="none"/>
        </w:rPr>
      </w:pPr>
      <w:r w:rsidRPr="003707F1">
        <w:rPr>
          <w:rStyle w:val="Hyperlink"/>
          <w:color w:val="auto"/>
          <w:u w:val="none"/>
        </w:rPr>
        <w:t xml:space="preserve">and ‘consumer value–brand symbolism (in) congruity’–accounts. </w:t>
      </w:r>
      <w:r w:rsidRPr="003707F1">
        <w:rPr>
          <w:rStyle w:val="Hyperlink"/>
          <w:i/>
          <w:iCs/>
          <w:color w:val="auto"/>
          <w:u w:val="none"/>
        </w:rPr>
        <w:t xml:space="preserve">Journal of Consumer </w:t>
      </w:r>
    </w:p>
    <w:p w14:paraId="73A9E90F" w14:textId="393B5AE4" w:rsidR="00AC5BE7" w:rsidRPr="003707F1" w:rsidRDefault="003F281C" w:rsidP="00681CD7">
      <w:pPr>
        <w:ind w:firstLine="720"/>
        <w:jc w:val="both"/>
        <w:rPr>
          <w:rStyle w:val="Hyperlink"/>
          <w:color w:val="auto"/>
          <w:u w:val="none"/>
        </w:rPr>
      </w:pPr>
      <w:r w:rsidRPr="003707F1">
        <w:rPr>
          <w:rStyle w:val="Hyperlink"/>
          <w:i/>
          <w:iCs/>
          <w:color w:val="auto"/>
          <w:u w:val="none"/>
        </w:rPr>
        <w:t xml:space="preserve">Behaviour, </w:t>
      </w:r>
      <w:r w:rsidRPr="003707F1">
        <w:rPr>
          <w:rStyle w:val="Hyperlink"/>
          <w:color w:val="auto"/>
          <w:u w:val="none"/>
        </w:rPr>
        <w:t>11(1), 11-20.</w:t>
      </w:r>
      <w:r w:rsidR="00152DF3" w:rsidRPr="003707F1">
        <w:rPr>
          <w:rStyle w:val="Hyperlink"/>
          <w:color w:val="auto"/>
          <w:u w:val="none"/>
        </w:rPr>
        <w:t xml:space="preserve"> </w:t>
      </w:r>
      <w:proofErr w:type="spellStart"/>
      <w:r w:rsidR="00152DF3" w:rsidRPr="003707F1">
        <w:rPr>
          <w:rStyle w:val="Hyperlink"/>
          <w:color w:val="auto"/>
          <w:u w:val="none"/>
        </w:rPr>
        <w:t>doi</w:t>
      </w:r>
      <w:proofErr w:type="spellEnd"/>
      <w:r w:rsidR="00152DF3" w:rsidRPr="003707F1">
        <w:rPr>
          <w:rStyle w:val="Hyperlink"/>
          <w:color w:val="auto"/>
          <w:u w:val="none"/>
        </w:rPr>
        <w:t xml:space="preserve">: </w:t>
      </w:r>
      <w:hyperlink r:id="rId66" w:history="1">
        <w:r w:rsidR="00152DF3" w:rsidRPr="003707F1">
          <w:rPr>
            <w:rStyle w:val="Hyperlink"/>
          </w:rPr>
          <w:t>https://doi.org/10.1002/cb.356</w:t>
        </w:r>
      </w:hyperlink>
      <w:r w:rsidR="00152DF3" w:rsidRPr="003707F1">
        <w:t xml:space="preserve"> </w:t>
      </w:r>
    </w:p>
    <w:p w14:paraId="49891480" w14:textId="77777777" w:rsidR="00862440" w:rsidRPr="003707F1" w:rsidRDefault="00862440" w:rsidP="00063004">
      <w:pPr>
        <w:jc w:val="both"/>
      </w:pPr>
      <w:r w:rsidRPr="003707F1">
        <w:t>Palacios-González, M. M., &amp; Chamorro-</w:t>
      </w:r>
      <w:proofErr w:type="spellStart"/>
      <w:r w:rsidRPr="003707F1">
        <w:t>Mera</w:t>
      </w:r>
      <w:proofErr w:type="spellEnd"/>
      <w:r w:rsidRPr="003707F1">
        <w:t xml:space="preserve">, A. (2020). Analysis of Socially Responsible </w:t>
      </w:r>
    </w:p>
    <w:p w14:paraId="07D70BE1" w14:textId="3976A08F" w:rsidR="00862440" w:rsidRPr="003707F1" w:rsidRDefault="00862440" w:rsidP="00063004">
      <w:pPr>
        <w:ind w:left="720"/>
        <w:jc w:val="both"/>
      </w:pPr>
      <w:r w:rsidRPr="003707F1">
        <w:t xml:space="preserve">Consumption: A Segmentation of Spanish Consumers. </w:t>
      </w:r>
      <w:r w:rsidRPr="003707F1">
        <w:rPr>
          <w:i/>
          <w:iCs/>
        </w:rPr>
        <w:t>Sustainability</w:t>
      </w:r>
      <w:r w:rsidRPr="003707F1">
        <w:t xml:space="preserve">, 12(20), 8418. </w:t>
      </w:r>
      <w:proofErr w:type="spellStart"/>
      <w:r w:rsidR="00152DF3" w:rsidRPr="003707F1">
        <w:t>doi</w:t>
      </w:r>
      <w:proofErr w:type="spellEnd"/>
      <w:r w:rsidRPr="003707F1">
        <w:t xml:space="preserve">: </w:t>
      </w:r>
      <w:hyperlink r:id="rId67" w:history="1">
        <w:r w:rsidRPr="003707F1">
          <w:rPr>
            <w:rStyle w:val="Hyperlink"/>
          </w:rPr>
          <w:t>https://doi.org/10.3390/su12208418</w:t>
        </w:r>
      </w:hyperlink>
      <w:r w:rsidRPr="003707F1">
        <w:t xml:space="preserve"> </w:t>
      </w:r>
    </w:p>
    <w:p w14:paraId="5C7DB1B9" w14:textId="250CFC4C" w:rsidR="00235F74" w:rsidRPr="003707F1" w:rsidRDefault="00235F74" w:rsidP="00681CD7">
      <w:pPr>
        <w:jc w:val="both"/>
        <w:rPr>
          <w:rStyle w:val="Hyperlink"/>
          <w:color w:val="auto"/>
          <w:u w:val="none"/>
        </w:rPr>
      </w:pPr>
      <w:r w:rsidRPr="003707F1">
        <w:rPr>
          <w:rStyle w:val="Hyperlink"/>
          <w:color w:val="auto"/>
          <w:u w:val="none"/>
        </w:rPr>
        <w:t>Park, H. J., &amp; Lin, L. M. (20</w:t>
      </w:r>
      <w:r w:rsidR="00152DF3" w:rsidRPr="003707F1">
        <w:rPr>
          <w:rStyle w:val="Hyperlink"/>
          <w:color w:val="auto"/>
          <w:u w:val="none"/>
        </w:rPr>
        <w:t>20</w:t>
      </w:r>
      <w:r w:rsidRPr="003707F1">
        <w:rPr>
          <w:rStyle w:val="Hyperlink"/>
          <w:color w:val="auto"/>
          <w:u w:val="none"/>
        </w:rPr>
        <w:t>). Exploring attitude–</w:t>
      </w:r>
      <w:proofErr w:type="spellStart"/>
      <w:r w:rsidRPr="003707F1">
        <w:rPr>
          <w:rStyle w:val="Hyperlink"/>
          <w:color w:val="auto"/>
          <w:u w:val="none"/>
        </w:rPr>
        <w:t>behavior</w:t>
      </w:r>
      <w:proofErr w:type="spellEnd"/>
      <w:r w:rsidRPr="003707F1">
        <w:rPr>
          <w:rStyle w:val="Hyperlink"/>
          <w:color w:val="auto"/>
          <w:u w:val="none"/>
        </w:rPr>
        <w:t xml:space="preserve"> gap in sustainable consumption: </w:t>
      </w:r>
    </w:p>
    <w:p w14:paraId="5A2732C5" w14:textId="1DB5452B" w:rsidR="00235F74" w:rsidRPr="003707F1" w:rsidRDefault="00235F74" w:rsidP="00063004">
      <w:pPr>
        <w:ind w:left="720"/>
        <w:jc w:val="both"/>
        <w:rPr>
          <w:rStyle w:val="Hyperlink"/>
          <w:color w:val="auto"/>
          <w:u w:val="none"/>
        </w:rPr>
      </w:pPr>
      <w:r w:rsidRPr="003707F1">
        <w:rPr>
          <w:rStyle w:val="Hyperlink"/>
          <w:color w:val="auto"/>
          <w:u w:val="none"/>
        </w:rPr>
        <w:t xml:space="preserve">Comparison of recycled and upcycled fashion products. </w:t>
      </w:r>
      <w:r w:rsidRPr="003707F1">
        <w:rPr>
          <w:rStyle w:val="Hyperlink"/>
          <w:i/>
          <w:iCs/>
          <w:color w:val="auto"/>
          <w:u w:val="none"/>
        </w:rPr>
        <w:t>Journal of Business Research</w:t>
      </w:r>
      <w:r w:rsidRPr="003707F1">
        <w:rPr>
          <w:rStyle w:val="Hyperlink"/>
          <w:color w:val="auto"/>
          <w:u w:val="none"/>
        </w:rPr>
        <w:t xml:space="preserve">. </w:t>
      </w:r>
      <w:r w:rsidR="00221F07" w:rsidRPr="003707F1">
        <w:rPr>
          <w:rStyle w:val="Hyperlink"/>
          <w:color w:val="auto"/>
          <w:u w:val="none"/>
        </w:rPr>
        <w:t xml:space="preserve">117, </w:t>
      </w:r>
      <w:r w:rsidR="00221F07" w:rsidRPr="003707F1">
        <w:t xml:space="preserve">623-628, </w:t>
      </w:r>
      <w:proofErr w:type="spellStart"/>
      <w:r w:rsidR="00152DF3" w:rsidRPr="003707F1">
        <w:rPr>
          <w:rStyle w:val="Hyperlink"/>
          <w:color w:val="auto"/>
          <w:u w:val="none"/>
        </w:rPr>
        <w:t>doi</w:t>
      </w:r>
      <w:proofErr w:type="spellEnd"/>
      <w:r w:rsidRPr="003707F1">
        <w:rPr>
          <w:rStyle w:val="Hyperlink"/>
          <w:color w:val="auto"/>
          <w:u w:val="none"/>
        </w:rPr>
        <w:t xml:space="preserve">: </w:t>
      </w:r>
      <w:hyperlink r:id="rId68" w:history="1">
        <w:r w:rsidR="00152DF3" w:rsidRPr="003707F1">
          <w:rPr>
            <w:rStyle w:val="Hyperlink"/>
          </w:rPr>
          <w:t>https://doi.org/10.1016/j.jbusres.2018.08.025</w:t>
        </w:r>
      </w:hyperlink>
      <w:r w:rsidR="00152DF3" w:rsidRPr="003707F1">
        <w:rPr>
          <w:rStyle w:val="Hyperlink"/>
          <w:color w:val="auto"/>
          <w:u w:val="none"/>
        </w:rPr>
        <w:t xml:space="preserve"> </w:t>
      </w:r>
    </w:p>
    <w:p w14:paraId="6697CE34" w14:textId="22291005" w:rsidR="000A51D5" w:rsidRPr="003707F1" w:rsidRDefault="000A51D5" w:rsidP="00681CD7">
      <w:pPr>
        <w:jc w:val="both"/>
      </w:pPr>
      <w:r w:rsidRPr="003707F1">
        <w:t xml:space="preserve">Perreault, C. (2012) The pace of cultural evolution. </w:t>
      </w:r>
      <w:proofErr w:type="spellStart"/>
      <w:r w:rsidRPr="003707F1">
        <w:t>PLoS</w:t>
      </w:r>
      <w:proofErr w:type="spellEnd"/>
      <w:r w:rsidRPr="003707F1">
        <w:t xml:space="preserve"> ONE 7(9): e45150. </w:t>
      </w:r>
      <w:proofErr w:type="spellStart"/>
      <w:r w:rsidR="00152DF3" w:rsidRPr="003707F1">
        <w:t>doi</w:t>
      </w:r>
      <w:proofErr w:type="spellEnd"/>
      <w:r w:rsidR="00152DF3" w:rsidRPr="003707F1">
        <w:t xml:space="preserve">: </w:t>
      </w:r>
    </w:p>
    <w:p w14:paraId="094C29E7" w14:textId="26DF11B4" w:rsidR="000A51D5" w:rsidRPr="003707F1" w:rsidRDefault="00C224F2" w:rsidP="00681CD7">
      <w:pPr>
        <w:ind w:firstLine="720"/>
        <w:jc w:val="both"/>
      </w:pPr>
      <w:hyperlink r:id="rId69" w:history="1">
        <w:r w:rsidR="00152DF3" w:rsidRPr="003707F1">
          <w:rPr>
            <w:rStyle w:val="Hyperlink"/>
          </w:rPr>
          <w:t>https://doi.org/10.1371/journal.pone.0045150</w:t>
        </w:r>
      </w:hyperlink>
      <w:r w:rsidR="00152DF3" w:rsidRPr="003707F1">
        <w:t xml:space="preserve"> </w:t>
      </w:r>
    </w:p>
    <w:p w14:paraId="5663FDA7" w14:textId="77777777" w:rsidR="005565D3" w:rsidRPr="003707F1" w:rsidRDefault="005565D3" w:rsidP="00681CD7">
      <w:pPr>
        <w:jc w:val="both"/>
      </w:pPr>
      <w:r w:rsidRPr="003707F1">
        <w:t xml:space="preserve">Podsakoff, P. M., </w:t>
      </w:r>
      <w:proofErr w:type="spellStart"/>
      <w:r w:rsidRPr="003707F1">
        <w:t>MacKenzie</w:t>
      </w:r>
      <w:proofErr w:type="spellEnd"/>
      <w:r w:rsidRPr="003707F1">
        <w:t xml:space="preserve">, S. B., Lee, J.-Y., &amp; Podsakoff, N. P. (2003). Common method </w:t>
      </w:r>
    </w:p>
    <w:p w14:paraId="60D2F2FB" w14:textId="3680E179" w:rsidR="005565D3" w:rsidRPr="003707F1" w:rsidRDefault="005565D3" w:rsidP="00681CD7">
      <w:pPr>
        <w:ind w:left="720"/>
        <w:jc w:val="both"/>
      </w:pPr>
      <w:r w:rsidRPr="003707F1">
        <w:t xml:space="preserve">biases in </w:t>
      </w:r>
      <w:proofErr w:type="spellStart"/>
      <w:r w:rsidRPr="003707F1">
        <w:t>behavioral</w:t>
      </w:r>
      <w:proofErr w:type="spellEnd"/>
      <w:r w:rsidRPr="003707F1">
        <w:t xml:space="preserve"> research: A critical review of the literature and recommended remedies. </w:t>
      </w:r>
      <w:r w:rsidRPr="003707F1">
        <w:rPr>
          <w:i/>
          <w:iCs/>
        </w:rPr>
        <w:t>Journal of Applied Psychology</w:t>
      </w:r>
      <w:r w:rsidRPr="003707F1">
        <w:t>, 88(5), 879–903.</w:t>
      </w:r>
      <w:r w:rsidR="00152DF3" w:rsidRPr="003707F1">
        <w:t xml:space="preserve"> </w:t>
      </w:r>
      <w:proofErr w:type="spellStart"/>
      <w:r w:rsidR="00152DF3" w:rsidRPr="003707F1">
        <w:t>doi</w:t>
      </w:r>
      <w:proofErr w:type="spellEnd"/>
      <w:r w:rsidR="00152DF3" w:rsidRPr="003707F1">
        <w:t xml:space="preserve">: </w:t>
      </w:r>
      <w:hyperlink r:id="rId70" w:tgtFrame="_blank" w:history="1">
        <w:r w:rsidR="00152DF3" w:rsidRPr="003707F1">
          <w:rPr>
            <w:rStyle w:val="Hyperlink"/>
          </w:rPr>
          <w:t>https://doi.org/10.1037/0021-9010.88.5.879</w:t>
        </w:r>
      </w:hyperlink>
      <w:r w:rsidR="00152DF3" w:rsidRPr="003707F1">
        <w:t xml:space="preserve"> </w:t>
      </w:r>
    </w:p>
    <w:p w14:paraId="30338E2E" w14:textId="77777777" w:rsidR="00A611B2" w:rsidRPr="003707F1" w:rsidRDefault="00A611B2" w:rsidP="00A611B2">
      <w:r w:rsidRPr="003707F1">
        <w:t xml:space="preserve">Radu, S. (2018). Poland Graduates to Developed Status, available from: </w:t>
      </w:r>
    </w:p>
    <w:p w14:paraId="0956BA26" w14:textId="2A2E8885" w:rsidR="00A611B2" w:rsidRPr="003707F1" w:rsidRDefault="00C224F2" w:rsidP="00A611B2">
      <w:pPr>
        <w:ind w:left="480"/>
      </w:pPr>
      <w:hyperlink r:id="rId71" w:history="1">
        <w:r w:rsidR="00A611B2" w:rsidRPr="003707F1">
          <w:rPr>
            <w:rStyle w:val="Hyperlink"/>
          </w:rPr>
          <w:t>https://www.usnews.com/news/best-countries/articles/2018-10-02/poland-reclassified-as-a-developed-economy-by-the-ftse</w:t>
        </w:r>
      </w:hyperlink>
      <w:r w:rsidR="00A611B2" w:rsidRPr="003707F1">
        <w:t xml:space="preserve">, accessed on May 7, 2021. </w:t>
      </w:r>
    </w:p>
    <w:p w14:paraId="0FA32DF6" w14:textId="7141FA9F" w:rsidR="00AE5D2E" w:rsidRPr="003707F1" w:rsidRDefault="00AE5D2E" w:rsidP="00063004">
      <w:pPr>
        <w:pStyle w:val="NormalWeb"/>
        <w:spacing w:before="0" w:beforeAutospacing="0" w:after="0" w:afterAutospacing="0"/>
        <w:ind w:left="480" w:hanging="480"/>
        <w:jc w:val="both"/>
      </w:pPr>
      <w:proofErr w:type="spellStart"/>
      <w:r w:rsidRPr="003707F1">
        <w:t>Revelle</w:t>
      </w:r>
      <w:proofErr w:type="spellEnd"/>
      <w:r w:rsidRPr="003707F1">
        <w:t xml:space="preserve">, W. (2015). Package “psych” - Procedures for Psychological, Psychometric and Personality Research. </w:t>
      </w:r>
      <w:r w:rsidRPr="003707F1">
        <w:rPr>
          <w:i/>
          <w:iCs/>
        </w:rPr>
        <w:t>R Package</w:t>
      </w:r>
      <w:r w:rsidRPr="003707F1">
        <w:t xml:space="preserve">, 1–358. Retrieved from </w:t>
      </w:r>
      <w:hyperlink r:id="rId72" w:history="1">
        <w:r w:rsidR="00152DF3" w:rsidRPr="003707F1">
          <w:rPr>
            <w:rStyle w:val="Hyperlink"/>
          </w:rPr>
          <w:t>http://personality-project.org/r/psych-manual.pdf</w:t>
        </w:r>
      </w:hyperlink>
      <w:r w:rsidR="00152DF3" w:rsidRPr="003707F1">
        <w:t xml:space="preserve"> </w:t>
      </w:r>
    </w:p>
    <w:p w14:paraId="6219FC80" w14:textId="77777777" w:rsidR="00617079" w:rsidRPr="003707F1" w:rsidRDefault="005B1015" w:rsidP="00681CD7">
      <w:pPr>
        <w:jc w:val="both"/>
      </w:pPr>
      <w:r w:rsidRPr="003707F1">
        <w:t xml:space="preserve">Roberts, J.A. (1996) Green consumers in the 1990s: profile and implications for advertising. </w:t>
      </w:r>
    </w:p>
    <w:p w14:paraId="37F43D56" w14:textId="1B63CEA9" w:rsidR="005B1015" w:rsidRPr="003707F1" w:rsidRDefault="005B1015" w:rsidP="00152DF3">
      <w:pPr>
        <w:ind w:left="720"/>
        <w:jc w:val="both"/>
      </w:pPr>
      <w:r w:rsidRPr="003707F1">
        <w:rPr>
          <w:i/>
          <w:iCs/>
        </w:rPr>
        <w:t>Journal of Business Research</w:t>
      </w:r>
      <w:r w:rsidRPr="003707F1">
        <w:t>, 36, 217–231.</w:t>
      </w:r>
      <w:r w:rsidR="00152DF3" w:rsidRPr="003707F1">
        <w:t xml:space="preserve"> </w:t>
      </w:r>
      <w:proofErr w:type="spellStart"/>
      <w:r w:rsidR="00152DF3" w:rsidRPr="003707F1">
        <w:t>doi</w:t>
      </w:r>
      <w:proofErr w:type="spellEnd"/>
      <w:r w:rsidR="00152DF3" w:rsidRPr="003707F1">
        <w:t xml:space="preserve">: </w:t>
      </w:r>
      <w:hyperlink r:id="rId73" w:history="1">
        <w:r w:rsidR="00152DF3" w:rsidRPr="003707F1">
          <w:rPr>
            <w:rStyle w:val="Hyperlink"/>
          </w:rPr>
          <w:t>https://doi.org/10.1016/0148-2963(95)00150-6</w:t>
        </w:r>
      </w:hyperlink>
      <w:r w:rsidR="00152DF3" w:rsidRPr="003707F1">
        <w:t xml:space="preserve"> </w:t>
      </w:r>
    </w:p>
    <w:p w14:paraId="2DB32FC7" w14:textId="04347C9D" w:rsidR="00E81550" w:rsidRPr="003707F1" w:rsidRDefault="00E81550" w:rsidP="00681CD7">
      <w:pPr>
        <w:jc w:val="both"/>
      </w:pPr>
      <w:r w:rsidRPr="003707F1">
        <w:t xml:space="preserve">Rokeach, M., 1973. The nature of human values. Free </w:t>
      </w:r>
      <w:r w:rsidR="00152DF3" w:rsidRPr="003707F1">
        <w:t>P</w:t>
      </w:r>
      <w:r w:rsidRPr="003707F1">
        <w:t>ress.</w:t>
      </w:r>
    </w:p>
    <w:p w14:paraId="52A1BEB3" w14:textId="77777777" w:rsidR="001B226C" w:rsidRPr="003707F1" w:rsidRDefault="00AE5D2E" w:rsidP="00681CD7">
      <w:pPr>
        <w:jc w:val="both"/>
        <w:rPr>
          <w:i/>
          <w:iCs/>
        </w:rPr>
      </w:pPr>
      <w:proofErr w:type="spellStart"/>
      <w:r w:rsidRPr="003707F1">
        <w:t>Rosseel</w:t>
      </w:r>
      <w:proofErr w:type="spellEnd"/>
      <w:r w:rsidRPr="003707F1">
        <w:t xml:space="preserve">, Y. (2012). lavaan: An R Package for Structural Equation Modeling. </w:t>
      </w:r>
      <w:r w:rsidRPr="003707F1">
        <w:rPr>
          <w:i/>
          <w:iCs/>
        </w:rPr>
        <w:t xml:space="preserve">Journal of </w:t>
      </w:r>
    </w:p>
    <w:p w14:paraId="0569D6BB" w14:textId="635A56F4" w:rsidR="00AE5D2E" w:rsidRPr="003707F1" w:rsidRDefault="00AE5D2E" w:rsidP="00681CD7">
      <w:pPr>
        <w:ind w:firstLine="720"/>
        <w:jc w:val="both"/>
      </w:pPr>
      <w:r w:rsidRPr="003707F1">
        <w:rPr>
          <w:i/>
          <w:iCs/>
        </w:rPr>
        <w:t>Statistical Software</w:t>
      </w:r>
      <w:r w:rsidRPr="003707F1">
        <w:t>, 48(2), 1–36.</w:t>
      </w:r>
      <w:r w:rsidR="00152DF3" w:rsidRPr="003707F1">
        <w:t xml:space="preserve"> </w:t>
      </w:r>
      <w:proofErr w:type="spellStart"/>
      <w:r w:rsidR="00152DF3" w:rsidRPr="003707F1">
        <w:t>doi</w:t>
      </w:r>
      <w:proofErr w:type="spellEnd"/>
      <w:r w:rsidR="00152DF3" w:rsidRPr="003707F1">
        <w:t xml:space="preserve">: </w:t>
      </w:r>
      <w:r w:rsidRPr="003707F1">
        <w:t xml:space="preserve"> </w:t>
      </w:r>
      <w:hyperlink r:id="rId74" w:history="1">
        <w:r w:rsidR="00152DF3" w:rsidRPr="003707F1">
          <w:rPr>
            <w:rStyle w:val="Hyperlink"/>
          </w:rPr>
          <w:t>https://doi.org/10.18637/jss.v048.i02</w:t>
        </w:r>
      </w:hyperlink>
      <w:r w:rsidR="00152DF3" w:rsidRPr="003707F1">
        <w:t xml:space="preserve"> </w:t>
      </w:r>
    </w:p>
    <w:p w14:paraId="729BA58A" w14:textId="77777777" w:rsidR="00617079" w:rsidRPr="003707F1" w:rsidRDefault="009E5DA6" w:rsidP="00681CD7">
      <w:pPr>
        <w:jc w:val="both"/>
      </w:pPr>
      <w:r w:rsidRPr="003707F1">
        <w:lastRenderedPageBreak/>
        <w:t xml:space="preserve">Santos, H. C., Varnum, M. E., &amp; Grossmann, I. (2017). Global increases in individualism. </w:t>
      </w:r>
    </w:p>
    <w:p w14:paraId="40BEDB60" w14:textId="2F2BF09B" w:rsidR="009E5DA6" w:rsidRPr="003707F1" w:rsidRDefault="009E5DA6" w:rsidP="00681CD7">
      <w:pPr>
        <w:ind w:firstLine="720"/>
        <w:jc w:val="both"/>
        <w:rPr>
          <w:rStyle w:val="identifier"/>
        </w:rPr>
      </w:pPr>
      <w:r w:rsidRPr="003707F1">
        <w:rPr>
          <w:i/>
          <w:iCs/>
        </w:rPr>
        <w:t xml:space="preserve">Psychological </w:t>
      </w:r>
      <w:r w:rsidR="00152DF3" w:rsidRPr="003707F1">
        <w:rPr>
          <w:i/>
          <w:iCs/>
        </w:rPr>
        <w:t>S</w:t>
      </w:r>
      <w:r w:rsidRPr="003707F1">
        <w:rPr>
          <w:i/>
          <w:iCs/>
        </w:rPr>
        <w:t>cience</w:t>
      </w:r>
      <w:r w:rsidRPr="003707F1">
        <w:t xml:space="preserve">, </w:t>
      </w:r>
      <w:r w:rsidRPr="003707F1">
        <w:rPr>
          <w:i/>
          <w:iCs/>
        </w:rPr>
        <w:t>28</w:t>
      </w:r>
      <w:r w:rsidRPr="003707F1">
        <w:t>(9), 1228-1239.</w:t>
      </w:r>
      <w:r w:rsidR="00152DF3" w:rsidRPr="003707F1">
        <w:t xml:space="preserve"> </w:t>
      </w:r>
      <w:proofErr w:type="spellStart"/>
      <w:r w:rsidR="00152DF3" w:rsidRPr="003707F1">
        <w:t>doi</w:t>
      </w:r>
      <w:proofErr w:type="spellEnd"/>
      <w:r w:rsidR="00152DF3" w:rsidRPr="003707F1">
        <w:t xml:space="preserve">: </w:t>
      </w:r>
      <w:hyperlink r:id="rId75" w:tgtFrame="_blank" w:history="1">
        <w:r w:rsidR="00152DF3" w:rsidRPr="003707F1">
          <w:rPr>
            <w:rStyle w:val="Hyperlink"/>
          </w:rPr>
          <w:t xml:space="preserve">10.1177/0956797617700622 </w:t>
        </w:r>
      </w:hyperlink>
      <w:r w:rsidR="00152DF3" w:rsidRPr="003707F1">
        <w:rPr>
          <w:rStyle w:val="identifier"/>
        </w:rPr>
        <w:t xml:space="preserve"> </w:t>
      </w:r>
    </w:p>
    <w:p w14:paraId="43BA462C" w14:textId="5030DD82" w:rsidR="009B7363" w:rsidRPr="003707F1" w:rsidRDefault="009B7363" w:rsidP="009B7363">
      <w:pPr>
        <w:pStyle w:val="EndNoteBibliography"/>
        <w:spacing w:after="0"/>
        <w:ind w:left="720" w:hanging="720"/>
        <w:rPr>
          <w:rFonts w:ascii="Times New Roman" w:hAnsi="Times New Roman"/>
          <w:noProof w:val="0"/>
          <w:sz w:val="24"/>
          <w:szCs w:val="24"/>
          <w:lang w:val="en-GB"/>
        </w:rPr>
      </w:pPr>
      <w:r w:rsidRPr="003707F1">
        <w:rPr>
          <w:rFonts w:ascii="Times New Roman" w:hAnsi="Times New Roman"/>
          <w:noProof w:val="0"/>
          <w:sz w:val="24"/>
          <w:szCs w:val="24"/>
          <w:lang w:val="en-GB"/>
        </w:rPr>
        <w:t>Savills. (2017). “Social shopping centres. Retail market in Poland” Retrieved from: http://pdf.euro.savills.co.uk/poland/retail/social-shopping-centres-2017-online.pdf</w:t>
      </w:r>
    </w:p>
    <w:p w14:paraId="4C287559" w14:textId="77777777" w:rsidR="00152DF3" w:rsidRPr="003707F1" w:rsidRDefault="00063004" w:rsidP="00152DF3">
      <w:r w:rsidRPr="003707F1">
        <w:t xml:space="preserve">Schivinski, B., </w:t>
      </w:r>
      <w:proofErr w:type="spellStart"/>
      <w:r w:rsidRPr="003707F1">
        <w:t>Muntinga</w:t>
      </w:r>
      <w:proofErr w:type="spellEnd"/>
      <w:r w:rsidRPr="003707F1">
        <w:t xml:space="preserve">, D. G., Pontes, H. M., &amp; Lukasik, P. (2021). Influencing COBRAs: </w:t>
      </w:r>
    </w:p>
    <w:p w14:paraId="616F84AC" w14:textId="41BAB5F2" w:rsidR="00063004" w:rsidRPr="003707F1" w:rsidRDefault="00063004" w:rsidP="00152DF3">
      <w:pPr>
        <w:ind w:left="720"/>
      </w:pPr>
      <w:r w:rsidRPr="003707F1">
        <w:t xml:space="preserve">the effects of brand equity on the consumer’s propensity to engage with brand-related content on social media. </w:t>
      </w:r>
      <w:r w:rsidRPr="003707F1">
        <w:rPr>
          <w:i/>
          <w:iCs/>
        </w:rPr>
        <w:t>Journal of Strategic Marketing</w:t>
      </w:r>
      <w:r w:rsidRPr="003707F1">
        <w:t xml:space="preserve">, </w:t>
      </w:r>
      <w:r w:rsidRPr="003707F1">
        <w:rPr>
          <w:i/>
          <w:iCs/>
        </w:rPr>
        <w:t>29</w:t>
      </w:r>
      <w:r w:rsidRPr="003707F1">
        <w:t xml:space="preserve">(1), 1–23. </w:t>
      </w:r>
      <w:proofErr w:type="spellStart"/>
      <w:r w:rsidR="00152DF3" w:rsidRPr="003707F1">
        <w:t>doi</w:t>
      </w:r>
      <w:proofErr w:type="spellEnd"/>
      <w:r w:rsidR="00152DF3" w:rsidRPr="003707F1">
        <w:t xml:space="preserve">: </w:t>
      </w:r>
      <w:hyperlink r:id="rId76" w:history="1">
        <w:r w:rsidR="00152DF3" w:rsidRPr="003707F1">
          <w:rPr>
            <w:rStyle w:val="Hyperlink"/>
          </w:rPr>
          <w:t>https://doi.org/10.1080/0965254X.2019.1572641</w:t>
        </w:r>
      </w:hyperlink>
      <w:r w:rsidRPr="003707F1">
        <w:t xml:space="preserve"> </w:t>
      </w:r>
    </w:p>
    <w:p w14:paraId="25B41330" w14:textId="77777777" w:rsidR="006B0574" w:rsidRPr="003707F1" w:rsidRDefault="006B0574" w:rsidP="00681CD7">
      <w:pPr>
        <w:jc w:val="both"/>
      </w:pPr>
      <w:r w:rsidRPr="003707F1">
        <w:rPr>
          <w:lang w:val="en-GB"/>
        </w:rPr>
        <w:t xml:space="preserve">Schwartz, S. H., &amp; Rubel, T. (2005). </w:t>
      </w:r>
      <w:r w:rsidRPr="003707F1">
        <w:t xml:space="preserve">Sex differences in value priorities: Cross-cultural and </w:t>
      </w:r>
    </w:p>
    <w:p w14:paraId="383D3356" w14:textId="54E7D4B0" w:rsidR="006B0574" w:rsidRPr="003707F1" w:rsidRDefault="006B0574" w:rsidP="00681CD7">
      <w:pPr>
        <w:ind w:left="720"/>
        <w:jc w:val="both"/>
      </w:pPr>
      <w:r w:rsidRPr="003707F1">
        <w:t xml:space="preserve">multimethod studies. </w:t>
      </w:r>
      <w:r w:rsidRPr="003707F1">
        <w:rPr>
          <w:i/>
          <w:iCs/>
        </w:rPr>
        <w:t>Journal of Personality and Social Psychology,</w:t>
      </w:r>
      <w:r w:rsidRPr="003707F1">
        <w:t xml:space="preserve"> 89(6), 1010 – 1028.</w:t>
      </w:r>
      <w:r w:rsidR="00152DF3" w:rsidRPr="003707F1">
        <w:t xml:space="preserve"> </w:t>
      </w:r>
      <w:proofErr w:type="spellStart"/>
      <w:r w:rsidR="00152DF3" w:rsidRPr="003707F1">
        <w:t>doi</w:t>
      </w:r>
      <w:proofErr w:type="spellEnd"/>
      <w:r w:rsidR="00152DF3" w:rsidRPr="003707F1">
        <w:t xml:space="preserve">: </w:t>
      </w:r>
      <w:hyperlink r:id="rId77" w:tgtFrame="_blank" w:history="1">
        <w:r w:rsidR="00152DF3" w:rsidRPr="003707F1">
          <w:rPr>
            <w:rStyle w:val="Hyperlink"/>
          </w:rPr>
          <w:t>https://doi.org/10.1037/0022-3514.89.6.1010</w:t>
        </w:r>
      </w:hyperlink>
      <w:r w:rsidR="00152DF3" w:rsidRPr="003707F1">
        <w:t xml:space="preserve"> </w:t>
      </w:r>
    </w:p>
    <w:p w14:paraId="595CC0D5" w14:textId="77777777" w:rsidR="000140A3" w:rsidRPr="003707F1" w:rsidRDefault="000140A3" w:rsidP="00681CD7">
      <w:pPr>
        <w:jc w:val="both"/>
      </w:pPr>
      <w:r w:rsidRPr="003707F1">
        <w:t xml:space="preserve">Sharma, R., &amp; Jha, M. (2017). Values influencing sustainable consumption behaviour: </w:t>
      </w:r>
    </w:p>
    <w:p w14:paraId="17859B2C" w14:textId="4B3EACB3" w:rsidR="000140A3" w:rsidRPr="003707F1" w:rsidRDefault="000140A3" w:rsidP="00152DF3">
      <w:pPr>
        <w:ind w:left="720"/>
        <w:jc w:val="both"/>
      </w:pPr>
      <w:r w:rsidRPr="003707F1">
        <w:t xml:space="preserve">Exploring the contextual relationship. </w:t>
      </w:r>
      <w:r w:rsidRPr="003707F1">
        <w:rPr>
          <w:i/>
          <w:iCs/>
        </w:rPr>
        <w:t>Journal of Business Research</w:t>
      </w:r>
      <w:r w:rsidRPr="003707F1">
        <w:t>, 76, 77-88.</w:t>
      </w:r>
      <w:r w:rsidR="00152DF3" w:rsidRPr="003707F1">
        <w:t xml:space="preserve"> </w:t>
      </w:r>
      <w:proofErr w:type="spellStart"/>
      <w:r w:rsidR="00152DF3" w:rsidRPr="003707F1">
        <w:t>doi</w:t>
      </w:r>
      <w:proofErr w:type="spellEnd"/>
      <w:r w:rsidR="00152DF3" w:rsidRPr="003707F1">
        <w:t xml:space="preserve">: </w:t>
      </w:r>
      <w:hyperlink r:id="rId78" w:tgtFrame="_blank" w:tooltip="Persistent link using digital object identifier" w:history="1">
        <w:r w:rsidR="00152DF3" w:rsidRPr="003707F1">
          <w:rPr>
            <w:rStyle w:val="Hyperlink"/>
          </w:rPr>
          <w:t>https://doi.org/10.1016/j.jbusres.2017.03.010</w:t>
        </w:r>
      </w:hyperlink>
    </w:p>
    <w:p w14:paraId="49DF64B3" w14:textId="77777777" w:rsidR="001B226C" w:rsidRPr="003707F1" w:rsidRDefault="001B226C" w:rsidP="00063004">
      <w:pPr>
        <w:jc w:val="both"/>
      </w:pPr>
      <w:r w:rsidRPr="003707F1">
        <w:t xml:space="preserve">Sharma, N, </w:t>
      </w:r>
      <w:proofErr w:type="spellStart"/>
      <w:r w:rsidRPr="003707F1">
        <w:t>Saha</w:t>
      </w:r>
      <w:proofErr w:type="spellEnd"/>
      <w:r w:rsidRPr="003707F1">
        <w:t xml:space="preserve">, R, </w:t>
      </w:r>
      <w:proofErr w:type="spellStart"/>
      <w:r w:rsidRPr="003707F1">
        <w:t>Sreedharan</w:t>
      </w:r>
      <w:proofErr w:type="spellEnd"/>
      <w:r w:rsidRPr="003707F1">
        <w:t xml:space="preserve">, VR, Paul, J. (2020) Relating the role of green self‐concepts </w:t>
      </w:r>
    </w:p>
    <w:p w14:paraId="6611610E" w14:textId="15DAFC9B" w:rsidR="001B226C" w:rsidRPr="003707F1" w:rsidRDefault="001B226C" w:rsidP="00063004">
      <w:pPr>
        <w:ind w:left="720"/>
        <w:jc w:val="both"/>
        <w:rPr>
          <w:rStyle w:val="Hyperlink"/>
        </w:rPr>
      </w:pPr>
      <w:r w:rsidRPr="003707F1">
        <w:t xml:space="preserve">and identity on green purchasing behaviour: An empirical analysis. </w:t>
      </w:r>
      <w:proofErr w:type="gramStart"/>
      <w:r w:rsidRPr="003707F1">
        <w:rPr>
          <w:i/>
          <w:iCs/>
        </w:rPr>
        <w:t>Business  Strategy</w:t>
      </w:r>
      <w:proofErr w:type="gramEnd"/>
      <w:r w:rsidRPr="003707F1">
        <w:rPr>
          <w:i/>
          <w:iCs/>
        </w:rPr>
        <w:t xml:space="preserve"> &amp; the Environment.</w:t>
      </w:r>
      <w:r w:rsidRPr="003707F1">
        <w:t xml:space="preserve"> 2020; 1– 17.</w:t>
      </w:r>
      <w:r w:rsidR="00152DF3" w:rsidRPr="003707F1">
        <w:t xml:space="preserve"> </w:t>
      </w:r>
      <w:proofErr w:type="spellStart"/>
      <w:r w:rsidR="00152DF3" w:rsidRPr="003707F1">
        <w:t>doi</w:t>
      </w:r>
      <w:proofErr w:type="spellEnd"/>
      <w:r w:rsidR="00152DF3" w:rsidRPr="003707F1">
        <w:t>:</w:t>
      </w:r>
      <w:r w:rsidRPr="003707F1">
        <w:t xml:space="preserve"> </w:t>
      </w:r>
      <w:hyperlink r:id="rId79" w:history="1">
        <w:r w:rsidR="00121208" w:rsidRPr="003707F1">
          <w:rPr>
            <w:rStyle w:val="Hyperlink"/>
          </w:rPr>
          <w:t>https://doi.org/10.1002/bse.2567</w:t>
        </w:r>
      </w:hyperlink>
    </w:p>
    <w:p w14:paraId="40B3AAB8" w14:textId="77777777" w:rsidR="00DB524D" w:rsidRPr="003707F1" w:rsidRDefault="00DB524D" w:rsidP="00063004">
      <w:pPr>
        <w:jc w:val="both"/>
      </w:pPr>
      <w:proofErr w:type="spellStart"/>
      <w:r w:rsidRPr="003707F1">
        <w:t>Shavitt</w:t>
      </w:r>
      <w:proofErr w:type="spellEnd"/>
      <w:r w:rsidRPr="003707F1">
        <w:t xml:space="preserve">, S., &amp; Cho, H. (2016). Culture and consumer </w:t>
      </w:r>
      <w:proofErr w:type="spellStart"/>
      <w:r w:rsidRPr="003707F1">
        <w:t>behavior</w:t>
      </w:r>
      <w:proofErr w:type="spellEnd"/>
      <w:r w:rsidRPr="003707F1">
        <w:t xml:space="preserve">: the role of horizontal and </w:t>
      </w:r>
    </w:p>
    <w:p w14:paraId="65AF7163" w14:textId="169DD9A7" w:rsidR="00DB524D" w:rsidRPr="003707F1" w:rsidRDefault="00DB524D" w:rsidP="00063004">
      <w:pPr>
        <w:ind w:firstLine="720"/>
        <w:jc w:val="both"/>
      </w:pPr>
      <w:r w:rsidRPr="003707F1">
        <w:t xml:space="preserve">vertical cultural factors. </w:t>
      </w:r>
      <w:r w:rsidRPr="003707F1">
        <w:rPr>
          <w:i/>
          <w:iCs/>
        </w:rPr>
        <w:t>Current Opinion in Psychology</w:t>
      </w:r>
      <w:r w:rsidRPr="003707F1">
        <w:t xml:space="preserve">, 8, 149-154. </w:t>
      </w:r>
    </w:p>
    <w:p w14:paraId="5FBA58BF" w14:textId="222107F5" w:rsidR="00DB524D" w:rsidRPr="003707F1" w:rsidRDefault="00DB524D" w:rsidP="00063004">
      <w:pPr>
        <w:ind w:firstLine="720"/>
        <w:jc w:val="both"/>
      </w:pPr>
      <w:proofErr w:type="gramStart"/>
      <w:r w:rsidRPr="003707F1">
        <w:t>doi:10.1016/j.copsyc</w:t>
      </w:r>
      <w:proofErr w:type="gramEnd"/>
      <w:r w:rsidRPr="003707F1">
        <w:t>.2015.11.007</w:t>
      </w:r>
    </w:p>
    <w:p w14:paraId="7C99AB87" w14:textId="77777777" w:rsidR="00DB524D" w:rsidRPr="003707F1" w:rsidRDefault="00DB524D" w:rsidP="00063004">
      <w:pPr>
        <w:jc w:val="both"/>
      </w:pPr>
      <w:proofErr w:type="spellStart"/>
      <w:r w:rsidRPr="003707F1">
        <w:t>Shavitt</w:t>
      </w:r>
      <w:proofErr w:type="spellEnd"/>
      <w:r w:rsidRPr="003707F1">
        <w:t xml:space="preserve">, S., </w:t>
      </w:r>
      <w:proofErr w:type="spellStart"/>
      <w:r w:rsidRPr="003707F1">
        <w:t>Torelli</w:t>
      </w:r>
      <w:proofErr w:type="spellEnd"/>
      <w:r w:rsidRPr="003707F1">
        <w:t xml:space="preserve">, C. J., &amp; Riemer, H. (2011). Horizontal and vertical individualism and </w:t>
      </w:r>
    </w:p>
    <w:p w14:paraId="3F5E50D4" w14:textId="77777777" w:rsidR="00DB524D" w:rsidRPr="003707F1" w:rsidRDefault="00DB524D" w:rsidP="00063004">
      <w:pPr>
        <w:ind w:firstLine="720"/>
        <w:jc w:val="both"/>
      </w:pPr>
      <w:r w:rsidRPr="003707F1">
        <w:t xml:space="preserve">collectivism: implications for understanding psychological processes. In M. J. </w:t>
      </w:r>
    </w:p>
    <w:p w14:paraId="29955485" w14:textId="77777777" w:rsidR="00DB524D" w:rsidRPr="003707F1" w:rsidRDefault="00DB524D" w:rsidP="00063004">
      <w:pPr>
        <w:ind w:firstLine="720"/>
        <w:jc w:val="both"/>
      </w:pPr>
      <w:r w:rsidRPr="003707F1">
        <w:t xml:space="preserve">Gelfand, C.-y. Chiu, &amp; Y.-y. Hong (Eds.), </w:t>
      </w:r>
      <w:r w:rsidRPr="003707F1">
        <w:rPr>
          <w:i/>
          <w:iCs/>
        </w:rPr>
        <w:t>Advances in Culture and Psychology</w:t>
      </w:r>
      <w:r w:rsidRPr="003707F1">
        <w:t xml:space="preserve"> (Vol. </w:t>
      </w:r>
    </w:p>
    <w:p w14:paraId="683AF9D3" w14:textId="05D7007B" w:rsidR="00DB524D" w:rsidRPr="003707F1" w:rsidRDefault="00DB524D" w:rsidP="00063004">
      <w:pPr>
        <w:ind w:firstLine="720"/>
        <w:jc w:val="both"/>
      </w:pPr>
      <w:r w:rsidRPr="003707F1">
        <w:t>1, pp. 309-350). London: Oxford University Press.</w:t>
      </w:r>
    </w:p>
    <w:p w14:paraId="650E59AE" w14:textId="77777777" w:rsidR="001B226C" w:rsidRPr="003707F1" w:rsidRDefault="00AC5BE7" w:rsidP="00063004">
      <w:pPr>
        <w:jc w:val="both"/>
      </w:pPr>
      <w:r w:rsidRPr="003707F1">
        <w:t xml:space="preserve">Simon, D., &amp; </w:t>
      </w:r>
      <w:proofErr w:type="spellStart"/>
      <w:r w:rsidRPr="003707F1">
        <w:t>Holyoak</w:t>
      </w:r>
      <w:proofErr w:type="spellEnd"/>
      <w:r w:rsidRPr="003707F1">
        <w:t xml:space="preserve">, K. J. (2002). Structural dynamics of cognition: From consistency </w:t>
      </w:r>
    </w:p>
    <w:p w14:paraId="5AF5CEAE" w14:textId="5F610CC1" w:rsidR="00AC5BE7" w:rsidRPr="003707F1" w:rsidRDefault="00AC5BE7" w:rsidP="00063004">
      <w:pPr>
        <w:ind w:left="720"/>
        <w:jc w:val="both"/>
      </w:pPr>
      <w:r w:rsidRPr="003707F1">
        <w:t xml:space="preserve">theories to constraint satisfaction. </w:t>
      </w:r>
      <w:r w:rsidRPr="003707F1">
        <w:rPr>
          <w:i/>
          <w:iCs/>
        </w:rPr>
        <w:t xml:space="preserve">Personality and </w:t>
      </w:r>
      <w:r w:rsidR="003B1AB7" w:rsidRPr="003707F1">
        <w:rPr>
          <w:i/>
          <w:iCs/>
        </w:rPr>
        <w:t>S</w:t>
      </w:r>
      <w:r w:rsidRPr="003707F1">
        <w:rPr>
          <w:i/>
          <w:iCs/>
        </w:rPr>
        <w:t xml:space="preserve">ocial </w:t>
      </w:r>
      <w:r w:rsidR="003B1AB7" w:rsidRPr="003707F1">
        <w:rPr>
          <w:i/>
          <w:iCs/>
        </w:rPr>
        <w:t>P</w:t>
      </w:r>
      <w:r w:rsidRPr="003707F1">
        <w:rPr>
          <w:i/>
          <w:iCs/>
        </w:rPr>
        <w:t xml:space="preserve">sychology </w:t>
      </w:r>
      <w:r w:rsidR="003B1AB7" w:rsidRPr="003707F1">
        <w:rPr>
          <w:i/>
          <w:iCs/>
        </w:rPr>
        <w:t>R</w:t>
      </w:r>
      <w:r w:rsidRPr="003707F1">
        <w:rPr>
          <w:i/>
          <w:iCs/>
        </w:rPr>
        <w:t>eview,</w:t>
      </w:r>
      <w:r w:rsidRPr="003707F1">
        <w:t xml:space="preserve"> 6(4), 283-294.</w:t>
      </w:r>
      <w:r w:rsidR="00152DF3" w:rsidRPr="003707F1">
        <w:t xml:space="preserve"> </w:t>
      </w:r>
      <w:proofErr w:type="spellStart"/>
      <w:r w:rsidR="00152DF3" w:rsidRPr="003707F1">
        <w:t>doi</w:t>
      </w:r>
      <w:proofErr w:type="spellEnd"/>
      <w:r w:rsidR="00152DF3" w:rsidRPr="003707F1">
        <w:t xml:space="preserve">: </w:t>
      </w:r>
      <w:hyperlink r:id="rId80" w:history="1">
        <w:r w:rsidR="00152DF3" w:rsidRPr="003707F1">
          <w:rPr>
            <w:rStyle w:val="Hyperlink"/>
          </w:rPr>
          <w:t>https://doi.org/10.1207/S15327957PSPR0604_03</w:t>
        </w:r>
      </w:hyperlink>
      <w:r w:rsidR="00152DF3" w:rsidRPr="003707F1">
        <w:t xml:space="preserve"> </w:t>
      </w:r>
    </w:p>
    <w:p w14:paraId="73F371A6" w14:textId="434B211D" w:rsidR="00617079" w:rsidRPr="003707F1" w:rsidRDefault="00632379" w:rsidP="00681CD7">
      <w:pPr>
        <w:jc w:val="both"/>
      </w:pPr>
      <w:proofErr w:type="spellStart"/>
      <w:r w:rsidRPr="003707F1">
        <w:t>Singelis</w:t>
      </w:r>
      <w:proofErr w:type="spellEnd"/>
      <w:r w:rsidRPr="003707F1">
        <w:t xml:space="preserve">, T. M., </w:t>
      </w:r>
      <w:proofErr w:type="spellStart"/>
      <w:r w:rsidRPr="003707F1">
        <w:t>Triandis</w:t>
      </w:r>
      <w:proofErr w:type="spellEnd"/>
      <w:r w:rsidRPr="003707F1">
        <w:t xml:space="preserve">, H. C., </w:t>
      </w:r>
      <w:proofErr w:type="spellStart"/>
      <w:r w:rsidRPr="003707F1">
        <w:t>Bhawuk</w:t>
      </w:r>
      <w:proofErr w:type="spellEnd"/>
      <w:r w:rsidRPr="003707F1">
        <w:t xml:space="preserve">, D. P. S., &amp; Gelfand, M. J. (1995). Horizontal and </w:t>
      </w:r>
    </w:p>
    <w:p w14:paraId="03C3D588" w14:textId="1CCCE94E" w:rsidR="00152DF3" w:rsidRPr="003707F1" w:rsidRDefault="00632379" w:rsidP="00152DF3">
      <w:pPr>
        <w:ind w:left="720"/>
        <w:jc w:val="both"/>
      </w:pPr>
      <w:r w:rsidRPr="003707F1">
        <w:t xml:space="preserve">vertical dimensions of individualism and collectivism: A theoretical and measurement refinement. </w:t>
      </w:r>
      <w:r w:rsidRPr="003707F1">
        <w:rPr>
          <w:i/>
          <w:iCs/>
        </w:rPr>
        <w:t>Cross-Cultural Research</w:t>
      </w:r>
      <w:r w:rsidRPr="003707F1">
        <w:t xml:space="preserve">, 29(3), 240-275. </w:t>
      </w:r>
      <w:proofErr w:type="spellStart"/>
      <w:r w:rsidRPr="003707F1">
        <w:t>doi</w:t>
      </w:r>
      <w:proofErr w:type="spellEnd"/>
      <w:r w:rsidRPr="003707F1">
        <w:t>: 10.1177/106939719502900302</w:t>
      </w:r>
      <w:r w:rsidR="00152DF3" w:rsidRPr="003707F1">
        <w:t xml:space="preserve"> </w:t>
      </w:r>
    </w:p>
    <w:p w14:paraId="29E99512" w14:textId="77777777" w:rsidR="00107A8D" w:rsidRPr="003707F1" w:rsidRDefault="00107A8D" w:rsidP="00107A8D">
      <w:r w:rsidRPr="003707F1">
        <w:t xml:space="preserve">Singh, N., Kwon, I. W., &amp; Pereira, A. (2003). Cross‐cultural consumer socialization: An </w:t>
      </w:r>
    </w:p>
    <w:p w14:paraId="411BA317" w14:textId="4C851E56" w:rsidR="00107A8D" w:rsidRPr="003707F1" w:rsidRDefault="00107A8D" w:rsidP="00107A8D">
      <w:pPr>
        <w:ind w:left="720"/>
      </w:pPr>
      <w:r w:rsidRPr="003707F1">
        <w:t xml:space="preserve">exploratory study of socialization influences across three ethnic groups. </w:t>
      </w:r>
      <w:r w:rsidRPr="003707F1">
        <w:rPr>
          <w:i/>
          <w:iCs/>
        </w:rPr>
        <w:t>Psychology &amp; Marketing</w:t>
      </w:r>
      <w:r w:rsidRPr="003707F1">
        <w:t xml:space="preserve">, </w:t>
      </w:r>
      <w:r w:rsidRPr="003707F1">
        <w:rPr>
          <w:i/>
          <w:iCs/>
        </w:rPr>
        <w:t>20</w:t>
      </w:r>
      <w:r w:rsidRPr="003707F1">
        <w:t xml:space="preserve">(10), 867-881. </w:t>
      </w:r>
      <w:proofErr w:type="spellStart"/>
      <w:r w:rsidRPr="003707F1">
        <w:t>doi</w:t>
      </w:r>
      <w:proofErr w:type="spellEnd"/>
      <w:r w:rsidRPr="003707F1">
        <w:t xml:space="preserve">: </w:t>
      </w:r>
      <w:hyperlink r:id="rId81" w:history="1">
        <w:r w:rsidRPr="003707F1">
          <w:rPr>
            <w:rStyle w:val="Hyperlink"/>
          </w:rPr>
          <w:t>https://doi.org/10.1002/mar.10100</w:t>
        </w:r>
      </w:hyperlink>
      <w:r w:rsidRPr="003707F1">
        <w:t xml:space="preserve"> </w:t>
      </w:r>
    </w:p>
    <w:p w14:paraId="270D3015" w14:textId="77777777" w:rsidR="00617079" w:rsidRPr="003707F1" w:rsidRDefault="009E5DA6" w:rsidP="00681CD7">
      <w:pPr>
        <w:jc w:val="both"/>
      </w:pPr>
      <w:proofErr w:type="spellStart"/>
      <w:r w:rsidRPr="003707F1">
        <w:t>Sivadas</w:t>
      </w:r>
      <w:proofErr w:type="spellEnd"/>
      <w:r w:rsidRPr="003707F1">
        <w:t xml:space="preserve">, E., </w:t>
      </w:r>
      <w:proofErr w:type="spellStart"/>
      <w:r w:rsidRPr="003707F1">
        <w:t>Bruvold</w:t>
      </w:r>
      <w:proofErr w:type="spellEnd"/>
      <w:r w:rsidRPr="003707F1">
        <w:t xml:space="preserve">, N. T., &amp; Nelson, M. R. (2008). A reduced version of the horizontal and </w:t>
      </w:r>
    </w:p>
    <w:p w14:paraId="01577107" w14:textId="77777777" w:rsidR="00617079" w:rsidRPr="003707F1" w:rsidRDefault="009E5DA6" w:rsidP="00681CD7">
      <w:pPr>
        <w:ind w:firstLine="720"/>
        <w:jc w:val="both"/>
        <w:rPr>
          <w:i/>
        </w:rPr>
      </w:pPr>
      <w:r w:rsidRPr="003707F1">
        <w:t xml:space="preserve">vertical individualism and collectivism scale: A four-country assessment. </w:t>
      </w:r>
      <w:r w:rsidRPr="003707F1">
        <w:rPr>
          <w:i/>
        </w:rPr>
        <w:t xml:space="preserve">Journal of </w:t>
      </w:r>
    </w:p>
    <w:p w14:paraId="11BC7EF7" w14:textId="0E66D866" w:rsidR="00BD074F" w:rsidRPr="003707F1" w:rsidRDefault="009E5DA6" w:rsidP="00681CD7">
      <w:pPr>
        <w:ind w:firstLine="720"/>
        <w:jc w:val="both"/>
      </w:pPr>
      <w:r w:rsidRPr="003707F1">
        <w:rPr>
          <w:i/>
        </w:rPr>
        <w:t>Business Research, 61</w:t>
      </w:r>
      <w:r w:rsidRPr="003707F1">
        <w:t>(3), 201-210.</w:t>
      </w:r>
      <w:bookmarkStart w:id="15" w:name="_Hlk12457050"/>
      <w:r w:rsidR="009E0F65" w:rsidRPr="003707F1">
        <w:t xml:space="preserve"> </w:t>
      </w:r>
      <w:proofErr w:type="spellStart"/>
      <w:r w:rsidR="009E0F65" w:rsidRPr="003707F1">
        <w:t>doi</w:t>
      </w:r>
      <w:proofErr w:type="spellEnd"/>
      <w:r w:rsidR="009E0F65" w:rsidRPr="003707F1">
        <w:t xml:space="preserve">: </w:t>
      </w:r>
      <w:hyperlink r:id="rId82" w:tgtFrame="_blank" w:history="1">
        <w:r w:rsidR="009E0F65" w:rsidRPr="003707F1">
          <w:rPr>
            <w:rStyle w:val="Hyperlink"/>
          </w:rPr>
          <w:t>https://doi.org/10.1016/j.jbusres.2007.06.016</w:t>
        </w:r>
      </w:hyperlink>
      <w:r w:rsidR="009E0F65" w:rsidRPr="003707F1">
        <w:t xml:space="preserve"> </w:t>
      </w:r>
    </w:p>
    <w:bookmarkEnd w:id="15"/>
    <w:p w14:paraId="20C1FB7C" w14:textId="422B901B" w:rsidR="00617079" w:rsidRPr="003707F1" w:rsidRDefault="003B2F4F" w:rsidP="00681CD7">
      <w:pPr>
        <w:jc w:val="both"/>
        <w:rPr>
          <w:i/>
          <w:iCs/>
        </w:rPr>
      </w:pPr>
      <w:r w:rsidRPr="003707F1">
        <w:t xml:space="preserve">Stets, J., &amp; Burke, P. (2000). Identity </w:t>
      </w:r>
      <w:r w:rsidR="00DC3DB3" w:rsidRPr="003707F1">
        <w:t>t</w:t>
      </w:r>
      <w:r w:rsidRPr="003707F1">
        <w:t xml:space="preserve">heory and </w:t>
      </w:r>
      <w:r w:rsidR="00DC3DB3" w:rsidRPr="003707F1">
        <w:t>s</w:t>
      </w:r>
      <w:r w:rsidRPr="003707F1">
        <w:t xml:space="preserve">ocial </w:t>
      </w:r>
      <w:r w:rsidR="00DC3DB3" w:rsidRPr="003707F1">
        <w:t>i</w:t>
      </w:r>
      <w:r w:rsidRPr="003707F1">
        <w:t xml:space="preserve">dentity </w:t>
      </w:r>
      <w:r w:rsidR="00DC3DB3" w:rsidRPr="003707F1">
        <w:t>t</w:t>
      </w:r>
      <w:r w:rsidRPr="003707F1">
        <w:t xml:space="preserve">heory. </w:t>
      </w:r>
      <w:r w:rsidRPr="003707F1">
        <w:rPr>
          <w:i/>
          <w:iCs/>
        </w:rPr>
        <w:t xml:space="preserve">Social Psychology </w:t>
      </w:r>
    </w:p>
    <w:p w14:paraId="569143BA" w14:textId="3F17D8FD" w:rsidR="003B2F4F" w:rsidRPr="003707F1" w:rsidRDefault="003B2F4F" w:rsidP="00681CD7">
      <w:pPr>
        <w:ind w:firstLine="720"/>
        <w:jc w:val="both"/>
        <w:rPr>
          <w:rStyle w:val="Hyperlink"/>
        </w:rPr>
      </w:pPr>
      <w:r w:rsidRPr="003707F1">
        <w:rPr>
          <w:i/>
          <w:iCs/>
        </w:rPr>
        <w:t>Quarterly</w:t>
      </w:r>
      <w:r w:rsidRPr="003707F1">
        <w:t xml:space="preserve">, 63(3), 224-237. </w:t>
      </w:r>
      <w:proofErr w:type="spellStart"/>
      <w:r w:rsidR="009E0F65" w:rsidRPr="003707F1">
        <w:t>doi</w:t>
      </w:r>
      <w:proofErr w:type="spellEnd"/>
      <w:r w:rsidR="009E0F65" w:rsidRPr="003707F1">
        <w:t>:</w:t>
      </w:r>
      <w:r w:rsidRPr="003707F1">
        <w:t xml:space="preserve"> </w:t>
      </w:r>
      <w:hyperlink r:id="rId83" w:history="1">
        <w:r w:rsidR="00277B07" w:rsidRPr="003707F1">
          <w:rPr>
            <w:rStyle w:val="Hyperlink"/>
          </w:rPr>
          <w:t>http://www.jstor.org/stable/2695870</w:t>
        </w:r>
      </w:hyperlink>
    </w:p>
    <w:p w14:paraId="70C07515" w14:textId="77777777" w:rsidR="009127A1" w:rsidRPr="003707F1" w:rsidRDefault="009127A1" w:rsidP="00681CD7">
      <w:pPr>
        <w:jc w:val="both"/>
      </w:pPr>
      <w:r w:rsidRPr="003707F1">
        <w:t xml:space="preserve">Stevens, M., Rees, T., Coffee, P., Steffens, N. K., Haslam, S. A., &amp; Polman, R. (2017). A social </w:t>
      </w:r>
    </w:p>
    <w:p w14:paraId="40797275" w14:textId="50344B7D" w:rsidR="009127A1" w:rsidRPr="003707F1" w:rsidRDefault="009127A1" w:rsidP="00681CD7">
      <w:pPr>
        <w:ind w:left="720"/>
        <w:jc w:val="both"/>
      </w:pPr>
      <w:r w:rsidRPr="003707F1">
        <w:t xml:space="preserve">identity approach to understanding and promoting physical activity. </w:t>
      </w:r>
      <w:r w:rsidRPr="003707F1">
        <w:rPr>
          <w:i/>
          <w:iCs/>
        </w:rPr>
        <w:t>Sports Medicine,</w:t>
      </w:r>
      <w:r w:rsidRPr="003707F1">
        <w:t xml:space="preserve"> 47(10), 1911-1918.</w:t>
      </w:r>
      <w:r w:rsidR="009E0F65" w:rsidRPr="003707F1">
        <w:t xml:space="preserve"> </w:t>
      </w:r>
      <w:proofErr w:type="spellStart"/>
      <w:r w:rsidR="009E0F65" w:rsidRPr="003707F1">
        <w:t>doi</w:t>
      </w:r>
      <w:proofErr w:type="spellEnd"/>
      <w:r w:rsidR="009E0F65" w:rsidRPr="003707F1">
        <w:t xml:space="preserve">: </w:t>
      </w:r>
      <w:hyperlink r:id="rId84" w:history="1">
        <w:r w:rsidR="009E0F65" w:rsidRPr="003707F1">
          <w:rPr>
            <w:rStyle w:val="Hyperlink"/>
          </w:rPr>
          <w:t>https://doi.org/10.1007/s40279-017-0720-4</w:t>
        </w:r>
      </w:hyperlink>
      <w:r w:rsidR="009E0F65" w:rsidRPr="003707F1">
        <w:rPr>
          <w:rStyle w:val="c-bibliographic-informationvalue"/>
        </w:rPr>
        <w:t xml:space="preserve"> </w:t>
      </w:r>
    </w:p>
    <w:p w14:paraId="510E957E" w14:textId="77777777" w:rsidR="00617079" w:rsidRPr="003707F1" w:rsidRDefault="00841202" w:rsidP="00681CD7">
      <w:pPr>
        <w:jc w:val="both"/>
      </w:pPr>
      <w:r w:rsidRPr="003707F1">
        <w:t xml:space="preserve">Tajfel, H. (1972). Social categorization. English manuscript of ‘La </w:t>
      </w:r>
      <w:proofErr w:type="spellStart"/>
      <w:r w:rsidRPr="003707F1">
        <w:t>catégorisation</w:t>
      </w:r>
      <w:proofErr w:type="spellEnd"/>
      <w:r w:rsidRPr="003707F1">
        <w:t xml:space="preserve"> </w:t>
      </w:r>
      <w:proofErr w:type="spellStart"/>
      <w:r w:rsidRPr="003707F1">
        <w:t>sociale</w:t>
      </w:r>
      <w:proofErr w:type="spellEnd"/>
      <w:r w:rsidRPr="003707F1">
        <w:t xml:space="preserve">’. In </w:t>
      </w:r>
    </w:p>
    <w:p w14:paraId="5CCCCE20" w14:textId="4A2DAD03" w:rsidR="00841202" w:rsidRPr="003707F1" w:rsidRDefault="00841202" w:rsidP="00681CD7">
      <w:pPr>
        <w:ind w:left="720"/>
        <w:jc w:val="both"/>
      </w:pPr>
      <w:r w:rsidRPr="003707F1">
        <w:t xml:space="preserve">S. Moscovici (Ed.), Introduction à la </w:t>
      </w:r>
      <w:proofErr w:type="spellStart"/>
      <w:r w:rsidRPr="003707F1">
        <w:t>psychologie</w:t>
      </w:r>
      <w:proofErr w:type="spellEnd"/>
      <w:r w:rsidRPr="003707F1">
        <w:t xml:space="preserve"> </w:t>
      </w:r>
      <w:proofErr w:type="spellStart"/>
      <w:r w:rsidRPr="003707F1">
        <w:t>sociale</w:t>
      </w:r>
      <w:proofErr w:type="spellEnd"/>
      <w:r w:rsidRPr="003707F1">
        <w:t xml:space="preserve"> (Vol. 1, pp. 272–302). Paris: Larousse. </w:t>
      </w:r>
    </w:p>
    <w:p w14:paraId="69AE7C1B" w14:textId="53328409" w:rsidR="00243DFB" w:rsidRPr="003707F1" w:rsidRDefault="00243DFB" w:rsidP="00681CD7">
      <w:pPr>
        <w:jc w:val="both"/>
      </w:pPr>
      <w:r w:rsidRPr="003707F1">
        <w:t xml:space="preserve">Tajfel, H. (1978). Social categorization, social </w:t>
      </w:r>
      <w:proofErr w:type="gramStart"/>
      <w:r w:rsidRPr="003707F1">
        <w:t>identity</w:t>
      </w:r>
      <w:proofErr w:type="gramEnd"/>
      <w:r w:rsidRPr="003707F1">
        <w:t xml:space="preserve"> and social comparison. In H. Tajfel </w:t>
      </w:r>
    </w:p>
    <w:p w14:paraId="55533B0F" w14:textId="62740521" w:rsidR="00243DFB" w:rsidRPr="003707F1" w:rsidRDefault="00243DFB" w:rsidP="00681CD7">
      <w:pPr>
        <w:ind w:firstLine="720"/>
        <w:jc w:val="both"/>
      </w:pPr>
      <w:r w:rsidRPr="003707F1">
        <w:t>(Ed.), Differentiation between social groups (pp. 61-76). London: Academic Press.</w:t>
      </w:r>
    </w:p>
    <w:p w14:paraId="436ADD40" w14:textId="6CC2919C" w:rsidR="000C0B9D" w:rsidRPr="003707F1" w:rsidRDefault="000C0B9D" w:rsidP="00C836A7">
      <w:pPr>
        <w:pStyle w:val="NormalWeb"/>
        <w:spacing w:before="0" w:beforeAutospacing="0" w:after="0" w:afterAutospacing="0"/>
        <w:jc w:val="both"/>
      </w:pPr>
      <w:proofErr w:type="spellStart"/>
      <w:r w:rsidRPr="003707F1">
        <w:t>Taufique</w:t>
      </w:r>
      <w:proofErr w:type="spellEnd"/>
      <w:r w:rsidRPr="003707F1">
        <w:t xml:space="preserve">, K.M.R. and Islam, S. (2021), "Green marketing in emerging Asia: antecedents of </w:t>
      </w:r>
    </w:p>
    <w:p w14:paraId="17F5A167" w14:textId="60207CAD" w:rsidR="000C0B9D" w:rsidRPr="003707F1" w:rsidRDefault="000C0B9D" w:rsidP="00C836A7">
      <w:pPr>
        <w:pStyle w:val="NormalWeb"/>
        <w:spacing w:before="0" w:beforeAutospacing="0" w:after="0" w:afterAutospacing="0"/>
        <w:ind w:left="720"/>
        <w:jc w:val="both"/>
      </w:pPr>
      <w:r w:rsidRPr="003707F1">
        <w:lastRenderedPageBreak/>
        <w:t xml:space="preserve">green consumer </w:t>
      </w:r>
      <w:proofErr w:type="spellStart"/>
      <w:r w:rsidRPr="003707F1">
        <w:t>behavior</w:t>
      </w:r>
      <w:proofErr w:type="spellEnd"/>
      <w:r w:rsidRPr="003707F1">
        <w:t xml:space="preserve"> among younger millennials", </w:t>
      </w:r>
      <w:r w:rsidRPr="003707F1">
        <w:rPr>
          <w:i/>
          <w:iCs/>
        </w:rPr>
        <w:t>Journal of Asia Business Studies</w:t>
      </w:r>
      <w:r w:rsidRPr="003707F1">
        <w:t>, Vol. ahead-of-print No. ahead-of-print.</w:t>
      </w:r>
      <w:r w:rsidR="009E0F65" w:rsidRPr="003707F1">
        <w:t xml:space="preserve"> </w:t>
      </w:r>
      <w:proofErr w:type="spellStart"/>
      <w:r w:rsidR="009E0F65" w:rsidRPr="003707F1">
        <w:t>doi</w:t>
      </w:r>
      <w:proofErr w:type="spellEnd"/>
      <w:r w:rsidR="009E0F65" w:rsidRPr="003707F1">
        <w:t>:</w:t>
      </w:r>
      <w:r w:rsidRPr="003707F1">
        <w:t xml:space="preserve"> </w:t>
      </w:r>
      <w:hyperlink r:id="rId85" w:tooltip="DOI: https://doi.org/10.1108/JABS-03-2020-0094" w:history="1">
        <w:r w:rsidRPr="003707F1">
          <w:rPr>
            <w:rStyle w:val="Hyperlink"/>
          </w:rPr>
          <w:t>https://doi.org/10.1108/JABS-03-2020-0094</w:t>
        </w:r>
      </w:hyperlink>
      <w:r w:rsidRPr="003707F1">
        <w:t xml:space="preserve"> </w:t>
      </w:r>
    </w:p>
    <w:p w14:paraId="2B02E199" w14:textId="77777777" w:rsidR="003B0CF7" w:rsidRPr="003707F1" w:rsidRDefault="003B0CF7" w:rsidP="00681CD7">
      <w:pPr>
        <w:jc w:val="both"/>
      </w:pPr>
      <w:proofErr w:type="spellStart"/>
      <w:r w:rsidRPr="003707F1">
        <w:t>Thøgersen</w:t>
      </w:r>
      <w:proofErr w:type="spellEnd"/>
      <w:r w:rsidRPr="003707F1">
        <w:t xml:space="preserve">, J., &amp; </w:t>
      </w:r>
      <w:proofErr w:type="spellStart"/>
      <w:r w:rsidRPr="003707F1">
        <w:t>Ölander</w:t>
      </w:r>
      <w:proofErr w:type="spellEnd"/>
      <w:r w:rsidRPr="003707F1">
        <w:t xml:space="preserve">, F. (2002). Human values and the emergence of a sustainable </w:t>
      </w:r>
    </w:p>
    <w:p w14:paraId="6AAC34DB" w14:textId="0FD2D161" w:rsidR="003B0CF7" w:rsidRPr="003707F1" w:rsidRDefault="003B0CF7" w:rsidP="009E0F65">
      <w:pPr>
        <w:ind w:left="720"/>
        <w:jc w:val="both"/>
      </w:pPr>
      <w:r w:rsidRPr="003707F1">
        <w:t xml:space="preserve">consumption pattern: A panel study. </w:t>
      </w:r>
      <w:r w:rsidRPr="003707F1">
        <w:rPr>
          <w:i/>
          <w:iCs/>
        </w:rPr>
        <w:t>Journal of Economic Psychology</w:t>
      </w:r>
      <w:r w:rsidRPr="003707F1">
        <w:t>, 23(5), 605-630.</w:t>
      </w:r>
      <w:r w:rsidR="009E0F65" w:rsidRPr="003707F1">
        <w:t xml:space="preserve"> </w:t>
      </w:r>
      <w:proofErr w:type="spellStart"/>
      <w:r w:rsidR="009E0F65" w:rsidRPr="003707F1">
        <w:t>doi</w:t>
      </w:r>
      <w:proofErr w:type="spellEnd"/>
      <w:r w:rsidR="009E0F65" w:rsidRPr="003707F1">
        <w:t xml:space="preserve">: </w:t>
      </w:r>
      <w:hyperlink r:id="rId86" w:tgtFrame="_blank" w:tooltip="Persistent link using digital object identifier" w:history="1">
        <w:r w:rsidR="009E0F65" w:rsidRPr="003707F1">
          <w:rPr>
            <w:rStyle w:val="Hyperlink"/>
          </w:rPr>
          <w:t>https://doi.org/10.1016/S0167-4870(02)00120-4</w:t>
        </w:r>
      </w:hyperlink>
      <w:r w:rsidR="009E0F65" w:rsidRPr="003707F1">
        <w:t xml:space="preserve"> </w:t>
      </w:r>
    </w:p>
    <w:p w14:paraId="07891863" w14:textId="2F8C895C" w:rsidR="00BB4E92" w:rsidRPr="003707F1" w:rsidRDefault="00BB4E92" w:rsidP="00681CD7">
      <w:pPr>
        <w:jc w:val="both"/>
      </w:pPr>
      <w:proofErr w:type="spellStart"/>
      <w:r w:rsidRPr="003707F1">
        <w:t>Torelli</w:t>
      </w:r>
      <w:proofErr w:type="spellEnd"/>
      <w:r w:rsidRPr="003707F1">
        <w:t xml:space="preserve">, C. J., </w:t>
      </w:r>
      <w:proofErr w:type="spellStart"/>
      <w:r w:rsidRPr="003707F1">
        <w:t>Özsomer</w:t>
      </w:r>
      <w:proofErr w:type="spellEnd"/>
      <w:r w:rsidRPr="003707F1">
        <w:t xml:space="preserve">, A., Carvalho, S. W., </w:t>
      </w:r>
      <w:proofErr w:type="spellStart"/>
      <w:r w:rsidRPr="003707F1">
        <w:t>Keh</w:t>
      </w:r>
      <w:proofErr w:type="spellEnd"/>
      <w:r w:rsidRPr="003707F1">
        <w:t xml:space="preserve">, H. T., &amp; </w:t>
      </w:r>
      <w:proofErr w:type="spellStart"/>
      <w:r w:rsidRPr="003707F1">
        <w:t>Maehle</w:t>
      </w:r>
      <w:proofErr w:type="spellEnd"/>
      <w:r w:rsidRPr="003707F1">
        <w:t xml:space="preserve">, N. (2012). Brand </w:t>
      </w:r>
      <w:r w:rsidR="009E0F65" w:rsidRPr="003707F1">
        <w:t>c</w:t>
      </w:r>
      <w:r w:rsidRPr="003707F1">
        <w:t xml:space="preserve">oncepts </w:t>
      </w:r>
    </w:p>
    <w:p w14:paraId="7A6C6495" w14:textId="282CEA66" w:rsidR="00BB4E92" w:rsidRPr="003707F1" w:rsidRDefault="00BB4E92" w:rsidP="00681CD7">
      <w:pPr>
        <w:ind w:left="720"/>
        <w:jc w:val="both"/>
      </w:pPr>
      <w:r w:rsidRPr="003707F1">
        <w:t xml:space="preserve">as </w:t>
      </w:r>
      <w:r w:rsidR="009E0F65" w:rsidRPr="003707F1">
        <w:t>r</w:t>
      </w:r>
      <w:r w:rsidRPr="003707F1">
        <w:t xml:space="preserve">epresentations of </w:t>
      </w:r>
      <w:r w:rsidR="009E0F65" w:rsidRPr="003707F1">
        <w:t>h</w:t>
      </w:r>
      <w:r w:rsidRPr="003707F1">
        <w:t xml:space="preserve">uman </w:t>
      </w:r>
      <w:r w:rsidR="009E0F65" w:rsidRPr="003707F1">
        <w:t>v</w:t>
      </w:r>
      <w:r w:rsidRPr="003707F1">
        <w:t xml:space="preserve">alues: Do </w:t>
      </w:r>
      <w:r w:rsidR="009E0F65" w:rsidRPr="003707F1">
        <w:t>c</w:t>
      </w:r>
      <w:r w:rsidRPr="003707F1">
        <w:t xml:space="preserve">ultural </w:t>
      </w:r>
      <w:r w:rsidR="009E0F65" w:rsidRPr="003707F1">
        <w:t>c</w:t>
      </w:r>
      <w:r w:rsidRPr="003707F1">
        <w:t xml:space="preserve">ongruity and </w:t>
      </w:r>
      <w:r w:rsidR="009E0F65" w:rsidRPr="003707F1">
        <w:t>c</w:t>
      </w:r>
      <w:r w:rsidRPr="003707F1">
        <w:t xml:space="preserve">ompatibility between values </w:t>
      </w:r>
      <w:r w:rsidR="009E0F65" w:rsidRPr="003707F1">
        <w:t>m</w:t>
      </w:r>
      <w:r w:rsidRPr="003707F1">
        <w:t xml:space="preserve">atter? </w:t>
      </w:r>
      <w:r w:rsidRPr="003707F1">
        <w:rPr>
          <w:i/>
          <w:iCs/>
        </w:rPr>
        <w:t>Journal of Marketing</w:t>
      </w:r>
      <w:r w:rsidRPr="003707F1">
        <w:t xml:space="preserve">, 76(4), 92–108. </w:t>
      </w:r>
      <w:proofErr w:type="spellStart"/>
      <w:r w:rsidR="009E0F65" w:rsidRPr="003707F1">
        <w:t>doi</w:t>
      </w:r>
      <w:proofErr w:type="spellEnd"/>
      <w:r w:rsidR="009E0F65" w:rsidRPr="003707F1">
        <w:t xml:space="preserve">: </w:t>
      </w:r>
      <w:hyperlink r:id="rId87" w:history="1">
        <w:r w:rsidR="009E0F65" w:rsidRPr="003707F1">
          <w:rPr>
            <w:rStyle w:val="Hyperlink"/>
          </w:rPr>
          <w:t>https://doi.org/10.1509/jm.10.0400</w:t>
        </w:r>
      </w:hyperlink>
      <w:r w:rsidR="009E0F65" w:rsidRPr="003707F1">
        <w:t xml:space="preserve"> </w:t>
      </w:r>
    </w:p>
    <w:p w14:paraId="2B0755CD" w14:textId="77777777" w:rsidR="00B56651" w:rsidRPr="003707F1" w:rsidRDefault="00B56651" w:rsidP="00B56651">
      <w:proofErr w:type="spellStart"/>
      <w:r w:rsidRPr="003707F1">
        <w:t>Triandis</w:t>
      </w:r>
      <w:proofErr w:type="spellEnd"/>
      <w:r w:rsidRPr="003707F1">
        <w:t xml:space="preserve">, H. C., &amp; Gelfand, M. J. (1998). Converging measurement of horizontal and vertical </w:t>
      </w:r>
    </w:p>
    <w:p w14:paraId="0E805CB9" w14:textId="77777777" w:rsidR="00B56651" w:rsidRPr="003707F1" w:rsidRDefault="00B56651" w:rsidP="00B56651">
      <w:pPr>
        <w:ind w:firstLine="720"/>
      </w:pPr>
      <w:r w:rsidRPr="003707F1">
        <w:t xml:space="preserve">individualism and collectivism. </w:t>
      </w:r>
      <w:r w:rsidRPr="003707F1">
        <w:rPr>
          <w:i/>
          <w:iCs/>
        </w:rPr>
        <w:t>Journal of Personality and Social Psychology</w:t>
      </w:r>
      <w:r w:rsidRPr="003707F1">
        <w:t xml:space="preserve">, </w:t>
      </w:r>
      <w:r w:rsidRPr="003707F1">
        <w:rPr>
          <w:i/>
          <w:iCs/>
        </w:rPr>
        <w:t>74</w:t>
      </w:r>
      <w:r w:rsidRPr="003707F1">
        <w:t xml:space="preserve">(1), </w:t>
      </w:r>
    </w:p>
    <w:p w14:paraId="5E290439" w14:textId="6D71D097" w:rsidR="00B56651" w:rsidRPr="003707F1" w:rsidRDefault="00B56651" w:rsidP="00B56651">
      <w:pPr>
        <w:ind w:firstLine="720"/>
        <w:rPr>
          <w:lang w:val="pl-PL"/>
        </w:rPr>
      </w:pPr>
      <w:r w:rsidRPr="003707F1">
        <w:rPr>
          <w:lang w:val="pl-PL"/>
        </w:rPr>
        <w:t xml:space="preserve">118. </w:t>
      </w:r>
    </w:p>
    <w:p w14:paraId="77AB1C20" w14:textId="77777777" w:rsidR="00617079" w:rsidRPr="003707F1" w:rsidRDefault="0033436F" w:rsidP="00681CD7">
      <w:pPr>
        <w:jc w:val="both"/>
      </w:pPr>
      <w:r w:rsidRPr="003707F1">
        <w:rPr>
          <w:lang w:val="pl-PL"/>
        </w:rPr>
        <w:t xml:space="preserve">Tu, L., Khare, A., &amp; Zhang, Y. (2012). </w:t>
      </w:r>
      <w:r w:rsidRPr="003707F1">
        <w:t>A short 8-item scale for measuring consumers’ local–</w:t>
      </w:r>
    </w:p>
    <w:p w14:paraId="42C41DAC" w14:textId="0DE911CD" w:rsidR="0033436F" w:rsidRPr="003707F1" w:rsidRDefault="0033436F" w:rsidP="009E0F65">
      <w:pPr>
        <w:ind w:left="720"/>
        <w:jc w:val="both"/>
      </w:pPr>
      <w:r w:rsidRPr="003707F1">
        <w:t xml:space="preserve">global identity. </w:t>
      </w:r>
      <w:r w:rsidRPr="003707F1">
        <w:rPr>
          <w:i/>
          <w:iCs/>
        </w:rPr>
        <w:t>International Journal of Research in Marketing</w:t>
      </w:r>
      <w:r w:rsidRPr="003707F1">
        <w:t>, 29(1), 35-42.</w:t>
      </w:r>
      <w:r w:rsidR="009E0F65" w:rsidRPr="003707F1">
        <w:t xml:space="preserve"> </w:t>
      </w:r>
      <w:proofErr w:type="spellStart"/>
      <w:r w:rsidR="009E0F65" w:rsidRPr="003707F1">
        <w:t>doi</w:t>
      </w:r>
      <w:proofErr w:type="spellEnd"/>
      <w:r w:rsidR="009E0F65" w:rsidRPr="003707F1">
        <w:t xml:space="preserve">: </w:t>
      </w:r>
      <w:hyperlink r:id="rId88" w:history="1">
        <w:r w:rsidR="009E0F65" w:rsidRPr="003707F1">
          <w:rPr>
            <w:rStyle w:val="Hyperlink"/>
          </w:rPr>
          <w:t>https://doi.org/10.1016/j.ijresmar.2011.07.003</w:t>
        </w:r>
      </w:hyperlink>
    </w:p>
    <w:p w14:paraId="03279635" w14:textId="77777777" w:rsidR="00F86F41" w:rsidRPr="003707F1" w:rsidRDefault="00F86F41" w:rsidP="00681CD7">
      <w:pPr>
        <w:jc w:val="both"/>
      </w:pPr>
      <w:r w:rsidRPr="003707F1">
        <w:t xml:space="preserve">Udall, A. M., de Groot, J. I., de Jong, S. B., &amp; Shankar, A. (2020). How do I see myself? A </w:t>
      </w:r>
    </w:p>
    <w:p w14:paraId="2CBC2BFE" w14:textId="27521170" w:rsidR="00F86F41" w:rsidRPr="003707F1" w:rsidRDefault="00F86F41" w:rsidP="00681CD7">
      <w:pPr>
        <w:ind w:left="720"/>
        <w:jc w:val="both"/>
      </w:pPr>
      <w:r w:rsidRPr="003707F1">
        <w:t xml:space="preserve">systematic review of identities in pro‐environmental behaviour research. </w:t>
      </w:r>
      <w:r w:rsidRPr="003707F1">
        <w:rPr>
          <w:i/>
          <w:iCs/>
        </w:rPr>
        <w:t>Journal of Consumer Behaviour</w:t>
      </w:r>
      <w:r w:rsidRPr="003707F1">
        <w:t>, 19(2), 108-141.</w:t>
      </w:r>
      <w:r w:rsidR="009E0F65" w:rsidRPr="003707F1">
        <w:t xml:space="preserve"> </w:t>
      </w:r>
      <w:proofErr w:type="spellStart"/>
      <w:r w:rsidR="009E0F65" w:rsidRPr="003707F1">
        <w:t>doi</w:t>
      </w:r>
      <w:proofErr w:type="spellEnd"/>
      <w:r w:rsidR="009E0F65" w:rsidRPr="003707F1">
        <w:t xml:space="preserve">: </w:t>
      </w:r>
      <w:hyperlink r:id="rId89" w:history="1">
        <w:r w:rsidR="009E0F65" w:rsidRPr="003707F1">
          <w:rPr>
            <w:rStyle w:val="Hyperlink"/>
          </w:rPr>
          <w:t>https://doi.org/10.1002/cb.1798</w:t>
        </w:r>
      </w:hyperlink>
      <w:r w:rsidR="009E0F65" w:rsidRPr="003707F1">
        <w:t xml:space="preserve"> </w:t>
      </w:r>
    </w:p>
    <w:p w14:paraId="2866CBEA" w14:textId="77777777" w:rsidR="00617079" w:rsidRPr="003707F1" w:rsidRDefault="00841202" w:rsidP="00681CD7">
      <w:pPr>
        <w:jc w:val="both"/>
      </w:pPr>
      <w:r w:rsidRPr="003707F1">
        <w:t xml:space="preserve">United Nations. (2019). “Sustainable Development Goal 12: Ensure sustainable consumption </w:t>
      </w:r>
    </w:p>
    <w:p w14:paraId="275C18BC" w14:textId="1790B703" w:rsidR="00617079" w:rsidRPr="003707F1" w:rsidRDefault="00841202" w:rsidP="00681CD7">
      <w:pPr>
        <w:ind w:firstLine="720"/>
        <w:jc w:val="both"/>
      </w:pPr>
      <w:r w:rsidRPr="003707F1">
        <w:t xml:space="preserve">and production patterns”, available from: </w:t>
      </w:r>
      <w:hyperlink r:id="rId90" w:history="1">
        <w:r w:rsidR="00617079" w:rsidRPr="003707F1">
          <w:rPr>
            <w:rStyle w:val="Hyperlink"/>
          </w:rPr>
          <w:t>https://sustainabledevelopment.un.org/sdg12</w:t>
        </w:r>
      </w:hyperlink>
      <w:r w:rsidRPr="003707F1">
        <w:t xml:space="preserve"> </w:t>
      </w:r>
    </w:p>
    <w:p w14:paraId="54A48DEC" w14:textId="1273CD82" w:rsidR="00841202" w:rsidRPr="003707F1" w:rsidRDefault="00841202" w:rsidP="00681CD7">
      <w:pPr>
        <w:ind w:left="720"/>
        <w:jc w:val="both"/>
      </w:pPr>
      <w:r w:rsidRPr="003707F1">
        <w:t>,</w:t>
      </w:r>
      <w:r w:rsidR="009E0F65" w:rsidRPr="003707F1">
        <w:t xml:space="preserve"> </w:t>
      </w:r>
      <w:r w:rsidRPr="003707F1">
        <w:t>accessed on February 10, 2020.</w:t>
      </w:r>
    </w:p>
    <w:p w14:paraId="68F0D0A0" w14:textId="77777777" w:rsidR="00B21BF8" w:rsidRPr="003707F1" w:rsidRDefault="00B21BF8" w:rsidP="00C836A7">
      <w:pPr>
        <w:pStyle w:val="NormalWeb"/>
        <w:spacing w:before="0" w:beforeAutospacing="0" w:after="0" w:afterAutospacing="0"/>
        <w:jc w:val="both"/>
      </w:pPr>
      <w:r w:rsidRPr="003707F1">
        <w:t xml:space="preserve">Wang, Z., Ali, S., Akbar, A., &amp; Rasool, F. (2020). Determining the influencing factors of </w:t>
      </w:r>
    </w:p>
    <w:p w14:paraId="1C2D36F1" w14:textId="62DEF941" w:rsidR="00B21BF8" w:rsidRPr="003707F1" w:rsidRDefault="00B21BF8" w:rsidP="00C836A7">
      <w:pPr>
        <w:pStyle w:val="NormalWeb"/>
        <w:spacing w:before="0" w:beforeAutospacing="0" w:after="0" w:afterAutospacing="0"/>
        <w:ind w:left="720"/>
        <w:jc w:val="both"/>
      </w:pPr>
      <w:r w:rsidRPr="003707F1">
        <w:t xml:space="preserve">biogas technology adoption intention in Pakistan: The moderating role of social media. </w:t>
      </w:r>
      <w:r w:rsidRPr="003707F1">
        <w:rPr>
          <w:i/>
          <w:iCs/>
        </w:rPr>
        <w:t>International journal of environmental research and public health</w:t>
      </w:r>
      <w:r w:rsidRPr="003707F1">
        <w:t xml:space="preserve">, </w:t>
      </w:r>
      <w:r w:rsidRPr="003707F1">
        <w:rPr>
          <w:i/>
          <w:iCs/>
        </w:rPr>
        <w:t>17</w:t>
      </w:r>
      <w:r w:rsidRPr="003707F1">
        <w:t xml:space="preserve">(7), 2311. </w:t>
      </w:r>
      <w:proofErr w:type="spellStart"/>
      <w:r w:rsidR="009E0F65" w:rsidRPr="003707F1">
        <w:t>doi</w:t>
      </w:r>
      <w:proofErr w:type="spellEnd"/>
      <w:r w:rsidRPr="003707F1">
        <w:t xml:space="preserve">: </w:t>
      </w:r>
      <w:hyperlink r:id="rId91" w:history="1">
        <w:r w:rsidR="009E0F65" w:rsidRPr="003707F1">
          <w:rPr>
            <w:rStyle w:val="Hyperlink"/>
          </w:rPr>
          <w:t>https://doi.org/10.3390/ijerph17072311</w:t>
        </w:r>
      </w:hyperlink>
      <w:r w:rsidR="009E0F65" w:rsidRPr="003707F1">
        <w:t xml:space="preserve"> </w:t>
      </w:r>
    </w:p>
    <w:p w14:paraId="049F6F94" w14:textId="77777777" w:rsidR="005746F7" w:rsidRPr="003707F1" w:rsidRDefault="00AC5BE7" w:rsidP="00C836A7">
      <w:pPr>
        <w:jc w:val="both"/>
      </w:pPr>
      <w:r w:rsidRPr="003707F1">
        <w:t xml:space="preserve">Wang, H., Fu, H., &amp; Wu, Y. (2020). To gain face or not to lose face: the effect of face </w:t>
      </w:r>
    </w:p>
    <w:p w14:paraId="4ACA85E3" w14:textId="77777777" w:rsidR="005746F7" w:rsidRPr="003707F1" w:rsidRDefault="00AC5BE7" w:rsidP="00C836A7">
      <w:pPr>
        <w:ind w:left="720"/>
        <w:jc w:val="both"/>
        <w:rPr>
          <w:i/>
          <w:iCs/>
        </w:rPr>
      </w:pPr>
      <w:r w:rsidRPr="003707F1">
        <w:t xml:space="preserve">message frame on response to public service advertisements. </w:t>
      </w:r>
      <w:r w:rsidRPr="003707F1">
        <w:rPr>
          <w:i/>
          <w:iCs/>
        </w:rPr>
        <w:t xml:space="preserve">International Journal of </w:t>
      </w:r>
    </w:p>
    <w:p w14:paraId="27057967" w14:textId="3268ED7D" w:rsidR="00B21BF8" w:rsidRPr="003707F1" w:rsidRDefault="00AC5BE7" w:rsidP="00C836A7">
      <w:pPr>
        <w:ind w:left="720"/>
        <w:jc w:val="both"/>
      </w:pPr>
      <w:r w:rsidRPr="003707F1">
        <w:rPr>
          <w:i/>
          <w:iCs/>
        </w:rPr>
        <w:t>Advertising</w:t>
      </w:r>
      <w:r w:rsidRPr="003707F1">
        <w:t>, 1-18.</w:t>
      </w:r>
      <w:r w:rsidR="009E0F65" w:rsidRPr="003707F1">
        <w:t xml:space="preserve"> </w:t>
      </w:r>
      <w:proofErr w:type="spellStart"/>
      <w:r w:rsidR="009E0F65" w:rsidRPr="003707F1">
        <w:t>doi</w:t>
      </w:r>
      <w:proofErr w:type="spellEnd"/>
      <w:r w:rsidR="009E0F65" w:rsidRPr="003707F1">
        <w:t xml:space="preserve">: </w:t>
      </w:r>
      <w:hyperlink r:id="rId92" w:history="1">
        <w:r w:rsidR="009E0F65" w:rsidRPr="003707F1">
          <w:rPr>
            <w:rStyle w:val="Hyperlink"/>
          </w:rPr>
          <w:t>https://doi.org/10.1080/02650487.2020.1763090</w:t>
        </w:r>
      </w:hyperlink>
      <w:r w:rsidR="009E0F65" w:rsidRPr="003707F1">
        <w:t xml:space="preserve"> </w:t>
      </w:r>
    </w:p>
    <w:p w14:paraId="3977BF5B" w14:textId="77777777" w:rsidR="00DC5E52" w:rsidRPr="003707F1" w:rsidRDefault="00DC5E52" w:rsidP="00C836A7">
      <w:pPr>
        <w:jc w:val="both"/>
      </w:pPr>
      <w:proofErr w:type="spellStart"/>
      <w:r w:rsidRPr="003707F1">
        <w:t>Waris</w:t>
      </w:r>
      <w:proofErr w:type="spellEnd"/>
      <w:r w:rsidRPr="003707F1">
        <w:t xml:space="preserve">, I., &amp; Hameed, I. (2020). Promoting environmentally sustainable consumption </w:t>
      </w:r>
    </w:p>
    <w:p w14:paraId="194B7570" w14:textId="48221903" w:rsidR="00DC5E52" w:rsidRPr="003707F1" w:rsidRDefault="00DC5E52" w:rsidP="00C836A7">
      <w:pPr>
        <w:ind w:left="720"/>
        <w:jc w:val="both"/>
      </w:pPr>
      <w:proofErr w:type="spellStart"/>
      <w:r w:rsidRPr="003707F1">
        <w:t>behavior</w:t>
      </w:r>
      <w:proofErr w:type="spellEnd"/>
      <w:r w:rsidRPr="003707F1">
        <w:t xml:space="preserve">: an empirical evaluation of purchase intention of energy-efficient appliances. </w:t>
      </w:r>
      <w:r w:rsidRPr="003707F1">
        <w:rPr>
          <w:i/>
          <w:iCs/>
        </w:rPr>
        <w:t>Energy Efficiency</w:t>
      </w:r>
      <w:r w:rsidRPr="003707F1">
        <w:t xml:space="preserve">, 13(8), 1653-1664. </w:t>
      </w:r>
      <w:proofErr w:type="spellStart"/>
      <w:r w:rsidR="009E0F65" w:rsidRPr="003707F1">
        <w:t>doi</w:t>
      </w:r>
      <w:proofErr w:type="spellEnd"/>
      <w:r w:rsidRPr="003707F1">
        <w:t xml:space="preserve">: </w:t>
      </w:r>
      <w:hyperlink r:id="rId93" w:history="1">
        <w:r w:rsidRPr="003707F1">
          <w:rPr>
            <w:rStyle w:val="Hyperlink"/>
          </w:rPr>
          <w:t>https://doi.org/10.1007/s12053-020-09901-4</w:t>
        </w:r>
      </w:hyperlink>
      <w:r w:rsidRPr="003707F1">
        <w:rPr>
          <w:rStyle w:val="c-bibliographic-informationvalue"/>
        </w:rPr>
        <w:t xml:space="preserve"> </w:t>
      </w:r>
    </w:p>
    <w:p w14:paraId="1FA86E41" w14:textId="7E902BE9" w:rsidR="00A94375" w:rsidRPr="003707F1" w:rsidRDefault="00A94375" w:rsidP="00C836A7">
      <w:pPr>
        <w:pStyle w:val="EndNoteBibliography"/>
        <w:spacing w:after="0"/>
        <w:ind w:left="720" w:hanging="720"/>
        <w:jc w:val="both"/>
        <w:rPr>
          <w:rFonts w:ascii="Times New Roman" w:hAnsi="Times New Roman"/>
          <w:noProof w:val="0"/>
          <w:sz w:val="24"/>
          <w:szCs w:val="24"/>
          <w:lang w:val="en-GB"/>
        </w:rPr>
      </w:pPr>
      <w:r w:rsidRPr="003707F1">
        <w:rPr>
          <w:rFonts w:ascii="Times New Roman" w:hAnsi="Times New Roman"/>
          <w:noProof w:val="0"/>
          <w:sz w:val="24"/>
          <w:szCs w:val="24"/>
          <w:lang w:val="en-GB"/>
        </w:rPr>
        <w:t xml:space="preserve">WBJ (2018). Bloomberg: Poland is the 4th biggest emerging market. Retrieved from: </w:t>
      </w:r>
      <w:hyperlink r:id="rId94" w:history="1">
        <w:r w:rsidR="00E569C5" w:rsidRPr="003707F1">
          <w:rPr>
            <w:rStyle w:val="Hyperlink"/>
            <w:rFonts w:ascii="Times New Roman" w:hAnsi="Times New Roman"/>
            <w:noProof w:val="0"/>
            <w:sz w:val="24"/>
            <w:szCs w:val="24"/>
            <w:lang w:val="en-GB"/>
          </w:rPr>
          <w:t>http://wbj.pl/bloomberg-poland-is-the-4th-biggest-emerging-market/</w:t>
        </w:r>
      </w:hyperlink>
      <w:r w:rsidR="00E569C5" w:rsidRPr="003707F1">
        <w:rPr>
          <w:rFonts w:ascii="Times New Roman" w:hAnsi="Times New Roman"/>
          <w:noProof w:val="0"/>
          <w:sz w:val="24"/>
          <w:szCs w:val="24"/>
          <w:lang w:val="en-GB"/>
        </w:rPr>
        <w:t xml:space="preserve">, accessed on May 5, 2019. </w:t>
      </w:r>
    </w:p>
    <w:p w14:paraId="60BAC916" w14:textId="77777777" w:rsidR="00E81550" w:rsidRPr="003707F1" w:rsidRDefault="00E81550" w:rsidP="00C836A7">
      <w:pPr>
        <w:jc w:val="both"/>
      </w:pPr>
      <w:r w:rsidRPr="003707F1">
        <w:t xml:space="preserve">Wei, S., Ang, T., &amp; </w:t>
      </w:r>
      <w:proofErr w:type="spellStart"/>
      <w:r w:rsidRPr="003707F1">
        <w:t>Liou</w:t>
      </w:r>
      <w:proofErr w:type="spellEnd"/>
      <w:r w:rsidRPr="003707F1">
        <w:t xml:space="preserve">, R. S. (2020). Does the global vs. local scope matter? Contingencies </w:t>
      </w:r>
    </w:p>
    <w:p w14:paraId="5AC78736" w14:textId="39CBB4D3" w:rsidR="00E81550" w:rsidRPr="003707F1" w:rsidRDefault="00E81550" w:rsidP="00C836A7">
      <w:pPr>
        <w:ind w:left="720"/>
        <w:jc w:val="both"/>
      </w:pPr>
      <w:r w:rsidRPr="003707F1">
        <w:t>of cause-related marketing in a developed market. J</w:t>
      </w:r>
      <w:r w:rsidRPr="003707F1">
        <w:rPr>
          <w:i/>
          <w:iCs/>
        </w:rPr>
        <w:t>ournal of Business Research</w:t>
      </w:r>
      <w:r w:rsidRPr="003707F1">
        <w:t>, 108, 201-212.</w:t>
      </w:r>
      <w:r w:rsidR="00E569C5" w:rsidRPr="003707F1">
        <w:t xml:space="preserve"> </w:t>
      </w:r>
      <w:proofErr w:type="spellStart"/>
      <w:r w:rsidR="00E569C5" w:rsidRPr="003707F1">
        <w:t>doi</w:t>
      </w:r>
      <w:proofErr w:type="spellEnd"/>
      <w:r w:rsidR="00E569C5" w:rsidRPr="003707F1">
        <w:t xml:space="preserve">: </w:t>
      </w:r>
      <w:hyperlink r:id="rId95" w:tgtFrame="_blank" w:tooltip="Persistent link using digital object identifier" w:history="1">
        <w:r w:rsidR="00E569C5" w:rsidRPr="003707F1">
          <w:rPr>
            <w:rStyle w:val="Hyperlink"/>
          </w:rPr>
          <w:t>https://doi.org/10.1016/j.jbusres.2019.11.018</w:t>
        </w:r>
      </w:hyperlink>
      <w:r w:rsidR="00E569C5" w:rsidRPr="003707F1">
        <w:t xml:space="preserve"> </w:t>
      </w:r>
    </w:p>
    <w:p w14:paraId="68757514" w14:textId="77777777" w:rsidR="00617079" w:rsidRPr="003707F1" w:rsidRDefault="006D4816" w:rsidP="00681CD7">
      <w:pPr>
        <w:jc w:val="both"/>
      </w:pPr>
      <w:r w:rsidRPr="003707F1">
        <w:t xml:space="preserve">Wesley, S. C., Lee, M. Y., &amp; Kim, E. Y. (2012). The role of perceived consumer effectiveness </w:t>
      </w:r>
    </w:p>
    <w:p w14:paraId="4C43129E" w14:textId="6DF5A87B" w:rsidR="006D4816" w:rsidRPr="003707F1" w:rsidRDefault="006D4816" w:rsidP="00681CD7">
      <w:pPr>
        <w:ind w:left="720"/>
        <w:jc w:val="both"/>
      </w:pPr>
      <w:r w:rsidRPr="003707F1">
        <w:t xml:space="preserve">and motivational attitude on socially responsible purchasing </w:t>
      </w:r>
      <w:proofErr w:type="spellStart"/>
      <w:r w:rsidRPr="003707F1">
        <w:t>behavior</w:t>
      </w:r>
      <w:proofErr w:type="spellEnd"/>
      <w:r w:rsidRPr="003707F1">
        <w:t xml:space="preserve"> in South Korea. </w:t>
      </w:r>
      <w:r w:rsidRPr="003707F1">
        <w:rPr>
          <w:i/>
          <w:iCs/>
        </w:rPr>
        <w:t>Journal of Global Marketing</w:t>
      </w:r>
      <w:r w:rsidRPr="003707F1">
        <w:t>, 25(1), 29-44.</w:t>
      </w:r>
      <w:r w:rsidR="00E569C5" w:rsidRPr="003707F1">
        <w:t xml:space="preserve"> </w:t>
      </w:r>
      <w:proofErr w:type="spellStart"/>
      <w:r w:rsidR="00E569C5" w:rsidRPr="003707F1">
        <w:t>doi</w:t>
      </w:r>
      <w:proofErr w:type="spellEnd"/>
      <w:r w:rsidR="00E569C5" w:rsidRPr="003707F1">
        <w:t xml:space="preserve">: </w:t>
      </w:r>
      <w:hyperlink r:id="rId96" w:history="1">
        <w:r w:rsidR="00E569C5" w:rsidRPr="003707F1">
          <w:rPr>
            <w:rStyle w:val="Hyperlink"/>
          </w:rPr>
          <w:t>https://doi.org/10.1080/08911762.2012.697383</w:t>
        </w:r>
      </w:hyperlink>
      <w:r w:rsidR="00E569C5" w:rsidRPr="003707F1">
        <w:t xml:space="preserve"> </w:t>
      </w:r>
    </w:p>
    <w:p w14:paraId="4C44C48E" w14:textId="08AD76B0" w:rsidR="00617079" w:rsidRPr="003707F1" w:rsidRDefault="00340CF8" w:rsidP="00681CD7">
      <w:pPr>
        <w:jc w:val="both"/>
      </w:pPr>
      <w:r w:rsidRPr="003707F1">
        <w:t xml:space="preserve">White, K., Habib, R., &amp; Hardisty, D. J. (2019). How to SHIFT </w:t>
      </w:r>
      <w:r w:rsidR="00617079" w:rsidRPr="003707F1">
        <w:t>c</w:t>
      </w:r>
      <w:r w:rsidRPr="003707F1">
        <w:t xml:space="preserve">onsumer </w:t>
      </w:r>
      <w:proofErr w:type="spellStart"/>
      <w:r w:rsidR="00617079" w:rsidRPr="003707F1">
        <w:t>b</w:t>
      </w:r>
      <w:r w:rsidRPr="003707F1">
        <w:t>ehaviors</w:t>
      </w:r>
      <w:proofErr w:type="spellEnd"/>
      <w:r w:rsidRPr="003707F1">
        <w:t xml:space="preserve"> to be </w:t>
      </w:r>
      <w:r w:rsidR="00617079" w:rsidRPr="003707F1">
        <w:t>m</w:t>
      </w:r>
      <w:r w:rsidRPr="003707F1">
        <w:t xml:space="preserve">ore </w:t>
      </w:r>
    </w:p>
    <w:p w14:paraId="7953C1DE" w14:textId="68A2C76D" w:rsidR="00340CF8" w:rsidRPr="003707F1" w:rsidRDefault="00617079" w:rsidP="00681CD7">
      <w:pPr>
        <w:ind w:left="720"/>
        <w:jc w:val="both"/>
      </w:pPr>
      <w:r w:rsidRPr="003707F1">
        <w:t>s</w:t>
      </w:r>
      <w:r w:rsidR="00340CF8" w:rsidRPr="003707F1">
        <w:t xml:space="preserve">ustainable: A </w:t>
      </w:r>
      <w:r w:rsidRPr="003707F1">
        <w:t>l</w:t>
      </w:r>
      <w:r w:rsidR="00340CF8" w:rsidRPr="003707F1">
        <w:t xml:space="preserve">iterature </w:t>
      </w:r>
      <w:r w:rsidRPr="003707F1">
        <w:t>r</w:t>
      </w:r>
      <w:r w:rsidR="00340CF8" w:rsidRPr="003707F1">
        <w:t xml:space="preserve">eview and </w:t>
      </w:r>
      <w:r w:rsidRPr="003707F1">
        <w:t>g</w:t>
      </w:r>
      <w:r w:rsidR="00340CF8" w:rsidRPr="003707F1">
        <w:t xml:space="preserve">uiding </w:t>
      </w:r>
      <w:r w:rsidRPr="003707F1">
        <w:t>f</w:t>
      </w:r>
      <w:r w:rsidR="00340CF8" w:rsidRPr="003707F1">
        <w:t xml:space="preserve">ramework. </w:t>
      </w:r>
      <w:r w:rsidR="00340CF8" w:rsidRPr="003707F1">
        <w:rPr>
          <w:i/>
          <w:iCs/>
        </w:rPr>
        <w:t>Journal of Marketing</w:t>
      </w:r>
      <w:r w:rsidR="00340CF8" w:rsidRPr="003707F1">
        <w:t>, 83(3), 22–49.</w:t>
      </w:r>
      <w:r w:rsidR="00E569C5" w:rsidRPr="003707F1">
        <w:t xml:space="preserve"> </w:t>
      </w:r>
      <w:proofErr w:type="spellStart"/>
      <w:r w:rsidR="00E569C5" w:rsidRPr="003707F1">
        <w:t>doi</w:t>
      </w:r>
      <w:proofErr w:type="spellEnd"/>
      <w:r w:rsidR="00E569C5" w:rsidRPr="003707F1">
        <w:t xml:space="preserve">: </w:t>
      </w:r>
      <w:hyperlink r:id="rId97" w:history="1">
        <w:r w:rsidR="00E569C5" w:rsidRPr="003707F1">
          <w:rPr>
            <w:rStyle w:val="Hyperlink"/>
          </w:rPr>
          <w:t>https://doi.org/10.1177/0022242919825649</w:t>
        </w:r>
      </w:hyperlink>
      <w:r w:rsidR="00E569C5" w:rsidRPr="003707F1">
        <w:t xml:space="preserve"> </w:t>
      </w:r>
    </w:p>
    <w:p w14:paraId="2A4D34A3" w14:textId="77777777" w:rsidR="00D820F4" w:rsidRPr="003707F1" w:rsidRDefault="00D820F4" w:rsidP="00681CD7">
      <w:pPr>
        <w:jc w:val="both"/>
      </w:pPr>
      <w:proofErr w:type="spellStart"/>
      <w:r w:rsidRPr="003707F1">
        <w:t>Wiedmann</w:t>
      </w:r>
      <w:proofErr w:type="spellEnd"/>
      <w:r w:rsidRPr="003707F1">
        <w:t xml:space="preserve">, T., </w:t>
      </w:r>
      <w:proofErr w:type="spellStart"/>
      <w:r w:rsidRPr="003707F1">
        <w:t>Lenzen</w:t>
      </w:r>
      <w:proofErr w:type="spellEnd"/>
      <w:r w:rsidRPr="003707F1">
        <w:t xml:space="preserve">, M., </w:t>
      </w:r>
      <w:proofErr w:type="spellStart"/>
      <w:r w:rsidRPr="003707F1">
        <w:t>Keyßer</w:t>
      </w:r>
      <w:proofErr w:type="spellEnd"/>
      <w:r w:rsidRPr="003707F1">
        <w:t xml:space="preserve">, L. T., &amp; Steinberger, J. K. (2020). Scientists’ warning on </w:t>
      </w:r>
    </w:p>
    <w:p w14:paraId="6E9B99DD" w14:textId="75A4913D" w:rsidR="00D820F4" w:rsidRPr="003707F1" w:rsidRDefault="00D820F4" w:rsidP="00E569C5">
      <w:pPr>
        <w:ind w:left="720"/>
        <w:jc w:val="both"/>
      </w:pPr>
      <w:r w:rsidRPr="003707F1">
        <w:rPr>
          <w:i/>
          <w:iCs/>
        </w:rPr>
        <w:t xml:space="preserve">affluence. Nature </w:t>
      </w:r>
      <w:r w:rsidR="00F86F41" w:rsidRPr="003707F1">
        <w:rPr>
          <w:i/>
          <w:iCs/>
        </w:rPr>
        <w:t>C</w:t>
      </w:r>
      <w:r w:rsidRPr="003707F1">
        <w:rPr>
          <w:i/>
          <w:iCs/>
        </w:rPr>
        <w:t>ommunications</w:t>
      </w:r>
      <w:r w:rsidRPr="003707F1">
        <w:t>, 11(1), 1-10.</w:t>
      </w:r>
      <w:r w:rsidR="00E569C5" w:rsidRPr="003707F1">
        <w:t xml:space="preserve"> </w:t>
      </w:r>
      <w:proofErr w:type="spellStart"/>
      <w:r w:rsidR="00E569C5" w:rsidRPr="003707F1">
        <w:t>doi</w:t>
      </w:r>
      <w:proofErr w:type="spellEnd"/>
      <w:r w:rsidR="00E569C5" w:rsidRPr="003707F1">
        <w:t xml:space="preserve">: </w:t>
      </w:r>
      <w:hyperlink r:id="rId98" w:history="1">
        <w:r w:rsidR="00E569C5" w:rsidRPr="003707F1">
          <w:rPr>
            <w:rStyle w:val="Hyperlink"/>
          </w:rPr>
          <w:t>https://doi.org/10.1038/s41467-020-16941-y</w:t>
        </w:r>
      </w:hyperlink>
      <w:r w:rsidR="00E569C5" w:rsidRPr="003707F1">
        <w:rPr>
          <w:rStyle w:val="c-bibliographic-informationvalue"/>
        </w:rPr>
        <w:t xml:space="preserve"> </w:t>
      </w:r>
    </w:p>
    <w:p w14:paraId="7B66621F" w14:textId="51E04424" w:rsidR="00865847" w:rsidRPr="003707F1" w:rsidRDefault="00B43789" w:rsidP="00681CD7">
      <w:pPr>
        <w:jc w:val="both"/>
        <w:rPr>
          <w:i/>
          <w:iCs/>
        </w:rPr>
      </w:pPr>
      <w:r w:rsidRPr="003707F1">
        <w:t xml:space="preserve">Wilk, R. (1998). Emulation, imitation, and global consumerism. </w:t>
      </w:r>
      <w:r w:rsidRPr="003707F1">
        <w:rPr>
          <w:i/>
          <w:iCs/>
        </w:rPr>
        <w:t xml:space="preserve">Organization </w:t>
      </w:r>
    </w:p>
    <w:p w14:paraId="35564B13" w14:textId="26F29B73" w:rsidR="004D6745" w:rsidRPr="003707F1" w:rsidRDefault="00B43789" w:rsidP="00681CD7">
      <w:pPr>
        <w:ind w:firstLine="720"/>
        <w:jc w:val="both"/>
      </w:pPr>
      <w:r w:rsidRPr="003707F1">
        <w:rPr>
          <w:i/>
          <w:iCs/>
        </w:rPr>
        <w:t>&amp; Environment</w:t>
      </w:r>
      <w:r w:rsidRPr="003707F1">
        <w:t>, 11(3), 314-333.</w:t>
      </w:r>
      <w:r w:rsidR="00E569C5" w:rsidRPr="003707F1">
        <w:t xml:space="preserve"> </w:t>
      </w:r>
      <w:proofErr w:type="spellStart"/>
      <w:r w:rsidR="00E569C5" w:rsidRPr="003707F1">
        <w:t>doi</w:t>
      </w:r>
      <w:proofErr w:type="spellEnd"/>
      <w:r w:rsidR="00E569C5" w:rsidRPr="003707F1">
        <w:t xml:space="preserve">: </w:t>
      </w:r>
      <w:hyperlink r:id="rId99" w:history="1">
        <w:r w:rsidR="00E569C5" w:rsidRPr="003707F1">
          <w:rPr>
            <w:rStyle w:val="Hyperlink"/>
          </w:rPr>
          <w:t>https://doi.org/10.1177/0921810698113003</w:t>
        </w:r>
      </w:hyperlink>
      <w:r w:rsidR="00E569C5" w:rsidRPr="003707F1">
        <w:t xml:space="preserve"> </w:t>
      </w:r>
    </w:p>
    <w:p w14:paraId="0B7D689B" w14:textId="77777777" w:rsidR="004D6745" w:rsidRPr="003707F1" w:rsidRDefault="004D6745" w:rsidP="00681CD7">
      <w:pPr>
        <w:jc w:val="both"/>
      </w:pPr>
      <w:r w:rsidRPr="003707F1">
        <w:lastRenderedPageBreak/>
        <w:t xml:space="preserve">Woodside, A. G. (2011). Responding to the severe limitations of cross-sectional surveys: </w:t>
      </w:r>
    </w:p>
    <w:p w14:paraId="7DEA059B" w14:textId="77777777" w:rsidR="004D6745" w:rsidRPr="003707F1" w:rsidRDefault="004D6745" w:rsidP="00681CD7">
      <w:pPr>
        <w:ind w:firstLine="720"/>
        <w:jc w:val="both"/>
      </w:pPr>
      <w:r w:rsidRPr="003707F1">
        <w:t xml:space="preserve">Commenting on Rong and Wilkinson’s perspectives. </w:t>
      </w:r>
      <w:r w:rsidRPr="003707F1">
        <w:rPr>
          <w:i/>
          <w:iCs/>
        </w:rPr>
        <w:t>Australasian Marketing Journal</w:t>
      </w:r>
      <w:r w:rsidRPr="003707F1">
        <w:t xml:space="preserve">, </w:t>
      </w:r>
    </w:p>
    <w:p w14:paraId="4D6A6707" w14:textId="43D76195" w:rsidR="0076501D" w:rsidRPr="003707F1" w:rsidRDefault="004D6745" w:rsidP="00681CD7">
      <w:pPr>
        <w:ind w:firstLine="720"/>
        <w:jc w:val="both"/>
      </w:pPr>
      <w:r w:rsidRPr="003707F1">
        <w:t>19(3), 153-156.</w:t>
      </w:r>
      <w:r w:rsidR="00E569C5" w:rsidRPr="003707F1">
        <w:t xml:space="preserve"> </w:t>
      </w:r>
      <w:proofErr w:type="spellStart"/>
      <w:r w:rsidR="00E569C5" w:rsidRPr="003707F1">
        <w:t>doi</w:t>
      </w:r>
      <w:proofErr w:type="spellEnd"/>
      <w:r w:rsidR="00E569C5" w:rsidRPr="003707F1">
        <w:t xml:space="preserve">: </w:t>
      </w:r>
      <w:hyperlink r:id="rId100" w:history="1">
        <w:r w:rsidR="00E569C5" w:rsidRPr="003707F1">
          <w:rPr>
            <w:rStyle w:val="Hyperlink"/>
          </w:rPr>
          <w:t>https://doi.org/10.1016/j.ausmj.2011.04.004</w:t>
        </w:r>
      </w:hyperlink>
      <w:r w:rsidR="00E569C5" w:rsidRPr="003707F1">
        <w:t xml:space="preserve"> </w:t>
      </w:r>
    </w:p>
    <w:p w14:paraId="4751031A" w14:textId="77777777" w:rsidR="00755088" w:rsidRPr="003707F1" w:rsidRDefault="00755088" w:rsidP="00681CD7">
      <w:pPr>
        <w:jc w:val="both"/>
      </w:pPr>
      <w:r w:rsidRPr="003707F1">
        <w:t xml:space="preserve">Xiang, P., Zhang, H., </w:t>
      </w:r>
      <w:proofErr w:type="spellStart"/>
      <w:r w:rsidRPr="003707F1">
        <w:t>Geng</w:t>
      </w:r>
      <w:proofErr w:type="spellEnd"/>
      <w:r w:rsidRPr="003707F1">
        <w:t xml:space="preserve">, L., Zhou, K., &amp; Wu, Y. (2019). Individualist–Collectivist </w:t>
      </w:r>
    </w:p>
    <w:p w14:paraId="4EF48D5C" w14:textId="2650702A" w:rsidR="00C71F7E" w:rsidRPr="003707F1" w:rsidRDefault="0054178F" w:rsidP="00681CD7">
      <w:pPr>
        <w:ind w:left="720"/>
        <w:jc w:val="both"/>
      </w:pPr>
      <w:r w:rsidRPr="003707F1">
        <w:t>d</w:t>
      </w:r>
      <w:r w:rsidR="00755088" w:rsidRPr="003707F1">
        <w:t xml:space="preserve">ifferences in </w:t>
      </w:r>
      <w:r w:rsidRPr="003707F1">
        <w:t>c</w:t>
      </w:r>
      <w:r w:rsidR="00755088" w:rsidRPr="003707F1">
        <w:t xml:space="preserve">limate </w:t>
      </w:r>
      <w:r w:rsidRPr="003707F1">
        <w:t>c</w:t>
      </w:r>
      <w:r w:rsidR="00755088" w:rsidRPr="003707F1">
        <w:t xml:space="preserve">hange </w:t>
      </w:r>
      <w:r w:rsidRPr="003707F1">
        <w:t>i</w:t>
      </w:r>
      <w:r w:rsidR="00755088" w:rsidRPr="003707F1">
        <w:t xml:space="preserve">naction: The </w:t>
      </w:r>
      <w:r w:rsidRPr="003707F1">
        <w:t>r</w:t>
      </w:r>
      <w:r w:rsidR="00755088" w:rsidRPr="003707F1">
        <w:t xml:space="preserve">ole of </w:t>
      </w:r>
      <w:r w:rsidRPr="003707F1">
        <w:t>p</w:t>
      </w:r>
      <w:r w:rsidR="00755088" w:rsidRPr="003707F1">
        <w:t xml:space="preserve">erceived </w:t>
      </w:r>
      <w:r w:rsidRPr="003707F1">
        <w:t>i</w:t>
      </w:r>
      <w:r w:rsidR="00755088" w:rsidRPr="003707F1">
        <w:t xml:space="preserve">ntractability. </w:t>
      </w:r>
      <w:r w:rsidR="00755088" w:rsidRPr="003707F1">
        <w:rPr>
          <w:i/>
          <w:iCs/>
        </w:rPr>
        <w:t>Frontiers in Psychology</w:t>
      </w:r>
      <w:r w:rsidR="00755088" w:rsidRPr="003707F1">
        <w:t>, 10, 187.</w:t>
      </w:r>
      <w:r w:rsidR="00E569C5" w:rsidRPr="003707F1">
        <w:t xml:space="preserve"> </w:t>
      </w:r>
      <w:proofErr w:type="spellStart"/>
      <w:r w:rsidR="00E569C5" w:rsidRPr="003707F1">
        <w:t>doi</w:t>
      </w:r>
      <w:proofErr w:type="spellEnd"/>
      <w:r w:rsidR="00E569C5" w:rsidRPr="003707F1">
        <w:t xml:space="preserve">: </w:t>
      </w:r>
      <w:hyperlink r:id="rId101" w:history="1">
        <w:r w:rsidR="00E569C5" w:rsidRPr="003707F1">
          <w:rPr>
            <w:rStyle w:val="Hyperlink"/>
          </w:rPr>
          <w:t>https://doi.org/10.3389/fpsyg.2019.00187</w:t>
        </w:r>
      </w:hyperlink>
      <w:r w:rsidR="00E569C5" w:rsidRPr="003707F1">
        <w:t xml:space="preserve"> </w:t>
      </w:r>
    </w:p>
    <w:p w14:paraId="31EB5D9A" w14:textId="77777777" w:rsidR="00D122E3" w:rsidRPr="003707F1" w:rsidRDefault="00D122E3" w:rsidP="00681CD7">
      <w:pPr>
        <w:jc w:val="both"/>
      </w:pPr>
      <w:proofErr w:type="spellStart"/>
      <w:r w:rsidRPr="003707F1">
        <w:t>Yarimoglu</w:t>
      </w:r>
      <w:proofErr w:type="spellEnd"/>
      <w:r w:rsidRPr="003707F1">
        <w:t xml:space="preserve">, E., &amp; </w:t>
      </w:r>
      <w:proofErr w:type="spellStart"/>
      <w:r w:rsidRPr="003707F1">
        <w:t>Binboga</w:t>
      </w:r>
      <w:proofErr w:type="spellEnd"/>
      <w:r w:rsidRPr="003707F1">
        <w:t xml:space="preserve">, G. (2019). Understanding sustainable consumption in an emerging </w:t>
      </w:r>
    </w:p>
    <w:p w14:paraId="7EBC0469" w14:textId="67B462FD" w:rsidR="00DD509A" w:rsidRPr="003707F1" w:rsidRDefault="00D122E3" w:rsidP="00681CD7">
      <w:pPr>
        <w:ind w:left="720"/>
        <w:jc w:val="both"/>
      </w:pPr>
      <w:r w:rsidRPr="003707F1">
        <w:t xml:space="preserve">country: The antecedents and consequences of the ecologically conscious consumer </w:t>
      </w:r>
      <w:proofErr w:type="spellStart"/>
      <w:r w:rsidRPr="003707F1">
        <w:t>behavior</w:t>
      </w:r>
      <w:proofErr w:type="spellEnd"/>
      <w:r w:rsidRPr="003707F1">
        <w:t xml:space="preserve"> model. </w:t>
      </w:r>
      <w:r w:rsidRPr="003707F1">
        <w:rPr>
          <w:i/>
          <w:iCs/>
        </w:rPr>
        <w:t>Business Strategy and the Environment</w:t>
      </w:r>
      <w:r w:rsidRPr="003707F1">
        <w:t>, 28(4), 642-651.</w:t>
      </w:r>
      <w:r w:rsidR="00E569C5" w:rsidRPr="003707F1">
        <w:t xml:space="preserve"> </w:t>
      </w:r>
      <w:proofErr w:type="spellStart"/>
      <w:r w:rsidR="00E569C5" w:rsidRPr="003707F1">
        <w:t>doi</w:t>
      </w:r>
      <w:proofErr w:type="spellEnd"/>
      <w:r w:rsidR="00E569C5" w:rsidRPr="003707F1">
        <w:t xml:space="preserve">: </w:t>
      </w:r>
      <w:hyperlink r:id="rId102" w:history="1">
        <w:r w:rsidR="00E569C5" w:rsidRPr="003707F1">
          <w:rPr>
            <w:rStyle w:val="Hyperlink"/>
          </w:rPr>
          <w:t>https://doi.org/10.1002/bse.2270</w:t>
        </w:r>
      </w:hyperlink>
      <w:r w:rsidR="00E569C5" w:rsidRPr="003707F1">
        <w:t xml:space="preserve"> </w:t>
      </w:r>
    </w:p>
    <w:p w14:paraId="0281B50D" w14:textId="77777777" w:rsidR="00DD509A" w:rsidRPr="003707F1" w:rsidRDefault="00DD509A" w:rsidP="00681CD7">
      <w:pPr>
        <w:jc w:val="both"/>
        <w:rPr>
          <w:i/>
          <w:iCs/>
        </w:rPr>
      </w:pPr>
      <w:r w:rsidRPr="003707F1">
        <w:t xml:space="preserve">Zajonc, R. B. (1960). The concepts of balance, congruity, and dissonance. </w:t>
      </w:r>
      <w:r w:rsidRPr="003707F1">
        <w:rPr>
          <w:i/>
          <w:iCs/>
        </w:rPr>
        <w:t xml:space="preserve">Public Opinion </w:t>
      </w:r>
    </w:p>
    <w:p w14:paraId="319D924F" w14:textId="14B3A2DD" w:rsidR="00AC5BE7" w:rsidRPr="003707F1" w:rsidRDefault="00DD509A" w:rsidP="00681CD7">
      <w:pPr>
        <w:ind w:firstLine="720"/>
        <w:jc w:val="both"/>
      </w:pPr>
      <w:r w:rsidRPr="003707F1">
        <w:rPr>
          <w:i/>
          <w:iCs/>
        </w:rPr>
        <w:t>Quarterly</w:t>
      </w:r>
      <w:r w:rsidRPr="003707F1">
        <w:t>, 24(2), 280-296. doi:10.1086/266949</w:t>
      </w:r>
      <w:r w:rsidR="00E569C5" w:rsidRPr="003707F1">
        <w:t xml:space="preserve"> </w:t>
      </w:r>
    </w:p>
    <w:p w14:paraId="3C95134D" w14:textId="77777777" w:rsidR="005746F7" w:rsidRPr="003707F1" w:rsidRDefault="00AC5BE7" w:rsidP="00C836A7">
      <w:pPr>
        <w:jc w:val="both"/>
      </w:pPr>
      <w:r w:rsidRPr="003707F1">
        <w:t xml:space="preserve">Zhang, J., &amp; Bloemer, J. M. M. (2008). The </w:t>
      </w:r>
      <w:r w:rsidR="005746F7" w:rsidRPr="003707F1">
        <w:t>i</w:t>
      </w:r>
      <w:r w:rsidRPr="003707F1">
        <w:t xml:space="preserve">mpact of </w:t>
      </w:r>
      <w:r w:rsidR="005746F7" w:rsidRPr="003707F1">
        <w:t>v</w:t>
      </w:r>
      <w:r w:rsidRPr="003707F1">
        <w:t xml:space="preserve">alue </w:t>
      </w:r>
      <w:r w:rsidR="005746F7" w:rsidRPr="003707F1">
        <w:t>c</w:t>
      </w:r>
      <w:r w:rsidRPr="003707F1">
        <w:t xml:space="preserve">ongruence on </w:t>
      </w:r>
      <w:r w:rsidR="005746F7" w:rsidRPr="003707F1">
        <w:t>c</w:t>
      </w:r>
      <w:r w:rsidRPr="003707F1">
        <w:t>onsumer-</w:t>
      </w:r>
      <w:r w:rsidR="005746F7" w:rsidRPr="003707F1">
        <w:t>s</w:t>
      </w:r>
      <w:r w:rsidRPr="003707F1">
        <w:t xml:space="preserve">ervice </w:t>
      </w:r>
    </w:p>
    <w:p w14:paraId="5D5A0FEA" w14:textId="4C5758B8" w:rsidR="005746F7" w:rsidRPr="003707F1" w:rsidRDefault="005746F7" w:rsidP="00E569C5">
      <w:pPr>
        <w:ind w:left="720"/>
        <w:jc w:val="both"/>
      </w:pPr>
      <w:r w:rsidRPr="003707F1">
        <w:t>b</w:t>
      </w:r>
      <w:r w:rsidR="00AC5BE7" w:rsidRPr="003707F1">
        <w:t xml:space="preserve">rand </w:t>
      </w:r>
      <w:r w:rsidRPr="003707F1">
        <w:t>r</w:t>
      </w:r>
      <w:r w:rsidR="00AC5BE7" w:rsidRPr="003707F1">
        <w:t xml:space="preserve">elationships. </w:t>
      </w:r>
      <w:r w:rsidR="00AC5BE7" w:rsidRPr="003707F1">
        <w:rPr>
          <w:i/>
          <w:iCs/>
        </w:rPr>
        <w:t>Journal of Service Research</w:t>
      </w:r>
      <w:r w:rsidR="00AC5BE7" w:rsidRPr="003707F1">
        <w:t xml:space="preserve">, 11(2), 161–178. </w:t>
      </w:r>
      <w:proofErr w:type="spellStart"/>
      <w:r w:rsidR="00E569C5" w:rsidRPr="003707F1">
        <w:t>doi</w:t>
      </w:r>
      <w:proofErr w:type="spellEnd"/>
      <w:r w:rsidR="00E569C5" w:rsidRPr="003707F1">
        <w:t xml:space="preserve">: </w:t>
      </w:r>
      <w:hyperlink r:id="rId103" w:history="1">
        <w:r w:rsidR="00E569C5" w:rsidRPr="003707F1">
          <w:rPr>
            <w:rStyle w:val="Hyperlink"/>
          </w:rPr>
          <w:t>https://doi.org/10.1177/1094670508322561</w:t>
        </w:r>
      </w:hyperlink>
      <w:r w:rsidR="00E569C5" w:rsidRPr="003707F1">
        <w:t xml:space="preserve"> </w:t>
      </w:r>
    </w:p>
    <w:p w14:paraId="27BDE39B" w14:textId="77777777" w:rsidR="002524AB" w:rsidRPr="003707F1" w:rsidRDefault="002524AB" w:rsidP="00C836A7">
      <w:pPr>
        <w:jc w:val="both"/>
      </w:pPr>
      <w:r w:rsidRPr="003707F1">
        <w:t xml:space="preserve">Zhang, Y., &amp; </w:t>
      </w:r>
      <w:proofErr w:type="spellStart"/>
      <w:r w:rsidRPr="003707F1">
        <w:t>Khare</w:t>
      </w:r>
      <w:proofErr w:type="spellEnd"/>
      <w:r w:rsidRPr="003707F1">
        <w:t>, A. (2009). The impact of accessible identities on the evaluation of</w:t>
      </w:r>
    </w:p>
    <w:p w14:paraId="21C2747D" w14:textId="109FAE80" w:rsidR="002524AB" w:rsidRPr="003707F1" w:rsidRDefault="002524AB" w:rsidP="00E569C5">
      <w:pPr>
        <w:ind w:left="720"/>
        <w:jc w:val="both"/>
      </w:pPr>
      <w:r w:rsidRPr="003707F1">
        <w:t xml:space="preserve">global versus local products. </w:t>
      </w:r>
      <w:r w:rsidRPr="003707F1">
        <w:rPr>
          <w:i/>
          <w:iCs/>
        </w:rPr>
        <w:t>Journal of Consumer Research</w:t>
      </w:r>
      <w:r w:rsidRPr="003707F1">
        <w:t>, 36(October), 524–537.</w:t>
      </w:r>
      <w:r w:rsidR="00E569C5" w:rsidRPr="003707F1">
        <w:t xml:space="preserve"> </w:t>
      </w:r>
      <w:proofErr w:type="spellStart"/>
      <w:r w:rsidR="00E569C5" w:rsidRPr="003707F1">
        <w:t>doi</w:t>
      </w:r>
      <w:proofErr w:type="spellEnd"/>
      <w:r w:rsidR="00E569C5" w:rsidRPr="003707F1">
        <w:t xml:space="preserve">: </w:t>
      </w:r>
      <w:hyperlink r:id="rId104" w:history="1">
        <w:r w:rsidR="00E569C5" w:rsidRPr="003707F1">
          <w:rPr>
            <w:rStyle w:val="Hyperlink"/>
          </w:rPr>
          <w:t>https://doi.org/10.1086/598794</w:t>
        </w:r>
      </w:hyperlink>
      <w:r w:rsidR="00E569C5" w:rsidRPr="003707F1">
        <w:t xml:space="preserve"> </w:t>
      </w:r>
    </w:p>
    <w:p w14:paraId="70809F29" w14:textId="24B28197" w:rsidR="00462394" w:rsidRPr="003707F1" w:rsidRDefault="00462394" w:rsidP="00C836A7">
      <w:pPr>
        <w:jc w:val="both"/>
      </w:pPr>
      <w:proofErr w:type="spellStart"/>
      <w:r w:rsidRPr="003707F1">
        <w:t>Zralek</w:t>
      </w:r>
      <w:proofErr w:type="spellEnd"/>
      <w:r w:rsidRPr="003707F1">
        <w:t xml:space="preserve">, J., &amp; </w:t>
      </w:r>
      <w:proofErr w:type="spellStart"/>
      <w:r w:rsidRPr="003707F1">
        <w:t>Burgiel</w:t>
      </w:r>
      <w:proofErr w:type="spellEnd"/>
      <w:r w:rsidRPr="003707F1">
        <w:t xml:space="preserve">, A. (2020). Prospects for a </w:t>
      </w:r>
      <w:r w:rsidR="003B1AB7" w:rsidRPr="003707F1">
        <w:t>s</w:t>
      </w:r>
      <w:r w:rsidRPr="003707F1">
        <w:t xml:space="preserve">ustainable </w:t>
      </w:r>
      <w:r w:rsidR="003B1AB7" w:rsidRPr="003707F1">
        <w:t>f</w:t>
      </w:r>
      <w:r w:rsidRPr="003707F1">
        <w:t xml:space="preserve">uture: </w:t>
      </w:r>
      <w:r w:rsidR="003B1AB7" w:rsidRPr="003707F1">
        <w:t>m</w:t>
      </w:r>
      <w:r w:rsidRPr="003707F1">
        <w:t xml:space="preserve">apping </w:t>
      </w:r>
      <w:r w:rsidR="003B1AB7" w:rsidRPr="003707F1">
        <w:t>s</w:t>
      </w:r>
      <w:r w:rsidRPr="003707F1">
        <w:t xml:space="preserve">ustainable </w:t>
      </w:r>
    </w:p>
    <w:p w14:paraId="13B751E9" w14:textId="20F678CC" w:rsidR="00B43789" w:rsidRPr="003707F1" w:rsidRDefault="003B1AB7" w:rsidP="00C836A7">
      <w:pPr>
        <w:ind w:firstLine="720"/>
        <w:jc w:val="both"/>
      </w:pPr>
      <w:proofErr w:type="spellStart"/>
      <w:r w:rsidRPr="003707F1">
        <w:t>b</w:t>
      </w:r>
      <w:r w:rsidR="00462394" w:rsidRPr="003707F1">
        <w:t>ehaviors</w:t>
      </w:r>
      <w:proofErr w:type="spellEnd"/>
      <w:r w:rsidR="00462394" w:rsidRPr="003707F1">
        <w:t xml:space="preserve"> </w:t>
      </w:r>
      <w:r w:rsidRPr="003707F1">
        <w:t>a</w:t>
      </w:r>
      <w:r w:rsidR="00462394" w:rsidRPr="003707F1">
        <w:t xml:space="preserve">ccording to </w:t>
      </w:r>
      <w:r w:rsidRPr="003707F1">
        <w:t>c</w:t>
      </w:r>
      <w:r w:rsidR="00462394" w:rsidRPr="003707F1">
        <w:t xml:space="preserve">onsumer </w:t>
      </w:r>
      <w:r w:rsidRPr="003707F1">
        <w:t>p</w:t>
      </w:r>
      <w:r w:rsidR="00462394" w:rsidRPr="003707F1">
        <w:t xml:space="preserve">erceptions. </w:t>
      </w:r>
      <w:r w:rsidR="00462394" w:rsidRPr="003707F1">
        <w:rPr>
          <w:i/>
          <w:iCs/>
        </w:rPr>
        <w:t>Review of Business</w:t>
      </w:r>
      <w:r w:rsidR="00462394" w:rsidRPr="003707F1">
        <w:t>, 40(1).</w:t>
      </w:r>
    </w:p>
    <w:p w14:paraId="50E3023F" w14:textId="0CF0401C" w:rsidR="005B1015" w:rsidRPr="003707F1" w:rsidRDefault="005B1015" w:rsidP="00AB7714">
      <w:pPr>
        <w:spacing w:line="360" w:lineRule="auto"/>
        <w:jc w:val="both"/>
      </w:pPr>
    </w:p>
    <w:p w14:paraId="256F3721" w14:textId="45A6DC2A" w:rsidR="00226A24" w:rsidRDefault="00226A24" w:rsidP="00AB7714">
      <w:pPr>
        <w:spacing w:line="360" w:lineRule="auto"/>
        <w:jc w:val="both"/>
      </w:pPr>
    </w:p>
    <w:p w14:paraId="2D5905B6" w14:textId="4B3CD169" w:rsidR="00E13C9C" w:rsidRDefault="00E13C9C" w:rsidP="00AB7714">
      <w:pPr>
        <w:spacing w:line="360" w:lineRule="auto"/>
        <w:jc w:val="both"/>
      </w:pPr>
    </w:p>
    <w:p w14:paraId="773A8F1E" w14:textId="1C917A45" w:rsidR="00E13C9C" w:rsidRDefault="00E13C9C" w:rsidP="00AB7714">
      <w:pPr>
        <w:spacing w:line="360" w:lineRule="auto"/>
        <w:jc w:val="both"/>
      </w:pPr>
    </w:p>
    <w:p w14:paraId="140C7306" w14:textId="3CA56B5F" w:rsidR="00E13C9C" w:rsidRDefault="00E13C9C" w:rsidP="00AB7714">
      <w:pPr>
        <w:spacing w:line="360" w:lineRule="auto"/>
        <w:jc w:val="both"/>
      </w:pPr>
    </w:p>
    <w:p w14:paraId="3114EC36" w14:textId="0AB69F26" w:rsidR="00E13C9C" w:rsidRDefault="00E13C9C" w:rsidP="00AB7714">
      <w:pPr>
        <w:spacing w:line="360" w:lineRule="auto"/>
        <w:jc w:val="both"/>
      </w:pPr>
    </w:p>
    <w:p w14:paraId="1B042BE1" w14:textId="0A141DA0" w:rsidR="00E13C9C" w:rsidRDefault="00E13C9C" w:rsidP="00AB7714">
      <w:pPr>
        <w:spacing w:line="360" w:lineRule="auto"/>
        <w:jc w:val="both"/>
      </w:pPr>
    </w:p>
    <w:p w14:paraId="40C13028" w14:textId="4E614EBD" w:rsidR="00E13C9C" w:rsidRDefault="00E13C9C" w:rsidP="00AB7714">
      <w:pPr>
        <w:spacing w:line="360" w:lineRule="auto"/>
        <w:jc w:val="both"/>
      </w:pPr>
    </w:p>
    <w:p w14:paraId="06168B32" w14:textId="29E6AB2C" w:rsidR="00E13C9C" w:rsidRDefault="00E13C9C" w:rsidP="00AB7714">
      <w:pPr>
        <w:spacing w:line="360" w:lineRule="auto"/>
        <w:jc w:val="both"/>
      </w:pPr>
    </w:p>
    <w:p w14:paraId="11417EB2" w14:textId="18A61FA0" w:rsidR="00E13C9C" w:rsidRDefault="00E13C9C" w:rsidP="00AB7714">
      <w:pPr>
        <w:spacing w:line="360" w:lineRule="auto"/>
        <w:jc w:val="both"/>
      </w:pPr>
    </w:p>
    <w:p w14:paraId="3817F001" w14:textId="095F16A8" w:rsidR="00E13C9C" w:rsidRDefault="00E13C9C" w:rsidP="00AB7714">
      <w:pPr>
        <w:spacing w:line="360" w:lineRule="auto"/>
        <w:jc w:val="both"/>
      </w:pPr>
    </w:p>
    <w:p w14:paraId="1FF4D8AA" w14:textId="0F28BCFD" w:rsidR="00E13C9C" w:rsidRDefault="00E13C9C" w:rsidP="00AB7714">
      <w:pPr>
        <w:spacing w:line="360" w:lineRule="auto"/>
        <w:jc w:val="both"/>
      </w:pPr>
    </w:p>
    <w:p w14:paraId="28E6F779" w14:textId="3FB0B453" w:rsidR="00E13C9C" w:rsidRDefault="00E13C9C" w:rsidP="00AB7714">
      <w:pPr>
        <w:spacing w:line="360" w:lineRule="auto"/>
        <w:jc w:val="both"/>
      </w:pPr>
    </w:p>
    <w:p w14:paraId="7902A60C" w14:textId="75A908A7" w:rsidR="00E13C9C" w:rsidRDefault="00E13C9C" w:rsidP="00AB7714">
      <w:pPr>
        <w:spacing w:line="360" w:lineRule="auto"/>
        <w:jc w:val="both"/>
      </w:pPr>
    </w:p>
    <w:p w14:paraId="70BDD6E4" w14:textId="3DE9DC25" w:rsidR="00E13C9C" w:rsidRDefault="00E13C9C" w:rsidP="00AB7714">
      <w:pPr>
        <w:spacing w:line="360" w:lineRule="auto"/>
        <w:jc w:val="both"/>
      </w:pPr>
    </w:p>
    <w:p w14:paraId="4FAF3FE5" w14:textId="113326D6" w:rsidR="00E13C9C" w:rsidRDefault="00E13C9C" w:rsidP="00AB7714">
      <w:pPr>
        <w:spacing w:line="360" w:lineRule="auto"/>
        <w:jc w:val="both"/>
      </w:pPr>
    </w:p>
    <w:p w14:paraId="72658FC5" w14:textId="3D4962F7" w:rsidR="00E13C9C" w:rsidRDefault="00E13C9C" w:rsidP="00AB7714">
      <w:pPr>
        <w:spacing w:line="360" w:lineRule="auto"/>
        <w:jc w:val="both"/>
      </w:pPr>
    </w:p>
    <w:p w14:paraId="436674DF" w14:textId="4C9E725E" w:rsidR="00E13C9C" w:rsidRDefault="00E13C9C" w:rsidP="00AB7714">
      <w:pPr>
        <w:spacing w:line="360" w:lineRule="auto"/>
        <w:jc w:val="both"/>
      </w:pPr>
    </w:p>
    <w:p w14:paraId="75965471" w14:textId="23325A27" w:rsidR="00E13C9C" w:rsidRDefault="00E13C9C" w:rsidP="00AB7714">
      <w:pPr>
        <w:spacing w:line="360" w:lineRule="auto"/>
        <w:jc w:val="both"/>
      </w:pPr>
    </w:p>
    <w:p w14:paraId="5DB9619C" w14:textId="2BE2768A" w:rsidR="00E13C9C" w:rsidRDefault="00E13C9C" w:rsidP="00AB7714">
      <w:pPr>
        <w:spacing w:line="360" w:lineRule="auto"/>
        <w:jc w:val="both"/>
      </w:pPr>
    </w:p>
    <w:p w14:paraId="00C44514" w14:textId="77777777" w:rsidR="00E202A2" w:rsidRDefault="00E202A2" w:rsidP="00E202A2">
      <w:pPr>
        <w:pStyle w:val="Normal1"/>
        <w:widowControl w:val="0"/>
        <w:spacing w:line="240" w:lineRule="auto"/>
        <w:jc w:val="center"/>
        <w:rPr>
          <w:rFonts w:ascii="Times New Roman" w:eastAsia="Times New Roman" w:hAnsi="Times New Roman" w:cs="Times New Roman"/>
          <w:b/>
          <w:sz w:val="24"/>
          <w:szCs w:val="24"/>
          <w:lang w:val="en-GB"/>
        </w:rPr>
        <w:sectPr w:rsidR="00E202A2" w:rsidSect="00292302">
          <w:footerReference w:type="default" r:id="rId105"/>
          <w:pgSz w:w="11906" w:h="16838"/>
          <w:pgMar w:top="1440" w:right="1440" w:bottom="1440" w:left="1440" w:header="720" w:footer="720" w:gutter="0"/>
          <w:pgNumType w:start="1"/>
          <w:cols w:space="720"/>
          <w:docGrid w:linePitch="299"/>
        </w:sectPr>
      </w:pPr>
      <w:r>
        <w:rPr>
          <w:rFonts w:ascii="Times New Roman" w:eastAsia="Times New Roman" w:hAnsi="Times New Roman" w:cs="Times New Roman"/>
          <w:b/>
          <w:sz w:val="24"/>
          <w:szCs w:val="24"/>
          <w:lang w:val="en-GB"/>
        </w:rPr>
        <w:lastRenderedPageBreak/>
        <w:t>TABLES</w:t>
      </w:r>
    </w:p>
    <w:p w14:paraId="049ACB8A" w14:textId="77777777" w:rsidR="00E202A2" w:rsidRDefault="00E202A2" w:rsidP="00E202A2">
      <w:pPr>
        <w:pStyle w:val="Normal1"/>
        <w:widowControl w:val="0"/>
        <w:spacing w:line="240" w:lineRule="auto"/>
        <w:jc w:val="center"/>
        <w:rPr>
          <w:rFonts w:ascii="Times New Roman" w:eastAsia="Times New Roman" w:hAnsi="Times New Roman" w:cs="Times New Roman"/>
          <w:b/>
          <w:sz w:val="24"/>
          <w:szCs w:val="24"/>
          <w:lang w:val="en-GB"/>
        </w:rPr>
      </w:pPr>
    </w:p>
    <w:p w14:paraId="417F143F" w14:textId="77777777" w:rsidR="00E202A2" w:rsidRDefault="00E202A2" w:rsidP="00E202A2">
      <w:pPr>
        <w:pStyle w:val="Normal1"/>
        <w:widowControl w:val="0"/>
        <w:spacing w:line="240" w:lineRule="auto"/>
        <w:jc w:val="center"/>
        <w:rPr>
          <w:rFonts w:ascii="Times New Roman" w:eastAsia="Times New Roman" w:hAnsi="Times New Roman" w:cs="Times New Roman"/>
          <w:b/>
          <w:sz w:val="24"/>
          <w:szCs w:val="24"/>
          <w:lang w:val="en-GB"/>
        </w:rPr>
      </w:pPr>
    </w:p>
    <w:p w14:paraId="4338932E" w14:textId="77777777" w:rsidR="00E202A2" w:rsidRPr="003707F1" w:rsidRDefault="00E202A2" w:rsidP="00E202A2">
      <w:r w:rsidRPr="00B83F98">
        <w:rPr>
          <w:b/>
          <w:bCs/>
        </w:rPr>
        <w:t>Table 1.</w:t>
      </w:r>
      <w:r w:rsidRPr="003707F1">
        <w:t xml:space="preserve"> Recent literature (published since 2020) examining the role of PCE in a variety of consumption contexts. </w:t>
      </w:r>
    </w:p>
    <w:p w14:paraId="6C732194" w14:textId="77777777" w:rsidR="00E202A2" w:rsidRPr="003707F1" w:rsidRDefault="00E202A2" w:rsidP="00E202A2"/>
    <w:tbl>
      <w:tblPr>
        <w:tblStyle w:val="TableGrid"/>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820"/>
        <w:gridCol w:w="1976"/>
        <w:gridCol w:w="1132"/>
        <w:gridCol w:w="1363"/>
        <w:gridCol w:w="5052"/>
      </w:tblGrid>
      <w:tr w:rsidR="00E202A2" w:rsidRPr="003707F1" w14:paraId="61A03AF4" w14:textId="77777777" w:rsidTr="0073206D">
        <w:tc>
          <w:tcPr>
            <w:tcW w:w="2536" w:type="dxa"/>
            <w:tcBorders>
              <w:top w:val="single" w:sz="4" w:space="0" w:color="auto"/>
              <w:bottom w:val="single" w:sz="4" w:space="0" w:color="auto"/>
            </w:tcBorders>
            <w:vAlign w:val="center"/>
          </w:tcPr>
          <w:p w14:paraId="17DC0AC0" w14:textId="77777777" w:rsidR="00E202A2" w:rsidRPr="003707F1" w:rsidRDefault="00E202A2" w:rsidP="0073206D">
            <w:pPr>
              <w:rPr>
                <w:b/>
                <w:bCs/>
              </w:rPr>
            </w:pPr>
            <w:r w:rsidRPr="003707F1">
              <w:rPr>
                <w:b/>
                <w:bCs/>
              </w:rPr>
              <w:t>Study</w:t>
            </w:r>
          </w:p>
        </w:tc>
        <w:tc>
          <w:tcPr>
            <w:tcW w:w="2820" w:type="dxa"/>
            <w:tcBorders>
              <w:top w:val="single" w:sz="4" w:space="0" w:color="auto"/>
              <w:bottom w:val="single" w:sz="4" w:space="0" w:color="auto"/>
            </w:tcBorders>
            <w:vAlign w:val="center"/>
          </w:tcPr>
          <w:p w14:paraId="6F953573" w14:textId="77777777" w:rsidR="00E202A2" w:rsidRPr="003707F1" w:rsidRDefault="00E202A2" w:rsidP="0073206D">
            <w:pPr>
              <w:rPr>
                <w:b/>
                <w:bCs/>
              </w:rPr>
            </w:pPr>
            <w:r w:rsidRPr="003707F1">
              <w:rPr>
                <w:b/>
                <w:bCs/>
              </w:rPr>
              <w:t>Research context</w:t>
            </w:r>
          </w:p>
        </w:tc>
        <w:tc>
          <w:tcPr>
            <w:tcW w:w="1976" w:type="dxa"/>
            <w:tcBorders>
              <w:top w:val="single" w:sz="4" w:space="0" w:color="auto"/>
              <w:bottom w:val="single" w:sz="4" w:space="0" w:color="auto"/>
            </w:tcBorders>
            <w:vAlign w:val="center"/>
          </w:tcPr>
          <w:p w14:paraId="4A30647A" w14:textId="77777777" w:rsidR="00E202A2" w:rsidRPr="003707F1" w:rsidRDefault="00E202A2" w:rsidP="0073206D">
            <w:pPr>
              <w:rPr>
                <w:b/>
                <w:bCs/>
              </w:rPr>
            </w:pPr>
            <w:r w:rsidRPr="003707F1">
              <w:rPr>
                <w:b/>
                <w:bCs/>
              </w:rPr>
              <w:t>Method</w:t>
            </w:r>
          </w:p>
        </w:tc>
        <w:tc>
          <w:tcPr>
            <w:tcW w:w="1132" w:type="dxa"/>
            <w:tcBorders>
              <w:top w:val="single" w:sz="4" w:space="0" w:color="auto"/>
              <w:bottom w:val="single" w:sz="4" w:space="0" w:color="auto"/>
            </w:tcBorders>
            <w:vAlign w:val="center"/>
          </w:tcPr>
          <w:p w14:paraId="3D8B8525" w14:textId="77777777" w:rsidR="00E202A2" w:rsidRPr="003707F1" w:rsidRDefault="00E202A2" w:rsidP="0073206D">
            <w:pPr>
              <w:rPr>
                <w:b/>
                <w:bCs/>
              </w:rPr>
            </w:pPr>
            <w:r w:rsidRPr="003707F1">
              <w:rPr>
                <w:b/>
                <w:bCs/>
              </w:rPr>
              <w:t>Sample size</w:t>
            </w:r>
          </w:p>
        </w:tc>
        <w:tc>
          <w:tcPr>
            <w:tcW w:w="1363" w:type="dxa"/>
            <w:tcBorders>
              <w:top w:val="single" w:sz="4" w:space="0" w:color="auto"/>
              <w:bottom w:val="single" w:sz="4" w:space="0" w:color="auto"/>
            </w:tcBorders>
            <w:vAlign w:val="center"/>
          </w:tcPr>
          <w:p w14:paraId="2C7FBAB4" w14:textId="77777777" w:rsidR="00E202A2" w:rsidRPr="003707F1" w:rsidRDefault="00E202A2" w:rsidP="0073206D">
            <w:pPr>
              <w:rPr>
                <w:b/>
                <w:bCs/>
              </w:rPr>
            </w:pPr>
            <w:r w:rsidRPr="003707F1">
              <w:rPr>
                <w:b/>
                <w:bCs/>
              </w:rPr>
              <w:t>Country</w:t>
            </w:r>
          </w:p>
        </w:tc>
        <w:tc>
          <w:tcPr>
            <w:tcW w:w="5052" w:type="dxa"/>
            <w:tcBorders>
              <w:top w:val="single" w:sz="4" w:space="0" w:color="auto"/>
              <w:bottom w:val="single" w:sz="4" w:space="0" w:color="auto"/>
            </w:tcBorders>
            <w:vAlign w:val="center"/>
          </w:tcPr>
          <w:p w14:paraId="3B2A5233" w14:textId="77777777" w:rsidR="00E202A2" w:rsidRPr="003707F1" w:rsidRDefault="00E202A2" w:rsidP="0073206D">
            <w:pPr>
              <w:rPr>
                <w:b/>
                <w:bCs/>
              </w:rPr>
            </w:pPr>
            <w:r w:rsidRPr="003707F1">
              <w:rPr>
                <w:b/>
                <w:bCs/>
              </w:rPr>
              <w:t>Key findings</w:t>
            </w:r>
          </w:p>
        </w:tc>
      </w:tr>
      <w:tr w:rsidR="00E202A2" w:rsidRPr="003707F1" w14:paraId="12A0E9BC" w14:textId="77777777" w:rsidTr="0073206D">
        <w:tc>
          <w:tcPr>
            <w:tcW w:w="2536" w:type="dxa"/>
            <w:tcBorders>
              <w:top w:val="single" w:sz="4" w:space="0" w:color="auto"/>
            </w:tcBorders>
          </w:tcPr>
          <w:p w14:paraId="5B0286F8" w14:textId="77777777" w:rsidR="00E202A2" w:rsidRPr="003707F1" w:rsidRDefault="00E202A2" w:rsidP="0073206D">
            <w:r w:rsidRPr="003707F1">
              <w:t>Al-</w:t>
            </w:r>
            <w:proofErr w:type="spellStart"/>
            <w:r w:rsidRPr="003707F1">
              <w:t>Swidi</w:t>
            </w:r>
            <w:proofErr w:type="spellEnd"/>
            <w:r w:rsidRPr="003707F1">
              <w:t xml:space="preserve"> &amp; Saleh (2021)</w:t>
            </w:r>
          </w:p>
        </w:tc>
        <w:tc>
          <w:tcPr>
            <w:tcW w:w="2820" w:type="dxa"/>
            <w:tcBorders>
              <w:top w:val="single" w:sz="4" w:space="0" w:color="auto"/>
            </w:tcBorders>
          </w:tcPr>
          <w:p w14:paraId="0B00BA41" w14:textId="77777777" w:rsidR="00E202A2" w:rsidRPr="003707F1" w:rsidRDefault="00E202A2" w:rsidP="0073206D">
            <w:r w:rsidRPr="003707F1">
              <w:t xml:space="preserve">Determinants of green purchasing behaviour </w:t>
            </w:r>
          </w:p>
        </w:tc>
        <w:tc>
          <w:tcPr>
            <w:tcW w:w="1976" w:type="dxa"/>
            <w:tcBorders>
              <w:top w:val="single" w:sz="4" w:space="0" w:color="auto"/>
            </w:tcBorders>
          </w:tcPr>
          <w:p w14:paraId="35F60124" w14:textId="77777777" w:rsidR="00E202A2" w:rsidRPr="003707F1" w:rsidRDefault="00E202A2" w:rsidP="0073206D">
            <w:r w:rsidRPr="003707F1">
              <w:t xml:space="preserve">Online survey, convenience sampling, student sample </w:t>
            </w:r>
          </w:p>
          <w:p w14:paraId="39969E64" w14:textId="77777777" w:rsidR="00E202A2" w:rsidRPr="003707F1" w:rsidRDefault="00E202A2" w:rsidP="0073206D"/>
        </w:tc>
        <w:tc>
          <w:tcPr>
            <w:tcW w:w="1132" w:type="dxa"/>
            <w:tcBorders>
              <w:top w:val="single" w:sz="4" w:space="0" w:color="auto"/>
            </w:tcBorders>
          </w:tcPr>
          <w:p w14:paraId="624733C6" w14:textId="77777777" w:rsidR="00E202A2" w:rsidRPr="003707F1" w:rsidRDefault="00E202A2" w:rsidP="0073206D">
            <w:r w:rsidRPr="003707F1">
              <w:t xml:space="preserve">251 </w:t>
            </w:r>
          </w:p>
        </w:tc>
        <w:tc>
          <w:tcPr>
            <w:tcW w:w="1363" w:type="dxa"/>
            <w:tcBorders>
              <w:top w:val="single" w:sz="4" w:space="0" w:color="auto"/>
            </w:tcBorders>
          </w:tcPr>
          <w:p w14:paraId="609A1DC7" w14:textId="77777777" w:rsidR="00E202A2" w:rsidRPr="003707F1" w:rsidRDefault="00E202A2" w:rsidP="0073206D">
            <w:r w:rsidRPr="003707F1">
              <w:t>Qatar</w:t>
            </w:r>
          </w:p>
        </w:tc>
        <w:tc>
          <w:tcPr>
            <w:tcW w:w="5052" w:type="dxa"/>
            <w:tcBorders>
              <w:top w:val="single" w:sz="4" w:space="0" w:color="auto"/>
            </w:tcBorders>
          </w:tcPr>
          <w:p w14:paraId="137535E2" w14:textId="77777777" w:rsidR="00E202A2" w:rsidRPr="003707F1" w:rsidRDefault="00E202A2" w:rsidP="0073206D">
            <w:r w:rsidRPr="003707F1">
              <w:t xml:space="preserve">PCE is positively associated with self-reported green purchasing </w:t>
            </w:r>
            <w:proofErr w:type="spellStart"/>
            <w:r w:rsidRPr="003707F1">
              <w:t>behavior</w:t>
            </w:r>
            <w:proofErr w:type="spellEnd"/>
            <w:r w:rsidRPr="003707F1">
              <w:t>.</w:t>
            </w:r>
          </w:p>
        </w:tc>
      </w:tr>
      <w:tr w:rsidR="00E202A2" w:rsidRPr="003707F1" w14:paraId="60717308" w14:textId="77777777" w:rsidTr="0073206D">
        <w:tc>
          <w:tcPr>
            <w:tcW w:w="2536" w:type="dxa"/>
          </w:tcPr>
          <w:p w14:paraId="4233817A" w14:textId="77777777" w:rsidR="00E202A2" w:rsidRPr="003707F1" w:rsidRDefault="00E202A2" w:rsidP="0073206D">
            <w:proofErr w:type="spellStart"/>
            <w:proofErr w:type="gramStart"/>
            <w:r w:rsidRPr="003707F1">
              <w:t>Alzubaidi</w:t>
            </w:r>
            <w:proofErr w:type="spellEnd"/>
            <w:r w:rsidRPr="003707F1">
              <w:t>,  Slade</w:t>
            </w:r>
            <w:proofErr w:type="gramEnd"/>
            <w:r w:rsidRPr="003707F1">
              <w:t>, &amp; Dwivedi (2021)</w:t>
            </w:r>
          </w:p>
        </w:tc>
        <w:tc>
          <w:tcPr>
            <w:tcW w:w="2820" w:type="dxa"/>
          </w:tcPr>
          <w:p w14:paraId="4CFAF74B" w14:textId="77777777" w:rsidR="00E202A2" w:rsidRPr="003707F1" w:rsidRDefault="00E202A2" w:rsidP="0073206D">
            <w:r w:rsidRPr="003707F1">
              <w:t xml:space="preserve">Factors affecting pro-environmental behaviours </w:t>
            </w:r>
          </w:p>
        </w:tc>
        <w:tc>
          <w:tcPr>
            <w:tcW w:w="1976" w:type="dxa"/>
          </w:tcPr>
          <w:p w14:paraId="52EDC725" w14:textId="77777777" w:rsidR="00E202A2" w:rsidRPr="003707F1" w:rsidRDefault="00E202A2" w:rsidP="0073206D">
            <w:r w:rsidRPr="003707F1">
              <w:t xml:space="preserve">Online survey, </w:t>
            </w:r>
            <w:proofErr w:type="gramStart"/>
            <w:r w:rsidRPr="003707F1">
              <w:t>convenience</w:t>
            </w:r>
            <w:proofErr w:type="gramEnd"/>
            <w:r w:rsidRPr="003707F1">
              <w:t xml:space="preserve"> and snowballing </w:t>
            </w:r>
          </w:p>
          <w:p w14:paraId="06FDBA8D" w14:textId="77777777" w:rsidR="00E202A2" w:rsidRPr="003707F1" w:rsidRDefault="00E202A2" w:rsidP="0073206D"/>
        </w:tc>
        <w:tc>
          <w:tcPr>
            <w:tcW w:w="1132" w:type="dxa"/>
          </w:tcPr>
          <w:p w14:paraId="4EEA5A1C" w14:textId="77777777" w:rsidR="00E202A2" w:rsidRPr="003707F1" w:rsidRDefault="00E202A2" w:rsidP="0073206D">
            <w:r w:rsidRPr="003707F1">
              <w:t xml:space="preserve">611 </w:t>
            </w:r>
          </w:p>
        </w:tc>
        <w:tc>
          <w:tcPr>
            <w:tcW w:w="1363" w:type="dxa"/>
          </w:tcPr>
          <w:p w14:paraId="0F8FC86E" w14:textId="77777777" w:rsidR="00E202A2" w:rsidRPr="003707F1" w:rsidRDefault="00E202A2" w:rsidP="0073206D">
            <w:r w:rsidRPr="003707F1">
              <w:t>Saudi Arabia</w:t>
            </w:r>
          </w:p>
        </w:tc>
        <w:tc>
          <w:tcPr>
            <w:tcW w:w="5052" w:type="dxa"/>
          </w:tcPr>
          <w:p w14:paraId="1A08D8CA" w14:textId="77777777" w:rsidR="00E202A2" w:rsidRPr="003707F1" w:rsidRDefault="00E202A2" w:rsidP="0073206D">
            <w:r w:rsidRPr="003707F1">
              <w:t xml:space="preserve">PCE was positively associated with behavioural intentions, but the association was weak. </w:t>
            </w:r>
          </w:p>
        </w:tc>
      </w:tr>
      <w:tr w:rsidR="00E202A2" w:rsidRPr="003707F1" w14:paraId="6EB1569F" w14:textId="77777777" w:rsidTr="0073206D">
        <w:tc>
          <w:tcPr>
            <w:tcW w:w="2536" w:type="dxa"/>
          </w:tcPr>
          <w:p w14:paraId="7B56D5D7" w14:textId="77777777" w:rsidR="00E202A2" w:rsidRPr="003707F1" w:rsidRDefault="00E202A2" w:rsidP="0073206D">
            <w:proofErr w:type="spellStart"/>
            <w:r w:rsidRPr="003707F1">
              <w:t>Asadi</w:t>
            </w:r>
            <w:proofErr w:type="spellEnd"/>
            <w:r w:rsidRPr="003707F1">
              <w:t xml:space="preserve"> et al. (2021) </w:t>
            </w:r>
          </w:p>
        </w:tc>
        <w:tc>
          <w:tcPr>
            <w:tcW w:w="2820" w:type="dxa"/>
          </w:tcPr>
          <w:p w14:paraId="4D569470" w14:textId="77777777" w:rsidR="00E202A2" w:rsidRPr="003707F1" w:rsidRDefault="00E202A2" w:rsidP="0073206D">
            <w:r w:rsidRPr="003707F1">
              <w:t xml:space="preserve">Intentions to use electric vehicles </w:t>
            </w:r>
          </w:p>
        </w:tc>
        <w:tc>
          <w:tcPr>
            <w:tcW w:w="1976" w:type="dxa"/>
          </w:tcPr>
          <w:p w14:paraId="0D8965EE" w14:textId="77777777" w:rsidR="00E202A2" w:rsidRPr="003707F1" w:rsidRDefault="00E202A2" w:rsidP="0073206D">
            <w:r w:rsidRPr="003707F1">
              <w:t xml:space="preserve">Online survey, purposive and convenience sampling </w:t>
            </w:r>
          </w:p>
          <w:p w14:paraId="6B181BBF" w14:textId="77777777" w:rsidR="00E202A2" w:rsidRPr="003707F1" w:rsidRDefault="00E202A2" w:rsidP="0073206D"/>
        </w:tc>
        <w:tc>
          <w:tcPr>
            <w:tcW w:w="1132" w:type="dxa"/>
          </w:tcPr>
          <w:p w14:paraId="16ED68BF" w14:textId="77777777" w:rsidR="00E202A2" w:rsidRPr="003707F1" w:rsidRDefault="00E202A2" w:rsidP="0073206D">
            <w:r w:rsidRPr="003707F1">
              <w:t>177</w:t>
            </w:r>
          </w:p>
        </w:tc>
        <w:tc>
          <w:tcPr>
            <w:tcW w:w="1363" w:type="dxa"/>
          </w:tcPr>
          <w:p w14:paraId="2CD832B1" w14:textId="77777777" w:rsidR="00E202A2" w:rsidRPr="003707F1" w:rsidRDefault="00E202A2" w:rsidP="0073206D">
            <w:r w:rsidRPr="003707F1">
              <w:t>Malaysia</w:t>
            </w:r>
          </w:p>
        </w:tc>
        <w:tc>
          <w:tcPr>
            <w:tcW w:w="5052" w:type="dxa"/>
          </w:tcPr>
          <w:p w14:paraId="7D1D78D4" w14:textId="77777777" w:rsidR="00E202A2" w:rsidRPr="003707F1" w:rsidRDefault="00E202A2" w:rsidP="0073206D">
            <w:r w:rsidRPr="003707F1">
              <w:t xml:space="preserve">PCE is a strong antecedent to personal norms. </w:t>
            </w:r>
          </w:p>
        </w:tc>
      </w:tr>
      <w:tr w:rsidR="00E202A2" w:rsidRPr="003707F1" w14:paraId="30B6A0F3" w14:textId="77777777" w:rsidTr="0073206D">
        <w:tc>
          <w:tcPr>
            <w:tcW w:w="2536" w:type="dxa"/>
          </w:tcPr>
          <w:p w14:paraId="24550A79" w14:textId="77777777" w:rsidR="00E202A2" w:rsidRPr="003707F1" w:rsidRDefault="00E202A2" w:rsidP="0073206D">
            <w:proofErr w:type="spellStart"/>
            <w:r w:rsidRPr="003707F1">
              <w:t>Burhanudin</w:t>
            </w:r>
            <w:proofErr w:type="spellEnd"/>
            <w:r w:rsidRPr="003707F1">
              <w:t xml:space="preserve">, </w:t>
            </w:r>
            <w:proofErr w:type="gramStart"/>
            <w:r w:rsidRPr="003707F1">
              <w:t>Ronny,  &amp;</w:t>
            </w:r>
            <w:proofErr w:type="gramEnd"/>
            <w:r w:rsidRPr="003707F1">
              <w:t xml:space="preserve"> </w:t>
            </w:r>
            <w:proofErr w:type="spellStart"/>
            <w:r w:rsidRPr="003707F1">
              <w:t>Sihotang</w:t>
            </w:r>
            <w:proofErr w:type="spellEnd"/>
          </w:p>
          <w:p w14:paraId="6D7F8F68" w14:textId="77777777" w:rsidR="00E202A2" w:rsidRPr="003707F1" w:rsidRDefault="00E202A2" w:rsidP="0073206D">
            <w:r w:rsidRPr="003707F1">
              <w:t>(2021)</w:t>
            </w:r>
          </w:p>
        </w:tc>
        <w:tc>
          <w:tcPr>
            <w:tcW w:w="2820" w:type="dxa"/>
          </w:tcPr>
          <w:p w14:paraId="51AD859C" w14:textId="77777777" w:rsidR="00E202A2" w:rsidRPr="003707F1" w:rsidRDefault="00E202A2" w:rsidP="0073206D">
            <w:r w:rsidRPr="003707F1">
              <w:t xml:space="preserve">Banking services </w:t>
            </w:r>
          </w:p>
        </w:tc>
        <w:tc>
          <w:tcPr>
            <w:tcW w:w="1976" w:type="dxa"/>
          </w:tcPr>
          <w:p w14:paraId="08EBA331" w14:textId="77777777" w:rsidR="00E202A2" w:rsidRPr="003707F1" w:rsidRDefault="00E202A2" w:rsidP="0073206D">
            <w:r w:rsidRPr="003707F1">
              <w:t xml:space="preserve">Survey experiment, mall intercept survey </w:t>
            </w:r>
          </w:p>
        </w:tc>
        <w:tc>
          <w:tcPr>
            <w:tcW w:w="1132" w:type="dxa"/>
          </w:tcPr>
          <w:p w14:paraId="52E04965" w14:textId="77777777" w:rsidR="00E202A2" w:rsidRPr="003707F1" w:rsidRDefault="00E202A2" w:rsidP="0073206D">
            <w:r w:rsidRPr="003707F1">
              <w:t xml:space="preserve">313 </w:t>
            </w:r>
          </w:p>
        </w:tc>
        <w:tc>
          <w:tcPr>
            <w:tcW w:w="1363" w:type="dxa"/>
          </w:tcPr>
          <w:p w14:paraId="016C832F" w14:textId="77777777" w:rsidR="00E202A2" w:rsidRPr="003707F1" w:rsidRDefault="00E202A2" w:rsidP="0073206D">
            <w:r w:rsidRPr="003707F1">
              <w:t xml:space="preserve">Indonesia </w:t>
            </w:r>
          </w:p>
        </w:tc>
        <w:tc>
          <w:tcPr>
            <w:tcW w:w="5052" w:type="dxa"/>
          </w:tcPr>
          <w:p w14:paraId="3AF14D3C" w14:textId="77777777" w:rsidR="00E202A2" w:rsidRPr="003707F1" w:rsidRDefault="00E202A2" w:rsidP="0073206D">
            <w:r w:rsidRPr="003707F1">
              <w:t>Guilt about bank’s activities is associated with higher PCE.</w:t>
            </w:r>
          </w:p>
          <w:p w14:paraId="562CC240" w14:textId="77777777" w:rsidR="00E202A2" w:rsidRPr="003707F1" w:rsidRDefault="00E202A2" w:rsidP="0073206D">
            <w:r w:rsidRPr="003707F1">
              <w:t>PCE is positively associated with attitude towards green banking.</w:t>
            </w:r>
          </w:p>
          <w:p w14:paraId="0E24F32F" w14:textId="77777777" w:rsidR="00E202A2" w:rsidRPr="003707F1" w:rsidRDefault="00E202A2" w:rsidP="0073206D">
            <w:r w:rsidRPr="003707F1">
              <w:t xml:space="preserve">PCE is associated with increased negative word of mouth about banking projects that disregard natural environment. </w:t>
            </w:r>
          </w:p>
          <w:p w14:paraId="3A921510" w14:textId="77777777" w:rsidR="00E202A2" w:rsidRPr="003707F1" w:rsidRDefault="00E202A2" w:rsidP="0073206D">
            <w:r w:rsidRPr="003707F1">
              <w:t xml:space="preserve">PCE is not directly related to intention to use green banking services, but it does affect the </w:t>
            </w:r>
            <w:proofErr w:type="spellStart"/>
            <w:r w:rsidRPr="003707F1">
              <w:t>intetion</w:t>
            </w:r>
            <w:proofErr w:type="spellEnd"/>
            <w:r w:rsidRPr="003707F1">
              <w:t xml:space="preserve"> via negative word of mouth. </w:t>
            </w:r>
          </w:p>
          <w:p w14:paraId="113EC921" w14:textId="77777777" w:rsidR="00E202A2" w:rsidRPr="003707F1" w:rsidRDefault="00E202A2" w:rsidP="0073206D"/>
        </w:tc>
      </w:tr>
      <w:tr w:rsidR="00E202A2" w:rsidRPr="003707F1" w14:paraId="4DD8C867" w14:textId="77777777" w:rsidTr="0073206D">
        <w:tc>
          <w:tcPr>
            <w:tcW w:w="2536" w:type="dxa"/>
          </w:tcPr>
          <w:p w14:paraId="69495953" w14:textId="77777777" w:rsidR="00E202A2" w:rsidRPr="003707F1" w:rsidRDefault="00E202A2" w:rsidP="0073206D">
            <w:proofErr w:type="gramStart"/>
            <w:r w:rsidRPr="003707F1">
              <w:lastRenderedPageBreak/>
              <w:t xml:space="preserve">Ettinger,  </w:t>
            </w:r>
            <w:proofErr w:type="spellStart"/>
            <w:r w:rsidRPr="003707F1">
              <w:t>Grabner</w:t>
            </w:r>
            <w:proofErr w:type="gramEnd"/>
            <w:r w:rsidRPr="003707F1">
              <w:t>-Kräuter</w:t>
            </w:r>
            <w:proofErr w:type="spellEnd"/>
            <w:r w:rsidRPr="003707F1">
              <w:t xml:space="preserve">,  Okazaki, &amp; </w:t>
            </w:r>
            <w:proofErr w:type="spellStart"/>
            <w:r w:rsidRPr="003707F1">
              <w:t>Terlutter</w:t>
            </w:r>
            <w:proofErr w:type="spellEnd"/>
            <w:r w:rsidRPr="003707F1">
              <w:t xml:space="preserve">  (2021)</w:t>
            </w:r>
          </w:p>
        </w:tc>
        <w:tc>
          <w:tcPr>
            <w:tcW w:w="2820" w:type="dxa"/>
          </w:tcPr>
          <w:p w14:paraId="3DF4B732" w14:textId="77777777" w:rsidR="00E202A2" w:rsidRPr="003707F1" w:rsidRDefault="00E202A2" w:rsidP="0073206D">
            <w:proofErr w:type="spellStart"/>
            <w:r w:rsidRPr="003707F1">
              <w:t>Effectivenees</w:t>
            </w:r>
            <w:proofErr w:type="spellEnd"/>
            <w:r w:rsidRPr="003707F1">
              <w:t xml:space="preserve"> of corporate social responsibility communications </w:t>
            </w:r>
          </w:p>
        </w:tc>
        <w:tc>
          <w:tcPr>
            <w:tcW w:w="1976" w:type="dxa"/>
          </w:tcPr>
          <w:p w14:paraId="7024BE2C" w14:textId="77777777" w:rsidR="00E202A2" w:rsidRPr="003707F1" w:rsidRDefault="00E202A2" w:rsidP="0073206D">
            <w:r w:rsidRPr="003707F1">
              <w:t xml:space="preserve">Online survey experiment </w:t>
            </w:r>
          </w:p>
        </w:tc>
        <w:tc>
          <w:tcPr>
            <w:tcW w:w="1132" w:type="dxa"/>
          </w:tcPr>
          <w:p w14:paraId="4CA082FD" w14:textId="77777777" w:rsidR="00E202A2" w:rsidRPr="003707F1" w:rsidRDefault="00E202A2" w:rsidP="0073206D">
            <w:r w:rsidRPr="003707F1">
              <w:t xml:space="preserve">601 </w:t>
            </w:r>
          </w:p>
        </w:tc>
        <w:tc>
          <w:tcPr>
            <w:tcW w:w="1363" w:type="dxa"/>
          </w:tcPr>
          <w:p w14:paraId="44CDF80E" w14:textId="77777777" w:rsidR="00E202A2" w:rsidRPr="003707F1" w:rsidRDefault="00E202A2" w:rsidP="0073206D">
            <w:r w:rsidRPr="003707F1">
              <w:t xml:space="preserve">Germany, Austria, </w:t>
            </w:r>
          </w:p>
          <w:p w14:paraId="2CB20A41" w14:textId="77777777" w:rsidR="00E202A2" w:rsidRPr="003707F1" w:rsidRDefault="00E202A2" w:rsidP="0073206D">
            <w:r w:rsidRPr="003707F1">
              <w:t>Switzerland</w:t>
            </w:r>
          </w:p>
        </w:tc>
        <w:tc>
          <w:tcPr>
            <w:tcW w:w="5052" w:type="dxa"/>
          </w:tcPr>
          <w:p w14:paraId="454018EF" w14:textId="77777777" w:rsidR="00E202A2" w:rsidRPr="003707F1" w:rsidRDefault="00E202A2" w:rsidP="0073206D">
            <w:r w:rsidRPr="003707F1">
              <w:t xml:space="preserve">PCE mediates the relationship between type of CSR communication and attitudes toward hotels’ CSR communication. </w:t>
            </w:r>
          </w:p>
          <w:p w14:paraId="470960F1" w14:textId="77777777" w:rsidR="00E202A2" w:rsidRPr="003707F1" w:rsidRDefault="00E202A2" w:rsidP="0073206D"/>
        </w:tc>
      </w:tr>
      <w:tr w:rsidR="00E202A2" w:rsidRPr="003707F1" w14:paraId="4E5712C0" w14:textId="77777777" w:rsidTr="0073206D">
        <w:tc>
          <w:tcPr>
            <w:tcW w:w="2536" w:type="dxa"/>
          </w:tcPr>
          <w:p w14:paraId="108D02DE" w14:textId="77777777" w:rsidR="00E202A2" w:rsidRPr="003707F1" w:rsidRDefault="00E202A2" w:rsidP="0073206D">
            <w:proofErr w:type="spellStart"/>
            <w:r w:rsidRPr="003707F1">
              <w:t>Taufique</w:t>
            </w:r>
            <w:proofErr w:type="spellEnd"/>
            <w:r w:rsidRPr="003707F1">
              <w:t xml:space="preserve"> &amp; Islam</w:t>
            </w:r>
          </w:p>
          <w:p w14:paraId="0CB3C443" w14:textId="77777777" w:rsidR="00E202A2" w:rsidRPr="003707F1" w:rsidRDefault="00E202A2" w:rsidP="0073206D">
            <w:r w:rsidRPr="003707F1">
              <w:t xml:space="preserve"> (2021)</w:t>
            </w:r>
          </w:p>
        </w:tc>
        <w:tc>
          <w:tcPr>
            <w:tcW w:w="2820" w:type="dxa"/>
          </w:tcPr>
          <w:p w14:paraId="677CE7FF" w14:textId="77777777" w:rsidR="00E202A2" w:rsidRPr="003707F1" w:rsidRDefault="00E202A2" w:rsidP="0073206D">
            <w:r w:rsidRPr="003707F1">
              <w:t xml:space="preserve">Antecedents of green consumer </w:t>
            </w:r>
            <w:proofErr w:type="spellStart"/>
            <w:r w:rsidRPr="003707F1">
              <w:t>behavior</w:t>
            </w:r>
            <w:proofErr w:type="spellEnd"/>
            <w:r w:rsidRPr="003707F1">
              <w:t xml:space="preserve"> </w:t>
            </w:r>
          </w:p>
        </w:tc>
        <w:tc>
          <w:tcPr>
            <w:tcW w:w="1976" w:type="dxa"/>
          </w:tcPr>
          <w:p w14:paraId="3DDD218A" w14:textId="77777777" w:rsidR="00E202A2" w:rsidRPr="003707F1" w:rsidRDefault="00E202A2" w:rsidP="0073206D">
            <w:r w:rsidRPr="003707F1">
              <w:t xml:space="preserve">Online survey, convenience sampling, student sample </w:t>
            </w:r>
          </w:p>
        </w:tc>
        <w:tc>
          <w:tcPr>
            <w:tcW w:w="1132" w:type="dxa"/>
          </w:tcPr>
          <w:p w14:paraId="675C874B" w14:textId="77777777" w:rsidR="00E202A2" w:rsidRPr="003707F1" w:rsidRDefault="00E202A2" w:rsidP="0073206D">
            <w:r w:rsidRPr="003707F1">
              <w:t xml:space="preserve">206 </w:t>
            </w:r>
          </w:p>
        </w:tc>
        <w:tc>
          <w:tcPr>
            <w:tcW w:w="1363" w:type="dxa"/>
          </w:tcPr>
          <w:p w14:paraId="63BF321E" w14:textId="77777777" w:rsidR="00E202A2" w:rsidRPr="003707F1" w:rsidRDefault="00E202A2" w:rsidP="0073206D">
            <w:r w:rsidRPr="003707F1">
              <w:t xml:space="preserve">Bangladesh </w:t>
            </w:r>
          </w:p>
        </w:tc>
        <w:tc>
          <w:tcPr>
            <w:tcW w:w="5052" w:type="dxa"/>
          </w:tcPr>
          <w:p w14:paraId="38F29BFD" w14:textId="77777777" w:rsidR="00E202A2" w:rsidRPr="003707F1" w:rsidRDefault="00E202A2" w:rsidP="0073206D">
            <w:r w:rsidRPr="003707F1">
              <w:t xml:space="preserve">PCE has a direct positive influence on self-reported green consumer </w:t>
            </w:r>
            <w:proofErr w:type="spellStart"/>
            <w:r w:rsidRPr="003707F1">
              <w:t>behavior</w:t>
            </w:r>
            <w:proofErr w:type="spellEnd"/>
            <w:r w:rsidRPr="003707F1">
              <w:t xml:space="preserve">. </w:t>
            </w:r>
          </w:p>
        </w:tc>
      </w:tr>
      <w:tr w:rsidR="00E202A2" w:rsidRPr="003707F1" w14:paraId="5235E882" w14:textId="77777777" w:rsidTr="0073206D">
        <w:tc>
          <w:tcPr>
            <w:tcW w:w="2536" w:type="dxa"/>
          </w:tcPr>
          <w:p w14:paraId="7D77216B" w14:textId="77777777" w:rsidR="00E202A2" w:rsidRPr="003707F1" w:rsidRDefault="00E202A2" w:rsidP="0073206D">
            <w:proofErr w:type="spellStart"/>
            <w:r w:rsidRPr="003707F1">
              <w:t>Alsaad</w:t>
            </w:r>
            <w:proofErr w:type="spellEnd"/>
            <w:r w:rsidRPr="003707F1">
              <w:t xml:space="preserve">, </w:t>
            </w:r>
            <w:proofErr w:type="spellStart"/>
            <w:r w:rsidRPr="003707F1">
              <w:t>Saif-Alyousfi</w:t>
            </w:r>
            <w:proofErr w:type="spellEnd"/>
            <w:r w:rsidRPr="003707F1">
              <w:t xml:space="preserve">, &amp; </w:t>
            </w:r>
            <w:proofErr w:type="spellStart"/>
            <w:r w:rsidRPr="003707F1">
              <w:t>Elrehail</w:t>
            </w:r>
            <w:proofErr w:type="spellEnd"/>
            <w:r w:rsidRPr="003707F1">
              <w:t xml:space="preserve"> </w:t>
            </w:r>
          </w:p>
          <w:p w14:paraId="5E4A059F" w14:textId="77777777" w:rsidR="00E202A2" w:rsidRPr="003707F1" w:rsidRDefault="00E202A2" w:rsidP="0073206D">
            <w:r w:rsidRPr="003707F1">
              <w:t>(2020)</w:t>
            </w:r>
          </w:p>
        </w:tc>
        <w:tc>
          <w:tcPr>
            <w:tcW w:w="2820" w:type="dxa"/>
          </w:tcPr>
          <w:p w14:paraId="58C6996D" w14:textId="77777777" w:rsidR="00E202A2" w:rsidRPr="003707F1" w:rsidRDefault="00E202A2" w:rsidP="0073206D">
            <w:r w:rsidRPr="003707F1">
              <w:t xml:space="preserve">Religiosity and ethical purchase intentions </w:t>
            </w:r>
          </w:p>
        </w:tc>
        <w:tc>
          <w:tcPr>
            <w:tcW w:w="1976" w:type="dxa"/>
          </w:tcPr>
          <w:p w14:paraId="55F8BD51" w14:textId="77777777" w:rsidR="00E202A2" w:rsidRPr="003707F1" w:rsidRDefault="00E202A2" w:rsidP="0073206D">
            <w:r w:rsidRPr="003707F1">
              <w:t>E-mail survey, student sample</w:t>
            </w:r>
          </w:p>
        </w:tc>
        <w:tc>
          <w:tcPr>
            <w:tcW w:w="1132" w:type="dxa"/>
          </w:tcPr>
          <w:p w14:paraId="4283BAA5" w14:textId="77777777" w:rsidR="00E202A2" w:rsidRPr="003707F1" w:rsidRDefault="00E202A2" w:rsidP="0073206D">
            <w:r w:rsidRPr="003707F1">
              <w:t xml:space="preserve">149 </w:t>
            </w:r>
          </w:p>
        </w:tc>
        <w:tc>
          <w:tcPr>
            <w:tcW w:w="1363" w:type="dxa"/>
          </w:tcPr>
          <w:p w14:paraId="529C2D33" w14:textId="77777777" w:rsidR="00E202A2" w:rsidRPr="003707F1" w:rsidRDefault="00E202A2" w:rsidP="0073206D">
            <w:r w:rsidRPr="003707F1">
              <w:t xml:space="preserve">Saudi Arabia </w:t>
            </w:r>
          </w:p>
        </w:tc>
        <w:tc>
          <w:tcPr>
            <w:tcW w:w="5052" w:type="dxa"/>
          </w:tcPr>
          <w:p w14:paraId="4C7ECE86" w14:textId="77777777" w:rsidR="00E202A2" w:rsidRPr="003707F1" w:rsidRDefault="00E202A2" w:rsidP="0073206D">
            <w:r w:rsidRPr="003707F1">
              <w:t>Religiosity and idealism are positively associated with PCE.</w:t>
            </w:r>
          </w:p>
          <w:p w14:paraId="37C5D215" w14:textId="77777777" w:rsidR="00E202A2" w:rsidRPr="003707F1" w:rsidRDefault="00E202A2" w:rsidP="0073206D">
            <w:r w:rsidRPr="003707F1">
              <w:t>PCE mediates the effect of religiosity and moral obligation on ethical purchase intention.</w:t>
            </w:r>
          </w:p>
          <w:p w14:paraId="3B193C95" w14:textId="77777777" w:rsidR="00E202A2" w:rsidRPr="003707F1" w:rsidRDefault="00E202A2" w:rsidP="0073206D">
            <w:r w:rsidRPr="003707F1">
              <w:t xml:space="preserve"> </w:t>
            </w:r>
          </w:p>
        </w:tc>
      </w:tr>
      <w:tr w:rsidR="00E202A2" w:rsidRPr="003707F1" w14:paraId="56913733" w14:textId="77777777" w:rsidTr="0073206D">
        <w:tc>
          <w:tcPr>
            <w:tcW w:w="2536" w:type="dxa"/>
          </w:tcPr>
          <w:p w14:paraId="7925AEE5" w14:textId="77777777" w:rsidR="00E202A2" w:rsidRPr="003707F1" w:rsidRDefault="00E202A2" w:rsidP="0073206D">
            <w:r w:rsidRPr="003707F1">
              <w:t xml:space="preserve">Arias &amp; Trujillo  </w:t>
            </w:r>
          </w:p>
          <w:p w14:paraId="35B38812" w14:textId="77777777" w:rsidR="00E202A2" w:rsidRPr="003707F1" w:rsidRDefault="00E202A2" w:rsidP="0073206D">
            <w:r w:rsidRPr="003707F1">
              <w:t xml:space="preserve">(2020) </w:t>
            </w:r>
          </w:p>
        </w:tc>
        <w:tc>
          <w:tcPr>
            <w:tcW w:w="2820" w:type="dxa"/>
          </w:tcPr>
          <w:p w14:paraId="4377DE33" w14:textId="77777777" w:rsidR="00E202A2" w:rsidRPr="003707F1" w:rsidRDefault="00E202A2" w:rsidP="0073206D">
            <w:r w:rsidRPr="003707F1">
              <w:t xml:space="preserve">Self-reported recycling behaviour </w:t>
            </w:r>
          </w:p>
        </w:tc>
        <w:tc>
          <w:tcPr>
            <w:tcW w:w="1976" w:type="dxa"/>
          </w:tcPr>
          <w:p w14:paraId="68942530" w14:textId="77777777" w:rsidR="00E202A2" w:rsidRPr="003707F1" w:rsidRDefault="00E202A2" w:rsidP="0073206D">
            <w:r w:rsidRPr="003707F1">
              <w:t xml:space="preserve">Face-to-face survey </w:t>
            </w:r>
          </w:p>
        </w:tc>
        <w:tc>
          <w:tcPr>
            <w:tcW w:w="1132" w:type="dxa"/>
          </w:tcPr>
          <w:p w14:paraId="16639A67" w14:textId="77777777" w:rsidR="00E202A2" w:rsidRPr="003707F1" w:rsidRDefault="00E202A2" w:rsidP="0073206D">
            <w:r w:rsidRPr="003707F1">
              <w:t xml:space="preserve">1286 </w:t>
            </w:r>
          </w:p>
        </w:tc>
        <w:tc>
          <w:tcPr>
            <w:tcW w:w="1363" w:type="dxa"/>
          </w:tcPr>
          <w:p w14:paraId="06270D7B" w14:textId="77777777" w:rsidR="00E202A2" w:rsidRPr="003707F1" w:rsidRDefault="00E202A2" w:rsidP="0073206D">
            <w:r w:rsidRPr="003707F1">
              <w:t>Colombia</w:t>
            </w:r>
          </w:p>
        </w:tc>
        <w:tc>
          <w:tcPr>
            <w:tcW w:w="5052" w:type="dxa"/>
          </w:tcPr>
          <w:p w14:paraId="233CD3AB" w14:textId="77777777" w:rsidR="00E202A2" w:rsidRPr="003707F1" w:rsidRDefault="00E202A2" w:rsidP="0073206D">
            <w:r w:rsidRPr="003707F1">
              <w:t xml:space="preserve">PCE is positively associated with the use of </w:t>
            </w:r>
            <w:proofErr w:type="spellStart"/>
            <w:r w:rsidRPr="003707F1">
              <w:t>resuable</w:t>
            </w:r>
            <w:proofErr w:type="spellEnd"/>
            <w:r w:rsidRPr="003707F1">
              <w:t xml:space="preserve"> shopping bags. </w:t>
            </w:r>
          </w:p>
          <w:p w14:paraId="6F91127F" w14:textId="77777777" w:rsidR="00E202A2" w:rsidRPr="003707F1" w:rsidRDefault="00E202A2" w:rsidP="0073206D">
            <w:r w:rsidRPr="003707F1">
              <w:t xml:space="preserve">PCE does not directly affect recycling behaviour but indirectly via the reported use of reusable bags. </w:t>
            </w:r>
          </w:p>
          <w:p w14:paraId="2B7F8800" w14:textId="77777777" w:rsidR="00E202A2" w:rsidRPr="003707F1" w:rsidRDefault="00E202A2" w:rsidP="0073206D"/>
        </w:tc>
      </w:tr>
      <w:tr w:rsidR="00E202A2" w:rsidRPr="003707F1" w14:paraId="62B4B739" w14:textId="77777777" w:rsidTr="0073206D">
        <w:tc>
          <w:tcPr>
            <w:tcW w:w="2536" w:type="dxa"/>
          </w:tcPr>
          <w:p w14:paraId="1BFF7925" w14:textId="77777777" w:rsidR="00E202A2" w:rsidRPr="003707F1" w:rsidRDefault="00E202A2" w:rsidP="0073206D">
            <w:proofErr w:type="spellStart"/>
            <w:proofErr w:type="gramStart"/>
            <w:r w:rsidRPr="003707F1">
              <w:t>Brusselaers</w:t>
            </w:r>
            <w:proofErr w:type="spellEnd"/>
            <w:r w:rsidRPr="003707F1">
              <w:t>,  Verbeke</w:t>
            </w:r>
            <w:proofErr w:type="gramEnd"/>
            <w:r w:rsidRPr="003707F1">
              <w:t xml:space="preserve">, </w:t>
            </w:r>
            <w:proofErr w:type="spellStart"/>
            <w:r w:rsidRPr="003707F1">
              <w:t>Mettepenningen</w:t>
            </w:r>
            <w:proofErr w:type="spellEnd"/>
            <w:r w:rsidRPr="003707F1">
              <w:t xml:space="preserve">, &amp; </w:t>
            </w:r>
            <w:proofErr w:type="spellStart"/>
            <w:r w:rsidRPr="003707F1">
              <w:t>Buysse</w:t>
            </w:r>
            <w:proofErr w:type="spellEnd"/>
            <w:r w:rsidRPr="003707F1">
              <w:t xml:space="preserve"> </w:t>
            </w:r>
          </w:p>
          <w:p w14:paraId="32D73D36" w14:textId="77777777" w:rsidR="00E202A2" w:rsidRPr="003707F1" w:rsidRDefault="00E202A2" w:rsidP="0073206D">
            <w:r w:rsidRPr="003707F1">
              <w:t>(2020)</w:t>
            </w:r>
          </w:p>
          <w:p w14:paraId="06540003" w14:textId="77777777" w:rsidR="00E202A2" w:rsidRPr="003707F1" w:rsidRDefault="00E202A2" w:rsidP="0073206D"/>
        </w:tc>
        <w:tc>
          <w:tcPr>
            <w:tcW w:w="2820" w:type="dxa"/>
          </w:tcPr>
          <w:p w14:paraId="5F9119D4" w14:textId="77777777" w:rsidR="00E202A2" w:rsidRPr="003707F1" w:rsidRDefault="00E202A2" w:rsidP="0073206D">
            <w:r w:rsidRPr="003707F1">
              <w:t xml:space="preserve">Drivers of eco-certified wood consumption </w:t>
            </w:r>
          </w:p>
        </w:tc>
        <w:tc>
          <w:tcPr>
            <w:tcW w:w="1976" w:type="dxa"/>
          </w:tcPr>
          <w:p w14:paraId="5C98B055" w14:textId="77777777" w:rsidR="00E202A2" w:rsidRPr="003707F1" w:rsidRDefault="00E202A2" w:rsidP="0073206D">
            <w:r w:rsidRPr="003707F1">
              <w:t xml:space="preserve">Survey, student sample </w:t>
            </w:r>
          </w:p>
        </w:tc>
        <w:tc>
          <w:tcPr>
            <w:tcW w:w="1132" w:type="dxa"/>
          </w:tcPr>
          <w:p w14:paraId="68B1904E" w14:textId="77777777" w:rsidR="00E202A2" w:rsidRPr="003707F1" w:rsidRDefault="00E202A2" w:rsidP="0073206D">
            <w:r w:rsidRPr="003707F1">
              <w:t xml:space="preserve">274 </w:t>
            </w:r>
          </w:p>
        </w:tc>
        <w:tc>
          <w:tcPr>
            <w:tcW w:w="1363" w:type="dxa"/>
          </w:tcPr>
          <w:p w14:paraId="7EFA01F5" w14:textId="77777777" w:rsidR="00E202A2" w:rsidRPr="003707F1" w:rsidRDefault="00E202A2" w:rsidP="0073206D">
            <w:r w:rsidRPr="003707F1">
              <w:t xml:space="preserve">Belgium </w:t>
            </w:r>
          </w:p>
        </w:tc>
        <w:tc>
          <w:tcPr>
            <w:tcW w:w="5052" w:type="dxa"/>
          </w:tcPr>
          <w:p w14:paraId="582A1D59" w14:textId="77777777" w:rsidR="00E202A2" w:rsidRPr="003707F1" w:rsidRDefault="00E202A2" w:rsidP="0073206D">
            <w:proofErr w:type="gramStart"/>
            <w:r w:rsidRPr="003707F1">
              <w:t>PCE  does</w:t>
            </w:r>
            <w:proofErr w:type="gramEnd"/>
            <w:r w:rsidRPr="003707F1">
              <w:t xml:space="preserve"> not drive eco-certified wood consumption.</w:t>
            </w:r>
          </w:p>
        </w:tc>
      </w:tr>
      <w:tr w:rsidR="00E202A2" w:rsidRPr="003707F1" w14:paraId="2BE01ACD" w14:textId="77777777" w:rsidTr="0073206D">
        <w:tc>
          <w:tcPr>
            <w:tcW w:w="2536" w:type="dxa"/>
          </w:tcPr>
          <w:p w14:paraId="49E5E205" w14:textId="77777777" w:rsidR="00E202A2" w:rsidRPr="003707F1" w:rsidRDefault="00E202A2" w:rsidP="0073206D">
            <w:proofErr w:type="spellStart"/>
            <w:r w:rsidRPr="003707F1">
              <w:t>Escario</w:t>
            </w:r>
            <w:proofErr w:type="spellEnd"/>
            <w:r w:rsidRPr="003707F1">
              <w:t>, Rodriguez-</w:t>
            </w:r>
            <w:proofErr w:type="gramStart"/>
            <w:r w:rsidRPr="003707F1">
              <w:t>Sanchez,  &amp;</w:t>
            </w:r>
            <w:proofErr w:type="gramEnd"/>
            <w:r w:rsidRPr="003707F1">
              <w:t xml:space="preserve"> </w:t>
            </w:r>
            <w:proofErr w:type="spellStart"/>
            <w:r w:rsidRPr="003707F1">
              <w:t>Casaló</w:t>
            </w:r>
            <w:proofErr w:type="spellEnd"/>
            <w:r w:rsidRPr="003707F1">
              <w:t xml:space="preserve"> </w:t>
            </w:r>
          </w:p>
          <w:p w14:paraId="131CAB44" w14:textId="77777777" w:rsidR="00E202A2" w:rsidRPr="003707F1" w:rsidRDefault="00E202A2" w:rsidP="0073206D">
            <w:r w:rsidRPr="003707F1">
              <w:t>(2020)</w:t>
            </w:r>
          </w:p>
          <w:p w14:paraId="4DE31430" w14:textId="77777777" w:rsidR="00E202A2" w:rsidRPr="003707F1" w:rsidRDefault="00E202A2" w:rsidP="0073206D"/>
        </w:tc>
        <w:tc>
          <w:tcPr>
            <w:tcW w:w="2820" w:type="dxa"/>
          </w:tcPr>
          <w:p w14:paraId="1B8A5007" w14:textId="77777777" w:rsidR="00E202A2" w:rsidRPr="003707F1" w:rsidRDefault="00E202A2" w:rsidP="0073206D">
            <w:r w:rsidRPr="003707F1">
              <w:t xml:space="preserve">Recycling and reusing behaviour </w:t>
            </w:r>
          </w:p>
        </w:tc>
        <w:tc>
          <w:tcPr>
            <w:tcW w:w="1976" w:type="dxa"/>
          </w:tcPr>
          <w:p w14:paraId="242CE72C" w14:textId="77777777" w:rsidR="00E202A2" w:rsidRPr="003707F1" w:rsidRDefault="00E202A2" w:rsidP="0073206D">
            <w:r w:rsidRPr="003707F1">
              <w:t xml:space="preserve">Face-to-face survey </w:t>
            </w:r>
          </w:p>
        </w:tc>
        <w:tc>
          <w:tcPr>
            <w:tcW w:w="1132" w:type="dxa"/>
          </w:tcPr>
          <w:p w14:paraId="69AD5986" w14:textId="77777777" w:rsidR="00E202A2" w:rsidRPr="003707F1" w:rsidRDefault="00E202A2" w:rsidP="0073206D">
            <w:r w:rsidRPr="003707F1">
              <w:t xml:space="preserve">2487 </w:t>
            </w:r>
          </w:p>
        </w:tc>
        <w:tc>
          <w:tcPr>
            <w:tcW w:w="1363" w:type="dxa"/>
          </w:tcPr>
          <w:p w14:paraId="3A506204" w14:textId="77777777" w:rsidR="00E202A2" w:rsidRPr="003707F1" w:rsidRDefault="00E202A2" w:rsidP="0073206D">
            <w:r w:rsidRPr="003707F1">
              <w:t xml:space="preserve">Spain </w:t>
            </w:r>
          </w:p>
        </w:tc>
        <w:tc>
          <w:tcPr>
            <w:tcW w:w="5052" w:type="dxa"/>
          </w:tcPr>
          <w:p w14:paraId="38CD025A" w14:textId="77777777" w:rsidR="00E202A2" w:rsidRPr="003707F1" w:rsidRDefault="00E202A2" w:rsidP="0073206D">
            <w:r w:rsidRPr="003707F1">
              <w:t xml:space="preserve">PCE is positively associated with self-reported recycling, </w:t>
            </w:r>
            <w:proofErr w:type="gramStart"/>
            <w:r w:rsidRPr="003707F1">
              <w:t>reusing</w:t>
            </w:r>
            <w:proofErr w:type="gramEnd"/>
            <w:r w:rsidRPr="003707F1">
              <w:t xml:space="preserve"> and refusing behaviours. </w:t>
            </w:r>
          </w:p>
        </w:tc>
      </w:tr>
      <w:tr w:rsidR="00E202A2" w:rsidRPr="003707F1" w14:paraId="7440BCE2" w14:textId="77777777" w:rsidTr="0073206D">
        <w:tc>
          <w:tcPr>
            <w:tcW w:w="2536" w:type="dxa"/>
          </w:tcPr>
          <w:p w14:paraId="4F70F7B9" w14:textId="77777777" w:rsidR="00E202A2" w:rsidRPr="003707F1" w:rsidRDefault="00E202A2" w:rsidP="0073206D">
            <w:r w:rsidRPr="003707F1">
              <w:t xml:space="preserve">Gautam </w:t>
            </w:r>
          </w:p>
          <w:p w14:paraId="3BDC5876" w14:textId="77777777" w:rsidR="00E202A2" w:rsidRPr="003707F1" w:rsidRDefault="00E202A2" w:rsidP="0073206D">
            <w:r w:rsidRPr="003707F1">
              <w:t xml:space="preserve">(2020) </w:t>
            </w:r>
          </w:p>
        </w:tc>
        <w:tc>
          <w:tcPr>
            <w:tcW w:w="2820" w:type="dxa"/>
          </w:tcPr>
          <w:p w14:paraId="0F3A820F" w14:textId="77777777" w:rsidR="00E202A2" w:rsidRPr="003707F1" w:rsidRDefault="00E202A2" w:rsidP="0073206D">
            <w:r w:rsidRPr="003707F1">
              <w:t xml:space="preserve">Sustainable tourism and development </w:t>
            </w:r>
          </w:p>
        </w:tc>
        <w:tc>
          <w:tcPr>
            <w:tcW w:w="1976" w:type="dxa"/>
          </w:tcPr>
          <w:p w14:paraId="529C2F19" w14:textId="77777777" w:rsidR="00E202A2" w:rsidRPr="003707F1" w:rsidRDefault="00E202A2" w:rsidP="0073206D">
            <w:r w:rsidRPr="003707F1">
              <w:t xml:space="preserve">Face-to-face survey, mall intercept </w:t>
            </w:r>
          </w:p>
        </w:tc>
        <w:tc>
          <w:tcPr>
            <w:tcW w:w="1132" w:type="dxa"/>
          </w:tcPr>
          <w:p w14:paraId="4CC7AE05" w14:textId="77777777" w:rsidR="00E202A2" w:rsidRPr="003707F1" w:rsidRDefault="00E202A2" w:rsidP="0073206D">
            <w:r w:rsidRPr="003707F1">
              <w:t xml:space="preserve">227 </w:t>
            </w:r>
          </w:p>
        </w:tc>
        <w:tc>
          <w:tcPr>
            <w:tcW w:w="1363" w:type="dxa"/>
          </w:tcPr>
          <w:p w14:paraId="236BCACA" w14:textId="77777777" w:rsidR="00E202A2" w:rsidRPr="003707F1" w:rsidRDefault="00E202A2" w:rsidP="0073206D">
            <w:r w:rsidRPr="003707F1">
              <w:t xml:space="preserve">India (Tourists in India) </w:t>
            </w:r>
          </w:p>
        </w:tc>
        <w:tc>
          <w:tcPr>
            <w:tcW w:w="5052" w:type="dxa"/>
          </w:tcPr>
          <w:p w14:paraId="794F5A1B" w14:textId="77777777" w:rsidR="00E202A2" w:rsidRPr="003707F1" w:rsidRDefault="00E202A2" w:rsidP="0073206D">
            <w:proofErr w:type="gramStart"/>
            <w:r w:rsidRPr="003707F1">
              <w:t>PCE  was</w:t>
            </w:r>
            <w:proofErr w:type="gramEnd"/>
            <w:r w:rsidRPr="003707F1">
              <w:t xml:space="preserve"> the most important determinant of purchase intentions.</w:t>
            </w:r>
          </w:p>
        </w:tc>
      </w:tr>
      <w:tr w:rsidR="00E202A2" w:rsidRPr="003707F1" w14:paraId="6D295867" w14:textId="77777777" w:rsidTr="0073206D">
        <w:tc>
          <w:tcPr>
            <w:tcW w:w="2536" w:type="dxa"/>
          </w:tcPr>
          <w:p w14:paraId="729B2CB3" w14:textId="77777777" w:rsidR="00E202A2" w:rsidRPr="003707F1" w:rsidRDefault="00E202A2" w:rsidP="0073206D">
            <w:r w:rsidRPr="003707F1">
              <w:lastRenderedPageBreak/>
              <w:t xml:space="preserve">Garg &amp; Pandey </w:t>
            </w:r>
          </w:p>
          <w:p w14:paraId="460EBFF2" w14:textId="77777777" w:rsidR="00E202A2" w:rsidRPr="003707F1" w:rsidRDefault="00E202A2" w:rsidP="0073206D">
            <w:r w:rsidRPr="003707F1">
              <w:t>(2020)</w:t>
            </w:r>
          </w:p>
        </w:tc>
        <w:tc>
          <w:tcPr>
            <w:tcW w:w="2820" w:type="dxa"/>
          </w:tcPr>
          <w:p w14:paraId="3EE67690" w14:textId="77777777" w:rsidR="00E202A2" w:rsidRPr="003707F1" w:rsidRDefault="00E202A2" w:rsidP="0073206D">
            <w:r w:rsidRPr="003707F1">
              <w:t xml:space="preserve">Sustainable tourism </w:t>
            </w:r>
          </w:p>
        </w:tc>
        <w:tc>
          <w:tcPr>
            <w:tcW w:w="1976" w:type="dxa"/>
          </w:tcPr>
          <w:p w14:paraId="2A5F4F60" w14:textId="77777777" w:rsidR="00E202A2" w:rsidRPr="003707F1" w:rsidRDefault="00E202A2" w:rsidP="0073206D">
            <w:r w:rsidRPr="003707F1">
              <w:t xml:space="preserve">Survey, convenience sample </w:t>
            </w:r>
          </w:p>
        </w:tc>
        <w:tc>
          <w:tcPr>
            <w:tcW w:w="1132" w:type="dxa"/>
          </w:tcPr>
          <w:p w14:paraId="2574E048" w14:textId="77777777" w:rsidR="00E202A2" w:rsidRPr="003707F1" w:rsidRDefault="00E202A2" w:rsidP="0073206D">
            <w:r w:rsidRPr="003707F1">
              <w:t xml:space="preserve">275 </w:t>
            </w:r>
          </w:p>
        </w:tc>
        <w:tc>
          <w:tcPr>
            <w:tcW w:w="1363" w:type="dxa"/>
          </w:tcPr>
          <w:p w14:paraId="0FCCEBCC" w14:textId="77777777" w:rsidR="00E202A2" w:rsidRPr="003707F1" w:rsidRDefault="00E202A2" w:rsidP="0073206D">
            <w:r w:rsidRPr="003707F1">
              <w:t xml:space="preserve">India </w:t>
            </w:r>
          </w:p>
        </w:tc>
        <w:tc>
          <w:tcPr>
            <w:tcW w:w="5052" w:type="dxa"/>
          </w:tcPr>
          <w:p w14:paraId="437EA915" w14:textId="77777777" w:rsidR="00E202A2" w:rsidRPr="003707F1" w:rsidRDefault="00E202A2" w:rsidP="0073206D">
            <w:r w:rsidRPr="003707F1">
              <w:t xml:space="preserve">PCE is positively associated with intentions to adopt sustainable tourism practices. </w:t>
            </w:r>
          </w:p>
        </w:tc>
      </w:tr>
      <w:tr w:rsidR="00E202A2" w:rsidRPr="003707F1" w14:paraId="1BE0F58A" w14:textId="77777777" w:rsidTr="0073206D">
        <w:tc>
          <w:tcPr>
            <w:tcW w:w="2536" w:type="dxa"/>
          </w:tcPr>
          <w:p w14:paraId="66315616" w14:textId="77777777" w:rsidR="00E202A2" w:rsidRPr="003707F1" w:rsidRDefault="00E202A2" w:rsidP="0073206D">
            <w:r w:rsidRPr="003707F1">
              <w:t xml:space="preserve">Hosta &amp; </w:t>
            </w:r>
            <w:proofErr w:type="spellStart"/>
            <w:proofErr w:type="gramStart"/>
            <w:r w:rsidRPr="003707F1">
              <w:t>Zabkar</w:t>
            </w:r>
            <w:proofErr w:type="spellEnd"/>
            <w:r w:rsidRPr="003707F1">
              <w:t xml:space="preserve">  (</w:t>
            </w:r>
            <w:proofErr w:type="gramEnd"/>
            <w:r w:rsidRPr="003707F1">
              <w:t>2020)</w:t>
            </w:r>
          </w:p>
        </w:tc>
        <w:tc>
          <w:tcPr>
            <w:tcW w:w="2820" w:type="dxa"/>
          </w:tcPr>
          <w:p w14:paraId="0DC06EC6" w14:textId="77777777" w:rsidR="00E202A2" w:rsidRPr="003707F1" w:rsidRDefault="00E202A2" w:rsidP="0073206D">
            <w:r w:rsidRPr="003707F1">
              <w:t xml:space="preserve">Environmentally / socially responsible consumer </w:t>
            </w:r>
            <w:proofErr w:type="spellStart"/>
            <w:r w:rsidRPr="003707F1">
              <w:t>behavior</w:t>
            </w:r>
            <w:proofErr w:type="spellEnd"/>
          </w:p>
        </w:tc>
        <w:tc>
          <w:tcPr>
            <w:tcW w:w="1976" w:type="dxa"/>
          </w:tcPr>
          <w:p w14:paraId="2A66612C" w14:textId="77777777" w:rsidR="00E202A2" w:rsidRPr="003707F1" w:rsidRDefault="00E202A2" w:rsidP="0073206D">
            <w:r w:rsidRPr="003707F1">
              <w:t>Online survey, web-based national panel study</w:t>
            </w:r>
          </w:p>
        </w:tc>
        <w:tc>
          <w:tcPr>
            <w:tcW w:w="1132" w:type="dxa"/>
          </w:tcPr>
          <w:p w14:paraId="34AA9426" w14:textId="77777777" w:rsidR="00E202A2" w:rsidRPr="003707F1" w:rsidRDefault="00E202A2" w:rsidP="0073206D">
            <w:r w:rsidRPr="003707F1">
              <w:t xml:space="preserve">426 </w:t>
            </w:r>
          </w:p>
        </w:tc>
        <w:tc>
          <w:tcPr>
            <w:tcW w:w="1363" w:type="dxa"/>
          </w:tcPr>
          <w:p w14:paraId="0F02545E" w14:textId="77777777" w:rsidR="00E202A2" w:rsidRPr="003707F1" w:rsidRDefault="00E202A2" w:rsidP="0073206D">
            <w:r w:rsidRPr="003707F1">
              <w:t>developed Central European country</w:t>
            </w:r>
          </w:p>
        </w:tc>
        <w:tc>
          <w:tcPr>
            <w:tcW w:w="5052" w:type="dxa"/>
          </w:tcPr>
          <w:p w14:paraId="676B5677" w14:textId="77777777" w:rsidR="00E202A2" w:rsidRPr="003707F1" w:rsidRDefault="00E202A2" w:rsidP="0073206D">
            <w:r w:rsidRPr="003707F1">
              <w:t xml:space="preserve">PCE has a positive influence on willingness to behave in environmentally and socially responsible way. </w:t>
            </w:r>
          </w:p>
        </w:tc>
      </w:tr>
      <w:tr w:rsidR="00E202A2" w:rsidRPr="003707F1" w14:paraId="18CA7BFA" w14:textId="77777777" w:rsidTr="0073206D">
        <w:tc>
          <w:tcPr>
            <w:tcW w:w="2536" w:type="dxa"/>
          </w:tcPr>
          <w:p w14:paraId="20386E99" w14:textId="77777777" w:rsidR="00E202A2" w:rsidRPr="003707F1" w:rsidRDefault="00E202A2" w:rsidP="0073206D">
            <w:r w:rsidRPr="003707F1">
              <w:t xml:space="preserve">Nguyen &amp; </w:t>
            </w:r>
            <w:proofErr w:type="spellStart"/>
            <w:r w:rsidRPr="003707F1">
              <w:t>Pervan</w:t>
            </w:r>
            <w:proofErr w:type="spellEnd"/>
            <w:r w:rsidRPr="003707F1">
              <w:t xml:space="preserve">  </w:t>
            </w:r>
          </w:p>
          <w:p w14:paraId="2FF7B7A7" w14:textId="77777777" w:rsidR="00E202A2" w:rsidRPr="003707F1" w:rsidRDefault="00E202A2" w:rsidP="0073206D">
            <w:r w:rsidRPr="003707F1">
              <w:t>(2020)</w:t>
            </w:r>
          </w:p>
        </w:tc>
        <w:tc>
          <w:tcPr>
            <w:tcW w:w="2820" w:type="dxa"/>
          </w:tcPr>
          <w:p w14:paraId="4D4D53DD" w14:textId="77777777" w:rsidR="00E202A2" w:rsidRPr="003707F1" w:rsidRDefault="00E202A2" w:rsidP="0073206D">
            <w:r w:rsidRPr="003707F1">
              <w:t xml:space="preserve">Perceptions of corporate social responsibility (CSR) and trust </w:t>
            </w:r>
          </w:p>
        </w:tc>
        <w:tc>
          <w:tcPr>
            <w:tcW w:w="1976" w:type="dxa"/>
          </w:tcPr>
          <w:p w14:paraId="2A972917" w14:textId="77777777" w:rsidR="00E202A2" w:rsidRPr="003707F1" w:rsidRDefault="00E202A2" w:rsidP="0073206D">
            <w:r w:rsidRPr="003707F1">
              <w:t xml:space="preserve">Pen-and-paper survey; mall-intercept </w:t>
            </w:r>
          </w:p>
        </w:tc>
        <w:tc>
          <w:tcPr>
            <w:tcW w:w="1132" w:type="dxa"/>
          </w:tcPr>
          <w:p w14:paraId="04102F1A" w14:textId="77777777" w:rsidR="00E202A2" w:rsidRPr="003707F1" w:rsidRDefault="00E202A2" w:rsidP="0073206D">
            <w:r w:rsidRPr="003707F1">
              <w:t xml:space="preserve">407 </w:t>
            </w:r>
          </w:p>
        </w:tc>
        <w:tc>
          <w:tcPr>
            <w:tcW w:w="1363" w:type="dxa"/>
          </w:tcPr>
          <w:p w14:paraId="7BEBA074" w14:textId="77777777" w:rsidR="00E202A2" w:rsidRPr="003707F1" w:rsidRDefault="00E202A2" w:rsidP="0073206D">
            <w:r w:rsidRPr="003707F1">
              <w:t>China</w:t>
            </w:r>
          </w:p>
        </w:tc>
        <w:tc>
          <w:tcPr>
            <w:tcW w:w="5052" w:type="dxa"/>
          </w:tcPr>
          <w:p w14:paraId="19778232" w14:textId="77777777" w:rsidR="00E202A2" w:rsidRPr="003707F1" w:rsidRDefault="00E202A2" w:rsidP="0073206D">
            <w:r w:rsidRPr="003707F1">
              <w:t xml:space="preserve">PCE mediated the relationship between perceived retailer’s CSR and consumer trust. </w:t>
            </w:r>
          </w:p>
        </w:tc>
      </w:tr>
      <w:tr w:rsidR="00E202A2" w:rsidRPr="003707F1" w14:paraId="574D6670" w14:textId="77777777" w:rsidTr="0073206D">
        <w:tc>
          <w:tcPr>
            <w:tcW w:w="2536" w:type="dxa"/>
          </w:tcPr>
          <w:p w14:paraId="2B02E80F" w14:textId="77777777" w:rsidR="00E202A2" w:rsidRPr="003707F1" w:rsidRDefault="00E202A2" w:rsidP="0073206D">
            <w:r w:rsidRPr="003707F1">
              <w:t>Palacios-González &amp; Chamorro-</w:t>
            </w:r>
            <w:proofErr w:type="spellStart"/>
            <w:r w:rsidRPr="003707F1">
              <w:t>Mera</w:t>
            </w:r>
            <w:proofErr w:type="spellEnd"/>
            <w:r w:rsidRPr="003707F1">
              <w:t xml:space="preserve"> </w:t>
            </w:r>
          </w:p>
          <w:p w14:paraId="298D50CE" w14:textId="77777777" w:rsidR="00E202A2" w:rsidRPr="003707F1" w:rsidRDefault="00E202A2" w:rsidP="0073206D">
            <w:r w:rsidRPr="003707F1">
              <w:t>(2020)</w:t>
            </w:r>
          </w:p>
        </w:tc>
        <w:tc>
          <w:tcPr>
            <w:tcW w:w="2820" w:type="dxa"/>
          </w:tcPr>
          <w:p w14:paraId="2D61C202" w14:textId="77777777" w:rsidR="00E202A2" w:rsidRPr="003707F1" w:rsidRDefault="00E202A2" w:rsidP="0073206D">
            <w:r w:rsidRPr="003707F1">
              <w:t xml:space="preserve">Market segmentation study </w:t>
            </w:r>
          </w:p>
        </w:tc>
        <w:tc>
          <w:tcPr>
            <w:tcW w:w="1976" w:type="dxa"/>
          </w:tcPr>
          <w:p w14:paraId="1A5C9208" w14:textId="77777777" w:rsidR="00E202A2" w:rsidRPr="003707F1" w:rsidRDefault="00E202A2" w:rsidP="0073206D">
            <w:r w:rsidRPr="003707F1">
              <w:t xml:space="preserve">Face-to-face and online survey, convenience sampling </w:t>
            </w:r>
          </w:p>
        </w:tc>
        <w:tc>
          <w:tcPr>
            <w:tcW w:w="1132" w:type="dxa"/>
          </w:tcPr>
          <w:p w14:paraId="6C5B056F" w14:textId="77777777" w:rsidR="00E202A2" w:rsidRPr="003707F1" w:rsidRDefault="00E202A2" w:rsidP="0073206D">
            <w:r w:rsidRPr="003707F1">
              <w:t xml:space="preserve">415 </w:t>
            </w:r>
          </w:p>
        </w:tc>
        <w:tc>
          <w:tcPr>
            <w:tcW w:w="1363" w:type="dxa"/>
          </w:tcPr>
          <w:p w14:paraId="7AEC6CEE" w14:textId="77777777" w:rsidR="00E202A2" w:rsidRPr="003707F1" w:rsidRDefault="00E202A2" w:rsidP="0073206D">
            <w:r w:rsidRPr="003707F1">
              <w:t xml:space="preserve">Spain </w:t>
            </w:r>
          </w:p>
        </w:tc>
        <w:tc>
          <w:tcPr>
            <w:tcW w:w="5052" w:type="dxa"/>
          </w:tcPr>
          <w:p w14:paraId="5B1BDF2B" w14:textId="77777777" w:rsidR="00E202A2" w:rsidRPr="003707F1" w:rsidRDefault="00E202A2" w:rsidP="0073206D">
            <w:r w:rsidRPr="003707F1">
              <w:t xml:space="preserve">Consumers differ in their level of PCE. </w:t>
            </w:r>
          </w:p>
        </w:tc>
      </w:tr>
      <w:tr w:rsidR="00E202A2" w:rsidRPr="003707F1" w14:paraId="53162E7A" w14:textId="77777777" w:rsidTr="0073206D">
        <w:tc>
          <w:tcPr>
            <w:tcW w:w="2536" w:type="dxa"/>
          </w:tcPr>
          <w:p w14:paraId="4F5FAD27" w14:textId="77777777" w:rsidR="00E202A2" w:rsidRPr="003707F1" w:rsidRDefault="00E202A2" w:rsidP="0073206D">
            <w:r w:rsidRPr="003707F1">
              <w:t xml:space="preserve">Park &amp; Lin (2020) </w:t>
            </w:r>
          </w:p>
        </w:tc>
        <w:tc>
          <w:tcPr>
            <w:tcW w:w="2820" w:type="dxa"/>
          </w:tcPr>
          <w:p w14:paraId="2482A289" w14:textId="77777777" w:rsidR="00E202A2" w:rsidRPr="003707F1" w:rsidRDefault="00E202A2" w:rsidP="0073206D">
            <w:r w:rsidRPr="003707F1">
              <w:t xml:space="preserve">Antecedents of purchase of recycled an upcycled fashion </w:t>
            </w:r>
          </w:p>
        </w:tc>
        <w:tc>
          <w:tcPr>
            <w:tcW w:w="1976" w:type="dxa"/>
          </w:tcPr>
          <w:p w14:paraId="42A234CA" w14:textId="77777777" w:rsidR="00E202A2" w:rsidRPr="003707F1" w:rsidRDefault="00E202A2" w:rsidP="0073206D">
            <w:r w:rsidRPr="003707F1">
              <w:t xml:space="preserve">Survey </w:t>
            </w:r>
          </w:p>
        </w:tc>
        <w:tc>
          <w:tcPr>
            <w:tcW w:w="1132" w:type="dxa"/>
          </w:tcPr>
          <w:p w14:paraId="63D00D1C" w14:textId="77777777" w:rsidR="00E202A2" w:rsidRPr="003707F1" w:rsidRDefault="00E202A2" w:rsidP="0073206D">
            <w:r w:rsidRPr="003707F1">
              <w:t>2017</w:t>
            </w:r>
          </w:p>
        </w:tc>
        <w:tc>
          <w:tcPr>
            <w:tcW w:w="1363" w:type="dxa"/>
          </w:tcPr>
          <w:p w14:paraId="3F93E24F" w14:textId="77777777" w:rsidR="00E202A2" w:rsidRPr="003707F1" w:rsidRDefault="00E202A2" w:rsidP="0073206D">
            <w:r w:rsidRPr="003707F1">
              <w:t xml:space="preserve">Korea </w:t>
            </w:r>
          </w:p>
        </w:tc>
        <w:tc>
          <w:tcPr>
            <w:tcW w:w="5052" w:type="dxa"/>
          </w:tcPr>
          <w:p w14:paraId="275DC332" w14:textId="77777777" w:rsidR="00E202A2" w:rsidRPr="003707F1" w:rsidRDefault="00E202A2" w:rsidP="0073206D">
            <w:r w:rsidRPr="003707F1">
              <w:t xml:space="preserve">PCE positively associated with intention to purchase consumer recycled and upcycled products. </w:t>
            </w:r>
          </w:p>
        </w:tc>
      </w:tr>
      <w:tr w:rsidR="00E202A2" w:rsidRPr="003707F1" w14:paraId="1F559D07" w14:textId="77777777" w:rsidTr="0073206D">
        <w:tc>
          <w:tcPr>
            <w:tcW w:w="2536" w:type="dxa"/>
          </w:tcPr>
          <w:p w14:paraId="1501EBF1" w14:textId="77777777" w:rsidR="00E202A2" w:rsidRPr="003707F1" w:rsidRDefault="00E202A2" w:rsidP="0073206D">
            <w:r w:rsidRPr="003707F1">
              <w:t xml:space="preserve">Si et al. (2020) </w:t>
            </w:r>
          </w:p>
        </w:tc>
        <w:tc>
          <w:tcPr>
            <w:tcW w:w="2820" w:type="dxa"/>
          </w:tcPr>
          <w:p w14:paraId="05C54C6E" w14:textId="77777777" w:rsidR="00E202A2" w:rsidRPr="003707F1" w:rsidRDefault="00E202A2" w:rsidP="0073206D">
            <w:proofErr w:type="spellStart"/>
            <w:r w:rsidRPr="003707F1">
              <w:t>Dockless</w:t>
            </w:r>
            <w:proofErr w:type="spellEnd"/>
            <w:r w:rsidRPr="003707F1">
              <w:t xml:space="preserve"> bike sharing </w:t>
            </w:r>
          </w:p>
        </w:tc>
        <w:tc>
          <w:tcPr>
            <w:tcW w:w="1976" w:type="dxa"/>
          </w:tcPr>
          <w:p w14:paraId="7D11BD32" w14:textId="77777777" w:rsidR="00E202A2" w:rsidRPr="003707F1" w:rsidRDefault="00E202A2" w:rsidP="0073206D">
            <w:r w:rsidRPr="003707F1">
              <w:t xml:space="preserve">Online survey, purposive sampling  </w:t>
            </w:r>
          </w:p>
        </w:tc>
        <w:tc>
          <w:tcPr>
            <w:tcW w:w="1132" w:type="dxa"/>
          </w:tcPr>
          <w:p w14:paraId="2C9431EF" w14:textId="77777777" w:rsidR="00E202A2" w:rsidRPr="003707F1" w:rsidRDefault="00E202A2" w:rsidP="0073206D">
            <w:r w:rsidRPr="003707F1">
              <w:t xml:space="preserve">633 </w:t>
            </w:r>
          </w:p>
        </w:tc>
        <w:tc>
          <w:tcPr>
            <w:tcW w:w="1363" w:type="dxa"/>
          </w:tcPr>
          <w:p w14:paraId="4C4C6096" w14:textId="77777777" w:rsidR="00E202A2" w:rsidRPr="003707F1" w:rsidRDefault="00E202A2" w:rsidP="0073206D">
            <w:r w:rsidRPr="003707F1">
              <w:t xml:space="preserve">China </w:t>
            </w:r>
          </w:p>
        </w:tc>
        <w:tc>
          <w:tcPr>
            <w:tcW w:w="5052" w:type="dxa"/>
          </w:tcPr>
          <w:p w14:paraId="29222E44" w14:textId="77777777" w:rsidR="00E202A2" w:rsidRPr="003707F1" w:rsidRDefault="00E202A2" w:rsidP="0073206D">
            <w:r w:rsidRPr="003707F1">
              <w:t xml:space="preserve">PCE positively associated with willingness to participate in bike-sharing scheme. </w:t>
            </w:r>
          </w:p>
        </w:tc>
      </w:tr>
      <w:tr w:rsidR="00E202A2" w:rsidRPr="003707F1" w14:paraId="34043648" w14:textId="77777777" w:rsidTr="0073206D">
        <w:tc>
          <w:tcPr>
            <w:tcW w:w="2536" w:type="dxa"/>
          </w:tcPr>
          <w:p w14:paraId="3275E378" w14:textId="77777777" w:rsidR="00E202A2" w:rsidRPr="003707F1" w:rsidRDefault="00E202A2" w:rsidP="0073206D">
            <w:r w:rsidRPr="003707F1">
              <w:t xml:space="preserve">Wang, Ali, Akbar, &amp; Rasool </w:t>
            </w:r>
          </w:p>
          <w:p w14:paraId="6FA448D5" w14:textId="77777777" w:rsidR="00E202A2" w:rsidRPr="003707F1" w:rsidRDefault="00E202A2" w:rsidP="0073206D">
            <w:r w:rsidRPr="003707F1">
              <w:t>(2020)</w:t>
            </w:r>
          </w:p>
        </w:tc>
        <w:tc>
          <w:tcPr>
            <w:tcW w:w="2820" w:type="dxa"/>
          </w:tcPr>
          <w:p w14:paraId="0C8B1635" w14:textId="77777777" w:rsidR="00E202A2" w:rsidRPr="003707F1" w:rsidRDefault="00E202A2" w:rsidP="0073206D">
            <w:r w:rsidRPr="003707F1">
              <w:t xml:space="preserve">Biogas technology adoption </w:t>
            </w:r>
          </w:p>
        </w:tc>
        <w:tc>
          <w:tcPr>
            <w:tcW w:w="1976" w:type="dxa"/>
          </w:tcPr>
          <w:p w14:paraId="4EDFA86C" w14:textId="77777777" w:rsidR="00E202A2" w:rsidRPr="003707F1" w:rsidRDefault="00E202A2" w:rsidP="0073206D">
            <w:r w:rsidRPr="003707F1">
              <w:t xml:space="preserve">Survey, purposive sampling </w:t>
            </w:r>
          </w:p>
        </w:tc>
        <w:tc>
          <w:tcPr>
            <w:tcW w:w="1132" w:type="dxa"/>
          </w:tcPr>
          <w:p w14:paraId="754D27C6" w14:textId="77777777" w:rsidR="00E202A2" w:rsidRPr="003707F1" w:rsidRDefault="00E202A2" w:rsidP="0073206D">
            <w:r w:rsidRPr="003707F1">
              <w:t xml:space="preserve">191 </w:t>
            </w:r>
          </w:p>
        </w:tc>
        <w:tc>
          <w:tcPr>
            <w:tcW w:w="1363" w:type="dxa"/>
          </w:tcPr>
          <w:p w14:paraId="2BFBD064" w14:textId="77777777" w:rsidR="00E202A2" w:rsidRPr="003707F1" w:rsidRDefault="00E202A2" w:rsidP="0073206D">
            <w:r w:rsidRPr="003707F1">
              <w:t xml:space="preserve">Pakistan </w:t>
            </w:r>
          </w:p>
        </w:tc>
        <w:tc>
          <w:tcPr>
            <w:tcW w:w="5052" w:type="dxa"/>
          </w:tcPr>
          <w:p w14:paraId="767650BC" w14:textId="77777777" w:rsidR="00E202A2" w:rsidRPr="003707F1" w:rsidRDefault="00E202A2" w:rsidP="0073206D">
            <w:r w:rsidRPr="003707F1">
              <w:t>PCE is positively related with consumers’ personal norms.</w:t>
            </w:r>
          </w:p>
        </w:tc>
      </w:tr>
      <w:tr w:rsidR="00E202A2" w:rsidRPr="003707F1" w14:paraId="4868B998" w14:textId="77777777" w:rsidTr="0073206D">
        <w:tc>
          <w:tcPr>
            <w:tcW w:w="2536" w:type="dxa"/>
            <w:tcBorders>
              <w:bottom w:val="single" w:sz="4" w:space="0" w:color="auto"/>
            </w:tcBorders>
          </w:tcPr>
          <w:p w14:paraId="20A336E8" w14:textId="77777777" w:rsidR="00E202A2" w:rsidRPr="003707F1" w:rsidRDefault="00E202A2" w:rsidP="0073206D">
            <w:proofErr w:type="spellStart"/>
            <w:r w:rsidRPr="003707F1">
              <w:t>Waris</w:t>
            </w:r>
            <w:proofErr w:type="spellEnd"/>
            <w:r w:rsidRPr="003707F1">
              <w:t xml:space="preserve"> &amp; Hameed </w:t>
            </w:r>
          </w:p>
          <w:p w14:paraId="307E3873" w14:textId="77777777" w:rsidR="00E202A2" w:rsidRPr="003707F1" w:rsidRDefault="00E202A2" w:rsidP="0073206D">
            <w:r w:rsidRPr="003707F1">
              <w:t>(2020</w:t>
            </w:r>
          </w:p>
        </w:tc>
        <w:tc>
          <w:tcPr>
            <w:tcW w:w="2820" w:type="dxa"/>
            <w:tcBorders>
              <w:bottom w:val="single" w:sz="4" w:space="0" w:color="auto"/>
            </w:tcBorders>
          </w:tcPr>
          <w:p w14:paraId="75486945" w14:textId="77777777" w:rsidR="00E202A2" w:rsidRPr="003707F1" w:rsidRDefault="00E202A2" w:rsidP="0073206D">
            <w:r w:rsidRPr="003707F1">
              <w:t xml:space="preserve">Intentions to purchase environmentally friendly household appliances </w:t>
            </w:r>
          </w:p>
        </w:tc>
        <w:tc>
          <w:tcPr>
            <w:tcW w:w="1976" w:type="dxa"/>
            <w:tcBorders>
              <w:bottom w:val="single" w:sz="4" w:space="0" w:color="auto"/>
            </w:tcBorders>
          </w:tcPr>
          <w:p w14:paraId="75FB5F91" w14:textId="77777777" w:rsidR="00E202A2" w:rsidRPr="003707F1" w:rsidRDefault="00E202A2" w:rsidP="0073206D">
            <w:r w:rsidRPr="003707F1">
              <w:t xml:space="preserve">Face-to-face survey, mall intercept convenience quota sample </w:t>
            </w:r>
          </w:p>
        </w:tc>
        <w:tc>
          <w:tcPr>
            <w:tcW w:w="1132" w:type="dxa"/>
            <w:tcBorders>
              <w:bottom w:val="single" w:sz="4" w:space="0" w:color="auto"/>
            </w:tcBorders>
          </w:tcPr>
          <w:p w14:paraId="478E4645" w14:textId="77777777" w:rsidR="00E202A2" w:rsidRPr="003707F1" w:rsidRDefault="00E202A2" w:rsidP="0073206D">
            <w:r w:rsidRPr="003707F1">
              <w:t xml:space="preserve">440 </w:t>
            </w:r>
          </w:p>
        </w:tc>
        <w:tc>
          <w:tcPr>
            <w:tcW w:w="1363" w:type="dxa"/>
            <w:tcBorders>
              <w:bottom w:val="single" w:sz="4" w:space="0" w:color="auto"/>
            </w:tcBorders>
          </w:tcPr>
          <w:p w14:paraId="382AA400" w14:textId="77777777" w:rsidR="00E202A2" w:rsidRPr="003707F1" w:rsidRDefault="00E202A2" w:rsidP="0073206D">
            <w:r w:rsidRPr="003707F1">
              <w:t xml:space="preserve">Pakistan </w:t>
            </w:r>
          </w:p>
        </w:tc>
        <w:tc>
          <w:tcPr>
            <w:tcW w:w="5052" w:type="dxa"/>
            <w:tcBorders>
              <w:bottom w:val="single" w:sz="4" w:space="0" w:color="auto"/>
            </w:tcBorders>
          </w:tcPr>
          <w:p w14:paraId="56E27328" w14:textId="77777777" w:rsidR="00E202A2" w:rsidRPr="003707F1" w:rsidRDefault="00E202A2" w:rsidP="0073206D">
            <w:proofErr w:type="gramStart"/>
            <w:r w:rsidRPr="003707F1">
              <w:t>PCE  was</w:t>
            </w:r>
            <w:proofErr w:type="gramEnd"/>
            <w:r w:rsidRPr="003707F1">
              <w:t xml:space="preserve"> found to be an important antecedent of consumers’ purchase intention.</w:t>
            </w:r>
          </w:p>
        </w:tc>
      </w:tr>
    </w:tbl>
    <w:p w14:paraId="74A4E3EB" w14:textId="77777777" w:rsidR="00E202A2" w:rsidRPr="003707F1" w:rsidRDefault="00E202A2" w:rsidP="00E202A2">
      <w:pPr>
        <w:spacing w:line="360" w:lineRule="auto"/>
        <w:ind w:firstLine="720"/>
        <w:jc w:val="both"/>
      </w:pPr>
    </w:p>
    <w:p w14:paraId="74C89731" w14:textId="77777777" w:rsidR="00E202A2" w:rsidRPr="00B83F98" w:rsidRDefault="00E202A2" w:rsidP="00E202A2">
      <w:pPr>
        <w:pStyle w:val="Normal1"/>
        <w:widowControl w:val="0"/>
        <w:spacing w:line="240" w:lineRule="auto"/>
        <w:jc w:val="center"/>
        <w:rPr>
          <w:rFonts w:ascii="Times New Roman" w:eastAsia="Times New Roman" w:hAnsi="Times New Roman" w:cs="Times New Roman"/>
          <w:b/>
          <w:sz w:val="24"/>
          <w:szCs w:val="24"/>
          <w:lang w:val="en-AU"/>
        </w:rPr>
      </w:pPr>
    </w:p>
    <w:p w14:paraId="4E5D3780" w14:textId="77777777" w:rsidR="00E202A2" w:rsidRDefault="00E202A2" w:rsidP="00E202A2">
      <w:pPr>
        <w:pStyle w:val="Normal1"/>
        <w:widowControl w:val="0"/>
        <w:spacing w:line="240" w:lineRule="auto"/>
        <w:jc w:val="both"/>
        <w:rPr>
          <w:rFonts w:ascii="Times New Roman" w:eastAsia="Times New Roman" w:hAnsi="Times New Roman" w:cs="Times New Roman"/>
          <w:b/>
          <w:sz w:val="24"/>
          <w:szCs w:val="24"/>
          <w:lang w:val="en-GB"/>
        </w:rPr>
      </w:pPr>
    </w:p>
    <w:p w14:paraId="6926F759" w14:textId="77777777" w:rsidR="00E202A2" w:rsidRDefault="00E202A2" w:rsidP="00E202A2">
      <w:pPr>
        <w:pStyle w:val="Normal1"/>
        <w:widowControl w:val="0"/>
        <w:spacing w:line="240" w:lineRule="auto"/>
        <w:jc w:val="both"/>
        <w:rPr>
          <w:rFonts w:ascii="Times New Roman" w:eastAsia="Times New Roman" w:hAnsi="Times New Roman" w:cs="Times New Roman"/>
          <w:b/>
          <w:sz w:val="24"/>
          <w:szCs w:val="24"/>
          <w:lang w:val="en-GB"/>
        </w:rPr>
      </w:pPr>
    </w:p>
    <w:p w14:paraId="16EC06F9" w14:textId="77777777" w:rsidR="00E202A2" w:rsidRDefault="00E202A2" w:rsidP="00E202A2">
      <w:pPr>
        <w:pStyle w:val="Normal1"/>
        <w:widowControl w:val="0"/>
        <w:spacing w:line="240" w:lineRule="auto"/>
        <w:jc w:val="both"/>
        <w:rPr>
          <w:rFonts w:ascii="Times New Roman" w:eastAsia="Times New Roman" w:hAnsi="Times New Roman" w:cs="Times New Roman"/>
          <w:b/>
          <w:sz w:val="24"/>
          <w:szCs w:val="24"/>
          <w:lang w:val="en-GB"/>
        </w:rPr>
        <w:sectPr w:rsidR="00E202A2" w:rsidSect="00B83F98">
          <w:pgSz w:w="16838" w:h="11906" w:orient="landscape"/>
          <w:pgMar w:top="1440" w:right="1440" w:bottom="1440" w:left="1440" w:header="720" w:footer="720" w:gutter="0"/>
          <w:pgNumType w:start="1"/>
          <w:cols w:space="720"/>
          <w:docGrid w:linePitch="299"/>
        </w:sectPr>
      </w:pPr>
    </w:p>
    <w:p w14:paraId="77D438AC" w14:textId="77777777" w:rsidR="00E202A2" w:rsidRPr="00F23705" w:rsidRDefault="00E202A2" w:rsidP="00E202A2">
      <w:pPr>
        <w:pStyle w:val="Normal1"/>
        <w:widowControl w:val="0"/>
        <w:spacing w:line="240" w:lineRule="auto"/>
        <w:jc w:val="both"/>
        <w:rPr>
          <w:rFonts w:ascii="Times New Roman" w:hAnsi="Times New Roman" w:cs="Times New Roman"/>
          <w:lang w:val="en-GB"/>
        </w:rPr>
      </w:pPr>
      <w:r w:rsidRPr="00F23705">
        <w:rPr>
          <w:rFonts w:ascii="Times New Roman" w:eastAsia="Times New Roman" w:hAnsi="Times New Roman" w:cs="Times New Roman"/>
          <w:b/>
          <w:sz w:val="24"/>
          <w:szCs w:val="24"/>
          <w:lang w:val="en-GB"/>
        </w:rPr>
        <w:lastRenderedPageBreak/>
        <w:t xml:space="preserve">Table </w:t>
      </w:r>
      <w:r>
        <w:rPr>
          <w:rFonts w:ascii="Times New Roman" w:eastAsia="Times New Roman" w:hAnsi="Times New Roman" w:cs="Times New Roman"/>
          <w:b/>
          <w:sz w:val="24"/>
          <w:szCs w:val="24"/>
          <w:lang w:val="en-GB"/>
        </w:rPr>
        <w:t>2</w:t>
      </w:r>
      <w:r w:rsidRPr="00F23705">
        <w:rPr>
          <w:rFonts w:ascii="Times New Roman" w:eastAsia="Times New Roman" w:hAnsi="Times New Roman" w:cs="Times New Roman"/>
          <w:sz w:val="24"/>
          <w:szCs w:val="24"/>
          <w:lang w:val="en-GB"/>
        </w:rPr>
        <w:t>. Standardi</w:t>
      </w:r>
      <w:r>
        <w:rPr>
          <w:rFonts w:ascii="Times New Roman" w:eastAsia="Times New Roman" w:hAnsi="Times New Roman" w:cs="Times New Roman"/>
          <w:sz w:val="24"/>
          <w:szCs w:val="24"/>
          <w:lang w:val="en-GB"/>
        </w:rPr>
        <w:t>s</w:t>
      </w:r>
      <w:r w:rsidRPr="00F23705">
        <w:rPr>
          <w:rFonts w:ascii="Times New Roman" w:eastAsia="Times New Roman" w:hAnsi="Times New Roman" w:cs="Times New Roman"/>
          <w:sz w:val="24"/>
          <w:szCs w:val="24"/>
          <w:lang w:val="en-GB"/>
        </w:rPr>
        <w:t>ed structural coefficients of the conceptual model</w:t>
      </w:r>
    </w:p>
    <w:tbl>
      <w:tblPr>
        <w:tblW w:w="8949"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6025"/>
        <w:gridCol w:w="814"/>
        <w:gridCol w:w="970"/>
        <w:gridCol w:w="1140"/>
      </w:tblGrid>
      <w:tr w:rsidR="00E202A2" w:rsidRPr="00F23705" w14:paraId="34DF38EC" w14:textId="77777777" w:rsidTr="0073206D">
        <w:trPr>
          <w:trHeight w:val="555"/>
        </w:trPr>
        <w:tc>
          <w:tcPr>
            <w:tcW w:w="6025" w:type="dxa"/>
            <w:tcBorders>
              <w:top w:val="single" w:sz="4" w:space="0" w:color="000000"/>
              <w:bottom w:val="single" w:sz="4" w:space="0" w:color="000000"/>
            </w:tcBorders>
            <w:vAlign w:val="center"/>
          </w:tcPr>
          <w:p w14:paraId="238F23DC" w14:textId="77777777" w:rsidR="00E202A2" w:rsidRPr="00F23705" w:rsidRDefault="00E202A2" w:rsidP="0073206D">
            <w:pPr>
              <w:pStyle w:val="Normal1"/>
              <w:widowControl w:val="0"/>
              <w:spacing w:line="240" w:lineRule="auto"/>
              <w:jc w:val="both"/>
              <w:rPr>
                <w:rFonts w:ascii="Times New Roman" w:hAnsi="Times New Roman" w:cs="Times New Roman"/>
                <w:lang w:val="en-GB"/>
              </w:rPr>
            </w:pPr>
            <w:r w:rsidRPr="00F23705">
              <w:rPr>
                <w:rFonts w:ascii="Times New Roman" w:eastAsia="Times New Roman" w:hAnsi="Times New Roman" w:cs="Times New Roman"/>
                <w:lang w:val="en-GB"/>
              </w:rPr>
              <w:t xml:space="preserve">PATH STRUCTURE </w:t>
            </w:r>
          </w:p>
        </w:tc>
        <w:tc>
          <w:tcPr>
            <w:tcW w:w="814" w:type="dxa"/>
            <w:tcBorders>
              <w:top w:val="single" w:sz="4" w:space="0" w:color="000000"/>
              <w:bottom w:val="single" w:sz="4" w:space="0" w:color="000000"/>
            </w:tcBorders>
            <w:vAlign w:val="center"/>
          </w:tcPr>
          <w:p w14:paraId="455F6EB0" w14:textId="77777777" w:rsidR="00E202A2" w:rsidRPr="00F23705" w:rsidRDefault="00E202A2" w:rsidP="0073206D">
            <w:pPr>
              <w:pStyle w:val="Normal1"/>
              <w:widowControl w:val="0"/>
              <w:spacing w:line="240" w:lineRule="auto"/>
              <w:jc w:val="both"/>
              <w:rPr>
                <w:rFonts w:ascii="Times New Roman" w:hAnsi="Times New Roman" w:cs="Times New Roman"/>
                <w:lang w:val="en-GB"/>
              </w:rPr>
            </w:pPr>
            <w:r w:rsidRPr="00F23705">
              <w:rPr>
                <w:rFonts w:ascii="Times New Roman" w:eastAsia="Times New Roman" w:hAnsi="Times New Roman" w:cs="Times New Roman"/>
                <w:i/>
                <w:lang w:val="en-GB"/>
              </w:rPr>
              <w:t>β</w:t>
            </w:r>
          </w:p>
        </w:tc>
        <w:tc>
          <w:tcPr>
            <w:tcW w:w="970" w:type="dxa"/>
            <w:tcBorders>
              <w:top w:val="single" w:sz="4" w:space="0" w:color="000000"/>
              <w:bottom w:val="single" w:sz="4" w:space="0" w:color="000000"/>
            </w:tcBorders>
            <w:vAlign w:val="center"/>
          </w:tcPr>
          <w:p w14:paraId="79261F84" w14:textId="77777777" w:rsidR="00E202A2" w:rsidRPr="00F23705" w:rsidRDefault="00E202A2" w:rsidP="0073206D">
            <w:pPr>
              <w:pStyle w:val="Normal1"/>
              <w:widowControl w:val="0"/>
              <w:spacing w:line="240" w:lineRule="auto"/>
              <w:jc w:val="both"/>
              <w:rPr>
                <w:rFonts w:ascii="Times New Roman" w:hAnsi="Times New Roman" w:cs="Times New Roman"/>
                <w:lang w:val="en-GB"/>
              </w:rPr>
            </w:pPr>
            <w:r w:rsidRPr="00F23705">
              <w:rPr>
                <w:rFonts w:ascii="Times New Roman" w:eastAsia="Times New Roman" w:hAnsi="Times New Roman" w:cs="Times New Roman"/>
                <w:i/>
                <w:lang w:val="en-GB"/>
              </w:rPr>
              <w:t>t-value</w:t>
            </w:r>
          </w:p>
        </w:tc>
        <w:tc>
          <w:tcPr>
            <w:tcW w:w="1140" w:type="dxa"/>
            <w:tcBorders>
              <w:top w:val="single" w:sz="4" w:space="0" w:color="000000"/>
              <w:bottom w:val="single" w:sz="4" w:space="0" w:color="000000"/>
            </w:tcBorders>
            <w:vAlign w:val="center"/>
          </w:tcPr>
          <w:p w14:paraId="4693F307" w14:textId="77777777" w:rsidR="00E202A2" w:rsidRPr="00F23705" w:rsidRDefault="00E202A2" w:rsidP="0073206D">
            <w:pPr>
              <w:pStyle w:val="Normal1"/>
              <w:widowControl w:val="0"/>
              <w:spacing w:line="240" w:lineRule="auto"/>
              <w:jc w:val="both"/>
              <w:rPr>
                <w:rFonts w:ascii="Times New Roman" w:hAnsi="Times New Roman" w:cs="Times New Roman"/>
                <w:lang w:val="en-GB"/>
              </w:rPr>
            </w:pPr>
            <w:r w:rsidRPr="00F23705">
              <w:rPr>
                <w:rFonts w:ascii="Times New Roman" w:eastAsia="Times New Roman" w:hAnsi="Times New Roman" w:cs="Times New Roman"/>
                <w:i/>
                <w:lang w:val="en-GB"/>
              </w:rPr>
              <w:t>p-value</w:t>
            </w:r>
          </w:p>
        </w:tc>
      </w:tr>
      <w:tr w:rsidR="00E202A2" w:rsidRPr="00ED5CEB" w14:paraId="6BB39A36" w14:textId="77777777" w:rsidTr="0073206D">
        <w:trPr>
          <w:trHeight w:val="197"/>
        </w:trPr>
        <w:tc>
          <w:tcPr>
            <w:tcW w:w="6025" w:type="dxa"/>
            <w:tcBorders>
              <w:top w:val="single" w:sz="4" w:space="0" w:color="000000"/>
            </w:tcBorders>
            <w:vAlign w:val="center"/>
          </w:tcPr>
          <w:p w14:paraId="7297865B" w14:textId="77777777" w:rsidR="00E202A2" w:rsidRPr="0043798C" w:rsidRDefault="00E202A2" w:rsidP="0073206D">
            <w:pPr>
              <w:pStyle w:val="Normal1"/>
              <w:widowControl w:val="0"/>
              <w:spacing w:line="240" w:lineRule="auto"/>
              <w:rPr>
                <w:rFonts w:ascii="Times New Roman" w:hAnsi="Times New Roman" w:cs="Times New Roman"/>
                <w:i/>
                <w:iCs/>
                <w:sz w:val="20"/>
                <w:szCs w:val="20"/>
                <w:lang w:val="en-GB"/>
              </w:rPr>
            </w:pPr>
            <w:r w:rsidRPr="0043798C">
              <w:rPr>
                <w:rFonts w:ascii="Times New Roman" w:hAnsi="Times New Roman" w:cs="Times New Roman"/>
                <w:i/>
                <w:iCs/>
                <w:sz w:val="20"/>
                <w:szCs w:val="20"/>
                <w:lang w:val="en-GB"/>
              </w:rPr>
              <w:t>Direct effects</w:t>
            </w:r>
          </w:p>
        </w:tc>
        <w:tc>
          <w:tcPr>
            <w:tcW w:w="814" w:type="dxa"/>
            <w:tcBorders>
              <w:top w:val="single" w:sz="4" w:space="0" w:color="000000"/>
            </w:tcBorders>
            <w:vAlign w:val="center"/>
          </w:tcPr>
          <w:p w14:paraId="3A0A3BFB" w14:textId="77777777" w:rsidR="00E202A2" w:rsidRPr="0043798C" w:rsidRDefault="00E202A2" w:rsidP="0073206D">
            <w:pPr>
              <w:pStyle w:val="Normal1"/>
              <w:widowControl w:val="0"/>
              <w:spacing w:line="240" w:lineRule="auto"/>
              <w:jc w:val="both"/>
              <w:rPr>
                <w:rFonts w:ascii="Times New Roman" w:hAnsi="Times New Roman" w:cs="Times New Roman"/>
                <w:i/>
                <w:iCs/>
                <w:sz w:val="20"/>
                <w:szCs w:val="20"/>
                <w:lang w:val="en-GB"/>
              </w:rPr>
            </w:pPr>
          </w:p>
        </w:tc>
        <w:tc>
          <w:tcPr>
            <w:tcW w:w="970" w:type="dxa"/>
            <w:tcBorders>
              <w:top w:val="single" w:sz="4" w:space="0" w:color="000000"/>
            </w:tcBorders>
            <w:vAlign w:val="center"/>
          </w:tcPr>
          <w:p w14:paraId="35ABEDD1" w14:textId="77777777" w:rsidR="00E202A2" w:rsidRPr="0043798C" w:rsidRDefault="00E202A2" w:rsidP="0073206D">
            <w:pPr>
              <w:pStyle w:val="Normal1"/>
              <w:widowControl w:val="0"/>
              <w:spacing w:line="240" w:lineRule="auto"/>
              <w:jc w:val="both"/>
              <w:rPr>
                <w:rFonts w:ascii="Times New Roman" w:hAnsi="Times New Roman" w:cs="Times New Roman"/>
                <w:i/>
                <w:iCs/>
                <w:sz w:val="20"/>
                <w:szCs w:val="20"/>
                <w:lang w:val="en-GB"/>
              </w:rPr>
            </w:pPr>
          </w:p>
        </w:tc>
        <w:tc>
          <w:tcPr>
            <w:tcW w:w="1140" w:type="dxa"/>
            <w:tcBorders>
              <w:top w:val="single" w:sz="4" w:space="0" w:color="000000"/>
            </w:tcBorders>
            <w:vAlign w:val="center"/>
          </w:tcPr>
          <w:p w14:paraId="1FCF3867" w14:textId="77777777" w:rsidR="00E202A2" w:rsidRPr="0043798C" w:rsidRDefault="00E202A2" w:rsidP="0073206D">
            <w:pPr>
              <w:pStyle w:val="Normal1"/>
              <w:widowControl w:val="0"/>
              <w:spacing w:line="240" w:lineRule="auto"/>
              <w:jc w:val="both"/>
              <w:rPr>
                <w:rFonts w:ascii="Times New Roman" w:hAnsi="Times New Roman" w:cs="Times New Roman"/>
                <w:i/>
                <w:iCs/>
                <w:sz w:val="20"/>
                <w:szCs w:val="20"/>
                <w:lang w:val="en-GB"/>
              </w:rPr>
            </w:pPr>
          </w:p>
        </w:tc>
      </w:tr>
      <w:tr w:rsidR="00E202A2" w:rsidRPr="00ED5CEB" w14:paraId="446425E7" w14:textId="77777777" w:rsidTr="0073206D">
        <w:trPr>
          <w:trHeight w:val="197"/>
        </w:trPr>
        <w:tc>
          <w:tcPr>
            <w:tcW w:w="6025" w:type="dxa"/>
            <w:tcBorders>
              <w:top w:val="single" w:sz="4" w:space="0" w:color="000000"/>
            </w:tcBorders>
            <w:vAlign w:val="center"/>
          </w:tcPr>
          <w:p w14:paraId="642FFECE" w14:textId="77777777" w:rsidR="00E202A2" w:rsidRPr="00794B1B" w:rsidRDefault="00E202A2" w:rsidP="0073206D">
            <w:pPr>
              <w:pStyle w:val="Normal1"/>
              <w:widowControl w:val="0"/>
              <w:spacing w:line="240" w:lineRule="auto"/>
              <w:rPr>
                <w:rFonts w:ascii="Times New Roman" w:hAnsi="Times New Roman" w:cs="Times New Roman"/>
                <w:i/>
                <w:iCs/>
                <w:sz w:val="20"/>
                <w:szCs w:val="20"/>
                <w:lang w:val="en-GB"/>
              </w:rPr>
            </w:pPr>
            <w:r w:rsidRPr="00794B1B">
              <w:rPr>
                <w:rFonts w:ascii="Times New Roman" w:eastAsia="Times New Roman" w:hAnsi="Times New Roman" w:cs="Times New Roman"/>
                <w:i/>
                <w:sz w:val="20"/>
                <w:szCs w:val="20"/>
                <w:lang w:val="en-GB"/>
              </w:rPr>
              <w:t>H1A</w:t>
            </w:r>
            <w:r w:rsidRPr="00794B1B">
              <w:rPr>
                <w:rFonts w:ascii="Times New Roman" w:eastAsia="Cardo" w:hAnsi="Times New Roman" w:cs="Times New Roman"/>
                <w:sz w:val="20"/>
                <w:szCs w:val="20"/>
                <w:lang w:val="en-GB"/>
              </w:rPr>
              <w:t>. Vertical individualism → Perceived consumer effectiveness</w:t>
            </w:r>
          </w:p>
        </w:tc>
        <w:tc>
          <w:tcPr>
            <w:tcW w:w="814" w:type="dxa"/>
            <w:tcBorders>
              <w:top w:val="single" w:sz="4" w:space="0" w:color="000000"/>
            </w:tcBorders>
            <w:vAlign w:val="center"/>
          </w:tcPr>
          <w:p w14:paraId="204F01F9" w14:textId="77777777" w:rsidR="00E202A2" w:rsidRPr="0043798C" w:rsidRDefault="00E202A2" w:rsidP="0073206D">
            <w:pPr>
              <w:pStyle w:val="Normal1"/>
              <w:widowControl w:val="0"/>
              <w:spacing w:line="240" w:lineRule="auto"/>
              <w:jc w:val="center"/>
              <w:rPr>
                <w:rFonts w:ascii="Times New Roman" w:hAnsi="Times New Roman" w:cs="Times New Roman"/>
                <w:i/>
                <w:iCs/>
                <w:sz w:val="20"/>
                <w:szCs w:val="20"/>
                <w:lang w:val="en-GB"/>
              </w:rPr>
            </w:pPr>
            <w:r w:rsidRPr="0043798C">
              <w:rPr>
                <w:rFonts w:ascii="Times New Roman" w:hAnsi="Times New Roman" w:cs="Times New Roman"/>
                <w:sz w:val="20"/>
                <w:szCs w:val="20"/>
                <w:lang w:val="en-GB"/>
              </w:rPr>
              <w:t>0.17</w:t>
            </w:r>
          </w:p>
        </w:tc>
        <w:tc>
          <w:tcPr>
            <w:tcW w:w="970" w:type="dxa"/>
            <w:tcBorders>
              <w:top w:val="single" w:sz="4" w:space="0" w:color="000000"/>
            </w:tcBorders>
            <w:vAlign w:val="center"/>
          </w:tcPr>
          <w:p w14:paraId="120B7ED5" w14:textId="77777777" w:rsidR="00E202A2" w:rsidRPr="0043798C" w:rsidRDefault="00E202A2" w:rsidP="0073206D">
            <w:pPr>
              <w:pStyle w:val="Normal1"/>
              <w:widowControl w:val="0"/>
              <w:spacing w:line="240" w:lineRule="auto"/>
              <w:jc w:val="center"/>
              <w:rPr>
                <w:rFonts w:ascii="Times New Roman" w:hAnsi="Times New Roman" w:cs="Times New Roman"/>
                <w:i/>
                <w:iCs/>
                <w:sz w:val="20"/>
                <w:szCs w:val="20"/>
                <w:lang w:val="en-GB"/>
              </w:rPr>
            </w:pPr>
            <w:r w:rsidRPr="0043798C">
              <w:rPr>
                <w:rFonts w:ascii="Times New Roman" w:hAnsi="Times New Roman" w:cs="Times New Roman"/>
                <w:sz w:val="20"/>
                <w:szCs w:val="20"/>
                <w:lang w:val="en-GB"/>
              </w:rPr>
              <w:t>2.86</w:t>
            </w:r>
          </w:p>
        </w:tc>
        <w:tc>
          <w:tcPr>
            <w:tcW w:w="1140" w:type="dxa"/>
            <w:tcBorders>
              <w:top w:val="single" w:sz="4" w:space="0" w:color="000000"/>
            </w:tcBorders>
            <w:vAlign w:val="center"/>
          </w:tcPr>
          <w:p w14:paraId="5E0D6EE5" w14:textId="77777777" w:rsidR="00E202A2" w:rsidRPr="0043798C" w:rsidRDefault="00E202A2" w:rsidP="0073206D">
            <w:pPr>
              <w:pStyle w:val="Normal1"/>
              <w:widowControl w:val="0"/>
              <w:spacing w:line="240" w:lineRule="auto"/>
              <w:jc w:val="center"/>
              <w:rPr>
                <w:rFonts w:ascii="Times New Roman" w:hAnsi="Times New Roman" w:cs="Times New Roman"/>
                <w:i/>
                <w:iCs/>
                <w:sz w:val="20"/>
                <w:szCs w:val="20"/>
                <w:lang w:val="en-GB"/>
              </w:rPr>
            </w:pPr>
            <w:r w:rsidRPr="0043798C">
              <w:rPr>
                <w:rFonts w:ascii="Times New Roman" w:hAnsi="Times New Roman" w:cs="Times New Roman"/>
                <w:sz w:val="20"/>
                <w:szCs w:val="20"/>
                <w:lang w:val="en-GB"/>
              </w:rPr>
              <w:t>0.01</w:t>
            </w:r>
          </w:p>
        </w:tc>
      </w:tr>
      <w:tr w:rsidR="00E202A2" w:rsidRPr="00ED5CEB" w14:paraId="13B76655" w14:textId="77777777" w:rsidTr="0073206D">
        <w:trPr>
          <w:trHeight w:val="58"/>
        </w:trPr>
        <w:tc>
          <w:tcPr>
            <w:tcW w:w="6025" w:type="dxa"/>
            <w:vAlign w:val="center"/>
          </w:tcPr>
          <w:p w14:paraId="510ED92C" w14:textId="77777777" w:rsidR="00E202A2" w:rsidRPr="00794B1B" w:rsidRDefault="00E202A2" w:rsidP="0073206D">
            <w:pPr>
              <w:pStyle w:val="Normal1"/>
              <w:widowControl w:val="0"/>
              <w:spacing w:line="240" w:lineRule="auto"/>
              <w:rPr>
                <w:rFonts w:ascii="Times New Roman" w:eastAsia="Times New Roman" w:hAnsi="Times New Roman" w:cs="Times New Roman"/>
                <w:i/>
                <w:sz w:val="20"/>
                <w:szCs w:val="20"/>
                <w:lang w:val="en-GB"/>
              </w:rPr>
            </w:pPr>
            <w:r w:rsidRPr="00794B1B">
              <w:rPr>
                <w:rFonts w:ascii="Times New Roman" w:eastAsia="Times New Roman" w:hAnsi="Times New Roman" w:cs="Times New Roman"/>
                <w:i/>
                <w:sz w:val="20"/>
                <w:szCs w:val="20"/>
                <w:lang w:val="en-GB"/>
              </w:rPr>
              <w:t>H1B</w:t>
            </w:r>
            <w:r w:rsidRPr="00794B1B">
              <w:rPr>
                <w:rFonts w:ascii="Times New Roman" w:eastAsia="Cardo" w:hAnsi="Times New Roman" w:cs="Times New Roman"/>
                <w:sz w:val="20"/>
                <w:szCs w:val="20"/>
                <w:lang w:val="en-GB"/>
              </w:rPr>
              <w:t xml:space="preserve">. Horizontal individualism → Perceived consumer effectiveness </w:t>
            </w:r>
          </w:p>
        </w:tc>
        <w:tc>
          <w:tcPr>
            <w:tcW w:w="814" w:type="dxa"/>
            <w:vAlign w:val="center"/>
          </w:tcPr>
          <w:p w14:paraId="41AE470C"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-0.03</w:t>
            </w:r>
          </w:p>
        </w:tc>
        <w:tc>
          <w:tcPr>
            <w:tcW w:w="970" w:type="dxa"/>
            <w:vAlign w:val="center"/>
          </w:tcPr>
          <w:p w14:paraId="55E87DEF"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-0.58</w:t>
            </w:r>
          </w:p>
        </w:tc>
        <w:tc>
          <w:tcPr>
            <w:tcW w:w="1140" w:type="dxa"/>
            <w:vAlign w:val="center"/>
          </w:tcPr>
          <w:p w14:paraId="53342D37"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0.55</w:t>
            </w:r>
          </w:p>
        </w:tc>
      </w:tr>
      <w:tr w:rsidR="00E202A2" w:rsidRPr="00ED5CEB" w14:paraId="2C1F7269" w14:textId="77777777" w:rsidTr="0073206D">
        <w:trPr>
          <w:trHeight w:val="58"/>
        </w:trPr>
        <w:tc>
          <w:tcPr>
            <w:tcW w:w="6025" w:type="dxa"/>
            <w:vAlign w:val="center"/>
          </w:tcPr>
          <w:p w14:paraId="7DDD8C10" w14:textId="77777777" w:rsidR="00E202A2" w:rsidRPr="00794B1B" w:rsidRDefault="00E202A2" w:rsidP="0073206D">
            <w:pPr>
              <w:pStyle w:val="Normal1"/>
              <w:widowControl w:val="0"/>
              <w:spacing w:line="240" w:lineRule="auto"/>
              <w:rPr>
                <w:rFonts w:ascii="Times New Roman" w:hAnsi="Times New Roman" w:cs="Times New Roman"/>
                <w:sz w:val="20"/>
                <w:szCs w:val="20"/>
                <w:highlight w:val="yellow"/>
                <w:lang w:val="en-GB"/>
              </w:rPr>
            </w:pPr>
            <w:r w:rsidRPr="0043798C">
              <w:rPr>
                <w:rFonts w:ascii="Times New Roman" w:eastAsia="Times New Roman" w:hAnsi="Times New Roman" w:cs="Times New Roman"/>
                <w:i/>
                <w:sz w:val="20"/>
                <w:szCs w:val="20"/>
                <w:lang w:val="en-GB"/>
              </w:rPr>
              <w:t>H2</w:t>
            </w:r>
            <w:r>
              <w:rPr>
                <w:rFonts w:ascii="Times New Roman" w:eastAsia="Times New Roman" w:hAnsi="Times New Roman" w:cs="Times New Roman"/>
                <w:i/>
                <w:sz w:val="20"/>
                <w:szCs w:val="20"/>
                <w:lang w:val="en-GB"/>
              </w:rPr>
              <w:t>A</w:t>
            </w:r>
            <w:r w:rsidRPr="0043798C">
              <w:rPr>
                <w:rFonts w:ascii="Times New Roman" w:eastAsia="Cardo" w:hAnsi="Times New Roman" w:cs="Times New Roman"/>
                <w:sz w:val="20"/>
                <w:szCs w:val="20"/>
                <w:lang w:val="en-GB"/>
              </w:rPr>
              <w:t>. Vertical collectivism → Perceived consumer effectiveness</w:t>
            </w:r>
          </w:p>
        </w:tc>
        <w:tc>
          <w:tcPr>
            <w:tcW w:w="814" w:type="dxa"/>
            <w:vAlign w:val="center"/>
          </w:tcPr>
          <w:p w14:paraId="37534311"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0.32</w:t>
            </w:r>
          </w:p>
        </w:tc>
        <w:tc>
          <w:tcPr>
            <w:tcW w:w="970" w:type="dxa"/>
            <w:vAlign w:val="center"/>
          </w:tcPr>
          <w:p w14:paraId="1040A364"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4.66</w:t>
            </w:r>
          </w:p>
        </w:tc>
        <w:tc>
          <w:tcPr>
            <w:tcW w:w="1140" w:type="dxa"/>
            <w:vAlign w:val="center"/>
          </w:tcPr>
          <w:p w14:paraId="1AC9005B"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0.001</w:t>
            </w:r>
          </w:p>
        </w:tc>
      </w:tr>
      <w:tr w:rsidR="00E202A2" w:rsidRPr="00ED5CEB" w14:paraId="08A2E709" w14:textId="77777777" w:rsidTr="0073206D">
        <w:trPr>
          <w:trHeight w:val="58"/>
        </w:trPr>
        <w:tc>
          <w:tcPr>
            <w:tcW w:w="6025" w:type="dxa"/>
            <w:vAlign w:val="center"/>
          </w:tcPr>
          <w:p w14:paraId="4D74E755" w14:textId="77777777" w:rsidR="00E202A2" w:rsidRPr="0043798C" w:rsidRDefault="00E202A2" w:rsidP="0073206D">
            <w:pPr>
              <w:pStyle w:val="Normal1"/>
              <w:widowControl w:val="0"/>
              <w:spacing w:line="240" w:lineRule="auto"/>
              <w:rPr>
                <w:rFonts w:ascii="Times New Roman" w:eastAsia="Times New Roman" w:hAnsi="Times New Roman" w:cs="Times New Roman"/>
                <w:i/>
                <w:sz w:val="20"/>
                <w:szCs w:val="20"/>
                <w:lang w:val="en-GB"/>
              </w:rPr>
            </w:pPr>
            <w:r w:rsidRPr="0043798C">
              <w:rPr>
                <w:rFonts w:ascii="Times New Roman" w:eastAsia="Times New Roman" w:hAnsi="Times New Roman" w:cs="Times New Roman"/>
                <w:i/>
                <w:sz w:val="20"/>
                <w:szCs w:val="20"/>
                <w:lang w:val="en-GB"/>
              </w:rPr>
              <w:t>H2</w:t>
            </w:r>
            <w:r>
              <w:rPr>
                <w:rFonts w:ascii="Times New Roman" w:eastAsia="Times New Roman" w:hAnsi="Times New Roman" w:cs="Times New Roman"/>
                <w:i/>
                <w:sz w:val="20"/>
                <w:szCs w:val="20"/>
                <w:lang w:val="en-GB"/>
              </w:rPr>
              <w:t>B</w:t>
            </w:r>
            <w:r w:rsidRPr="0043798C">
              <w:rPr>
                <w:rFonts w:ascii="Times New Roman" w:eastAsia="Cardo" w:hAnsi="Times New Roman" w:cs="Times New Roman"/>
                <w:sz w:val="20"/>
                <w:szCs w:val="20"/>
                <w:lang w:val="en-GB"/>
              </w:rPr>
              <w:t>. Horizontal collectivism → Perceived consumer effectiveness</w:t>
            </w:r>
          </w:p>
        </w:tc>
        <w:tc>
          <w:tcPr>
            <w:tcW w:w="814" w:type="dxa"/>
            <w:vAlign w:val="center"/>
          </w:tcPr>
          <w:p w14:paraId="18DB82C5"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0.07</w:t>
            </w:r>
          </w:p>
        </w:tc>
        <w:tc>
          <w:tcPr>
            <w:tcW w:w="970" w:type="dxa"/>
            <w:vAlign w:val="center"/>
          </w:tcPr>
          <w:p w14:paraId="38347FB5"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1.06</w:t>
            </w:r>
          </w:p>
        </w:tc>
        <w:tc>
          <w:tcPr>
            <w:tcW w:w="1140" w:type="dxa"/>
            <w:vAlign w:val="center"/>
          </w:tcPr>
          <w:p w14:paraId="511408D0"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0.28</w:t>
            </w:r>
          </w:p>
        </w:tc>
      </w:tr>
      <w:tr w:rsidR="00E202A2" w:rsidRPr="00ED5CEB" w14:paraId="7B9A0A2E" w14:textId="77777777" w:rsidTr="0073206D">
        <w:trPr>
          <w:trHeight w:val="58"/>
        </w:trPr>
        <w:tc>
          <w:tcPr>
            <w:tcW w:w="6025" w:type="dxa"/>
            <w:vAlign w:val="center"/>
          </w:tcPr>
          <w:p w14:paraId="6C860515" w14:textId="77777777" w:rsidR="00E202A2" w:rsidRPr="0043798C" w:rsidRDefault="00E202A2" w:rsidP="0073206D">
            <w:pPr>
              <w:pStyle w:val="Normal1"/>
              <w:widowControl w:val="0"/>
              <w:spacing w:line="240" w:lineRule="auto"/>
              <w:rPr>
                <w:rFonts w:ascii="Times New Roman" w:eastAsia="Times New Roman" w:hAnsi="Times New Roman" w:cs="Times New Roman"/>
                <w:i/>
                <w:sz w:val="20"/>
                <w:szCs w:val="20"/>
                <w:lang w:val="en-GB"/>
              </w:rPr>
            </w:pPr>
            <w:r w:rsidRPr="0043798C">
              <w:rPr>
                <w:rFonts w:ascii="Times New Roman" w:eastAsia="Times New Roman" w:hAnsi="Times New Roman" w:cs="Times New Roman"/>
                <w:i/>
                <w:sz w:val="20"/>
                <w:szCs w:val="20"/>
                <w:lang w:val="en-GB"/>
              </w:rPr>
              <w:t>Control variables</w:t>
            </w:r>
          </w:p>
        </w:tc>
        <w:tc>
          <w:tcPr>
            <w:tcW w:w="814" w:type="dxa"/>
            <w:vAlign w:val="center"/>
          </w:tcPr>
          <w:p w14:paraId="6C7DD509" w14:textId="77777777" w:rsidR="00E202A2" w:rsidRPr="0043798C" w:rsidRDefault="00E202A2" w:rsidP="0073206D">
            <w:pPr>
              <w:pStyle w:val="Normal1"/>
              <w:widowControl w:val="0"/>
              <w:spacing w:line="240" w:lineRule="auto"/>
              <w:jc w:val="center"/>
              <w:rPr>
                <w:rFonts w:ascii="Times New Roman" w:eastAsia="Times New Roman" w:hAnsi="Times New Roman" w:cs="Times New Roman"/>
                <w:sz w:val="20"/>
                <w:szCs w:val="20"/>
                <w:lang w:val="en-GB"/>
              </w:rPr>
            </w:pPr>
          </w:p>
        </w:tc>
        <w:tc>
          <w:tcPr>
            <w:tcW w:w="970" w:type="dxa"/>
            <w:vAlign w:val="center"/>
          </w:tcPr>
          <w:p w14:paraId="3262B561" w14:textId="77777777" w:rsidR="00E202A2" w:rsidRPr="0043798C" w:rsidRDefault="00E202A2" w:rsidP="0073206D">
            <w:pPr>
              <w:pStyle w:val="Normal1"/>
              <w:widowControl w:val="0"/>
              <w:spacing w:line="240" w:lineRule="auto"/>
              <w:jc w:val="center"/>
              <w:rPr>
                <w:rFonts w:ascii="Times New Roman" w:eastAsia="Times New Roman" w:hAnsi="Times New Roman" w:cs="Times New Roman"/>
                <w:sz w:val="20"/>
                <w:szCs w:val="20"/>
                <w:lang w:val="en-GB"/>
              </w:rPr>
            </w:pPr>
          </w:p>
        </w:tc>
        <w:tc>
          <w:tcPr>
            <w:tcW w:w="1140" w:type="dxa"/>
            <w:vAlign w:val="center"/>
          </w:tcPr>
          <w:p w14:paraId="0FD50E80" w14:textId="77777777" w:rsidR="00E202A2" w:rsidRPr="0043798C" w:rsidRDefault="00E202A2" w:rsidP="0073206D">
            <w:pPr>
              <w:pStyle w:val="Normal1"/>
              <w:widowControl w:val="0"/>
              <w:spacing w:line="240" w:lineRule="auto"/>
              <w:jc w:val="center"/>
              <w:rPr>
                <w:rFonts w:ascii="Times New Roman" w:eastAsia="Times New Roman" w:hAnsi="Times New Roman" w:cs="Times New Roman"/>
                <w:sz w:val="20"/>
                <w:szCs w:val="20"/>
                <w:lang w:val="en-GB"/>
              </w:rPr>
            </w:pPr>
          </w:p>
        </w:tc>
      </w:tr>
      <w:tr w:rsidR="00E202A2" w:rsidRPr="00ED5CEB" w14:paraId="1F4BF1EC" w14:textId="77777777" w:rsidTr="0073206D">
        <w:trPr>
          <w:trHeight w:val="58"/>
        </w:trPr>
        <w:tc>
          <w:tcPr>
            <w:tcW w:w="6025" w:type="dxa"/>
            <w:vAlign w:val="center"/>
          </w:tcPr>
          <w:p w14:paraId="5F858410" w14:textId="77777777" w:rsidR="00E202A2" w:rsidRPr="0043798C" w:rsidRDefault="00E202A2" w:rsidP="0073206D">
            <w:pPr>
              <w:pStyle w:val="Normal1"/>
              <w:widowControl w:val="0"/>
              <w:spacing w:line="240" w:lineRule="auto"/>
              <w:rPr>
                <w:rFonts w:ascii="Times New Roman" w:eastAsia="Times New Roman" w:hAnsi="Times New Roman" w:cs="Times New Roman"/>
                <w:sz w:val="20"/>
                <w:szCs w:val="20"/>
                <w:lang w:val="en-GB"/>
              </w:rPr>
            </w:pPr>
            <w:r w:rsidRPr="0043798C">
              <w:rPr>
                <w:rFonts w:ascii="Times New Roman" w:eastAsia="Times New Roman" w:hAnsi="Times New Roman" w:cs="Times New Roman"/>
                <w:sz w:val="20"/>
                <w:szCs w:val="20"/>
                <w:lang w:val="en-GB"/>
              </w:rPr>
              <w:t xml:space="preserve">Age </w:t>
            </w:r>
            <w:r w:rsidRPr="0043798C">
              <w:rPr>
                <w:rFonts w:ascii="Times New Roman" w:eastAsia="Cardo" w:hAnsi="Times New Roman" w:cs="Times New Roman"/>
                <w:sz w:val="20"/>
                <w:szCs w:val="20"/>
                <w:lang w:val="en-GB"/>
              </w:rPr>
              <w:t>→ Perceived consumer effectiveness</w:t>
            </w:r>
          </w:p>
        </w:tc>
        <w:tc>
          <w:tcPr>
            <w:tcW w:w="814" w:type="dxa"/>
            <w:vAlign w:val="center"/>
          </w:tcPr>
          <w:p w14:paraId="202855AC" w14:textId="77777777" w:rsidR="00E202A2" w:rsidRPr="0043798C" w:rsidRDefault="00E202A2" w:rsidP="0073206D">
            <w:pPr>
              <w:pStyle w:val="Normal1"/>
              <w:widowControl w:val="0"/>
              <w:spacing w:line="240" w:lineRule="auto"/>
              <w:jc w:val="center"/>
              <w:rPr>
                <w:rFonts w:ascii="Times New Roman" w:eastAsia="Times New Roman" w:hAnsi="Times New Roman" w:cs="Times New Roman"/>
                <w:sz w:val="20"/>
                <w:szCs w:val="20"/>
                <w:lang w:val="en-GB"/>
              </w:rPr>
            </w:pPr>
            <w:r w:rsidRPr="0043798C">
              <w:rPr>
                <w:rFonts w:ascii="Times New Roman" w:eastAsia="Times New Roman" w:hAnsi="Times New Roman" w:cs="Times New Roman"/>
                <w:sz w:val="20"/>
                <w:szCs w:val="20"/>
                <w:lang w:val="en-GB"/>
              </w:rPr>
              <w:t>0.11</w:t>
            </w:r>
          </w:p>
        </w:tc>
        <w:tc>
          <w:tcPr>
            <w:tcW w:w="970" w:type="dxa"/>
            <w:vAlign w:val="center"/>
          </w:tcPr>
          <w:p w14:paraId="466B64A0" w14:textId="77777777" w:rsidR="00E202A2" w:rsidRPr="0043798C" w:rsidRDefault="00E202A2" w:rsidP="0073206D">
            <w:pPr>
              <w:pStyle w:val="Normal1"/>
              <w:widowControl w:val="0"/>
              <w:spacing w:line="240" w:lineRule="auto"/>
              <w:jc w:val="center"/>
              <w:rPr>
                <w:rFonts w:ascii="Times New Roman" w:eastAsia="Times New Roman" w:hAnsi="Times New Roman" w:cs="Times New Roman"/>
                <w:sz w:val="20"/>
                <w:szCs w:val="20"/>
                <w:lang w:val="en-GB"/>
              </w:rPr>
            </w:pPr>
            <w:r w:rsidRPr="0043798C">
              <w:rPr>
                <w:rFonts w:ascii="Times New Roman" w:eastAsia="Times New Roman" w:hAnsi="Times New Roman" w:cs="Times New Roman"/>
                <w:sz w:val="20"/>
                <w:szCs w:val="20"/>
                <w:lang w:val="en-GB"/>
              </w:rPr>
              <w:t>2.40</w:t>
            </w:r>
          </w:p>
        </w:tc>
        <w:tc>
          <w:tcPr>
            <w:tcW w:w="1140" w:type="dxa"/>
            <w:vAlign w:val="center"/>
          </w:tcPr>
          <w:p w14:paraId="2100305C" w14:textId="77777777" w:rsidR="00E202A2" w:rsidRPr="0043798C" w:rsidRDefault="00E202A2" w:rsidP="0073206D">
            <w:pPr>
              <w:pStyle w:val="Normal1"/>
              <w:widowControl w:val="0"/>
              <w:spacing w:line="240" w:lineRule="auto"/>
              <w:jc w:val="center"/>
              <w:rPr>
                <w:rFonts w:ascii="Times New Roman" w:eastAsia="Times New Roman" w:hAnsi="Times New Roman" w:cs="Times New Roman"/>
                <w:sz w:val="20"/>
                <w:szCs w:val="20"/>
                <w:lang w:val="en-GB"/>
              </w:rPr>
            </w:pPr>
            <w:r w:rsidRPr="0043798C">
              <w:rPr>
                <w:rFonts w:ascii="Times New Roman" w:eastAsia="Times New Roman" w:hAnsi="Times New Roman" w:cs="Times New Roman"/>
                <w:sz w:val="20"/>
                <w:szCs w:val="20"/>
                <w:lang w:val="en-GB"/>
              </w:rPr>
              <w:t>0.01</w:t>
            </w:r>
          </w:p>
        </w:tc>
      </w:tr>
      <w:tr w:rsidR="00E202A2" w:rsidRPr="00ED5CEB" w14:paraId="75B6B0AA" w14:textId="77777777" w:rsidTr="0073206D">
        <w:trPr>
          <w:trHeight w:val="58"/>
        </w:trPr>
        <w:tc>
          <w:tcPr>
            <w:tcW w:w="6025" w:type="dxa"/>
            <w:vAlign w:val="center"/>
          </w:tcPr>
          <w:p w14:paraId="3F8C9C90" w14:textId="77777777" w:rsidR="00E202A2" w:rsidRPr="0043798C" w:rsidRDefault="00E202A2" w:rsidP="0073206D">
            <w:pPr>
              <w:pStyle w:val="Normal1"/>
              <w:widowControl w:val="0"/>
              <w:spacing w:line="240" w:lineRule="auto"/>
              <w:rPr>
                <w:rFonts w:ascii="Times New Roman" w:eastAsia="Times New Roman" w:hAnsi="Times New Roman" w:cs="Times New Roman"/>
                <w:sz w:val="20"/>
                <w:szCs w:val="20"/>
                <w:lang w:val="en-GB"/>
              </w:rPr>
            </w:pPr>
            <w:r w:rsidRPr="0043798C">
              <w:rPr>
                <w:rFonts w:ascii="Times New Roman" w:eastAsia="Cardo" w:hAnsi="Times New Roman" w:cs="Times New Roman"/>
                <w:sz w:val="20"/>
                <w:szCs w:val="20"/>
                <w:lang w:val="en-GB"/>
              </w:rPr>
              <w:t>Income → Perceived consumer effectiveness</w:t>
            </w:r>
          </w:p>
        </w:tc>
        <w:tc>
          <w:tcPr>
            <w:tcW w:w="814" w:type="dxa"/>
            <w:vAlign w:val="center"/>
          </w:tcPr>
          <w:p w14:paraId="105F1223" w14:textId="77777777" w:rsidR="00E202A2" w:rsidRPr="0043798C" w:rsidRDefault="00E202A2" w:rsidP="0073206D">
            <w:pPr>
              <w:pStyle w:val="Normal1"/>
              <w:widowControl w:val="0"/>
              <w:spacing w:line="240" w:lineRule="auto"/>
              <w:jc w:val="center"/>
              <w:rPr>
                <w:rFonts w:ascii="Times New Roman" w:eastAsia="Times New Roman" w:hAnsi="Times New Roman" w:cs="Times New Roman"/>
                <w:sz w:val="20"/>
                <w:szCs w:val="20"/>
                <w:lang w:val="en-GB"/>
              </w:rPr>
            </w:pPr>
            <w:r w:rsidRPr="0043798C">
              <w:rPr>
                <w:rFonts w:ascii="Times New Roman" w:eastAsia="Times New Roman" w:hAnsi="Times New Roman" w:cs="Times New Roman"/>
                <w:sz w:val="20"/>
                <w:szCs w:val="20"/>
                <w:lang w:val="en-GB"/>
              </w:rPr>
              <w:t>0.01</w:t>
            </w:r>
          </w:p>
        </w:tc>
        <w:tc>
          <w:tcPr>
            <w:tcW w:w="970" w:type="dxa"/>
            <w:vAlign w:val="center"/>
          </w:tcPr>
          <w:p w14:paraId="2A4789AE" w14:textId="77777777" w:rsidR="00E202A2" w:rsidRPr="0043798C" w:rsidRDefault="00E202A2" w:rsidP="0073206D">
            <w:pPr>
              <w:pStyle w:val="Normal1"/>
              <w:widowControl w:val="0"/>
              <w:spacing w:line="240" w:lineRule="auto"/>
              <w:jc w:val="center"/>
              <w:rPr>
                <w:rFonts w:ascii="Times New Roman" w:eastAsia="Times New Roman" w:hAnsi="Times New Roman" w:cs="Times New Roman"/>
                <w:sz w:val="20"/>
                <w:szCs w:val="20"/>
                <w:lang w:val="en-GB"/>
              </w:rPr>
            </w:pPr>
            <w:r w:rsidRPr="0043798C">
              <w:rPr>
                <w:rFonts w:ascii="Times New Roman" w:eastAsia="Times New Roman" w:hAnsi="Times New Roman" w:cs="Times New Roman"/>
                <w:sz w:val="20"/>
                <w:szCs w:val="20"/>
                <w:lang w:val="en-GB"/>
              </w:rPr>
              <w:t>0.20</w:t>
            </w:r>
          </w:p>
        </w:tc>
        <w:tc>
          <w:tcPr>
            <w:tcW w:w="1140" w:type="dxa"/>
            <w:vAlign w:val="center"/>
          </w:tcPr>
          <w:p w14:paraId="15799E32" w14:textId="77777777" w:rsidR="00E202A2" w:rsidRPr="0043798C" w:rsidRDefault="00E202A2" w:rsidP="0073206D">
            <w:pPr>
              <w:pStyle w:val="Normal1"/>
              <w:widowControl w:val="0"/>
              <w:spacing w:line="240" w:lineRule="auto"/>
              <w:jc w:val="center"/>
              <w:rPr>
                <w:rFonts w:ascii="Times New Roman" w:eastAsia="Times New Roman" w:hAnsi="Times New Roman" w:cs="Times New Roman"/>
                <w:sz w:val="20"/>
                <w:szCs w:val="20"/>
                <w:lang w:val="en-GB"/>
              </w:rPr>
            </w:pPr>
            <w:r w:rsidRPr="0043798C">
              <w:rPr>
                <w:rFonts w:ascii="Times New Roman" w:eastAsia="Times New Roman" w:hAnsi="Times New Roman" w:cs="Times New Roman"/>
                <w:sz w:val="20"/>
                <w:szCs w:val="20"/>
                <w:lang w:val="en-GB"/>
              </w:rPr>
              <w:t>0.83</w:t>
            </w:r>
          </w:p>
        </w:tc>
      </w:tr>
      <w:tr w:rsidR="00E202A2" w:rsidRPr="00ED5CEB" w14:paraId="07EC7C7A" w14:textId="77777777" w:rsidTr="0073206D">
        <w:trPr>
          <w:trHeight w:val="58"/>
        </w:trPr>
        <w:tc>
          <w:tcPr>
            <w:tcW w:w="6025" w:type="dxa"/>
            <w:vAlign w:val="center"/>
          </w:tcPr>
          <w:p w14:paraId="7CA4550D" w14:textId="77777777" w:rsidR="00E202A2" w:rsidRPr="0043798C" w:rsidRDefault="00E202A2" w:rsidP="0073206D">
            <w:pPr>
              <w:pStyle w:val="Normal1"/>
              <w:widowControl w:val="0"/>
              <w:spacing w:line="240" w:lineRule="auto"/>
              <w:rPr>
                <w:rFonts w:ascii="Times New Roman" w:eastAsia="Cardo" w:hAnsi="Times New Roman" w:cs="Times New Roman"/>
                <w:i/>
                <w:iCs/>
                <w:sz w:val="20"/>
                <w:szCs w:val="20"/>
                <w:lang w:val="en-GB"/>
              </w:rPr>
            </w:pPr>
            <w:r w:rsidRPr="0043798C">
              <w:rPr>
                <w:rFonts w:ascii="Times New Roman" w:hAnsi="Times New Roman" w:cs="Times New Roman"/>
                <w:i/>
                <w:iCs/>
                <w:sz w:val="20"/>
                <w:szCs w:val="20"/>
              </w:rPr>
              <w:t>Moderation analysis</w:t>
            </w:r>
          </w:p>
        </w:tc>
        <w:tc>
          <w:tcPr>
            <w:tcW w:w="814" w:type="dxa"/>
            <w:vAlign w:val="center"/>
          </w:tcPr>
          <w:p w14:paraId="475FD81F" w14:textId="77777777" w:rsidR="00E202A2" w:rsidRPr="0043798C" w:rsidRDefault="00E202A2" w:rsidP="0073206D">
            <w:pPr>
              <w:pStyle w:val="Normal1"/>
              <w:widowControl w:val="0"/>
              <w:spacing w:line="240" w:lineRule="auto"/>
              <w:jc w:val="center"/>
              <w:rPr>
                <w:rFonts w:ascii="Times New Roman" w:eastAsia="Times New Roman" w:hAnsi="Times New Roman" w:cs="Times New Roman"/>
                <w:sz w:val="20"/>
                <w:szCs w:val="20"/>
                <w:lang w:val="en-GB"/>
              </w:rPr>
            </w:pPr>
          </w:p>
        </w:tc>
        <w:tc>
          <w:tcPr>
            <w:tcW w:w="970" w:type="dxa"/>
            <w:vAlign w:val="center"/>
          </w:tcPr>
          <w:p w14:paraId="42F2F59A" w14:textId="77777777" w:rsidR="00E202A2" w:rsidRPr="0043798C" w:rsidRDefault="00E202A2" w:rsidP="0073206D">
            <w:pPr>
              <w:pStyle w:val="Normal1"/>
              <w:widowControl w:val="0"/>
              <w:spacing w:line="240" w:lineRule="auto"/>
              <w:jc w:val="center"/>
              <w:rPr>
                <w:rFonts w:ascii="Times New Roman" w:eastAsia="Times New Roman" w:hAnsi="Times New Roman" w:cs="Times New Roman"/>
                <w:sz w:val="20"/>
                <w:szCs w:val="20"/>
                <w:lang w:val="en-GB"/>
              </w:rPr>
            </w:pPr>
          </w:p>
        </w:tc>
        <w:tc>
          <w:tcPr>
            <w:tcW w:w="1140" w:type="dxa"/>
            <w:vAlign w:val="center"/>
          </w:tcPr>
          <w:p w14:paraId="7DC4F4B3" w14:textId="77777777" w:rsidR="00E202A2" w:rsidRPr="0043798C" w:rsidRDefault="00E202A2" w:rsidP="0073206D">
            <w:pPr>
              <w:pStyle w:val="Normal1"/>
              <w:widowControl w:val="0"/>
              <w:spacing w:line="240" w:lineRule="auto"/>
              <w:jc w:val="center"/>
              <w:rPr>
                <w:rFonts w:ascii="Times New Roman" w:eastAsia="Times New Roman" w:hAnsi="Times New Roman" w:cs="Times New Roman"/>
                <w:sz w:val="20"/>
                <w:szCs w:val="20"/>
                <w:lang w:val="en-GB"/>
              </w:rPr>
            </w:pPr>
          </w:p>
        </w:tc>
      </w:tr>
      <w:tr w:rsidR="00E202A2" w:rsidRPr="00ED5CEB" w14:paraId="3286CD72" w14:textId="77777777" w:rsidTr="0073206D">
        <w:trPr>
          <w:trHeight w:val="58"/>
        </w:trPr>
        <w:tc>
          <w:tcPr>
            <w:tcW w:w="6025" w:type="dxa"/>
            <w:vAlign w:val="center"/>
          </w:tcPr>
          <w:p w14:paraId="16701B21" w14:textId="77777777" w:rsidR="00E202A2" w:rsidRPr="0043798C" w:rsidRDefault="00E202A2" w:rsidP="0073206D">
            <w:pPr>
              <w:pStyle w:val="Normal1"/>
              <w:widowControl w:val="0"/>
              <w:spacing w:line="240" w:lineRule="auto"/>
              <w:rPr>
                <w:rFonts w:ascii="Times New Roman" w:hAnsi="Times New Roman" w:cs="Times New Roman"/>
                <w:sz w:val="20"/>
                <w:szCs w:val="20"/>
                <w:lang w:val="en-GB"/>
              </w:rPr>
            </w:pPr>
            <w:r w:rsidRPr="0043798C">
              <w:rPr>
                <w:rFonts w:ascii="Times New Roman" w:eastAsia="Times New Roman" w:hAnsi="Times New Roman" w:cs="Times New Roman"/>
                <w:i/>
                <w:sz w:val="20"/>
                <w:szCs w:val="20"/>
                <w:lang w:val="en-GB"/>
              </w:rPr>
              <w:t>H3A</w:t>
            </w:r>
            <w:r w:rsidRPr="0043798C">
              <w:rPr>
                <w:rFonts w:ascii="Times New Roman" w:eastAsia="Cardo" w:hAnsi="Times New Roman" w:cs="Times New Roman"/>
                <w:sz w:val="20"/>
                <w:szCs w:val="20"/>
                <w:lang w:val="en-GB"/>
              </w:rPr>
              <w:t xml:space="preserve"> Vertical individualism → Perceived consumer effectiveness | Global identity</w:t>
            </w:r>
          </w:p>
        </w:tc>
        <w:tc>
          <w:tcPr>
            <w:tcW w:w="814" w:type="dxa"/>
            <w:vAlign w:val="center"/>
          </w:tcPr>
          <w:p w14:paraId="65CD8D6A"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0.07</w:t>
            </w:r>
          </w:p>
        </w:tc>
        <w:tc>
          <w:tcPr>
            <w:tcW w:w="970" w:type="dxa"/>
            <w:vAlign w:val="center"/>
          </w:tcPr>
          <w:p w14:paraId="19B6FFD7"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1.65</w:t>
            </w:r>
          </w:p>
        </w:tc>
        <w:tc>
          <w:tcPr>
            <w:tcW w:w="1140" w:type="dxa"/>
            <w:vAlign w:val="center"/>
          </w:tcPr>
          <w:p w14:paraId="1C8196E7"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0.09</w:t>
            </w:r>
          </w:p>
        </w:tc>
      </w:tr>
      <w:tr w:rsidR="00E202A2" w:rsidRPr="00ED5CEB" w14:paraId="5401BFFB" w14:textId="77777777" w:rsidTr="0073206D">
        <w:trPr>
          <w:trHeight w:val="58"/>
        </w:trPr>
        <w:tc>
          <w:tcPr>
            <w:tcW w:w="6025" w:type="dxa"/>
            <w:vAlign w:val="center"/>
          </w:tcPr>
          <w:p w14:paraId="78846AB9" w14:textId="77777777" w:rsidR="00E202A2" w:rsidRPr="0043798C" w:rsidRDefault="00E202A2" w:rsidP="0073206D">
            <w:pPr>
              <w:pStyle w:val="Normal1"/>
              <w:widowControl w:val="0"/>
              <w:spacing w:line="240" w:lineRule="auto"/>
              <w:rPr>
                <w:rFonts w:ascii="Times New Roman" w:eastAsia="Times New Roman" w:hAnsi="Times New Roman" w:cs="Times New Roman"/>
                <w:i/>
                <w:sz w:val="20"/>
                <w:szCs w:val="20"/>
                <w:lang w:val="en-GB"/>
              </w:rPr>
            </w:pPr>
            <w:r w:rsidRPr="0043798C">
              <w:rPr>
                <w:rFonts w:ascii="Times New Roman" w:eastAsia="Times New Roman" w:hAnsi="Times New Roman" w:cs="Times New Roman"/>
                <w:i/>
                <w:sz w:val="20"/>
                <w:szCs w:val="20"/>
                <w:lang w:val="en-GB"/>
              </w:rPr>
              <w:t>H4A</w:t>
            </w:r>
            <w:r w:rsidRPr="0043798C">
              <w:rPr>
                <w:rFonts w:ascii="Times New Roman" w:eastAsia="Cardo" w:hAnsi="Times New Roman" w:cs="Times New Roman"/>
                <w:sz w:val="20"/>
                <w:szCs w:val="20"/>
                <w:lang w:val="en-GB"/>
              </w:rPr>
              <w:t xml:space="preserve"> Vertical collectivism → Perceived consumer effectiveness | </w:t>
            </w:r>
            <w:r w:rsidRPr="00ED5CEB">
              <w:rPr>
                <w:rFonts w:ascii="Times New Roman" w:eastAsia="Times New Roman" w:hAnsi="Times New Roman" w:cs="Times New Roman"/>
                <w:bCs/>
                <w:iCs/>
                <w:sz w:val="20"/>
                <w:szCs w:val="20"/>
              </w:rPr>
              <w:t>Local identity</w:t>
            </w:r>
          </w:p>
        </w:tc>
        <w:tc>
          <w:tcPr>
            <w:tcW w:w="814" w:type="dxa"/>
            <w:vAlign w:val="center"/>
          </w:tcPr>
          <w:p w14:paraId="0AFF3305"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0.23</w:t>
            </w:r>
          </w:p>
        </w:tc>
        <w:tc>
          <w:tcPr>
            <w:tcW w:w="970" w:type="dxa"/>
            <w:vAlign w:val="center"/>
          </w:tcPr>
          <w:p w14:paraId="7B550B5F"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4.76</w:t>
            </w:r>
          </w:p>
        </w:tc>
        <w:tc>
          <w:tcPr>
            <w:tcW w:w="1140" w:type="dxa"/>
            <w:vAlign w:val="center"/>
          </w:tcPr>
          <w:p w14:paraId="08A2436F"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0.001</w:t>
            </w:r>
          </w:p>
        </w:tc>
      </w:tr>
      <w:tr w:rsidR="00E202A2" w:rsidRPr="00ED5CEB" w14:paraId="446862D7" w14:textId="77777777" w:rsidTr="0073206D">
        <w:trPr>
          <w:trHeight w:val="58"/>
        </w:trPr>
        <w:tc>
          <w:tcPr>
            <w:tcW w:w="6025" w:type="dxa"/>
            <w:vAlign w:val="center"/>
          </w:tcPr>
          <w:p w14:paraId="622EE509" w14:textId="77777777" w:rsidR="00E202A2" w:rsidRPr="0043798C" w:rsidRDefault="00E202A2" w:rsidP="0073206D">
            <w:pPr>
              <w:pStyle w:val="Normal1"/>
              <w:widowControl w:val="0"/>
              <w:spacing w:line="240" w:lineRule="auto"/>
              <w:rPr>
                <w:rFonts w:ascii="Times New Roman" w:eastAsia="Times New Roman" w:hAnsi="Times New Roman" w:cs="Times New Roman"/>
                <w:i/>
                <w:sz w:val="20"/>
                <w:szCs w:val="20"/>
                <w:lang w:val="en-GB"/>
              </w:rPr>
            </w:pPr>
            <w:r w:rsidRPr="0043798C">
              <w:rPr>
                <w:rFonts w:ascii="Times New Roman" w:eastAsia="Times New Roman" w:hAnsi="Times New Roman" w:cs="Times New Roman"/>
                <w:i/>
                <w:sz w:val="20"/>
                <w:szCs w:val="20"/>
                <w:lang w:val="en-GB"/>
              </w:rPr>
              <w:t>Direct effects derived from the moderation analysis</w:t>
            </w:r>
          </w:p>
        </w:tc>
        <w:tc>
          <w:tcPr>
            <w:tcW w:w="814" w:type="dxa"/>
            <w:vAlign w:val="center"/>
          </w:tcPr>
          <w:p w14:paraId="3C1576D7"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p>
        </w:tc>
        <w:tc>
          <w:tcPr>
            <w:tcW w:w="970" w:type="dxa"/>
            <w:vAlign w:val="center"/>
          </w:tcPr>
          <w:p w14:paraId="1E7CF784"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p>
        </w:tc>
        <w:tc>
          <w:tcPr>
            <w:tcW w:w="1140" w:type="dxa"/>
            <w:vAlign w:val="center"/>
          </w:tcPr>
          <w:p w14:paraId="3B303B86"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p>
        </w:tc>
      </w:tr>
      <w:tr w:rsidR="00E202A2" w:rsidRPr="00ED5CEB" w14:paraId="406AC3A4" w14:textId="77777777" w:rsidTr="0073206D">
        <w:trPr>
          <w:trHeight w:val="58"/>
        </w:trPr>
        <w:tc>
          <w:tcPr>
            <w:tcW w:w="6025" w:type="dxa"/>
            <w:vAlign w:val="center"/>
          </w:tcPr>
          <w:p w14:paraId="73A49FCE" w14:textId="77777777" w:rsidR="00E202A2" w:rsidRPr="0043798C" w:rsidRDefault="00E202A2" w:rsidP="0073206D">
            <w:pPr>
              <w:pStyle w:val="Normal1"/>
              <w:widowControl w:val="0"/>
              <w:spacing w:line="240" w:lineRule="auto"/>
              <w:rPr>
                <w:rFonts w:ascii="Times New Roman" w:eastAsia="Times New Roman" w:hAnsi="Times New Roman" w:cs="Times New Roman"/>
                <w:i/>
                <w:sz w:val="20"/>
                <w:szCs w:val="20"/>
                <w:lang w:val="en-GB"/>
              </w:rPr>
            </w:pPr>
            <w:r w:rsidRPr="0043798C">
              <w:rPr>
                <w:rFonts w:ascii="Times New Roman" w:eastAsia="Cardo" w:hAnsi="Times New Roman" w:cs="Times New Roman"/>
                <w:sz w:val="20"/>
                <w:szCs w:val="20"/>
                <w:lang w:val="en-GB"/>
              </w:rPr>
              <w:t>Global identity → Perceived consumer effectiveness</w:t>
            </w:r>
          </w:p>
        </w:tc>
        <w:tc>
          <w:tcPr>
            <w:tcW w:w="814" w:type="dxa"/>
            <w:vAlign w:val="center"/>
          </w:tcPr>
          <w:p w14:paraId="0D93898A"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0.16</w:t>
            </w:r>
          </w:p>
        </w:tc>
        <w:tc>
          <w:tcPr>
            <w:tcW w:w="970" w:type="dxa"/>
            <w:vAlign w:val="center"/>
          </w:tcPr>
          <w:p w14:paraId="70103597"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3.17</w:t>
            </w:r>
          </w:p>
        </w:tc>
        <w:tc>
          <w:tcPr>
            <w:tcW w:w="1140" w:type="dxa"/>
            <w:vAlign w:val="center"/>
          </w:tcPr>
          <w:p w14:paraId="38E4E67B"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0.001</w:t>
            </w:r>
          </w:p>
        </w:tc>
      </w:tr>
      <w:tr w:rsidR="00E202A2" w:rsidRPr="00ED5CEB" w14:paraId="06391AA4" w14:textId="77777777" w:rsidTr="0073206D">
        <w:trPr>
          <w:trHeight w:val="58"/>
        </w:trPr>
        <w:tc>
          <w:tcPr>
            <w:tcW w:w="6025" w:type="dxa"/>
            <w:vAlign w:val="center"/>
          </w:tcPr>
          <w:p w14:paraId="5AE044F1" w14:textId="77777777" w:rsidR="00E202A2" w:rsidRPr="0043798C" w:rsidRDefault="00E202A2" w:rsidP="0073206D">
            <w:pPr>
              <w:pStyle w:val="Normal1"/>
              <w:widowControl w:val="0"/>
              <w:spacing w:line="240" w:lineRule="auto"/>
              <w:rPr>
                <w:rFonts w:ascii="Times New Roman" w:eastAsia="Times New Roman" w:hAnsi="Times New Roman" w:cs="Times New Roman"/>
                <w:i/>
                <w:sz w:val="20"/>
                <w:szCs w:val="20"/>
                <w:lang w:val="en-GB"/>
              </w:rPr>
            </w:pPr>
            <w:r w:rsidRPr="0043798C">
              <w:rPr>
                <w:rFonts w:ascii="Times New Roman" w:eastAsia="Cardo" w:hAnsi="Times New Roman" w:cs="Times New Roman"/>
                <w:sz w:val="20"/>
                <w:szCs w:val="20"/>
                <w:lang w:val="en-GB"/>
              </w:rPr>
              <w:t>Local identity → Perceived consumer effectiveness</w:t>
            </w:r>
          </w:p>
        </w:tc>
        <w:tc>
          <w:tcPr>
            <w:tcW w:w="814" w:type="dxa"/>
            <w:vAlign w:val="center"/>
          </w:tcPr>
          <w:p w14:paraId="68C1ADA3"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0.04</w:t>
            </w:r>
          </w:p>
        </w:tc>
        <w:tc>
          <w:tcPr>
            <w:tcW w:w="970" w:type="dxa"/>
            <w:vAlign w:val="center"/>
          </w:tcPr>
          <w:p w14:paraId="692F291E"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0.87</w:t>
            </w:r>
          </w:p>
        </w:tc>
        <w:tc>
          <w:tcPr>
            <w:tcW w:w="1140" w:type="dxa"/>
            <w:vAlign w:val="center"/>
          </w:tcPr>
          <w:p w14:paraId="51495B1C" w14:textId="77777777" w:rsidR="00E202A2" w:rsidRPr="0043798C" w:rsidRDefault="00E202A2" w:rsidP="0073206D">
            <w:pPr>
              <w:pStyle w:val="Normal1"/>
              <w:widowControl w:val="0"/>
              <w:spacing w:line="240" w:lineRule="auto"/>
              <w:jc w:val="center"/>
              <w:rPr>
                <w:rFonts w:ascii="Times New Roman" w:hAnsi="Times New Roman" w:cs="Times New Roman"/>
                <w:sz w:val="20"/>
                <w:szCs w:val="20"/>
                <w:lang w:val="en-GB"/>
              </w:rPr>
            </w:pPr>
            <w:r w:rsidRPr="0043798C">
              <w:rPr>
                <w:rFonts w:ascii="Times New Roman" w:hAnsi="Times New Roman" w:cs="Times New Roman"/>
                <w:sz w:val="20"/>
                <w:szCs w:val="20"/>
                <w:lang w:val="en-GB"/>
              </w:rPr>
              <w:t>0.38</w:t>
            </w:r>
          </w:p>
        </w:tc>
      </w:tr>
    </w:tbl>
    <w:p w14:paraId="57BFB468" w14:textId="77777777" w:rsidR="00E202A2" w:rsidRPr="00ED5CEB" w:rsidRDefault="00E202A2" w:rsidP="00E202A2">
      <w:pPr>
        <w:pStyle w:val="Normal1"/>
        <w:widowControl w:val="0"/>
        <w:spacing w:line="240" w:lineRule="auto"/>
        <w:jc w:val="both"/>
        <w:rPr>
          <w:rFonts w:ascii="Times New Roman" w:hAnsi="Times New Roman" w:cs="Times New Roman"/>
          <w:sz w:val="20"/>
          <w:szCs w:val="20"/>
          <w:lang w:val="en-GB"/>
        </w:rPr>
      </w:pPr>
      <w:r w:rsidRPr="00ED5CEB">
        <w:rPr>
          <w:rFonts w:ascii="Times New Roman" w:eastAsia="Times New Roman" w:hAnsi="Times New Roman" w:cs="Times New Roman"/>
          <w:sz w:val="20"/>
          <w:szCs w:val="20"/>
          <w:lang w:val="en-GB"/>
        </w:rPr>
        <w:t>Note: MLR χ</w:t>
      </w:r>
      <w:r w:rsidRPr="00ED5CEB">
        <w:rPr>
          <w:rFonts w:ascii="Times New Roman" w:eastAsia="Times New Roman" w:hAnsi="Times New Roman" w:cs="Times New Roman"/>
          <w:sz w:val="20"/>
          <w:szCs w:val="20"/>
          <w:vertAlign w:val="superscript"/>
          <w:lang w:val="en-GB"/>
        </w:rPr>
        <w:t>2</w:t>
      </w:r>
      <w:r w:rsidRPr="00ED5CEB">
        <w:rPr>
          <w:rFonts w:ascii="Times New Roman" w:eastAsia="Times New Roman" w:hAnsi="Times New Roman" w:cs="Times New Roman"/>
          <w:sz w:val="20"/>
          <w:szCs w:val="20"/>
          <w:vertAlign w:val="subscript"/>
          <w:lang w:val="en-GB"/>
        </w:rPr>
        <w:t>(383)</w:t>
      </w:r>
      <w:r w:rsidRPr="00ED5CEB">
        <w:rPr>
          <w:rFonts w:ascii="Times New Roman" w:eastAsia="Times New Roman" w:hAnsi="Times New Roman" w:cs="Times New Roman"/>
          <w:sz w:val="20"/>
          <w:szCs w:val="20"/>
          <w:lang w:val="en-GB"/>
        </w:rPr>
        <w:t xml:space="preserve"> = 3177.22, CFI = 0.91, TLI = 0.90, RMSEA = 0.06 [90% C.I. 0.06–0.08]; n = 4</w:t>
      </w:r>
      <w:r>
        <w:rPr>
          <w:rFonts w:ascii="Times New Roman" w:eastAsia="Times New Roman" w:hAnsi="Times New Roman" w:cs="Times New Roman"/>
          <w:sz w:val="20"/>
          <w:szCs w:val="20"/>
          <w:lang w:val="en-GB"/>
        </w:rPr>
        <w:t>32</w:t>
      </w:r>
      <w:r w:rsidRPr="00ED5CEB">
        <w:rPr>
          <w:rFonts w:ascii="Times New Roman" w:eastAsia="Times New Roman" w:hAnsi="Times New Roman" w:cs="Times New Roman"/>
          <w:sz w:val="20"/>
          <w:szCs w:val="20"/>
          <w:lang w:val="en-GB"/>
        </w:rPr>
        <w:t>.</w:t>
      </w:r>
    </w:p>
    <w:p w14:paraId="7078E7C6" w14:textId="77777777" w:rsidR="00E202A2" w:rsidRPr="00F23705" w:rsidRDefault="00E202A2" w:rsidP="00E202A2">
      <w:pPr>
        <w:spacing w:line="360" w:lineRule="auto"/>
        <w:jc w:val="both"/>
        <w:rPr>
          <w:b/>
          <w:bCs/>
          <w:sz w:val="20"/>
          <w:szCs w:val="20"/>
        </w:rPr>
      </w:pPr>
    </w:p>
    <w:p w14:paraId="696089A5" w14:textId="77777777" w:rsidR="00E202A2" w:rsidRDefault="00E202A2" w:rsidP="00E202A2">
      <w:pPr>
        <w:spacing w:after="200" w:line="276" w:lineRule="auto"/>
        <w:rPr>
          <w:b/>
          <w:bCs/>
        </w:rPr>
      </w:pPr>
      <w:r>
        <w:rPr>
          <w:b/>
          <w:bCs/>
        </w:rPr>
        <w:br w:type="page"/>
      </w:r>
    </w:p>
    <w:p w14:paraId="611CB1E8" w14:textId="6108E54F" w:rsidR="00E202A2" w:rsidRDefault="00E202A2" w:rsidP="00E202A2">
      <w:pPr>
        <w:jc w:val="both"/>
        <w:rPr>
          <w:b/>
          <w:bCs/>
        </w:rPr>
      </w:pPr>
      <w:r w:rsidRPr="00E202A2">
        <w:rPr>
          <w:b/>
          <w:bCs/>
        </w:rPr>
        <w:lastRenderedPageBreak/>
        <w:t xml:space="preserve">APPENDICES </w:t>
      </w:r>
    </w:p>
    <w:p w14:paraId="2D51E7D5" w14:textId="77777777" w:rsidR="00E202A2" w:rsidRPr="00E202A2" w:rsidRDefault="00E202A2" w:rsidP="00E202A2">
      <w:pPr>
        <w:jc w:val="both"/>
        <w:rPr>
          <w:b/>
          <w:bCs/>
        </w:rPr>
      </w:pPr>
    </w:p>
    <w:p w14:paraId="0C393C97" w14:textId="77777777" w:rsidR="00E202A2" w:rsidRDefault="00E202A2" w:rsidP="00E202A2">
      <w:pPr>
        <w:jc w:val="both"/>
        <w:rPr>
          <w:b/>
          <w:bCs/>
          <w:sz w:val="20"/>
          <w:szCs w:val="20"/>
        </w:rPr>
      </w:pPr>
    </w:p>
    <w:p w14:paraId="378D5C61" w14:textId="24E1F9CF" w:rsidR="00E202A2" w:rsidRPr="00F23705" w:rsidRDefault="00E202A2" w:rsidP="00E202A2">
      <w:pPr>
        <w:jc w:val="both"/>
      </w:pPr>
      <w:r w:rsidRPr="00F23705">
        <w:rPr>
          <w:b/>
          <w:bCs/>
          <w:sz w:val="20"/>
          <w:szCs w:val="20"/>
        </w:rPr>
        <w:t>Appendix A.</w:t>
      </w:r>
      <w:r w:rsidRPr="00F23705">
        <w:rPr>
          <w:sz w:val="20"/>
          <w:szCs w:val="20"/>
        </w:rPr>
        <w:t xml:space="preserve"> Descriptive statistics, factor loadings (completely standardi</w:t>
      </w:r>
      <w:r>
        <w:rPr>
          <w:sz w:val="20"/>
          <w:szCs w:val="20"/>
        </w:rPr>
        <w:t>s</w:t>
      </w:r>
      <w:r w:rsidRPr="00F23705">
        <w:rPr>
          <w:sz w:val="20"/>
          <w:szCs w:val="20"/>
        </w:rPr>
        <w:t>ed lambda X), explained variance on each item (</w:t>
      </w:r>
      <w:r w:rsidRPr="00F23705">
        <w:rPr>
          <w:i/>
          <w:iCs/>
          <w:sz w:val="20"/>
          <w:szCs w:val="20"/>
        </w:rPr>
        <w:t>R</w:t>
      </w:r>
      <w:r w:rsidRPr="00F23705">
        <w:rPr>
          <w:sz w:val="20"/>
          <w:szCs w:val="20"/>
          <w:vertAlign w:val="superscript"/>
        </w:rPr>
        <w:t>2</w:t>
      </w:r>
      <w:r w:rsidRPr="00F23705">
        <w:rPr>
          <w:sz w:val="20"/>
          <w:szCs w:val="20"/>
        </w:rPr>
        <w:t>)</w:t>
      </w:r>
      <w:r>
        <w:rPr>
          <w:sz w:val="20"/>
          <w:szCs w:val="20"/>
        </w:rPr>
        <w:t>.</w:t>
      </w:r>
    </w:p>
    <w:tbl>
      <w:tblPr>
        <w:tblW w:w="9682" w:type="dxa"/>
        <w:tblInd w:w="-459" w:type="dxa"/>
        <w:tblLayout w:type="fixed"/>
        <w:tblLook w:val="04A0" w:firstRow="1" w:lastRow="0" w:firstColumn="1" w:lastColumn="0" w:noHBand="0" w:noVBand="1"/>
      </w:tblPr>
      <w:tblGrid>
        <w:gridCol w:w="5220"/>
        <w:gridCol w:w="726"/>
        <w:gridCol w:w="726"/>
        <w:gridCol w:w="1539"/>
        <w:gridCol w:w="1471"/>
      </w:tblGrid>
      <w:tr w:rsidR="00E202A2" w:rsidRPr="00F23705" w14:paraId="048F3B32" w14:textId="77777777" w:rsidTr="0073206D">
        <w:trPr>
          <w:trHeight w:val="376"/>
        </w:trPr>
        <w:tc>
          <w:tcPr>
            <w:tcW w:w="5220" w:type="dxa"/>
            <w:tcBorders>
              <w:top w:val="single" w:sz="4" w:space="0" w:color="auto"/>
              <w:bottom w:val="single" w:sz="4" w:space="0" w:color="auto"/>
            </w:tcBorders>
            <w:vAlign w:val="center"/>
          </w:tcPr>
          <w:p w14:paraId="451DBC1F" w14:textId="77777777" w:rsidR="00E202A2" w:rsidRPr="00F23705"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F23705">
              <w:rPr>
                <w:rFonts w:ascii="Times New Roman" w:eastAsia="Times New Roman" w:hAnsi="Times New Roman" w:cs="Times New Roman"/>
                <w:color w:val="auto"/>
                <w:sz w:val="20"/>
                <w:szCs w:val="20"/>
                <w:lang w:val="en-GB"/>
              </w:rPr>
              <w:t>MEASUREMENTS</w:t>
            </w:r>
          </w:p>
        </w:tc>
        <w:tc>
          <w:tcPr>
            <w:tcW w:w="726" w:type="dxa"/>
            <w:tcBorders>
              <w:top w:val="single" w:sz="4" w:space="0" w:color="auto"/>
              <w:bottom w:val="single" w:sz="4" w:space="0" w:color="auto"/>
            </w:tcBorders>
            <w:vAlign w:val="center"/>
          </w:tcPr>
          <w:p w14:paraId="20C6C4A9" w14:textId="77777777" w:rsidR="00E202A2" w:rsidRPr="00F23705"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F23705">
              <w:rPr>
                <w:rFonts w:ascii="Times New Roman" w:hAnsi="Times New Roman" w:cs="Times New Roman"/>
                <w:color w:val="auto"/>
                <w:sz w:val="20"/>
                <w:szCs w:val="20"/>
                <w:lang w:val="en-GB"/>
              </w:rPr>
              <w:t>(</w:t>
            </w:r>
            <w:proofErr w:type="spellStart"/>
            <w:r w:rsidRPr="00F23705">
              <w:rPr>
                <w:rFonts w:ascii="Times New Roman" w:hAnsi="Times New Roman" w:cs="Times New Roman"/>
                <w:color w:val="auto"/>
                <w:sz w:val="20"/>
                <w:szCs w:val="20"/>
                <w:lang w:val="en-GB"/>
              </w:rPr>
              <w:t>λ</w:t>
            </w:r>
            <w:proofErr w:type="gramStart"/>
            <w:r w:rsidRPr="00F23705">
              <w:rPr>
                <w:rFonts w:ascii="Times New Roman" w:hAnsi="Times New Roman" w:cs="Times New Roman"/>
                <w:color w:val="auto"/>
                <w:sz w:val="20"/>
                <w:szCs w:val="20"/>
                <w:vertAlign w:val="subscript"/>
                <w:lang w:val="en-GB"/>
              </w:rPr>
              <w:t>x</w:t>
            </w:r>
            <w:proofErr w:type="spellEnd"/>
            <w:r w:rsidRPr="00F23705">
              <w:rPr>
                <w:rFonts w:ascii="Times New Roman" w:hAnsi="Times New Roman" w:cs="Times New Roman"/>
                <w:color w:val="auto"/>
                <w:sz w:val="20"/>
                <w:szCs w:val="20"/>
                <w:lang w:val="en-GB"/>
              </w:rPr>
              <w:t>)</w:t>
            </w:r>
            <w:r w:rsidRPr="00F23705">
              <w:rPr>
                <w:rFonts w:ascii="Times New Roman" w:hAnsi="Times New Roman" w:cs="Times New Roman"/>
                <w:color w:val="auto"/>
                <w:sz w:val="20"/>
                <w:szCs w:val="20"/>
                <w:vertAlign w:val="superscript"/>
                <w:lang w:val="en-GB"/>
              </w:rPr>
              <w:t>b</w:t>
            </w:r>
            <w:proofErr w:type="gramEnd"/>
          </w:p>
        </w:tc>
        <w:tc>
          <w:tcPr>
            <w:tcW w:w="726" w:type="dxa"/>
            <w:tcBorders>
              <w:top w:val="single" w:sz="4" w:space="0" w:color="auto"/>
              <w:bottom w:val="single" w:sz="4" w:space="0" w:color="auto"/>
            </w:tcBorders>
            <w:vAlign w:val="center"/>
          </w:tcPr>
          <w:p w14:paraId="0473413E" w14:textId="77777777" w:rsidR="00E202A2" w:rsidRPr="00F23705"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F23705">
              <w:rPr>
                <w:rFonts w:ascii="Times New Roman" w:eastAsia="Times New Roman" w:hAnsi="Times New Roman" w:cs="Times New Roman"/>
                <w:i/>
                <w:iCs/>
                <w:color w:val="auto"/>
                <w:sz w:val="20"/>
                <w:szCs w:val="20"/>
                <w:lang w:val="en-GB"/>
              </w:rPr>
              <w:t>R</w:t>
            </w:r>
            <w:r w:rsidRPr="00F23705">
              <w:rPr>
                <w:rFonts w:ascii="Times New Roman" w:eastAsia="Times New Roman" w:hAnsi="Times New Roman" w:cs="Times New Roman"/>
                <w:color w:val="auto"/>
                <w:sz w:val="20"/>
                <w:szCs w:val="20"/>
                <w:vertAlign w:val="superscript"/>
                <w:lang w:val="en-GB"/>
              </w:rPr>
              <w:t>2</w:t>
            </w:r>
          </w:p>
        </w:tc>
        <w:tc>
          <w:tcPr>
            <w:tcW w:w="1539" w:type="dxa"/>
            <w:tcBorders>
              <w:top w:val="single" w:sz="4" w:space="0" w:color="auto"/>
              <w:bottom w:val="single" w:sz="4" w:space="0" w:color="auto"/>
            </w:tcBorders>
            <w:vAlign w:val="center"/>
          </w:tcPr>
          <w:p w14:paraId="549AA3B1" w14:textId="77777777" w:rsidR="00E202A2" w:rsidRPr="00F23705"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F23705">
              <w:rPr>
                <w:rFonts w:ascii="Times New Roman" w:eastAsia="Times New Roman" w:hAnsi="Times New Roman" w:cs="Times New Roman"/>
                <w:color w:val="auto"/>
                <w:sz w:val="20"/>
                <w:szCs w:val="20"/>
                <w:lang w:val="en-GB"/>
              </w:rPr>
              <w:t>Mean (SD)</w:t>
            </w:r>
          </w:p>
        </w:tc>
        <w:tc>
          <w:tcPr>
            <w:tcW w:w="1471" w:type="dxa"/>
            <w:tcBorders>
              <w:top w:val="single" w:sz="4" w:space="0" w:color="auto"/>
              <w:bottom w:val="single" w:sz="4" w:space="0" w:color="auto"/>
            </w:tcBorders>
            <w:vAlign w:val="center"/>
          </w:tcPr>
          <w:p w14:paraId="4B8691AB" w14:textId="77777777" w:rsidR="00E202A2" w:rsidRPr="00F23705"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r>
              <w:rPr>
                <w:rFonts w:ascii="Times New Roman" w:hAnsi="Times New Roman" w:cs="Times New Roman"/>
                <w:sz w:val="20"/>
                <w:szCs w:val="20"/>
                <w:lang w:val="en-GB"/>
              </w:rPr>
              <w:t>Author</w:t>
            </w:r>
          </w:p>
        </w:tc>
      </w:tr>
      <w:tr w:rsidR="00E202A2" w:rsidRPr="00F23705" w14:paraId="03265FFA" w14:textId="77777777" w:rsidTr="0073206D">
        <w:trPr>
          <w:trHeight w:val="258"/>
        </w:trPr>
        <w:tc>
          <w:tcPr>
            <w:tcW w:w="5220" w:type="dxa"/>
            <w:tcBorders>
              <w:top w:val="single" w:sz="4" w:space="0" w:color="auto"/>
            </w:tcBorders>
          </w:tcPr>
          <w:p w14:paraId="05DE9A20" w14:textId="77777777" w:rsidR="00E202A2" w:rsidRPr="003F3104" w:rsidRDefault="00E202A2" w:rsidP="0073206D">
            <w:pPr>
              <w:pStyle w:val="Normal1"/>
              <w:spacing w:line="240" w:lineRule="auto"/>
              <w:jc w:val="both"/>
              <w:outlineLvl w:val="0"/>
              <w:rPr>
                <w:rFonts w:ascii="Times New Roman" w:eastAsia="Times New Roman" w:hAnsi="Times New Roman" w:cs="Times New Roman"/>
                <w:i/>
                <w:iCs/>
                <w:sz w:val="20"/>
                <w:szCs w:val="20"/>
                <w:lang w:val="en-GB"/>
              </w:rPr>
            </w:pPr>
            <w:r w:rsidRPr="003F3104">
              <w:rPr>
                <w:rFonts w:ascii="Times New Roman" w:eastAsia="Cardo" w:hAnsi="Times New Roman" w:cs="Times New Roman"/>
                <w:i/>
                <w:iCs/>
                <w:lang w:val="en-GB"/>
              </w:rPr>
              <w:t>Vertical individualism</w:t>
            </w:r>
            <w:r w:rsidRPr="00F23705">
              <w:rPr>
                <w:rFonts w:ascii="Times New Roman" w:eastAsia="Times New Roman" w:hAnsi="Times New Roman" w:cs="Times New Roman"/>
                <w:color w:val="auto"/>
                <w:sz w:val="20"/>
                <w:szCs w:val="20"/>
                <w:shd w:val="clear" w:color="auto" w:fill="FFFFFF"/>
              </w:rPr>
              <w:t>†</w:t>
            </w:r>
          </w:p>
        </w:tc>
        <w:tc>
          <w:tcPr>
            <w:tcW w:w="726" w:type="dxa"/>
            <w:tcBorders>
              <w:top w:val="single" w:sz="4" w:space="0" w:color="auto"/>
            </w:tcBorders>
          </w:tcPr>
          <w:p w14:paraId="47CB7080"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tc>
        <w:tc>
          <w:tcPr>
            <w:tcW w:w="726" w:type="dxa"/>
            <w:tcBorders>
              <w:top w:val="single" w:sz="4" w:space="0" w:color="auto"/>
            </w:tcBorders>
          </w:tcPr>
          <w:p w14:paraId="62A7C526"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tc>
        <w:tc>
          <w:tcPr>
            <w:tcW w:w="1539" w:type="dxa"/>
            <w:tcBorders>
              <w:top w:val="single" w:sz="4" w:space="0" w:color="auto"/>
            </w:tcBorders>
          </w:tcPr>
          <w:p w14:paraId="59433D29"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tc>
        <w:tc>
          <w:tcPr>
            <w:tcW w:w="1471" w:type="dxa"/>
            <w:vMerge w:val="restart"/>
            <w:tcBorders>
              <w:top w:val="single" w:sz="4" w:space="0" w:color="auto"/>
            </w:tcBorders>
          </w:tcPr>
          <w:p w14:paraId="038E3F7D" w14:textId="77777777" w:rsidR="00E202A2" w:rsidRPr="003F3104" w:rsidRDefault="00E202A2" w:rsidP="0073206D">
            <w:pPr>
              <w:jc w:val="both"/>
              <w:rPr>
                <w:sz w:val="20"/>
                <w:szCs w:val="20"/>
              </w:rPr>
            </w:pPr>
            <w:r w:rsidRPr="003F3104">
              <w:rPr>
                <w:sz w:val="20"/>
                <w:szCs w:val="20"/>
              </w:rPr>
              <w:fldChar w:fldCharType="begin"/>
            </w:r>
            <w:r w:rsidRPr="003F3104">
              <w:rPr>
                <w:sz w:val="20"/>
                <w:szCs w:val="20"/>
                <w:lang w:val="pl-PL"/>
              </w:rPr>
              <w:instrText xml:space="preserve"> ADDIN EN.CITE &lt;EndNote&gt;&lt;Cite&gt;&lt;Author&gt;Sivadasa&lt;/Author&gt;&lt;Year&gt;2008&lt;/Year&gt;&lt;RecNum&gt;700&lt;/RecNum&gt;&lt;DisplayText&gt;(Sivadasa et al., 2008)&lt;/DisplayText&gt;&lt;record&gt;&lt;rec-number&gt;700&lt;/rec-number&gt;&lt;foreign-keys&gt;&lt;key app="EN" db-id="e99tpwtz9dt509e2z5sxsdt2dezd0dftfspz" timestamp="0"&gt;700&lt;/key&gt;&lt;/foreign-keys&gt;&lt;ref-type name="Journal Article"&gt;17&lt;/ref-type&gt;&lt;contributors&gt;&lt;authors&gt;&lt;author&gt;Eugene Sivadasa&lt;/author&gt;&lt;author&gt;Norman T Bruvoldb&lt;/author&gt;&lt;author&gt;Michelle R Nelsonc&lt;/author&gt;&lt;/authors&gt;&lt;/contributors&gt;&lt;titles&gt;&lt;title&gt;A reduced version of the horizontal and vertical individualism and collectivism scale: A four-country assessment&lt;/title&gt;&lt;secondary-title&gt;Journal of Business Research&lt;/secondary-title&gt;&lt;/titles&gt;&lt;periodical&gt;&lt;full-title&gt;Journal of Business Research&lt;/full-title&gt;&lt;/periodical&gt;&lt;pages&gt;201-210&lt;/pages&gt;&lt;volume&gt;61&lt;/volume&gt;&lt;number&gt;3&lt;/number&gt;&lt;dates&gt;&lt;year&gt;2008&lt;/year&gt;&lt;/dates&gt;&lt;urls&gt;&lt;/urls&gt;&lt;/record&gt;&lt;/Cite&gt;&lt;/EndNote&gt;</w:instrText>
            </w:r>
            <w:r w:rsidRPr="003F3104">
              <w:rPr>
                <w:sz w:val="20"/>
                <w:szCs w:val="20"/>
              </w:rPr>
              <w:fldChar w:fldCharType="separate"/>
            </w:r>
            <w:r w:rsidRPr="003F3104">
              <w:rPr>
                <w:noProof/>
                <w:sz w:val="20"/>
                <w:szCs w:val="20"/>
                <w:lang w:val="pl-PL"/>
              </w:rPr>
              <w:t>(</w:t>
            </w:r>
            <w:hyperlink w:anchor="_ENREF_4" w:tooltip="Sivadasa, 2008 #700" w:history="1">
              <w:r w:rsidRPr="003F3104">
                <w:rPr>
                  <w:noProof/>
                  <w:sz w:val="20"/>
                  <w:szCs w:val="20"/>
                  <w:lang w:val="pl-PL"/>
                </w:rPr>
                <w:t>Sivadas et al., 2008</w:t>
              </w:r>
            </w:hyperlink>
            <w:r w:rsidRPr="003F3104">
              <w:rPr>
                <w:noProof/>
                <w:sz w:val="20"/>
                <w:szCs w:val="20"/>
                <w:lang w:val="pl-PL"/>
              </w:rPr>
              <w:t>)</w:t>
            </w:r>
            <w:r w:rsidRPr="003F3104">
              <w:rPr>
                <w:sz w:val="20"/>
                <w:szCs w:val="20"/>
              </w:rPr>
              <w:fldChar w:fldCharType="end"/>
            </w:r>
          </w:p>
        </w:tc>
      </w:tr>
      <w:tr w:rsidR="00E202A2" w:rsidRPr="003F3104" w14:paraId="6E4BE450" w14:textId="77777777" w:rsidTr="0073206D">
        <w:trPr>
          <w:trHeight w:val="258"/>
        </w:trPr>
        <w:tc>
          <w:tcPr>
            <w:tcW w:w="5220" w:type="dxa"/>
          </w:tcPr>
          <w:p w14:paraId="723CAAD2" w14:textId="77777777" w:rsidR="00E202A2" w:rsidRPr="003F3104" w:rsidRDefault="00E202A2" w:rsidP="0073206D">
            <w:pPr>
              <w:pStyle w:val="Normal1"/>
              <w:spacing w:line="240" w:lineRule="auto"/>
              <w:jc w:val="both"/>
              <w:outlineLvl w:val="0"/>
              <w:rPr>
                <w:rFonts w:ascii="Times New Roman" w:hAnsi="Times New Roman" w:cs="Times New Roman"/>
                <w:sz w:val="20"/>
                <w:szCs w:val="20"/>
              </w:rPr>
            </w:pPr>
            <w:r w:rsidRPr="003F3104">
              <w:rPr>
                <w:rFonts w:ascii="Times New Roman" w:hAnsi="Times New Roman" w:cs="Times New Roman"/>
                <w:sz w:val="20"/>
                <w:szCs w:val="20"/>
              </w:rPr>
              <w:t>I enjoy working in situations involving competition with others.</w:t>
            </w:r>
          </w:p>
          <w:p w14:paraId="1C72328E" w14:textId="77777777" w:rsidR="00E202A2" w:rsidRPr="003F3104" w:rsidRDefault="00E202A2" w:rsidP="0073206D">
            <w:pPr>
              <w:pStyle w:val="Normal1"/>
              <w:spacing w:line="240" w:lineRule="auto"/>
              <w:jc w:val="both"/>
              <w:outlineLvl w:val="0"/>
              <w:rPr>
                <w:rFonts w:ascii="Times New Roman" w:hAnsi="Times New Roman" w:cs="Times New Roman"/>
                <w:sz w:val="20"/>
                <w:szCs w:val="20"/>
              </w:rPr>
            </w:pPr>
            <w:r w:rsidRPr="003F3104">
              <w:rPr>
                <w:rFonts w:ascii="Times New Roman" w:hAnsi="Times New Roman" w:cs="Times New Roman"/>
                <w:sz w:val="20"/>
                <w:szCs w:val="20"/>
              </w:rPr>
              <w:t>Competition is the law of nature.</w:t>
            </w:r>
          </w:p>
          <w:p w14:paraId="640A2A28" w14:textId="77777777" w:rsidR="00E202A2" w:rsidRPr="003F3104"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3F3104">
              <w:rPr>
                <w:rFonts w:ascii="Times New Roman" w:hAnsi="Times New Roman" w:cs="Times New Roman"/>
                <w:sz w:val="20"/>
                <w:szCs w:val="20"/>
              </w:rPr>
              <w:t>Without competition it is not possible to have a good society.</w:t>
            </w:r>
          </w:p>
        </w:tc>
        <w:tc>
          <w:tcPr>
            <w:tcW w:w="726" w:type="dxa"/>
          </w:tcPr>
          <w:p w14:paraId="75001FB0"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0.83</w:t>
            </w:r>
          </w:p>
          <w:p w14:paraId="20CC9701"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63C9C2C6"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0.90</w:t>
            </w:r>
          </w:p>
          <w:p w14:paraId="4E4215B9"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0.92</w:t>
            </w:r>
          </w:p>
        </w:tc>
        <w:tc>
          <w:tcPr>
            <w:tcW w:w="726" w:type="dxa"/>
          </w:tcPr>
          <w:p w14:paraId="58483458"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0.69</w:t>
            </w:r>
          </w:p>
          <w:p w14:paraId="650D0183"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3EFFEDDC"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0.81</w:t>
            </w:r>
          </w:p>
          <w:p w14:paraId="7B54E0A4"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0.84</w:t>
            </w:r>
          </w:p>
        </w:tc>
        <w:tc>
          <w:tcPr>
            <w:tcW w:w="1539" w:type="dxa"/>
          </w:tcPr>
          <w:p w14:paraId="023AFDFA"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4.63 (1.84)</w:t>
            </w:r>
          </w:p>
          <w:p w14:paraId="2C2DFFD1"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7BBBBDE8"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4.24 (1.70)</w:t>
            </w:r>
          </w:p>
          <w:p w14:paraId="6C715AF9"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4.31 (1.64)</w:t>
            </w:r>
          </w:p>
        </w:tc>
        <w:tc>
          <w:tcPr>
            <w:tcW w:w="1471" w:type="dxa"/>
            <w:vMerge/>
          </w:tcPr>
          <w:p w14:paraId="53BBFFA9" w14:textId="77777777" w:rsidR="00E202A2" w:rsidRPr="003F310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tc>
      </w:tr>
      <w:tr w:rsidR="00E202A2" w:rsidRPr="003F3104" w14:paraId="73DE4670" w14:textId="77777777" w:rsidTr="0073206D">
        <w:trPr>
          <w:trHeight w:val="258"/>
        </w:trPr>
        <w:tc>
          <w:tcPr>
            <w:tcW w:w="5220" w:type="dxa"/>
            <w:tcBorders>
              <w:top w:val="dotted" w:sz="4" w:space="0" w:color="A6A6A6" w:themeColor="background1" w:themeShade="A6"/>
            </w:tcBorders>
          </w:tcPr>
          <w:p w14:paraId="7082BCCF" w14:textId="77777777" w:rsidR="00E202A2" w:rsidRPr="003F3104" w:rsidRDefault="00E202A2" w:rsidP="0073206D">
            <w:pPr>
              <w:pStyle w:val="Normal1"/>
              <w:spacing w:line="240" w:lineRule="auto"/>
              <w:jc w:val="both"/>
              <w:outlineLvl w:val="0"/>
              <w:rPr>
                <w:rFonts w:ascii="Times New Roman" w:hAnsi="Times New Roman" w:cs="Times New Roman"/>
                <w:b/>
                <w:i/>
                <w:iCs/>
                <w:color w:val="666666"/>
                <w:sz w:val="20"/>
                <w:szCs w:val="20"/>
                <w:lang w:val="en-GB"/>
              </w:rPr>
            </w:pPr>
            <w:r w:rsidRPr="003F3104">
              <w:rPr>
                <w:rFonts w:ascii="Times New Roman" w:eastAsia="Cardo" w:hAnsi="Times New Roman" w:cs="Times New Roman"/>
                <w:i/>
                <w:iCs/>
                <w:lang w:val="en-GB"/>
              </w:rPr>
              <w:t>Horizontal individualism</w:t>
            </w:r>
            <w:r w:rsidRPr="00F23705">
              <w:rPr>
                <w:rFonts w:ascii="Times New Roman" w:eastAsia="Times New Roman" w:hAnsi="Times New Roman" w:cs="Times New Roman"/>
                <w:color w:val="auto"/>
                <w:sz w:val="20"/>
                <w:szCs w:val="20"/>
                <w:shd w:val="clear" w:color="auto" w:fill="FFFFFF"/>
              </w:rPr>
              <w:t>†</w:t>
            </w:r>
          </w:p>
        </w:tc>
        <w:tc>
          <w:tcPr>
            <w:tcW w:w="726" w:type="dxa"/>
            <w:tcBorders>
              <w:top w:val="dotted" w:sz="4" w:space="0" w:color="A6A6A6" w:themeColor="background1" w:themeShade="A6"/>
            </w:tcBorders>
          </w:tcPr>
          <w:p w14:paraId="629232D4"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iCs/>
                <w:color w:val="auto"/>
                <w:sz w:val="20"/>
                <w:szCs w:val="20"/>
                <w:lang w:val="en-GB"/>
              </w:rPr>
            </w:pPr>
          </w:p>
        </w:tc>
        <w:tc>
          <w:tcPr>
            <w:tcW w:w="726" w:type="dxa"/>
            <w:tcBorders>
              <w:top w:val="dotted" w:sz="4" w:space="0" w:color="A6A6A6" w:themeColor="background1" w:themeShade="A6"/>
            </w:tcBorders>
          </w:tcPr>
          <w:p w14:paraId="1DB4E2EF"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iCs/>
                <w:color w:val="auto"/>
                <w:sz w:val="20"/>
                <w:szCs w:val="20"/>
                <w:lang w:val="en-GB"/>
              </w:rPr>
            </w:pPr>
          </w:p>
        </w:tc>
        <w:tc>
          <w:tcPr>
            <w:tcW w:w="1539" w:type="dxa"/>
            <w:tcBorders>
              <w:top w:val="dotted" w:sz="4" w:space="0" w:color="A6A6A6" w:themeColor="background1" w:themeShade="A6"/>
            </w:tcBorders>
          </w:tcPr>
          <w:p w14:paraId="3F729E3A"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iCs/>
                <w:color w:val="auto"/>
                <w:sz w:val="20"/>
                <w:szCs w:val="20"/>
                <w:lang w:val="en-GB"/>
              </w:rPr>
            </w:pPr>
          </w:p>
        </w:tc>
        <w:tc>
          <w:tcPr>
            <w:tcW w:w="1471" w:type="dxa"/>
            <w:vMerge w:val="restart"/>
            <w:tcBorders>
              <w:top w:val="dotted" w:sz="4" w:space="0" w:color="A6A6A6" w:themeColor="background1" w:themeShade="A6"/>
            </w:tcBorders>
          </w:tcPr>
          <w:p w14:paraId="2B2CE1C7" w14:textId="77777777" w:rsidR="00E202A2" w:rsidRPr="003F3104" w:rsidRDefault="00E202A2" w:rsidP="0073206D">
            <w:pPr>
              <w:pStyle w:val="Normal1"/>
              <w:spacing w:line="240" w:lineRule="auto"/>
              <w:jc w:val="both"/>
              <w:outlineLvl w:val="0"/>
              <w:rPr>
                <w:rFonts w:ascii="Times New Roman" w:eastAsia="Times New Roman" w:hAnsi="Times New Roman" w:cs="Times New Roman"/>
                <w:b/>
                <w:i/>
                <w:iCs/>
                <w:color w:val="auto"/>
                <w:sz w:val="20"/>
                <w:szCs w:val="20"/>
                <w:lang w:val="en-GB"/>
              </w:rPr>
            </w:pPr>
            <w:r w:rsidRPr="002E46A6">
              <w:rPr>
                <w:rFonts w:ascii="Times New Roman" w:hAnsi="Times New Roman" w:cs="Times New Roman"/>
                <w:sz w:val="20"/>
                <w:szCs w:val="20"/>
              </w:rPr>
              <w:fldChar w:fldCharType="begin"/>
            </w:r>
            <w:r w:rsidRPr="002E46A6">
              <w:rPr>
                <w:rFonts w:ascii="Times New Roman" w:hAnsi="Times New Roman" w:cs="Times New Roman"/>
                <w:sz w:val="20"/>
                <w:szCs w:val="20"/>
                <w:lang w:val="pl-PL"/>
              </w:rPr>
              <w:instrText xml:space="preserve"> ADDIN EN.CITE &lt;EndNote&gt;&lt;Cite&gt;&lt;Author&gt;Sivadasa&lt;/Author&gt;&lt;Year&gt;2008&lt;/Year&gt;&lt;RecNum&gt;700&lt;/RecNum&gt;&lt;DisplayText&gt;(Sivadasa et al., 2008)&lt;/DisplayText&gt;&lt;record&gt;&lt;rec-number&gt;700&lt;/rec-number&gt;&lt;foreign-keys&gt;&lt;key app="EN" db-id="e99tpwtz9dt509e2z5sxsdt2dezd0dftfspz" timestamp="0"&gt;700&lt;/key&gt;&lt;/foreign-keys&gt;&lt;ref-type name="Journal Article"&gt;17&lt;/ref-type&gt;&lt;contributors&gt;&lt;authors&gt;&lt;author&gt;Eugene Sivadasa&lt;/author&gt;&lt;author&gt;Norman T Bruvoldb&lt;/author&gt;&lt;author&gt;Michelle R Nelsonc&lt;/author&gt;&lt;/authors&gt;&lt;/contributors&gt;&lt;titles&gt;&lt;title&gt;A reduced version of the horizontal and vertical individualism and collectivism scale: A four-country assessment&lt;/title&gt;&lt;secondary-title&gt;Journal of Business Research&lt;/secondary-title&gt;&lt;/titles&gt;&lt;periodical&gt;&lt;full-title&gt;Journal of Business Research&lt;/full-title&gt;&lt;/periodical&gt;&lt;pages&gt;201-210&lt;/pages&gt;&lt;volume&gt;61&lt;/volume&gt;&lt;number&gt;3&lt;/number&gt;&lt;dates&gt;&lt;year&gt;2008&lt;/year&gt;&lt;/dates&gt;&lt;urls&gt;&lt;/urls&gt;&lt;/record&gt;&lt;/Cite&gt;&lt;/EndNote&gt;</w:instrText>
            </w:r>
            <w:r w:rsidRPr="002E46A6">
              <w:rPr>
                <w:rFonts w:ascii="Times New Roman" w:hAnsi="Times New Roman" w:cs="Times New Roman"/>
                <w:sz w:val="20"/>
                <w:szCs w:val="20"/>
              </w:rPr>
              <w:fldChar w:fldCharType="separate"/>
            </w:r>
            <w:r w:rsidRPr="002E46A6">
              <w:rPr>
                <w:rFonts w:ascii="Times New Roman" w:hAnsi="Times New Roman" w:cs="Times New Roman"/>
                <w:noProof/>
                <w:sz w:val="20"/>
                <w:szCs w:val="20"/>
                <w:lang w:val="pl-PL"/>
              </w:rPr>
              <w:t>(</w:t>
            </w:r>
            <w:hyperlink w:anchor="_ENREF_4" w:tooltip="Sivadasa, 2008 #700" w:history="1">
              <w:r w:rsidRPr="002E46A6">
                <w:rPr>
                  <w:rFonts w:ascii="Times New Roman" w:hAnsi="Times New Roman" w:cs="Times New Roman"/>
                  <w:noProof/>
                  <w:sz w:val="20"/>
                  <w:szCs w:val="20"/>
                  <w:lang w:val="pl-PL"/>
                </w:rPr>
                <w:t>Sivadas et al., 2008</w:t>
              </w:r>
            </w:hyperlink>
            <w:r w:rsidRPr="002E46A6">
              <w:rPr>
                <w:rFonts w:ascii="Times New Roman" w:hAnsi="Times New Roman" w:cs="Times New Roman"/>
                <w:noProof/>
                <w:sz w:val="20"/>
                <w:szCs w:val="20"/>
                <w:lang w:val="pl-PL"/>
              </w:rPr>
              <w:t>)</w:t>
            </w:r>
            <w:r w:rsidRPr="002E46A6">
              <w:rPr>
                <w:rFonts w:ascii="Times New Roman" w:hAnsi="Times New Roman" w:cs="Times New Roman"/>
                <w:sz w:val="20"/>
                <w:szCs w:val="20"/>
              </w:rPr>
              <w:fldChar w:fldCharType="end"/>
            </w:r>
          </w:p>
        </w:tc>
      </w:tr>
      <w:tr w:rsidR="00E202A2" w:rsidRPr="00F23705" w14:paraId="55B6EE48" w14:textId="77777777" w:rsidTr="0073206D">
        <w:trPr>
          <w:trHeight w:val="167"/>
        </w:trPr>
        <w:tc>
          <w:tcPr>
            <w:tcW w:w="5220" w:type="dxa"/>
          </w:tcPr>
          <w:p w14:paraId="31412AE7" w14:textId="77777777" w:rsidR="00E202A2" w:rsidRDefault="00E202A2" w:rsidP="0073206D">
            <w:pPr>
              <w:jc w:val="both"/>
              <w:rPr>
                <w:sz w:val="20"/>
                <w:szCs w:val="20"/>
              </w:rPr>
            </w:pPr>
            <w:r w:rsidRPr="00104523">
              <w:rPr>
                <w:sz w:val="20"/>
                <w:szCs w:val="20"/>
              </w:rPr>
              <w:t>I enjoy being unique and different from others in many ways.</w:t>
            </w:r>
          </w:p>
          <w:p w14:paraId="2C17AF45" w14:textId="77777777" w:rsidR="00E202A2" w:rsidRDefault="00E202A2" w:rsidP="0073206D">
            <w:pPr>
              <w:jc w:val="both"/>
              <w:rPr>
                <w:sz w:val="20"/>
                <w:szCs w:val="20"/>
              </w:rPr>
            </w:pPr>
            <w:r w:rsidRPr="00104523">
              <w:rPr>
                <w:sz w:val="20"/>
                <w:szCs w:val="20"/>
              </w:rPr>
              <w:t>I often “do my own thing"</w:t>
            </w:r>
            <w:r>
              <w:rPr>
                <w:sz w:val="20"/>
                <w:szCs w:val="20"/>
              </w:rPr>
              <w:t>.</w:t>
            </w:r>
          </w:p>
          <w:p w14:paraId="23ABAB42" w14:textId="77777777" w:rsidR="00E202A2" w:rsidRPr="00F23705" w:rsidRDefault="00E202A2" w:rsidP="0073206D">
            <w:pPr>
              <w:jc w:val="both"/>
              <w:rPr>
                <w:rFonts w:eastAsia="Arial"/>
                <w:b/>
                <w:i/>
                <w:color w:val="666666"/>
                <w:sz w:val="20"/>
                <w:szCs w:val="20"/>
              </w:rPr>
            </w:pPr>
            <w:r w:rsidRPr="00104523">
              <w:rPr>
                <w:sz w:val="20"/>
                <w:szCs w:val="20"/>
              </w:rPr>
              <w:t>I am a unique individual.</w:t>
            </w:r>
          </w:p>
        </w:tc>
        <w:tc>
          <w:tcPr>
            <w:tcW w:w="726" w:type="dxa"/>
          </w:tcPr>
          <w:p w14:paraId="0BD5B781"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0.83</w:t>
            </w:r>
          </w:p>
          <w:p w14:paraId="20ED9001"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0.87</w:t>
            </w:r>
          </w:p>
          <w:p w14:paraId="54BA3C6C" w14:textId="77777777" w:rsidR="00E202A2" w:rsidRPr="001F3AB4"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1F3AB4">
              <w:rPr>
                <w:rFonts w:ascii="Times New Roman" w:eastAsia="Times New Roman" w:hAnsi="Times New Roman" w:cs="Times New Roman"/>
                <w:bCs/>
                <w:iCs/>
                <w:color w:val="auto"/>
                <w:sz w:val="20"/>
                <w:szCs w:val="20"/>
                <w:lang w:val="en-GB"/>
              </w:rPr>
              <w:t>0.86</w:t>
            </w:r>
          </w:p>
        </w:tc>
        <w:tc>
          <w:tcPr>
            <w:tcW w:w="726" w:type="dxa"/>
          </w:tcPr>
          <w:p w14:paraId="07ACCEB5" w14:textId="77777777" w:rsidR="00E202A2" w:rsidRPr="001F3AB4"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1F3AB4">
              <w:rPr>
                <w:rFonts w:ascii="Times New Roman" w:eastAsia="Times New Roman" w:hAnsi="Times New Roman" w:cs="Times New Roman"/>
                <w:bCs/>
                <w:iCs/>
                <w:color w:val="auto"/>
                <w:sz w:val="20"/>
                <w:szCs w:val="20"/>
                <w:lang w:val="en-GB"/>
              </w:rPr>
              <w:t>0.68</w:t>
            </w:r>
          </w:p>
          <w:p w14:paraId="0B82B692" w14:textId="77777777" w:rsidR="00E202A2" w:rsidRPr="001F3AB4"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1F3AB4">
              <w:rPr>
                <w:rFonts w:ascii="Times New Roman" w:eastAsia="Times New Roman" w:hAnsi="Times New Roman" w:cs="Times New Roman"/>
                <w:bCs/>
                <w:iCs/>
                <w:color w:val="auto"/>
                <w:sz w:val="20"/>
                <w:szCs w:val="20"/>
                <w:lang w:val="en-GB"/>
              </w:rPr>
              <w:t>0.75</w:t>
            </w:r>
          </w:p>
          <w:p w14:paraId="30A2B716" w14:textId="77777777" w:rsidR="00E202A2" w:rsidRPr="001F3AB4"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1F3AB4">
              <w:rPr>
                <w:rFonts w:ascii="Times New Roman" w:eastAsia="Times New Roman" w:hAnsi="Times New Roman" w:cs="Times New Roman"/>
                <w:bCs/>
                <w:iCs/>
                <w:color w:val="auto"/>
                <w:sz w:val="20"/>
                <w:szCs w:val="20"/>
                <w:lang w:val="en-GB"/>
              </w:rPr>
              <w:t>0.74</w:t>
            </w:r>
          </w:p>
        </w:tc>
        <w:tc>
          <w:tcPr>
            <w:tcW w:w="1539" w:type="dxa"/>
          </w:tcPr>
          <w:p w14:paraId="6D569BBC"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4.34 (1.64)</w:t>
            </w:r>
          </w:p>
          <w:p w14:paraId="2EA165D9"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4.24 (1.75)</w:t>
            </w:r>
          </w:p>
          <w:p w14:paraId="00CCF4B3"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4.36 (1.72)</w:t>
            </w:r>
          </w:p>
        </w:tc>
        <w:tc>
          <w:tcPr>
            <w:tcW w:w="1471" w:type="dxa"/>
            <w:vMerge/>
          </w:tcPr>
          <w:p w14:paraId="51D439B6" w14:textId="77777777" w:rsidR="00E202A2" w:rsidRPr="00F23705"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tc>
      </w:tr>
      <w:tr w:rsidR="00E202A2" w:rsidRPr="003F3104" w14:paraId="3D819524" w14:textId="77777777" w:rsidTr="0073206D">
        <w:trPr>
          <w:trHeight w:val="258"/>
        </w:trPr>
        <w:tc>
          <w:tcPr>
            <w:tcW w:w="5220" w:type="dxa"/>
            <w:tcBorders>
              <w:top w:val="dotted" w:sz="4" w:space="0" w:color="A6A6A6" w:themeColor="background1" w:themeShade="A6"/>
            </w:tcBorders>
          </w:tcPr>
          <w:p w14:paraId="65E02C6D" w14:textId="77777777" w:rsidR="00E202A2" w:rsidRPr="003F3104" w:rsidRDefault="00E202A2" w:rsidP="0073206D">
            <w:pPr>
              <w:jc w:val="both"/>
              <w:rPr>
                <w:rFonts w:eastAsia="Arial"/>
                <w:b/>
                <w:i/>
                <w:color w:val="666666"/>
                <w:sz w:val="20"/>
                <w:szCs w:val="20"/>
              </w:rPr>
            </w:pPr>
            <w:r w:rsidRPr="003F3104">
              <w:rPr>
                <w:rFonts w:eastAsia="Times New Roman,Times New Roman"/>
                <w:bCs/>
                <w:i/>
                <w:sz w:val="20"/>
                <w:szCs w:val="20"/>
              </w:rPr>
              <w:t>Vertical collectivism</w:t>
            </w:r>
            <w:r w:rsidRPr="00F23705">
              <w:rPr>
                <w:sz w:val="20"/>
                <w:szCs w:val="20"/>
                <w:shd w:val="clear" w:color="auto" w:fill="FFFFFF"/>
              </w:rPr>
              <w:t>†</w:t>
            </w:r>
          </w:p>
        </w:tc>
        <w:tc>
          <w:tcPr>
            <w:tcW w:w="726" w:type="dxa"/>
            <w:tcBorders>
              <w:top w:val="dotted" w:sz="4" w:space="0" w:color="A6A6A6" w:themeColor="background1" w:themeShade="A6"/>
            </w:tcBorders>
          </w:tcPr>
          <w:p w14:paraId="64153D7E"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color w:val="auto"/>
                <w:sz w:val="20"/>
                <w:szCs w:val="20"/>
                <w:lang w:val="en-GB"/>
              </w:rPr>
            </w:pPr>
          </w:p>
        </w:tc>
        <w:tc>
          <w:tcPr>
            <w:tcW w:w="726" w:type="dxa"/>
            <w:tcBorders>
              <w:top w:val="dotted" w:sz="4" w:space="0" w:color="A6A6A6" w:themeColor="background1" w:themeShade="A6"/>
            </w:tcBorders>
          </w:tcPr>
          <w:p w14:paraId="1DE4FA32"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color w:val="auto"/>
                <w:sz w:val="20"/>
                <w:szCs w:val="20"/>
                <w:lang w:val="en-GB"/>
              </w:rPr>
            </w:pPr>
          </w:p>
        </w:tc>
        <w:tc>
          <w:tcPr>
            <w:tcW w:w="1539" w:type="dxa"/>
            <w:tcBorders>
              <w:top w:val="dotted" w:sz="4" w:space="0" w:color="A6A6A6" w:themeColor="background1" w:themeShade="A6"/>
            </w:tcBorders>
          </w:tcPr>
          <w:p w14:paraId="745F0775"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color w:val="auto"/>
                <w:sz w:val="20"/>
                <w:szCs w:val="20"/>
                <w:lang w:val="en-GB"/>
              </w:rPr>
            </w:pPr>
          </w:p>
        </w:tc>
        <w:tc>
          <w:tcPr>
            <w:tcW w:w="1471" w:type="dxa"/>
            <w:vMerge w:val="restart"/>
            <w:tcBorders>
              <w:top w:val="dotted" w:sz="4" w:space="0" w:color="A6A6A6" w:themeColor="background1" w:themeShade="A6"/>
            </w:tcBorders>
          </w:tcPr>
          <w:p w14:paraId="7CAE15A7" w14:textId="77777777" w:rsidR="00E202A2" w:rsidRPr="003F3104" w:rsidRDefault="00E202A2" w:rsidP="0073206D">
            <w:pPr>
              <w:pStyle w:val="Normal1"/>
              <w:spacing w:line="240" w:lineRule="auto"/>
              <w:jc w:val="both"/>
              <w:outlineLvl w:val="0"/>
              <w:rPr>
                <w:rFonts w:ascii="Times New Roman" w:eastAsia="Times New Roman" w:hAnsi="Times New Roman" w:cs="Times New Roman"/>
                <w:i/>
                <w:color w:val="auto"/>
                <w:sz w:val="20"/>
                <w:szCs w:val="20"/>
                <w:lang w:val="en-GB"/>
              </w:rPr>
            </w:pPr>
            <w:r w:rsidRPr="002E46A6">
              <w:rPr>
                <w:rFonts w:ascii="Times New Roman" w:hAnsi="Times New Roman" w:cs="Times New Roman"/>
                <w:sz w:val="20"/>
                <w:szCs w:val="20"/>
              </w:rPr>
              <w:fldChar w:fldCharType="begin"/>
            </w:r>
            <w:r w:rsidRPr="002E46A6">
              <w:rPr>
                <w:rFonts w:ascii="Times New Roman" w:hAnsi="Times New Roman" w:cs="Times New Roman"/>
                <w:sz w:val="20"/>
                <w:szCs w:val="20"/>
                <w:lang w:val="pl-PL"/>
              </w:rPr>
              <w:instrText xml:space="preserve"> ADDIN EN.CITE &lt;EndNote&gt;&lt;Cite&gt;&lt;Author&gt;Sivadasa&lt;/Author&gt;&lt;Year&gt;2008&lt;/Year&gt;&lt;RecNum&gt;700&lt;/RecNum&gt;&lt;DisplayText&gt;(Sivadasa et al., 2008)&lt;/DisplayText&gt;&lt;record&gt;&lt;rec-number&gt;700&lt;/rec-number&gt;&lt;foreign-keys&gt;&lt;key app="EN" db-id="e99tpwtz9dt509e2z5sxsdt2dezd0dftfspz" timestamp="0"&gt;700&lt;/key&gt;&lt;/foreign-keys&gt;&lt;ref-type name="Journal Article"&gt;17&lt;/ref-type&gt;&lt;contributors&gt;&lt;authors&gt;&lt;author&gt;Eugene Sivadasa&lt;/author&gt;&lt;author&gt;Norman T Bruvoldb&lt;/author&gt;&lt;author&gt;Michelle R Nelsonc&lt;/author&gt;&lt;/authors&gt;&lt;/contributors&gt;&lt;titles&gt;&lt;title&gt;A reduced version of the horizontal and vertical individualism and collectivism scale: A four-country assessment&lt;/title&gt;&lt;secondary-title&gt;Journal of Business Research&lt;/secondary-title&gt;&lt;/titles&gt;&lt;periodical&gt;&lt;full-title&gt;Journal of Business Research&lt;/full-title&gt;&lt;/periodical&gt;&lt;pages&gt;201-210&lt;/pages&gt;&lt;volume&gt;61&lt;/volume&gt;&lt;number&gt;3&lt;/number&gt;&lt;dates&gt;&lt;year&gt;2008&lt;/year&gt;&lt;/dates&gt;&lt;urls&gt;&lt;/urls&gt;&lt;/record&gt;&lt;/Cite&gt;&lt;/EndNote&gt;</w:instrText>
            </w:r>
            <w:r w:rsidRPr="002E46A6">
              <w:rPr>
                <w:rFonts w:ascii="Times New Roman" w:hAnsi="Times New Roman" w:cs="Times New Roman"/>
                <w:sz w:val="20"/>
                <w:szCs w:val="20"/>
              </w:rPr>
              <w:fldChar w:fldCharType="separate"/>
            </w:r>
            <w:r w:rsidRPr="002E46A6">
              <w:rPr>
                <w:rFonts w:ascii="Times New Roman" w:hAnsi="Times New Roman" w:cs="Times New Roman"/>
                <w:noProof/>
                <w:sz w:val="20"/>
                <w:szCs w:val="20"/>
                <w:lang w:val="pl-PL"/>
              </w:rPr>
              <w:t>(</w:t>
            </w:r>
            <w:hyperlink w:anchor="_ENREF_4" w:tooltip="Sivadasa, 2008 #700" w:history="1">
              <w:r w:rsidRPr="002E46A6">
                <w:rPr>
                  <w:rFonts w:ascii="Times New Roman" w:hAnsi="Times New Roman" w:cs="Times New Roman"/>
                  <w:noProof/>
                  <w:sz w:val="20"/>
                  <w:szCs w:val="20"/>
                  <w:lang w:val="pl-PL"/>
                </w:rPr>
                <w:t>Sivadas et al., 2008</w:t>
              </w:r>
            </w:hyperlink>
            <w:r w:rsidRPr="002E46A6">
              <w:rPr>
                <w:rFonts w:ascii="Times New Roman" w:hAnsi="Times New Roman" w:cs="Times New Roman"/>
                <w:noProof/>
                <w:sz w:val="20"/>
                <w:szCs w:val="20"/>
                <w:lang w:val="pl-PL"/>
              </w:rPr>
              <w:t>)</w:t>
            </w:r>
            <w:r w:rsidRPr="002E46A6">
              <w:rPr>
                <w:rFonts w:ascii="Times New Roman" w:hAnsi="Times New Roman" w:cs="Times New Roman"/>
                <w:sz w:val="20"/>
                <w:szCs w:val="20"/>
              </w:rPr>
              <w:fldChar w:fldCharType="end"/>
            </w:r>
          </w:p>
        </w:tc>
      </w:tr>
      <w:tr w:rsidR="00E202A2" w:rsidRPr="00F23705" w14:paraId="00C7C342" w14:textId="77777777" w:rsidTr="0073206D">
        <w:trPr>
          <w:trHeight w:val="258"/>
        </w:trPr>
        <w:tc>
          <w:tcPr>
            <w:tcW w:w="5220" w:type="dxa"/>
          </w:tcPr>
          <w:p w14:paraId="2F434817" w14:textId="77777777" w:rsidR="00E202A2" w:rsidRDefault="00E202A2" w:rsidP="0073206D">
            <w:pPr>
              <w:jc w:val="both"/>
              <w:rPr>
                <w:sz w:val="20"/>
                <w:szCs w:val="20"/>
              </w:rPr>
            </w:pPr>
            <w:r w:rsidRPr="00104523">
              <w:rPr>
                <w:sz w:val="20"/>
                <w:szCs w:val="20"/>
              </w:rPr>
              <w:t>I would do what would please my family, even if I detested that activity.</w:t>
            </w:r>
          </w:p>
          <w:p w14:paraId="4331752B" w14:textId="77777777" w:rsidR="00E202A2" w:rsidRDefault="00E202A2" w:rsidP="0073206D">
            <w:pPr>
              <w:jc w:val="both"/>
              <w:rPr>
                <w:sz w:val="20"/>
                <w:szCs w:val="20"/>
              </w:rPr>
            </w:pPr>
            <w:r w:rsidRPr="00104523">
              <w:rPr>
                <w:sz w:val="20"/>
                <w:szCs w:val="20"/>
              </w:rPr>
              <w:t>I usually sacrifice my self-interest for the benefit of my group.</w:t>
            </w:r>
          </w:p>
          <w:p w14:paraId="5B68D227" w14:textId="77777777" w:rsidR="00E202A2" w:rsidRDefault="00E202A2" w:rsidP="0073206D">
            <w:pPr>
              <w:jc w:val="both"/>
              <w:rPr>
                <w:sz w:val="20"/>
                <w:szCs w:val="20"/>
              </w:rPr>
            </w:pPr>
            <w:r w:rsidRPr="00104523">
              <w:rPr>
                <w:sz w:val="20"/>
                <w:szCs w:val="20"/>
              </w:rPr>
              <w:t xml:space="preserve">Children should feel </w:t>
            </w:r>
            <w:proofErr w:type="spellStart"/>
            <w:r w:rsidRPr="00104523">
              <w:rPr>
                <w:sz w:val="20"/>
                <w:szCs w:val="20"/>
              </w:rPr>
              <w:t>honored</w:t>
            </w:r>
            <w:proofErr w:type="spellEnd"/>
            <w:r w:rsidRPr="00104523">
              <w:rPr>
                <w:sz w:val="20"/>
                <w:szCs w:val="20"/>
              </w:rPr>
              <w:t xml:space="preserve"> if their parents receive a distinguished award.</w:t>
            </w:r>
          </w:p>
          <w:p w14:paraId="5F5312B5" w14:textId="77777777" w:rsidR="00E202A2" w:rsidRPr="00F23705" w:rsidRDefault="00E202A2" w:rsidP="0073206D">
            <w:pPr>
              <w:jc w:val="both"/>
              <w:rPr>
                <w:b/>
                <w:i/>
                <w:color w:val="666666"/>
                <w:sz w:val="20"/>
                <w:szCs w:val="20"/>
              </w:rPr>
            </w:pPr>
            <w:r w:rsidRPr="00104523">
              <w:rPr>
                <w:sz w:val="20"/>
                <w:szCs w:val="20"/>
              </w:rPr>
              <w:t>I would sacrifice an activity that I enjoy very much If my family did not approve of it.</w:t>
            </w:r>
          </w:p>
        </w:tc>
        <w:tc>
          <w:tcPr>
            <w:tcW w:w="726" w:type="dxa"/>
          </w:tcPr>
          <w:p w14:paraId="1101A337"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0.88</w:t>
            </w:r>
          </w:p>
          <w:p w14:paraId="06DF3952"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3CA6A514"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0.82</w:t>
            </w:r>
          </w:p>
          <w:p w14:paraId="6017C322" w14:textId="77777777" w:rsidR="00E202A2" w:rsidRPr="001F3AB4"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p>
          <w:p w14:paraId="0AA5EB83"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0.60</w:t>
            </w:r>
          </w:p>
          <w:p w14:paraId="1A48B33E"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72112344"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0.59</w:t>
            </w:r>
          </w:p>
        </w:tc>
        <w:tc>
          <w:tcPr>
            <w:tcW w:w="726" w:type="dxa"/>
          </w:tcPr>
          <w:p w14:paraId="1682EE6D"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0.77</w:t>
            </w:r>
          </w:p>
          <w:p w14:paraId="380195DA"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2FDEA643"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0.68</w:t>
            </w:r>
          </w:p>
          <w:p w14:paraId="0B9D188F"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24C3CC9D"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0.37</w:t>
            </w:r>
          </w:p>
          <w:p w14:paraId="068D7263"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7B6A0126" w14:textId="77777777" w:rsidR="00E202A2" w:rsidRPr="001F3AB4"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1F3AB4">
              <w:rPr>
                <w:rFonts w:ascii="Times New Roman" w:eastAsia="Times New Roman" w:hAnsi="Times New Roman" w:cs="Times New Roman"/>
                <w:bCs/>
                <w:iCs/>
                <w:color w:val="auto"/>
                <w:sz w:val="20"/>
                <w:szCs w:val="20"/>
                <w:lang w:val="en-GB"/>
              </w:rPr>
              <w:t>0.35</w:t>
            </w:r>
          </w:p>
        </w:tc>
        <w:tc>
          <w:tcPr>
            <w:tcW w:w="1539" w:type="dxa"/>
          </w:tcPr>
          <w:p w14:paraId="2CBB100F"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5.00 (1.62)</w:t>
            </w:r>
          </w:p>
          <w:p w14:paraId="1F63CFAA"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532279C9"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4.91 (1.52)</w:t>
            </w:r>
          </w:p>
          <w:p w14:paraId="6CA6E35E"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596D74B3"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4.83 (1.55)</w:t>
            </w:r>
          </w:p>
          <w:p w14:paraId="5722D210"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6DE1A440"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4.71 (1.59)</w:t>
            </w:r>
          </w:p>
        </w:tc>
        <w:tc>
          <w:tcPr>
            <w:tcW w:w="1471" w:type="dxa"/>
            <w:vMerge/>
          </w:tcPr>
          <w:p w14:paraId="04670F6F" w14:textId="77777777" w:rsidR="00E202A2" w:rsidRPr="00F23705"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tc>
      </w:tr>
      <w:tr w:rsidR="00E202A2" w:rsidRPr="003F3104" w14:paraId="301C8B17" w14:textId="77777777" w:rsidTr="0073206D">
        <w:trPr>
          <w:trHeight w:val="258"/>
        </w:trPr>
        <w:tc>
          <w:tcPr>
            <w:tcW w:w="5220" w:type="dxa"/>
            <w:tcBorders>
              <w:top w:val="dotted" w:sz="4" w:space="0" w:color="A6A6A6" w:themeColor="background1" w:themeShade="A6"/>
            </w:tcBorders>
          </w:tcPr>
          <w:p w14:paraId="0A9A7BB8" w14:textId="77777777" w:rsidR="00E202A2" w:rsidRPr="003F3104" w:rsidRDefault="00E202A2" w:rsidP="0073206D">
            <w:pPr>
              <w:jc w:val="both"/>
              <w:rPr>
                <w:rFonts w:eastAsia="Arial"/>
                <w:b/>
                <w:i/>
                <w:iCs/>
                <w:color w:val="666666"/>
                <w:sz w:val="20"/>
                <w:szCs w:val="20"/>
              </w:rPr>
            </w:pPr>
            <w:r w:rsidRPr="003F3104">
              <w:rPr>
                <w:rFonts w:eastAsia="Cardo"/>
                <w:i/>
                <w:iCs/>
              </w:rPr>
              <w:t>Horizontal collectivism</w:t>
            </w:r>
            <w:r w:rsidRPr="00F23705">
              <w:rPr>
                <w:sz w:val="20"/>
                <w:szCs w:val="20"/>
                <w:shd w:val="clear" w:color="auto" w:fill="FFFFFF"/>
              </w:rPr>
              <w:t>†</w:t>
            </w:r>
          </w:p>
        </w:tc>
        <w:tc>
          <w:tcPr>
            <w:tcW w:w="726" w:type="dxa"/>
            <w:tcBorders>
              <w:top w:val="dotted" w:sz="4" w:space="0" w:color="A6A6A6" w:themeColor="background1" w:themeShade="A6"/>
            </w:tcBorders>
          </w:tcPr>
          <w:p w14:paraId="6388F2EC"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iCs/>
                <w:color w:val="auto"/>
                <w:sz w:val="20"/>
                <w:szCs w:val="20"/>
                <w:lang w:val="en-GB"/>
              </w:rPr>
            </w:pPr>
          </w:p>
        </w:tc>
        <w:tc>
          <w:tcPr>
            <w:tcW w:w="726" w:type="dxa"/>
            <w:tcBorders>
              <w:top w:val="dotted" w:sz="4" w:space="0" w:color="A6A6A6" w:themeColor="background1" w:themeShade="A6"/>
            </w:tcBorders>
          </w:tcPr>
          <w:p w14:paraId="17DC2C1B"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iCs/>
                <w:color w:val="auto"/>
                <w:sz w:val="20"/>
                <w:szCs w:val="20"/>
                <w:lang w:val="en-GB"/>
              </w:rPr>
            </w:pPr>
          </w:p>
        </w:tc>
        <w:tc>
          <w:tcPr>
            <w:tcW w:w="1539" w:type="dxa"/>
            <w:tcBorders>
              <w:top w:val="dotted" w:sz="4" w:space="0" w:color="A6A6A6" w:themeColor="background1" w:themeShade="A6"/>
            </w:tcBorders>
          </w:tcPr>
          <w:p w14:paraId="7494B3DD"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iCs/>
                <w:color w:val="auto"/>
                <w:sz w:val="20"/>
                <w:szCs w:val="20"/>
                <w:lang w:val="en-GB"/>
              </w:rPr>
            </w:pPr>
          </w:p>
        </w:tc>
        <w:tc>
          <w:tcPr>
            <w:tcW w:w="1471" w:type="dxa"/>
            <w:vMerge w:val="restart"/>
            <w:tcBorders>
              <w:top w:val="dotted" w:sz="4" w:space="0" w:color="A6A6A6" w:themeColor="background1" w:themeShade="A6"/>
            </w:tcBorders>
          </w:tcPr>
          <w:p w14:paraId="07C51E00" w14:textId="77777777" w:rsidR="00E202A2" w:rsidRPr="003F3104" w:rsidRDefault="00E202A2" w:rsidP="0073206D">
            <w:pPr>
              <w:pStyle w:val="Normal1"/>
              <w:spacing w:line="240" w:lineRule="auto"/>
              <w:jc w:val="both"/>
              <w:outlineLvl w:val="0"/>
              <w:rPr>
                <w:rFonts w:ascii="Times New Roman" w:eastAsia="Times New Roman" w:hAnsi="Times New Roman" w:cs="Times New Roman"/>
                <w:b/>
                <w:i/>
                <w:iCs/>
                <w:color w:val="auto"/>
                <w:sz w:val="20"/>
                <w:szCs w:val="20"/>
                <w:lang w:val="en-GB"/>
              </w:rPr>
            </w:pPr>
            <w:r w:rsidRPr="002E46A6">
              <w:rPr>
                <w:rFonts w:ascii="Times New Roman" w:hAnsi="Times New Roman" w:cs="Times New Roman"/>
                <w:sz w:val="20"/>
                <w:szCs w:val="20"/>
              </w:rPr>
              <w:fldChar w:fldCharType="begin"/>
            </w:r>
            <w:r w:rsidRPr="002E46A6">
              <w:rPr>
                <w:rFonts w:ascii="Times New Roman" w:hAnsi="Times New Roman" w:cs="Times New Roman"/>
                <w:sz w:val="20"/>
                <w:szCs w:val="20"/>
                <w:lang w:val="pl-PL"/>
              </w:rPr>
              <w:instrText xml:space="preserve"> ADDIN EN.CITE &lt;EndNote&gt;&lt;Cite&gt;&lt;Author&gt;Sivadasa&lt;/Author&gt;&lt;Year&gt;2008&lt;/Year&gt;&lt;RecNum&gt;700&lt;/RecNum&gt;&lt;DisplayText&gt;(Sivadasa et al., 2008)&lt;/DisplayText&gt;&lt;record&gt;&lt;rec-number&gt;700&lt;/rec-number&gt;&lt;foreign-keys&gt;&lt;key app="EN" db-id="e99tpwtz9dt509e2z5sxsdt2dezd0dftfspz" timestamp="0"&gt;700&lt;/key&gt;&lt;/foreign-keys&gt;&lt;ref-type name="Journal Article"&gt;17&lt;/ref-type&gt;&lt;contributors&gt;&lt;authors&gt;&lt;author&gt;Eugene Sivadasa&lt;/author&gt;&lt;author&gt;Norman T Bruvoldb&lt;/author&gt;&lt;author&gt;Michelle R Nelsonc&lt;/author&gt;&lt;/authors&gt;&lt;/contributors&gt;&lt;titles&gt;&lt;title&gt;A reduced version of the horizontal and vertical individualism and collectivism scale: A four-country assessment&lt;/title&gt;&lt;secondary-title&gt;Journal of Business Research&lt;/secondary-title&gt;&lt;/titles&gt;&lt;periodical&gt;&lt;full-title&gt;Journal of Business Research&lt;/full-title&gt;&lt;/periodical&gt;&lt;pages&gt;201-210&lt;/pages&gt;&lt;volume&gt;61&lt;/volume&gt;&lt;number&gt;3&lt;/number&gt;&lt;dates&gt;&lt;year&gt;2008&lt;/year&gt;&lt;/dates&gt;&lt;urls&gt;&lt;/urls&gt;&lt;/record&gt;&lt;/Cite&gt;&lt;/EndNote&gt;</w:instrText>
            </w:r>
            <w:r w:rsidRPr="002E46A6">
              <w:rPr>
                <w:rFonts w:ascii="Times New Roman" w:hAnsi="Times New Roman" w:cs="Times New Roman"/>
                <w:sz w:val="20"/>
                <w:szCs w:val="20"/>
              </w:rPr>
              <w:fldChar w:fldCharType="separate"/>
            </w:r>
            <w:r w:rsidRPr="002E46A6">
              <w:rPr>
                <w:rFonts w:ascii="Times New Roman" w:hAnsi="Times New Roman" w:cs="Times New Roman"/>
                <w:noProof/>
                <w:sz w:val="20"/>
                <w:szCs w:val="20"/>
                <w:lang w:val="pl-PL"/>
              </w:rPr>
              <w:t>(</w:t>
            </w:r>
            <w:hyperlink w:anchor="_ENREF_4" w:tooltip="Sivadasa, 2008 #700" w:history="1">
              <w:r w:rsidRPr="002E46A6">
                <w:rPr>
                  <w:rFonts w:ascii="Times New Roman" w:hAnsi="Times New Roman" w:cs="Times New Roman"/>
                  <w:noProof/>
                  <w:sz w:val="20"/>
                  <w:szCs w:val="20"/>
                  <w:lang w:val="pl-PL"/>
                </w:rPr>
                <w:t>Sivadas et al., 2008</w:t>
              </w:r>
            </w:hyperlink>
            <w:r w:rsidRPr="002E46A6">
              <w:rPr>
                <w:rFonts w:ascii="Times New Roman" w:hAnsi="Times New Roman" w:cs="Times New Roman"/>
                <w:noProof/>
                <w:sz w:val="20"/>
                <w:szCs w:val="20"/>
                <w:lang w:val="pl-PL"/>
              </w:rPr>
              <w:t>)</w:t>
            </w:r>
            <w:r w:rsidRPr="002E46A6">
              <w:rPr>
                <w:rFonts w:ascii="Times New Roman" w:hAnsi="Times New Roman" w:cs="Times New Roman"/>
                <w:sz w:val="20"/>
                <w:szCs w:val="20"/>
              </w:rPr>
              <w:fldChar w:fldCharType="end"/>
            </w:r>
          </w:p>
        </w:tc>
      </w:tr>
      <w:tr w:rsidR="00E202A2" w:rsidRPr="00F23705" w14:paraId="19F0230A" w14:textId="77777777" w:rsidTr="0073206D">
        <w:trPr>
          <w:trHeight w:val="258"/>
        </w:trPr>
        <w:tc>
          <w:tcPr>
            <w:tcW w:w="5220" w:type="dxa"/>
          </w:tcPr>
          <w:p w14:paraId="5210C7D2" w14:textId="77777777" w:rsidR="00E202A2" w:rsidRDefault="00E202A2" w:rsidP="0073206D">
            <w:pPr>
              <w:jc w:val="both"/>
              <w:rPr>
                <w:sz w:val="20"/>
                <w:szCs w:val="20"/>
              </w:rPr>
            </w:pPr>
            <w:r w:rsidRPr="00104523">
              <w:rPr>
                <w:sz w:val="20"/>
                <w:szCs w:val="20"/>
              </w:rPr>
              <w:t>My happiness depends very much on the happiness of those around me</w:t>
            </w:r>
            <w:r>
              <w:rPr>
                <w:sz w:val="20"/>
                <w:szCs w:val="20"/>
              </w:rPr>
              <w:t>.</w:t>
            </w:r>
          </w:p>
          <w:p w14:paraId="68CEB4A7" w14:textId="77777777" w:rsidR="00E202A2" w:rsidRDefault="00E202A2" w:rsidP="0073206D">
            <w:pPr>
              <w:jc w:val="both"/>
              <w:rPr>
                <w:sz w:val="20"/>
                <w:szCs w:val="20"/>
              </w:rPr>
            </w:pPr>
            <w:r w:rsidRPr="00104523">
              <w:rPr>
                <w:sz w:val="20"/>
                <w:szCs w:val="20"/>
              </w:rPr>
              <w:t>The well-being of my co-workers is important to me.</w:t>
            </w:r>
          </w:p>
          <w:p w14:paraId="5CF5640D" w14:textId="77777777" w:rsidR="00E202A2" w:rsidRDefault="00E202A2" w:rsidP="0073206D">
            <w:pPr>
              <w:jc w:val="both"/>
              <w:rPr>
                <w:sz w:val="20"/>
                <w:szCs w:val="20"/>
              </w:rPr>
            </w:pPr>
            <w:r w:rsidRPr="00104523">
              <w:rPr>
                <w:sz w:val="20"/>
                <w:szCs w:val="20"/>
              </w:rPr>
              <w:t xml:space="preserve">If a co-worker gets a prize, I </w:t>
            </w:r>
            <w:proofErr w:type="gramStart"/>
            <w:r w:rsidRPr="00104523">
              <w:rPr>
                <w:sz w:val="20"/>
                <w:szCs w:val="20"/>
              </w:rPr>
              <w:t>would</w:t>
            </w:r>
            <w:proofErr w:type="gramEnd"/>
            <w:r w:rsidRPr="00104523">
              <w:rPr>
                <w:sz w:val="20"/>
                <w:szCs w:val="20"/>
              </w:rPr>
              <w:t xml:space="preserve"> feel proud.</w:t>
            </w:r>
          </w:p>
          <w:p w14:paraId="4D0C2A74" w14:textId="77777777" w:rsidR="00E202A2" w:rsidRPr="00F23705" w:rsidRDefault="00E202A2" w:rsidP="0073206D">
            <w:pPr>
              <w:jc w:val="both"/>
              <w:rPr>
                <w:rFonts w:eastAsia="Arial"/>
                <w:b/>
                <w:i/>
                <w:color w:val="666666"/>
                <w:sz w:val="20"/>
                <w:szCs w:val="20"/>
              </w:rPr>
            </w:pPr>
            <w:r w:rsidRPr="00104523">
              <w:rPr>
                <w:sz w:val="20"/>
                <w:szCs w:val="20"/>
              </w:rPr>
              <w:t>I feel good when I cooperate with others.</w:t>
            </w:r>
          </w:p>
        </w:tc>
        <w:tc>
          <w:tcPr>
            <w:tcW w:w="726" w:type="dxa"/>
          </w:tcPr>
          <w:p w14:paraId="66C574E9"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0.67</w:t>
            </w:r>
          </w:p>
          <w:p w14:paraId="40230781"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1AE3B92E"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0.80</w:t>
            </w:r>
          </w:p>
          <w:p w14:paraId="2D43E0F8"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0.73</w:t>
            </w:r>
          </w:p>
          <w:p w14:paraId="201A59F8" w14:textId="77777777" w:rsidR="00E202A2" w:rsidRPr="001F3AB4"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1F3AB4">
              <w:rPr>
                <w:rFonts w:ascii="Times New Roman" w:eastAsia="Times New Roman" w:hAnsi="Times New Roman" w:cs="Times New Roman"/>
                <w:bCs/>
                <w:iCs/>
                <w:color w:val="auto"/>
                <w:sz w:val="20"/>
                <w:szCs w:val="20"/>
                <w:lang w:val="en-GB"/>
              </w:rPr>
              <w:t>0.63</w:t>
            </w:r>
          </w:p>
        </w:tc>
        <w:tc>
          <w:tcPr>
            <w:tcW w:w="726" w:type="dxa"/>
          </w:tcPr>
          <w:p w14:paraId="2DFA4AB3"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0.45</w:t>
            </w:r>
          </w:p>
          <w:p w14:paraId="76107311"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701B3C4C"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0.65</w:t>
            </w:r>
          </w:p>
          <w:p w14:paraId="5FE529D1"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0.53</w:t>
            </w:r>
          </w:p>
          <w:p w14:paraId="75821AA7" w14:textId="77777777" w:rsidR="00E202A2" w:rsidRPr="001F3AB4"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1F3AB4">
              <w:rPr>
                <w:rFonts w:ascii="Times New Roman" w:eastAsia="Times New Roman" w:hAnsi="Times New Roman" w:cs="Times New Roman"/>
                <w:bCs/>
                <w:iCs/>
                <w:color w:val="auto"/>
                <w:sz w:val="20"/>
                <w:szCs w:val="20"/>
                <w:lang w:val="en-GB"/>
              </w:rPr>
              <w:t>0.40</w:t>
            </w:r>
          </w:p>
        </w:tc>
        <w:tc>
          <w:tcPr>
            <w:tcW w:w="1539" w:type="dxa"/>
          </w:tcPr>
          <w:p w14:paraId="1B456FCE"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5.21 (1.42)</w:t>
            </w:r>
          </w:p>
          <w:p w14:paraId="51DF047B"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73BBC9EF"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4.93 (1.46)</w:t>
            </w:r>
          </w:p>
          <w:p w14:paraId="063EBB35"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5.01 (1.42)</w:t>
            </w:r>
          </w:p>
          <w:p w14:paraId="2FA08A97" w14:textId="77777777" w:rsidR="00E202A2" w:rsidRPr="001F3AB4"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1F3AB4">
              <w:rPr>
                <w:rFonts w:ascii="Times New Roman" w:eastAsia="Times New Roman" w:hAnsi="Times New Roman" w:cs="Times New Roman"/>
                <w:bCs/>
                <w:iCs/>
                <w:color w:val="auto"/>
                <w:sz w:val="20"/>
                <w:szCs w:val="20"/>
                <w:lang w:val="en-GB"/>
              </w:rPr>
              <w:t>5.18 (1.48)</w:t>
            </w:r>
          </w:p>
        </w:tc>
        <w:tc>
          <w:tcPr>
            <w:tcW w:w="1471" w:type="dxa"/>
            <w:vMerge/>
          </w:tcPr>
          <w:p w14:paraId="3CF18E62" w14:textId="77777777" w:rsidR="00E202A2" w:rsidRPr="00F23705"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tc>
      </w:tr>
      <w:tr w:rsidR="00E202A2" w:rsidRPr="003F3104" w14:paraId="436AF1B2" w14:textId="77777777" w:rsidTr="0073206D">
        <w:trPr>
          <w:trHeight w:val="258"/>
        </w:trPr>
        <w:tc>
          <w:tcPr>
            <w:tcW w:w="5220" w:type="dxa"/>
            <w:tcBorders>
              <w:top w:val="dotted" w:sz="4" w:space="0" w:color="A6A6A6" w:themeColor="background1" w:themeShade="A6"/>
            </w:tcBorders>
          </w:tcPr>
          <w:p w14:paraId="2C7CFD84" w14:textId="77777777" w:rsidR="00E202A2" w:rsidRPr="001618C1" w:rsidRDefault="00E202A2" w:rsidP="0073206D">
            <w:pPr>
              <w:jc w:val="both"/>
              <w:rPr>
                <w:rFonts w:eastAsia="Arial"/>
                <w:b/>
                <w:i/>
                <w:iCs/>
                <w:color w:val="666666"/>
                <w:sz w:val="20"/>
                <w:szCs w:val="20"/>
              </w:rPr>
            </w:pPr>
            <w:r w:rsidRPr="001618C1">
              <w:rPr>
                <w:rFonts w:eastAsia="Cardo"/>
                <w:i/>
                <w:iCs/>
              </w:rPr>
              <w:t>Global identity</w:t>
            </w:r>
            <w:r w:rsidRPr="001618C1">
              <w:rPr>
                <w:sz w:val="20"/>
                <w:szCs w:val="20"/>
                <w:shd w:val="clear" w:color="auto" w:fill="FFFFFF"/>
              </w:rPr>
              <w:t>†</w:t>
            </w:r>
          </w:p>
        </w:tc>
        <w:tc>
          <w:tcPr>
            <w:tcW w:w="726" w:type="dxa"/>
            <w:tcBorders>
              <w:top w:val="dotted" w:sz="4" w:space="0" w:color="A6A6A6" w:themeColor="background1" w:themeShade="A6"/>
            </w:tcBorders>
          </w:tcPr>
          <w:p w14:paraId="52168459"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iCs/>
                <w:color w:val="auto"/>
                <w:sz w:val="20"/>
                <w:szCs w:val="20"/>
                <w:lang w:val="en-GB"/>
              </w:rPr>
            </w:pPr>
          </w:p>
        </w:tc>
        <w:tc>
          <w:tcPr>
            <w:tcW w:w="726" w:type="dxa"/>
            <w:tcBorders>
              <w:top w:val="dotted" w:sz="4" w:space="0" w:color="A6A6A6" w:themeColor="background1" w:themeShade="A6"/>
            </w:tcBorders>
          </w:tcPr>
          <w:p w14:paraId="44E02A8A"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iCs/>
                <w:color w:val="auto"/>
                <w:sz w:val="20"/>
                <w:szCs w:val="20"/>
                <w:lang w:val="en-GB"/>
              </w:rPr>
            </w:pPr>
          </w:p>
        </w:tc>
        <w:tc>
          <w:tcPr>
            <w:tcW w:w="1539" w:type="dxa"/>
            <w:tcBorders>
              <w:top w:val="dotted" w:sz="4" w:space="0" w:color="A6A6A6" w:themeColor="background1" w:themeShade="A6"/>
            </w:tcBorders>
          </w:tcPr>
          <w:p w14:paraId="66CCD2A9"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iCs/>
                <w:color w:val="auto"/>
                <w:sz w:val="20"/>
                <w:szCs w:val="20"/>
                <w:lang w:val="en-GB"/>
              </w:rPr>
            </w:pPr>
          </w:p>
        </w:tc>
        <w:tc>
          <w:tcPr>
            <w:tcW w:w="1471" w:type="dxa"/>
            <w:vMerge w:val="restart"/>
            <w:tcBorders>
              <w:top w:val="dotted" w:sz="4" w:space="0" w:color="A6A6A6" w:themeColor="background1" w:themeShade="A6"/>
            </w:tcBorders>
          </w:tcPr>
          <w:p w14:paraId="5ABA9820" w14:textId="77777777" w:rsidR="00E202A2" w:rsidRPr="001618C1" w:rsidRDefault="00E202A2" w:rsidP="0073206D">
            <w:pPr>
              <w:pStyle w:val="Normal1"/>
              <w:spacing w:line="240" w:lineRule="auto"/>
              <w:jc w:val="both"/>
              <w:outlineLvl w:val="0"/>
              <w:rPr>
                <w:rFonts w:ascii="Times New Roman" w:eastAsia="Times New Roman" w:hAnsi="Times New Roman" w:cs="Times New Roman"/>
                <w:i/>
                <w:iCs/>
                <w:color w:val="auto"/>
                <w:sz w:val="20"/>
                <w:szCs w:val="20"/>
                <w:lang w:val="en-GB"/>
              </w:rPr>
            </w:pPr>
            <w:r w:rsidRPr="001618C1">
              <w:rPr>
                <w:rFonts w:ascii="Times New Roman" w:eastAsia="Times New Roman" w:hAnsi="Times New Roman" w:cs="Times New Roman"/>
                <w:i/>
                <w:iCs/>
                <w:color w:val="auto"/>
                <w:sz w:val="20"/>
                <w:szCs w:val="20"/>
                <w:lang w:val="en-GB"/>
              </w:rPr>
              <w:t>(Tu et al., 2012)</w:t>
            </w:r>
          </w:p>
        </w:tc>
      </w:tr>
      <w:tr w:rsidR="00E202A2" w:rsidRPr="00F23705" w14:paraId="6B5325B8" w14:textId="77777777" w:rsidTr="0073206D">
        <w:trPr>
          <w:trHeight w:val="258"/>
        </w:trPr>
        <w:tc>
          <w:tcPr>
            <w:tcW w:w="5220" w:type="dxa"/>
          </w:tcPr>
          <w:p w14:paraId="78C70CFB" w14:textId="77777777" w:rsidR="00E202A2" w:rsidRPr="009B4360" w:rsidRDefault="00E202A2" w:rsidP="0073206D">
            <w:pPr>
              <w:jc w:val="both"/>
              <w:rPr>
                <w:sz w:val="20"/>
                <w:szCs w:val="20"/>
              </w:rPr>
            </w:pPr>
            <w:r w:rsidRPr="009B4360">
              <w:rPr>
                <w:sz w:val="20"/>
                <w:szCs w:val="20"/>
              </w:rPr>
              <w:t>My heart mostly belongs to the whole world.</w:t>
            </w:r>
          </w:p>
          <w:p w14:paraId="0749F8CA" w14:textId="77777777" w:rsidR="00E202A2" w:rsidRPr="009B4360" w:rsidRDefault="00E202A2" w:rsidP="0073206D">
            <w:pPr>
              <w:jc w:val="both"/>
              <w:rPr>
                <w:sz w:val="20"/>
                <w:szCs w:val="20"/>
              </w:rPr>
            </w:pPr>
            <w:r w:rsidRPr="009B4360">
              <w:rPr>
                <w:sz w:val="20"/>
                <w:szCs w:val="20"/>
              </w:rPr>
              <w:t>I believe people should be made more aware of how connected we are to the rest of the world.</w:t>
            </w:r>
          </w:p>
          <w:p w14:paraId="3BDA1DBF" w14:textId="77777777" w:rsidR="00E202A2" w:rsidRPr="009B4360" w:rsidRDefault="00E202A2" w:rsidP="0073206D">
            <w:pPr>
              <w:jc w:val="both"/>
              <w:rPr>
                <w:sz w:val="20"/>
                <w:szCs w:val="20"/>
              </w:rPr>
            </w:pPr>
            <w:r w:rsidRPr="009B4360">
              <w:rPr>
                <w:sz w:val="20"/>
                <w:szCs w:val="20"/>
              </w:rPr>
              <w:t>I identify that I am a global citizen.</w:t>
            </w:r>
          </w:p>
          <w:p w14:paraId="39B4035A" w14:textId="77777777" w:rsidR="00E202A2" w:rsidRPr="009B4360" w:rsidRDefault="00E202A2" w:rsidP="0073206D">
            <w:pPr>
              <w:jc w:val="both"/>
              <w:rPr>
                <w:rFonts w:eastAsia="Arial"/>
                <w:sz w:val="20"/>
                <w:szCs w:val="20"/>
              </w:rPr>
            </w:pPr>
            <w:r w:rsidRPr="009B4360">
              <w:rPr>
                <w:rFonts w:eastAsia="Arial"/>
                <w:sz w:val="20"/>
                <w:szCs w:val="20"/>
              </w:rPr>
              <w:t>I care about knowing global events.</w:t>
            </w:r>
          </w:p>
        </w:tc>
        <w:tc>
          <w:tcPr>
            <w:tcW w:w="726" w:type="dxa"/>
          </w:tcPr>
          <w:p w14:paraId="49F15ACD" w14:textId="77777777" w:rsidR="00E202A2" w:rsidRPr="009B4360"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9B4360">
              <w:rPr>
                <w:rFonts w:ascii="Times New Roman" w:eastAsia="Times New Roman" w:hAnsi="Times New Roman" w:cs="Times New Roman"/>
                <w:bCs/>
                <w:iCs/>
                <w:color w:val="auto"/>
                <w:sz w:val="20"/>
                <w:szCs w:val="20"/>
                <w:lang w:val="en-GB"/>
              </w:rPr>
              <w:t>0.91</w:t>
            </w:r>
          </w:p>
          <w:p w14:paraId="4B3552C6" w14:textId="77777777" w:rsidR="00E202A2" w:rsidRPr="009B4360"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57B549C6" w14:textId="77777777" w:rsidR="00E202A2" w:rsidRPr="009B4360"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9B4360">
              <w:rPr>
                <w:rFonts w:ascii="Times New Roman" w:eastAsia="Times New Roman" w:hAnsi="Times New Roman" w:cs="Times New Roman"/>
                <w:bCs/>
                <w:iCs/>
                <w:color w:val="auto"/>
                <w:sz w:val="20"/>
                <w:szCs w:val="20"/>
                <w:lang w:val="en-GB"/>
              </w:rPr>
              <w:t>0.90</w:t>
            </w:r>
          </w:p>
          <w:p w14:paraId="60DC1495" w14:textId="77777777" w:rsidR="00E202A2" w:rsidRPr="009B4360"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9B4360">
              <w:rPr>
                <w:rFonts w:ascii="Times New Roman" w:eastAsia="Times New Roman" w:hAnsi="Times New Roman" w:cs="Times New Roman"/>
                <w:bCs/>
                <w:iCs/>
                <w:color w:val="auto"/>
                <w:sz w:val="20"/>
                <w:szCs w:val="20"/>
                <w:lang w:val="en-GB"/>
              </w:rPr>
              <w:t>0.89</w:t>
            </w:r>
          </w:p>
          <w:p w14:paraId="760E884B" w14:textId="77777777" w:rsidR="00E202A2" w:rsidRPr="009B4360"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9B4360">
              <w:rPr>
                <w:rFonts w:ascii="Times New Roman" w:eastAsia="Times New Roman" w:hAnsi="Times New Roman" w:cs="Times New Roman"/>
                <w:bCs/>
                <w:iCs/>
                <w:color w:val="auto"/>
                <w:sz w:val="20"/>
                <w:szCs w:val="20"/>
                <w:lang w:val="en-GB"/>
              </w:rPr>
              <w:t>0.82</w:t>
            </w:r>
          </w:p>
        </w:tc>
        <w:tc>
          <w:tcPr>
            <w:tcW w:w="726" w:type="dxa"/>
          </w:tcPr>
          <w:p w14:paraId="268FA23A" w14:textId="77777777" w:rsidR="00E202A2" w:rsidRPr="009B4360"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9B4360">
              <w:rPr>
                <w:rFonts w:ascii="Times New Roman" w:eastAsia="Times New Roman" w:hAnsi="Times New Roman" w:cs="Times New Roman"/>
                <w:bCs/>
                <w:iCs/>
                <w:color w:val="auto"/>
                <w:sz w:val="20"/>
                <w:szCs w:val="20"/>
                <w:lang w:val="en-GB"/>
              </w:rPr>
              <w:t>0.83</w:t>
            </w:r>
          </w:p>
          <w:p w14:paraId="6F4F6402" w14:textId="77777777" w:rsidR="00E202A2" w:rsidRPr="009B4360"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53BC91DE" w14:textId="77777777" w:rsidR="00E202A2" w:rsidRPr="009B4360"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9B4360">
              <w:rPr>
                <w:rFonts w:ascii="Times New Roman" w:eastAsia="Times New Roman" w:hAnsi="Times New Roman" w:cs="Times New Roman"/>
                <w:bCs/>
                <w:iCs/>
                <w:color w:val="auto"/>
                <w:sz w:val="20"/>
                <w:szCs w:val="20"/>
                <w:lang w:val="en-GB"/>
              </w:rPr>
              <w:t>0.81</w:t>
            </w:r>
          </w:p>
          <w:p w14:paraId="0434D648" w14:textId="77777777" w:rsidR="00E202A2" w:rsidRPr="009B4360"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9B4360">
              <w:rPr>
                <w:rFonts w:ascii="Times New Roman" w:eastAsia="Times New Roman" w:hAnsi="Times New Roman" w:cs="Times New Roman"/>
                <w:bCs/>
                <w:iCs/>
                <w:color w:val="auto"/>
                <w:sz w:val="20"/>
                <w:szCs w:val="20"/>
                <w:lang w:val="en-GB"/>
              </w:rPr>
              <w:t>0.79</w:t>
            </w:r>
          </w:p>
          <w:p w14:paraId="7A0D3975" w14:textId="77777777" w:rsidR="00E202A2" w:rsidRPr="009B4360"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9B4360">
              <w:rPr>
                <w:rFonts w:ascii="Times New Roman" w:eastAsia="Times New Roman" w:hAnsi="Times New Roman" w:cs="Times New Roman"/>
                <w:bCs/>
                <w:iCs/>
                <w:color w:val="auto"/>
                <w:sz w:val="20"/>
                <w:szCs w:val="20"/>
                <w:lang w:val="en-GB"/>
              </w:rPr>
              <w:t>0.69</w:t>
            </w:r>
          </w:p>
        </w:tc>
        <w:tc>
          <w:tcPr>
            <w:tcW w:w="1539" w:type="dxa"/>
          </w:tcPr>
          <w:p w14:paraId="68622B46" w14:textId="77777777" w:rsidR="00E202A2" w:rsidRPr="009B4360"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9B4360">
              <w:rPr>
                <w:rFonts w:ascii="Times New Roman" w:eastAsia="Times New Roman" w:hAnsi="Times New Roman" w:cs="Times New Roman"/>
                <w:bCs/>
                <w:iCs/>
                <w:color w:val="auto"/>
                <w:sz w:val="20"/>
                <w:szCs w:val="20"/>
                <w:lang w:val="en-GB"/>
              </w:rPr>
              <w:t>3.47 (1.77)</w:t>
            </w:r>
          </w:p>
          <w:p w14:paraId="1922FA51" w14:textId="77777777" w:rsidR="00E202A2" w:rsidRPr="009B4360"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6DE9BFC1" w14:textId="77777777" w:rsidR="00E202A2" w:rsidRPr="009B4360"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9B4360">
              <w:rPr>
                <w:rFonts w:ascii="Times New Roman" w:eastAsia="Times New Roman" w:hAnsi="Times New Roman" w:cs="Times New Roman"/>
                <w:bCs/>
                <w:iCs/>
                <w:color w:val="auto"/>
                <w:sz w:val="20"/>
                <w:szCs w:val="20"/>
                <w:lang w:val="en-GB"/>
              </w:rPr>
              <w:t>3.46 (1.66)</w:t>
            </w:r>
          </w:p>
          <w:p w14:paraId="3B6E3025" w14:textId="77777777" w:rsidR="00E202A2" w:rsidRPr="009B4360"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9B4360">
              <w:rPr>
                <w:rFonts w:ascii="Times New Roman" w:eastAsia="Times New Roman" w:hAnsi="Times New Roman" w:cs="Times New Roman"/>
                <w:bCs/>
                <w:iCs/>
                <w:color w:val="auto"/>
                <w:sz w:val="20"/>
                <w:szCs w:val="20"/>
                <w:lang w:val="en-GB"/>
              </w:rPr>
              <w:t>3.45 (1.57)</w:t>
            </w:r>
          </w:p>
          <w:p w14:paraId="0D39DDFA" w14:textId="77777777" w:rsidR="00E202A2" w:rsidRPr="009B4360"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9B4360">
              <w:rPr>
                <w:rFonts w:ascii="Times New Roman" w:eastAsia="Times New Roman" w:hAnsi="Times New Roman" w:cs="Times New Roman"/>
                <w:bCs/>
                <w:iCs/>
                <w:color w:val="auto"/>
                <w:sz w:val="20"/>
                <w:szCs w:val="20"/>
                <w:lang w:val="en-GB"/>
              </w:rPr>
              <w:t>3.27 (1.65)</w:t>
            </w:r>
          </w:p>
        </w:tc>
        <w:tc>
          <w:tcPr>
            <w:tcW w:w="1471" w:type="dxa"/>
            <w:vMerge/>
          </w:tcPr>
          <w:p w14:paraId="00056DD5" w14:textId="77777777" w:rsidR="00E202A2" w:rsidRPr="00F23705"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tc>
      </w:tr>
      <w:tr w:rsidR="00E202A2" w:rsidRPr="003F3104" w14:paraId="029C53F3" w14:textId="77777777" w:rsidTr="0073206D">
        <w:trPr>
          <w:trHeight w:val="258"/>
        </w:trPr>
        <w:tc>
          <w:tcPr>
            <w:tcW w:w="5220" w:type="dxa"/>
            <w:tcBorders>
              <w:top w:val="dotted" w:sz="4" w:space="0" w:color="A6A6A6" w:themeColor="background1" w:themeShade="A6"/>
            </w:tcBorders>
          </w:tcPr>
          <w:p w14:paraId="6FDAFD87" w14:textId="77777777" w:rsidR="00E202A2" w:rsidRPr="001618C1" w:rsidRDefault="00E202A2" w:rsidP="0073206D">
            <w:pPr>
              <w:jc w:val="both"/>
              <w:rPr>
                <w:i/>
                <w:sz w:val="20"/>
                <w:szCs w:val="20"/>
              </w:rPr>
            </w:pPr>
            <w:r w:rsidRPr="001618C1">
              <w:rPr>
                <w:bCs/>
                <w:i/>
                <w:sz w:val="20"/>
                <w:szCs w:val="20"/>
              </w:rPr>
              <w:t>Local identity</w:t>
            </w:r>
            <w:r w:rsidRPr="001618C1">
              <w:rPr>
                <w:sz w:val="20"/>
                <w:szCs w:val="20"/>
                <w:shd w:val="clear" w:color="auto" w:fill="FFFFFF"/>
              </w:rPr>
              <w:t>†</w:t>
            </w:r>
          </w:p>
        </w:tc>
        <w:tc>
          <w:tcPr>
            <w:tcW w:w="726" w:type="dxa"/>
            <w:tcBorders>
              <w:top w:val="dotted" w:sz="4" w:space="0" w:color="A6A6A6" w:themeColor="background1" w:themeShade="A6"/>
            </w:tcBorders>
          </w:tcPr>
          <w:p w14:paraId="3F3D0B38"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color w:val="auto"/>
                <w:sz w:val="20"/>
                <w:szCs w:val="20"/>
                <w:lang w:val="en-GB"/>
              </w:rPr>
            </w:pPr>
          </w:p>
        </w:tc>
        <w:tc>
          <w:tcPr>
            <w:tcW w:w="726" w:type="dxa"/>
            <w:tcBorders>
              <w:top w:val="dotted" w:sz="4" w:space="0" w:color="A6A6A6" w:themeColor="background1" w:themeShade="A6"/>
            </w:tcBorders>
          </w:tcPr>
          <w:p w14:paraId="23E441D5"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color w:val="auto"/>
                <w:sz w:val="20"/>
                <w:szCs w:val="20"/>
                <w:lang w:val="en-GB"/>
              </w:rPr>
            </w:pPr>
          </w:p>
        </w:tc>
        <w:tc>
          <w:tcPr>
            <w:tcW w:w="1539" w:type="dxa"/>
            <w:tcBorders>
              <w:top w:val="dotted" w:sz="4" w:space="0" w:color="A6A6A6" w:themeColor="background1" w:themeShade="A6"/>
            </w:tcBorders>
          </w:tcPr>
          <w:p w14:paraId="06BE3DBB"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color w:val="auto"/>
                <w:sz w:val="20"/>
                <w:szCs w:val="20"/>
                <w:lang w:val="en-GB"/>
              </w:rPr>
            </w:pPr>
          </w:p>
        </w:tc>
        <w:tc>
          <w:tcPr>
            <w:tcW w:w="1471" w:type="dxa"/>
            <w:vMerge w:val="restart"/>
            <w:tcBorders>
              <w:top w:val="dotted" w:sz="4" w:space="0" w:color="A6A6A6" w:themeColor="background1" w:themeShade="A6"/>
            </w:tcBorders>
          </w:tcPr>
          <w:p w14:paraId="4B52EEFF" w14:textId="77777777" w:rsidR="00E202A2" w:rsidRPr="00104523" w:rsidRDefault="00E202A2" w:rsidP="0073206D">
            <w:pPr>
              <w:pStyle w:val="TreA"/>
              <w:spacing w:after="0" w:line="240" w:lineRule="auto"/>
              <w:jc w:val="both"/>
              <w:rPr>
                <w:rFonts w:ascii="Times New Roman" w:hAnsi="Times New Roman" w:cs="Times New Roman"/>
                <w:sz w:val="20"/>
                <w:szCs w:val="20"/>
              </w:rPr>
            </w:pPr>
            <w:r>
              <w:rPr>
                <w:rFonts w:ascii="Times New Roman" w:hAnsi="Times New Roman" w:cs="Times New Roman"/>
                <w:sz w:val="20"/>
                <w:szCs w:val="20"/>
              </w:rPr>
              <w:t>(Tu et al., 2012)</w:t>
            </w:r>
          </w:p>
          <w:p w14:paraId="47A79217" w14:textId="77777777" w:rsidR="00E202A2" w:rsidRPr="003F3104" w:rsidRDefault="00E202A2" w:rsidP="0073206D">
            <w:pPr>
              <w:pStyle w:val="Normal1"/>
              <w:spacing w:line="240" w:lineRule="auto"/>
              <w:jc w:val="both"/>
              <w:outlineLvl w:val="0"/>
              <w:rPr>
                <w:rFonts w:ascii="Times New Roman" w:eastAsia="Times New Roman" w:hAnsi="Times New Roman" w:cs="Times New Roman"/>
                <w:i/>
                <w:color w:val="auto"/>
                <w:sz w:val="20"/>
                <w:szCs w:val="20"/>
                <w:lang w:val="en-GB"/>
              </w:rPr>
            </w:pPr>
          </w:p>
        </w:tc>
      </w:tr>
      <w:tr w:rsidR="00E202A2" w:rsidRPr="00F23705" w14:paraId="2CCD9BF0" w14:textId="77777777" w:rsidTr="0073206D">
        <w:trPr>
          <w:trHeight w:val="832"/>
        </w:trPr>
        <w:tc>
          <w:tcPr>
            <w:tcW w:w="5220" w:type="dxa"/>
          </w:tcPr>
          <w:p w14:paraId="424D51B7" w14:textId="77777777" w:rsidR="00E202A2" w:rsidRPr="001618C1" w:rsidRDefault="00E202A2" w:rsidP="0073206D">
            <w:pPr>
              <w:jc w:val="both"/>
              <w:rPr>
                <w:sz w:val="20"/>
                <w:szCs w:val="20"/>
              </w:rPr>
            </w:pPr>
            <w:r w:rsidRPr="001618C1">
              <w:rPr>
                <w:sz w:val="20"/>
                <w:szCs w:val="20"/>
              </w:rPr>
              <w:t>My heart mostly belongs to my local community</w:t>
            </w:r>
          </w:p>
          <w:p w14:paraId="2B44BB6A" w14:textId="77777777" w:rsidR="00E202A2" w:rsidRPr="001618C1" w:rsidRDefault="00E202A2" w:rsidP="0073206D">
            <w:pPr>
              <w:jc w:val="both"/>
              <w:rPr>
                <w:sz w:val="20"/>
                <w:szCs w:val="20"/>
              </w:rPr>
            </w:pPr>
            <w:r w:rsidRPr="001618C1">
              <w:rPr>
                <w:sz w:val="20"/>
                <w:szCs w:val="20"/>
              </w:rPr>
              <w:t>I respect my local traditions.</w:t>
            </w:r>
          </w:p>
          <w:p w14:paraId="06D6AB80" w14:textId="77777777" w:rsidR="00E202A2" w:rsidRPr="001618C1" w:rsidRDefault="00E202A2" w:rsidP="0073206D">
            <w:pPr>
              <w:jc w:val="both"/>
              <w:rPr>
                <w:sz w:val="20"/>
                <w:szCs w:val="20"/>
              </w:rPr>
            </w:pPr>
            <w:r w:rsidRPr="001618C1">
              <w:rPr>
                <w:sz w:val="20"/>
                <w:szCs w:val="20"/>
              </w:rPr>
              <w:t>I identify that I am a local citizen</w:t>
            </w:r>
          </w:p>
          <w:p w14:paraId="747E06BE" w14:textId="77777777" w:rsidR="00E202A2" w:rsidRPr="001618C1" w:rsidRDefault="00E202A2" w:rsidP="0073206D">
            <w:pPr>
              <w:jc w:val="both"/>
              <w:rPr>
                <w:sz w:val="20"/>
                <w:szCs w:val="20"/>
              </w:rPr>
            </w:pPr>
            <w:r w:rsidRPr="001618C1">
              <w:rPr>
                <w:sz w:val="20"/>
                <w:szCs w:val="20"/>
              </w:rPr>
              <w:t>I care about knowing local events.</w:t>
            </w:r>
          </w:p>
        </w:tc>
        <w:tc>
          <w:tcPr>
            <w:tcW w:w="726" w:type="dxa"/>
          </w:tcPr>
          <w:p w14:paraId="21D59E89"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r w:rsidRPr="001F3AB4">
              <w:rPr>
                <w:rFonts w:ascii="Times New Roman" w:eastAsia="Times New Roman" w:hAnsi="Times New Roman" w:cs="Times New Roman"/>
                <w:color w:val="auto"/>
                <w:sz w:val="20"/>
                <w:szCs w:val="20"/>
                <w:lang w:val="en-GB"/>
              </w:rPr>
              <w:t>0.86</w:t>
            </w:r>
          </w:p>
          <w:p w14:paraId="1B2FBCD2"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r w:rsidRPr="001F3AB4">
              <w:rPr>
                <w:rFonts w:ascii="Times New Roman" w:eastAsia="Times New Roman" w:hAnsi="Times New Roman" w:cs="Times New Roman"/>
                <w:color w:val="auto"/>
                <w:sz w:val="20"/>
                <w:szCs w:val="20"/>
                <w:lang w:val="en-GB"/>
              </w:rPr>
              <w:t>0.87</w:t>
            </w:r>
          </w:p>
          <w:p w14:paraId="116B8FF8"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r w:rsidRPr="001F3AB4">
              <w:rPr>
                <w:rFonts w:ascii="Times New Roman" w:eastAsia="Times New Roman" w:hAnsi="Times New Roman" w:cs="Times New Roman"/>
                <w:color w:val="auto"/>
                <w:sz w:val="20"/>
                <w:szCs w:val="20"/>
                <w:lang w:val="en-GB"/>
              </w:rPr>
              <w:t>0.93</w:t>
            </w:r>
          </w:p>
          <w:p w14:paraId="667EE21A"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r w:rsidRPr="001F3AB4">
              <w:rPr>
                <w:rFonts w:ascii="Times New Roman" w:eastAsia="Times New Roman" w:hAnsi="Times New Roman" w:cs="Times New Roman"/>
                <w:color w:val="auto"/>
                <w:sz w:val="20"/>
                <w:szCs w:val="20"/>
                <w:lang w:val="en-GB"/>
              </w:rPr>
              <w:t>0.91</w:t>
            </w:r>
          </w:p>
        </w:tc>
        <w:tc>
          <w:tcPr>
            <w:tcW w:w="726" w:type="dxa"/>
          </w:tcPr>
          <w:p w14:paraId="2CB4E473"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0.74</w:t>
            </w:r>
          </w:p>
          <w:p w14:paraId="32ACE3EC"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0.75</w:t>
            </w:r>
          </w:p>
          <w:p w14:paraId="2DB0ADE7"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0.87</w:t>
            </w:r>
          </w:p>
          <w:p w14:paraId="6E0C303C"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r w:rsidRPr="001F3AB4">
              <w:rPr>
                <w:rFonts w:ascii="Times New Roman" w:eastAsia="Times New Roman" w:hAnsi="Times New Roman" w:cs="Times New Roman"/>
                <w:bCs/>
                <w:iCs/>
                <w:color w:val="auto"/>
                <w:sz w:val="20"/>
                <w:szCs w:val="20"/>
                <w:lang w:val="en-GB"/>
              </w:rPr>
              <w:t>0.83</w:t>
            </w:r>
          </w:p>
        </w:tc>
        <w:tc>
          <w:tcPr>
            <w:tcW w:w="1539" w:type="dxa"/>
          </w:tcPr>
          <w:p w14:paraId="64A36C46"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color w:val="auto"/>
                <w:sz w:val="20"/>
                <w:szCs w:val="20"/>
                <w:lang w:val="en-GB"/>
              </w:rPr>
              <w:t>4.29</w:t>
            </w:r>
            <w:r w:rsidRPr="001F3AB4">
              <w:rPr>
                <w:rFonts w:ascii="Times New Roman" w:eastAsia="Times New Roman" w:hAnsi="Times New Roman" w:cs="Times New Roman"/>
                <w:bCs/>
                <w:iCs/>
                <w:color w:val="auto"/>
                <w:sz w:val="20"/>
                <w:szCs w:val="20"/>
                <w:lang w:val="en-GB"/>
              </w:rPr>
              <w:t xml:space="preserve"> (1.58)</w:t>
            </w:r>
          </w:p>
          <w:p w14:paraId="6C7DAAA5"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4.08 (1.62)</w:t>
            </w:r>
          </w:p>
          <w:p w14:paraId="2C086764"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4.48 (1.56)</w:t>
            </w:r>
          </w:p>
          <w:p w14:paraId="59732D16"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r w:rsidRPr="001F3AB4">
              <w:rPr>
                <w:rFonts w:ascii="Times New Roman" w:eastAsia="Times New Roman" w:hAnsi="Times New Roman" w:cs="Times New Roman"/>
                <w:bCs/>
                <w:iCs/>
                <w:color w:val="auto"/>
                <w:sz w:val="20"/>
                <w:szCs w:val="20"/>
                <w:lang w:val="en-GB"/>
              </w:rPr>
              <w:t>3.95 (1.72)</w:t>
            </w:r>
          </w:p>
        </w:tc>
        <w:tc>
          <w:tcPr>
            <w:tcW w:w="1471" w:type="dxa"/>
            <w:vMerge/>
          </w:tcPr>
          <w:p w14:paraId="329582F4" w14:textId="77777777" w:rsidR="00E202A2" w:rsidRPr="00F23705"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tc>
      </w:tr>
      <w:tr w:rsidR="00E202A2" w:rsidRPr="003F3104" w14:paraId="4A3576A6" w14:textId="77777777" w:rsidTr="0073206D">
        <w:trPr>
          <w:trHeight w:val="258"/>
        </w:trPr>
        <w:tc>
          <w:tcPr>
            <w:tcW w:w="5220" w:type="dxa"/>
            <w:tcBorders>
              <w:top w:val="dotted" w:sz="4" w:space="0" w:color="A6A6A6" w:themeColor="background1" w:themeShade="A6"/>
            </w:tcBorders>
          </w:tcPr>
          <w:p w14:paraId="66E42319" w14:textId="77777777" w:rsidR="00E202A2" w:rsidRPr="003F3104" w:rsidRDefault="00E202A2" w:rsidP="0073206D">
            <w:pPr>
              <w:jc w:val="both"/>
              <w:rPr>
                <w:rFonts w:eastAsia="Arial"/>
                <w:b/>
                <w:i/>
                <w:iCs/>
                <w:color w:val="666666"/>
                <w:sz w:val="20"/>
                <w:szCs w:val="20"/>
              </w:rPr>
            </w:pPr>
            <w:r w:rsidRPr="003F3104">
              <w:rPr>
                <w:rFonts w:eastAsia="Cardo"/>
                <w:i/>
                <w:iCs/>
              </w:rPr>
              <w:t>Perceived consumer effectiveness</w:t>
            </w:r>
            <w:r w:rsidRPr="00F23705">
              <w:rPr>
                <w:sz w:val="20"/>
                <w:szCs w:val="20"/>
                <w:shd w:val="clear" w:color="auto" w:fill="FFFFFF"/>
              </w:rPr>
              <w:t>‡</w:t>
            </w:r>
          </w:p>
        </w:tc>
        <w:tc>
          <w:tcPr>
            <w:tcW w:w="726" w:type="dxa"/>
            <w:tcBorders>
              <w:top w:val="dotted" w:sz="4" w:space="0" w:color="A6A6A6" w:themeColor="background1" w:themeShade="A6"/>
            </w:tcBorders>
          </w:tcPr>
          <w:p w14:paraId="592358E9"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iCs/>
                <w:color w:val="auto"/>
                <w:sz w:val="20"/>
                <w:szCs w:val="20"/>
                <w:lang w:val="en-GB"/>
              </w:rPr>
            </w:pPr>
          </w:p>
        </w:tc>
        <w:tc>
          <w:tcPr>
            <w:tcW w:w="726" w:type="dxa"/>
            <w:tcBorders>
              <w:top w:val="dotted" w:sz="4" w:space="0" w:color="A6A6A6" w:themeColor="background1" w:themeShade="A6"/>
            </w:tcBorders>
          </w:tcPr>
          <w:p w14:paraId="3C16D2E3"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iCs/>
                <w:color w:val="auto"/>
                <w:sz w:val="20"/>
                <w:szCs w:val="20"/>
                <w:lang w:val="en-GB"/>
              </w:rPr>
            </w:pPr>
          </w:p>
        </w:tc>
        <w:tc>
          <w:tcPr>
            <w:tcW w:w="1539" w:type="dxa"/>
            <w:tcBorders>
              <w:top w:val="dotted" w:sz="4" w:space="0" w:color="A6A6A6" w:themeColor="background1" w:themeShade="A6"/>
            </w:tcBorders>
          </w:tcPr>
          <w:p w14:paraId="52A52C0D" w14:textId="77777777" w:rsidR="00E202A2" w:rsidRPr="001F3AB4" w:rsidRDefault="00E202A2" w:rsidP="0073206D">
            <w:pPr>
              <w:pStyle w:val="Normal1"/>
              <w:spacing w:line="240" w:lineRule="auto"/>
              <w:jc w:val="both"/>
              <w:outlineLvl w:val="0"/>
              <w:rPr>
                <w:rFonts w:ascii="Times New Roman" w:eastAsia="Times New Roman" w:hAnsi="Times New Roman" w:cs="Times New Roman"/>
                <w:i/>
                <w:iCs/>
                <w:color w:val="auto"/>
                <w:sz w:val="20"/>
                <w:szCs w:val="20"/>
                <w:lang w:val="en-GB"/>
              </w:rPr>
            </w:pPr>
          </w:p>
        </w:tc>
        <w:tc>
          <w:tcPr>
            <w:tcW w:w="1471" w:type="dxa"/>
            <w:vMerge w:val="restart"/>
            <w:tcBorders>
              <w:top w:val="dotted" w:sz="4" w:space="0" w:color="A6A6A6" w:themeColor="background1" w:themeShade="A6"/>
            </w:tcBorders>
          </w:tcPr>
          <w:p w14:paraId="2597C38B" w14:textId="77777777" w:rsidR="00E202A2" w:rsidRPr="003F3104" w:rsidRDefault="00E202A2" w:rsidP="0073206D">
            <w:pPr>
              <w:pStyle w:val="TreA"/>
              <w:spacing w:after="0" w:line="240" w:lineRule="auto"/>
              <w:jc w:val="both"/>
              <w:rPr>
                <w:rFonts w:ascii="Times New Roman" w:eastAsia="Times New Roman" w:hAnsi="Times New Roman" w:cs="Times New Roman"/>
                <w:b/>
                <w:i/>
                <w:iCs/>
                <w:color w:val="auto"/>
                <w:sz w:val="20"/>
                <w:szCs w:val="20"/>
                <w:lang w:val="en-GB"/>
              </w:rPr>
            </w:pPr>
            <w:r>
              <w:rPr>
                <w:rFonts w:ascii="Times New Roman" w:hAnsi="Times New Roman" w:cs="Times New Roman"/>
                <w:sz w:val="20"/>
                <w:szCs w:val="20"/>
              </w:rPr>
              <w:t>(</w:t>
            </w:r>
            <w:r w:rsidRPr="00104523">
              <w:rPr>
                <w:rFonts w:ascii="Times New Roman" w:hAnsi="Times New Roman" w:cs="Times New Roman"/>
                <w:sz w:val="20"/>
                <w:szCs w:val="20"/>
              </w:rPr>
              <w:fldChar w:fldCharType="begin"/>
            </w:r>
            <w:r w:rsidRPr="00104523">
              <w:rPr>
                <w:rFonts w:ascii="Times New Roman" w:hAnsi="Times New Roman" w:cs="Times New Roman"/>
                <w:sz w:val="20"/>
                <w:szCs w:val="20"/>
              </w:rPr>
              <w:instrText xml:space="preserve"> ADDIN EN.CITE &lt;EndNote&gt;&lt;Cite&gt;&lt;Author&gt;Webb&lt;/Author&gt;&lt;Year&gt;2008&lt;/Year&gt;&lt;RecNum&gt;702&lt;/RecNum&gt;&lt;DisplayText&gt;(Webb et al., 2008)&lt;/DisplayText&gt;&lt;record&gt;&lt;rec-number&gt;702&lt;/rec-number&gt;&lt;foreign-keys&gt;&lt;key app="EN" db-id="e99tpwtz9dt509e2z5sxsdt2dezd0dftfspz" timestamp="0"&gt;702&lt;/key&gt;&lt;/foreign-keys&gt;&lt;ref-type name="Journal Article"&gt;17&lt;/ref-type&gt;&lt;contributors&gt;&lt;authors&gt;&lt;author&gt;Deborah J Webb&lt;/author&gt;&lt;author&gt;Lois A Mohr&lt;/author&gt;&lt;author&gt;Katherine E Harris&lt;/author&gt;&lt;/authors&gt;&lt;/contributors&gt;&lt;titles&gt;&lt;title&gt;A re-examination of socially responsible consumption and its measurement&lt;/title&gt;&lt;secondary-title&gt;Journal of Business Research&lt;/secondary-title&gt;&lt;/titles&gt;&lt;periodical&gt;&lt;full-title&gt;Journal of Business Research&lt;/full-title&gt;&lt;/periodical&gt;&lt;pages&gt;91-98&lt;/pages&gt;&lt;volume&gt;61&lt;/volume&gt;&lt;dates&gt;&lt;year&gt;2008&lt;/year&gt;&lt;/dates&gt;&lt;urls&gt;&lt;/urls&gt;&lt;/record&gt;&lt;/Cite&gt;&lt;/EndNote&gt;</w:instrText>
            </w:r>
            <w:r w:rsidRPr="00104523">
              <w:rPr>
                <w:rFonts w:ascii="Times New Roman" w:hAnsi="Times New Roman" w:cs="Times New Roman"/>
                <w:sz w:val="20"/>
                <w:szCs w:val="20"/>
              </w:rPr>
              <w:fldChar w:fldCharType="separate"/>
            </w:r>
            <w:r>
              <w:rPr>
                <w:rFonts w:ascii="Times New Roman" w:hAnsi="Times New Roman" w:cs="Times New Roman"/>
                <w:noProof/>
                <w:sz w:val="20"/>
                <w:szCs w:val="20"/>
              </w:rPr>
              <w:t xml:space="preserve">Kang et al., 2013) </w:t>
            </w:r>
            <w:r w:rsidRPr="00104523">
              <w:rPr>
                <w:rFonts w:ascii="Times New Roman" w:hAnsi="Times New Roman" w:cs="Times New Roman"/>
                <w:sz w:val="20"/>
                <w:szCs w:val="20"/>
              </w:rPr>
              <w:fldChar w:fldCharType="end"/>
            </w:r>
            <w:r w:rsidRPr="003F3104">
              <w:rPr>
                <w:rFonts w:ascii="Times New Roman" w:eastAsia="Times New Roman" w:hAnsi="Times New Roman" w:cs="Times New Roman"/>
                <w:b/>
                <w:i/>
                <w:iCs/>
                <w:color w:val="auto"/>
                <w:sz w:val="20"/>
                <w:szCs w:val="20"/>
                <w:lang w:val="en-GB"/>
              </w:rPr>
              <w:t xml:space="preserve"> </w:t>
            </w:r>
          </w:p>
        </w:tc>
      </w:tr>
      <w:tr w:rsidR="00E202A2" w:rsidRPr="00F23705" w14:paraId="05EAB7C3" w14:textId="77777777" w:rsidTr="0073206D">
        <w:trPr>
          <w:trHeight w:val="258"/>
        </w:trPr>
        <w:tc>
          <w:tcPr>
            <w:tcW w:w="5220" w:type="dxa"/>
            <w:tcBorders>
              <w:bottom w:val="single" w:sz="4" w:space="0" w:color="auto"/>
            </w:tcBorders>
          </w:tcPr>
          <w:p w14:paraId="00159F44" w14:textId="77777777" w:rsidR="00E202A2" w:rsidRDefault="00E202A2" w:rsidP="0073206D">
            <w:pPr>
              <w:pStyle w:val="TreA"/>
              <w:spacing w:after="0" w:line="240" w:lineRule="auto"/>
              <w:jc w:val="both"/>
              <w:rPr>
                <w:rFonts w:ascii="Times New Roman" w:hAnsi="Times New Roman" w:cs="Times New Roman"/>
                <w:sz w:val="20"/>
                <w:szCs w:val="20"/>
              </w:rPr>
            </w:pPr>
            <w:r w:rsidRPr="00104523">
              <w:rPr>
                <w:rFonts w:ascii="Times New Roman" w:hAnsi="Times New Roman" w:cs="Times New Roman"/>
                <w:sz w:val="20"/>
                <w:szCs w:val="20"/>
              </w:rPr>
              <w:t xml:space="preserve">What I purchase as a consumer </w:t>
            </w:r>
            <w:proofErr w:type="gramStart"/>
            <w:r w:rsidRPr="00104523">
              <w:rPr>
                <w:rFonts w:ascii="Times New Roman" w:hAnsi="Times New Roman" w:cs="Times New Roman"/>
                <w:sz w:val="20"/>
                <w:szCs w:val="20"/>
              </w:rPr>
              <w:t>has an effect on</w:t>
            </w:r>
            <w:proofErr w:type="gramEnd"/>
            <w:r w:rsidRPr="00104523">
              <w:rPr>
                <w:rFonts w:ascii="Times New Roman" w:hAnsi="Times New Roman" w:cs="Times New Roman"/>
                <w:sz w:val="20"/>
                <w:szCs w:val="20"/>
              </w:rPr>
              <w:t xml:space="preserve"> the nation's environmental problems. </w:t>
            </w:r>
          </w:p>
          <w:p w14:paraId="588BA8D3" w14:textId="77777777" w:rsidR="00E202A2" w:rsidRPr="00104523" w:rsidRDefault="00E202A2" w:rsidP="0073206D">
            <w:pPr>
              <w:pStyle w:val="TreA"/>
              <w:spacing w:after="0" w:line="240" w:lineRule="auto"/>
              <w:jc w:val="both"/>
              <w:rPr>
                <w:rFonts w:ascii="Times New Roman" w:hAnsi="Times New Roman" w:cs="Times New Roman"/>
                <w:sz w:val="20"/>
                <w:szCs w:val="20"/>
              </w:rPr>
            </w:pPr>
            <w:r w:rsidRPr="00104523">
              <w:rPr>
                <w:rFonts w:ascii="Times New Roman" w:hAnsi="Times New Roman" w:cs="Times New Roman"/>
                <w:sz w:val="20"/>
                <w:szCs w:val="20"/>
              </w:rPr>
              <w:t xml:space="preserve">Each consumer's behavior can </w:t>
            </w:r>
            <w:proofErr w:type="gramStart"/>
            <w:r w:rsidRPr="00104523">
              <w:rPr>
                <w:rFonts w:ascii="Times New Roman" w:hAnsi="Times New Roman" w:cs="Times New Roman"/>
                <w:sz w:val="20"/>
                <w:szCs w:val="20"/>
              </w:rPr>
              <w:t>have an effect on</w:t>
            </w:r>
            <w:proofErr w:type="gramEnd"/>
            <w:r w:rsidRPr="00104523">
              <w:rPr>
                <w:rFonts w:ascii="Times New Roman" w:hAnsi="Times New Roman" w:cs="Times New Roman"/>
                <w:sz w:val="20"/>
                <w:szCs w:val="20"/>
              </w:rPr>
              <w:t xml:space="preserve"> how</w:t>
            </w:r>
          </w:p>
          <w:p w14:paraId="00D89E8B" w14:textId="77777777" w:rsidR="00E202A2" w:rsidRDefault="00E202A2" w:rsidP="0073206D">
            <w:pPr>
              <w:jc w:val="both"/>
              <w:rPr>
                <w:sz w:val="20"/>
                <w:szCs w:val="20"/>
              </w:rPr>
            </w:pPr>
            <w:r w:rsidRPr="00104523">
              <w:rPr>
                <w:sz w:val="20"/>
                <w:szCs w:val="20"/>
              </w:rPr>
              <w:t>companies treat their employees</w:t>
            </w:r>
            <w:r>
              <w:rPr>
                <w:sz w:val="20"/>
                <w:szCs w:val="20"/>
              </w:rPr>
              <w:t>.</w:t>
            </w:r>
          </w:p>
          <w:p w14:paraId="1146ED3A" w14:textId="77777777" w:rsidR="00E202A2" w:rsidRPr="00104523" w:rsidRDefault="00E202A2" w:rsidP="0073206D">
            <w:pPr>
              <w:pStyle w:val="TreA"/>
              <w:spacing w:after="0" w:line="240" w:lineRule="auto"/>
              <w:jc w:val="both"/>
              <w:rPr>
                <w:rFonts w:ascii="Times New Roman" w:hAnsi="Times New Roman" w:cs="Times New Roman"/>
                <w:sz w:val="20"/>
                <w:szCs w:val="20"/>
              </w:rPr>
            </w:pPr>
            <w:r w:rsidRPr="00104523">
              <w:rPr>
                <w:rFonts w:ascii="Times New Roman" w:hAnsi="Times New Roman" w:cs="Times New Roman"/>
                <w:sz w:val="20"/>
                <w:szCs w:val="20"/>
              </w:rPr>
              <w:t>Since one consumer cannot have any effect on how</w:t>
            </w:r>
          </w:p>
          <w:p w14:paraId="69077C6C" w14:textId="77777777" w:rsidR="00E202A2" w:rsidRDefault="00E202A2" w:rsidP="0073206D">
            <w:pPr>
              <w:jc w:val="both"/>
              <w:rPr>
                <w:sz w:val="20"/>
                <w:szCs w:val="20"/>
              </w:rPr>
            </w:pPr>
            <w:r w:rsidRPr="00104523">
              <w:rPr>
                <w:sz w:val="20"/>
                <w:szCs w:val="20"/>
              </w:rPr>
              <w:t xml:space="preserve">companies behave toward the community, it does not make any difference what I </w:t>
            </w:r>
            <w:proofErr w:type="gramStart"/>
            <w:r w:rsidRPr="00104523">
              <w:rPr>
                <w:sz w:val="20"/>
                <w:szCs w:val="20"/>
              </w:rPr>
              <w:t>do.</w:t>
            </w:r>
            <w:r>
              <w:rPr>
                <w:sz w:val="20"/>
                <w:szCs w:val="20"/>
              </w:rPr>
              <w:t>*</w:t>
            </w:r>
            <w:proofErr w:type="gramEnd"/>
          </w:p>
          <w:p w14:paraId="5F3D22F9" w14:textId="77777777" w:rsidR="00E202A2" w:rsidRPr="00F23705" w:rsidRDefault="00E202A2" w:rsidP="0073206D">
            <w:pPr>
              <w:jc w:val="both"/>
              <w:rPr>
                <w:rFonts w:eastAsia="Arial"/>
                <w:b/>
                <w:i/>
                <w:color w:val="666666"/>
                <w:sz w:val="20"/>
                <w:szCs w:val="20"/>
              </w:rPr>
            </w:pPr>
            <w:r w:rsidRPr="00104523">
              <w:rPr>
                <w:sz w:val="20"/>
                <w:szCs w:val="20"/>
              </w:rPr>
              <w:t>Each consumer can have a positive effect on society by</w:t>
            </w:r>
            <w:r>
              <w:rPr>
                <w:sz w:val="20"/>
                <w:szCs w:val="20"/>
              </w:rPr>
              <w:t xml:space="preserve"> </w:t>
            </w:r>
            <w:r w:rsidRPr="00104523">
              <w:rPr>
                <w:sz w:val="20"/>
                <w:szCs w:val="20"/>
              </w:rPr>
              <w:t>purchasing products sold by socially responsible companies.</w:t>
            </w:r>
          </w:p>
        </w:tc>
        <w:tc>
          <w:tcPr>
            <w:tcW w:w="726" w:type="dxa"/>
            <w:tcBorders>
              <w:bottom w:val="single" w:sz="4" w:space="0" w:color="auto"/>
            </w:tcBorders>
          </w:tcPr>
          <w:p w14:paraId="4773839F"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r w:rsidRPr="001F3AB4">
              <w:rPr>
                <w:rFonts w:ascii="Times New Roman" w:eastAsia="Times New Roman" w:hAnsi="Times New Roman" w:cs="Times New Roman"/>
                <w:color w:val="auto"/>
                <w:sz w:val="20"/>
                <w:szCs w:val="20"/>
                <w:lang w:val="en-GB"/>
              </w:rPr>
              <w:t>0.77</w:t>
            </w:r>
          </w:p>
          <w:p w14:paraId="358D4A72"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p w14:paraId="086DCF89"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r w:rsidRPr="001F3AB4">
              <w:rPr>
                <w:rFonts w:ascii="Times New Roman" w:eastAsia="Times New Roman" w:hAnsi="Times New Roman" w:cs="Times New Roman"/>
                <w:color w:val="auto"/>
                <w:sz w:val="20"/>
                <w:szCs w:val="20"/>
                <w:lang w:val="en-GB"/>
              </w:rPr>
              <w:t>0.86</w:t>
            </w:r>
          </w:p>
          <w:p w14:paraId="77BF5F42"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p w14:paraId="03B6526E"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r w:rsidRPr="001F3AB4">
              <w:rPr>
                <w:rFonts w:ascii="Times New Roman" w:eastAsia="Times New Roman" w:hAnsi="Times New Roman" w:cs="Times New Roman"/>
                <w:color w:val="auto"/>
                <w:sz w:val="20"/>
                <w:szCs w:val="20"/>
                <w:lang w:val="en-GB"/>
              </w:rPr>
              <w:t>0.86</w:t>
            </w:r>
          </w:p>
          <w:p w14:paraId="0484E55C"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p w14:paraId="795FB204" w14:textId="77777777" w:rsidR="00E202A2" w:rsidRPr="001F3AB4"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p w14:paraId="673D3B1D" w14:textId="77777777" w:rsidR="00E202A2" w:rsidRPr="001F3AB4"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1F3AB4">
              <w:rPr>
                <w:rFonts w:ascii="Times New Roman" w:eastAsia="Times New Roman" w:hAnsi="Times New Roman" w:cs="Times New Roman"/>
                <w:color w:val="auto"/>
                <w:sz w:val="20"/>
                <w:szCs w:val="20"/>
                <w:lang w:val="en-GB"/>
              </w:rPr>
              <w:t>0.87</w:t>
            </w:r>
          </w:p>
        </w:tc>
        <w:tc>
          <w:tcPr>
            <w:tcW w:w="726" w:type="dxa"/>
            <w:tcBorders>
              <w:bottom w:val="single" w:sz="4" w:space="0" w:color="auto"/>
            </w:tcBorders>
          </w:tcPr>
          <w:p w14:paraId="3311A486"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0.60</w:t>
            </w:r>
          </w:p>
          <w:p w14:paraId="46E16C1D"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50FD80A8"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0.74</w:t>
            </w:r>
          </w:p>
          <w:p w14:paraId="283D8AFE"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5C0A0392"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0.75</w:t>
            </w:r>
          </w:p>
          <w:p w14:paraId="0737D4F4"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03F1511D"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5BC1690D" w14:textId="77777777" w:rsidR="00E202A2" w:rsidRPr="001F3AB4" w:rsidRDefault="00E202A2" w:rsidP="0073206D">
            <w:pPr>
              <w:pStyle w:val="Normal1"/>
              <w:spacing w:line="240" w:lineRule="auto"/>
              <w:jc w:val="both"/>
              <w:outlineLvl w:val="0"/>
              <w:rPr>
                <w:rFonts w:ascii="Times New Roman" w:eastAsia="Times New Roman" w:hAnsi="Times New Roman" w:cs="Times New Roman"/>
                <w:b/>
                <w:i/>
                <w:color w:val="auto"/>
                <w:sz w:val="20"/>
                <w:szCs w:val="20"/>
                <w:lang w:val="en-GB"/>
              </w:rPr>
            </w:pPr>
            <w:r w:rsidRPr="001F3AB4">
              <w:rPr>
                <w:rFonts w:ascii="Times New Roman" w:eastAsia="Times New Roman" w:hAnsi="Times New Roman" w:cs="Times New Roman"/>
                <w:bCs/>
                <w:iCs/>
                <w:color w:val="auto"/>
                <w:sz w:val="20"/>
                <w:szCs w:val="20"/>
                <w:lang w:val="en-GB"/>
              </w:rPr>
              <w:t>0.77</w:t>
            </w:r>
          </w:p>
        </w:tc>
        <w:tc>
          <w:tcPr>
            <w:tcW w:w="1539" w:type="dxa"/>
            <w:tcBorders>
              <w:bottom w:val="single" w:sz="4" w:space="0" w:color="auto"/>
            </w:tcBorders>
          </w:tcPr>
          <w:p w14:paraId="25E7F54F"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5.55 (1.72)</w:t>
            </w:r>
          </w:p>
          <w:p w14:paraId="4EBAAC84"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6A793578"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5.06 (1.59)</w:t>
            </w:r>
          </w:p>
          <w:p w14:paraId="47051D8D"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2A4B85B6"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5.34 (1.43)</w:t>
            </w:r>
          </w:p>
          <w:p w14:paraId="2E5568A4"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1D9C2709"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p>
          <w:p w14:paraId="0A923461" w14:textId="77777777" w:rsidR="00E202A2" w:rsidRPr="001F3AB4" w:rsidRDefault="00E202A2" w:rsidP="0073206D">
            <w:pPr>
              <w:pStyle w:val="Normal1"/>
              <w:spacing w:line="240" w:lineRule="auto"/>
              <w:jc w:val="both"/>
              <w:outlineLvl w:val="0"/>
              <w:rPr>
                <w:rFonts w:ascii="Times New Roman" w:eastAsia="Times New Roman" w:hAnsi="Times New Roman" w:cs="Times New Roman"/>
                <w:bCs/>
                <w:iCs/>
                <w:color w:val="auto"/>
                <w:sz w:val="20"/>
                <w:szCs w:val="20"/>
                <w:lang w:val="en-GB"/>
              </w:rPr>
            </w:pPr>
            <w:r w:rsidRPr="001F3AB4">
              <w:rPr>
                <w:rFonts w:ascii="Times New Roman" w:eastAsia="Times New Roman" w:hAnsi="Times New Roman" w:cs="Times New Roman"/>
                <w:bCs/>
                <w:iCs/>
                <w:color w:val="auto"/>
                <w:sz w:val="20"/>
                <w:szCs w:val="20"/>
                <w:lang w:val="en-GB"/>
              </w:rPr>
              <w:t>5.34 (1.34)</w:t>
            </w:r>
          </w:p>
        </w:tc>
        <w:tc>
          <w:tcPr>
            <w:tcW w:w="1471" w:type="dxa"/>
            <w:vMerge/>
            <w:tcBorders>
              <w:bottom w:val="single" w:sz="4" w:space="0" w:color="auto"/>
            </w:tcBorders>
          </w:tcPr>
          <w:p w14:paraId="25F011E1" w14:textId="77777777" w:rsidR="00E202A2" w:rsidRPr="00F23705" w:rsidRDefault="00E202A2" w:rsidP="0073206D">
            <w:pPr>
              <w:pStyle w:val="Normal1"/>
              <w:spacing w:line="240" w:lineRule="auto"/>
              <w:jc w:val="both"/>
              <w:outlineLvl w:val="0"/>
              <w:rPr>
                <w:rFonts w:ascii="Times New Roman" w:eastAsia="Times New Roman" w:hAnsi="Times New Roman" w:cs="Times New Roman"/>
                <w:color w:val="auto"/>
                <w:sz w:val="20"/>
                <w:szCs w:val="20"/>
                <w:lang w:val="en-GB"/>
              </w:rPr>
            </w:pPr>
          </w:p>
        </w:tc>
      </w:tr>
    </w:tbl>
    <w:p w14:paraId="18987135" w14:textId="77777777" w:rsidR="00E202A2" w:rsidRPr="00F23705" w:rsidRDefault="00E202A2" w:rsidP="00E202A2">
      <w:pPr>
        <w:jc w:val="both"/>
        <w:rPr>
          <w:sz w:val="20"/>
          <w:szCs w:val="20"/>
        </w:rPr>
      </w:pPr>
      <w:r w:rsidRPr="00F23705">
        <w:rPr>
          <w:rFonts w:eastAsia="Times New Roman,Times New Roman"/>
          <w:sz w:val="20"/>
          <w:szCs w:val="20"/>
        </w:rPr>
        <w:t>Note: * Item was reverse scored</w:t>
      </w:r>
      <w:r w:rsidRPr="00F23705">
        <w:rPr>
          <w:sz w:val="20"/>
          <w:szCs w:val="20"/>
          <w:shd w:val="clear" w:color="auto" w:fill="FFFFFF"/>
        </w:rPr>
        <w:t xml:space="preserve">; † item anchored from 1 = </w:t>
      </w:r>
      <w:r w:rsidRPr="00F23705">
        <w:rPr>
          <w:i/>
          <w:sz w:val="20"/>
          <w:szCs w:val="20"/>
          <w:shd w:val="clear" w:color="auto" w:fill="FFFFFF"/>
        </w:rPr>
        <w:t>strongly disagree</w:t>
      </w:r>
      <w:r w:rsidRPr="00F23705">
        <w:rPr>
          <w:sz w:val="20"/>
          <w:szCs w:val="20"/>
          <w:shd w:val="clear" w:color="auto" w:fill="FFFFFF"/>
        </w:rPr>
        <w:t xml:space="preserve"> to </w:t>
      </w:r>
      <w:r>
        <w:rPr>
          <w:sz w:val="20"/>
          <w:szCs w:val="20"/>
          <w:shd w:val="clear" w:color="auto" w:fill="FFFFFF"/>
        </w:rPr>
        <w:t>5</w:t>
      </w:r>
      <w:r w:rsidRPr="00F23705">
        <w:rPr>
          <w:sz w:val="20"/>
          <w:szCs w:val="20"/>
          <w:shd w:val="clear" w:color="auto" w:fill="FFFFFF"/>
        </w:rPr>
        <w:t xml:space="preserve"> = </w:t>
      </w:r>
      <w:r w:rsidRPr="00F23705">
        <w:rPr>
          <w:i/>
          <w:sz w:val="20"/>
          <w:szCs w:val="20"/>
          <w:shd w:val="clear" w:color="auto" w:fill="FFFFFF"/>
        </w:rPr>
        <w:t>strongly agree</w:t>
      </w:r>
      <w:r w:rsidRPr="00F23705">
        <w:rPr>
          <w:sz w:val="20"/>
          <w:szCs w:val="20"/>
          <w:shd w:val="clear" w:color="auto" w:fill="FFFFFF"/>
        </w:rPr>
        <w:t>; ‡</w:t>
      </w:r>
    </w:p>
    <w:p w14:paraId="2B3BCF07" w14:textId="77777777" w:rsidR="00E202A2" w:rsidRDefault="00E202A2" w:rsidP="00E202A2">
      <w:pPr>
        <w:jc w:val="both"/>
        <w:rPr>
          <w:sz w:val="20"/>
          <w:szCs w:val="20"/>
          <w:shd w:val="clear" w:color="auto" w:fill="FFFFFF"/>
        </w:rPr>
      </w:pPr>
      <w:r w:rsidRPr="00F23705">
        <w:rPr>
          <w:sz w:val="20"/>
          <w:szCs w:val="20"/>
          <w:shd w:val="clear" w:color="auto" w:fill="FFFFFF"/>
        </w:rPr>
        <w:t xml:space="preserve"> item anchored from 1 = </w:t>
      </w:r>
      <w:r w:rsidRPr="00F23705">
        <w:rPr>
          <w:i/>
          <w:sz w:val="20"/>
          <w:szCs w:val="20"/>
          <w:shd w:val="clear" w:color="auto" w:fill="FFFFFF"/>
        </w:rPr>
        <w:t>strongly disagree</w:t>
      </w:r>
      <w:r w:rsidRPr="00F23705">
        <w:rPr>
          <w:sz w:val="20"/>
          <w:szCs w:val="20"/>
          <w:shd w:val="clear" w:color="auto" w:fill="FFFFFF"/>
        </w:rPr>
        <w:t xml:space="preserve"> to </w:t>
      </w:r>
      <w:r>
        <w:rPr>
          <w:sz w:val="20"/>
          <w:szCs w:val="20"/>
          <w:shd w:val="clear" w:color="auto" w:fill="FFFFFF"/>
        </w:rPr>
        <w:t>7</w:t>
      </w:r>
      <w:r w:rsidRPr="00F23705">
        <w:rPr>
          <w:sz w:val="20"/>
          <w:szCs w:val="20"/>
          <w:shd w:val="clear" w:color="auto" w:fill="FFFFFF"/>
        </w:rPr>
        <w:t xml:space="preserve"> = </w:t>
      </w:r>
      <w:r w:rsidRPr="00F23705">
        <w:rPr>
          <w:i/>
          <w:sz w:val="20"/>
          <w:szCs w:val="20"/>
          <w:shd w:val="clear" w:color="auto" w:fill="FFFFFF"/>
        </w:rPr>
        <w:t>strongly agree</w:t>
      </w:r>
      <w:r w:rsidRPr="00F23705">
        <w:rPr>
          <w:sz w:val="20"/>
          <w:szCs w:val="20"/>
          <w:shd w:val="clear" w:color="auto" w:fill="FFFFFF"/>
        </w:rPr>
        <w:t>.</w:t>
      </w:r>
    </w:p>
    <w:p w14:paraId="3082120A" w14:textId="77777777" w:rsidR="00E202A2" w:rsidRDefault="00E202A2" w:rsidP="00E202A2">
      <w:pPr>
        <w:spacing w:line="360" w:lineRule="auto"/>
        <w:jc w:val="both"/>
        <w:rPr>
          <w:sz w:val="20"/>
          <w:szCs w:val="20"/>
          <w:shd w:val="clear" w:color="auto" w:fill="FFFFFF"/>
        </w:rPr>
      </w:pPr>
    </w:p>
    <w:p w14:paraId="08FAE2F3" w14:textId="77777777" w:rsidR="00E202A2" w:rsidRPr="0091391B" w:rsidRDefault="00E202A2" w:rsidP="00E202A2">
      <w:pPr>
        <w:spacing w:line="360" w:lineRule="auto"/>
        <w:jc w:val="both"/>
        <w:rPr>
          <w:sz w:val="20"/>
          <w:szCs w:val="20"/>
          <w:shd w:val="clear" w:color="auto" w:fill="FFFFFF"/>
        </w:rPr>
        <w:sectPr w:rsidR="00E202A2" w:rsidRPr="0091391B" w:rsidSect="00B83F98">
          <w:pgSz w:w="11906" w:h="16838"/>
          <w:pgMar w:top="1440" w:right="1440" w:bottom="1440" w:left="1440" w:header="720" w:footer="720" w:gutter="0"/>
          <w:pgNumType w:start="1"/>
          <w:cols w:space="720"/>
          <w:docGrid w:linePitch="299"/>
        </w:sectPr>
      </w:pPr>
    </w:p>
    <w:p w14:paraId="1BE14B89" w14:textId="77777777" w:rsidR="00E202A2" w:rsidRPr="00F23705" w:rsidRDefault="00E202A2" w:rsidP="00E202A2">
      <w:pPr>
        <w:spacing w:line="360" w:lineRule="auto"/>
        <w:jc w:val="both"/>
        <w:rPr>
          <w:sz w:val="20"/>
          <w:szCs w:val="20"/>
        </w:rPr>
      </w:pPr>
      <w:r w:rsidRPr="00F23705">
        <w:rPr>
          <w:b/>
          <w:bCs/>
          <w:sz w:val="20"/>
          <w:szCs w:val="20"/>
        </w:rPr>
        <w:lastRenderedPageBreak/>
        <w:t xml:space="preserve">Appendix B. </w:t>
      </w:r>
      <w:r w:rsidRPr="00F23705">
        <w:rPr>
          <w:bCs/>
          <w:sz w:val="20"/>
          <w:szCs w:val="20"/>
        </w:rPr>
        <w:t>Correlation matrix of the effects of the multifactorial CFA models</w:t>
      </w:r>
    </w:p>
    <w:tbl>
      <w:tblPr>
        <w:tblW w:w="9526" w:type="dxa"/>
        <w:tblLook w:val="04A0" w:firstRow="1" w:lastRow="0" w:firstColumn="1" w:lastColumn="0" w:noHBand="0" w:noVBand="1"/>
      </w:tblPr>
      <w:tblGrid>
        <w:gridCol w:w="3275"/>
        <w:gridCol w:w="708"/>
        <w:gridCol w:w="709"/>
        <w:gridCol w:w="700"/>
        <w:gridCol w:w="570"/>
        <w:gridCol w:w="566"/>
        <w:gridCol w:w="567"/>
        <w:gridCol w:w="567"/>
        <w:gridCol w:w="732"/>
        <w:gridCol w:w="566"/>
        <w:gridCol w:w="566"/>
      </w:tblGrid>
      <w:tr w:rsidR="00E202A2" w:rsidRPr="00F23705" w14:paraId="6CB65EB3" w14:textId="77777777" w:rsidTr="0073206D">
        <w:trPr>
          <w:trHeight w:val="429"/>
        </w:trPr>
        <w:tc>
          <w:tcPr>
            <w:tcW w:w="3275" w:type="dxa"/>
            <w:tcBorders>
              <w:top w:val="single" w:sz="4" w:space="0" w:color="auto"/>
              <w:bottom w:val="single" w:sz="4" w:space="0" w:color="auto"/>
            </w:tcBorders>
            <w:vAlign w:val="center"/>
          </w:tcPr>
          <w:p w14:paraId="2D1B96A5" w14:textId="77777777" w:rsidR="00E202A2" w:rsidRPr="00F23705" w:rsidRDefault="00E202A2" w:rsidP="0073206D">
            <w:pPr>
              <w:jc w:val="both"/>
              <w:rPr>
                <w:rFonts w:eastAsia="Times New Roman,Times New Roman"/>
                <w:sz w:val="20"/>
                <w:szCs w:val="20"/>
              </w:rPr>
            </w:pPr>
            <w:r w:rsidRPr="00F23705">
              <w:rPr>
                <w:rFonts w:eastAsia="Times New Roman,Times New Roman"/>
                <w:sz w:val="20"/>
                <w:szCs w:val="20"/>
              </w:rPr>
              <w:t>CONSTRUCT</w:t>
            </w:r>
          </w:p>
        </w:tc>
        <w:tc>
          <w:tcPr>
            <w:tcW w:w="708" w:type="dxa"/>
            <w:tcBorders>
              <w:top w:val="single" w:sz="4" w:space="0" w:color="auto"/>
              <w:bottom w:val="single" w:sz="4" w:space="0" w:color="auto"/>
            </w:tcBorders>
            <w:vAlign w:val="center"/>
          </w:tcPr>
          <w:p w14:paraId="166F038C" w14:textId="77777777" w:rsidR="00E202A2" w:rsidRPr="003E163D" w:rsidRDefault="00E202A2" w:rsidP="0073206D">
            <w:pPr>
              <w:jc w:val="both"/>
              <w:rPr>
                <w:rFonts w:eastAsia="Times New Roman,Times New Roman"/>
                <w:iCs/>
                <w:sz w:val="20"/>
                <w:szCs w:val="20"/>
              </w:rPr>
            </w:pPr>
            <w:r w:rsidRPr="00F23705">
              <w:rPr>
                <w:sz w:val="20"/>
              </w:rPr>
              <w:sym w:font="Symbol" w:char="F061"/>
            </w:r>
          </w:p>
        </w:tc>
        <w:tc>
          <w:tcPr>
            <w:tcW w:w="709" w:type="dxa"/>
            <w:tcBorders>
              <w:top w:val="single" w:sz="4" w:space="0" w:color="auto"/>
              <w:bottom w:val="single" w:sz="4" w:space="0" w:color="auto"/>
            </w:tcBorders>
            <w:vAlign w:val="center"/>
          </w:tcPr>
          <w:p w14:paraId="3BE7CFE7" w14:textId="77777777" w:rsidR="00E202A2" w:rsidRPr="003E163D" w:rsidRDefault="00E202A2" w:rsidP="0073206D">
            <w:pPr>
              <w:jc w:val="both"/>
              <w:rPr>
                <w:rFonts w:eastAsia="Times New Roman,Times New Roman"/>
                <w:iCs/>
                <w:sz w:val="20"/>
                <w:szCs w:val="20"/>
              </w:rPr>
            </w:pPr>
            <w:r w:rsidRPr="003E163D">
              <w:rPr>
                <w:rFonts w:eastAsia="Times New Roman,Times New Roman"/>
                <w:iCs/>
                <w:sz w:val="20"/>
                <w:szCs w:val="20"/>
              </w:rPr>
              <w:t>CR</w:t>
            </w:r>
          </w:p>
        </w:tc>
        <w:tc>
          <w:tcPr>
            <w:tcW w:w="700" w:type="dxa"/>
            <w:tcBorders>
              <w:top w:val="single" w:sz="4" w:space="0" w:color="auto"/>
              <w:bottom w:val="single" w:sz="4" w:space="0" w:color="auto"/>
            </w:tcBorders>
            <w:vAlign w:val="center"/>
          </w:tcPr>
          <w:p w14:paraId="471F93AE" w14:textId="77777777" w:rsidR="00E202A2" w:rsidRPr="003E163D" w:rsidRDefault="00E202A2" w:rsidP="0073206D">
            <w:pPr>
              <w:jc w:val="both"/>
              <w:rPr>
                <w:rFonts w:eastAsia="Times New Roman,Times New Roman"/>
                <w:iCs/>
                <w:sz w:val="20"/>
                <w:szCs w:val="20"/>
              </w:rPr>
            </w:pPr>
            <w:r w:rsidRPr="003E163D">
              <w:rPr>
                <w:rFonts w:eastAsia="Times New Roman,Times New Roman"/>
                <w:iCs/>
                <w:sz w:val="20"/>
                <w:szCs w:val="20"/>
              </w:rPr>
              <w:t>AVE</w:t>
            </w:r>
          </w:p>
        </w:tc>
        <w:tc>
          <w:tcPr>
            <w:tcW w:w="570" w:type="dxa"/>
            <w:tcBorders>
              <w:top w:val="single" w:sz="4" w:space="0" w:color="auto"/>
              <w:bottom w:val="single" w:sz="4" w:space="0" w:color="auto"/>
            </w:tcBorders>
            <w:vAlign w:val="center"/>
          </w:tcPr>
          <w:p w14:paraId="21714DFC" w14:textId="77777777" w:rsidR="00E202A2" w:rsidRPr="00F23705" w:rsidRDefault="00E202A2" w:rsidP="0073206D">
            <w:pPr>
              <w:jc w:val="both"/>
              <w:rPr>
                <w:rFonts w:eastAsia="Times New Roman,Times New Roman"/>
                <w:i/>
                <w:sz w:val="20"/>
                <w:szCs w:val="20"/>
              </w:rPr>
            </w:pPr>
            <w:r w:rsidRPr="00F23705">
              <w:rPr>
                <w:rFonts w:eastAsia="Times New Roman,Times New Roman"/>
                <w:i/>
                <w:sz w:val="20"/>
                <w:szCs w:val="20"/>
              </w:rPr>
              <w:t>1</w:t>
            </w:r>
          </w:p>
        </w:tc>
        <w:tc>
          <w:tcPr>
            <w:tcW w:w="566" w:type="dxa"/>
            <w:tcBorders>
              <w:top w:val="single" w:sz="4" w:space="0" w:color="auto"/>
              <w:bottom w:val="single" w:sz="4" w:space="0" w:color="auto"/>
            </w:tcBorders>
            <w:vAlign w:val="center"/>
          </w:tcPr>
          <w:p w14:paraId="12C972DF" w14:textId="77777777" w:rsidR="00E202A2" w:rsidRPr="00F23705" w:rsidRDefault="00E202A2" w:rsidP="0073206D">
            <w:pPr>
              <w:jc w:val="both"/>
              <w:rPr>
                <w:rFonts w:eastAsia="Times New Roman,Times New Roman"/>
                <w:i/>
                <w:sz w:val="20"/>
                <w:szCs w:val="20"/>
              </w:rPr>
            </w:pPr>
            <w:r w:rsidRPr="00F23705">
              <w:rPr>
                <w:rFonts w:eastAsia="Times New Roman,Times New Roman"/>
                <w:i/>
                <w:sz w:val="20"/>
                <w:szCs w:val="20"/>
              </w:rPr>
              <w:t>2</w:t>
            </w:r>
          </w:p>
        </w:tc>
        <w:tc>
          <w:tcPr>
            <w:tcW w:w="567" w:type="dxa"/>
            <w:tcBorders>
              <w:top w:val="single" w:sz="4" w:space="0" w:color="auto"/>
              <w:bottom w:val="single" w:sz="4" w:space="0" w:color="auto"/>
            </w:tcBorders>
            <w:vAlign w:val="center"/>
          </w:tcPr>
          <w:p w14:paraId="5548A2F0" w14:textId="77777777" w:rsidR="00E202A2" w:rsidRPr="00F23705" w:rsidRDefault="00E202A2" w:rsidP="0073206D">
            <w:pPr>
              <w:jc w:val="both"/>
              <w:rPr>
                <w:rFonts w:eastAsia="Times New Roman,Times New Roman"/>
                <w:i/>
                <w:sz w:val="20"/>
                <w:szCs w:val="20"/>
              </w:rPr>
            </w:pPr>
            <w:r w:rsidRPr="00F23705">
              <w:rPr>
                <w:rFonts w:eastAsia="Times New Roman,Times New Roman"/>
                <w:i/>
                <w:sz w:val="20"/>
                <w:szCs w:val="20"/>
              </w:rPr>
              <w:t>3</w:t>
            </w:r>
          </w:p>
        </w:tc>
        <w:tc>
          <w:tcPr>
            <w:tcW w:w="567" w:type="dxa"/>
            <w:tcBorders>
              <w:top w:val="single" w:sz="4" w:space="0" w:color="auto"/>
              <w:bottom w:val="single" w:sz="4" w:space="0" w:color="auto"/>
            </w:tcBorders>
            <w:vAlign w:val="center"/>
          </w:tcPr>
          <w:p w14:paraId="5E9FA76E" w14:textId="77777777" w:rsidR="00E202A2" w:rsidRPr="00F23705" w:rsidRDefault="00E202A2" w:rsidP="0073206D">
            <w:pPr>
              <w:jc w:val="both"/>
              <w:rPr>
                <w:rFonts w:eastAsia="Times New Roman,Times New Roman"/>
                <w:i/>
                <w:sz w:val="20"/>
                <w:szCs w:val="20"/>
              </w:rPr>
            </w:pPr>
            <w:r w:rsidRPr="00F23705">
              <w:rPr>
                <w:rFonts w:eastAsia="Times New Roman,Times New Roman"/>
                <w:i/>
                <w:sz w:val="20"/>
                <w:szCs w:val="20"/>
              </w:rPr>
              <w:t>4</w:t>
            </w:r>
          </w:p>
        </w:tc>
        <w:tc>
          <w:tcPr>
            <w:tcW w:w="732" w:type="dxa"/>
            <w:tcBorders>
              <w:top w:val="single" w:sz="4" w:space="0" w:color="auto"/>
              <w:bottom w:val="single" w:sz="4" w:space="0" w:color="auto"/>
            </w:tcBorders>
            <w:vAlign w:val="center"/>
          </w:tcPr>
          <w:p w14:paraId="2DE7036D" w14:textId="77777777" w:rsidR="00E202A2" w:rsidRPr="00F23705" w:rsidRDefault="00E202A2" w:rsidP="0073206D">
            <w:pPr>
              <w:jc w:val="both"/>
              <w:rPr>
                <w:rFonts w:eastAsia="Times New Roman,Times New Roman"/>
                <w:i/>
                <w:sz w:val="20"/>
                <w:szCs w:val="20"/>
              </w:rPr>
            </w:pPr>
            <w:r w:rsidRPr="00F23705">
              <w:rPr>
                <w:rFonts w:eastAsia="Times New Roman,Times New Roman"/>
                <w:i/>
                <w:sz w:val="20"/>
                <w:szCs w:val="20"/>
              </w:rPr>
              <w:t>5</w:t>
            </w:r>
          </w:p>
        </w:tc>
        <w:tc>
          <w:tcPr>
            <w:tcW w:w="566" w:type="dxa"/>
            <w:tcBorders>
              <w:top w:val="single" w:sz="4" w:space="0" w:color="auto"/>
              <w:bottom w:val="single" w:sz="4" w:space="0" w:color="auto"/>
            </w:tcBorders>
            <w:vAlign w:val="center"/>
          </w:tcPr>
          <w:p w14:paraId="127B259F" w14:textId="77777777" w:rsidR="00E202A2" w:rsidRPr="00F23705" w:rsidRDefault="00E202A2" w:rsidP="0073206D">
            <w:pPr>
              <w:jc w:val="both"/>
              <w:rPr>
                <w:rFonts w:eastAsia="Times New Roman,Times New Roman"/>
                <w:i/>
                <w:sz w:val="20"/>
                <w:szCs w:val="20"/>
              </w:rPr>
            </w:pPr>
            <w:r w:rsidRPr="00F23705">
              <w:rPr>
                <w:rFonts w:eastAsia="Times New Roman,Times New Roman"/>
                <w:i/>
                <w:sz w:val="20"/>
                <w:szCs w:val="20"/>
              </w:rPr>
              <w:t>6</w:t>
            </w:r>
          </w:p>
        </w:tc>
        <w:tc>
          <w:tcPr>
            <w:tcW w:w="566" w:type="dxa"/>
            <w:tcBorders>
              <w:top w:val="single" w:sz="4" w:space="0" w:color="auto"/>
              <w:bottom w:val="single" w:sz="4" w:space="0" w:color="auto"/>
            </w:tcBorders>
            <w:vAlign w:val="center"/>
          </w:tcPr>
          <w:p w14:paraId="195F0102" w14:textId="77777777" w:rsidR="00E202A2" w:rsidRPr="00F23705" w:rsidRDefault="00E202A2" w:rsidP="0073206D">
            <w:pPr>
              <w:jc w:val="both"/>
              <w:rPr>
                <w:rFonts w:eastAsia="Times New Roman,Times New Roman"/>
                <w:i/>
                <w:sz w:val="20"/>
                <w:szCs w:val="20"/>
              </w:rPr>
            </w:pPr>
            <w:r w:rsidRPr="00F23705">
              <w:rPr>
                <w:rFonts w:eastAsia="Times New Roman,Times New Roman"/>
                <w:i/>
                <w:sz w:val="20"/>
                <w:szCs w:val="20"/>
              </w:rPr>
              <w:t>7</w:t>
            </w:r>
          </w:p>
        </w:tc>
      </w:tr>
      <w:tr w:rsidR="00E202A2" w:rsidRPr="00F23705" w14:paraId="31DA28AF" w14:textId="77777777" w:rsidTr="0073206D">
        <w:trPr>
          <w:trHeight w:val="108"/>
        </w:trPr>
        <w:tc>
          <w:tcPr>
            <w:tcW w:w="3275" w:type="dxa"/>
            <w:tcBorders>
              <w:top w:val="single" w:sz="4" w:space="0" w:color="auto"/>
            </w:tcBorders>
            <w:vAlign w:val="center"/>
          </w:tcPr>
          <w:p w14:paraId="2B5BE2FA" w14:textId="77777777" w:rsidR="00E202A2" w:rsidRPr="006F0DA8" w:rsidRDefault="00E202A2" w:rsidP="0073206D">
            <w:pPr>
              <w:jc w:val="both"/>
              <w:rPr>
                <w:rFonts w:eastAsia="Times New Roman,Times New Roman"/>
                <w:bCs/>
                <w:iCs/>
                <w:sz w:val="20"/>
                <w:szCs w:val="20"/>
              </w:rPr>
            </w:pPr>
            <w:r w:rsidRPr="006F0DA8">
              <w:rPr>
                <w:rFonts w:eastAsia="Times New Roman,Times New Roman"/>
                <w:bCs/>
                <w:i/>
                <w:sz w:val="20"/>
                <w:szCs w:val="20"/>
              </w:rPr>
              <w:t>1.</w:t>
            </w:r>
            <w:r w:rsidRPr="006F0DA8">
              <w:rPr>
                <w:rFonts w:eastAsia="Times New Roman,Times New Roman"/>
                <w:bCs/>
                <w:iCs/>
                <w:sz w:val="20"/>
                <w:szCs w:val="20"/>
              </w:rPr>
              <w:t xml:space="preserve"> </w:t>
            </w:r>
            <w:r w:rsidRPr="00AC2E42">
              <w:rPr>
                <w:rFonts w:eastAsia="Cardo"/>
                <w:sz w:val="20"/>
                <w:szCs w:val="20"/>
              </w:rPr>
              <w:t>Vertical individualism</w:t>
            </w:r>
          </w:p>
        </w:tc>
        <w:tc>
          <w:tcPr>
            <w:tcW w:w="708" w:type="dxa"/>
            <w:tcBorders>
              <w:top w:val="single" w:sz="4" w:space="0" w:color="auto"/>
            </w:tcBorders>
            <w:vAlign w:val="center"/>
          </w:tcPr>
          <w:p w14:paraId="7F1F64A9" w14:textId="77777777" w:rsidR="00E202A2" w:rsidRPr="009F10D9" w:rsidRDefault="00E202A2" w:rsidP="0073206D">
            <w:pPr>
              <w:jc w:val="both"/>
              <w:rPr>
                <w:rFonts w:eastAsia="Times New Roman,Times New Roman"/>
                <w:iCs/>
                <w:sz w:val="20"/>
                <w:szCs w:val="20"/>
              </w:rPr>
            </w:pPr>
            <w:r w:rsidRPr="009F10D9">
              <w:rPr>
                <w:rFonts w:eastAsia="Times New Roman,Times New Roman"/>
                <w:iCs/>
                <w:sz w:val="20"/>
                <w:szCs w:val="20"/>
              </w:rPr>
              <w:t>0.91</w:t>
            </w:r>
          </w:p>
        </w:tc>
        <w:tc>
          <w:tcPr>
            <w:tcW w:w="709" w:type="dxa"/>
            <w:tcBorders>
              <w:top w:val="single" w:sz="4" w:space="0" w:color="auto"/>
            </w:tcBorders>
            <w:vAlign w:val="center"/>
          </w:tcPr>
          <w:p w14:paraId="7265B169" w14:textId="77777777" w:rsidR="00E202A2" w:rsidRPr="009F10D9" w:rsidRDefault="00E202A2" w:rsidP="0073206D">
            <w:pPr>
              <w:jc w:val="both"/>
              <w:rPr>
                <w:rFonts w:eastAsia="Times New Roman,Times New Roman"/>
                <w:iCs/>
                <w:sz w:val="20"/>
                <w:szCs w:val="20"/>
              </w:rPr>
            </w:pPr>
            <w:r w:rsidRPr="009F10D9">
              <w:rPr>
                <w:rFonts w:eastAsia="Times New Roman,Times New Roman"/>
                <w:iCs/>
                <w:sz w:val="20"/>
                <w:szCs w:val="20"/>
              </w:rPr>
              <w:t>0.91</w:t>
            </w:r>
          </w:p>
        </w:tc>
        <w:tc>
          <w:tcPr>
            <w:tcW w:w="700" w:type="dxa"/>
            <w:tcBorders>
              <w:top w:val="single" w:sz="4" w:space="0" w:color="auto"/>
            </w:tcBorders>
            <w:vAlign w:val="center"/>
          </w:tcPr>
          <w:p w14:paraId="4253F976" w14:textId="77777777" w:rsidR="00E202A2" w:rsidRPr="009F10D9" w:rsidRDefault="00E202A2" w:rsidP="0073206D">
            <w:pPr>
              <w:jc w:val="both"/>
              <w:rPr>
                <w:rFonts w:eastAsia="Times New Roman,Times New Roman"/>
                <w:iCs/>
                <w:sz w:val="20"/>
                <w:szCs w:val="20"/>
              </w:rPr>
            </w:pPr>
            <w:r>
              <w:rPr>
                <w:rFonts w:eastAsia="Times New Roman,Times New Roman"/>
                <w:iCs/>
                <w:sz w:val="20"/>
                <w:szCs w:val="20"/>
              </w:rPr>
              <w:t>0.78</w:t>
            </w:r>
          </w:p>
        </w:tc>
        <w:tc>
          <w:tcPr>
            <w:tcW w:w="570" w:type="dxa"/>
            <w:tcBorders>
              <w:top w:val="single" w:sz="4" w:space="0" w:color="auto"/>
            </w:tcBorders>
            <w:vAlign w:val="center"/>
          </w:tcPr>
          <w:p w14:paraId="2A96087F" w14:textId="77777777" w:rsidR="00E202A2" w:rsidRPr="00F23705" w:rsidRDefault="00E202A2" w:rsidP="0073206D">
            <w:pPr>
              <w:jc w:val="both"/>
              <w:rPr>
                <w:rFonts w:eastAsia="Times New Roman,Times New Roman"/>
                <w:i/>
                <w:sz w:val="20"/>
                <w:szCs w:val="20"/>
              </w:rPr>
            </w:pPr>
            <w:r>
              <w:rPr>
                <w:rFonts w:eastAsia="Times New Roman,Times New Roman"/>
                <w:i/>
                <w:sz w:val="20"/>
                <w:szCs w:val="20"/>
              </w:rPr>
              <w:t>0.88</w:t>
            </w:r>
          </w:p>
        </w:tc>
        <w:tc>
          <w:tcPr>
            <w:tcW w:w="566" w:type="dxa"/>
            <w:tcBorders>
              <w:top w:val="single" w:sz="4" w:space="0" w:color="auto"/>
            </w:tcBorders>
            <w:vAlign w:val="center"/>
          </w:tcPr>
          <w:p w14:paraId="58D0C7CD" w14:textId="77777777" w:rsidR="00E202A2" w:rsidRPr="00F23705" w:rsidRDefault="00E202A2" w:rsidP="0073206D">
            <w:pPr>
              <w:jc w:val="both"/>
              <w:rPr>
                <w:rFonts w:eastAsia="Times New Roman,Times New Roman"/>
                <w:sz w:val="20"/>
                <w:szCs w:val="20"/>
              </w:rPr>
            </w:pPr>
          </w:p>
        </w:tc>
        <w:tc>
          <w:tcPr>
            <w:tcW w:w="567" w:type="dxa"/>
            <w:tcBorders>
              <w:top w:val="single" w:sz="4" w:space="0" w:color="auto"/>
            </w:tcBorders>
            <w:vAlign w:val="center"/>
          </w:tcPr>
          <w:p w14:paraId="5C8DF13E" w14:textId="77777777" w:rsidR="00E202A2" w:rsidRPr="00F23705" w:rsidRDefault="00E202A2" w:rsidP="0073206D">
            <w:pPr>
              <w:jc w:val="both"/>
              <w:rPr>
                <w:rFonts w:eastAsia="Times New Roman,Times New Roman"/>
                <w:sz w:val="20"/>
                <w:szCs w:val="20"/>
              </w:rPr>
            </w:pPr>
          </w:p>
        </w:tc>
        <w:tc>
          <w:tcPr>
            <w:tcW w:w="567" w:type="dxa"/>
            <w:tcBorders>
              <w:top w:val="single" w:sz="4" w:space="0" w:color="auto"/>
            </w:tcBorders>
            <w:vAlign w:val="center"/>
          </w:tcPr>
          <w:p w14:paraId="4C6CB555" w14:textId="77777777" w:rsidR="00E202A2" w:rsidRPr="00F23705" w:rsidRDefault="00E202A2" w:rsidP="0073206D">
            <w:pPr>
              <w:jc w:val="both"/>
              <w:rPr>
                <w:rFonts w:eastAsia="Times New Roman,Times New Roman"/>
                <w:sz w:val="20"/>
                <w:szCs w:val="20"/>
              </w:rPr>
            </w:pPr>
          </w:p>
        </w:tc>
        <w:tc>
          <w:tcPr>
            <w:tcW w:w="732" w:type="dxa"/>
            <w:tcBorders>
              <w:top w:val="single" w:sz="4" w:space="0" w:color="auto"/>
            </w:tcBorders>
            <w:vAlign w:val="center"/>
          </w:tcPr>
          <w:p w14:paraId="0175679B" w14:textId="77777777" w:rsidR="00E202A2" w:rsidRPr="00F23705" w:rsidRDefault="00E202A2" w:rsidP="0073206D">
            <w:pPr>
              <w:jc w:val="both"/>
              <w:rPr>
                <w:rFonts w:eastAsia="Times New Roman,Times New Roman"/>
                <w:sz w:val="20"/>
                <w:szCs w:val="20"/>
              </w:rPr>
            </w:pPr>
          </w:p>
        </w:tc>
        <w:tc>
          <w:tcPr>
            <w:tcW w:w="566" w:type="dxa"/>
            <w:tcBorders>
              <w:top w:val="single" w:sz="4" w:space="0" w:color="auto"/>
            </w:tcBorders>
            <w:vAlign w:val="center"/>
          </w:tcPr>
          <w:p w14:paraId="1014641A" w14:textId="77777777" w:rsidR="00E202A2" w:rsidRPr="00F23705" w:rsidRDefault="00E202A2" w:rsidP="0073206D">
            <w:pPr>
              <w:jc w:val="both"/>
              <w:rPr>
                <w:rFonts w:eastAsia="Times New Roman,Times New Roman"/>
                <w:sz w:val="20"/>
                <w:szCs w:val="20"/>
              </w:rPr>
            </w:pPr>
          </w:p>
        </w:tc>
        <w:tc>
          <w:tcPr>
            <w:tcW w:w="566" w:type="dxa"/>
            <w:tcBorders>
              <w:top w:val="single" w:sz="4" w:space="0" w:color="auto"/>
            </w:tcBorders>
            <w:vAlign w:val="center"/>
          </w:tcPr>
          <w:p w14:paraId="7950F529" w14:textId="77777777" w:rsidR="00E202A2" w:rsidRPr="00F23705" w:rsidRDefault="00E202A2" w:rsidP="0073206D">
            <w:pPr>
              <w:jc w:val="both"/>
              <w:rPr>
                <w:rFonts w:eastAsia="Times New Roman,Times New Roman"/>
                <w:sz w:val="20"/>
                <w:szCs w:val="20"/>
              </w:rPr>
            </w:pPr>
          </w:p>
        </w:tc>
      </w:tr>
      <w:tr w:rsidR="00E202A2" w:rsidRPr="00F23705" w14:paraId="465ADB26" w14:textId="77777777" w:rsidTr="0073206D">
        <w:trPr>
          <w:trHeight w:val="125"/>
        </w:trPr>
        <w:tc>
          <w:tcPr>
            <w:tcW w:w="3275" w:type="dxa"/>
            <w:vAlign w:val="center"/>
          </w:tcPr>
          <w:p w14:paraId="19578A55" w14:textId="77777777" w:rsidR="00E202A2" w:rsidRPr="006F0DA8" w:rsidRDefault="00E202A2" w:rsidP="0073206D">
            <w:pPr>
              <w:jc w:val="both"/>
              <w:rPr>
                <w:rFonts w:eastAsia="Times New Roman,Times New Roman"/>
                <w:bCs/>
                <w:iCs/>
                <w:sz w:val="20"/>
                <w:szCs w:val="20"/>
              </w:rPr>
            </w:pPr>
            <w:r w:rsidRPr="006F0DA8">
              <w:rPr>
                <w:rFonts w:eastAsia="Times New Roman,Times New Roman"/>
                <w:bCs/>
                <w:iCs/>
                <w:sz w:val="20"/>
                <w:szCs w:val="20"/>
              </w:rPr>
              <w:t xml:space="preserve">2. </w:t>
            </w:r>
            <w:r w:rsidRPr="00AC2E42">
              <w:rPr>
                <w:rFonts w:eastAsia="Cardo"/>
                <w:sz w:val="20"/>
                <w:szCs w:val="20"/>
              </w:rPr>
              <w:t xml:space="preserve">Horizontal individualism </w:t>
            </w:r>
          </w:p>
        </w:tc>
        <w:tc>
          <w:tcPr>
            <w:tcW w:w="708" w:type="dxa"/>
            <w:vAlign w:val="center"/>
          </w:tcPr>
          <w:p w14:paraId="4E62A0AA" w14:textId="77777777" w:rsidR="00E202A2" w:rsidRPr="003E163D" w:rsidRDefault="00E202A2" w:rsidP="0073206D">
            <w:pPr>
              <w:jc w:val="both"/>
              <w:rPr>
                <w:rFonts w:eastAsia="Times New Roman,Times New Roman"/>
                <w:sz w:val="20"/>
                <w:szCs w:val="20"/>
              </w:rPr>
            </w:pPr>
            <w:r>
              <w:rPr>
                <w:rFonts w:eastAsia="Times New Roman,Times New Roman"/>
                <w:sz w:val="20"/>
                <w:szCs w:val="20"/>
              </w:rPr>
              <w:t>0.89</w:t>
            </w:r>
          </w:p>
        </w:tc>
        <w:tc>
          <w:tcPr>
            <w:tcW w:w="709" w:type="dxa"/>
            <w:vAlign w:val="center"/>
          </w:tcPr>
          <w:p w14:paraId="38BA8608" w14:textId="77777777" w:rsidR="00E202A2" w:rsidRPr="009F10D9" w:rsidRDefault="00E202A2" w:rsidP="0073206D">
            <w:pPr>
              <w:jc w:val="both"/>
              <w:rPr>
                <w:rFonts w:eastAsia="Times New Roman,Times New Roman"/>
                <w:iCs/>
                <w:sz w:val="20"/>
                <w:szCs w:val="20"/>
              </w:rPr>
            </w:pPr>
            <w:r>
              <w:rPr>
                <w:rFonts w:eastAsia="Times New Roman,Times New Roman"/>
                <w:iCs/>
                <w:sz w:val="20"/>
                <w:szCs w:val="20"/>
              </w:rPr>
              <w:t>0.88</w:t>
            </w:r>
          </w:p>
        </w:tc>
        <w:tc>
          <w:tcPr>
            <w:tcW w:w="700" w:type="dxa"/>
            <w:vAlign w:val="center"/>
          </w:tcPr>
          <w:p w14:paraId="66B4A670" w14:textId="77777777" w:rsidR="00E202A2" w:rsidRPr="009F10D9" w:rsidRDefault="00E202A2" w:rsidP="0073206D">
            <w:pPr>
              <w:jc w:val="both"/>
              <w:rPr>
                <w:rFonts w:eastAsia="Times New Roman,Times New Roman"/>
                <w:iCs/>
                <w:sz w:val="20"/>
                <w:szCs w:val="20"/>
              </w:rPr>
            </w:pPr>
            <w:r>
              <w:rPr>
                <w:rFonts w:eastAsia="Times New Roman,Times New Roman"/>
                <w:iCs/>
                <w:sz w:val="20"/>
                <w:szCs w:val="20"/>
              </w:rPr>
              <w:t>0.72</w:t>
            </w:r>
          </w:p>
        </w:tc>
        <w:tc>
          <w:tcPr>
            <w:tcW w:w="570" w:type="dxa"/>
            <w:vAlign w:val="center"/>
          </w:tcPr>
          <w:p w14:paraId="3B62061B" w14:textId="77777777" w:rsidR="00E202A2" w:rsidRPr="00F23705" w:rsidRDefault="00E202A2" w:rsidP="0073206D">
            <w:pPr>
              <w:jc w:val="both"/>
              <w:rPr>
                <w:rFonts w:eastAsia="Times New Roman,Times New Roman"/>
                <w:sz w:val="20"/>
                <w:szCs w:val="20"/>
              </w:rPr>
            </w:pPr>
            <w:r w:rsidRPr="003E163D">
              <w:rPr>
                <w:rFonts w:eastAsia="Times New Roman,Times New Roman"/>
                <w:sz w:val="20"/>
                <w:szCs w:val="20"/>
              </w:rPr>
              <w:t>0.24</w:t>
            </w:r>
          </w:p>
        </w:tc>
        <w:tc>
          <w:tcPr>
            <w:tcW w:w="566" w:type="dxa"/>
            <w:vAlign w:val="center"/>
          </w:tcPr>
          <w:p w14:paraId="3A911778"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0.85</w:t>
            </w:r>
          </w:p>
        </w:tc>
        <w:tc>
          <w:tcPr>
            <w:tcW w:w="567" w:type="dxa"/>
            <w:vAlign w:val="center"/>
          </w:tcPr>
          <w:p w14:paraId="6B3E3261" w14:textId="77777777" w:rsidR="00E202A2" w:rsidRPr="00F23705" w:rsidRDefault="00E202A2" w:rsidP="0073206D">
            <w:pPr>
              <w:jc w:val="both"/>
              <w:rPr>
                <w:rFonts w:eastAsia="Times New Roman,Times New Roman"/>
                <w:sz w:val="20"/>
                <w:szCs w:val="20"/>
              </w:rPr>
            </w:pPr>
          </w:p>
        </w:tc>
        <w:tc>
          <w:tcPr>
            <w:tcW w:w="567" w:type="dxa"/>
            <w:vAlign w:val="center"/>
          </w:tcPr>
          <w:p w14:paraId="4C1FA0A2" w14:textId="77777777" w:rsidR="00E202A2" w:rsidRPr="00F23705" w:rsidRDefault="00E202A2" w:rsidP="0073206D">
            <w:pPr>
              <w:jc w:val="both"/>
              <w:rPr>
                <w:rFonts w:eastAsia="Times New Roman,Times New Roman"/>
                <w:sz w:val="20"/>
                <w:szCs w:val="20"/>
              </w:rPr>
            </w:pPr>
          </w:p>
        </w:tc>
        <w:tc>
          <w:tcPr>
            <w:tcW w:w="732" w:type="dxa"/>
            <w:vAlign w:val="center"/>
          </w:tcPr>
          <w:p w14:paraId="7462482E" w14:textId="77777777" w:rsidR="00E202A2" w:rsidRPr="00F23705" w:rsidRDefault="00E202A2" w:rsidP="0073206D">
            <w:pPr>
              <w:jc w:val="both"/>
              <w:rPr>
                <w:rFonts w:eastAsia="Times New Roman,Times New Roman"/>
                <w:sz w:val="20"/>
                <w:szCs w:val="20"/>
              </w:rPr>
            </w:pPr>
          </w:p>
        </w:tc>
        <w:tc>
          <w:tcPr>
            <w:tcW w:w="566" w:type="dxa"/>
            <w:vAlign w:val="center"/>
          </w:tcPr>
          <w:p w14:paraId="79780B09" w14:textId="77777777" w:rsidR="00E202A2" w:rsidRPr="00F23705" w:rsidRDefault="00E202A2" w:rsidP="0073206D">
            <w:pPr>
              <w:jc w:val="both"/>
              <w:rPr>
                <w:rFonts w:eastAsia="Times New Roman,Times New Roman"/>
                <w:sz w:val="20"/>
                <w:szCs w:val="20"/>
              </w:rPr>
            </w:pPr>
          </w:p>
        </w:tc>
        <w:tc>
          <w:tcPr>
            <w:tcW w:w="566" w:type="dxa"/>
            <w:vAlign w:val="center"/>
          </w:tcPr>
          <w:p w14:paraId="0D4C6211" w14:textId="77777777" w:rsidR="00E202A2" w:rsidRPr="00F23705" w:rsidRDefault="00E202A2" w:rsidP="0073206D">
            <w:pPr>
              <w:jc w:val="both"/>
              <w:rPr>
                <w:rFonts w:eastAsia="Times New Roman,Times New Roman"/>
                <w:sz w:val="20"/>
                <w:szCs w:val="20"/>
              </w:rPr>
            </w:pPr>
          </w:p>
        </w:tc>
      </w:tr>
      <w:tr w:rsidR="00E202A2" w:rsidRPr="00F23705" w14:paraId="184BA76A" w14:textId="77777777" w:rsidTr="0073206D">
        <w:trPr>
          <w:trHeight w:val="125"/>
        </w:trPr>
        <w:tc>
          <w:tcPr>
            <w:tcW w:w="3275" w:type="dxa"/>
            <w:vAlign w:val="center"/>
          </w:tcPr>
          <w:p w14:paraId="26962AC1" w14:textId="77777777" w:rsidR="00E202A2" w:rsidRPr="006F0DA8" w:rsidRDefault="00E202A2" w:rsidP="0073206D">
            <w:pPr>
              <w:jc w:val="both"/>
              <w:rPr>
                <w:rFonts w:eastAsia="Times New Roman,Times New Roman"/>
                <w:bCs/>
                <w:iCs/>
                <w:sz w:val="20"/>
                <w:szCs w:val="20"/>
              </w:rPr>
            </w:pPr>
            <w:r w:rsidRPr="006F0DA8">
              <w:rPr>
                <w:rFonts w:eastAsia="Times New Roman,Times New Roman"/>
                <w:bCs/>
                <w:i/>
                <w:sz w:val="20"/>
                <w:szCs w:val="20"/>
              </w:rPr>
              <w:t>3.</w:t>
            </w:r>
            <w:r w:rsidRPr="006F0DA8">
              <w:rPr>
                <w:rFonts w:eastAsia="Times New Roman,Times New Roman"/>
                <w:bCs/>
                <w:iCs/>
                <w:sz w:val="20"/>
                <w:szCs w:val="20"/>
              </w:rPr>
              <w:t xml:space="preserve"> Vertical collectivism</w:t>
            </w:r>
          </w:p>
        </w:tc>
        <w:tc>
          <w:tcPr>
            <w:tcW w:w="708" w:type="dxa"/>
            <w:vAlign w:val="center"/>
          </w:tcPr>
          <w:p w14:paraId="69F301CE" w14:textId="77777777" w:rsidR="00E202A2" w:rsidRDefault="00E202A2" w:rsidP="0073206D">
            <w:pPr>
              <w:jc w:val="both"/>
              <w:rPr>
                <w:rFonts w:eastAsia="Times New Roman,Times New Roman"/>
                <w:sz w:val="20"/>
                <w:szCs w:val="20"/>
              </w:rPr>
            </w:pPr>
            <w:r>
              <w:rPr>
                <w:rFonts w:eastAsia="Times New Roman,Times New Roman"/>
                <w:sz w:val="20"/>
                <w:szCs w:val="20"/>
              </w:rPr>
              <w:t>0.82</w:t>
            </w:r>
          </w:p>
        </w:tc>
        <w:tc>
          <w:tcPr>
            <w:tcW w:w="709" w:type="dxa"/>
            <w:vAlign w:val="center"/>
          </w:tcPr>
          <w:p w14:paraId="2A9937EB" w14:textId="77777777" w:rsidR="00E202A2" w:rsidRPr="009F10D9" w:rsidRDefault="00E202A2" w:rsidP="0073206D">
            <w:pPr>
              <w:jc w:val="both"/>
              <w:rPr>
                <w:rFonts w:eastAsia="Times New Roman,Times New Roman"/>
                <w:iCs/>
                <w:sz w:val="20"/>
                <w:szCs w:val="20"/>
              </w:rPr>
            </w:pPr>
            <w:r>
              <w:rPr>
                <w:rFonts w:eastAsia="Times New Roman,Times New Roman"/>
                <w:iCs/>
                <w:sz w:val="20"/>
                <w:szCs w:val="20"/>
              </w:rPr>
              <w:t>0.81</w:t>
            </w:r>
          </w:p>
        </w:tc>
        <w:tc>
          <w:tcPr>
            <w:tcW w:w="700" w:type="dxa"/>
            <w:vAlign w:val="center"/>
          </w:tcPr>
          <w:p w14:paraId="5303046B" w14:textId="77777777" w:rsidR="00E202A2" w:rsidRPr="009F10D9" w:rsidRDefault="00E202A2" w:rsidP="0073206D">
            <w:pPr>
              <w:jc w:val="both"/>
              <w:rPr>
                <w:rFonts w:eastAsia="Times New Roman,Times New Roman"/>
                <w:iCs/>
                <w:sz w:val="20"/>
                <w:szCs w:val="20"/>
              </w:rPr>
            </w:pPr>
            <w:r>
              <w:rPr>
                <w:rFonts w:eastAsia="Times New Roman,Times New Roman"/>
                <w:iCs/>
                <w:sz w:val="20"/>
                <w:szCs w:val="20"/>
              </w:rPr>
              <w:t>0.53</w:t>
            </w:r>
          </w:p>
        </w:tc>
        <w:tc>
          <w:tcPr>
            <w:tcW w:w="570" w:type="dxa"/>
            <w:vAlign w:val="center"/>
          </w:tcPr>
          <w:p w14:paraId="35CD52BD"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0.22</w:t>
            </w:r>
          </w:p>
        </w:tc>
        <w:tc>
          <w:tcPr>
            <w:tcW w:w="566" w:type="dxa"/>
            <w:vAlign w:val="center"/>
          </w:tcPr>
          <w:p w14:paraId="20EBFCA5"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0.19</w:t>
            </w:r>
          </w:p>
        </w:tc>
        <w:tc>
          <w:tcPr>
            <w:tcW w:w="567" w:type="dxa"/>
            <w:vAlign w:val="center"/>
          </w:tcPr>
          <w:p w14:paraId="18481392" w14:textId="77777777" w:rsidR="00E202A2" w:rsidRPr="0079269B" w:rsidRDefault="00E202A2" w:rsidP="0073206D">
            <w:pPr>
              <w:jc w:val="both"/>
              <w:rPr>
                <w:rFonts w:eastAsia="Times New Roman,Times New Roman"/>
                <w:i/>
                <w:iCs/>
                <w:sz w:val="20"/>
                <w:szCs w:val="20"/>
              </w:rPr>
            </w:pPr>
            <w:r w:rsidRPr="0079269B">
              <w:rPr>
                <w:rFonts w:eastAsia="Times New Roman,Times New Roman"/>
                <w:i/>
                <w:iCs/>
                <w:sz w:val="20"/>
                <w:szCs w:val="20"/>
              </w:rPr>
              <w:t>0.73</w:t>
            </w:r>
          </w:p>
        </w:tc>
        <w:tc>
          <w:tcPr>
            <w:tcW w:w="567" w:type="dxa"/>
            <w:vAlign w:val="center"/>
          </w:tcPr>
          <w:p w14:paraId="20238269" w14:textId="77777777" w:rsidR="00E202A2" w:rsidRPr="00F23705" w:rsidRDefault="00E202A2" w:rsidP="0073206D">
            <w:pPr>
              <w:jc w:val="both"/>
              <w:rPr>
                <w:rFonts w:eastAsia="Times New Roman,Times New Roman"/>
                <w:sz w:val="20"/>
                <w:szCs w:val="20"/>
              </w:rPr>
            </w:pPr>
          </w:p>
        </w:tc>
        <w:tc>
          <w:tcPr>
            <w:tcW w:w="732" w:type="dxa"/>
            <w:vAlign w:val="center"/>
          </w:tcPr>
          <w:p w14:paraId="0D4EBCBB" w14:textId="77777777" w:rsidR="00E202A2" w:rsidRPr="00F23705" w:rsidRDefault="00E202A2" w:rsidP="0073206D">
            <w:pPr>
              <w:jc w:val="both"/>
              <w:rPr>
                <w:rFonts w:eastAsia="Times New Roman,Times New Roman"/>
                <w:sz w:val="20"/>
                <w:szCs w:val="20"/>
              </w:rPr>
            </w:pPr>
          </w:p>
        </w:tc>
        <w:tc>
          <w:tcPr>
            <w:tcW w:w="566" w:type="dxa"/>
            <w:vAlign w:val="center"/>
          </w:tcPr>
          <w:p w14:paraId="20AB0975" w14:textId="77777777" w:rsidR="00E202A2" w:rsidRPr="00F23705" w:rsidRDefault="00E202A2" w:rsidP="0073206D">
            <w:pPr>
              <w:jc w:val="both"/>
              <w:rPr>
                <w:rFonts w:eastAsia="Times New Roman,Times New Roman"/>
                <w:sz w:val="20"/>
                <w:szCs w:val="20"/>
              </w:rPr>
            </w:pPr>
          </w:p>
        </w:tc>
        <w:tc>
          <w:tcPr>
            <w:tcW w:w="566" w:type="dxa"/>
            <w:vAlign w:val="center"/>
          </w:tcPr>
          <w:p w14:paraId="5C9697D5" w14:textId="77777777" w:rsidR="00E202A2" w:rsidRPr="00F23705" w:rsidRDefault="00E202A2" w:rsidP="0073206D">
            <w:pPr>
              <w:jc w:val="both"/>
              <w:rPr>
                <w:rFonts w:eastAsia="Times New Roman,Times New Roman"/>
                <w:sz w:val="20"/>
                <w:szCs w:val="20"/>
              </w:rPr>
            </w:pPr>
          </w:p>
        </w:tc>
      </w:tr>
      <w:tr w:rsidR="00E202A2" w:rsidRPr="00F23705" w14:paraId="64B5A195" w14:textId="77777777" w:rsidTr="0073206D">
        <w:trPr>
          <w:trHeight w:val="125"/>
        </w:trPr>
        <w:tc>
          <w:tcPr>
            <w:tcW w:w="3275" w:type="dxa"/>
            <w:vAlign w:val="center"/>
          </w:tcPr>
          <w:p w14:paraId="2962499A" w14:textId="77777777" w:rsidR="00E202A2" w:rsidRPr="006F0DA8" w:rsidRDefault="00E202A2" w:rsidP="0073206D">
            <w:pPr>
              <w:jc w:val="both"/>
              <w:rPr>
                <w:rFonts w:eastAsia="Times New Roman,Times New Roman"/>
                <w:bCs/>
                <w:iCs/>
                <w:sz w:val="20"/>
                <w:szCs w:val="20"/>
              </w:rPr>
            </w:pPr>
            <w:r w:rsidRPr="006F0DA8">
              <w:rPr>
                <w:rFonts w:eastAsia="Times New Roman,Times New Roman"/>
                <w:bCs/>
                <w:i/>
                <w:sz w:val="20"/>
                <w:szCs w:val="20"/>
              </w:rPr>
              <w:t>4.</w:t>
            </w:r>
            <w:r w:rsidRPr="006F0DA8">
              <w:rPr>
                <w:rFonts w:eastAsia="Times New Roman,Times New Roman"/>
                <w:bCs/>
                <w:iCs/>
                <w:sz w:val="20"/>
                <w:szCs w:val="20"/>
              </w:rPr>
              <w:t xml:space="preserve"> </w:t>
            </w:r>
            <w:r w:rsidRPr="00AC2E42">
              <w:rPr>
                <w:rFonts w:eastAsia="Cardo"/>
                <w:sz w:val="20"/>
                <w:szCs w:val="20"/>
              </w:rPr>
              <w:t>Horizontal collectivism</w:t>
            </w:r>
          </w:p>
        </w:tc>
        <w:tc>
          <w:tcPr>
            <w:tcW w:w="708" w:type="dxa"/>
            <w:vAlign w:val="center"/>
          </w:tcPr>
          <w:p w14:paraId="3AAE6659" w14:textId="77777777" w:rsidR="00E202A2" w:rsidRDefault="00E202A2" w:rsidP="0073206D">
            <w:pPr>
              <w:jc w:val="both"/>
              <w:rPr>
                <w:rFonts w:eastAsia="Times New Roman,Times New Roman"/>
                <w:sz w:val="20"/>
                <w:szCs w:val="20"/>
              </w:rPr>
            </w:pPr>
            <w:r>
              <w:rPr>
                <w:rFonts w:eastAsia="Times New Roman,Times New Roman"/>
                <w:sz w:val="20"/>
                <w:szCs w:val="20"/>
              </w:rPr>
              <w:t>0.81</w:t>
            </w:r>
          </w:p>
        </w:tc>
        <w:tc>
          <w:tcPr>
            <w:tcW w:w="709" w:type="dxa"/>
            <w:vAlign w:val="center"/>
          </w:tcPr>
          <w:p w14:paraId="4F993029" w14:textId="77777777" w:rsidR="00E202A2" w:rsidRPr="009F10D9" w:rsidRDefault="00E202A2" w:rsidP="0073206D">
            <w:pPr>
              <w:jc w:val="both"/>
              <w:rPr>
                <w:rFonts w:eastAsia="Times New Roman,Times New Roman"/>
                <w:iCs/>
                <w:sz w:val="20"/>
                <w:szCs w:val="20"/>
              </w:rPr>
            </w:pPr>
            <w:r>
              <w:rPr>
                <w:rFonts w:eastAsia="Times New Roman,Times New Roman"/>
                <w:iCs/>
                <w:sz w:val="20"/>
                <w:szCs w:val="20"/>
              </w:rPr>
              <w:t>0.80</w:t>
            </w:r>
          </w:p>
        </w:tc>
        <w:tc>
          <w:tcPr>
            <w:tcW w:w="700" w:type="dxa"/>
            <w:vAlign w:val="center"/>
          </w:tcPr>
          <w:p w14:paraId="42D967D7" w14:textId="77777777" w:rsidR="00E202A2" w:rsidRPr="009F10D9" w:rsidRDefault="00E202A2" w:rsidP="0073206D">
            <w:pPr>
              <w:jc w:val="both"/>
              <w:rPr>
                <w:rFonts w:eastAsia="Times New Roman,Times New Roman"/>
                <w:iCs/>
                <w:sz w:val="20"/>
                <w:szCs w:val="20"/>
              </w:rPr>
            </w:pPr>
            <w:r>
              <w:rPr>
                <w:rFonts w:eastAsia="Times New Roman,Times New Roman"/>
                <w:iCs/>
                <w:sz w:val="20"/>
                <w:szCs w:val="20"/>
              </w:rPr>
              <w:t>0.50</w:t>
            </w:r>
          </w:p>
        </w:tc>
        <w:tc>
          <w:tcPr>
            <w:tcW w:w="570" w:type="dxa"/>
            <w:vAlign w:val="center"/>
          </w:tcPr>
          <w:p w14:paraId="29717FDE"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0.28</w:t>
            </w:r>
          </w:p>
        </w:tc>
        <w:tc>
          <w:tcPr>
            <w:tcW w:w="566" w:type="dxa"/>
            <w:vAlign w:val="center"/>
          </w:tcPr>
          <w:p w14:paraId="02433C8C"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0.42</w:t>
            </w:r>
          </w:p>
        </w:tc>
        <w:tc>
          <w:tcPr>
            <w:tcW w:w="567" w:type="dxa"/>
            <w:vAlign w:val="center"/>
          </w:tcPr>
          <w:p w14:paraId="6876729E"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0.35</w:t>
            </w:r>
          </w:p>
        </w:tc>
        <w:tc>
          <w:tcPr>
            <w:tcW w:w="567" w:type="dxa"/>
            <w:vAlign w:val="center"/>
          </w:tcPr>
          <w:p w14:paraId="2317F43D" w14:textId="77777777" w:rsidR="00E202A2" w:rsidRPr="0079269B" w:rsidRDefault="00E202A2" w:rsidP="0073206D">
            <w:pPr>
              <w:jc w:val="both"/>
              <w:rPr>
                <w:rFonts w:eastAsia="Times New Roman,Times New Roman"/>
                <w:i/>
                <w:iCs/>
                <w:sz w:val="20"/>
                <w:szCs w:val="20"/>
              </w:rPr>
            </w:pPr>
            <w:r>
              <w:rPr>
                <w:rFonts w:eastAsia="Times New Roman,Times New Roman"/>
                <w:i/>
                <w:iCs/>
                <w:sz w:val="20"/>
                <w:szCs w:val="20"/>
              </w:rPr>
              <w:t>0.71</w:t>
            </w:r>
          </w:p>
        </w:tc>
        <w:tc>
          <w:tcPr>
            <w:tcW w:w="732" w:type="dxa"/>
            <w:vAlign w:val="center"/>
          </w:tcPr>
          <w:p w14:paraId="690194A9" w14:textId="77777777" w:rsidR="00E202A2" w:rsidRPr="00F23705" w:rsidRDefault="00E202A2" w:rsidP="0073206D">
            <w:pPr>
              <w:jc w:val="both"/>
              <w:rPr>
                <w:rFonts w:eastAsia="Times New Roman,Times New Roman"/>
                <w:sz w:val="20"/>
                <w:szCs w:val="20"/>
              </w:rPr>
            </w:pPr>
          </w:p>
        </w:tc>
        <w:tc>
          <w:tcPr>
            <w:tcW w:w="566" w:type="dxa"/>
            <w:vAlign w:val="center"/>
          </w:tcPr>
          <w:p w14:paraId="7CB102B0" w14:textId="77777777" w:rsidR="00E202A2" w:rsidRPr="00F23705" w:rsidRDefault="00E202A2" w:rsidP="0073206D">
            <w:pPr>
              <w:jc w:val="both"/>
              <w:rPr>
                <w:rFonts w:eastAsia="Times New Roman,Times New Roman"/>
                <w:sz w:val="20"/>
                <w:szCs w:val="20"/>
              </w:rPr>
            </w:pPr>
          </w:p>
        </w:tc>
        <w:tc>
          <w:tcPr>
            <w:tcW w:w="566" w:type="dxa"/>
            <w:vAlign w:val="center"/>
          </w:tcPr>
          <w:p w14:paraId="2DC11E56" w14:textId="77777777" w:rsidR="00E202A2" w:rsidRPr="00F23705" w:rsidRDefault="00E202A2" w:rsidP="0073206D">
            <w:pPr>
              <w:jc w:val="both"/>
              <w:rPr>
                <w:rFonts w:eastAsia="Times New Roman,Times New Roman"/>
                <w:sz w:val="20"/>
                <w:szCs w:val="20"/>
              </w:rPr>
            </w:pPr>
          </w:p>
        </w:tc>
      </w:tr>
      <w:tr w:rsidR="00E202A2" w:rsidRPr="00F23705" w14:paraId="037B66EA" w14:textId="77777777" w:rsidTr="0073206D">
        <w:trPr>
          <w:trHeight w:val="125"/>
        </w:trPr>
        <w:tc>
          <w:tcPr>
            <w:tcW w:w="3275" w:type="dxa"/>
            <w:vAlign w:val="center"/>
          </w:tcPr>
          <w:p w14:paraId="2704B0E4" w14:textId="77777777" w:rsidR="00E202A2" w:rsidRPr="006F0DA8" w:rsidRDefault="00E202A2" w:rsidP="0073206D">
            <w:pPr>
              <w:jc w:val="both"/>
              <w:rPr>
                <w:rFonts w:eastAsia="Times New Roman,Times New Roman"/>
                <w:bCs/>
                <w:iCs/>
                <w:sz w:val="20"/>
                <w:szCs w:val="20"/>
              </w:rPr>
            </w:pPr>
            <w:r w:rsidRPr="006F0DA8">
              <w:rPr>
                <w:rFonts w:eastAsia="Times New Roman,Times New Roman"/>
                <w:bCs/>
                <w:i/>
                <w:sz w:val="20"/>
                <w:szCs w:val="20"/>
              </w:rPr>
              <w:t>5.</w:t>
            </w:r>
            <w:r w:rsidRPr="006F0DA8">
              <w:rPr>
                <w:rFonts w:eastAsia="Times New Roman,Times New Roman"/>
                <w:bCs/>
                <w:iCs/>
                <w:sz w:val="20"/>
                <w:szCs w:val="20"/>
              </w:rPr>
              <w:t xml:space="preserve"> </w:t>
            </w:r>
            <w:r w:rsidRPr="00AC2E42">
              <w:rPr>
                <w:rFonts w:eastAsia="Times New Roman,Times New Roman"/>
                <w:bCs/>
                <w:iCs/>
                <w:sz w:val="20"/>
                <w:szCs w:val="20"/>
              </w:rPr>
              <w:t>Global identity</w:t>
            </w:r>
          </w:p>
        </w:tc>
        <w:tc>
          <w:tcPr>
            <w:tcW w:w="708" w:type="dxa"/>
            <w:vAlign w:val="center"/>
          </w:tcPr>
          <w:p w14:paraId="7A02D38C" w14:textId="77777777" w:rsidR="00E202A2" w:rsidRDefault="00E202A2" w:rsidP="0073206D">
            <w:pPr>
              <w:jc w:val="both"/>
              <w:rPr>
                <w:rFonts w:eastAsia="Times New Roman,Times New Roman"/>
                <w:sz w:val="20"/>
                <w:szCs w:val="20"/>
              </w:rPr>
            </w:pPr>
            <w:r>
              <w:rPr>
                <w:rFonts w:eastAsia="Times New Roman,Times New Roman"/>
                <w:sz w:val="20"/>
                <w:szCs w:val="20"/>
              </w:rPr>
              <w:t>0.89</w:t>
            </w:r>
          </w:p>
        </w:tc>
        <w:tc>
          <w:tcPr>
            <w:tcW w:w="709" w:type="dxa"/>
            <w:vAlign w:val="center"/>
          </w:tcPr>
          <w:p w14:paraId="597A8EF4" w14:textId="77777777" w:rsidR="00E202A2" w:rsidRPr="009F10D9" w:rsidRDefault="00E202A2" w:rsidP="0073206D">
            <w:pPr>
              <w:jc w:val="both"/>
              <w:rPr>
                <w:rFonts w:eastAsia="Times New Roman,Times New Roman"/>
                <w:iCs/>
                <w:sz w:val="20"/>
                <w:szCs w:val="20"/>
              </w:rPr>
            </w:pPr>
            <w:r>
              <w:rPr>
                <w:rFonts w:eastAsia="Times New Roman,Times New Roman"/>
                <w:iCs/>
                <w:sz w:val="20"/>
                <w:szCs w:val="20"/>
              </w:rPr>
              <w:t>0.93</w:t>
            </w:r>
          </w:p>
        </w:tc>
        <w:tc>
          <w:tcPr>
            <w:tcW w:w="700" w:type="dxa"/>
            <w:vAlign w:val="center"/>
          </w:tcPr>
          <w:p w14:paraId="4DCB1276" w14:textId="77777777" w:rsidR="00E202A2" w:rsidRPr="009F10D9" w:rsidRDefault="00E202A2" w:rsidP="0073206D">
            <w:pPr>
              <w:jc w:val="both"/>
              <w:rPr>
                <w:rFonts w:eastAsia="Times New Roman,Times New Roman"/>
                <w:iCs/>
                <w:sz w:val="20"/>
                <w:szCs w:val="20"/>
              </w:rPr>
            </w:pPr>
            <w:r>
              <w:rPr>
                <w:rFonts w:eastAsia="Times New Roman,Times New Roman"/>
                <w:iCs/>
                <w:sz w:val="20"/>
                <w:szCs w:val="20"/>
              </w:rPr>
              <w:t>0.77</w:t>
            </w:r>
          </w:p>
        </w:tc>
        <w:tc>
          <w:tcPr>
            <w:tcW w:w="570" w:type="dxa"/>
            <w:vAlign w:val="center"/>
          </w:tcPr>
          <w:p w14:paraId="02902152"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0.24</w:t>
            </w:r>
          </w:p>
        </w:tc>
        <w:tc>
          <w:tcPr>
            <w:tcW w:w="566" w:type="dxa"/>
            <w:vAlign w:val="center"/>
          </w:tcPr>
          <w:p w14:paraId="6E5B0234"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0.13</w:t>
            </w:r>
          </w:p>
        </w:tc>
        <w:tc>
          <w:tcPr>
            <w:tcW w:w="567" w:type="dxa"/>
            <w:vAlign w:val="center"/>
          </w:tcPr>
          <w:p w14:paraId="347086AB"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0.22</w:t>
            </w:r>
          </w:p>
        </w:tc>
        <w:tc>
          <w:tcPr>
            <w:tcW w:w="567" w:type="dxa"/>
            <w:vAlign w:val="center"/>
          </w:tcPr>
          <w:p w14:paraId="5BEB2FC0"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0.21</w:t>
            </w:r>
          </w:p>
        </w:tc>
        <w:tc>
          <w:tcPr>
            <w:tcW w:w="732" w:type="dxa"/>
            <w:vAlign w:val="center"/>
          </w:tcPr>
          <w:p w14:paraId="6893CC96" w14:textId="77777777" w:rsidR="00E202A2" w:rsidRPr="0079269B" w:rsidRDefault="00E202A2" w:rsidP="0073206D">
            <w:pPr>
              <w:jc w:val="both"/>
              <w:rPr>
                <w:rFonts w:eastAsia="Times New Roman,Times New Roman"/>
                <w:i/>
                <w:iCs/>
                <w:sz w:val="20"/>
                <w:szCs w:val="20"/>
              </w:rPr>
            </w:pPr>
            <w:r>
              <w:rPr>
                <w:rFonts w:eastAsia="Times New Roman,Times New Roman"/>
                <w:i/>
                <w:iCs/>
                <w:sz w:val="20"/>
                <w:szCs w:val="20"/>
              </w:rPr>
              <w:t>0.88</w:t>
            </w:r>
          </w:p>
        </w:tc>
        <w:tc>
          <w:tcPr>
            <w:tcW w:w="566" w:type="dxa"/>
            <w:vAlign w:val="center"/>
          </w:tcPr>
          <w:p w14:paraId="091C8FA8" w14:textId="77777777" w:rsidR="00E202A2" w:rsidRPr="00F23705" w:rsidRDefault="00E202A2" w:rsidP="0073206D">
            <w:pPr>
              <w:jc w:val="both"/>
              <w:rPr>
                <w:rFonts w:eastAsia="Times New Roman,Times New Roman"/>
                <w:sz w:val="20"/>
                <w:szCs w:val="20"/>
              </w:rPr>
            </w:pPr>
          </w:p>
        </w:tc>
        <w:tc>
          <w:tcPr>
            <w:tcW w:w="566" w:type="dxa"/>
            <w:vAlign w:val="center"/>
          </w:tcPr>
          <w:p w14:paraId="27BFC87F" w14:textId="77777777" w:rsidR="00E202A2" w:rsidRPr="00F23705" w:rsidRDefault="00E202A2" w:rsidP="0073206D">
            <w:pPr>
              <w:jc w:val="both"/>
              <w:rPr>
                <w:rFonts w:eastAsia="Times New Roman,Times New Roman"/>
                <w:sz w:val="20"/>
                <w:szCs w:val="20"/>
              </w:rPr>
            </w:pPr>
          </w:p>
        </w:tc>
      </w:tr>
      <w:tr w:rsidR="00E202A2" w:rsidRPr="00F23705" w14:paraId="0D7CE7A9" w14:textId="77777777" w:rsidTr="0073206D">
        <w:trPr>
          <w:trHeight w:val="125"/>
        </w:trPr>
        <w:tc>
          <w:tcPr>
            <w:tcW w:w="3275" w:type="dxa"/>
            <w:vAlign w:val="center"/>
          </w:tcPr>
          <w:p w14:paraId="3027CA05" w14:textId="77777777" w:rsidR="00E202A2" w:rsidRPr="006F0DA8" w:rsidRDefault="00E202A2" w:rsidP="0073206D">
            <w:pPr>
              <w:jc w:val="both"/>
              <w:rPr>
                <w:bCs/>
                <w:iCs/>
                <w:sz w:val="20"/>
                <w:szCs w:val="20"/>
              </w:rPr>
            </w:pPr>
            <w:r w:rsidRPr="006F0DA8">
              <w:rPr>
                <w:bCs/>
                <w:i/>
                <w:sz w:val="20"/>
                <w:szCs w:val="20"/>
              </w:rPr>
              <w:t>6.</w:t>
            </w:r>
            <w:r w:rsidRPr="006F0DA8">
              <w:rPr>
                <w:bCs/>
                <w:iCs/>
                <w:sz w:val="20"/>
                <w:szCs w:val="20"/>
              </w:rPr>
              <w:t xml:space="preserve"> Local identity</w:t>
            </w:r>
          </w:p>
        </w:tc>
        <w:tc>
          <w:tcPr>
            <w:tcW w:w="708" w:type="dxa"/>
            <w:vAlign w:val="center"/>
          </w:tcPr>
          <w:p w14:paraId="017DDF56" w14:textId="77777777" w:rsidR="00E202A2" w:rsidRDefault="00E202A2" w:rsidP="0073206D">
            <w:pPr>
              <w:jc w:val="both"/>
              <w:rPr>
                <w:rFonts w:eastAsia="Times New Roman,Times New Roman"/>
                <w:sz w:val="20"/>
                <w:szCs w:val="20"/>
              </w:rPr>
            </w:pPr>
            <w:r>
              <w:rPr>
                <w:rFonts w:eastAsia="Times New Roman,Times New Roman"/>
                <w:sz w:val="20"/>
                <w:szCs w:val="20"/>
              </w:rPr>
              <w:t>0.94</w:t>
            </w:r>
          </w:p>
        </w:tc>
        <w:tc>
          <w:tcPr>
            <w:tcW w:w="709" w:type="dxa"/>
            <w:vAlign w:val="center"/>
          </w:tcPr>
          <w:p w14:paraId="54ED9E96" w14:textId="77777777" w:rsidR="00E202A2" w:rsidRPr="009F10D9" w:rsidRDefault="00E202A2" w:rsidP="0073206D">
            <w:pPr>
              <w:jc w:val="both"/>
              <w:rPr>
                <w:rFonts w:eastAsia="Times New Roman,Times New Roman"/>
                <w:iCs/>
                <w:sz w:val="20"/>
                <w:szCs w:val="20"/>
              </w:rPr>
            </w:pPr>
            <w:r>
              <w:rPr>
                <w:rFonts w:eastAsia="Times New Roman,Times New Roman"/>
                <w:iCs/>
                <w:sz w:val="20"/>
                <w:szCs w:val="20"/>
              </w:rPr>
              <w:t>0.94</w:t>
            </w:r>
          </w:p>
        </w:tc>
        <w:tc>
          <w:tcPr>
            <w:tcW w:w="700" w:type="dxa"/>
            <w:vAlign w:val="center"/>
          </w:tcPr>
          <w:p w14:paraId="3AE9D11C" w14:textId="77777777" w:rsidR="00E202A2" w:rsidRPr="009F10D9" w:rsidRDefault="00E202A2" w:rsidP="0073206D">
            <w:pPr>
              <w:jc w:val="both"/>
              <w:rPr>
                <w:rFonts w:eastAsia="Times New Roman,Times New Roman"/>
                <w:iCs/>
                <w:sz w:val="20"/>
                <w:szCs w:val="20"/>
              </w:rPr>
            </w:pPr>
            <w:r>
              <w:rPr>
                <w:rFonts w:eastAsia="Times New Roman,Times New Roman"/>
                <w:iCs/>
                <w:sz w:val="20"/>
                <w:szCs w:val="20"/>
              </w:rPr>
              <w:t>0.79</w:t>
            </w:r>
          </w:p>
        </w:tc>
        <w:tc>
          <w:tcPr>
            <w:tcW w:w="570" w:type="dxa"/>
            <w:vAlign w:val="center"/>
          </w:tcPr>
          <w:p w14:paraId="370804B3" w14:textId="77777777" w:rsidR="00E202A2" w:rsidRPr="00F23705" w:rsidDel="007F0C75" w:rsidRDefault="00E202A2" w:rsidP="0073206D">
            <w:pPr>
              <w:jc w:val="both"/>
              <w:rPr>
                <w:rFonts w:eastAsia="Times New Roman,Times New Roman"/>
                <w:sz w:val="20"/>
                <w:szCs w:val="20"/>
              </w:rPr>
            </w:pPr>
            <w:r>
              <w:rPr>
                <w:rFonts w:eastAsia="Times New Roman,Times New Roman"/>
                <w:sz w:val="20"/>
                <w:szCs w:val="20"/>
              </w:rPr>
              <w:t>0.03</w:t>
            </w:r>
          </w:p>
        </w:tc>
        <w:tc>
          <w:tcPr>
            <w:tcW w:w="566" w:type="dxa"/>
            <w:vAlign w:val="center"/>
          </w:tcPr>
          <w:p w14:paraId="49A92596" w14:textId="77777777" w:rsidR="00E202A2" w:rsidRPr="00F23705" w:rsidDel="007F0C75" w:rsidRDefault="00E202A2" w:rsidP="0073206D">
            <w:pPr>
              <w:jc w:val="both"/>
              <w:rPr>
                <w:rFonts w:eastAsia="Times New Roman,Times New Roman"/>
                <w:sz w:val="20"/>
                <w:szCs w:val="20"/>
              </w:rPr>
            </w:pPr>
            <w:r>
              <w:rPr>
                <w:rFonts w:eastAsia="Times New Roman,Times New Roman"/>
                <w:sz w:val="20"/>
                <w:szCs w:val="20"/>
              </w:rPr>
              <w:t>0.15</w:t>
            </w:r>
          </w:p>
        </w:tc>
        <w:tc>
          <w:tcPr>
            <w:tcW w:w="567" w:type="dxa"/>
            <w:vAlign w:val="center"/>
          </w:tcPr>
          <w:p w14:paraId="7913CE2B" w14:textId="77777777" w:rsidR="00E202A2" w:rsidRPr="00F23705" w:rsidDel="007F0C75" w:rsidRDefault="00E202A2" w:rsidP="0073206D">
            <w:pPr>
              <w:jc w:val="both"/>
              <w:rPr>
                <w:rFonts w:eastAsia="Times New Roman,Times New Roman"/>
                <w:sz w:val="20"/>
                <w:szCs w:val="20"/>
              </w:rPr>
            </w:pPr>
            <w:r>
              <w:rPr>
                <w:rFonts w:eastAsia="Times New Roman,Times New Roman"/>
                <w:sz w:val="20"/>
                <w:szCs w:val="20"/>
              </w:rPr>
              <w:t>0.17</w:t>
            </w:r>
          </w:p>
        </w:tc>
        <w:tc>
          <w:tcPr>
            <w:tcW w:w="567" w:type="dxa"/>
            <w:vAlign w:val="center"/>
          </w:tcPr>
          <w:p w14:paraId="07D9504B" w14:textId="77777777" w:rsidR="00E202A2" w:rsidRPr="00F23705" w:rsidDel="007F0C75" w:rsidRDefault="00E202A2" w:rsidP="0073206D">
            <w:pPr>
              <w:jc w:val="both"/>
              <w:rPr>
                <w:rFonts w:eastAsia="Times New Roman,Times New Roman"/>
                <w:sz w:val="20"/>
                <w:szCs w:val="20"/>
              </w:rPr>
            </w:pPr>
            <w:r>
              <w:rPr>
                <w:rFonts w:eastAsia="Times New Roman,Times New Roman"/>
                <w:sz w:val="20"/>
                <w:szCs w:val="20"/>
              </w:rPr>
              <w:t>0.09</w:t>
            </w:r>
          </w:p>
        </w:tc>
        <w:tc>
          <w:tcPr>
            <w:tcW w:w="732" w:type="dxa"/>
            <w:vAlign w:val="center"/>
          </w:tcPr>
          <w:p w14:paraId="36EA0CB6" w14:textId="77777777" w:rsidR="00E202A2" w:rsidRPr="00F23705" w:rsidDel="007F0C75" w:rsidRDefault="00E202A2" w:rsidP="0073206D">
            <w:pPr>
              <w:jc w:val="both"/>
              <w:rPr>
                <w:rFonts w:eastAsia="Times New Roman,Times New Roman"/>
                <w:sz w:val="20"/>
                <w:szCs w:val="20"/>
              </w:rPr>
            </w:pPr>
            <w:r>
              <w:rPr>
                <w:rFonts w:eastAsia="Times New Roman,Times New Roman"/>
                <w:sz w:val="20"/>
                <w:szCs w:val="20"/>
              </w:rPr>
              <w:t>-0.16</w:t>
            </w:r>
          </w:p>
        </w:tc>
        <w:tc>
          <w:tcPr>
            <w:tcW w:w="566" w:type="dxa"/>
            <w:vAlign w:val="center"/>
          </w:tcPr>
          <w:p w14:paraId="4BF67630" w14:textId="77777777" w:rsidR="00E202A2" w:rsidRPr="00F23705" w:rsidRDefault="00E202A2" w:rsidP="0073206D">
            <w:pPr>
              <w:jc w:val="both"/>
              <w:rPr>
                <w:rFonts w:eastAsia="Times New Roman,Times New Roman"/>
                <w:i/>
                <w:sz w:val="20"/>
                <w:szCs w:val="20"/>
              </w:rPr>
            </w:pPr>
            <w:r>
              <w:rPr>
                <w:rFonts w:eastAsia="Times New Roman,Times New Roman"/>
                <w:i/>
                <w:sz w:val="20"/>
                <w:szCs w:val="20"/>
              </w:rPr>
              <w:t>0.89</w:t>
            </w:r>
          </w:p>
        </w:tc>
        <w:tc>
          <w:tcPr>
            <w:tcW w:w="566" w:type="dxa"/>
            <w:vAlign w:val="center"/>
          </w:tcPr>
          <w:p w14:paraId="4920E1A2" w14:textId="77777777" w:rsidR="00E202A2" w:rsidRPr="00F23705" w:rsidRDefault="00E202A2" w:rsidP="0073206D">
            <w:pPr>
              <w:jc w:val="both"/>
              <w:rPr>
                <w:rFonts w:eastAsia="Times New Roman,Times New Roman"/>
                <w:sz w:val="20"/>
                <w:szCs w:val="20"/>
              </w:rPr>
            </w:pPr>
          </w:p>
        </w:tc>
      </w:tr>
      <w:tr w:rsidR="00E202A2" w:rsidRPr="00F23705" w14:paraId="7E454100" w14:textId="77777777" w:rsidTr="0073206D">
        <w:trPr>
          <w:trHeight w:val="73"/>
        </w:trPr>
        <w:tc>
          <w:tcPr>
            <w:tcW w:w="3275" w:type="dxa"/>
            <w:tcBorders>
              <w:bottom w:val="single" w:sz="4" w:space="0" w:color="auto"/>
            </w:tcBorders>
            <w:vAlign w:val="center"/>
          </w:tcPr>
          <w:p w14:paraId="0BCFEFC7" w14:textId="77777777" w:rsidR="00E202A2" w:rsidRPr="006F0DA8" w:rsidRDefault="00E202A2" w:rsidP="0073206D">
            <w:pPr>
              <w:jc w:val="both"/>
              <w:rPr>
                <w:bCs/>
                <w:iCs/>
                <w:sz w:val="20"/>
                <w:szCs w:val="20"/>
              </w:rPr>
            </w:pPr>
            <w:r w:rsidRPr="006F0DA8">
              <w:rPr>
                <w:bCs/>
                <w:i/>
                <w:sz w:val="20"/>
                <w:szCs w:val="20"/>
              </w:rPr>
              <w:t>7.</w:t>
            </w:r>
            <w:r w:rsidRPr="006F0DA8">
              <w:rPr>
                <w:bCs/>
                <w:iCs/>
                <w:sz w:val="20"/>
                <w:szCs w:val="20"/>
              </w:rPr>
              <w:t xml:space="preserve"> </w:t>
            </w:r>
            <w:r w:rsidRPr="00AC2E42">
              <w:rPr>
                <w:rFonts w:eastAsia="Cardo"/>
                <w:sz w:val="20"/>
                <w:szCs w:val="20"/>
              </w:rPr>
              <w:t>Perceived consumer effectiveness</w:t>
            </w:r>
          </w:p>
        </w:tc>
        <w:tc>
          <w:tcPr>
            <w:tcW w:w="708" w:type="dxa"/>
            <w:tcBorders>
              <w:bottom w:val="single" w:sz="4" w:space="0" w:color="auto"/>
            </w:tcBorders>
            <w:vAlign w:val="center"/>
          </w:tcPr>
          <w:p w14:paraId="432E4D4E" w14:textId="77777777" w:rsidR="00E202A2" w:rsidRDefault="00E202A2" w:rsidP="0073206D">
            <w:pPr>
              <w:jc w:val="both"/>
              <w:rPr>
                <w:rFonts w:eastAsia="Times New Roman,Times New Roman"/>
                <w:sz w:val="20"/>
                <w:szCs w:val="20"/>
              </w:rPr>
            </w:pPr>
            <w:r>
              <w:rPr>
                <w:rFonts w:eastAsia="Times New Roman,Times New Roman"/>
                <w:sz w:val="20"/>
                <w:szCs w:val="20"/>
              </w:rPr>
              <w:t>0.91</w:t>
            </w:r>
          </w:p>
        </w:tc>
        <w:tc>
          <w:tcPr>
            <w:tcW w:w="709" w:type="dxa"/>
            <w:tcBorders>
              <w:bottom w:val="single" w:sz="4" w:space="0" w:color="auto"/>
            </w:tcBorders>
            <w:vAlign w:val="center"/>
          </w:tcPr>
          <w:p w14:paraId="62588306" w14:textId="77777777" w:rsidR="00E202A2" w:rsidRPr="009F10D9" w:rsidRDefault="00E202A2" w:rsidP="0073206D">
            <w:pPr>
              <w:jc w:val="both"/>
              <w:rPr>
                <w:rFonts w:eastAsia="Times New Roman,Times New Roman"/>
                <w:iCs/>
                <w:sz w:val="20"/>
                <w:szCs w:val="20"/>
              </w:rPr>
            </w:pPr>
            <w:r>
              <w:rPr>
                <w:rFonts w:eastAsia="Times New Roman,Times New Roman"/>
                <w:iCs/>
                <w:sz w:val="20"/>
                <w:szCs w:val="20"/>
              </w:rPr>
              <w:t>0.90</w:t>
            </w:r>
          </w:p>
        </w:tc>
        <w:tc>
          <w:tcPr>
            <w:tcW w:w="700" w:type="dxa"/>
            <w:tcBorders>
              <w:bottom w:val="single" w:sz="4" w:space="0" w:color="auto"/>
            </w:tcBorders>
            <w:vAlign w:val="center"/>
          </w:tcPr>
          <w:p w14:paraId="78A76746" w14:textId="77777777" w:rsidR="00E202A2" w:rsidRPr="009F10D9" w:rsidRDefault="00E202A2" w:rsidP="0073206D">
            <w:pPr>
              <w:jc w:val="both"/>
              <w:rPr>
                <w:rFonts w:eastAsia="Times New Roman,Times New Roman"/>
                <w:iCs/>
                <w:sz w:val="20"/>
                <w:szCs w:val="20"/>
              </w:rPr>
            </w:pPr>
            <w:r>
              <w:rPr>
                <w:rFonts w:eastAsia="Times New Roman,Times New Roman"/>
                <w:iCs/>
                <w:sz w:val="20"/>
                <w:szCs w:val="20"/>
              </w:rPr>
              <w:t>0.70</w:t>
            </w:r>
          </w:p>
        </w:tc>
        <w:tc>
          <w:tcPr>
            <w:tcW w:w="570" w:type="dxa"/>
            <w:tcBorders>
              <w:bottom w:val="single" w:sz="4" w:space="0" w:color="auto"/>
            </w:tcBorders>
            <w:vAlign w:val="center"/>
          </w:tcPr>
          <w:p w14:paraId="4931F06D"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0.23</w:t>
            </w:r>
          </w:p>
        </w:tc>
        <w:tc>
          <w:tcPr>
            <w:tcW w:w="566" w:type="dxa"/>
            <w:tcBorders>
              <w:bottom w:val="single" w:sz="4" w:space="0" w:color="auto"/>
            </w:tcBorders>
            <w:vAlign w:val="center"/>
          </w:tcPr>
          <w:p w14:paraId="1BE15327"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0.09</w:t>
            </w:r>
          </w:p>
        </w:tc>
        <w:tc>
          <w:tcPr>
            <w:tcW w:w="567" w:type="dxa"/>
            <w:tcBorders>
              <w:bottom w:val="single" w:sz="4" w:space="0" w:color="auto"/>
            </w:tcBorders>
            <w:vAlign w:val="center"/>
          </w:tcPr>
          <w:p w14:paraId="2E3FB292"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0.25</w:t>
            </w:r>
          </w:p>
        </w:tc>
        <w:tc>
          <w:tcPr>
            <w:tcW w:w="567" w:type="dxa"/>
            <w:tcBorders>
              <w:bottom w:val="single" w:sz="4" w:space="0" w:color="auto"/>
            </w:tcBorders>
            <w:vAlign w:val="center"/>
          </w:tcPr>
          <w:p w14:paraId="5CB255BE"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0.19</w:t>
            </w:r>
          </w:p>
        </w:tc>
        <w:tc>
          <w:tcPr>
            <w:tcW w:w="732" w:type="dxa"/>
            <w:tcBorders>
              <w:bottom w:val="single" w:sz="4" w:space="0" w:color="auto"/>
            </w:tcBorders>
            <w:vAlign w:val="center"/>
          </w:tcPr>
          <w:p w14:paraId="40903789"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0.21</w:t>
            </w:r>
          </w:p>
        </w:tc>
        <w:tc>
          <w:tcPr>
            <w:tcW w:w="566" w:type="dxa"/>
            <w:tcBorders>
              <w:bottom w:val="single" w:sz="4" w:space="0" w:color="auto"/>
            </w:tcBorders>
            <w:vAlign w:val="center"/>
          </w:tcPr>
          <w:p w14:paraId="77AF509E" w14:textId="77777777" w:rsidR="00E202A2" w:rsidRPr="00F23705" w:rsidRDefault="00E202A2" w:rsidP="0073206D">
            <w:pPr>
              <w:jc w:val="both"/>
              <w:rPr>
                <w:rFonts w:eastAsia="Times New Roman,Times New Roman"/>
                <w:sz w:val="20"/>
                <w:szCs w:val="20"/>
              </w:rPr>
            </w:pPr>
            <w:r>
              <w:rPr>
                <w:rFonts w:eastAsia="Times New Roman,Times New Roman"/>
                <w:sz w:val="20"/>
                <w:szCs w:val="20"/>
              </w:rPr>
              <w:t>0.07</w:t>
            </w:r>
          </w:p>
        </w:tc>
        <w:tc>
          <w:tcPr>
            <w:tcW w:w="566" w:type="dxa"/>
            <w:tcBorders>
              <w:bottom w:val="single" w:sz="4" w:space="0" w:color="auto"/>
            </w:tcBorders>
            <w:vAlign w:val="center"/>
          </w:tcPr>
          <w:p w14:paraId="1BB4B30A" w14:textId="77777777" w:rsidR="00E202A2" w:rsidRPr="00F23705" w:rsidRDefault="00E202A2" w:rsidP="0073206D">
            <w:pPr>
              <w:jc w:val="both"/>
              <w:rPr>
                <w:rFonts w:eastAsia="Times New Roman,Times New Roman"/>
                <w:i/>
                <w:sz w:val="20"/>
                <w:szCs w:val="20"/>
              </w:rPr>
            </w:pPr>
            <w:r>
              <w:rPr>
                <w:rFonts w:eastAsia="Times New Roman,Times New Roman"/>
                <w:i/>
                <w:sz w:val="20"/>
                <w:szCs w:val="20"/>
              </w:rPr>
              <w:t>0.84</w:t>
            </w:r>
          </w:p>
        </w:tc>
      </w:tr>
    </w:tbl>
    <w:p w14:paraId="41DB89F2" w14:textId="77777777" w:rsidR="00E202A2" w:rsidRDefault="00E202A2" w:rsidP="00E202A2">
      <w:pPr>
        <w:jc w:val="both"/>
        <w:rPr>
          <w:sz w:val="20"/>
          <w:szCs w:val="20"/>
        </w:rPr>
      </w:pPr>
      <w:r w:rsidRPr="00F23705">
        <w:rPr>
          <w:rFonts w:eastAsia="Times New Roman,Times New Roman"/>
          <w:sz w:val="20"/>
          <w:szCs w:val="20"/>
        </w:rPr>
        <w:t xml:space="preserve">Note: The square root of the average variance extracted values appears in italics. </w:t>
      </w:r>
      <w:r w:rsidRPr="00F23705">
        <w:rPr>
          <w:sz w:val="20"/>
        </w:rPr>
        <w:sym w:font="Symbol" w:char="F061"/>
      </w:r>
      <w:r>
        <w:rPr>
          <w:sz w:val="20"/>
          <w:szCs w:val="20"/>
        </w:rPr>
        <w:t xml:space="preserve"> = </w:t>
      </w:r>
      <w:r w:rsidRPr="00F23705">
        <w:rPr>
          <w:sz w:val="20"/>
          <w:szCs w:val="20"/>
        </w:rPr>
        <w:t>Cronbach</w:t>
      </w:r>
      <w:r w:rsidRPr="00F23705">
        <w:rPr>
          <w:rFonts w:eastAsia="Helvetica"/>
          <w:sz w:val="20"/>
          <w:szCs w:val="20"/>
        </w:rPr>
        <w:t>’</w:t>
      </w:r>
      <w:r w:rsidRPr="00F23705">
        <w:rPr>
          <w:sz w:val="20"/>
          <w:szCs w:val="20"/>
        </w:rPr>
        <w:t xml:space="preserve">s alpha, </w:t>
      </w:r>
      <w:r>
        <w:rPr>
          <w:sz w:val="20"/>
          <w:szCs w:val="20"/>
        </w:rPr>
        <w:t xml:space="preserve">CR = </w:t>
      </w:r>
      <w:r w:rsidRPr="00F23705">
        <w:rPr>
          <w:sz w:val="20"/>
          <w:szCs w:val="20"/>
        </w:rPr>
        <w:t>composite reliability (</w:t>
      </w:r>
      <w:proofErr w:type="spellStart"/>
      <w:r w:rsidRPr="00F23705">
        <w:rPr>
          <w:sz w:val="20"/>
          <w:szCs w:val="20"/>
        </w:rPr>
        <w:t>Jöreskog's</w:t>
      </w:r>
      <w:proofErr w:type="spellEnd"/>
      <w:r w:rsidRPr="00F23705">
        <w:rPr>
          <w:sz w:val="20"/>
          <w:szCs w:val="20"/>
        </w:rPr>
        <w:t xml:space="preserve"> </w:t>
      </w:r>
      <w:proofErr w:type="spellStart"/>
      <w:r w:rsidRPr="00F23705">
        <w:rPr>
          <w:sz w:val="20"/>
          <w:szCs w:val="20"/>
        </w:rPr>
        <w:t>Rhô</w:t>
      </w:r>
      <w:proofErr w:type="spellEnd"/>
      <w:r w:rsidRPr="00F23705">
        <w:rPr>
          <w:sz w:val="20"/>
          <w:szCs w:val="20"/>
        </w:rPr>
        <w:t xml:space="preserve">), </w:t>
      </w:r>
      <w:r>
        <w:rPr>
          <w:sz w:val="20"/>
          <w:szCs w:val="20"/>
        </w:rPr>
        <w:t xml:space="preserve">AVE = </w:t>
      </w:r>
      <w:r w:rsidRPr="00F23705">
        <w:rPr>
          <w:sz w:val="20"/>
          <w:szCs w:val="20"/>
        </w:rPr>
        <w:t>average variance extracted (</w:t>
      </w:r>
      <w:proofErr w:type="spellStart"/>
      <w:r w:rsidRPr="00F23705">
        <w:rPr>
          <w:sz w:val="20"/>
          <w:szCs w:val="20"/>
        </w:rPr>
        <w:t>Rhô</w:t>
      </w:r>
      <w:proofErr w:type="spellEnd"/>
      <w:r w:rsidRPr="00F23705">
        <w:t xml:space="preserve"> </w:t>
      </w:r>
      <w:proofErr w:type="spellStart"/>
      <w:r w:rsidRPr="00F23705">
        <w:rPr>
          <w:sz w:val="20"/>
          <w:szCs w:val="20"/>
        </w:rPr>
        <w:t>vc</w:t>
      </w:r>
      <w:proofErr w:type="spellEnd"/>
      <w:r w:rsidRPr="00F23705">
        <w:rPr>
          <w:sz w:val="20"/>
          <w:szCs w:val="20"/>
        </w:rPr>
        <w:t>)</w:t>
      </w:r>
      <w:r>
        <w:rPr>
          <w:sz w:val="20"/>
          <w:szCs w:val="20"/>
        </w:rPr>
        <w:t>;</w:t>
      </w:r>
      <w:r w:rsidRPr="00F23705">
        <w:rPr>
          <w:sz w:val="20"/>
          <w:szCs w:val="20"/>
        </w:rPr>
        <w:t xml:space="preserve"> MLR χ</w:t>
      </w:r>
      <w:r w:rsidRPr="00F23705">
        <w:rPr>
          <w:sz w:val="20"/>
          <w:szCs w:val="20"/>
          <w:vertAlign w:val="superscript"/>
        </w:rPr>
        <w:t>2</w:t>
      </w:r>
      <w:r w:rsidRPr="00F23705">
        <w:rPr>
          <w:sz w:val="20"/>
          <w:szCs w:val="20"/>
          <w:vertAlign w:val="subscript"/>
        </w:rPr>
        <w:t>(</w:t>
      </w:r>
      <w:r>
        <w:rPr>
          <w:sz w:val="20"/>
          <w:szCs w:val="20"/>
          <w:vertAlign w:val="subscript"/>
        </w:rPr>
        <w:t>278</w:t>
      </w:r>
      <w:r w:rsidRPr="00F23705">
        <w:rPr>
          <w:sz w:val="20"/>
          <w:szCs w:val="20"/>
          <w:vertAlign w:val="subscript"/>
        </w:rPr>
        <w:t>)</w:t>
      </w:r>
      <w:r w:rsidRPr="00F23705">
        <w:rPr>
          <w:sz w:val="20"/>
          <w:szCs w:val="20"/>
        </w:rPr>
        <w:t xml:space="preserve"> = </w:t>
      </w:r>
      <w:r w:rsidRPr="0091391B">
        <w:rPr>
          <w:sz w:val="20"/>
          <w:szCs w:val="20"/>
        </w:rPr>
        <w:t>749.17</w:t>
      </w:r>
      <w:r w:rsidRPr="00F23705">
        <w:rPr>
          <w:sz w:val="20"/>
          <w:szCs w:val="20"/>
        </w:rPr>
        <w:t>, CFI = 0.9</w:t>
      </w:r>
      <w:r>
        <w:rPr>
          <w:sz w:val="20"/>
          <w:szCs w:val="20"/>
        </w:rPr>
        <w:t>4</w:t>
      </w:r>
      <w:r w:rsidRPr="00F23705">
        <w:rPr>
          <w:sz w:val="20"/>
          <w:szCs w:val="20"/>
        </w:rPr>
        <w:t>, TLI = 0.9</w:t>
      </w:r>
      <w:r>
        <w:rPr>
          <w:sz w:val="20"/>
          <w:szCs w:val="20"/>
        </w:rPr>
        <w:t>3</w:t>
      </w:r>
      <w:r w:rsidRPr="00F23705">
        <w:rPr>
          <w:sz w:val="20"/>
          <w:szCs w:val="20"/>
        </w:rPr>
        <w:t>, RMSEA = 0.0</w:t>
      </w:r>
      <w:r>
        <w:rPr>
          <w:sz w:val="20"/>
          <w:szCs w:val="20"/>
        </w:rPr>
        <w:t>6</w:t>
      </w:r>
      <w:r w:rsidRPr="00F23705">
        <w:rPr>
          <w:sz w:val="20"/>
          <w:szCs w:val="20"/>
        </w:rPr>
        <w:t xml:space="preserve"> [90% C.I. 0.0</w:t>
      </w:r>
      <w:r>
        <w:rPr>
          <w:sz w:val="20"/>
          <w:szCs w:val="20"/>
        </w:rPr>
        <w:t>6</w:t>
      </w:r>
      <w:r w:rsidRPr="00F23705">
        <w:rPr>
          <w:sz w:val="20"/>
          <w:szCs w:val="20"/>
        </w:rPr>
        <w:t>–0.0</w:t>
      </w:r>
      <w:r>
        <w:rPr>
          <w:sz w:val="20"/>
          <w:szCs w:val="20"/>
        </w:rPr>
        <w:t>7</w:t>
      </w:r>
      <w:r w:rsidRPr="00F23705">
        <w:rPr>
          <w:sz w:val="20"/>
          <w:szCs w:val="20"/>
        </w:rPr>
        <w:t>]; n = 4</w:t>
      </w:r>
      <w:r>
        <w:rPr>
          <w:sz w:val="20"/>
          <w:szCs w:val="20"/>
        </w:rPr>
        <w:t>32.</w:t>
      </w:r>
    </w:p>
    <w:p w14:paraId="1E47E6F4" w14:textId="77777777" w:rsidR="00E202A2" w:rsidRDefault="00E202A2" w:rsidP="00E202A2">
      <w:pPr>
        <w:spacing w:line="360" w:lineRule="auto"/>
        <w:jc w:val="both"/>
        <w:rPr>
          <w:sz w:val="20"/>
          <w:szCs w:val="20"/>
        </w:rPr>
      </w:pPr>
    </w:p>
    <w:p w14:paraId="4773D08B" w14:textId="77777777" w:rsidR="00E202A2" w:rsidRDefault="00E202A2" w:rsidP="00E202A2">
      <w:pPr>
        <w:spacing w:line="360" w:lineRule="auto"/>
        <w:jc w:val="both"/>
        <w:rPr>
          <w:sz w:val="20"/>
          <w:szCs w:val="20"/>
        </w:rPr>
      </w:pPr>
    </w:p>
    <w:p w14:paraId="41143D49" w14:textId="77777777" w:rsidR="00E202A2" w:rsidRDefault="00E202A2" w:rsidP="00E202A2">
      <w:pPr>
        <w:spacing w:line="360" w:lineRule="auto"/>
        <w:jc w:val="both"/>
        <w:rPr>
          <w:sz w:val="20"/>
          <w:szCs w:val="20"/>
        </w:rPr>
      </w:pPr>
    </w:p>
    <w:p w14:paraId="407FFCBA" w14:textId="77777777" w:rsidR="00E202A2" w:rsidRDefault="00E202A2" w:rsidP="00E202A2">
      <w:pPr>
        <w:spacing w:line="360" w:lineRule="auto"/>
        <w:jc w:val="both"/>
        <w:rPr>
          <w:sz w:val="20"/>
          <w:szCs w:val="20"/>
        </w:rPr>
      </w:pPr>
    </w:p>
    <w:p w14:paraId="090F31EF" w14:textId="77777777" w:rsidR="00E202A2" w:rsidRDefault="00E202A2" w:rsidP="00E202A2">
      <w:pPr>
        <w:spacing w:line="360" w:lineRule="auto"/>
        <w:jc w:val="both"/>
        <w:rPr>
          <w:sz w:val="20"/>
          <w:szCs w:val="20"/>
        </w:rPr>
      </w:pPr>
    </w:p>
    <w:p w14:paraId="26FB4071" w14:textId="77777777" w:rsidR="00E202A2" w:rsidRDefault="00E202A2" w:rsidP="00E202A2">
      <w:pPr>
        <w:spacing w:line="360" w:lineRule="auto"/>
        <w:jc w:val="both"/>
        <w:rPr>
          <w:sz w:val="20"/>
          <w:szCs w:val="20"/>
        </w:rPr>
      </w:pPr>
    </w:p>
    <w:p w14:paraId="0FE405BF" w14:textId="77777777" w:rsidR="00E202A2" w:rsidRPr="00F23705" w:rsidRDefault="00E202A2" w:rsidP="00E202A2">
      <w:pPr>
        <w:spacing w:line="360" w:lineRule="auto"/>
        <w:jc w:val="both"/>
      </w:pPr>
    </w:p>
    <w:p w14:paraId="39BD29EF" w14:textId="77777777" w:rsidR="00E202A2" w:rsidRPr="005B1015" w:rsidRDefault="00E202A2" w:rsidP="00E202A2">
      <w:pPr>
        <w:spacing w:line="360" w:lineRule="auto"/>
        <w:jc w:val="both"/>
      </w:pPr>
    </w:p>
    <w:p w14:paraId="28FE7C7C" w14:textId="77777777" w:rsidR="00E202A2" w:rsidRDefault="00E202A2" w:rsidP="00E202A2">
      <w:pPr>
        <w:spacing w:after="200" w:line="276" w:lineRule="auto"/>
        <w:rPr>
          <w:b/>
          <w:bCs/>
        </w:rPr>
      </w:pPr>
    </w:p>
    <w:p w14:paraId="45FA5F89" w14:textId="77777777" w:rsidR="00E202A2" w:rsidRDefault="00E202A2" w:rsidP="00E202A2"/>
    <w:p w14:paraId="180CD13E" w14:textId="77777777" w:rsidR="00032F7F" w:rsidRPr="003707F1" w:rsidRDefault="00032F7F" w:rsidP="00F47606">
      <w:pPr>
        <w:spacing w:line="360" w:lineRule="auto"/>
        <w:jc w:val="center"/>
        <w:rPr>
          <w:b/>
          <w:bCs/>
          <w:sz w:val="20"/>
          <w:szCs w:val="20"/>
        </w:rPr>
      </w:pPr>
    </w:p>
    <w:p w14:paraId="55779309" w14:textId="77777777" w:rsidR="0000119B" w:rsidRDefault="0000119B" w:rsidP="003B456F">
      <w:pPr>
        <w:spacing w:line="360" w:lineRule="auto"/>
        <w:jc w:val="center"/>
        <w:rPr>
          <w:b/>
          <w:bCs/>
        </w:rPr>
      </w:pPr>
    </w:p>
    <w:p w14:paraId="57AA1BAD" w14:textId="33F4904B" w:rsidR="00A55335" w:rsidRDefault="00A55335" w:rsidP="00A55335">
      <w:pPr>
        <w:spacing w:line="360" w:lineRule="auto"/>
        <w:rPr>
          <w:b/>
          <w:bCs/>
        </w:rPr>
      </w:pPr>
    </w:p>
    <w:p w14:paraId="7F63FEF4" w14:textId="77777777" w:rsidR="000B41CF" w:rsidRDefault="000B41CF" w:rsidP="00A55335"/>
    <w:p w14:paraId="48505BEC" w14:textId="77777777" w:rsidR="00A55335" w:rsidRPr="003B456F" w:rsidRDefault="00A55335" w:rsidP="000B41CF">
      <w:pPr>
        <w:spacing w:line="360" w:lineRule="auto"/>
        <w:rPr>
          <w:b/>
          <w:bCs/>
        </w:rPr>
      </w:pPr>
    </w:p>
    <w:sectPr w:rsidR="00A55335" w:rsidRPr="003B456F" w:rsidSect="00035E64">
      <w:footerReference w:type="default" r:id="rId10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A575" w14:textId="77777777" w:rsidR="008D7ED0" w:rsidRDefault="008D7ED0" w:rsidP="00B36D83">
      <w:r>
        <w:separator/>
      </w:r>
    </w:p>
  </w:endnote>
  <w:endnote w:type="continuationSeparator" w:id="0">
    <w:p w14:paraId="796EA42B" w14:textId="77777777" w:rsidR="008D7ED0" w:rsidRDefault="008D7ED0" w:rsidP="00B3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Times New Roman,Times New Roman">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739911"/>
      <w:docPartObj>
        <w:docPartGallery w:val="Page Numbers (Bottom of Page)"/>
        <w:docPartUnique/>
      </w:docPartObj>
    </w:sdtPr>
    <w:sdtEndPr>
      <w:rPr>
        <w:noProof/>
        <w:sz w:val="20"/>
        <w:szCs w:val="20"/>
      </w:rPr>
    </w:sdtEndPr>
    <w:sdtContent>
      <w:p w14:paraId="4AEB52F5" w14:textId="77777777" w:rsidR="00E202A2" w:rsidRPr="003C6CA1" w:rsidRDefault="00E202A2">
        <w:pPr>
          <w:pStyle w:val="Footer"/>
          <w:jc w:val="center"/>
        </w:pPr>
        <w:r w:rsidRPr="003C6CA1">
          <w:rPr>
            <w:noProof/>
          </w:rPr>
          <w:fldChar w:fldCharType="begin"/>
        </w:r>
        <w:r w:rsidRPr="003C6CA1">
          <w:instrText xml:space="preserve"> PAGE   \* MERGEFORMAT </w:instrText>
        </w:r>
        <w:r w:rsidRPr="003C6CA1">
          <w:rPr>
            <w:noProof/>
          </w:rPr>
          <w:fldChar w:fldCharType="separate"/>
        </w:r>
        <w:r w:rsidRPr="00F775B7">
          <w:rPr>
            <w:noProof/>
            <w:sz w:val="20"/>
            <w:szCs w:val="20"/>
          </w:rPr>
          <w:t>7</w:t>
        </w:r>
        <w:r w:rsidRPr="003C6CA1">
          <w:rPr>
            <w:noProof/>
          </w:rPr>
          <w:fldChar w:fldCharType="end"/>
        </w:r>
      </w:p>
    </w:sdtContent>
  </w:sdt>
  <w:p w14:paraId="40DA651C" w14:textId="77777777" w:rsidR="00E202A2" w:rsidRDefault="00E20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45376"/>
      <w:docPartObj>
        <w:docPartGallery w:val="Page Numbers (Bottom of Page)"/>
        <w:docPartUnique/>
      </w:docPartObj>
    </w:sdtPr>
    <w:sdtEndPr>
      <w:rPr>
        <w:noProof/>
        <w:sz w:val="20"/>
        <w:szCs w:val="20"/>
      </w:rPr>
    </w:sdtEndPr>
    <w:sdtContent>
      <w:p w14:paraId="3A7AEF15" w14:textId="77777777" w:rsidR="0000119B" w:rsidRPr="003C6CA1" w:rsidRDefault="0000119B">
        <w:pPr>
          <w:pStyle w:val="Footer"/>
          <w:jc w:val="center"/>
        </w:pPr>
        <w:r w:rsidRPr="003C6CA1">
          <w:rPr>
            <w:noProof/>
          </w:rPr>
          <w:fldChar w:fldCharType="begin"/>
        </w:r>
        <w:r w:rsidRPr="003C6CA1">
          <w:instrText xml:space="preserve"> PAGE   \* MERGEFORMAT </w:instrText>
        </w:r>
        <w:r w:rsidRPr="003C6CA1">
          <w:rPr>
            <w:noProof/>
          </w:rPr>
          <w:fldChar w:fldCharType="separate"/>
        </w:r>
        <w:r w:rsidRPr="00F775B7">
          <w:rPr>
            <w:noProof/>
            <w:sz w:val="20"/>
            <w:szCs w:val="20"/>
          </w:rPr>
          <w:t>7</w:t>
        </w:r>
        <w:r w:rsidRPr="003C6CA1">
          <w:rPr>
            <w:noProof/>
          </w:rPr>
          <w:fldChar w:fldCharType="end"/>
        </w:r>
      </w:p>
    </w:sdtContent>
  </w:sdt>
  <w:p w14:paraId="1932DADD" w14:textId="77777777" w:rsidR="0000119B" w:rsidRDefault="0000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1F04" w14:textId="77777777" w:rsidR="008D7ED0" w:rsidRDefault="008D7ED0" w:rsidP="00B36D83">
      <w:r>
        <w:separator/>
      </w:r>
    </w:p>
  </w:footnote>
  <w:footnote w:type="continuationSeparator" w:id="0">
    <w:p w14:paraId="102D7FCE" w14:textId="77777777" w:rsidR="008D7ED0" w:rsidRDefault="008D7ED0" w:rsidP="00B36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D5958"/>
    <w:multiLevelType w:val="hybridMultilevel"/>
    <w:tmpl w:val="248E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565C0"/>
    <w:multiLevelType w:val="hybridMultilevel"/>
    <w:tmpl w:val="C4D6BDD6"/>
    <w:lvl w:ilvl="0" w:tplc="80DE42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MDEyMjc2NTAxMLRU0lEKTi0uzszPAykwsawFAELe5O8tAAAA"/>
  </w:docVars>
  <w:rsids>
    <w:rsidRoot w:val="00AB127F"/>
    <w:rsid w:val="0000119B"/>
    <w:rsid w:val="000056CE"/>
    <w:rsid w:val="00005DD4"/>
    <w:rsid w:val="000140A3"/>
    <w:rsid w:val="000150F1"/>
    <w:rsid w:val="00015732"/>
    <w:rsid w:val="00015D7F"/>
    <w:rsid w:val="00027EFC"/>
    <w:rsid w:val="00032F7F"/>
    <w:rsid w:val="00032FAE"/>
    <w:rsid w:val="0003402E"/>
    <w:rsid w:val="00035E64"/>
    <w:rsid w:val="00036736"/>
    <w:rsid w:val="00036C01"/>
    <w:rsid w:val="000414C5"/>
    <w:rsid w:val="0004196C"/>
    <w:rsid w:val="000435BA"/>
    <w:rsid w:val="0005240B"/>
    <w:rsid w:val="0005292A"/>
    <w:rsid w:val="00061B17"/>
    <w:rsid w:val="00063004"/>
    <w:rsid w:val="00063B8B"/>
    <w:rsid w:val="00066CC1"/>
    <w:rsid w:val="00070D73"/>
    <w:rsid w:val="00074229"/>
    <w:rsid w:val="00074928"/>
    <w:rsid w:val="00081895"/>
    <w:rsid w:val="00084E35"/>
    <w:rsid w:val="00086129"/>
    <w:rsid w:val="00086D34"/>
    <w:rsid w:val="00087873"/>
    <w:rsid w:val="00087DA7"/>
    <w:rsid w:val="00090B99"/>
    <w:rsid w:val="00093268"/>
    <w:rsid w:val="00094061"/>
    <w:rsid w:val="00094135"/>
    <w:rsid w:val="00095735"/>
    <w:rsid w:val="00097907"/>
    <w:rsid w:val="000A06DE"/>
    <w:rsid w:val="000A2A44"/>
    <w:rsid w:val="000A51D5"/>
    <w:rsid w:val="000A6A15"/>
    <w:rsid w:val="000A6C71"/>
    <w:rsid w:val="000B3A1F"/>
    <w:rsid w:val="000B41CF"/>
    <w:rsid w:val="000B7549"/>
    <w:rsid w:val="000B7869"/>
    <w:rsid w:val="000C0B9D"/>
    <w:rsid w:val="000C4C07"/>
    <w:rsid w:val="000C500D"/>
    <w:rsid w:val="000C5491"/>
    <w:rsid w:val="000C60E4"/>
    <w:rsid w:val="000D1E0E"/>
    <w:rsid w:val="000D351E"/>
    <w:rsid w:val="000D7174"/>
    <w:rsid w:val="000E0C7D"/>
    <w:rsid w:val="000E11DF"/>
    <w:rsid w:val="000E1CC9"/>
    <w:rsid w:val="000E71D9"/>
    <w:rsid w:val="000F075F"/>
    <w:rsid w:val="000F148A"/>
    <w:rsid w:val="000F24C0"/>
    <w:rsid w:val="000F4650"/>
    <w:rsid w:val="000F56C4"/>
    <w:rsid w:val="000F5DAA"/>
    <w:rsid w:val="001001C4"/>
    <w:rsid w:val="00100D62"/>
    <w:rsid w:val="00102944"/>
    <w:rsid w:val="0010540A"/>
    <w:rsid w:val="00105B23"/>
    <w:rsid w:val="001067E7"/>
    <w:rsid w:val="00107A8D"/>
    <w:rsid w:val="00111485"/>
    <w:rsid w:val="00114057"/>
    <w:rsid w:val="00116763"/>
    <w:rsid w:val="00121208"/>
    <w:rsid w:val="00121F73"/>
    <w:rsid w:val="00123D2E"/>
    <w:rsid w:val="00125577"/>
    <w:rsid w:val="00127CF7"/>
    <w:rsid w:val="00127DC4"/>
    <w:rsid w:val="0013036C"/>
    <w:rsid w:val="001330E1"/>
    <w:rsid w:val="00133797"/>
    <w:rsid w:val="00133EE7"/>
    <w:rsid w:val="001342E8"/>
    <w:rsid w:val="00134742"/>
    <w:rsid w:val="00134DB5"/>
    <w:rsid w:val="001411AC"/>
    <w:rsid w:val="0014142D"/>
    <w:rsid w:val="001428CD"/>
    <w:rsid w:val="00145402"/>
    <w:rsid w:val="0014556E"/>
    <w:rsid w:val="00151DBF"/>
    <w:rsid w:val="00152DF3"/>
    <w:rsid w:val="00152EAA"/>
    <w:rsid w:val="00154D3D"/>
    <w:rsid w:val="0015533E"/>
    <w:rsid w:val="001618FD"/>
    <w:rsid w:val="00165A02"/>
    <w:rsid w:val="00166978"/>
    <w:rsid w:val="001746B1"/>
    <w:rsid w:val="0017473F"/>
    <w:rsid w:val="00175F6F"/>
    <w:rsid w:val="001771B6"/>
    <w:rsid w:val="0017743E"/>
    <w:rsid w:val="00177A46"/>
    <w:rsid w:val="0018210E"/>
    <w:rsid w:val="00183698"/>
    <w:rsid w:val="001870D4"/>
    <w:rsid w:val="001903E7"/>
    <w:rsid w:val="0019219E"/>
    <w:rsid w:val="00192C33"/>
    <w:rsid w:val="0019529B"/>
    <w:rsid w:val="00196ADE"/>
    <w:rsid w:val="001A1D80"/>
    <w:rsid w:val="001A1EEF"/>
    <w:rsid w:val="001A7A8F"/>
    <w:rsid w:val="001B1EFD"/>
    <w:rsid w:val="001B226C"/>
    <w:rsid w:val="001B3D79"/>
    <w:rsid w:val="001B4E4B"/>
    <w:rsid w:val="001B5264"/>
    <w:rsid w:val="001B53ED"/>
    <w:rsid w:val="001B58C0"/>
    <w:rsid w:val="001B7A6A"/>
    <w:rsid w:val="001C0135"/>
    <w:rsid w:val="001C16BC"/>
    <w:rsid w:val="001C2252"/>
    <w:rsid w:val="001C417F"/>
    <w:rsid w:val="001C4211"/>
    <w:rsid w:val="001C73F8"/>
    <w:rsid w:val="001C7DC0"/>
    <w:rsid w:val="001D2AB2"/>
    <w:rsid w:val="001D5459"/>
    <w:rsid w:val="001D5E5A"/>
    <w:rsid w:val="001D6851"/>
    <w:rsid w:val="001D6A9D"/>
    <w:rsid w:val="001D783E"/>
    <w:rsid w:val="001D7BFE"/>
    <w:rsid w:val="001E03C1"/>
    <w:rsid w:val="001E167F"/>
    <w:rsid w:val="001E219F"/>
    <w:rsid w:val="001E624C"/>
    <w:rsid w:val="001F3C1F"/>
    <w:rsid w:val="001F482D"/>
    <w:rsid w:val="001F4E55"/>
    <w:rsid w:val="001F4F6E"/>
    <w:rsid w:val="001F524C"/>
    <w:rsid w:val="001F7526"/>
    <w:rsid w:val="00201D18"/>
    <w:rsid w:val="00202E4D"/>
    <w:rsid w:val="00205B91"/>
    <w:rsid w:val="00220487"/>
    <w:rsid w:val="0022056B"/>
    <w:rsid w:val="00221EEC"/>
    <w:rsid w:val="00221F07"/>
    <w:rsid w:val="00225D50"/>
    <w:rsid w:val="00226A24"/>
    <w:rsid w:val="00230553"/>
    <w:rsid w:val="00230574"/>
    <w:rsid w:val="002305A1"/>
    <w:rsid w:val="00230924"/>
    <w:rsid w:val="00231931"/>
    <w:rsid w:val="00233CA4"/>
    <w:rsid w:val="00235F74"/>
    <w:rsid w:val="002377FE"/>
    <w:rsid w:val="00240AA7"/>
    <w:rsid w:val="00240C58"/>
    <w:rsid w:val="00241369"/>
    <w:rsid w:val="00241918"/>
    <w:rsid w:val="0024247B"/>
    <w:rsid w:val="00243DFB"/>
    <w:rsid w:val="002463CE"/>
    <w:rsid w:val="00250524"/>
    <w:rsid w:val="00250703"/>
    <w:rsid w:val="002524AB"/>
    <w:rsid w:val="00253C13"/>
    <w:rsid w:val="002701E4"/>
    <w:rsid w:val="0027216E"/>
    <w:rsid w:val="00274513"/>
    <w:rsid w:val="00276696"/>
    <w:rsid w:val="00276B4E"/>
    <w:rsid w:val="00277B07"/>
    <w:rsid w:val="0028357C"/>
    <w:rsid w:val="00284F84"/>
    <w:rsid w:val="00285704"/>
    <w:rsid w:val="002864FE"/>
    <w:rsid w:val="00287005"/>
    <w:rsid w:val="00292302"/>
    <w:rsid w:val="00292E97"/>
    <w:rsid w:val="00295DB3"/>
    <w:rsid w:val="002963CA"/>
    <w:rsid w:val="002A0A05"/>
    <w:rsid w:val="002A2216"/>
    <w:rsid w:val="002A549E"/>
    <w:rsid w:val="002A5ED9"/>
    <w:rsid w:val="002A6F71"/>
    <w:rsid w:val="002A7225"/>
    <w:rsid w:val="002A7CDE"/>
    <w:rsid w:val="002A7D29"/>
    <w:rsid w:val="002B224D"/>
    <w:rsid w:val="002B4F80"/>
    <w:rsid w:val="002B54DD"/>
    <w:rsid w:val="002B5C5E"/>
    <w:rsid w:val="002C1268"/>
    <w:rsid w:val="002C1432"/>
    <w:rsid w:val="002C2F7C"/>
    <w:rsid w:val="002C36FA"/>
    <w:rsid w:val="002C3830"/>
    <w:rsid w:val="002C5287"/>
    <w:rsid w:val="002C53A8"/>
    <w:rsid w:val="002C6B52"/>
    <w:rsid w:val="002D1172"/>
    <w:rsid w:val="002D5403"/>
    <w:rsid w:val="002D7638"/>
    <w:rsid w:val="002D7CA8"/>
    <w:rsid w:val="002E1341"/>
    <w:rsid w:val="002E15C9"/>
    <w:rsid w:val="002E172E"/>
    <w:rsid w:val="002E40E0"/>
    <w:rsid w:val="002E4A70"/>
    <w:rsid w:val="002E549C"/>
    <w:rsid w:val="002E55E0"/>
    <w:rsid w:val="002E5EB3"/>
    <w:rsid w:val="002F1EA2"/>
    <w:rsid w:val="002F594B"/>
    <w:rsid w:val="002F61A6"/>
    <w:rsid w:val="002F6782"/>
    <w:rsid w:val="002F74D0"/>
    <w:rsid w:val="002F7892"/>
    <w:rsid w:val="003003AE"/>
    <w:rsid w:val="0030316B"/>
    <w:rsid w:val="003051A8"/>
    <w:rsid w:val="00305C7C"/>
    <w:rsid w:val="003069FF"/>
    <w:rsid w:val="00307943"/>
    <w:rsid w:val="00307FD9"/>
    <w:rsid w:val="0031038C"/>
    <w:rsid w:val="0031080D"/>
    <w:rsid w:val="00311805"/>
    <w:rsid w:val="00312256"/>
    <w:rsid w:val="003139A2"/>
    <w:rsid w:val="00314921"/>
    <w:rsid w:val="00316158"/>
    <w:rsid w:val="0031762C"/>
    <w:rsid w:val="003254E5"/>
    <w:rsid w:val="003257D2"/>
    <w:rsid w:val="00325FEE"/>
    <w:rsid w:val="00327D1E"/>
    <w:rsid w:val="00333D41"/>
    <w:rsid w:val="0033436F"/>
    <w:rsid w:val="003359B9"/>
    <w:rsid w:val="00340A4D"/>
    <w:rsid w:val="00340CF8"/>
    <w:rsid w:val="00341CD0"/>
    <w:rsid w:val="00342712"/>
    <w:rsid w:val="003430EA"/>
    <w:rsid w:val="003447AB"/>
    <w:rsid w:val="003453F4"/>
    <w:rsid w:val="00346DE7"/>
    <w:rsid w:val="003503C9"/>
    <w:rsid w:val="00350D72"/>
    <w:rsid w:val="00351C70"/>
    <w:rsid w:val="003527D2"/>
    <w:rsid w:val="00352DA8"/>
    <w:rsid w:val="00356870"/>
    <w:rsid w:val="00361F05"/>
    <w:rsid w:val="003624C6"/>
    <w:rsid w:val="003657DF"/>
    <w:rsid w:val="003707F1"/>
    <w:rsid w:val="00370CD1"/>
    <w:rsid w:val="0037226C"/>
    <w:rsid w:val="0037629F"/>
    <w:rsid w:val="003823E8"/>
    <w:rsid w:val="0038612B"/>
    <w:rsid w:val="00386C1E"/>
    <w:rsid w:val="00387A8C"/>
    <w:rsid w:val="00390DF5"/>
    <w:rsid w:val="003913B7"/>
    <w:rsid w:val="003932DE"/>
    <w:rsid w:val="003942C6"/>
    <w:rsid w:val="003956EB"/>
    <w:rsid w:val="00395F32"/>
    <w:rsid w:val="003A08E3"/>
    <w:rsid w:val="003A0E64"/>
    <w:rsid w:val="003A2B52"/>
    <w:rsid w:val="003A7E24"/>
    <w:rsid w:val="003B0CF7"/>
    <w:rsid w:val="003B1AB7"/>
    <w:rsid w:val="003B2F4F"/>
    <w:rsid w:val="003B334F"/>
    <w:rsid w:val="003B456F"/>
    <w:rsid w:val="003B4988"/>
    <w:rsid w:val="003B7683"/>
    <w:rsid w:val="003B7888"/>
    <w:rsid w:val="003B7BF6"/>
    <w:rsid w:val="003C1DC6"/>
    <w:rsid w:val="003C1EF0"/>
    <w:rsid w:val="003C488E"/>
    <w:rsid w:val="003C53E1"/>
    <w:rsid w:val="003C64D6"/>
    <w:rsid w:val="003C7697"/>
    <w:rsid w:val="003D2A22"/>
    <w:rsid w:val="003D5190"/>
    <w:rsid w:val="003D725D"/>
    <w:rsid w:val="003D74D5"/>
    <w:rsid w:val="003E1EB3"/>
    <w:rsid w:val="003E2F4B"/>
    <w:rsid w:val="003E607C"/>
    <w:rsid w:val="003E64E8"/>
    <w:rsid w:val="003E6532"/>
    <w:rsid w:val="003E672F"/>
    <w:rsid w:val="003E6D7C"/>
    <w:rsid w:val="003E6DB7"/>
    <w:rsid w:val="003F1A8F"/>
    <w:rsid w:val="003F281C"/>
    <w:rsid w:val="003F392E"/>
    <w:rsid w:val="004004F3"/>
    <w:rsid w:val="00401652"/>
    <w:rsid w:val="00401F53"/>
    <w:rsid w:val="00404D6D"/>
    <w:rsid w:val="00405A3B"/>
    <w:rsid w:val="00406310"/>
    <w:rsid w:val="00406E82"/>
    <w:rsid w:val="00407012"/>
    <w:rsid w:val="00407FFD"/>
    <w:rsid w:val="00410B91"/>
    <w:rsid w:val="0041352F"/>
    <w:rsid w:val="0041671C"/>
    <w:rsid w:val="004171C2"/>
    <w:rsid w:val="00417E35"/>
    <w:rsid w:val="00417E7E"/>
    <w:rsid w:val="0042046E"/>
    <w:rsid w:val="00421BB8"/>
    <w:rsid w:val="00423FED"/>
    <w:rsid w:val="00424B24"/>
    <w:rsid w:val="0042648D"/>
    <w:rsid w:val="00427299"/>
    <w:rsid w:val="00433F09"/>
    <w:rsid w:val="00433F74"/>
    <w:rsid w:val="00434B81"/>
    <w:rsid w:val="0043547C"/>
    <w:rsid w:val="0043798C"/>
    <w:rsid w:val="0044010C"/>
    <w:rsid w:val="00441431"/>
    <w:rsid w:val="0044498E"/>
    <w:rsid w:val="00445163"/>
    <w:rsid w:val="00445374"/>
    <w:rsid w:val="00445634"/>
    <w:rsid w:val="00447364"/>
    <w:rsid w:val="004531B7"/>
    <w:rsid w:val="00453332"/>
    <w:rsid w:val="00454D64"/>
    <w:rsid w:val="00460126"/>
    <w:rsid w:val="00460EF2"/>
    <w:rsid w:val="00462394"/>
    <w:rsid w:val="00462551"/>
    <w:rsid w:val="004638F2"/>
    <w:rsid w:val="00465853"/>
    <w:rsid w:val="0047117E"/>
    <w:rsid w:val="004721FF"/>
    <w:rsid w:val="004765C3"/>
    <w:rsid w:val="00480D3A"/>
    <w:rsid w:val="00482352"/>
    <w:rsid w:val="00483256"/>
    <w:rsid w:val="00486425"/>
    <w:rsid w:val="00486801"/>
    <w:rsid w:val="0048692D"/>
    <w:rsid w:val="00486DA7"/>
    <w:rsid w:val="00491505"/>
    <w:rsid w:val="004920E8"/>
    <w:rsid w:val="004927FA"/>
    <w:rsid w:val="0049414F"/>
    <w:rsid w:val="00495182"/>
    <w:rsid w:val="004A18E5"/>
    <w:rsid w:val="004A22E6"/>
    <w:rsid w:val="004A3A4E"/>
    <w:rsid w:val="004A3D9E"/>
    <w:rsid w:val="004A4C81"/>
    <w:rsid w:val="004A5DA1"/>
    <w:rsid w:val="004A70FB"/>
    <w:rsid w:val="004B2473"/>
    <w:rsid w:val="004C2062"/>
    <w:rsid w:val="004C22C4"/>
    <w:rsid w:val="004D1129"/>
    <w:rsid w:val="004D1A83"/>
    <w:rsid w:val="004D1E3E"/>
    <w:rsid w:val="004D2631"/>
    <w:rsid w:val="004D322D"/>
    <w:rsid w:val="004D391C"/>
    <w:rsid w:val="004D3DFC"/>
    <w:rsid w:val="004D55D6"/>
    <w:rsid w:val="004D57B4"/>
    <w:rsid w:val="004D584C"/>
    <w:rsid w:val="004D6745"/>
    <w:rsid w:val="004E2CF0"/>
    <w:rsid w:val="004E3B0B"/>
    <w:rsid w:val="004E5D42"/>
    <w:rsid w:val="004F07C6"/>
    <w:rsid w:val="004F15DF"/>
    <w:rsid w:val="004F2A44"/>
    <w:rsid w:val="004F2FC2"/>
    <w:rsid w:val="004F3ADE"/>
    <w:rsid w:val="004F3EA5"/>
    <w:rsid w:val="004F6580"/>
    <w:rsid w:val="004F682B"/>
    <w:rsid w:val="005006D4"/>
    <w:rsid w:val="005061FA"/>
    <w:rsid w:val="0050620E"/>
    <w:rsid w:val="0050710A"/>
    <w:rsid w:val="00507113"/>
    <w:rsid w:val="00507446"/>
    <w:rsid w:val="005078AE"/>
    <w:rsid w:val="00507ACF"/>
    <w:rsid w:val="0051016A"/>
    <w:rsid w:val="005102F2"/>
    <w:rsid w:val="0051047C"/>
    <w:rsid w:val="0051219A"/>
    <w:rsid w:val="00512443"/>
    <w:rsid w:val="005126A9"/>
    <w:rsid w:val="00513101"/>
    <w:rsid w:val="00513AA2"/>
    <w:rsid w:val="0051517E"/>
    <w:rsid w:val="005166AE"/>
    <w:rsid w:val="00520E59"/>
    <w:rsid w:val="005246B4"/>
    <w:rsid w:val="00525480"/>
    <w:rsid w:val="00525C47"/>
    <w:rsid w:val="00531B64"/>
    <w:rsid w:val="005356C6"/>
    <w:rsid w:val="0054178F"/>
    <w:rsid w:val="00544EAC"/>
    <w:rsid w:val="00547105"/>
    <w:rsid w:val="00547375"/>
    <w:rsid w:val="005503E5"/>
    <w:rsid w:val="0055148A"/>
    <w:rsid w:val="00553D64"/>
    <w:rsid w:val="00555995"/>
    <w:rsid w:val="005565D3"/>
    <w:rsid w:val="00561425"/>
    <w:rsid w:val="005652BB"/>
    <w:rsid w:val="0056717E"/>
    <w:rsid w:val="0056751F"/>
    <w:rsid w:val="00567582"/>
    <w:rsid w:val="005677C7"/>
    <w:rsid w:val="00573B1C"/>
    <w:rsid w:val="005746F7"/>
    <w:rsid w:val="0057494B"/>
    <w:rsid w:val="00576257"/>
    <w:rsid w:val="005769DB"/>
    <w:rsid w:val="005800F3"/>
    <w:rsid w:val="00580408"/>
    <w:rsid w:val="005841EA"/>
    <w:rsid w:val="00585C01"/>
    <w:rsid w:val="00590625"/>
    <w:rsid w:val="005918E0"/>
    <w:rsid w:val="00592167"/>
    <w:rsid w:val="00592A5F"/>
    <w:rsid w:val="0059435B"/>
    <w:rsid w:val="00594C5A"/>
    <w:rsid w:val="005951BF"/>
    <w:rsid w:val="005956B0"/>
    <w:rsid w:val="005A0BFF"/>
    <w:rsid w:val="005A510A"/>
    <w:rsid w:val="005A642E"/>
    <w:rsid w:val="005A748C"/>
    <w:rsid w:val="005A7E10"/>
    <w:rsid w:val="005B1015"/>
    <w:rsid w:val="005B2067"/>
    <w:rsid w:val="005B3865"/>
    <w:rsid w:val="005B495F"/>
    <w:rsid w:val="005C4970"/>
    <w:rsid w:val="005C5F6D"/>
    <w:rsid w:val="005C6D06"/>
    <w:rsid w:val="005D1497"/>
    <w:rsid w:val="005D2467"/>
    <w:rsid w:val="005D565F"/>
    <w:rsid w:val="005E1290"/>
    <w:rsid w:val="005E2DD0"/>
    <w:rsid w:val="005E3E4E"/>
    <w:rsid w:val="005E56BA"/>
    <w:rsid w:val="005E6E10"/>
    <w:rsid w:val="005E784F"/>
    <w:rsid w:val="005E7E18"/>
    <w:rsid w:val="005F27A2"/>
    <w:rsid w:val="005F30F2"/>
    <w:rsid w:val="005F6058"/>
    <w:rsid w:val="005F725A"/>
    <w:rsid w:val="00600B3B"/>
    <w:rsid w:val="00600C60"/>
    <w:rsid w:val="00603763"/>
    <w:rsid w:val="0060453A"/>
    <w:rsid w:val="00605F8A"/>
    <w:rsid w:val="0060667C"/>
    <w:rsid w:val="006069F6"/>
    <w:rsid w:val="0060763D"/>
    <w:rsid w:val="00607947"/>
    <w:rsid w:val="006113C0"/>
    <w:rsid w:val="00611CF8"/>
    <w:rsid w:val="00614815"/>
    <w:rsid w:val="00616D78"/>
    <w:rsid w:val="00617079"/>
    <w:rsid w:val="00617AA9"/>
    <w:rsid w:val="00617F7D"/>
    <w:rsid w:val="00620358"/>
    <w:rsid w:val="00621B22"/>
    <w:rsid w:val="00624445"/>
    <w:rsid w:val="00624E5B"/>
    <w:rsid w:val="00624E6D"/>
    <w:rsid w:val="00626C33"/>
    <w:rsid w:val="00627DAB"/>
    <w:rsid w:val="0063013E"/>
    <w:rsid w:val="0063058F"/>
    <w:rsid w:val="00632116"/>
    <w:rsid w:val="00632379"/>
    <w:rsid w:val="0063284A"/>
    <w:rsid w:val="00632E55"/>
    <w:rsid w:val="00633546"/>
    <w:rsid w:val="00633993"/>
    <w:rsid w:val="00634E17"/>
    <w:rsid w:val="00636A65"/>
    <w:rsid w:val="00641277"/>
    <w:rsid w:val="006413CD"/>
    <w:rsid w:val="0064259C"/>
    <w:rsid w:val="006430B0"/>
    <w:rsid w:val="006442DD"/>
    <w:rsid w:val="00646446"/>
    <w:rsid w:val="00650456"/>
    <w:rsid w:val="00650BE5"/>
    <w:rsid w:val="00651445"/>
    <w:rsid w:val="00652799"/>
    <w:rsid w:val="00652FD8"/>
    <w:rsid w:val="00654CE3"/>
    <w:rsid w:val="0065644C"/>
    <w:rsid w:val="006608FE"/>
    <w:rsid w:val="00660E31"/>
    <w:rsid w:val="00662151"/>
    <w:rsid w:val="00666331"/>
    <w:rsid w:val="0066634E"/>
    <w:rsid w:val="00666367"/>
    <w:rsid w:val="00666DF3"/>
    <w:rsid w:val="006713EF"/>
    <w:rsid w:val="00672AF6"/>
    <w:rsid w:val="00672B68"/>
    <w:rsid w:val="00676187"/>
    <w:rsid w:val="0067622D"/>
    <w:rsid w:val="00680188"/>
    <w:rsid w:val="00681863"/>
    <w:rsid w:val="00681CD7"/>
    <w:rsid w:val="00682917"/>
    <w:rsid w:val="0068443C"/>
    <w:rsid w:val="00684723"/>
    <w:rsid w:val="006858CE"/>
    <w:rsid w:val="00691618"/>
    <w:rsid w:val="0069164F"/>
    <w:rsid w:val="006919DD"/>
    <w:rsid w:val="00692440"/>
    <w:rsid w:val="0069249E"/>
    <w:rsid w:val="00694445"/>
    <w:rsid w:val="00694D76"/>
    <w:rsid w:val="00695C3C"/>
    <w:rsid w:val="0069639A"/>
    <w:rsid w:val="00696D8D"/>
    <w:rsid w:val="006A0CE7"/>
    <w:rsid w:val="006A14AE"/>
    <w:rsid w:val="006A1515"/>
    <w:rsid w:val="006A6C4C"/>
    <w:rsid w:val="006A7E91"/>
    <w:rsid w:val="006B0574"/>
    <w:rsid w:val="006B0ED8"/>
    <w:rsid w:val="006B19FC"/>
    <w:rsid w:val="006B458C"/>
    <w:rsid w:val="006B62E0"/>
    <w:rsid w:val="006B7143"/>
    <w:rsid w:val="006C1427"/>
    <w:rsid w:val="006C1566"/>
    <w:rsid w:val="006C1DE2"/>
    <w:rsid w:val="006C2532"/>
    <w:rsid w:val="006C3B04"/>
    <w:rsid w:val="006C40A0"/>
    <w:rsid w:val="006D14EF"/>
    <w:rsid w:val="006D1865"/>
    <w:rsid w:val="006D4816"/>
    <w:rsid w:val="006D4F55"/>
    <w:rsid w:val="006D5D7B"/>
    <w:rsid w:val="006D6793"/>
    <w:rsid w:val="006E2AC4"/>
    <w:rsid w:val="006E3BD0"/>
    <w:rsid w:val="006E4A1B"/>
    <w:rsid w:val="006E4B9E"/>
    <w:rsid w:val="006F0DA8"/>
    <w:rsid w:val="006F1EA8"/>
    <w:rsid w:val="006F21B2"/>
    <w:rsid w:val="006F2B33"/>
    <w:rsid w:val="006F2BCD"/>
    <w:rsid w:val="006F352C"/>
    <w:rsid w:val="006F3B75"/>
    <w:rsid w:val="006F644B"/>
    <w:rsid w:val="006F72D9"/>
    <w:rsid w:val="00701EC8"/>
    <w:rsid w:val="00702156"/>
    <w:rsid w:val="0070432C"/>
    <w:rsid w:val="00704539"/>
    <w:rsid w:val="00705D35"/>
    <w:rsid w:val="007065AE"/>
    <w:rsid w:val="00706F96"/>
    <w:rsid w:val="007072C6"/>
    <w:rsid w:val="00707694"/>
    <w:rsid w:val="00711045"/>
    <w:rsid w:val="007125BD"/>
    <w:rsid w:val="00712C2F"/>
    <w:rsid w:val="0071548F"/>
    <w:rsid w:val="00717585"/>
    <w:rsid w:val="007178ED"/>
    <w:rsid w:val="0072009A"/>
    <w:rsid w:val="00726621"/>
    <w:rsid w:val="007275B7"/>
    <w:rsid w:val="007302FE"/>
    <w:rsid w:val="007312E8"/>
    <w:rsid w:val="00731957"/>
    <w:rsid w:val="00732C39"/>
    <w:rsid w:val="00733097"/>
    <w:rsid w:val="00734982"/>
    <w:rsid w:val="007401A7"/>
    <w:rsid w:val="00740CDC"/>
    <w:rsid w:val="00741315"/>
    <w:rsid w:val="00743D0D"/>
    <w:rsid w:val="007460F5"/>
    <w:rsid w:val="007479AF"/>
    <w:rsid w:val="007504EB"/>
    <w:rsid w:val="00751D94"/>
    <w:rsid w:val="00755088"/>
    <w:rsid w:val="00760A2E"/>
    <w:rsid w:val="007629AB"/>
    <w:rsid w:val="00764553"/>
    <w:rsid w:val="0076501D"/>
    <w:rsid w:val="00765E96"/>
    <w:rsid w:val="00767048"/>
    <w:rsid w:val="00767089"/>
    <w:rsid w:val="007672BF"/>
    <w:rsid w:val="00770EC4"/>
    <w:rsid w:val="00771206"/>
    <w:rsid w:val="00772AE9"/>
    <w:rsid w:val="00773735"/>
    <w:rsid w:val="00773B70"/>
    <w:rsid w:val="007758E1"/>
    <w:rsid w:val="0078084A"/>
    <w:rsid w:val="00781F5C"/>
    <w:rsid w:val="007820F1"/>
    <w:rsid w:val="0078282F"/>
    <w:rsid w:val="00782BA4"/>
    <w:rsid w:val="00790948"/>
    <w:rsid w:val="0079114D"/>
    <w:rsid w:val="00794296"/>
    <w:rsid w:val="00794B1B"/>
    <w:rsid w:val="00795E9C"/>
    <w:rsid w:val="007961A1"/>
    <w:rsid w:val="007968E0"/>
    <w:rsid w:val="00797122"/>
    <w:rsid w:val="007975C9"/>
    <w:rsid w:val="00797CD2"/>
    <w:rsid w:val="007A01C8"/>
    <w:rsid w:val="007A1FC3"/>
    <w:rsid w:val="007A4DB9"/>
    <w:rsid w:val="007A5AD4"/>
    <w:rsid w:val="007A5FDD"/>
    <w:rsid w:val="007A6D66"/>
    <w:rsid w:val="007A7CE5"/>
    <w:rsid w:val="007B2000"/>
    <w:rsid w:val="007B29B9"/>
    <w:rsid w:val="007B2C13"/>
    <w:rsid w:val="007B2E8F"/>
    <w:rsid w:val="007B4E9B"/>
    <w:rsid w:val="007B6F95"/>
    <w:rsid w:val="007B7598"/>
    <w:rsid w:val="007C3BA0"/>
    <w:rsid w:val="007C5363"/>
    <w:rsid w:val="007C5785"/>
    <w:rsid w:val="007C7F93"/>
    <w:rsid w:val="007D00BE"/>
    <w:rsid w:val="007D2F3E"/>
    <w:rsid w:val="007D37AE"/>
    <w:rsid w:val="007D53FB"/>
    <w:rsid w:val="007D6F4C"/>
    <w:rsid w:val="007D7E9F"/>
    <w:rsid w:val="007E1ECB"/>
    <w:rsid w:val="007E33CA"/>
    <w:rsid w:val="007E361A"/>
    <w:rsid w:val="007E7EFA"/>
    <w:rsid w:val="007F0813"/>
    <w:rsid w:val="007F1B8C"/>
    <w:rsid w:val="007F449D"/>
    <w:rsid w:val="007F56DC"/>
    <w:rsid w:val="0080105F"/>
    <w:rsid w:val="00802229"/>
    <w:rsid w:val="00804088"/>
    <w:rsid w:val="00804756"/>
    <w:rsid w:val="00806DF0"/>
    <w:rsid w:val="00807D3F"/>
    <w:rsid w:val="00810454"/>
    <w:rsid w:val="00812C85"/>
    <w:rsid w:val="00813C91"/>
    <w:rsid w:val="00814D19"/>
    <w:rsid w:val="008172FD"/>
    <w:rsid w:val="00817A4E"/>
    <w:rsid w:val="00821E80"/>
    <w:rsid w:val="00823644"/>
    <w:rsid w:val="0082448C"/>
    <w:rsid w:val="008358F6"/>
    <w:rsid w:val="00835FB8"/>
    <w:rsid w:val="00841202"/>
    <w:rsid w:val="00841652"/>
    <w:rsid w:val="00842589"/>
    <w:rsid w:val="00842B63"/>
    <w:rsid w:val="00844277"/>
    <w:rsid w:val="008444ED"/>
    <w:rsid w:val="008445DD"/>
    <w:rsid w:val="0084524D"/>
    <w:rsid w:val="00846FB4"/>
    <w:rsid w:val="00851C75"/>
    <w:rsid w:val="00852EBE"/>
    <w:rsid w:val="00860D35"/>
    <w:rsid w:val="00861F34"/>
    <w:rsid w:val="008621F1"/>
    <w:rsid w:val="00862440"/>
    <w:rsid w:val="00865847"/>
    <w:rsid w:val="00871726"/>
    <w:rsid w:val="00871B97"/>
    <w:rsid w:val="008721FF"/>
    <w:rsid w:val="0087288B"/>
    <w:rsid w:val="00874C1A"/>
    <w:rsid w:val="00876BF1"/>
    <w:rsid w:val="008801D0"/>
    <w:rsid w:val="008805C0"/>
    <w:rsid w:val="0088278C"/>
    <w:rsid w:val="008831F1"/>
    <w:rsid w:val="00883F6E"/>
    <w:rsid w:val="008840F4"/>
    <w:rsid w:val="008854BD"/>
    <w:rsid w:val="00885D78"/>
    <w:rsid w:val="008870EA"/>
    <w:rsid w:val="0088728B"/>
    <w:rsid w:val="00887B49"/>
    <w:rsid w:val="00890481"/>
    <w:rsid w:val="00892A0B"/>
    <w:rsid w:val="00894B4F"/>
    <w:rsid w:val="00894D35"/>
    <w:rsid w:val="00897A2F"/>
    <w:rsid w:val="008A0FB2"/>
    <w:rsid w:val="008A14EE"/>
    <w:rsid w:val="008A3E04"/>
    <w:rsid w:val="008A4A96"/>
    <w:rsid w:val="008A50FC"/>
    <w:rsid w:val="008A6D7A"/>
    <w:rsid w:val="008B002A"/>
    <w:rsid w:val="008B1206"/>
    <w:rsid w:val="008B344B"/>
    <w:rsid w:val="008B3DAD"/>
    <w:rsid w:val="008B51B7"/>
    <w:rsid w:val="008B72F2"/>
    <w:rsid w:val="008B7F2D"/>
    <w:rsid w:val="008C0285"/>
    <w:rsid w:val="008C3F7E"/>
    <w:rsid w:val="008C46BE"/>
    <w:rsid w:val="008C69B6"/>
    <w:rsid w:val="008C6D24"/>
    <w:rsid w:val="008C778E"/>
    <w:rsid w:val="008D0572"/>
    <w:rsid w:val="008D12FC"/>
    <w:rsid w:val="008D1E3B"/>
    <w:rsid w:val="008D256C"/>
    <w:rsid w:val="008D2635"/>
    <w:rsid w:val="008D28BA"/>
    <w:rsid w:val="008D30DA"/>
    <w:rsid w:val="008D535F"/>
    <w:rsid w:val="008D5A6A"/>
    <w:rsid w:val="008D617B"/>
    <w:rsid w:val="008D6F80"/>
    <w:rsid w:val="008D7ED0"/>
    <w:rsid w:val="008E46B9"/>
    <w:rsid w:val="008E63EB"/>
    <w:rsid w:val="008F00A2"/>
    <w:rsid w:val="008F09B3"/>
    <w:rsid w:val="008F2F4D"/>
    <w:rsid w:val="008F3B42"/>
    <w:rsid w:val="008F4B12"/>
    <w:rsid w:val="008F6900"/>
    <w:rsid w:val="008F75D7"/>
    <w:rsid w:val="008F7722"/>
    <w:rsid w:val="00902042"/>
    <w:rsid w:val="00904106"/>
    <w:rsid w:val="009051E7"/>
    <w:rsid w:val="00905BC2"/>
    <w:rsid w:val="009075C0"/>
    <w:rsid w:val="009102EB"/>
    <w:rsid w:val="00910431"/>
    <w:rsid w:val="0091096C"/>
    <w:rsid w:val="00910AF4"/>
    <w:rsid w:val="00911DFE"/>
    <w:rsid w:val="009127A1"/>
    <w:rsid w:val="009139A1"/>
    <w:rsid w:val="009142F3"/>
    <w:rsid w:val="00915C8A"/>
    <w:rsid w:val="00916359"/>
    <w:rsid w:val="0091744E"/>
    <w:rsid w:val="009213D2"/>
    <w:rsid w:val="009214E1"/>
    <w:rsid w:val="009218B3"/>
    <w:rsid w:val="00922577"/>
    <w:rsid w:val="0092259A"/>
    <w:rsid w:val="009233A0"/>
    <w:rsid w:val="0092396B"/>
    <w:rsid w:val="00924006"/>
    <w:rsid w:val="00924E9E"/>
    <w:rsid w:val="00931B4A"/>
    <w:rsid w:val="00932BBD"/>
    <w:rsid w:val="009348E2"/>
    <w:rsid w:val="0093535A"/>
    <w:rsid w:val="0093730C"/>
    <w:rsid w:val="0093731F"/>
    <w:rsid w:val="009432B0"/>
    <w:rsid w:val="00946F8C"/>
    <w:rsid w:val="00947CC8"/>
    <w:rsid w:val="009506CD"/>
    <w:rsid w:val="00950F8D"/>
    <w:rsid w:val="009539E4"/>
    <w:rsid w:val="00954A77"/>
    <w:rsid w:val="00954DEF"/>
    <w:rsid w:val="00955F80"/>
    <w:rsid w:val="009565FA"/>
    <w:rsid w:val="00957876"/>
    <w:rsid w:val="009601F9"/>
    <w:rsid w:val="00963347"/>
    <w:rsid w:val="00963355"/>
    <w:rsid w:val="0096441D"/>
    <w:rsid w:val="009658C7"/>
    <w:rsid w:val="00965D78"/>
    <w:rsid w:val="009660AC"/>
    <w:rsid w:val="0096629E"/>
    <w:rsid w:val="00966365"/>
    <w:rsid w:val="009706AB"/>
    <w:rsid w:val="00974897"/>
    <w:rsid w:val="00974920"/>
    <w:rsid w:val="00976D06"/>
    <w:rsid w:val="009779E1"/>
    <w:rsid w:val="00980947"/>
    <w:rsid w:val="00982711"/>
    <w:rsid w:val="00982AB1"/>
    <w:rsid w:val="00984384"/>
    <w:rsid w:val="0098683A"/>
    <w:rsid w:val="009926F1"/>
    <w:rsid w:val="009A0D0D"/>
    <w:rsid w:val="009A0DF3"/>
    <w:rsid w:val="009A108D"/>
    <w:rsid w:val="009A30F3"/>
    <w:rsid w:val="009A3DA1"/>
    <w:rsid w:val="009A3F37"/>
    <w:rsid w:val="009A7DF4"/>
    <w:rsid w:val="009B3ECD"/>
    <w:rsid w:val="009B4360"/>
    <w:rsid w:val="009B6CB1"/>
    <w:rsid w:val="009B6F8C"/>
    <w:rsid w:val="009B7363"/>
    <w:rsid w:val="009B7644"/>
    <w:rsid w:val="009B7BFB"/>
    <w:rsid w:val="009C106F"/>
    <w:rsid w:val="009C17D1"/>
    <w:rsid w:val="009C1FC6"/>
    <w:rsid w:val="009D07E4"/>
    <w:rsid w:val="009D2541"/>
    <w:rsid w:val="009D37E9"/>
    <w:rsid w:val="009E0F65"/>
    <w:rsid w:val="009E3A16"/>
    <w:rsid w:val="009E4DA7"/>
    <w:rsid w:val="009E5DA6"/>
    <w:rsid w:val="009F0210"/>
    <w:rsid w:val="009F08FA"/>
    <w:rsid w:val="009F1FC0"/>
    <w:rsid w:val="009F2026"/>
    <w:rsid w:val="009F2B6F"/>
    <w:rsid w:val="009F30D9"/>
    <w:rsid w:val="009F3BDC"/>
    <w:rsid w:val="009F3C00"/>
    <w:rsid w:val="009F3E09"/>
    <w:rsid w:val="009F41D7"/>
    <w:rsid w:val="00A00668"/>
    <w:rsid w:val="00A01BD7"/>
    <w:rsid w:val="00A035DD"/>
    <w:rsid w:val="00A04C1B"/>
    <w:rsid w:val="00A06204"/>
    <w:rsid w:val="00A10ADC"/>
    <w:rsid w:val="00A11600"/>
    <w:rsid w:val="00A125DA"/>
    <w:rsid w:val="00A1418E"/>
    <w:rsid w:val="00A153AB"/>
    <w:rsid w:val="00A15F2F"/>
    <w:rsid w:val="00A20A63"/>
    <w:rsid w:val="00A23F6E"/>
    <w:rsid w:val="00A267DA"/>
    <w:rsid w:val="00A269E0"/>
    <w:rsid w:val="00A27233"/>
    <w:rsid w:val="00A31508"/>
    <w:rsid w:val="00A31D6F"/>
    <w:rsid w:val="00A321B9"/>
    <w:rsid w:val="00A34F7B"/>
    <w:rsid w:val="00A35DEA"/>
    <w:rsid w:val="00A37A36"/>
    <w:rsid w:val="00A37B97"/>
    <w:rsid w:val="00A37C38"/>
    <w:rsid w:val="00A40A39"/>
    <w:rsid w:val="00A40F11"/>
    <w:rsid w:val="00A43610"/>
    <w:rsid w:val="00A46F9B"/>
    <w:rsid w:val="00A50AFF"/>
    <w:rsid w:val="00A51825"/>
    <w:rsid w:val="00A523AC"/>
    <w:rsid w:val="00A54D39"/>
    <w:rsid w:val="00A55335"/>
    <w:rsid w:val="00A55619"/>
    <w:rsid w:val="00A56AC7"/>
    <w:rsid w:val="00A60FC8"/>
    <w:rsid w:val="00A611B2"/>
    <w:rsid w:val="00A65037"/>
    <w:rsid w:val="00A65569"/>
    <w:rsid w:val="00A66719"/>
    <w:rsid w:val="00A66947"/>
    <w:rsid w:val="00A72BED"/>
    <w:rsid w:val="00A81222"/>
    <w:rsid w:val="00A82928"/>
    <w:rsid w:val="00A832C2"/>
    <w:rsid w:val="00A83F9E"/>
    <w:rsid w:val="00A8425B"/>
    <w:rsid w:val="00A90A5C"/>
    <w:rsid w:val="00A90EC7"/>
    <w:rsid w:val="00A91820"/>
    <w:rsid w:val="00A92577"/>
    <w:rsid w:val="00A9401A"/>
    <w:rsid w:val="00A94375"/>
    <w:rsid w:val="00A9623F"/>
    <w:rsid w:val="00AA04CD"/>
    <w:rsid w:val="00AA0E24"/>
    <w:rsid w:val="00AA1039"/>
    <w:rsid w:val="00AA14BB"/>
    <w:rsid w:val="00AA2A99"/>
    <w:rsid w:val="00AA3FCF"/>
    <w:rsid w:val="00AA504D"/>
    <w:rsid w:val="00AB127F"/>
    <w:rsid w:val="00AB1B27"/>
    <w:rsid w:val="00AB6A88"/>
    <w:rsid w:val="00AB7714"/>
    <w:rsid w:val="00AB78D6"/>
    <w:rsid w:val="00AB7AFF"/>
    <w:rsid w:val="00AB7DC7"/>
    <w:rsid w:val="00AC0525"/>
    <w:rsid w:val="00AC1E1E"/>
    <w:rsid w:val="00AC2E42"/>
    <w:rsid w:val="00AC316D"/>
    <w:rsid w:val="00AC360D"/>
    <w:rsid w:val="00AC59B5"/>
    <w:rsid w:val="00AC5BC7"/>
    <w:rsid w:val="00AC5BE7"/>
    <w:rsid w:val="00AC7038"/>
    <w:rsid w:val="00AD109D"/>
    <w:rsid w:val="00AD34D1"/>
    <w:rsid w:val="00AD5151"/>
    <w:rsid w:val="00AD5AF8"/>
    <w:rsid w:val="00AE5D2E"/>
    <w:rsid w:val="00AF02C7"/>
    <w:rsid w:val="00AF05C6"/>
    <w:rsid w:val="00AF3057"/>
    <w:rsid w:val="00AF73FE"/>
    <w:rsid w:val="00AF745D"/>
    <w:rsid w:val="00B00129"/>
    <w:rsid w:val="00B00A11"/>
    <w:rsid w:val="00B0130D"/>
    <w:rsid w:val="00B02E28"/>
    <w:rsid w:val="00B0340C"/>
    <w:rsid w:val="00B05566"/>
    <w:rsid w:val="00B104A9"/>
    <w:rsid w:val="00B108CE"/>
    <w:rsid w:val="00B11F6C"/>
    <w:rsid w:val="00B16876"/>
    <w:rsid w:val="00B16E3C"/>
    <w:rsid w:val="00B17265"/>
    <w:rsid w:val="00B17FAE"/>
    <w:rsid w:val="00B20F6D"/>
    <w:rsid w:val="00B21063"/>
    <w:rsid w:val="00B212AB"/>
    <w:rsid w:val="00B21BF8"/>
    <w:rsid w:val="00B223F2"/>
    <w:rsid w:val="00B244DC"/>
    <w:rsid w:val="00B24ED9"/>
    <w:rsid w:val="00B25FC9"/>
    <w:rsid w:val="00B26A03"/>
    <w:rsid w:val="00B26B3F"/>
    <w:rsid w:val="00B26CA7"/>
    <w:rsid w:val="00B32757"/>
    <w:rsid w:val="00B33FDE"/>
    <w:rsid w:val="00B354E8"/>
    <w:rsid w:val="00B36A9A"/>
    <w:rsid w:val="00B36D83"/>
    <w:rsid w:val="00B4017B"/>
    <w:rsid w:val="00B4021C"/>
    <w:rsid w:val="00B43789"/>
    <w:rsid w:val="00B438EC"/>
    <w:rsid w:val="00B5057F"/>
    <w:rsid w:val="00B525B5"/>
    <w:rsid w:val="00B54B14"/>
    <w:rsid w:val="00B55BD8"/>
    <w:rsid w:val="00B56651"/>
    <w:rsid w:val="00B56DD2"/>
    <w:rsid w:val="00B60E17"/>
    <w:rsid w:val="00B62227"/>
    <w:rsid w:val="00B6538A"/>
    <w:rsid w:val="00B66F31"/>
    <w:rsid w:val="00B70154"/>
    <w:rsid w:val="00B70292"/>
    <w:rsid w:val="00B70FBE"/>
    <w:rsid w:val="00B711A3"/>
    <w:rsid w:val="00B71B63"/>
    <w:rsid w:val="00B72783"/>
    <w:rsid w:val="00B72ED2"/>
    <w:rsid w:val="00B73D92"/>
    <w:rsid w:val="00B764D1"/>
    <w:rsid w:val="00B76C47"/>
    <w:rsid w:val="00B7798A"/>
    <w:rsid w:val="00B77E8F"/>
    <w:rsid w:val="00B8096B"/>
    <w:rsid w:val="00B80EB1"/>
    <w:rsid w:val="00B81B14"/>
    <w:rsid w:val="00B833EC"/>
    <w:rsid w:val="00B842C1"/>
    <w:rsid w:val="00B912C4"/>
    <w:rsid w:val="00B9285C"/>
    <w:rsid w:val="00B94C1E"/>
    <w:rsid w:val="00B96005"/>
    <w:rsid w:val="00BA071D"/>
    <w:rsid w:val="00BA1819"/>
    <w:rsid w:val="00BA2BF4"/>
    <w:rsid w:val="00BA39B5"/>
    <w:rsid w:val="00BA56A3"/>
    <w:rsid w:val="00BA7D17"/>
    <w:rsid w:val="00BA7FE9"/>
    <w:rsid w:val="00BB1492"/>
    <w:rsid w:val="00BB4E92"/>
    <w:rsid w:val="00BB5AD4"/>
    <w:rsid w:val="00BB6EF9"/>
    <w:rsid w:val="00BC0C0B"/>
    <w:rsid w:val="00BC19C4"/>
    <w:rsid w:val="00BC1A2C"/>
    <w:rsid w:val="00BC1C77"/>
    <w:rsid w:val="00BC262C"/>
    <w:rsid w:val="00BC2E2E"/>
    <w:rsid w:val="00BC33F3"/>
    <w:rsid w:val="00BC53F5"/>
    <w:rsid w:val="00BC5601"/>
    <w:rsid w:val="00BC6D9C"/>
    <w:rsid w:val="00BD074F"/>
    <w:rsid w:val="00BD328A"/>
    <w:rsid w:val="00BD3829"/>
    <w:rsid w:val="00BD6AD1"/>
    <w:rsid w:val="00BD71E4"/>
    <w:rsid w:val="00BE0024"/>
    <w:rsid w:val="00BE01E5"/>
    <w:rsid w:val="00BE2682"/>
    <w:rsid w:val="00BE28B2"/>
    <w:rsid w:val="00BE2D2A"/>
    <w:rsid w:val="00BE3E75"/>
    <w:rsid w:val="00BE6772"/>
    <w:rsid w:val="00BE6E1D"/>
    <w:rsid w:val="00BE7664"/>
    <w:rsid w:val="00BF2E86"/>
    <w:rsid w:val="00BF3495"/>
    <w:rsid w:val="00BF3568"/>
    <w:rsid w:val="00BF3F91"/>
    <w:rsid w:val="00BF47D4"/>
    <w:rsid w:val="00BF4C4B"/>
    <w:rsid w:val="00BF6171"/>
    <w:rsid w:val="00BF757C"/>
    <w:rsid w:val="00BF7676"/>
    <w:rsid w:val="00C000A4"/>
    <w:rsid w:val="00C00595"/>
    <w:rsid w:val="00C017C7"/>
    <w:rsid w:val="00C03301"/>
    <w:rsid w:val="00C07A38"/>
    <w:rsid w:val="00C116FA"/>
    <w:rsid w:val="00C13908"/>
    <w:rsid w:val="00C17ED8"/>
    <w:rsid w:val="00C200F4"/>
    <w:rsid w:val="00C21836"/>
    <w:rsid w:val="00C224F2"/>
    <w:rsid w:val="00C2374C"/>
    <w:rsid w:val="00C253AF"/>
    <w:rsid w:val="00C317A5"/>
    <w:rsid w:val="00C31909"/>
    <w:rsid w:val="00C3238E"/>
    <w:rsid w:val="00C3277F"/>
    <w:rsid w:val="00C33237"/>
    <w:rsid w:val="00C334E2"/>
    <w:rsid w:val="00C3369C"/>
    <w:rsid w:val="00C34066"/>
    <w:rsid w:val="00C44312"/>
    <w:rsid w:val="00C44E0D"/>
    <w:rsid w:val="00C46593"/>
    <w:rsid w:val="00C47E8C"/>
    <w:rsid w:val="00C515CE"/>
    <w:rsid w:val="00C522F6"/>
    <w:rsid w:val="00C53527"/>
    <w:rsid w:val="00C62B55"/>
    <w:rsid w:val="00C676B5"/>
    <w:rsid w:val="00C71556"/>
    <w:rsid w:val="00C71F7E"/>
    <w:rsid w:val="00C737C1"/>
    <w:rsid w:val="00C74058"/>
    <w:rsid w:val="00C7465F"/>
    <w:rsid w:val="00C748EA"/>
    <w:rsid w:val="00C764DE"/>
    <w:rsid w:val="00C775CD"/>
    <w:rsid w:val="00C77FDB"/>
    <w:rsid w:val="00C80BBE"/>
    <w:rsid w:val="00C831D3"/>
    <w:rsid w:val="00C836A7"/>
    <w:rsid w:val="00C8406C"/>
    <w:rsid w:val="00C848B2"/>
    <w:rsid w:val="00C849C7"/>
    <w:rsid w:val="00C856DA"/>
    <w:rsid w:val="00C911C7"/>
    <w:rsid w:val="00C92766"/>
    <w:rsid w:val="00C9439D"/>
    <w:rsid w:val="00C9497A"/>
    <w:rsid w:val="00C95753"/>
    <w:rsid w:val="00CA1217"/>
    <w:rsid w:val="00CA1EFD"/>
    <w:rsid w:val="00CA2C28"/>
    <w:rsid w:val="00CA3A89"/>
    <w:rsid w:val="00CA560B"/>
    <w:rsid w:val="00CB2A4B"/>
    <w:rsid w:val="00CB4C14"/>
    <w:rsid w:val="00CB57A5"/>
    <w:rsid w:val="00CB7244"/>
    <w:rsid w:val="00CC33B8"/>
    <w:rsid w:val="00CC3727"/>
    <w:rsid w:val="00CC625A"/>
    <w:rsid w:val="00CC6AFD"/>
    <w:rsid w:val="00CC6E3B"/>
    <w:rsid w:val="00CC7D3B"/>
    <w:rsid w:val="00CD0281"/>
    <w:rsid w:val="00CD0706"/>
    <w:rsid w:val="00CD12EB"/>
    <w:rsid w:val="00CD3134"/>
    <w:rsid w:val="00CD3254"/>
    <w:rsid w:val="00CD3E33"/>
    <w:rsid w:val="00CD451F"/>
    <w:rsid w:val="00CD514D"/>
    <w:rsid w:val="00CD64A3"/>
    <w:rsid w:val="00CD6AEB"/>
    <w:rsid w:val="00CD77DE"/>
    <w:rsid w:val="00CE0E41"/>
    <w:rsid w:val="00CE30FB"/>
    <w:rsid w:val="00CE597D"/>
    <w:rsid w:val="00CE5DE5"/>
    <w:rsid w:val="00CE6CF5"/>
    <w:rsid w:val="00CF26E3"/>
    <w:rsid w:val="00CF3612"/>
    <w:rsid w:val="00CF4E63"/>
    <w:rsid w:val="00D00464"/>
    <w:rsid w:val="00D00B80"/>
    <w:rsid w:val="00D01BB6"/>
    <w:rsid w:val="00D02A89"/>
    <w:rsid w:val="00D035A0"/>
    <w:rsid w:val="00D050D4"/>
    <w:rsid w:val="00D10BFE"/>
    <w:rsid w:val="00D11F5F"/>
    <w:rsid w:val="00D122E3"/>
    <w:rsid w:val="00D15754"/>
    <w:rsid w:val="00D17562"/>
    <w:rsid w:val="00D17A72"/>
    <w:rsid w:val="00D263F3"/>
    <w:rsid w:val="00D27C05"/>
    <w:rsid w:val="00D31A9E"/>
    <w:rsid w:val="00D32E82"/>
    <w:rsid w:val="00D41DD3"/>
    <w:rsid w:val="00D435E8"/>
    <w:rsid w:val="00D43A0B"/>
    <w:rsid w:val="00D452D8"/>
    <w:rsid w:val="00D45FBB"/>
    <w:rsid w:val="00D46FF1"/>
    <w:rsid w:val="00D5085D"/>
    <w:rsid w:val="00D52FB8"/>
    <w:rsid w:val="00D53216"/>
    <w:rsid w:val="00D550D1"/>
    <w:rsid w:val="00D60327"/>
    <w:rsid w:val="00D614AE"/>
    <w:rsid w:val="00D62D35"/>
    <w:rsid w:val="00D635E0"/>
    <w:rsid w:val="00D6424C"/>
    <w:rsid w:val="00D675FA"/>
    <w:rsid w:val="00D70839"/>
    <w:rsid w:val="00D70BEE"/>
    <w:rsid w:val="00D72722"/>
    <w:rsid w:val="00D73CDF"/>
    <w:rsid w:val="00D75F6A"/>
    <w:rsid w:val="00D76E48"/>
    <w:rsid w:val="00D814D9"/>
    <w:rsid w:val="00D820F4"/>
    <w:rsid w:val="00D87382"/>
    <w:rsid w:val="00D9093D"/>
    <w:rsid w:val="00D9493F"/>
    <w:rsid w:val="00D97080"/>
    <w:rsid w:val="00DB1A77"/>
    <w:rsid w:val="00DB3903"/>
    <w:rsid w:val="00DB3916"/>
    <w:rsid w:val="00DB524D"/>
    <w:rsid w:val="00DB6669"/>
    <w:rsid w:val="00DB6D3C"/>
    <w:rsid w:val="00DC0BFA"/>
    <w:rsid w:val="00DC3117"/>
    <w:rsid w:val="00DC3503"/>
    <w:rsid w:val="00DC3DB3"/>
    <w:rsid w:val="00DC4D25"/>
    <w:rsid w:val="00DC5E52"/>
    <w:rsid w:val="00DD09D6"/>
    <w:rsid w:val="00DD509A"/>
    <w:rsid w:val="00DD5228"/>
    <w:rsid w:val="00DD61B3"/>
    <w:rsid w:val="00DD6906"/>
    <w:rsid w:val="00DE30C2"/>
    <w:rsid w:val="00DE3476"/>
    <w:rsid w:val="00DE487C"/>
    <w:rsid w:val="00DE4D63"/>
    <w:rsid w:val="00DE53EC"/>
    <w:rsid w:val="00DE61BF"/>
    <w:rsid w:val="00DE7A54"/>
    <w:rsid w:val="00DF0D55"/>
    <w:rsid w:val="00DF61E6"/>
    <w:rsid w:val="00E025F8"/>
    <w:rsid w:val="00E02AE0"/>
    <w:rsid w:val="00E03CB8"/>
    <w:rsid w:val="00E03E24"/>
    <w:rsid w:val="00E06983"/>
    <w:rsid w:val="00E069EB"/>
    <w:rsid w:val="00E0777A"/>
    <w:rsid w:val="00E131CE"/>
    <w:rsid w:val="00E1338C"/>
    <w:rsid w:val="00E13C9C"/>
    <w:rsid w:val="00E13E64"/>
    <w:rsid w:val="00E14A98"/>
    <w:rsid w:val="00E17031"/>
    <w:rsid w:val="00E1783D"/>
    <w:rsid w:val="00E202A2"/>
    <w:rsid w:val="00E20D6D"/>
    <w:rsid w:val="00E2272A"/>
    <w:rsid w:val="00E252E5"/>
    <w:rsid w:val="00E320C4"/>
    <w:rsid w:val="00E3413D"/>
    <w:rsid w:val="00E3570C"/>
    <w:rsid w:val="00E3744F"/>
    <w:rsid w:val="00E4048D"/>
    <w:rsid w:val="00E42A60"/>
    <w:rsid w:val="00E44455"/>
    <w:rsid w:val="00E47462"/>
    <w:rsid w:val="00E47615"/>
    <w:rsid w:val="00E5495F"/>
    <w:rsid w:val="00E55D3F"/>
    <w:rsid w:val="00E569C5"/>
    <w:rsid w:val="00E60AFB"/>
    <w:rsid w:val="00E60EEE"/>
    <w:rsid w:val="00E61485"/>
    <w:rsid w:val="00E61505"/>
    <w:rsid w:val="00E61561"/>
    <w:rsid w:val="00E6254A"/>
    <w:rsid w:val="00E643CD"/>
    <w:rsid w:val="00E658EF"/>
    <w:rsid w:val="00E65AB7"/>
    <w:rsid w:val="00E6658B"/>
    <w:rsid w:val="00E6704D"/>
    <w:rsid w:val="00E721E2"/>
    <w:rsid w:val="00E723A8"/>
    <w:rsid w:val="00E80ABF"/>
    <w:rsid w:val="00E81550"/>
    <w:rsid w:val="00E82B24"/>
    <w:rsid w:val="00E86528"/>
    <w:rsid w:val="00E87292"/>
    <w:rsid w:val="00E91F8C"/>
    <w:rsid w:val="00E960A7"/>
    <w:rsid w:val="00E97A04"/>
    <w:rsid w:val="00EA4AAC"/>
    <w:rsid w:val="00EA5633"/>
    <w:rsid w:val="00EA5E2A"/>
    <w:rsid w:val="00EA7B60"/>
    <w:rsid w:val="00EB209F"/>
    <w:rsid w:val="00EB3F4A"/>
    <w:rsid w:val="00EB4521"/>
    <w:rsid w:val="00EB4FFF"/>
    <w:rsid w:val="00EB6058"/>
    <w:rsid w:val="00EB7E27"/>
    <w:rsid w:val="00EC17FE"/>
    <w:rsid w:val="00EC27C1"/>
    <w:rsid w:val="00ED0223"/>
    <w:rsid w:val="00ED10D9"/>
    <w:rsid w:val="00ED3066"/>
    <w:rsid w:val="00ED4702"/>
    <w:rsid w:val="00ED5CEB"/>
    <w:rsid w:val="00EE02A8"/>
    <w:rsid w:val="00EE0E02"/>
    <w:rsid w:val="00EE170D"/>
    <w:rsid w:val="00EE70DB"/>
    <w:rsid w:val="00EF01B9"/>
    <w:rsid w:val="00EF065B"/>
    <w:rsid w:val="00EF1B21"/>
    <w:rsid w:val="00EF30F0"/>
    <w:rsid w:val="00EF405E"/>
    <w:rsid w:val="00EF6C11"/>
    <w:rsid w:val="00F0332C"/>
    <w:rsid w:val="00F063F4"/>
    <w:rsid w:val="00F12C94"/>
    <w:rsid w:val="00F12CA2"/>
    <w:rsid w:val="00F12CC9"/>
    <w:rsid w:val="00F15309"/>
    <w:rsid w:val="00F21930"/>
    <w:rsid w:val="00F25192"/>
    <w:rsid w:val="00F27AC7"/>
    <w:rsid w:val="00F326D8"/>
    <w:rsid w:val="00F330AE"/>
    <w:rsid w:val="00F35391"/>
    <w:rsid w:val="00F367D6"/>
    <w:rsid w:val="00F400AD"/>
    <w:rsid w:val="00F4197D"/>
    <w:rsid w:val="00F438D8"/>
    <w:rsid w:val="00F44847"/>
    <w:rsid w:val="00F44D43"/>
    <w:rsid w:val="00F4541C"/>
    <w:rsid w:val="00F47606"/>
    <w:rsid w:val="00F539EE"/>
    <w:rsid w:val="00F53D7A"/>
    <w:rsid w:val="00F56802"/>
    <w:rsid w:val="00F575A6"/>
    <w:rsid w:val="00F605E9"/>
    <w:rsid w:val="00F62827"/>
    <w:rsid w:val="00F712F3"/>
    <w:rsid w:val="00F73727"/>
    <w:rsid w:val="00F75C5F"/>
    <w:rsid w:val="00F775B7"/>
    <w:rsid w:val="00F8028D"/>
    <w:rsid w:val="00F82387"/>
    <w:rsid w:val="00F82F4E"/>
    <w:rsid w:val="00F8475F"/>
    <w:rsid w:val="00F86CB4"/>
    <w:rsid w:val="00F86D0F"/>
    <w:rsid w:val="00F86E98"/>
    <w:rsid w:val="00F86F41"/>
    <w:rsid w:val="00F87F0F"/>
    <w:rsid w:val="00F913A3"/>
    <w:rsid w:val="00F937E3"/>
    <w:rsid w:val="00F9418E"/>
    <w:rsid w:val="00F9624F"/>
    <w:rsid w:val="00F96B5B"/>
    <w:rsid w:val="00FA25F5"/>
    <w:rsid w:val="00FA59A3"/>
    <w:rsid w:val="00FB0912"/>
    <w:rsid w:val="00FB0CDE"/>
    <w:rsid w:val="00FB3A62"/>
    <w:rsid w:val="00FB466D"/>
    <w:rsid w:val="00FB4919"/>
    <w:rsid w:val="00FC1711"/>
    <w:rsid w:val="00FC59F3"/>
    <w:rsid w:val="00FC7934"/>
    <w:rsid w:val="00FC7A22"/>
    <w:rsid w:val="00FD1AC3"/>
    <w:rsid w:val="00FD247A"/>
    <w:rsid w:val="00FD29BD"/>
    <w:rsid w:val="00FD2B03"/>
    <w:rsid w:val="00FD3E05"/>
    <w:rsid w:val="00FD3FF6"/>
    <w:rsid w:val="00FD43D7"/>
    <w:rsid w:val="00FD5F3F"/>
    <w:rsid w:val="00FD6A9C"/>
    <w:rsid w:val="00FE0212"/>
    <w:rsid w:val="00FE1082"/>
    <w:rsid w:val="00FE32D3"/>
    <w:rsid w:val="00FE3CC2"/>
    <w:rsid w:val="00FE49C8"/>
    <w:rsid w:val="00FE69B2"/>
    <w:rsid w:val="00FF0024"/>
    <w:rsid w:val="00FF0C01"/>
    <w:rsid w:val="00FF11C5"/>
    <w:rsid w:val="00FF228F"/>
    <w:rsid w:val="00FF2CE9"/>
    <w:rsid w:val="00FF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F7B7"/>
  <w15:docId w15:val="{09EC5303-D732-4FB1-AC87-36D8FC44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FDD"/>
    <w:pPr>
      <w:spacing w:after="0" w:line="240" w:lineRule="auto"/>
    </w:pPr>
    <w:rPr>
      <w:rFonts w:ascii="Times New Roman" w:eastAsia="Times New Roman" w:hAnsi="Times New Roman" w:cs="Times New Roman"/>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27F"/>
    <w:rPr>
      <w:color w:val="0000FF" w:themeColor="hyperlink"/>
      <w:u w:val="single"/>
    </w:rPr>
  </w:style>
  <w:style w:type="paragraph" w:styleId="ListParagraph">
    <w:name w:val="List Paragraph"/>
    <w:basedOn w:val="Normal"/>
    <w:uiPriority w:val="34"/>
    <w:qFormat/>
    <w:rsid w:val="002F61A6"/>
    <w:pPr>
      <w:spacing w:after="160" w:line="259" w:lineRule="auto"/>
      <w:ind w:left="720"/>
      <w:contextualSpacing/>
    </w:pPr>
  </w:style>
  <w:style w:type="character" w:customStyle="1" w:styleId="UnresolvedMention1">
    <w:name w:val="Unresolved Mention1"/>
    <w:basedOn w:val="DefaultParagraphFont"/>
    <w:uiPriority w:val="99"/>
    <w:semiHidden/>
    <w:unhideWhenUsed/>
    <w:rsid w:val="001746B1"/>
    <w:rPr>
      <w:color w:val="808080"/>
      <w:shd w:val="clear" w:color="auto" w:fill="E6E6E6"/>
    </w:rPr>
  </w:style>
  <w:style w:type="character" w:styleId="CommentReference">
    <w:name w:val="annotation reference"/>
    <w:basedOn w:val="DefaultParagraphFont"/>
    <w:uiPriority w:val="99"/>
    <w:semiHidden/>
    <w:unhideWhenUsed/>
    <w:rsid w:val="000D351E"/>
    <w:rPr>
      <w:sz w:val="16"/>
      <w:szCs w:val="16"/>
    </w:rPr>
  </w:style>
  <w:style w:type="paragraph" w:styleId="CommentText">
    <w:name w:val="annotation text"/>
    <w:basedOn w:val="Normal"/>
    <w:link w:val="CommentTextChar"/>
    <w:uiPriority w:val="99"/>
    <w:unhideWhenUsed/>
    <w:rsid w:val="000D351E"/>
    <w:rPr>
      <w:sz w:val="20"/>
      <w:szCs w:val="20"/>
    </w:rPr>
  </w:style>
  <w:style w:type="character" w:customStyle="1" w:styleId="CommentTextChar">
    <w:name w:val="Comment Text Char"/>
    <w:basedOn w:val="DefaultParagraphFont"/>
    <w:link w:val="CommentText"/>
    <w:uiPriority w:val="99"/>
    <w:rsid w:val="000D351E"/>
    <w:rPr>
      <w:sz w:val="20"/>
      <w:szCs w:val="20"/>
    </w:rPr>
  </w:style>
  <w:style w:type="paragraph" w:styleId="CommentSubject">
    <w:name w:val="annotation subject"/>
    <w:basedOn w:val="CommentText"/>
    <w:next w:val="CommentText"/>
    <w:link w:val="CommentSubjectChar"/>
    <w:uiPriority w:val="99"/>
    <w:semiHidden/>
    <w:unhideWhenUsed/>
    <w:rsid w:val="000D351E"/>
    <w:rPr>
      <w:b/>
      <w:bCs/>
    </w:rPr>
  </w:style>
  <w:style w:type="character" w:customStyle="1" w:styleId="CommentSubjectChar">
    <w:name w:val="Comment Subject Char"/>
    <w:basedOn w:val="CommentTextChar"/>
    <w:link w:val="CommentSubject"/>
    <w:uiPriority w:val="99"/>
    <w:semiHidden/>
    <w:rsid w:val="000D351E"/>
    <w:rPr>
      <w:b/>
      <w:bCs/>
      <w:sz w:val="20"/>
      <w:szCs w:val="20"/>
    </w:rPr>
  </w:style>
  <w:style w:type="paragraph" w:styleId="BalloonText">
    <w:name w:val="Balloon Text"/>
    <w:basedOn w:val="Normal"/>
    <w:link w:val="BalloonTextChar"/>
    <w:uiPriority w:val="99"/>
    <w:semiHidden/>
    <w:unhideWhenUsed/>
    <w:rsid w:val="000D3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51E"/>
    <w:rPr>
      <w:rFonts w:ascii="Segoe UI" w:hAnsi="Segoe UI" w:cs="Segoe UI"/>
      <w:sz w:val="18"/>
      <w:szCs w:val="18"/>
    </w:rPr>
  </w:style>
  <w:style w:type="paragraph" w:styleId="Header">
    <w:name w:val="header"/>
    <w:basedOn w:val="Normal"/>
    <w:link w:val="HeaderChar"/>
    <w:uiPriority w:val="99"/>
    <w:unhideWhenUsed/>
    <w:rsid w:val="00B36D83"/>
    <w:pPr>
      <w:tabs>
        <w:tab w:val="center" w:pos="4513"/>
        <w:tab w:val="right" w:pos="9026"/>
      </w:tabs>
    </w:pPr>
  </w:style>
  <w:style w:type="character" w:customStyle="1" w:styleId="HeaderChar">
    <w:name w:val="Header Char"/>
    <w:basedOn w:val="DefaultParagraphFont"/>
    <w:link w:val="Header"/>
    <w:uiPriority w:val="99"/>
    <w:rsid w:val="00B36D83"/>
  </w:style>
  <w:style w:type="paragraph" w:styleId="Footer">
    <w:name w:val="footer"/>
    <w:basedOn w:val="Normal"/>
    <w:link w:val="FooterChar"/>
    <w:uiPriority w:val="99"/>
    <w:unhideWhenUsed/>
    <w:rsid w:val="00B36D83"/>
    <w:pPr>
      <w:tabs>
        <w:tab w:val="center" w:pos="4513"/>
        <w:tab w:val="right" w:pos="9026"/>
      </w:tabs>
    </w:pPr>
  </w:style>
  <w:style w:type="character" w:customStyle="1" w:styleId="FooterChar">
    <w:name w:val="Footer Char"/>
    <w:basedOn w:val="DefaultParagraphFont"/>
    <w:link w:val="Footer"/>
    <w:uiPriority w:val="99"/>
    <w:rsid w:val="00B36D83"/>
  </w:style>
  <w:style w:type="character" w:customStyle="1" w:styleId="UnresolvedMention2">
    <w:name w:val="Unresolved Mention2"/>
    <w:basedOn w:val="DefaultParagraphFont"/>
    <w:uiPriority w:val="99"/>
    <w:semiHidden/>
    <w:unhideWhenUsed/>
    <w:rsid w:val="00772AE9"/>
    <w:rPr>
      <w:color w:val="605E5C"/>
      <w:shd w:val="clear" w:color="auto" w:fill="E1DFDD"/>
    </w:rPr>
  </w:style>
  <w:style w:type="character" w:customStyle="1" w:styleId="UnresolvedMention3">
    <w:name w:val="Unresolved Mention3"/>
    <w:basedOn w:val="DefaultParagraphFont"/>
    <w:uiPriority w:val="99"/>
    <w:semiHidden/>
    <w:unhideWhenUsed/>
    <w:rsid w:val="00B70154"/>
    <w:rPr>
      <w:color w:val="605E5C"/>
      <w:shd w:val="clear" w:color="auto" w:fill="E1DFDD"/>
    </w:rPr>
  </w:style>
  <w:style w:type="character" w:styleId="FollowedHyperlink">
    <w:name w:val="FollowedHyperlink"/>
    <w:basedOn w:val="DefaultParagraphFont"/>
    <w:uiPriority w:val="99"/>
    <w:semiHidden/>
    <w:unhideWhenUsed/>
    <w:rsid w:val="008D256C"/>
    <w:rPr>
      <w:color w:val="800080" w:themeColor="followedHyperlink"/>
      <w:u w:val="single"/>
    </w:rPr>
  </w:style>
  <w:style w:type="paragraph" w:customStyle="1" w:styleId="Normal1">
    <w:name w:val="Normal1"/>
    <w:link w:val="Normal1Char"/>
    <w:rsid w:val="00605F8A"/>
    <w:pPr>
      <w:spacing w:after="0"/>
    </w:pPr>
    <w:rPr>
      <w:rFonts w:ascii="Arial" w:eastAsia="Arial" w:hAnsi="Arial" w:cs="Arial"/>
      <w:color w:val="000000"/>
      <w:lang w:val="en-US"/>
    </w:rPr>
  </w:style>
  <w:style w:type="character" w:customStyle="1" w:styleId="Normal1Char">
    <w:name w:val="Normal1 Char"/>
    <w:basedOn w:val="DefaultParagraphFont"/>
    <w:link w:val="Normal1"/>
    <w:rsid w:val="00605F8A"/>
    <w:rPr>
      <w:rFonts w:ascii="Arial" w:eastAsia="Arial" w:hAnsi="Arial" w:cs="Arial"/>
      <w:color w:val="000000"/>
      <w:lang w:val="en-US"/>
    </w:rPr>
  </w:style>
  <w:style w:type="paragraph" w:customStyle="1" w:styleId="TreA">
    <w:name w:val="Treść A"/>
    <w:link w:val="TreAChar"/>
    <w:rsid w:val="00605F8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TreAChar">
    <w:name w:val="Treść A Char"/>
    <w:basedOn w:val="DefaultParagraphFont"/>
    <w:link w:val="TreA"/>
    <w:rsid w:val="00605F8A"/>
    <w:rPr>
      <w:rFonts w:ascii="Calibri" w:eastAsia="Calibri" w:hAnsi="Calibri" w:cs="Calibri"/>
      <w:color w:val="000000"/>
      <w:u w:color="000000"/>
      <w:bdr w:val="nil"/>
      <w:lang w:val="en-US" w:eastAsia="en-GB"/>
    </w:rPr>
  </w:style>
  <w:style w:type="character" w:customStyle="1" w:styleId="UnresolvedMention4">
    <w:name w:val="Unresolved Mention4"/>
    <w:basedOn w:val="DefaultParagraphFont"/>
    <w:uiPriority w:val="99"/>
    <w:semiHidden/>
    <w:unhideWhenUsed/>
    <w:rsid w:val="00B711A3"/>
    <w:rPr>
      <w:color w:val="605E5C"/>
      <w:shd w:val="clear" w:color="auto" w:fill="E1DFDD"/>
    </w:rPr>
  </w:style>
  <w:style w:type="character" w:customStyle="1" w:styleId="UnresolvedMention5">
    <w:name w:val="Unresolved Mention5"/>
    <w:basedOn w:val="DefaultParagraphFont"/>
    <w:uiPriority w:val="99"/>
    <w:semiHidden/>
    <w:unhideWhenUsed/>
    <w:rsid w:val="00340CF8"/>
    <w:rPr>
      <w:color w:val="605E5C"/>
      <w:shd w:val="clear" w:color="auto" w:fill="E1DFDD"/>
    </w:rPr>
  </w:style>
  <w:style w:type="character" w:customStyle="1" w:styleId="UnresolvedMention6">
    <w:name w:val="Unresolved Mention6"/>
    <w:basedOn w:val="DefaultParagraphFont"/>
    <w:uiPriority w:val="99"/>
    <w:semiHidden/>
    <w:unhideWhenUsed/>
    <w:rsid w:val="003139A2"/>
    <w:rPr>
      <w:color w:val="605E5C"/>
      <w:shd w:val="clear" w:color="auto" w:fill="E1DFDD"/>
    </w:rPr>
  </w:style>
  <w:style w:type="character" w:styleId="UnresolvedMention">
    <w:name w:val="Unresolved Mention"/>
    <w:basedOn w:val="DefaultParagraphFont"/>
    <w:uiPriority w:val="99"/>
    <w:semiHidden/>
    <w:unhideWhenUsed/>
    <w:rsid w:val="00483256"/>
    <w:rPr>
      <w:color w:val="605E5C"/>
      <w:shd w:val="clear" w:color="auto" w:fill="E1DFDD"/>
    </w:rPr>
  </w:style>
  <w:style w:type="paragraph" w:styleId="Revision">
    <w:name w:val="Revision"/>
    <w:hidden/>
    <w:uiPriority w:val="99"/>
    <w:semiHidden/>
    <w:rsid w:val="00BD3829"/>
    <w:pPr>
      <w:spacing w:after="0" w:line="240" w:lineRule="auto"/>
    </w:pPr>
  </w:style>
  <w:style w:type="paragraph" w:styleId="NormalWeb">
    <w:name w:val="Normal (Web)"/>
    <w:basedOn w:val="Normal"/>
    <w:uiPriority w:val="99"/>
    <w:unhideWhenUsed/>
    <w:rsid w:val="00341CD0"/>
    <w:pPr>
      <w:spacing w:before="100" w:beforeAutospacing="1" w:after="100" w:afterAutospacing="1"/>
    </w:pPr>
  </w:style>
  <w:style w:type="character" w:customStyle="1" w:styleId="cls-response">
    <w:name w:val="cls-response"/>
    <w:basedOn w:val="DefaultParagraphFont"/>
    <w:rsid w:val="00307FD9"/>
  </w:style>
  <w:style w:type="paragraph" w:customStyle="1" w:styleId="EndNoteBibliography">
    <w:name w:val="EndNote Bibliography"/>
    <w:basedOn w:val="Normal"/>
    <w:link w:val="EndNoteBibliographyChar"/>
    <w:rsid w:val="00A94375"/>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A94375"/>
    <w:rPr>
      <w:rFonts w:ascii="Calibri" w:eastAsia="Calibri" w:hAnsi="Calibri" w:cs="Times New Roman"/>
      <w:noProof/>
      <w:lang w:val="en-US"/>
    </w:rPr>
  </w:style>
  <w:style w:type="table" w:styleId="TableGrid">
    <w:name w:val="Table Grid"/>
    <w:basedOn w:val="TableNormal"/>
    <w:uiPriority w:val="39"/>
    <w:rsid w:val="0093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bibliographic-informationvalue">
    <w:name w:val="c-bibliographic-information__value"/>
    <w:basedOn w:val="DefaultParagraphFont"/>
    <w:rsid w:val="00DC5E52"/>
  </w:style>
  <w:style w:type="character" w:styleId="Emphasis">
    <w:name w:val="Emphasis"/>
    <w:basedOn w:val="DefaultParagraphFont"/>
    <w:uiPriority w:val="20"/>
    <w:qFormat/>
    <w:rsid w:val="005006D4"/>
    <w:rPr>
      <w:i/>
      <w:iCs/>
    </w:rPr>
  </w:style>
  <w:style w:type="character" w:customStyle="1" w:styleId="vol">
    <w:name w:val="vol"/>
    <w:basedOn w:val="DefaultParagraphFont"/>
    <w:rsid w:val="00FD2B03"/>
  </w:style>
  <w:style w:type="character" w:customStyle="1" w:styleId="pagefirst">
    <w:name w:val="pagefirst"/>
    <w:basedOn w:val="DefaultParagraphFont"/>
    <w:rsid w:val="00FD2B03"/>
  </w:style>
  <w:style w:type="character" w:customStyle="1" w:styleId="pagelast">
    <w:name w:val="pagelast"/>
    <w:basedOn w:val="DefaultParagraphFont"/>
    <w:rsid w:val="00FD2B03"/>
  </w:style>
  <w:style w:type="character" w:customStyle="1" w:styleId="identifier">
    <w:name w:val="identifier"/>
    <w:basedOn w:val="DefaultParagraphFont"/>
    <w:rsid w:val="00507446"/>
  </w:style>
  <w:style w:type="character" w:customStyle="1" w:styleId="highwire-cite-metadata-doi">
    <w:name w:val="highwire-cite-metadata-doi"/>
    <w:basedOn w:val="DefaultParagraphFont"/>
    <w:rsid w:val="000E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8809">
      <w:bodyDiv w:val="1"/>
      <w:marLeft w:val="0"/>
      <w:marRight w:val="0"/>
      <w:marTop w:val="0"/>
      <w:marBottom w:val="0"/>
      <w:divBdr>
        <w:top w:val="none" w:sz="0" w:space="0" w:color="auto"/>
        <w:left w:val="none" w:sz="0" w:space="0" w:color="auto"/>
        <w:bottom w:val="none" w:sz="0" w:space="0" w:color="auto"/>
        <w:right w:val="none" w:sz="0" w:space="0" w:color="auto"/>
      </w:divBdr>
    </w:div>
    <w:div w:id="219754592">
      <w:bodyDiv w:val="1"/>
      <w:marLeft w:val="0"/>
      <w:marRight w:val="0"/>
      <w:marTop w:val="0"/>
      <w:marBottom w:val="0"/>
      <w:divBdr>
        <w:top w:val="none" w:sz="0" w:space="0" w:color="auto"/>
        <w:left w:val="none" w:sz="0" w:space="0" w:color="auto"/>
        <w:bottom w:val="none" w:sz="0" w:space="0" w:color="auto"/>
        <w:right w:val="none" w:sz="0" w:space="0" w:color="auto"/>
      </w:divBdr>
    </w:div>
    <w:div w:id="308217641">
      <w:bodyDiv w:val="1"/>
      <w:marLeft w:val="0"/>
      <w:marRight w:val="0"/>
      <w:marTop w:val="0"/>
      <w:marBottom w:val="0"/>
      <w:divBdr>
        <w:top w:val="none" w:sz="0" w:space="0" w:color="auto"/>
        <w:left w:val="none" w:sz="0" w:space="0" w:color="auto"/>
        <w:bottom w:val="none" w:sz="0" w:space="0" w:color="auto"/>
        <w:right w:val="none" w:sz="0" w:space="0" w:color="auto"/>
      </w:divBdr>
    </w:div>
    <w:div w:id="659768634">
      <w:bodyDiv w:val="1"/>
      <w:marLeft w:val="0"/>
      <w:marRight w:val="0"/>
      <w:marTop w:val="0"/>
      <w:marBottom w:val="0"/>
      <w:divBdr>
        <w:top w:val="none" w:sz="0" w:space="0" w:color="auto"/>
        <w:left w:val="none" w:sz="0" w:space="0" w:color="auto"/>
        <w:bottom w:val="none" w:sz="0" w:space="0" w:color="auto"/>
        <w:right w:val="none" w:sz="0" w:space="0" w:color="auto"/>
      </w:divBdr>
    </w:div>
    <w:div w:id="839348090">
      <w:bodyDiv w:val="1"/>
      <w:marLeft w:val="0"/>
      <w:marRight w:val="0"/>
      <w:marTop w:val="0"/>
      <w:marBottom w:val="0"/>
      <w:divBdr>
        <w:top w:val="none" w:sz="0" w:space="0" w:color="auto"/>
        <w:left w:val="none" w:sz="0" w:space="0" w:color="auto"/>
        <w:bottom w:val="none" w:sz="0" w:space="0" w:color="auto"/>
        <w:right w:val="none" w:sz="0" w:space="0" w:color="auto"/>
      </w:divBdr>
    </w:div>
    <w:div w:id="1075401017">
      <w:bodyDiv w:val="1"/>
      <w:marLeft w:val="0"/>
      <w:marRight w:val="0"/>
      <w:marTop w:val="0"/>
      <w:marBottom w:val="0"/>
      <w:divBdr>
        <w:top w:val="none" w:sz="0" w:space="0" w:color="auto"/>
        <w:left w:val="none" w:sz="0" w:space="0" w:color="auto"/>
        <w:bottom w:val="none" w:sz="0" w:space="0" w:color="auto"/>
        <w:right w:val="none" w:sz="0" w:space="0" w:color="auto"/>
      </w:divBdr>
    </w:div>
    <w:div w:id="1116211992">
      <w:bodyDiv w:val="1"/>
      <w:marLeft w:val="0"/>
      <w:marRight w:val="0"/>
      <w:marTop w:val="0"/>
      <w:marBottom w:val="0"/>
      <w:divBdr>
        <w:top w:val="none" w:sz="0" w:space="0" w:color="auto"/>
        <w:left w:val="none" w:sz="0" w:space="0" w:color="auto"/>
        <w:bottom w:val="none" w:sz="0" w:space="0" w:color="auto"/>
        <w:right w:val="none" w:sz="0" w:space="0" w:color="auto"/>
      </w:divBdr>
    </w:div>
    <w:div w:id="1367870135">
      <w:bodyDiv w:val="1"/>
      <w:marLeft w:val="0"/>
      <w:marRight w:val="0"/>
      <w:marTop w:val="0"/>
      <w:marBottom w:val="0"/>
      <w:divBdr>
        <w:top w:val="none" w:sz="0" w:space="0" w:color="auto"/>
        <w:left w:val="none" w:sz="0" w:space="0" w:color="auto"/>
        <w:bottom w:val="none" w:sz="0" w:space="0" w:color="auto"/>
        <w:right w:val="none" w:sz="0" w:space="0" w:color="auto"/>
      </w:divBdr>
    </w:div>
    <w:div w:id="1489711312">
      <w:bodyDiv w:val="1"/>
      <w:marLeft w:val="0"/>
      <w:marRight w:val="0"/>
      <w:marTop w:val="0"/>
      <w:marBottom w:val="0"/>
      <w:divBdr>
        <w:top w:val="none" w:sz="0" w:space="0" w:color="auto"/>
        <w:left w:val="none" w:sz="0" w:space="0" w:color="auto"/>
        <w:bottom w:val="none" w:sz="0" w:space="0" w:color="auto"/>
        <w:right w:val="none" w:sz="0" w:space="0" w:color="auto"/>
      </w:divBdr>
    </w:div>
    <w:div w:id="1701130835">
      <w:bodyDiv w:val="1"/>
      <w:marLeft w:val="0"/>
      <w:marRight w:val="0"/>
      <w:marTop w:val="0"/>
      <w:marBottom w:val="0"/>
      <w:divBdr>
        <w:top w:val="none" w:sz="0" w:space="0" w:color="auto"/>
        <w:left w:val="none" w:sz="0" w:space="0" w:color="auto"/>
        <w:bottom w:val="none" w:sz="0" w:space="0" w:color="auto"/>
        <w:right w:val="none" w:sz="0" w:space="0" w:color="auto"/>
      </w:divBdr>
    </w:div>
    <w:div w:id="1726221754">
      <w:bodyDiv w:val="1"/>
      <w:marLeft w:val="0"/>
      <w:marRight w:val="0"/>
      <w:marTop w:val="0"/>
      <w:marBottom w:val="0"/>
      <w:divBdr>
        <w:top w:val="none" w:sz="0" w:space="0" w:color="auto"/>
        <w:left w:val="none" w:sz="0" w:space="0" w:color="auto"/>
        <w:bottom w:val="none" w:sz="0" w:space="0" w:color="auto"/>
        <w:right w:val="none" w:sz="0" w:space="0" w:color="auto"/>
      </w:divBdr>
    </w:div>
    <w:div w:id="1871995579">
      <w:bodyDiv w:val="1"/>
      <w:marLeft w:val="0"/>
      <w:marRight w:val="0"/>
      <w:marTop w:val="0"/>
      <w:marBottom w:val="0"/>
      <w:divBdr>
        <w:top w:val="none" w:sz="0" w:space="0" w:color="auto"/>
        <w:left w:val="none" w:sz="0" w:space="0" w:color="auto"/>
        <w:bottom w:val="none" w:sz="0" w:space="0" w:color="auto"/>
        <w:right w:val="none" w:sz="0" w:space="0" w:color="auto"/>
      </w:divBdr>
    </w:div>
    <w:div w:id="1962684998">
      <w:bodyDiv w:val="1"/>
      <w:marLeft w:val="0"/>
      <w:marRight w:val="0"/>
      <w:marTop w:val="0"/>
      <w:marBottom w:val="0"/>
      <w:divBdr>
        <w:top w:val="none" w:sz="0" w:space="0" w:color="auto"/>
        <w:left w:val="none" w:sz="0" w:space="0" w:color="auto"/>
        <w:bottom w:val="none" w:sz="0" w:space="0" w:color="auto"/>
        <w:right w:val="none" w:sz="0" w:space="0" w:color="auto"/>
      </w:divBdr>
    </w:div>
    <w:div w:id="21090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2/bse.2510" TargetMode="External"/><Relationship Id="rId21" Type="http://schemas.openxmlformats.org/officeDocument/2006/relationships/hyperlink" Target="https://doi.org/10.1177%2F135910457000100301" TargetMode="External"/><Relationship Id="rId42" Type="http://schemas.openxmlformats.org/officeDocument/2006/relationships/hyperlink" Target="https://doi.org/10.1016/j.jenvman.2020.111292" TargetMode="External"/><Relationship Id="rId47" Type="http://schemas.openxmlformats.org/officeDocument/2006/relationships/hyperlink" Target="https://doi.org/10.1007/s10551-019-04416-0" TargetMode="External"/><Relationship Id="rId63" Type="http://schemas.openxmlformats.org/officeDocument/2006/relationships/hyperlink" Target="https://doi.org/10.1016/j.jretconser.2020.102082" TargetMode="External"/><Relationship Id="rId68" Type="http://schemas.openxmlformats.org/officeDocument/2006/relationships/hyperlink" Target="https://doi.org/10.1016/j.jbusres.2018.08.025" TargetMode="External"/><Relationship Id="rId84" Type="http://schemas.openxmlformats.org/officeDocument/2006/relationships/hyperlink" Target="https://doi.org/10.1007/s40279-017-0720-4" TargetMode="External"/><Relationship Id="rId89" Type="http://schemas.openxmlformats.org/officeDocument/2006/relationships/hyperlink" Target="https://doi.org/10.1002/cb.1798" TargetMode="External"/><Relationship Id="rId16" Type="http://schemas.openxmlformats.org/officeDocument/2006/relationships/hyperlink" Target="https://doi.org/10.1007/BF02723327" TargetMode="External"/><Relationship Id="rId107" Type="http://schemas.openxmlformats.org/officeDocument/2006/relationships/fontTable" Target="fontTable.xml"/><Relationship Id="rId11" Type="http://schemas.openxmlformats.org/officeDocument/2006/relationships/hyperlink" Target="https://doi.org/10.1016/j.jbusres.2020.01.017" TargetMode="External"/><Relationship Id="rId32" Type="http://schemas.openxmlformats.org/officeDocument/2006/relationships/hyperlink" Target="https://doi.org/10.1080/02134748.2018.1435217" TargetMode="External"/><Relationship Id="rId37" Type="http://schemas.openxmlformats.org/officeDocument/2006/relationships/hyperlink" Target="https://doi.org/10.3389/fpsyg.2016.00121" TargetMode="External"/><Relationship Id="rId53" Type="http://schemas.openxmlformats.org/officeDocument/2006/relationships/hyperlink" Target="https://doi.org/10.1002/cb.1914" TargetMode="External"/><Relationship Id="rId58" Type="http://schemas.openxmlformats.org/officeDocument/2006/relationships/hyperlink" Target="https://doi.org/10.1037/a0039400" TargetMode="External"/><Relationship Id="rId74" Type="http://schemas.openxmlformats.org/officeDocument/2006/relationships/hyperlink" Target="https://doi.org/10.18637/jss.v048.i02" TargetMode="External"/><Relationship Id="rId79" Type="http://schemas.openxmlformats.org/officeDocument/2006/relationships/hyperlink" Target="https://doi.org/10.1002/bse.2567" TargetMode="External"/><Relationship Id="rId102" Type="http://schemas.openxmlformats.org/officeDocument/2006/relationships/hyperlink" Target="https://doi.org/10.1002/bse.2270" TargetMode="External"/><Relationship Id="rId5" Type="http://schemas.openxmlformats.org/officeDocument/2006/relationships/webSettings" Target="webSettings.xml"/><Relationship Id="rId90" Type="http://schemas.openxmlformats.org/officeDocument/2006/relationships/hyperlink" Target="https://sustainabledevelopment.un.org/sdg12" TargetMode="External"/><Relationship Id="rId95" Type="http://schemas.openxmlformats.org/officeDocument/2006/relationships/hyperlink" Target="https://doi.org/10.1016/j.jbusres.2019.11.018" TargetMode="External"/><Relationship Id="rId22" Type="http://schemas.openxmlformats.org/officeDocument/2006/relationships/hyperlink" Target="https://doi.org/10.1016/j.forpol.2019.102026" TargetMode="External"/><Relationship Id="rId27" Type="http://schemas.openxmlformats.org/officeDocument/2006/relationships/hyperlink" Target="https://doi.org/10.1016/j.jbusres.2012.08.020" TargetMode="External"/><Relationship Id="rId43" Type="http://schemas.openxmlformats.org/officeDocument/2006/relationships/hyperlink" Target="https://doi.org/10.1371/journal.pone.0090787" TargetMode="External"/><Relationship Id="rId48" Type="http://schemas.openxmlformats.org/officeDocument/2006/relationships/hyperlink" Target="https://doi.org/10.1111/ijcs.12013" TargetMode="External"/><Relationship Id="rId64" Type="http://schemas.openxmlformats.org/officeDocument/2006/relationships/hyperlink" Target="https://doi.org/10.1080/15298868.2017.1375003" TargetMode="External"/><Relationship Id="rId69" Type="http://schemas.openxmlformats.org/officeDocument/2006/relationships/hyperlink" Target="https://doi.org/10.1371/journal.pone.0045150" TargetMode="External"/><Relationship Id="rId80" Type="http://schemas.openxmlformats.org/officeDocument/2006/relationships/hyperlink" Target="https://doi.org/10.1207%2FS15327957PSPR0604_03" TargetMode="External"/><Relationship Id="rId85" Type="http://schemas.openxmlformats.org/officeDocument/2006/relationships/hyperlink" Target="https://doi.org/10.1108/JABS-03-2020-0094" TargetMode="External"/><Relationship Id="rId12" Type="http://schemas.openxmlformats.org/officeDocument/2006/relationships/hyperlink" Target="https://psycnet.apa.org/doi/10.1007/s10551-013-1841-9" TargetMode="External"/><Relationship Id="rId17" Type="http://schemas.openxmlformats.org/officeDocument/2006/relationships/hyperlink" Target="https://doi.org/10.1111/ijcs.12269" TargetMode="External"/><Relationship Id="rId33" Type="http://schemas.openxmlformats.org/officeDocument/2006/relationships/hyperlink" Target="https://doi.org/10.1037/a0014891" TargetMode="External"/><Relationship Id="rId38" Type="http://schemas.openxmlformats.org/officeDocument/2006/relationships/hyperlink" Target="https://doi.org/10.1037/rev0000090" TargetMode="External"/><Relationship Id="rId59" Type="http://schemas.openxmlformats.org/officeDocument/2006/relationships/hyperlink" Target="https://doi.org/10.1016/j.jenvp.2020.101522" TargetMode="External"/><Relationship Id="rId103" Type="http://schemas.openxmlformats.org/officeDocument/2006/relationships/hyperlink" Target="https://doi.org/10.1177/1094670508322561" TargetMode="External"/><Relationship Id="rId108" Type="http://schemas.openxmlformats.org/officeDocument/2006/relationships/theme" Target="theme/theme1.xml"/><Relationship Id="rId20" Type="http://schemas.openxmlformats.org/officeDocument/2006/relationships/hyperlink" Target="https://doi.org/10.1177/0013916518756988" TargetMode="External"/><Relationship Id="rId41" Type="http://schemas.openxmlformats.org/officeDocument/2006/relationships/hyperlink" Target="https://doi.org/10.1108/FS-04-2020-0042" TargetMode="External"/><Relationship Id="rId54" Type="http://schemas.openxmlformats.org/officeDocument/2006/relationships/hyperlink" Target="https://doi.org/10.1016/j.jcps.2014.06.002" TargetMode="External"/><Relationship Id="rId62" Type="http://schemas.openxmlformats.org/officeDocument/2006/relationships/hyperlink" Target="https://doi.org/10.1177/0022022119873432" TargetMode="External"/><Relationship Id="rId70" Type="http://schemas.openxmlformats.org/officeDocument/2006/relationships/hyperlink" Target="https://psycnet.apa.org/doi/10.1037/0021-9010.88.5.879" TargetMode="External"/><Relationship Id="rId75" Type="http://schemas.openxmlformats.org/officeDocument/2006/relationships/hyperlink" Target="https://doi.org/10.1177/0956797617700622" TargetMode="External"/><Relationship Id="rId83" Type="http://schemas.openxmlformats.org/officeDocument/2006/relationships/hyperlink" Target="http://www.jstor.org/stable/2695870" TargetMode="External"/><Relationship Id="rId88" Type="http://schemas.openxmlformats.org/officeDocument/2006/relationships/hyperlink" Target="https://doi.org/10.1016/j.ijresmar.2011.07.003" TargetMode="External"/><Relationship Id="rId91" Type="http://schemas.openxmlformats.org/officeDocument/2006/relationships/hyperlink" Target="https://doi.org/10.3390/ijerph17072311" TargetMode="External"/><Relationship Id="rId96" Type="http://schemas.openxmlformats.org/officeDocument/2006/relationships/hyperlink" Target="https://doi.org/10.1080/08911762.2012.69738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2/bse.2350" TargetMode="External"/><Relationship Id="rId23" Type="http://schemas.openxmlformats.org/officeDocument/2006/relationships/hyperlink" Target="https://doi.org/10.1016/j.ecolecon.2008.01.028" TargetMode="External"/><Relationship Id="rId28" Type="http://schemas.openxmlformats.org/officeDocument/2006/relationships/hyperlink" Target="https://doi.org/10.1111/ijcs.12114" TargetMode="External"/><Relationship Id="rId36" Type="http://schemas.openxmlformats.org/officeDocument/2006/relationships/hyperlink" Target="https://doi.org/10.1177%2F0047287520930087" TargetMode="External"/><Relationship Id="rId49" Type="http://schemas.openxmlformats.org/officeDocument/2006/relationships/hyperlink" Target="https://doi.org/10.1016/j.jclepro.2019.04.389" TargetMode="External"/><Relationship Id="rId57" Type="http://schemas.openxmlformats.org/officeDocument/2006/relationships/hyperlink" Target="https://doi.org/10.1509/jmkr.38.4.471.18912" TargetMode="External"/><Relationship Id="rId106" Type="http://schemas.openxmlformats.org/officeDocument/2006/relationships/footer" Target="footer2.xml"/><Relationship Id="rId10" Type="http://schemas.openxmlformats.org/officeDocument/2006/relationships/hyperlink" Target="https://doi.org/10.1007/s10668-020-01220-z" TargetMode="External"/><Relationship Id="rId31" Type="http://schemas.openxmlformats.org/officeDocument/2006/relationships/hyperlink" Target="https://doi.org/10.1002/cb.1833" TargetMode="External"/><Relationship Id="rId44" Type="http://schemas.openxmlformats.org/officeDocument/2006/relationships/hyperlink" Target="https://doi.org/10.1080/10510974.2016.1239645" TargetMode="External"/><Relationship Id="rId52" Type="http://schemas.openxmlformats.org/officeDocument/2006/relationships/hyperlink" Target="https://doi.org/10.1111/j.1744-6570.1996.tb01790.x" TargetMode="External"/><Relationship Id="rId60" Type="http://schemas.openxmlformats.org/officeDocument/2006/relationships/hyperlink" Target="https://doi.org/10.1002/cb.1913" TargetMode="External"/><Relationship Id="rId65" Type="http://schemas.openxmlformats.org/officeDocument/2006/relationships/hyperlink" Target="https://doi.org/10.1037/0033-2909.128.1.3" TargetMode="External"/><Relationship Id="rId73" Type="http://schemas.openxmlformats.org/officeDocument/2006/relationships/hyperlink" Target="https://doi.org/10.1016/0148-2963(95)00150-6" TargetMode="External"/><Relationship Id="rId78" Type="http://schemas.openxmlformats.org/officeDocument/2006/relationships/hyperlink" Target="https://doi.org/10.1016/j.jbusres.2017.03.010" TargetMode="External"/><Relationship Id="rId81" Type="http://schemas.openxmlformats.org/officeDocument/2006/relationships/hyperlink" Target="https://doi.org/10.1002/mar.10100" TargetMode="External"/><Relationship Id="rId86" Type="http://schemas.openxmlformats.org/officeDocument/2006/relationships/hyperlink" Target="https://doi.org/10.1016/S0167-4870(02)00120-4" TargetMode="External"/><Relationship Id="rId94" Type="http://schemas.openxmlformats.org/officeDocument/2006/relationships/hyperlink" Target="http://wbj.pl/bloomberg-poland-is-the-4th-biggest-emerging-market/" TargetMode="External"/><Relationship Id="rId99" Type="http://schemas.openxmlformats.org/officeDocument/2006/relationships/hyperlink" Target="https://doi.org/10.1177%2F0921810698113003" TargetMode="External"/><Relationship Id="rId101" Type="http://schemas.openxmlformats.org/officeDocument/2006/relationships/hyperlink" Target="https://doi.org/10.3389/fpsyg.2019.00187" TargetMode="External"/><Relationship Id="rId4" Type="http://schemas.openxmlformats.org/officeDocument/2006/relationships/settings" Target="settings.xml"/><Relationship Id="rId9" Type="http://schemas.openxmlformats.org/officeDocument/2006/relationships/hyperlink" Target="https://doi.org/10.1108/JSOCM-07-2020-0116" TargetMode="External"/><Relationship Id="rId13" Type="http://schemas.openxmlformats.org/officeDocument/2006/relationships/hyperlink" Target="https://doi.org/10.3390/su12114348" TargetMode="External"/><Relationship Id="rId18" Type="http://schemas.openxmlformats.org/officeDocument/2006/relationships/hyperlink" Target="https://doi.org/10.1177/0276146720926641" TargetMode="External"/><Relationship Id="rId39" Type="http://schemas.openxmlformats.org/officeDocument/2006/relationships/hyperlink" Target="https://doi.org/10.1037/0022-3514.72.6.1460" TargetMode="External"/><Relationship Id="rId34" Type="http://schemas.openxmlformats.org/officeDocument/2006/relationships/hyperlink" Target="http://www.jstor.org/stable/30000238" TargetMode="External"/><Relationship Id="rId50" Type="http://schemas.openxmlformats.org/officeDocument/2006/relationships/hyperlink" Target="http://knmiof.mswia.gov.pl/kn/baza-nazw-miejscowosci/10466,Wykaz-urzedowych-nazw-miejscowosci-i-ich-czesci.html" TargetMode="External"/><Relationship Id="rId55" Type="http://schemas.openxmlformats.org/officeDocument/2006/relationships/hyperlink" Target="https://doi.org/10.1016/j.ijresmar.2018.11.005" TargetMode="External"/><Relationship Id="rId76" Type="http://schemas.openxmlformats.org/officeDocument/2006/relationships/hyperlink" Target="https://doi.org/10.1080/0965254X.2019.1572641" TargetMode="External"/><Relationship Id="rId97" Type="http://schemas.openxmlformats.org/officeDocument/2006/relationships/hyperlink" Target="https://doi.org/10.1177%2F0022242919825649" TargetMode="External"/><Relationship Id="rId104" Type="http://schemas.openxmlformats.org/officeDocument/2006/relationships/hyperlink" Target="https://doi.org/10.1086/598794" TargetMode="External"/><Relationship Id="rId7" Type="http://schemas.openxmlformats.org/officeDocument/2006/relationships/endnotes" Target="endnotes.xml"/><Relationship Id="rId71" Type="http://schemas.openxmlformats.org/officeDocument/2006/relationships/hyperlink" Target="https://www.usnews.com/news/best-countries/articles/2018-10-02/poland-reclassified-as-a-developed-economy-by-the-ftse" TargetMode="External"/><Relationship Id="rId92" Type="http://schemas.openxmlformats.org/officeDocument/2006/relationships/hyperlink" Target="https://doi.org/10.1080/02650487.2020.1763090" TargetMode="External"/><Relationship Id="rId2" Type="http://schemas.openxmlformats.org/officeDocument/2006/relationships/numbering" Target="numbering.xml"/><Relationship Id="rId29" Type="http://schemas.openxmlformats.org/officeDocument/2006/relationships/hyperlink" Target="https://doi.org/10.1007/s10603-015-9295-3" TargetMode="External"/><Relationship Id="rId24" Type="http://schemas.openxmlformats.org/officeDocument/2006/relationships/hyperlink" Target="https://doi.org/10.1111/ijcs.12602" TargetMode="External"/><Relationship Id="rId40" Type="http://schemas.openxmlformats.org/officeDocument/2006/relationships/hyperlink" Target="https://doi.org/10.1177%2F0022243719889028" TargetMode="External"/><Relationship Id="rId45" Type="http://schemas.openxmlformats.org/officeDocument/2006/relationships/hyperlink" Target="https://stat.gov.pl/en/topics/population/population/structure-of-the-population-by-2016,7,1.html" TargetMode="External"/><Relationship Id="rId66" Type="http://schemas.openxmlformats.org/officeDocument/2006/relationships/hyperlink" Target="https://doi.org/10.1002/cb.356" TargetMode="External"/><Relationship Id="rId87" Type="http://schemas.openxmlformats.org/officeDocument/2006/relationships/hyperlink" Target="https://doi.org/10.1509/jm.10.0400" TargetMode="External"/><Relationship Id="rId61" Type="http://schemas.openxmlformats.org/officeDocument/2006/relationships/hyperlink" Target="https://doi.org/10.1177/0022022102033005001" TargetMode="External"/><Relationship Id="rId82" Type="http://schemas.openxmlformats.org/officeDocument/2006/relationships/hyperlink" Target="https://psycnet.apa.org/doi/10.1016/j.jbusres.2007.06.016" TargetMode="External"/><Relationship Id="rId19" Type="http://schemas.openxmlformats.org/officeDocument/2006/relationships/hyperlink" Target="https://doi.org/10.1002/(SICI)1099-1298(199608)6:3%3c157::AID-CASP367%3e3.0.CO;2-W" TargetMode="External"/><Relationship Id="rId14" Type="http://schemas.openxmlformats.org/officeDocument/2006/relationships/hyperlink" Target="https://doi.org/10.1016/j.jclepro.2020.124474" TargetMode="External"/><Relationship Id="rId30" Type="http://schemas.openxmlformats.org/officeDocument/2006/relationships/hyperlink" Target="https://doi.org/10.1080/08911762.2019.1600094" TargetMode="External"/><Relationship Id="rId35" Type="http://schemas.openxmlformats.org/officeDocument/2006/relationships/hyperlink" Target="https://doi.org/10.1016/j.wasman.2020.05.043" TargetMode="External"/><Relationship Id="rId56" Type="http://schemas.openxmlformats.org/officeDocument/2006/relationships/hyperlink" Target="https://doi.org/10.1186/s40359-016-0135-2" TargetMode="External"/><Relationship Id="rId77" Type="http://schemas.openxmlformats.org/officeDocument/2006/relationships/hyperlink" Target="https://psycnet.apa.org/doi/10.1037/0022-3514.89.6.1010" TargetMode="External"/><Relationship Id="rId100" Type="http://schemas.openxmlformats.org/officeDocument/2006/relationships/hyperlink" Target="https://doi.org/10.1016%2Fj.ausmj.2011.04.004" TargetMode="External"/><Relationship Id="rId105" Type="http://schemas.openxmlformats.org/officeDocument/2006/relationships/footer" Target="footer1.xml"/><Relationship Id="rId8" Type="http://schemas.openxmlformats.org/officeDocument/2006/relationships/hyperlink" Target="https://doi.org/10.1002/bse.2284" TargetMode="External"/><Relationship Id="rId51" Type="http://schemas.openxmlformats.org/officeDocument/2006/relationships/hyperlink" Target="https://doi.org/10.1007/s10551-020-04628-9" TargetMode="External"/><Relationship Id="rId72" Type="http://schemas.openxmlformats.org/officeDocument/2006/relationships/hyperlink" Target="http://personality-project.org/r/psych-manual.pdf" TargetMode="External"/><Relationship Id="rId93" Type="http://schemas.openxmlformats.org/officeDocument/2006/relationships/hyperlink" Target="https://doi.org/10.1007/s12053-020-09901-4" TargetMode="External"/><Relationship Id="rId98" Type="http://schemas.openxmlformats.org/officeDocument/2006/relationships/hyperlink" Target="https://doi.org/10.1038/s41467-020-16941-y" TargetMode="External"/><Relationship Id="rId3" Type="http://schemas.openxmlformats.org/officeDocument/2006/relationships/styles" Target="styles.xml"/><Relationship Id="rId25" Type="http://schemas.openxmlformats.org/officeDocument/2006/relationships/hyperlink" Target="https://psycnet.apa.org/doi/10.4135/9781446218617.n5" TargetMode="External"/><Relationship Id="rId46" Type="http://schemas.openxmlformats.org/officeDocument/2006/relationships/hyperlink" Target="https://doi.org/10.1080/13527266.2017.1303623" TargetMode="External"/><Relationship Id="rId67" Type="http://schemas.openxmlformats.org/officeDocument/2006/relationships/hyperlink" Target="https://doi.org/10.3390/su12208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DC60-460B-412E-80EC-C68040AF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15212</Words>
  <Characters>86710</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101719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Czarnecka</dc:creator>
  <cp:lastModifiedBy>Comment</cp:lastModifiedBy>
  <cp:revision>5</cp:revision>
  <cp:lastPrinted>2021-04-12T15:42:00Z</cp:lastPrinted>
  <dcterms:created xsi:type="dcterms:W3CDTF">2021-08-02T22:10:00Z</dcterms:created>
  <dcterms:modified xsi:type="dcterms:W3CDTF">2021-08-04T22:42:00Z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http://csl.mendeley.com/styles/499535331/chicago-author-date</vt:lpwstr>
  </property>
  <property fmtid="{D5CDD505-2E9C-101B-9397-08002B2CF9AE}" pid="9" name="Mendeley Recent Style Name 3_1">
    <vt:lpwstr>Chicago Manual of Style - Journal of Brand Management</vt:lpwstr>
  </property>
  <property fmtid="{D5CDD505-2E9C-101B-9397-08002B2CF9AE}" pid="10" name="Mendeley Recent Style Id 4_1">
    <vt:lpwstr>http://csl.mendeley.com/styles/499535331/Chicago-JournalofBrandManagement</vt:lpwstr>
  </property>
  <property fmtid="{D5CDD505-2E9C-101B-9397-08002B2CF9AE}" pid="11" name="Mendeley Recent Style Name 4_1">
    <vt:lpwstr>Chicago Manual of Style - Journal of Brand Management - Bruno Schivinski, PhD</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http://csl.mendeley.com/styles/499535331/chicago-author-date-2</vt:lpwstr>
  </property>
  <property fmtid="{D5CDD505-2E9C-101B-9397-08002B2CF9AE}" pid="15" name="Mendeley Recent Style Name 6_1">
    <vt:lpwstr>Chicago Manual of Style 17th edition (author-date) - Bruno Schivinski, PhD</vt:lpwstr>
  </property>
  <property fmtid="{D5CDD505-2E9C-101B-9397-08002B2CF9AE}" pid="16" name="Mendeley Recent Style Id 7_1">
    <vt:lpwstr>http://www.zotero.org/styles/chicago-fullnote-bibliography</vt:lpwstr>
  </property>
  <property fmtid="{D5CDD505-2E9C-101B-9397-08002B2CF9AE}" pid="17" name="Mendeley Recent Style Name 7_1">
    <vt:lpwstr>Chicago Manual of Style 17th edition (full note)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http://www.zotero.org/styles/springer-socpsych-brackets</vt:lpwstr>
  </property>
  <property fmtid="{D5CDD505-2E9C-101B-9397-08002B2CF9AE}" pid="21" name="Mendeley Recent Style Name 9_1">
    <vt:lpwstr>Springer - SocPsych (numeric, brackets)</vt:lpwstr>
  </property>
</Properties>
</file>