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4F2F" w14:textId="1EA4B94B" w:rsidR="00B21FB7" w:rsidRPr="00B21FB7" w:rsidRDefault="00B21FB7" w:rsidP="00B21FB7">
      <w:pPr>
        <w:jc w:val="both"/>
        <w:rPr>
          <w:lang w:val="en-GB"/>
        </w:rPr>
      </w:pPr>
      <w:r w:rsidRPr="00B21FB7">
        <w:rPr>
          <w:lang w:val="en-GB"/>
        </w:rPr>
        <w:t>BOOK REVIEW:</w:t>
      </w:r>
      <w:r w:rsidR="00640249">
        <w:rPr>
          <w:lang w:val="en-GB"/>
        </w:rPr>
        <w:t xml:space="preserve"> </w:t>
      </w:r>
      <w:r w:rsidRPr="00B21FB7">
        <w:rPr>
          <w:lang w:val="en-GB"/>
        </w:rPr>
        <w:t>Power, Participation, and Private Regulatory Initiatives</w:t>
      </w:r>
      <w:r w:rsidR="00640249">
        <w:rPr>
          <w:lang w:val="en-GB"/>
        </w:rPr>
        <w:t xml:space="preserve">: </w:t>
      </w:r>
      <w:r w:rsidRPr="00B21FB7">
        <w:rPr>
          <w:lang w:val="en-GB"/>
        </w:rPr>
        <w:t>Human Rights Under Supply Chain Capitalism.</w:t>
      </w:r>
    </w:p>
    <w:p w14:paraId="68EA815C" w14:textId="0B3CC610" w:rsidR="00B21FB7" w:rsidRDefault="00B21FB7" w:rsidP="00B21FB7">
      <w:pPr>
        <w:jc w:val="both"/>
        <w:rPr>
          <w:lang w:val="en-GB"/>
        </w:rPr>
      </w:pPr>
      <w:r w:rsidRPr="00B21FB7">
        <w:rPr>
          <w:lang w:val="en-GB"/>
        </w:rPr>
        <w:t>Edited by Daniel Brinks, Julia Deh</w:t>
      </w:r>
      <w:r w:rsidR="008A36D9">
        <w:rPr>
          <w:lang w:val="en-GB"/>
        </w:rPr>
        <w:t>m</w:t>
      </w:r>
      <w:r w:rsidRPr="00B21FB7">
        <w:rPr>
          <w:lang w:val="en-GB"/>
        </w:rPr>
        <w:t>, Karen E</w:t>
      </w:r>
      <w:r w:rsidR="006F6CF8">
        <w:rPr>
          <w:lang w:val="en-GB"/>
        </w:rPr>
        <w:t>n</w:t>
      </w:r>
      <w:r w:rsidRPr="00B21FB7">
        <w:rPr>
          <w:lang w:val="en-GB"/>
        </w:rPr>
        <w:t>gle, and Kate Taylor.</w:t>
      </w:r>
    </w:p>
    <w:p w14:paraId="093A08C3" w14:textId="5C730A99" w:rsidR="009B5AD7" w:rsidRDefault="009B5AD7" w:rsidP="00B21FB7">
      <w:pPr>
        <w:jc w:val="both"/>
        <w:rPr>
          <w:lang w:val="en-GB"/>
        </w:rPr>
      </w:pPr>
      <w:r>
        <w:rPr>
          <w:lang w:val="en-GB"/>
        </w:rPr>
        <w:t>Review by Chris Okafor and David Birchall</w:t>
      </w:r>
    </w:p>
    <w:p w14:paraId="273DB593" w14:textId="77777777" w:rsidR="00B21FB7" w:rsidRPr="00B21FB7" w:rsidRDefault="00B21FB7" w:rsidP="00B21FB7">
      <w:pPr>
        <w:jc w:val="both"/>
        <w:rPr>
          <w:lang w:val="en-GB"/>
        </w:rPr>
      </w:pPr>
    </w:p>
    <w:p w14:paraId="42269194" w14:textId="222DD3B2" w:rsidR="00B21FB7" w:rsidRPr="00B21FB7" w:rsidRDefault="002B71A9" w:rsidP="00B21FB7">
      <w:pPr>
        <w:jc w:val="both"/>
        <w:rPr>
          <w:lang w:val="en-GB"/>
        </w:rPr>
      </w:pPr>
      <w:r>
        <w:rPr>
          <w:lang w:val="en-GB"/>
        </w:rPr>
        <w:t>As the field of business and human rights evolves</w:t>
      </w:r>
      <w:r w:rsidR="008D55DF">
        <w:rPr>
          <w:lang w:val="en-GB"/>
        </w:rPr>
        <w:t>,</w:t>
      </w:r>
      <w:r>
        <w:rPr>
          <w:lang w:val="en-GB"/>
        </w:rPr>
        <w:t xml:space="preserve"> it generates new questions and research areas. This </w:t>
      </w:r>
      <w:r w:rsidR="00640249">
        <w:rPr>
          <w:lang w:val="en-GB"/>
        </w:rPr>
        <w:t>incisive</w:t>
      </w:r>
      <w:r>
        <w:rPr>
          <w:lang w:val="en-GB"/>
        </w:rPr>
        <w:t xml:space="preserve"> book focuses on the role of the state and business in maintaining ‘the unequal distribution of resources and power in the global economy’ and on the potential of human rights to challenge this ‘global marketplace rooted in inequality’.</w:t>
      </w:r>
      <w:r w:rsidR="00B175AF" w:rsidRPr="174FB107">
        <w:rPr>
          <w:rStyle w:val="FootnoteReference"/>
          <w:sz w:val="20"/>
          <w:szCs w:val="20"/>
          <w:lang w:val="en-GB"/>
        </w:rPr>
        <w:footnoteReference w:id="1"/>
      </w:r>
      <w:r>
        <w:rPr>
          <w:lang w:val="en-GB"/>
        </w:rPr>
        <w:t xml:space="preserve"> </w:t>
      </w:r>
      <w:r w:rsidR="00A12B12">
        <w:rPr>
          <w:lang w:val="en-GB"/>
        </w:rPr>
        <w:t xml:space="preserve">It does so </w:t>
      </w:r>
      <w:r w:rsidR="00574D93">
        <w:rPr>
          <w:lang w:val="en-GB"/>
        </w:rPr>
        <w:t>through focus</w:t>
      </w:r>
      <w:r w:rsidR="00A12B12">
        <w:rPr>
          <w:lang w:val="en-GB"/>
        </w:rPr>
        <w:t xml:space="preserve"> on ‘supply chain capitalism’, defined as ‘global production and distribution [that is] organized through disaggregated, geographically dispersed supply chains’</w:t>
      </w:r>
      <w:r w:rsidR="000C6988" w:rsidRPr="174FB107">
        <w:rPr>
          <w:rStyle w:val="FootnoteReference"/>
          <w:sz w:val="20"/>
          <w:szCs w:val="20"/>
          <w:lang w:val="en-GB"/>
        </w:rPr>
        <w:footnoteReference w:id="2"/>
      </w:r>
      <w:r w:rsidR="00A12B12">
        <w:rPr>
          <w:lang w:val="en-GB"/>
        </w:rPr>
        <w:t xml:space="preserve"> and the new regulatory forms that have emerged in attempts to tame it. </w:t>
      </w:r>
      <w:r w:rsidR="009E61EC" w:rsidRPr="00F43352">
        <w:rPr>
          <w:lang w:val="en-GB"/>
        </w:rPr>
        <w:t>Although the general topic of private regulation initiatives (PRIs) within supply chains has been extensively studied, this book attempts something new in situating human rights-based regulat</w:t>
      </w:r>
      <w:r w:rsidR="00043BDA">
        <w:rPr>
          <w:lang w:val="en-GB"/>
        </w:rPr>
        <w:t>ion</w:t>
      </w:r>
      <w:r w:rsidR="00642948">
        <w:rPr>
          <w:lang w:val="en-GB"/>
        </w:rPr>
        <w:t xml:space="preserve"> </w:t>
      </w:r>
      <w:r w:rsidR="009E61EC" w:rsidRPr="00F43352">
        <w:rPr>
          <w:lang w:val="en-GB"/>
        </w:rPr>
        <w:t>in the context of the global political economy. It is well-known that PRIs, as voluntary initiatives that require business cooperation risk subservience to business, becoming decorative CSR projects that mask continued exploitation and business-as-usual.</w:t>
      </w:r>
      <w:r w:rsidR="00287311">
        <w:rPr>
          <w:lang w:val="en-GB"/>
        </w:rPr>
        <w:t xml:space="preserve"> This book attempts to explore the law, politics, and economics that unde</w:t>
      </w:r>
      <w:r w:rsidR="00510E2E">
        <w:rPr>
          <w:lang w:val="en-GB"/>
        </w:rPr>
        <w:t>rlie</w:t>
      </w:r>
      <w:r w:rsidR="00287311">
        <w:rPr>
          <w:lang w:val="en-GB"/>
        </w:rPr>
        <w:t xml:space="preserve"> this reality, and to use this to plot </w:t>
      </w:r>
      <w:r w:rsidR="000112D0">
        <w:rPr>
          <w:lang w:val="en-GB"/>
        </w:rPr>
        <w:t xml:space="preserve">strategic pathways forward. </w:t>
      </w:r>
      <w:r w:rsidR="00A12B12">
        <w:rPr>
          <w:lang w:val="en-GB"/>
        </w:rPr>
        <w:t>The book is organized</w:t>
      </w:r>
      <w:r w:rsidR="00CC267E">
        <w:rPr>
          <w:lang w:val="en-GB"/>
        </w:rPr>
        <w:t xml:space="preserve"> in four parts. Part 1 frames the discussion. Part 2 investigates multistakeholder initiatives</w:t>
      </w:r>
      <w:r w:rsidR="000E20CA">
        <w:rPr>
          <w:lang w:val="en-GB"/>
        </w:rPr>
        <w:t xml:space="preserve"> (MSIs)</w:t>
      </w:r>
      <w:r w:rsidR="00CC267E">
        <w:rPr>
          <w:lang w:val="en-GB"/>
        </w:rPr>
        <w:t>, and part 3 investigates worker-driven social responsibility</w:t>
      </w:r>
      <w:r w:rsidR="000E20CA">
        <w:rPr>
          <w:lang w:val="en-GB"/>
        </w:rPr>
        <w:t xml:space="preserve"> (WSR)</w:t>
      </w:r>
      <w:r w:rsidR="00CC267E">
        <w:rPr>
          <w:lang w:val="en-GB"/>
        </w:rPr>
        <w:t xml:space="preserve"> programs. Part 4 offers critical reflections on the field. </w:t>
      </w:r>
    </w:p>
    <w:p w14:paraId="382C36FE" w14:textId="6864A19E" w:rsidR="00B21FB7" w:rsidRPr="00B21FB7" w:rsidRDefault="003000E3" w:rsidP="00B21FB7">
      <w:pPr>
        <w:jc w:val="both"/>
        <w:rPr>
          <w:lang w:val="en-GB"/>
        </w:rPr>
      </w:pPr>
      <w:r w:rsidRPr="5BD81AC5">
        <w:rPr>
          <w:lang w:val="en-GB"/>
        </w:rPr>
        <w:t>Chapter 1 provides an editors</w:t>
      </w:r>
      <w:r w:rsidR="00A224DB" w:rsidRPr="5BD81AC5">
        <w:rPr>
          <w:lang w:val="en-GB"/>
        </w:rPr>
        <w:t>’</w:t>
      </w:r>
      <w:r w:rsidRPr="5BD81AC5">
        <w:rPr>
          <w:lang w:val="en-GB"/>
        </w:rPr>
        <w:t xml:space="preserve"> introduction and summarizes the key points of the book.</w:t>
      </w:r>
      <w:r w:rsidR="00BE786C" w:rsidRPr="5BD81AC5">
        <w:rPr>
          <w:lang w:val="en-GB"/>
        </w:rPr>
        <w:t xml:space="preserve"> In Chapter 2, </w:t>
      </w:r>
      <w:r w:rsidR="00A721AC" w:rsidRPr="5BD81AC5">
        <w:rPr>
          <w:lang w:val="en-GB"/>
        </w:rPr>
        <w:t xml:space="preserve">Justine </w:t>
      </w:r>
      <w:r w:rsidR="00BE786C" w:rsidRPr="5BD81AC5">
        <w:rPr>
          <w:lang w:val="en-GB"/>
        </w:rPr>
        <w:t>Nolan</w:t>
      </w:r>
      <w:r w:rsidR="000E20CA" w:rsidRPr="5BD81AC5">
        <w:rPr>
          <w:lang w:val="en-GB"/>
        </w:rPr>
        <w:t xml:space="preserve"> </w:t>
      </w:r>
      <w:r w:rsidR="4110B91B" w:rsidRPr="5BD81AC5">
        <w:rPr>
          <w:lang w:val="en-GB"/>
        </w:rPr>
        <w:t xml:space="preserve">offers </w:t>
      </w:r>
      <w:r w:rsidR="000E20CA" w:rsidRPr="5BD81AC5">
        <w:rPr>
          <w:lang w:val="en-GB"/>
        </w:rPr>
        <w:t xml:space="preserve">an overview of the role </w:t>
      </w:r>
      <w:r w:rsidR="002D2AD7" w:rsidRPr="5BD81AC5">
        <w:rPr>
          <w:lang w:val="en-GB"/>
        </w:rPr>
        <w:t>and history of MSIs</w:t>
      </w:r>
      <w:r w:rsidR="00AF28B8" w:rsidRPr="5BD81AC5">
        <w:rPr>
          <w:lang w:val="en-GB"/>
        </w:rPr>
        <w:t xml:space="preserve"> </w:t>
      </w:r>
      <w:r w:rsidR="005E45B8" w:rsidRPr="5BD81AC5">
        <w:rPr>
          <w:lang w:val="en-GB"/>
        </w:rPr>
        <w:t xml:space="preserve">in the context of public regulation and other strategies. She </w:t>
      </w:r>
      <w:r w:rsidR="001945C0" w:rsidRPr="5BD81AC5">
        <w:rPr>
          <w:lang w:val="en-GB"/>
        </w:rPr>
        <w:t>argues that to address the varied governance problems evidenced and constituted by supply chain capitalism</w:t>
      </w:r>
      <w:r w:rsidR="00F231A0" w:rsidRPr="5BD81AC5">
        <w:rPr>
          <w:lang w:val="en-GB"/>
        </w:rPr>
        <w:t>, some form of ‘synergistic governance’ is required</w:t>
      </w:r>
      <w:r w:rsidR="00C11696" w:rsidRPr="5BD81AC5">
        <w:rPr>
          <w:lang w:val="en-GB"/>
        </w:rPr>
        <w:t>, w</w:t>
      </w:r>
      <w:r w:rsidR="00C8691C" w:rsidRPr="5BD81AC5">
        <w:rPr>
          <w:lang w:val="en-GB"/>
        </w:rPr>
        <w:t xml:space="preserve">herein public, private and social </w:t>
      </w:r>
      <w:r w:rsidR="00C11696" w:rsidRPr="5BD81AC5">
        <w:rPr>
          <w:lang w:val="en-GB"/>
        </w:rPr>
        <w:t xml:space="preserve">strategies mutually reinforce one another. </w:t>
      </w:r>
      <w:r w:rsidR="00321110" w:rsidRPr="5BD81AC5">
        <w:rPr>
          <w:lang w:val="en-GB"/>
        </w:rPr>
        <w:t>This builds on a long history in regulation studies, including Ruggie’s ‘smart mix</w:t>
      </w:r>
      <w:r w:rsidR="00A74B1E" w:rsidRPr="5BD81AC5">
        <w:rPr>
          <w:lang w:val="en-GB"/>
        </w:rPr>
        <w:t xml:space="preserve">’ of regulation. </w:t>
      </w:r>
      <w:r w:rsidR="001D148C" w:rsidRPr="5BD81AC5">
        <w:rPr>
          <w:lang w:val="en-GB"/>
        </w:rPr>
        <w:t>Nolan appears hopeful that the combination of human rights due diligence and transparency laws, coupled with evolving private and social governance mechanisms</w:t>
      </w:r>
      <w:r w:rsidR="000278A1" w:rsidRPr="5BD81AC5">
        <w:rPr>
          <w:lang w:val="en-GB"/>
        </w:rPr>
        <w:t xml:space="preserve">, may ameliorate at least some harm within supply chains. </w:t>
      </w:r>
    </w:p>
    <w:p w14:paraId="1225CC8F" w14:textId="768F528C" w:rsidR="00B21FB7" w:rsidRPr="00B21FB7" w:rsidRDefault="00B21FB7" w:rsidP="174FB107">
      <w:pPr>
        <w:jc w:val="both"/>
        <w:rPr>
          <w:sz w:val="20"/>
          <w:szCs w:val="20"/>
          <w:lang w:val="en-GB"/>
        </w:rPr>
      </w:pPr>
      <w:r w:rsidRPr="00B21FB7">
        <w:rPr>
          <w:lang w:val="en-GB"/>
        </w:rPr>
        <w:t xml:space="preserve">In Chapter </w:t>
      </w:r>
      <w:r w:rsidR="5D468E35" w:rsidRPr="174FB107">
        <w:rPr>
          <w:lang w:val="en-GB"/>
        </w:rPr>
        <w:t>3</w:t>
      </w:r>
      <w:r w:rsidRPr="00B21FB7">
        <w:rPr>
          <w:lang w:val="en-GB"/>
        </w:rPr>
        <w:t xml:space="preserve">, Farai Maguwu </w:t>
      </w:r>
      <w:r w:rsidR="008E10C7">
        <w:rPr>
          <w:lang w:val="en-GB"/>
        </w:rPr>
        <w:t>critiques the</w:t>
      </w:r>
      <w:r w:rsidRPr="00B21FB7">
        <w:rPr>
          <w:lang w:val="en-GB"/>
        </w:rPr>
        <w:t xml:space="preserve"> Kimberley Process</w:t>
      </w:r>
      <w:r w:rsidR="008E10C7">
        <w:rPr>
          <w:lang w:val="en-GB"/>
        </w:rPr>
        <w:t xml:space="preserve"> (KP)</w:t>
      </w:r>
      <w:r w:rsidR="00D234A4">
        <w:rPr>
          <w:lang w:val="en-GB"/>
        </w:rPr>
        <w:t>, designed to eradicate</w:t>
      </w:r>
      <w:r w:rsidRPr="00B21FB7">
        <w:rPr>
          <w:lang w:val="en-GB"/>
        </w:rPr>
        <w:t xml:space="preserve"> </w:t>
      </w:r>
      <w:r w:rsidR="00D234A4">
        <w:rPr>
          <w:lang w:val="en-GB"/>
        </w:rPr>
        <w:t>‘c</w:t>
      </w:r>
      <w:r w:rsidRPr="00B21FB7">
        <w:rPr>
          <w:lang w:val="en-GB"/>
        </w:rPr>
        <w:t xml:space="preserve">onflict </w:t>
      </w:r>
      <w:r w:rsidR="00D234A4">
        <w:rPr>
          <w:lang w:val="en-GB"/>
        </w:rPr>
        <w:t>d</w:t>
      </w:r>
      <w:r w:rsidRPr="00B21FB7">
        <w:rPr>
          <w:lang w:val="en-GB"/>
        </w:rPr>
        <w:t>iamonds’</w:t>
      </w:r>
      <w:r w:rsidR="00D234A4">
        <w:rPr>
          <w:lang w:val="en-GB"/>
        </w:rPr>
        <w:t>. Maguwu</w:t>
      </w:r>
      <w:r w:rsidRPr="00B21FB7">
        <w:rPr>
          <w:lang w:val="en-GB"/>
        </w:rPr>
        <w:t xml:space="preserve"> argues that ‘KP was created by the government to ensure total control of the rough diamonds trade</w:t>
      </w:r>
      <w:r w:rsidR="00384FED">
        <w:rPr>
          <w:lang w:val="en-GB"/>
        </w:rPr>
        <w:t>’, not to protect human rights</w:t>
      </w:r>
      <w:r w:rsidRPr="00B21FB7">
        <w:rPr>
          <w:lang w:val="en-GB"/>
        </w:rPr>
        <w:t>.</w:t>
      </w:r>
      <w:r w:rsidRPr="174FB107">
        <w:rPr>
          <w:sz w:val="20"/>
          <w:szCs w:val="20"/>
          <w:vertAlign w:val="superscript"/>
          <w:lang w:val="en-GB"/>
        </w:rPr>
        <w:footnoteReference w:id="3"/>
      </w:r>
      <w:r w:rsidRPr="00B21FB7">
        <w:rPr>
          <w:lang w:val="en-GB"/>
        </w:rPr>
        <w:t xml:space="preserve"> The author narrates his work and personal experience in the chapter as a human rights activist </w:t>
      </w:r>
      <w:r w:rsidR="00A721AC">
        <w:rPr>
          <w:lang w:val="en-GB"/>
        </w:rPr>
        <w:t>in</w:t>
      </w:r>
      <w:r w:rsidRPr="00B21FB7">
        <w:rPr>
          <w:lang w:val="en-GB"/>
        </w:rPr>
        <w:t xml:space="preserve"> Zimbabwe and </w:t>
      </w:r>
      <w:r w:rsidR="00A721AC">
        <w:rPr>
          <w:lang w:val="en-GB"/>
        </w:rPr>
        <w:t>describes powerfully</w:t>
      </w:r>
      <w:r w:rsidRPr="00B21FB7">
        <w:rPr>
          <w:lang w:val="en-GB"/>
        </w:rPr>
        <w:t xml:space="preserve"> why diamonds mining has continued ‘to be a major cause of human rights abuses, which range from murder, torture, and rape to community displacement.</w:t>
      </w:r>
      <w:r w:rsidRPr="174FB107">
        <w:rPr>
          <w:sz w:val="20"/>
          <w:szCs w:val="20"/>
          <w:vertAlign w:val="superscript"/>
          <w:lang w:val="en-GB"/>
        </w:rPr>
        <w:footnoteReference w:id="4"/>
      </w:r>
    </w:p>
    <w:p w14:paraId="4F254C1C" w14:textId="77992607" w:rsidR="00B21FB7" w:rsidRPr="00B21FB7" w:rsidRDefault="003B145F" w:rsidP="00B21FB7">
      <w:pPr>
        <w:jc w:val="both"/>
        <w:rPr>
          <w:lang w:val="en-GB"/>
        </w:rPr>
      </w:pPr>
      <w:r>
        <w:rPr>
          <w:lang w:val="en-GB"/>
        </w:rPr>
        <w:t>In c</w:t>
      </w:r>
      <w:r w:rsidR="00B21FB7" w:rsidRPr="00B21FB7">
        <w:rPr>
          <w:lang w:val="en-GB"/>
        </w:rPr>
        <w:t xml:space="preserve">hapter </w:t>
      </w:r>
      <w:r w:rsidR="00564126">
        <w:rPr>
          <w:lang w:val="en-GB"/>
        </w:rPr>
        <w:t>4</w:t>
      </w:r>
      <w:r w:rsidR="00B21FB7" w:rsidRPr="00B21FB7">
        <w:rPr>
          <w:lang w:val="en-GB"/>
        </w:rPr>
        <w:t>, Marcus Colchester</w:t>
      </w:r>
      <w:r>
        <w:rPr>
          <w:lang w:val="en-GB"/>
        </w:rPr>
        <w:t>,</w:t>
      </w:r>
      <w:r w:rsidR="00B21FB7" w:rsidRPr="00B21FB7">
        <w:rPr>
          <w:lang w:val="en-GB"/>
        </w:rPr>
        <w:t xml:space="preserve"> </w:t>
      </w:r>
      <w:r>
        <w:rPr>
          <w:lang w:val="en-GB"/>
        </w:rPr>
        <w:t>analyses</w:t>
      </w:r>
      <w:r w:rsidR="00B21FB7" w:rsidRPr="00B21FB7">
        <w:rPr>
          <w:lang w:val="en-GB"/>
        </w:rPr>
        <w:t xml:space="preserve"> the Forest People Programme (FPP)</w:t>
      </w:r>
      <w:r>
        <w:rPr>
          <w:lang w:val="en-GB"/>
        </w:rPr>
        <w:t>, designed ‘to</w:t>
      </w:r>
      <w:r w:rsidR="00B21FB7" w:rsidRPr="00B21FB7">
        <w:rPr>
          <w:lang w:val="en-GB"/>
        </w:rPr>
        <w:t xml:space="preserve"> hold governments and corporations accountable for violations of the human rights of people </w:t>
      </w:r>
      <w:r w:rsidR="00B21FB7" w:rsidRPr="00B21FB7">
        <w:rPr>
          <w:lang w:val="en-GB"/>
        </w:rPr>
        <w:lastRenderedPageBreak/>
        <w:t>who live in the forest</w:t>
      </w:r>
      <w:r>
        <w:rPr>
          <w:lang w:val="en-GB"/>
        </w:rPr>
        <w:t>’</w:t>
      </w:r>
      <w:r w:rsidR="00B21FB7" w:rsidRPr="00B21FB7">
        <w:rPr>
          <w:lang w:val="en-GB"/>
        </w:rPr>
        <w:t>.</w:t>
      </w:r>
      <w:r w:rsidR="00B21FB7" w:rsidRPr="174FB107">
        <w:rPr>
          <w:sz w:val="20"/>
          <w:szCs w:val="20"/>
          <w:vertAlign w:val="superscript"/>
          <w:lang w:val="en-GB"/>
        </w:rPr>
        <w:footnoteReference w:id="5"/>
      </w:r>
      <w:r w:rsidR="00B21FB7" w:rsidRPr="00B21FB7">
        <w:rPr>
          <w:lang w:val="en-GB"/>
        </w:rPr>
        <w:t xml:space="preserve"> </w:t>
      </w:r>
      <w:r w:rsidR="006E292A">
        <w:rPr>
          <w:lang w:val="en-GB"/>
        </w:rPr>
        <w:t xml:space="preserve">Echoing Nolan’s concerns </w:t>
      </w:r>
      <w:r w:rsidR="005A79C4">
        <w:rPr>
          <w:lang w:val="en-GB"/>
        </w:rPr>
        <w:t xml:space="preserve">regarding uncoordinated regulation, </w:t>
      </w:r>
      <w:r w:rsidR="006E292A">
        <w:rPr>
          <w:lang w:val="en-GB"/>
        </w:rPr>
        <w:t>Colchester argues</w:t>
      </w:r>
      <w:r w:rsidR="00B21FB7" w:rsidRPr="00B21FB7">
        <w:rPr>
          <w:lang w:val="en-GB"/>
        </w:rPr>
        <w:t xml:space="preserve"> ‘that national laws, which do not uphold indigenous people’s rights, are in effect overriding the higher standards of these voluntary schemes</w:t>
      </w:r>
      <w:r w:rsidR="005A79C4">
        <w:rPr>
          <w:lang w:val="en-GB"/>
        </w:rPr>
        <w:t>’.</w:t>
      </w:r>
      <w:r w:rsidR="00B21FB7" w:rsidRPr="174FB107">
        <w:rPr>
          <w:sz w:val="20"/>
          <w:szCs w:val="20"/>
          <w:vertAlign w:val="superscript"/>
          <w:lang w:val="en-GB"/>
        </w:rPr>
        <w:footnoteReference w:id="6"/>
      </w:r>
      <w:r w:rsidR="00B21FB7" w:rsidRPr="00B21FB7">
        <w:rPr>
          <w:lang w:val="en-GB"/>
        </w:rPr>
        <w:t xml:space="preserve"> </w:t>
      </w:r>
      <w:r w:rsidR="004849F2">
        <w:rPr>
          <w:lang w:val="en-GB"/>
        </w:rPr>
        <w:t xml:space="preserve">Chapter </w:t>
      </w:r>
      <w:r w:rsidR="093BE25D" w:rsidRPr="174FB107">
        <w:rPr>
          <w:lang w:val="en-GB"/>
        </w:rPr>
        <w:t>5</w:t>
      </w:r>
      <w:r w:rsidR="00521B54">
        <w:rPr>
          <w:lang w:val="en-GB"/>
        </w:rPr>
        <w:t xml:space="preserve">, by </w:t>
      </w:r>
      <w:r w:rsidR="000934D9">
        <w:rPr>
          <w:lang w:val="en-GB"/>
        </w:rPr>
        <w:t xml:space="preserve">Charles </w:t>
      </w:r>
      <w:r w:rsidR="00521B54">
        <w:rPr>
          <w:lang w:val="en-GB"/>
        </w:rPr>
        <w:t xml:space="preserve">Hale and </w:t>
      </w:r>
      <w:r w:rsidR="000934D9">
        <w:rPr>
          <w:lang w:val="en-GB"/>
        </w:rPr>
        <w:t>Jos</w:t>
      </w:r>
      <w:r w:rsidR="00655F56" w:rsidRPr="00655F56">
        <w:t>é</w:t>
      </w:r>
      <w:r w:rsidR="000934D9">
        <w:rPr>
          <w:lang w:val="en-GB"/>
        </w:rPr>
        <w:t xml:space="preserve"> </w:t>
      </w:r>
      <w:r w:rsidR="00521B54">
        <w:rPr>
          <w:lang w:val="en-GB"/>
        </w:rPr>
        <w:t>Alwin,</w:t>
      </w:r>
      <w:r w:rsidR="004849F2">
        <w:rPr>
          <w:lang w:val="en-GB"/>
        </w:rPr>
        <w:t xml:space="preserve"> </w:t>
      </w:r>
      <w:r w:rsidR="00162C10">
        <w:rPr>
          <w:lang w:val="en-GB"/>
        </w:rPr>
        <w:t xml:space="preserve">analyses the Forest Stewardship Council (FSC) </w:t>
      </w:r>
      <w:r w:rsidR="00753F5A">
        <w:rPr>
          <w:lang w:val="en-GB"/>
        </w:rPr>
        <w:t xml:space="preserve">a certification </w:t>
      </w:r>
      <w:r w:rsidR="688E54F5" w:rsidRPr="174FB107">
        <w:rPr>
          <w:lang w:val="en-GB"/>
        </w:rPr>
        <w:t>Multi-stakeholder Initiative (</w:t>
      </w:r>
      <w:r w:rsidR="00753F5A">
        <w:rPr>
          <w:lang w:val="en-GB"/>
        </w:rPr>
        <w:t>MSI</w:t>
      </w:r>
      <w:r w:rsidR="2529824D" w:rsidRPr="174FB107">
        <w:rPr>
          <w:lang w:val="en-GB"/>
        </w:rPr>
        <w:t>)</w:t>
      </w:r>
      <w:r w:rsidR="00753F5A">
        <w:rPr>
          <w:lang w:val="en-GB"/>
        </w:rPr>
        <w:t xml:space="preserve"> for forest products</w:t>
      </w:r>
      <w:r w:rsidR="00D7230A">
        <w:rPr>
          <w:lang w:val="en-GB"/>
        </w:rPr>
        <w:t xml:space="preserve">, through a case study of the Mapuche People in Southern Chile. </w:t>
      </w:r>
      <w:r w:rsidR="00B10F3E">
        <w:rPr>
          <w:lang w:val="en-GB"/>
        </w:rPr>
        <w:t>Chapter 6, by G</w:t>
      </w:r>
      <w:r w:rsidR="00801401">
        <w:rPr>
          <w:lang w:val="en-GB"/>
        </w:rPr>
        <w:t xml:space="preserve">eisselle Monge, studies </w:t>
      </w:r>
      <w:r w:rsidR="00E67850">
        <w:rPr>
          <w:lang w:val="en-GB"/>
        </w:rPr>
        <w:t xml:space="preserve">another certification scheme, </w:t>
      </w:r>
      <w:r w:rsidR="00801401">
        <w:rPr>
          <w:lang w:val="en-GB"/>
        </w:rPr>
        <w:t>the Roundtable on Sustainable Palm Oil (RSPO)</w:t>
      </w:r>
      <w:r w:rsidR="00B55610">
        <w:rPr>
          <w:lang w:val="en-GB"/>
        </w:rPr>
        <w:t xml:space="preserve">, with a case study of Guatemala. </w:t>
      </w:r>
      <w:r w:rsidR="003D3907">
        <w:rPr>
          <w:lang w:val="en-GB"/>
        </w:rPr>
        <w:t>Both chapters on certification schemes voice serious doubts as to their efficacy</w:t>
      </w:r>
      <w:r w:rsidR="00F1571A">
        <w:rPr>
          <w:lang w:val="en-GB"/>
        </w:rPr>
        <w:t xml:space="preserve">. </w:t>
      </w:r>
      <w:r w:rsidR="00661048">
        <w:rPr>
          <w:lang w:val="en-GB"/>
        </w:rPr>
        <w:t>Alwin and Hale</w:t>
      </w:r>
      <w:r w:rsidR="000E45BD">
        <w:rPr>
          <w:lang w:val="en-GB"/>
        </w:rPr>
        <w:t xml:space="preserve">, like Colchester, note that overlapping rights regimes cause </w:t>
      </w:r>
      <w:r w:rsidR="006C35DC">
        <w:rPr>
          <w:lang w:val="en-GB"/>
        </w:rPr>
        <w:t>choice</w:t>
      </w:r>
      <w:r w:rsidR="00AC4480">
        <w:rPr>
          <w:lang w:val="en-GB"/>
        </w:rPr>
        <w:t xml:space="preserve">-of-regime </w:t>
      </w:r>
      <w:r w:rsidR="00FC08D8">
        <w:rPr>
          <w:lang w:val="en-GB"/>
        </w:rPr>
        <w:t>problems</w:t>
      </w:r>
      <w:r w:rsidR="0061320C">
        <w:rPr>
          <w:lang w:val="en-GB"/>
        </w:rPr>
        <w:t>,</w:t>
      </w:r>
      <w:r w:rsidR="0061320C" w:rsidRPr="174FB107">
        <w:rPr>
          <w:rStyle w:val="FootnoteReference"/>
          <w:sz w:val="20"/>
          <w:szCs w:val="20"/>
          <w:lang w:val="en-GB"/>
        </w:rPr>
        <w:footnoteReference w:id="7"/>
      </w:r>
      <w:r w:rsidR="007D5756">
        <w:rPr>
          <w:lang w:val="en-GB"/>
        </w:rPr>
        <w:t xml:space="preserve"> and that substantively, FSC-certified corporations have</w:t>
      </w:r>
      <w:r w:rsidR="000944BF">
        <w:rPr>
          <w:lang w:val="en-GB"/>
        </w:rPr>
        <w:t xml:space="preserve"> occupied ‘significant portions’ of Mapuche land.</w:t>
      </w:r>
      <w:r w:rsidR="0061320C" w:rsidRPr="174FB107">
        <w:rPr>
          <w:rStyle w:val="FootnoteReference"/>
          <w:sz w:val="20"/>
          <w:szCs w:val="20"/>
          <w:lang w:val="en-GB"/>
        </w:rPr>
        <w:footnoteReference w:id="8"/>
      </w:r>
      <w:r w:rsidR="000944BF" w:rsidRPr="174FB107">
        <w:rPr>
          <w:sz w:val="20"/>
          <w:szCs w:val="20"/>
          <w:lang w:val="en-GB"/>
        </w:rPr>
        <w:t xml:space="preserve"> </w:t>
      </w:r>
      <w:r w:rsidR="00F1571A">
        <w:rPr>
          <w:lang w:val="en-GB"/>
        </w:rPr>
        <w:t>Monge notes problems with the RSPO</w:t>
      </w:r>
      <w:r w:rsidR="00CB37B8">
        <w:rPr>
          <w:lang w:val="en-GB"/>
        </w:rPr>
        <w:t xml:space="preserve">, including that </w:t>
      </w:r>
      <w:r w:rsidR="00B13385">
        <w:rPr>
          <w:lang w:val="en-GB"/>
        </w:rPr>
        <w:t>‘continuous improvement’ leads to</w:t>
      </w:r>
      <w:r w:rsidR="00F1571A">
        <w:rPr>
          <w:lang w:val="en-GB"/>
        </w:rPr>
        <w:t xml:space="preserve"> </w:t>
      </w:r>
      <w:r w:rsidR="00CB37B8">
        <w:rPr>
          <w:lang w:val="en-GB"/>
        </w:rPr>
        <w:t>inclusivity trumping meaningful standards</w:t>
      </w:r>
      <w:r w:rsidR="00B13385">
        <w:rPr>
          <w:lang w:val="en-GB"/>
        </w:rPr>
        <w:t xml:space="preserve">; power asymmetries; </w:t>
      </w:r>
      <w:r w:rsidR="00BB3DF9">
        <w:rPr>
          <w:lang w:val="en-GB"/>
        </w:rPr>
        <w:t>and a lack of grievance procedures.</w:t>
      </w:r>
      <w:r w:rsidR="00530638" w:rsidRPr="174FB107">
        <w:rPr>
          <w:rStyle w:val="FootnoteReference"/>
          <w:sz w:val="20"/>
          <w:szCs w:val="20"/>
          <w:lang w:val="en-GB"/>
        </w:rPr>
        <w:footnoteReference w:id="9"/>
      </w:r>
      <w:r w:rsidR="00BB3DF9" w:rsidRPr="174FB107">
        <w:rPr>
          <w:sz w:val="20"/>
          <w:szCs w:val="20"/>
          <w:lang w:val="en-GB"/>
        </w:rPr>
        <w:t xml:space="preserve"> </w:t>
      </w:r>
    </w:p>
    <w:p w14:paraId="57531893" w14:textId="4EB724CE" w:rsidR="00B21FB7" w:rsidRDefault="000E51A6" w:rsidP="00B21FB7">
      <w:pPr>
        <w:jc w:val="both"/>
        <w:rPr>
          <w:lang w:val="en-GB"/>
        </w:rPr>
      </w:pPr>
      <w:r>
        <w:rPr>
          <w:lang w:val="en-GB"/>
        </w:rPr>
        <w:t>Chapters 7-9 cover</w:t>
      </w:r>
      <w:r w:rsidR="001C3C8D">
        <w:rPr>
          <w:lang w:val="en-GB"/>
        </w:rPr>
        <w:t xml:space="preserve"> </w:t>
      </w:r>
      <w:r w:rsidR="395E990F" w:rsidRPr="174FB107">
        <w:rPr>
          <w:lang w:val="en-GB"/>
        </w:rPr>
        <w:t>Worker-Driven Social Responsibility (</w:t>
      </w:r>
      <w:r w:rsidR="000C6988">
        <w:rPr>
          <w:lang w:val="en-GB"/>
        </w:rPr>
        <w:t>WSR</w:t>
      </w:r>
      <w:r w:rsidR="5A905898" w:rsidRPr="174FB107">
        <w:rPr>
          <w:lang w:val="en-GB"/>
        </w:rPr>
        <w:t>)</w:t>
      </w:r>
      <w:r w:rsidR="000C6988">
        <w:rPr>
          <w:lang w:val="en-GB"/>
        </w:rPr>
        <w:t xml:space="preserve"> programs,</w:t>
      </w:r>
      <w:r w:rsidR="001C3C8D">
        <w:rPr>
          <w:lang w:val="en-GB"/>
        </w:rPr>
        <w:t xml:space="preserve"> defining them as ‘attempts to redistribute power</w:t>
      </w:r>
      <w:r w:rsidR="00515CE4">
        <w:rPr>
          <w:lang w:val="en-GB"/>
        </w:rPr>
        <w:t>’</w:t>
      </w:r>
      <w:r w:rsidR="001C3C8D">
        <w:rPr>
          <w:lang w:val="en-GB"/>
        </w:rPr>
        <w:t xml:space="preserve">. Sellers </w:t>
      </w:r>
      <w:r w:rsidR="00A36EE6">
        <w:rPr>
          <w:lang w:val="en-GB"/>
        </w:rPr>
        <w:t>covers these programs generally</w:t>
      </w:r>
      <w:r w:rsidR="7024ECFA">
        <w:rPr>
          <w:lang w:val="en-GB"/>
        </w:rPr>
        <w:t xml:space="preserve"> and</w:t>
      </w:r>
      <w:r w:rsidR="00213F09">
        <w:rPr>
          <w:lang w:val="en-GB"/>
        </w:rPr>
        <w:t xml:space="preserve"> </w:t>
      </w:r>
      <w:r w:rsidR="0079625A">
        <w:rPr>
          <w:lang w:val="en-GB"/>
        </w:rPr>
        <w:t>defines WS</w:t>
      </w:r>
      <w:r w:rsidR="00DA27D8">
        <w:rPr>
          <w:lang w:val="en-GB"/>
        </w:rPr>
        <w:t xml:space="preserve">R programs according to six </w:t>
      </w:r>
      <w:r w:rsidR="00A2363F">
        <w:rPr>
          <w:lang w:val="en-GB"/>
        </w:rPr>
        <w:t>principles</w:t>
      </w:r>
      <w:r w:rsidR="00DA27D8">
        <w:rPr>
          <w:lang w:val="en-GB"/>
        </w:rPr>
        <w:t>: worker-driven</w:t>
      </w:r>
      <w:r w:rsidR="00515CE4">
        <w:rPr>
          <w:lang w:val="en-GB"/>
        </w:rPr>
        <w:t>;</w:t>
      </w:r>
      <w:r w:rsidR="00DA27D8">
        <w:rPr>
          <w:lang w:val="en-GB"/>
        </w:rPr>
        <w:t xml:space="preserve"> enforceable agreement</w:t>
      </w:r>
      <w:r w:rsidR="006802D7">
        <w:rPr>
          <w:lang w:val="en-GB"/>
        </w:rPr>
        <w:t>s with corporations</w:t>
      </w:r>
      <w:r w:rsidR="00515CE4">
        <w:rPr>
          <w:lang w:val="en-GB"/>
        </w:rPr>
        <w:t>;</w:t>
      </w:r>
      <w:r w:rsidR="006802D7">
        <w:rPr>
          <w:lang w:val="en-GB"/>
        </w:rPr>
        <w:t xml:space="preserve"> that mandate buyer assistance to suppliers to comply</w:t>
      </w:r>
      <w:r w:rsidR="00515CE4">
        <w:rPr>
          <w:lang w:val="en-GB"/>
        </w:rPr>
        <w:t>;</w:t>
      </w:r>
      <w:r w:rsidR="006802D7">
        <w:rPr>
          <w:lang w:val="en-GB"/>
        </w:rPr>
        <w:t xml:space="preserve"> </w:t>
      </w:r>
      <w:r w:rsidR="00C17E4A">
        <w:rPr>
          <w:lang w:val="en-GB"/>
        </w:rPr>
        <w:t>include consequences for non-compliance</w:t>
      </w:r>
      <w:r w:rsidR="00515CE4">
        <w:rPr>
          <w:lang w:val="en-GB"/>
        </w:rPr>
        <w:t>;</w:t>
      </w:r>
      <w:r w:rsidR="00C17E4A">
        <w:rPr>
          <w:lang w:val="en-GB"/>
        </w:rPr>
        <w:t xml:space="preserve"> improve workers’ lives</w:t>
      </w:r>
      <w:r w:rsidR="00515CE4">
        <w:rPr>
          <w:lang w:val="en-GB"/>
        </w:rPr>
        <w:t>’</w:t>
      </w:r>
      <w:r w:rsidR="00C17E4A">
        <w:rPr>
          <w:lang w:val="en-GB"/>
        </w:rPr>
        <w:t xml:space="preserve"> and use independent audits.</w:t>
      </w:r>
      <w:r w:rsidR="00935F6A" w:rsidRPr="174FB107">
        <w:rPr>
          <w:rStyle w:val="FootnoteReference"/>
          <w:sz w:val="20"/>
          <w:szCs w:val="20"/>
          <w:lang w:val="en-GB"/>
        </w:rPr>
        <w:footnoteReference w:id="10"/>
      </w:r>
      <w:r w:rsidR="00C17E4A">
        <w:rPr>
          <w:lang w:val="en-GB"/>
        </w:rPr>
        <w:t xml:space="preserve"> </w:t>
      </w:r>
      <w:r w:rsidR="000F6DF1">
        <w:rPr>
          <w:lang w:val="en-GB"/>
        </w:rPr>
        <w:t xml:space="preserve">Sellers </w:t>
      </w:r>
      <w:r w:rsidR="37E69E2D">
        <w:rPr>
          <w:lang w:val="en-GB"/>
        </w:rPr>
        <w:t xml:space="preserve">also </w:t>
      </w:r>
      <w:r w:rsidR="000F6DF1">
        <w:rPr>
          <w:lang w:val="en-GB"/>
        </w:rPr>
        <w:t xml:space="preserve">notes three main features of </w:t>
      </w:r>
      <w:r w:rsidR="002A6449">
        <w:rPr>
          <w:lang w:val="en-GB"/>
        </w:rPr>
        <w:t xml:space="preserve">sectors that will define whether WSR programs can succeed. These are: </w:t>
      </w:r>
      <w:r w:rsidR="01D39FB8">
        <w:rPr>
          <w:lang w:val="en-GB"/>
        </w:rPr>
        <w:t xml:space="preserve">the </w:t>
      </w:r>
      <w:r w:rsidR="002A6449">
        <w:rPr>
          <w:lang w:val="en-GB"/>
        </w:rPr>
        <w:t>nature of the problem</w:t>
      </w:r>
      <w:r w:rsidR="003D2EBF">
        <w:rPr>
          <w:lang w:val="en-GB"/>
        </w:rPr>
        <w:t xml:space="preserve">, for example, how feasible it is to document and audit abuses within </w:t>
      </w:r>
      <w:r w:rsidR="34E40D93">
        <w:rPr>
          <w:lang w:val="en-GB"/>
        </w:rPr>
        <w:t>a</w:t>
      </w:r>
      <w:r w:rsidR="003D2EBF">
        <w:rPr>
          <w:lang w:val="en-GB"/>
        </w:rPr>
        <w:t xml:space="preserve"> specific industry; </w:t>
      </w:r>
      <w:r w:rsidR="00372E7D">
        <w:rPr>
          <w:lang w:val="en-GB"/>
        </w:rPr>
        <w:t xml:space="preserve">the nature of the industry, particularly highlighting the importance of brand sensitivity; and the capacity of </w:t>
      </w:r>
      <w:r w:rsidR="00977A2E">
        <w:rPr>
          <w:lang w:val="en-GB"/>
        </w:rPr>
        <w:t>the worker organization</w:t>
      </w:r>
      <w:r w:rsidR="00426178">
        <w:rPr>
          <w:lang w:val="en-GB"/>
        </w:rPr>
        <w:t>.</w:t>
      </w:r>
      <w:r w:rsidR="00935F6A" w:rsidRPr="174FB107">
        <w:rPr>
          <w:rStyle w:val="FootnoteReference"/>
          <w:sz w:val="20"/>
          <w:szCs w:val="20"/>
          <w:lang w:val="en-GB"/>
        </w:rPr>
        <w:footnoteReference w:id="11"/>
      </w:r>
      <w:r w:rsidR="008678B7">
        <w:rPr>
          <w:lang w:val="en-GB"/>
        </w:rPr>
        <w:t xml:space="preserve"> </w:t>
      </w:r>
      <w:r w:rsidR="00C217C2">
        <w:rPr>
          <w:lang w:val="en-GB"/>
        </w:rPr>
        <w:t xml:space="preserve">Jessica </w:t>
      </w:r>
      <w:r w:rsidR="00426178">
        <w:rPr>
          <w:lang w:val="en-GB"/>
        </w:rPr>
        <w:t xml:space="preserve">Champagne </w:t>
      </w:r>
      <w:r w:rsidR="008678B7">
        <w:rPr>
          <w:lang w:val="en-GB"/>
        </w:rPr>
        <w:t xml:space="preserve">and </w:t>
      </w:r>
      <w:r w:rsidR="00C217C2">
        <w:rPr>
          <w:lang w:val="en-GB"/>
        </w:rPr>
        <w:t xml:space="preserve">Erika </w:t>
      </w:r>
      <w:r w:rsidR="008678B7">
        <w:rPr>
          <w:lang w:val="en-GB"/>
        </w:rPr>
        <w:t xml:space="preserve">George then discuss in </w:t>
      </w:r>
      <w:r w:rsidR="00417006">
        <w:rPr>
          <w:lang w:val="en-GB"/>
        </w:rPr>
        <w:t xml:space="preserve">detail the Bangladesh Accord and the Fair Food Program, respectively. Both speak favourably of their respective programs and note the mechanisms that allowed them to succeed in the context of the particular political economies. </w:t>
      </w:r>
    </w:p>
    <w:p w14:paraId="7283A625" w14:textId="59165F3B" w:rsidR="000E2B52" w:rsidRDefault="54DD17AA" w:rsidP="174FB107">
      <w:pPr>
        <w:jc w:val="both"/>
        <w:rPr>
          <w:lang w:val="en-GB"/>
        </w:rPr>
      </w:pPr>
      <w:r>
        <w:rPr>
          <w:lang w:val="en-GB"/>
        </w:rPr>
        <w:t xml:space="preserve">In Chapter 10, </w:t>
      </w:r>
      <w:r w:rsidR="00401C24">
        <w:rPr>
          <w:lang w:val="en-GB"/>
        </w:rPr>
        <w:t>James Brudney</w:t>
      </w:r>
      <w:r w:rsidR="006C46FC">
        <w:rPr>
          <w:lang w:val="en-GB"/>
        </w:rPr>
        <w:t xml:space="preserve"> begins the reflective final section </w:t>
      </w:r>
      <w:r w:rsidR="005D5EE5">
        <w:rPr>
          <w:lang w:val="en-GB"/>
        </w:rPr>
        <w:t xml:space="preserve">by assessing the findings of </w:t>
      </w:r>
      <w:r w:rsidR="007C5E8F">
        <w:rPr>
          <w:lang w:val="en-GB"/>
        </w:rPr>
        <w:t xml:space="preserve">three of </w:t>
      </w:r>
      <w:r w:rsidR="005D5EE5">
        <w:rPr>
          <w:lang w:val="en-GB"/>
        </w:rPr>
        <w:t>the substantive chapters.</w:t>
      </w:r>
      <w:r w:rsidR="00AA44E3">
        <w:rPr>
          <w:lang w:val="en-GB"/>
        </w:rPr>
        <w:t xml:space="preserve"> Brudney focuses on worker participation, </w:t>
      </w:r>
      <w:r w:rsidR="00C2791C">
        <w:rPr>
          <w:lang w:val="en-GB"/>
        </w:rPr>
        <w:t>monitoring, contract-based enforcement, and a funding mechanism to realise these aims. In Chapter 11, Dan</w:t>
      </w:r>
      <w:r w:rsidR="002E0DF4">
        <w:rPr>
          <w:lang w:val="en-GB"/>
        </w:rPr>
        <w:t xml:space="preserve"> </w:t>
      </w:r>
      <w:r w:rsidR="009D4129">
        <w:rPr>
          <w:lang w:val="en-GB"/>
        </w:rPr>
        <w:t xml:space="preserve">Danielson </w:t>
      </w:r>
      <w:r w:rsidR="00B65438">
        <w:rPr>
          <w:lang w:val="en-GB"/>
        </w:rPr>
        <w:t>nicely explicates the political economy of supply chain capitalism</w:t>
      </w:r>
      <w:r w:rsidR="00043BDA">
        <w:rPr>
          <w:lang w:val="en-GB"/>
        </w:rPr>
        <w:t>.</w:t>
      </w:r>
      <w:r w:rsidR="003A4C96" w:rsidRPr="174FB107">
        <w:rPr>
          <w:rStyle w:val="FootnoteReference"/>
          <w:sz w:val="20"/>
          <w:szCs w:val="20"/>
          <w:lang w:val="en-GB"/>
        </w:rPr>
        <w:footnoteReference w:id="12"/>
      </w:r>
      <w:r w:rsidR="71509D1F" w:rsidRPr="174FB107">
        <w:rPr>
          <w:rStyle w:val="FootnoteReference"/>
          <w:sz w:val="20"/>
          <w:szCs w:val="20"/>
          <w:lang w:val="en-GB"/>
        </w:rPr>
        <w:t xml:space="preserve"> </w:t>
      </w:r>
      <w:r w:rsidR="00043BDA">
        <w:rPr>
          <w:lang w:val="en-GB"/>
        </w:rPr>
        <w:t xml:space="preserve">With echoes of </w:t>
      </w:r>
      <w:r w:rsidR="4D59D01F" w:rsidRPr="174FB107">
        <w:rPr>
          <w:lang w:val="en-GB"/>
        </w:rPr>
        <w:t>Thomas Friedman’s notion of the ‘golden straitjacket’</w:t>
      </w:r>
      <w:r w:rsidR="00043BDA">
        <w:rPr>
          <w:lang w:val="en-GB"/>
        </w:rPr>
        <w:t>,</w:t>
      </w:r>
      <w:r w:rsidR="4D59D01F" w:rsidRPr="174FB107">
        <w:rPr>
          <w:lang w:val="en-GB"/>
        </w:rPr>
        <w:t xml:space="preserve"> </w:t>
      </w:r>
      <w:r w:rsidR="00043BDA">
        <w:rPr>
          <w:lang w:val="en-GB"/>
        </w:rPr>
        <w:t>Danielson highlights how market discipline neuters opportunities for progressive policy making at state and business level</w:t>
      </w:r>
      <w:r w:rsidR="00A5327E" w:rsidRPr="5BD81AC5">
        <w:rPr>
          <w:lang w:val="en-GB"/>
        </w:rPr>
        <w:t>s</w:t>
      </w:r>
      <w:r w:rsidR="00043BDA">
        <w:rPr>
          <w:lang w:val="en-GB"/>
        </w:rPr>
        <w:t xml:space="preserve">. </w:t>
      </w:r>
      <w:r w:rsidR="00A004CC">
        <w:rPr>
          <w:lang w:val="en-GB"/>
        </w:rPr>
        <w:t>Danielson</w:t>
      </w:r>
      <w:r w:rsidR="0073064A">
        <w:rPr>
          <w:lang w:val="en-GB"/>
        </w:rPr>
        <w:t xml:space="preserve"> also</w:t>
      </w:r>
      <w:r w:rsidR="00A004CC">
        <w:rPr>
          <w:lang w:val="en-GB"/>
        </w:rPr>
        <w:t xml:space="preserve"> highlights the challenges to human rights posed by private law (company law, tort, and contract</w:t>
      </w:r>
      <w:r w:rsidR="0069312D">
        <w:rPr>
          <w:rStyle w:val="FootnoteReference"/>
          <w:lang w:val="en-GB"/>
        </w:rPr>
        <w:footnoteReference w:id="13"/>
      </w:r>
      <w:r w:rsidR="0073064A">
        <w:rPr>
          <w:lang w:val="en-GB"/>
        </w:rPr>
        <w:t xml:space="preserve">. </w:t>
      </w:r>
      <w:r w:rsidR="00976CAC">
        <w:rPr>
          <w:lang w:val="en-GB"/>
        </w:rPr>
        <w:t xml:space="preserve">Danielson’s main argument is that by mapping the power relations, political economy, and myriad legal regimes that </w:t>
      </w:r>
      <w:r w:rsidR="00173ACB">
        <w:rPr>
          <w:lang w:val="en-GB"/>
        </w:rPr>
        <w:t xml:space="preserve">constitute supply chain capitalism, PRIs may find novel </w:t>
      </w:r>
      <w:r w:rsidR="00510E2E">
        <w:rPr>
          <w:lang w:val="en-GB"/>
        </w:rPr>
        <w:t xml:space="preserve">ways </w:t>
      </w:r>
      <w:r w:rsidR="00173ACB">
        <w:rPr>
          <w:lang w:val="en-GB"/>
        </w:rPr>
        <w:t xml:space="preserve">through which to </w:t>
      </w:r>
      <w:r w:rsidR="00043BDA">
        <w:rPr>
          <w:lang w:val="en-GB"/>
        </w:rPr>
        <w:t>create human rights respect within supply chains</w:t>
      </w:r>
      <w:r w:rsidR="00D40FE8">
        <w:rPr>
          <w:lang w:val="en-GB"/>
        </w:rPr>
        <w:t xml:space="preserve">. </w:t>
      </w:r>
      <w:r w:rsidR="000E2B52">
        <w:rPr>
          <w:lang w:val="en-GB"/>
        </w:rPr>
        <w:t>For example, supply chain capitalism is increasingly failing to deliver growth to the global south, and this economic reality can bolster human rights arguments for transformative change.</w:t>
      </w:r>
    </w:p>
    <w:p w14:paraId="13B32BA9" w14:textId="7B075FC6" w:rsidR="00F02D0A" w:rsidRDefault="00043BDA" w:rsidP="174FB107">
      <w:pPr>
        <w:jc w:val="both"/>
        <w:rPr>
          <w:lang w:val="en-GB"/>
        </w:rPr>
      </w:pPr>
      <w:r w:rsidRPr="00043BDA">
        <w:rPr>
          <w:lang w:val="en-GB"/>
        </w:rPr>
        <w:lastRenderedPageBreak/>
        <w:t xml:space="preserve">Danielson advocates that PRIs seek to ‘foster new conceptions of development, forms of political organization, and means of social provision’, to begin to overcome, rather than </w:t>
      </w:r>
      <w:r w:rsidR="000E2B52">
        <w:rPr>
          <w:lang w:val="en-GB"/>
        </w:rPr>
        <w:t xml:space="preserve">merely </w:t>
      </w:r>
      <w:r w:rsidRPr="00043BDA">
        <w:rPr>
          <w:lang w:val="en-GB"/>
        </w:rPr>
        <w:t>ameliorate, the harms of supply chain capitalism</w:t>
      </w:r>
      <w:r w:rsidR="0076502E">
        <w:rPr>
          <w:lang w:val="en-GB"/>
        </w:rPr>
        <w:t>.</w:t>
      </w:r>
      <w:r w:rsidR="00401C24" w:rsidRPr="174FB107">
        <w:rPr>
          <w:rStyle w:val="FootnoteReference"/>
          <w:sz w:val="20"/>
          <w:szCs w:val="20"/>
          <w:lang w:val="en-GB"/>
        </w:rPr>
        <w:footnoteReference w:id="14"/>
      </w:r>
      <w:r w:rsidR="0076502E" w:rsidRPr="174FB107">
        <w:rPr>
          <w:lang w:val="en-GB"/>
        </w:rPr>
        <w:t xml:space="preserve"> </w:t>
      </w:r>
    </w:p>
    <w:p w14:paraId="6FBD8215" w14:textId="1671C9FA" w:rsidR="008E4504" w:rsidRDefault="00C217C2" w:rsidP="008E4504">
      <w:pPr>
        <w:jc w:val="both"/>
      </w:pPr>
      <w:r>
        <w:rPr>
          <w:lang w:val="en-GB"/>
        </w:rPr>
        <w:t xml:space="preserve">Lauren </w:t>
      </w:r>
      <w:r w:rsidR="001D1A16">
        <w:rPr>
          <w:lang w:val="en-GB"/>
        </w:rPr>
        <w:t>Fielder</w:t>
      </w:r>
      <w:r w:rsidR="002E0DF4">
        <w:rPr>
          <w:lang w:val="en-GB"/>
        </w:rPr>
        <w:t>, in Chapter 12,</w:t>
      </w:r>
      <w:r w:rsidR="001D1A16">
        <w:rPr>
          <w:lang w:val="en-GB"/>
        </w:rPr>
        <w:t xml:space="preserve"> </w:t>
      </w:r>
      <w:r w:rsidR="002E0DF4">
        <w:rPr>
          <w:lang w:val="en-GB"/>
        </w:rPr>
        <w:t>explores</w:t>
      </w:r>
      <w:r w:rsidR="00260E93">
        <w:rPr>
          <w:lang w:val="en-GB"/>
        </w:rPr>
        <w:t xml:space="preserve"> the role of consumer protection laws </w:t>
      </w:r>
      <w:r w:rsidR="00525772">
        <w:rPr>
          <w:lang w:val="en-GB"/>
        </w:rPr>
        <w:t>as part of ‘creative litigation strategies’</w:t>
      </w:r>
      <w:r w:rsidR="00143FA6">
        <w:rPr>
          <w:lang w:val="en-GB"/>
        </w:rPr>
        <w:t>.</w:t>
      </w:r>
      <w:r w:rsidR="00143FA6" w:rsidRPr="174FB107">
        <w:rPr>
          <w:rStyle w:val="FootnoteReference"/>
          <w:sz w:val="20"/>
          <w:szCs w:val="20"/>
          <w:lang w:val="en-GB"/>
        </w:rPr>
        <w:footnoteReference w:id="15"/>
      </w:r>
      <w:r w:rsidR="001847AA">
        <w:rPr>
          <w:lang w:val="en-GB"/>
        </w:rPr>
        <w:t xml:space="preserve"> The chapter reviews both recent</w:t>
      </w:r>
      <w:r w:rsidR="004E739A">
        <w:rPr>
          <w:lang w:val="en-GB"/>
        </w:rPr>
        <w:t xml:space="preserve"> </w:t>
      </w:r>
      <w:r w:rsidR="001847AA">
        <w:rPr>
          <w:lang w:val="en-GB"/>
        </w:rPr>
        <w:t>disclosure</w:t>
      </w:r>
      <w:r w:rsidR="00256502">
        <w:rPr>
          <w:lang w:val="en-GB"/>
        </w:rPr>
        <w:t>-related</w:t>
      </w:r>
      <w:r w:rsidR="001847AA">
        <w:rPr>
          <w:lang w:val="en-GB"/>
        </w:rPr>
        <w:t xml:space="preserve"> laws and human rights-related judicial proceedings against businesses grounded in consumer protections laws. </w:t>
      </w:r>
      <w:r w:rsidR="00647B63">
        <w:rPr>
          <w:lang w:val="en-GB"/>
        </w:rPr>
        <w:t xml:space="preserve">The US case of </w:t>
      </w:r>
      <w:r w:rsidR="00C87110" w:rsidRPr="174FB107">
        <w:rPr>
          <w:i/>
          <w:iCs/>
          <w:lang w:val="en-GB"/>
        </w:rPr>
        <w:t>Kasky v Nike</w:t>
      </w:r>
      <w:r w:rsidR="00647B63">
        <w:rPr>
          <w:lang w:val="en-GB"/>
        </w:rPr>
        <w:t xml:space="preserve"> </w:t>
      </w:r>
      <w:r w:rsidR="009E038A">
        <w:rPr>
          <w:lang w:val="en-GB"/>
        </w:rPr>
        <w:t xml:space="preserve">is used to demonstrate the potential and pitfalls using existing consumer protection law. The case </w:t>
      </w:r>
      <w:r w:rsidR="00647B63">
        <w:rPr>
          <w:lang w:val="en-GB"/>
        </w:rPr>
        <w:t>alleged</w:t>
      </w:r>
      <w:r w:rsidR="00C87110">
        <w:rPr>
          <w:lang w:val="en-GB"/>
        </w:rPr>
        <w:t xml:space="preserve"> false and misleading commercial speech</w:t>
      </w:r>
      <w:r w:rsidR="00647B63">
        <w:rPr>
          <w:lang w:val="en-GB"/>
        </w:rPr>
        <w:t xml:space="preserve"> by Nike </w:t>
      </w:r>
      <w:r w:rsidR="00E05487">
        <w:rPr>
          <w:lang w:val="en-GB"/>
        </w:rPr>
        <w:t xml:space="preserve">regarding </w:t>
      </w:r>
      <w:r w:rsidR="00AF2017">
        <w:rPr>
          <w:lang w:val="en-GB"/>
        </w:rPr>
        <w:t xml:space="preserve">the human and labour rights standards </w:t>
      </w:r>
      <w:r w:rsidR="00943492">
        <w:rPr>
          <w:lang w:val="en-GB"/>
        </w:rPr>
        <w:t>in the manufacturing of Nike products</w:t>
      </w:r>
      <w:r w:rsidR="00187D27">
        <w:rPr>
          <w:lang w:val="en-GB"/>
        </w:rPr>
        <w:t xml:space="preserve">. </w:t>
      </w:r>
      <w:r w:rsidR="00256502">
        <w:rPr>
          <w:lang w:val="en-GB"/>
        </w:rPr>
        <w:t>Disclosure-related laws</w:t>
      </w:r>
      <w:r w:rsidR="00187D27">
        <w:rPr>
          <w:lang w:val="en-GB"/>
        </w:rPr>
        <w:t xml:space="preserve"> </w:t>
      </w:r>
      <w:r w:rsidR="00256502">
        <w:rPr>
          <w:lang w:val="en-GB"/>
        </w:rPr>
        <w:t xml:space="preserve">are </w:t>
      </w:r>
      <w:r w:rsidR="00187D27">
        <w:rPr>
          <w:lang w:val="en-GB"/>
        </w:rPr>
        <w:t xml:space="preserve">part of a wave of recent and forthcoming </w:t>
      </w:r>
      <w:r w:rsidR="00667830">
        <w:rPr>
          <w:lang w:val="en-GB"/>
        </w:rPr>
        <w:t>rules that culminate, for now, in mandatory human rights due diligence</w:t>
      </w:r>
      <w:r w:rsidR="00715BE7">
        <w:rPr>
          <w:lang w:val="en-GB"/>
        </w:rPr>
        <w:t xml:space="preserve">, </w:t>
      </w:r>
      <w:r w:rsidR="00592005">
        <w:rPr>
          <w:lang w:val="en-GB"/>
        </w:rPr>
        <w:t xml:space="preserve">including the French Duty of Vigilance Law and the forthcoming </w:t>
      </w:r>
      <w:r w:rsidR="008E4504">
        <w:rPr>
          <w:lang w:val="en-GB"/>
        </w:rPr>
        <w:t xml:space="preserve">EU </w:t>
      </w:r>
      <w:r w:rsidR="008E4504" w:rsidRPr="008E4504">
        <w:t>Directive on Corporate Sustainability Due Diligence</w:t>
      </w:r>
      <w:r w:rsidR="001D7363">
        <w:t xml:space="preserve">. Fielder notes that </w:t>
      </w:r>
      <w:r w:rsidR="629ECC64">
        <w:t xml:space="preserve">although </w:t>
      </w:r>
      <w:r w:rsidR="001D7363">
        <w:t xml:space="preserve">consumer </w:t>
      </w:r>
      <w:r w:rsidR="00441ABF">
        <w:t xml:space="preserve">law </w:t>
      </w:r>
      <w:r w:rsidR="4075938D">
        <w:t>is limited due to its focus</w:t>
      </w:r>
      <w:r w:rsidR="00441ABF">
        <w:t xml:space="preserve"> on harm suffered by misled consumers,</w:t>
      </w:r>
      <w:r w:rsidR="004D48AC">
        <w:t xml:space="preserve"> </w:t>
      </w:r>
      <w:r w:rsidR="336F107E">
        <w:t>rather than</w:t>
      </w:r>
      <w:r w:rsidR="00441ABF">
        <w:t xml:space="preserve"> on human rights violations</w:t>
      </w:r>
      <w:r w:rsidR="00742D05">
        <w:t>, the combination of disclosure</w:t>
      </w:r>
      <w:r w:rsidR="00361AA1">
        <w:t xml:space="preserve"> laws and the threat of litigation for false speech may</w:t>
      </w:r>
      <w:r w:rsidR="00A66364">
        <w:t xml:space="preserve"> </w:t>
      </w:r>
      <w:r w:rsidR="0011710E">
        <w:t>assist incremental improvements in rights protection.</w:t>
      </w:r>
      <w:r w:rsidR="00417E68" w:rsidRPr="174FB107">
        <w:rPr>
          <w:rStyle w:val="FootnoteReference"/>
          <w:sz w:val="20"/>
          <w:szCs w:val="20"/>
        </w:rPr>
        <w:footnoteReference w:id="16"/>
      </w:r>
      <w:r w:rsidR="0011710E">
        <w:t xml:space="preserve"> </w:t>
      </w:r>
    </w:p>
    <w:p w14:paraId="583E6345" w14:textId="7B560F84" w:rsidR="009A1C72" w:rsidRDefault="00B2109F" w:rsidP="008E4504">
      <w:pPr>
        <w:jc w:val="both"/>
      </w:pPr>
      <w:r>
        <w:t xml:space="preserve">Various authors note a range of limitations and harms within the PRI system. </w:t>
      </w:r>
      <w:r w:rsidR="00CB7573">
        <w:t>Ostensibly ‘m</w:t>
      </w:r>
      <w:r w:rsidR="00E85E07">
        <w:t>ultistakeholder</w:t>
      </w:r>
      <w:r w:rsidR="00CB7573">
        <w:t>’</w:t>
      </w:r>
      <w:r w:rsidR="00E85E07">
        <w:t xml:space="preserve"> structures obscure significant power imbalances</w:t>
      </w:r>
      <w:r w:rsidR="004E3BC2">
        <w:t xml:space="preserve"> within the</w:t>
      </w:r>
      <w:r w:rsidR="00B84BE1">
        <w:t>m</w:t>
      </w:r>
      <w:r w:rsidR="00E85E07">
        <w:t xml:space="preserve">, </w:t>
      </w:r>
      <w:r w:rsidR="00C93B31">
        <w:t xml:space="preserve">grievance mechanisms fail affected communities, and </w:t>
      </w:r>
      <w:r w:rsidR="00CB7573">
        <w:t>there is an overreliance on consumer</w:t>
      </w:r>
      <w:r w:rsidR="00684F27">
        <w:t xml:space="preserve">s, who face limited knowledge and competing pressures. </w:t>
      </w:r>
      <w:r w:rsidR="00D9459F">
        <w:t>PRIs can act as veneer</w:t>
      </w:r>
      <w:r w:rsidR="00B07B99">
        <w:t>s</w:t>
      </w:r>
      <w:r w:rsidR="00D9459F">
        <w:t xml:space="preserve"> </w:t>
      </w:r>
      <w:r w:rsidR="001E3E77">
        <w:t xml:space="preserve">that disguise </w:t>
      </w:r>
      <w:r w:rsidR="00294F80">
        <w:t>the reality of supply chain capitalism and reif</w:t>
      </w:r>
      <w:r w:rsidR="00B07B99">
        <w:t>y</w:t>
      </w:r>
      <w:r w:rsidR="00294F80">
        <w:t xml:space="preserve"> </w:t>
      </w:r>
      <w:r w:rsidR="00B07B99">
        <w:t xml:space="preserve">traditional power centres. </w:t>
      </w:r>
      <w:r w:rsidR="00885C53">
        <w:t>As is the perpetual refrain within human rights work</w:t>
      </w:r>
      <w:r w:rsidR="005B69C0">
        <w:t>, the argument that PRIs are perhaps capable of challenging the most egregious practices and human rights violations</w:t>
      </w:r>
      <w:r w:rsidR="6E68A66C">
        <w:t xml:space="preserve"> rings out the loudest</w:t>
      </w:r>
      <w:r w:rsidR="005B69C0">
        <w:t>,</w:t>
      </w:r>
      <w:r w:rsidR="392E4470">
        <w:t xml:space="preserve"> while</w:t>
      </w:r>
      <w:r w:rsidR="00021661">
        <w:t xml:space="preserve"> the </w:t>
      </w:r>
      <w:r w:rsidR="002C2039">
        <w:t>structures, the perpetuating of poverty, the profit, and the legal</w:t>
      </w:r>
      <w:r w:rsidR="00C4350B">
        <w:t xml:space="preserve">, corporate and political support that this structure </w:t>
      </w:r>
      <w:r w:rsidR="02F75B63">
        <w:t>benefits from are ignored</w:t>
      </w:r>
      <w:r w:rsidR="00C4350B">
        <w:t xml:space="preserve">. </w:t>
      </w:r>
      <w:r w:rsidR="5A0413AB">
        <w:t xml:space="preserve">Although </w:t>
      </w:r>
      <w:r w:rsidR="00185731">
        <w:t xml:space="preserve">worker-led programmes are seen more favourably, </w:t>
      </w:r>
      <w:r w:rsidR="00B359DA">
        <w:t xml:space="preserve">in terms of both process and result, it is noted that </w:t>
      </w:r>
      <w:r w:rsidR="000159F4">
        <w:t xml:space="preserve">they </w:t>
      </w:r>
      <w:r w:rsidR="001B2098">
        <w:t xml:space="preserve">face </w:t>
      </w:r>
      <w:r w:rsidR="00765AC2">
        <w:t>serious contingent barriers.</w:t>
      </w:r>
    </w:p>
    <w:p w14:paraId="3A59EB04" w14:textId="22E31172" w:rsidR="00F01867" w:rsidRPr="006D1020" w:rsidRDefault="000D155C" w:rsidP="000D155C">
      <w:pPr>
        <w:jc w:val="both"/>
        <w:rPr>
          <w:lang w:val="en-GB"/>
        </w:rPr>
      </w:pPr>
      <w:r>
        <w:t xml:space="preserve">The book is a useful contribution to business and human rights (BHR). The specific case studies shed light on disparate areas of the BHR landscape, and the discussion of PRIs and their limits is nuanced and fair. The major value of the book is in bringing together the normative aims of human rights with the practical reality of supply chain economics and governance, and, in so doing, opening new spaces for regulation and critique. </w:t>
      </w:r>
      <w:r w:rsidR="39568644">
        <w:t xml:space="preserve">The book spotlights </w:t>
      </w:r>
      <w:r w:rsidR="004A4329">
        <w:t xml:space="preserve">the intersecting pressures and conflicts faced by those attempting to transform, or even ameliorate, </w:t>
      </w:r>
      <w:r w:rsidR="00D264C9">
        <w:t xml:space="preserve">the harmful conditions of supply chain capitalism. </w:t>
      </w:r>
      <w:r w:rsidR="00F73036">
        <w:t xml:space="preserve">Worker and community empowerment </w:t>
      </w:r>
      <w:r w:rsidR="009A1C72">
        <w:t>is</w:t>
      </w:r>
      <w:r w:rsidR="001237C7">
        <w:t xml:space="preserve"> possible but rel</w:t>
      </w:r>
      <w:r w:rsidR="00F536B6">
        <w:t>ies</w:t>
      </w:r>
      <w:r w:rsidR="001237C7">
        <w:t xml:space="preserve"> on unusual preconditions. The law is </w:t>
      </w:r>
      <w:r w:rsidR="009A1C72">
        <w:t xml:space="preserve">a </w:t>
      </w:r>
      <w:r w:rsidR="007A011D">
        <w:t xml:space="preserve">source of </w:t>
      </w:r>
      <w:r w:rsidR="001C0D1E">
        <w:t>vulnerability and oppression, a</w:t>
      </w:r>
      <w:r w:rsidR="009A1C72">
        <w:t>s well as</w:t>
      </w:r>
      <w:r w:rsidR="001C0D1E">
        <w:t xml:space="preserve"> a necessary </w:t>
      </w:r>
      <w:r w:rsidR="008A0724">
        <w:t xml:space="preserve">tool of progress. </w:t>
      </w:r>
      <w:r w:rsidR="009A1C72">
        <w:t>U</w:t>
      </w:r>
      <w:r w:rsidR="0093118E">
        <w:t>ltimately, this book is about powe</w:t>
      </w:r>
      <w:r w:rsidR="12C6949B">
        <w:t>r</w:t>
      </w:r>
      <w:r w:rsidR="004A6940">
        <w:t xml:space="preserve">. </w:t>
      </w:r>
      <w:r w:rsidR="00031C22">
        <w:t xml:space="preserve">Currently, </w:t>
      </w:r>
      <w:r w:rsidR="00240A33">
        <w:t xml:space="preserve">a </w:t>
      </w:r>
      <w:r w:rsidR="00031C22">
        <w:t xml:space="preserve">small number of MNCs hold monopsony control over suppliers and exert significant influence over governments. </w:t>
      </w:r>
      <w:r w:rsidR="00E20387">
        <w:t xml:space="preserve">There </w:t>
      </w:r>
      <w:r w:rsidR="00B84BE1">
        <w:t>may be</w:t>
      </w:r>
      <w:r w:rsidR="00E20387">
        <w:t xml:space="preserve"> no level of </w:t>
      </w:r>
      <w:r w:rsidR="00031C22">
        <w:t xml:space="preserve">regulatory </w:t>
      </w:r>
      <w:r w:rsidR="00E20387">
        <w:t>sophistication that can overcome this reality</w:t>
      </w:r>
      <w:r w:rsidR="00DA3C01">
        <w:t>, though</w:t>
      </w:r>
      <w:r w:rsidR="00A74310">
        <w:t xml:space="preserve">, as this book demonstrates, there is value </w:t>
      </w:r>
      <w:r w:rsidR="00184880">
        <w:t>in trying, and victories can be won.</w:t>
      </w:r>
    </w:p>
    <w:sectPr w:rsidR="00F01867" w:rsidRPr="006D10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09FD8" w14:textId="77777777" w:rsidR="00E335D6" w:rsidRDefault="00E335D6" w:rsidP="00B21FB7">
      <w:pPr>
        <w:spacing w:after="0" w:line="240" w:lineRule="auto"/>
      </w:pPr>
      <w:r>
        <w:separator/>
      </w:r>
    </w:p>
  </w:endnote>
  <w:endnote w:type="continuationSeparator" w:id="0">
    <w:p w14:paraId="03B82A50" w14:textId="77777777" w:rsidR="00E335D6" w:rsidRDefault="00E335D6" w:rsidP="00B21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81770" w14:textId="77777777" w:rsidR="00E335D6" w:rsidRDefault="00E335D6" w:rsidP="00B21FB7">
      <w:pPr>
        <w:spacing w:after="0" w:line="240" w:lineRule="auto"/>
      </w:pPr>
      <w:r>
        <w:separator/>
      </w:r>
    </w:p>
  </w:footnote>
  <w:footnote w:type="continuationSeparator" w:id="0">
    <w:p w14:paraId="4DEF0D74" w14:textId="77777777" w:rsidR="00E335D6" w:rsidRDefault="00E335D6" w:rsidP="00B21FB7">
      <w:pPr>
        <w:spacing w:after="0" w:line="240" w:lineRule="auto"/>
      </w:pPr>
      <w:r>
        <w:continuationSeparator/>
      </w:r>
    </w:p>
  </w:footnote>
  <w:footnote w:id="1">
    <w:p w14:paraId="0EC5AC7B" w14:textId="1EE4CC5C" w:rsidR="00B175AF" w:rsidRDefault="00B175AF">
      <w:pPr>
        <w:pStyle w:val="FootnoteText"/>
      </w:pPr>
      <w:r>
        <w:rPr>
          <w:rStyle w:val="FootnoteReference"/>
        </w:rPr>
        <w:footnoteRef/>
      </w:r>
      <w:r>
        <w:t xml:space="preserve"> </w:t>
      </w:r>
      <w:r w:rsidR="008412BD" w:rsidRPr="008412BD">
        <w:t>Daniel Brinks</w:t>
      </w:r>
      <w:r w:rsidR="008412BD">
        <w:t>,</w:t>
      </w:r>
      <w:r w:rsidR="008412BD" w:rsidRPr="008412BD">
        <w:t xml:space="preserve"> Julia Dehm, Karen Engle, and Kate Taylor, eds. </w:t>
      </w:r>
      <w:r w:rsidR="008412BD" w:rsidRPr="008412BD">
        <w:rPr>
          <w:i/>
          <w:iCs/>
        </w:rPr>
        <w:t>Power, Participation, and Private Regulatory Initiatives: Human Rights under Supply Chain Capitalism</w:t>
      </w:r>
      <w:r w:rsidR="008412BD" w:rsidRPr="008412BD">
        <w:t>. University of Pennsylvania Press, 2021</w:t>
      </w:r>
      <w:r w:rsidR="008412BD">
        <w:t xml:space="preserve">, </w:t>
      </w:r>
      <w:r>
        <w:t>5-6</w:t>
      </w:r>
      <w:r w:rsidR="008412BD">
        <w:t>.</w:t>
      </w:r>
    </w:p>
  </w:footnote>
  <w:footnote w:id="2">
    <w:p w14:paraId="3C0D0E0B" w14:textId="4A80BB4A" w:rsidR="000C6988" w:rsidRDefault="000C6988">
      <w:pPr>
        <w:pStyle w:val="FootnoteText"/>
      </w:pPr>
      <w:r>
        <w:rPr>
          <w:rStyle w:val="FootnoteReference"/>
        </w:rPr>
        <w:footnoteRef/>
      </w:r>
      <w:r>
        <w:t xml:space="preserve"> Ibid. 3</w:t>
      </w:r>
    </w:p>
  </w:footnote>
  <w:footnote w:id="3">
    <w:p w14:paraId="06276FAC" w14:textId="77777777" w:rsidR="00B21FB7" w:rsidRDefault="00B21FB7" w:rsidP="00B21FB7">
      <w:pPr>
        <w:pStyle w:val="FootnoteText"/>
      </w:pPr>
      <w:r>
        <w:rPr>
          <w:rStyle w:val="FootnoteReference"/>
        </w:rPr>
        <w:footnoteRef/>
      </w:r>
      <w:r>
        <w:t xml:space="preserve"> Ibid p. 53</w:t>
      </w:r>
    </w:p>
  </w:footnote>
  <w:footnote w:id="4">
    <w:p w14:paraId="31F3D1D5" w14:textId="77777777" w:rsidR="00B21FB7" w:rsidRDefault="00B21FB7" w:rsidP="00B21FB7">
      <w:pPr>
        <w:pStyle w:val="FootnoteText"/>
      </w:pPr>
      <w:r>
        <w:rPr>
          <w:rStyle w:val="FootnoteReference"/>
        </w:rPr>
        <w:footnoteRef/>
      </w:r>
      <w:r>
        <w:t xml:space="preserve"> Ibid p. 54</w:t>
      </w:r>
    </w:p>
  </w:footnote>
  <w:footnote w:id="5">
    <w:p w14:paraId="1532C9BD" w14:textId="77777777" w:rsidR="00B21FB7" w:rsidRDefault="00B21FB7" w:rsidP="00B21FB7">
      <w:pPr>
        <w:pStyle w:val="FootnoteText"/>
      </w:pPr>
      <w:r>
        <w:rPr>
          <w:rStyle w:val="FootnoteReference"/>
        </w:rPr>
        <w:footnoteRef/>
      </w:r>
      <w:r>
        <w:t xml:space="preserve"> Ibid p. 74</w:t>
      </w:r>
    </w:p>
  </w:footnote>
  <w:footnote w:id="6">
    <w:p w14:paraId="58720C42" w14:textId="77777777" w:rsidR="00B21FB7" w:rsidRDefault="00B21FB7" w:rsidP="00B21FB7">
      <w:pPr>
        <w:pStyle w:val="FootnoteText"/>
      </w:pPr>
      <w:r>
        <w:rPr>
          <w:rStyle w:val="FootnoteReference"/>
        </w:rPr>
        <w:footnoteRef/>
      </w:r>
      <w:r>
        <w:t xml:space="preserve"> Ibid p. 75</w:t>
      </w:r>
    </w:p>
  </w:footnote>
  <w:footnote w:id="7">
    <w:p w14:paraId="10E58747" w14:textId="0AB4877A" w:rsidR="0061320C" w:rsidRDefault="0061320C">
      <w:pPr>
        <w:pStyle w:val="FootnoteText"/>
      </w:pPr>
      <w:r>
        <w:rPr>
          <w:rStyle w:val="FootnoteReference"/>
        </w:rPr>
        <w:footnoteRef/>
      </w:r>
      <w:r>
        <w:t xml:space="preserve"> Ibid p.107</w:t>
      </w:r>
    </w:p>
  </w:footnote>
  <w:footnote w:id="8">
    <w:p w14:paraId="65046424" w14:textId="396B87F6" w:rsidR="0061320C" w:rsidRDefault="0061320C">
      <w:pPr>
        <w:pStyle w:val="FootnoteText"/>
      </w:pPr>
      <w:r>
        <w:rPr>
          <w:rStyle w:val="FootnoteReference"/>
        </w:rPr>
        <w:footnoteRef/>
      </w:r>
      <w:r>
        <w:t xml:space="preserve"> Ibid. p. 102</w:t>
      </w:r>
    </w:p>
  </w:footnote>
  <w:footnote w:id="9">
    <w:p w14:paraId="15A61A7B" w14:textId="177551F2" w:rsidR="00530638" w:rsidRDefault="00530638">
      <w:pPr>
        <w:pStyle w:val="FootnoteText"/>
      </w:pPr>
      <w:r>
        <w:rPr>
          <w:rStyle w:val="FootnoteReference"/>
        </w:rPr>
        <w:footnoteRef/>
      </w:r>
      <w:r>
        <w:t xml:space="preserve"> Ibid. p. 134-5</w:t>
      </w:r>
    </w:p>
  </w:footnote>
  <w:footnote w:id="10">
    <w:p w14:paraId="284A59A3" w14:textId="704A1101" w:rsidR="00935F6A" w:rsidRDefault="00935F6A">
      <w:pPr>
        <w:pStyle w:val="FootnoteText"/>
      </w:pPr>
      <w:r>
        <w:rPr>
          <w:rStyle w:val="FootnoteReference"/>
        </w:rPr>
        <w:footnoteRef/>
      </w:r>
      <w:r>
        <w:t xml:space="preserve"> </w:t>
      </w:r>
      <w:r w:rsidR="003A4C96">
        <w:t>Ibid. p. 146-8</w:t>
      </w:r>
    </w:p>
  </w:footnote>
  <w:footnote w:id="11">
    <w:p w14:paraId="222090E8" w14:textId="452D266A" w:rsidR="00935F6A" w:rsidRDefault="00935F6A">
      <w:pPr>
        <w:pStyle w:val="FootnoteText"/>
      </w:pPr>
      <w:r>
        <w:rPr>
          <w:rStyle w:val="FootnoteReference"/>
        </w:rPr>
        <w:footnoteRef/>
      </w:r>
      <w:r>
        <w:t xml:space="preserve"> </w:t>
      </w:r>
      <w:r w:rsidR="003A4C96">
        <w:t>Ibid. p. 148-153</w:t>
      </w:r>
    </w:p>
  </w:footnote>
  <w:footnote w:id="12">
    <w:p w14:paraId="35FF2082" w14:textId="204F2619" w:rsidR="003A4C96" w:rsidRDefault="003A4C96">
      <w:pPr>
        <w:pStyle w:val="FootnoteText"/>
      </w:pPr>
      <w:r>
        <w:rPr>
          <w:rStyle w:val="FootnoteReference"/>
        </w:rPr>
        <w:footnoteRef/>
      </w:r>
      <w:r>
        <w:t xml:space="preserve"> Ibid. p. 227-234</w:t>
      </w:r>
    </w:p>
  </w:footnote>
  <w:footnote w:id="13">
    <w:p w14:paraId="0D32140C" w14:textId="1D967462" w:rsidR="0069312D" w:rsidRDefault="0069312D">
      <w:pPr>
        <w:pStyle w:val="FootnoteText"/>
      </w:pPr>
      <w:r>
        <w:rPr>
          <w:rStyle w:val="FootnoteReference"/>
        </w:rPr>
        <w:footnoteRef/>
      </w:r>
      <w:r>
        <w:t xml:space="preserve"> Ibid. p. 235</w:t>
      </w:r>
    </w:p>
  </w:footnote>
  <w:footnote w:id="14">
    <w:p w14:paraId="5A2E17F8" w14:textId="3E70FE83" w:rsidR="00143FA6" w:rsidRDefault="00143FA6">
      <w:pPr>
        <w:pStyle w:val="FootnoteText"/>
      </w:pPr>
      <w:r>
        <w:rPr>
          <w:rStyle w:val="FootnoteReference"/>
        </w:rPr>
        <w:footnoteRef/>
      </w:r>
      <w:r>
        <w:t xml:space="preserve"> Ibid. p. 240-1</w:t>
      </w:r>
    </w:p>
  </w:footnote>
  <w:footnote w:id="15">
    <w:p w14:paraId="1EB4AAA1" w14:textId="24ECC65E" w:rsidR="00143FA6" w:rsidRDefault="00143FA6">
      <w:pPr>
        <w:pStyle w:val="FootnoteText"/>
      </w:pPr>
      <w:r>
        <w:rPr>
          <w:rStyle w:val="FootnoteReference"/>
        </w:rPr>
        <w:footnoteRef/>
      </w:r>
      <w:r>
        <w:t xml:space="preserve"> Ibid. 242</w:t>
      </w:r>
    </w:p>
  </w:footnote>
  <w:footnote w:id="16">
    <w:p w14:paraId="2C9445A5" w14:textId="69C8839C" w:rsidR="00417E68" w:rsidRDefault="00417E68">
      <w:pPr>
        <w:pStyle w:val="FootnoteText"/>
      </w:pPr>
      <w:r>
        <w:rPr>
          <w:rStyle w:val="FootnoteReference"/>
        </w:rPr>
        <w:footnoteRef/>
      </w:r>
      <w:r>
        <w:rPr>
          <w:rStyle w:val="FootnoteReference"/>
        </w:rPr>
        <w:footnoteRef/>
      </w:r>
      <w:r>
        <w:t xml:space="preserve"> Ibid. 255-6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020"/>
    <w:rsid w:val="0000036E"/>
    <w:rsid w:val="000112D0"/>
    <w:rsid w:val="000159F4"/>
    <w:rsid w:val="00021661"/>
    <w:rsid w:val="00024234"/>
    <w:rsid w:val="000278A1"/>
    <w:rsid w:val="00031C22"/>
    <w:rsid w:val="00043BDA"/>
    <w:rsid w:val="000567EF"/>
    <w:rsid w:val="000925C9"/>
    <w:rsid w:val="000934D9"/>
    <w:rsid w:val="000944BF"/>
    <w:rsid w:val="000A330B"/>
    <w:rsid w:val="000A6DC6"/>
    <w:rsid w:val="000C668F"/>
    <w:rsid w:val="000C6988"/>
    <w:rsid w:val="000D155C"/>
    <w:rsid w:val="000D5460"/>
    <w:rsid w:val="000E20CA"/>
    <w:rsid w:val="000E2B52"/>
    <w:rsid w:val="000E45BD"/>
    <w:rsid w:val="000E5039"/>
    <w:rsid w:val="000E51A6"/>
    <w:rsid w:val="000F0A43"/>
    <w:rsid w:val="000F52A8"/>
    <w:rsid w:val="000F6DF1"/>
    <w:rsid w:val="00101B3E"/>
    <w:rsid w:val="0011710E"/>
    <w:rsid w:val="001237C7"/>
    <w:rsid w:val="00125B7C"/>
    <w:rsid w:val="001360A4"/>
    <w:rsid w:val="0014055B"/>
    <w:rsid w:val="00143FA6"/>
    <w:rsid w:val="00161814"/>
    <w:rsid w:val="00162C10"/>
    <w:rsid w:val="001659D3"/>
    <w:rsid w:val="00170D0B"/>
    <w:rsid w:val="00173ACB"/>
    <w:rsid w:val="001775FC"/>
    <w:rsid w:val="00177EF6"/>
    <w:rsid w:val="001847AA"/>
    <w:rsid w:val="00184880"/>
    <w:rsid w:val="00185731"/>
    <w:rsid w:val="00187D27"/>
    <w:rsid w:val="001945C0"/>
    <w:rsid w:val="00195543"/>
    <w:rsid w:val="001959F2"/>
    <w:rsid w:val="001B2098"/>
    <w:rsid w:val="001C0D1E"/>
    <w:rsid w:val="001C3C8D"/>
    <w:rsid w:val="001C4F8C"/>
    <w:rsid w:val="001D148C"/>
    <w:rsid w:val="001D1A16"/>
    <w:rsid w:val="001D7363"/>
    <w:rsid w:val="001E3E77"/>
    <w:rsid w:val="001F7D52"/>
    <w:rsid w:val="00202B70"/>
    <w:rsid w:val="00213F09"/>
    <w:rsid w:val="00214FAF"/>
    <w:rsid w:val="002376A4"/>
    <w:rsid w:val="00240A33"/>
    <w:rsid w:val="00252DC7"/>
    <w:rsid w:val="00256502"/>
    <w:rsid w:val="00260E93"/>
    <w:rsid w:val="002661A4"/>
    <w:rsid w:val="0027759A"/>
    <w:rsid w:val="00287311"/>
    <w:rsid w:val="00294713"/>
    <w:rsid w:val="00294F80"/>
    <w:rsid w:val="002A6449"/>
    <w:rsid w:val="002B71A9"/>
    <w:rsid w:val="002B7FC4"/>
    <w:rsid w:val="002C2039"/>
    <w:rsid w:val="002D2AD7"/>
    <w:rsid w:val="002D7ED7"/>
    <w:rsid w:val="002E0DF4"/>
    <w:rsid w:val="003000E3"/>
    <w:rsid w:val="00321110"/>
    <w:rsid w:val="003321F6"/>
    <w:rsid w:val="00361AA1"/>
    <w:rsid w:val="00372E7D"/>
    <w:rsid w:val="00384FED"/>
    <w:rsid w:val="003A4C96"/>
    <w:rsid w:val="003B145F"/>
    <w:rsid w:val="003C61AA"/>
    <w:rsid w:val="003D2EBF"/>
    <w:rsid w:val="003D3907"/>
    <w:rsid w:val="003E21C6"/>
    <w:rsid w:val="00401C24"/>
    <w:rsid w:val="00417006"/>
    <w:rsid w:val="00417E68"/>
    <w:rsid w:val="00426178"/>
    <w:rsid w:val="00441ABF"/>
    <w:rsid w:val="00452068"/>
    <w:rsid w:val="00454BFD"/>
    <w:rsid w:val="004615B4"/>
    <w:rsid w:val="00464643"/>
    <w:rsid w:val="00473305"/>
    <w:rsid w:val="004849F2"/>
    <w:rsid w:val="00495AF3"/>
    <w:rsid w:val="004A4329"/>
    <w:rsid w:val="004A6940"/>
    <w:rsid w:val="004B3E49"/>
    <w:rsid w:val="004D48AC"/>
    <w:rsid w:val="004E006B"/>
    <w:rsid w:val="004E3BC2"/>
    <w:rsid w:val="004E739A"/>
    <w:rsid w:val="00510E2E"/>
    <w:rsid w:val="00515CE4"/>
    <w:rsid w:val="00521B54"/>
    <w:rsid w:val="005256B2"/>
    <w:rsid w:val="00525772"/>
    <w:rsid w:val="00530638"/>
    <w:rsid w:val="00563B6D"/>
    <w:rsid w:val="00564126"/>
    <w:rsid w:val="00564F5F"/>
    <w:rsid w:val="00574D93"/>
    <w:rsid w:val="00592005"/>
    <w:rsid w:val="005A79C4"/>
    <w:rsid w:val="005B06E0"/>
    <w:rsid w:val="005B3319"/>
    <w:rsid w:val="005B69C0"/>
    <w:rsid w:val="005D5EE5"/>
    <w:rsid w:val="005E45B8"/>
    <w:rsid w:val="0061320C"/>
    <w:rsid w:val="00640249"/>
    <w:rsid w:val="00640E08"/>
    <w:rsid w:val="00642948"/>
    <w:rsid w:val="00647B63"/>
    <w:rsid w:val="00655F56"/>
    <w:rsid w:val="00661048"/>
    <w:rsid w:val="00666C64"/>
    <w:rsid w:val="00667830"/>
    <w:rsid w:val="00676C58"/>
    <w:rsid w:val="006802D7"/>
    <w:rsid w:val="00684F27"/>
    <w:rsid w:val="0069312D"/>
    <w:rsid w:val="006A5899"/>
    <w:rsid w:val="006C11B1"/>
    <w:rsid w:val="006C35DC"/>
    <w:rsid w:val="006C46FC"/>
    <w:rsid w:val="006D1020"/>
    <w:rsid w:val="006D5663"/>
    <w:rsid w:val="006E292A"/>
    <w:rsid w:val="006E3A7A"/>
    <w:rsid w:val="006F1703"/>
    <w:rsid w:val="006F6CF8"/>
    <w:rsid w:val="0071448C"/>
    <w:rsid w:val="00715BE7"/>
    <w:rsid w:val="00723867"/>
    <w:rsid w:val="00725039"/>
    <w:rsid w:val="0073064A"/>
    <w:rsid w:val="00742D05"/>
    <w:rsid w:val="00753F5A"/>
    <w:rsid w:val="00764299"/>
    <w:rsid w:val="0076502E"/>
    <w:rsid w:val="00765AC2"/>
    <w:rsid w:val="00792272"/>
    <w:rsid w:val="0079625A"/>
    <w:rsid w:val="007A011D"/>
    <w:rsid w:val="007B2655"/>
    <w:rsid w:val="007B5E74"/>
    <w:rsid w:val="007C1377"/>
    <w:rsid w:val="007C5623"/>
    <w:rsid w:val="007C5E8F"/>
    <w:rsid w:val="007D5756"/>
    <w:rsid w:val="007E04BA"/>
    <w:rsid w:val="007E4758"/>
    <w:rsid w:val="00801401"/>
    <w:rsid w:val="008077A8"/>
    <w:rsid w:val="00814BC8"/>
    <w:rsid w:val="00827DC8"/>
    <w:rsid w:val="008412BD"/>
    <w:rsid w:val="00841BED"/>
    <w:rsid w:val="0085162D"/>
    <w:rsid w:val="008678B7"/>
    <w:rsid w:val="00885C53"/>
    <w:rsid w:val="00891C90"/>
    <w:rsid w:val="00894189"/>
    <w:rsid w:val="008A0724"/>
    <w:rsid w:val="008A36D9"/>
    <w:rsid w:val="008B1DDC"/>
    <w:rsid w:val="008C07AF"/>
    <w:rsid w:val="008D4A61"/>
    <w:rsid w:val="008D55DF"/>
    <w:rsid w:val="008E10C7"/>
    <w:rsid w:val="008E248D"/>
    <w:rsid w:val="008E4504"/>
    <w:rsid w:val="008F12AA"/>
    <w:rsid w:val="00907492"/>
    <w:rsid w:val="00914EAD"/>
    <w:rsid w:val="00922A98"/>
    <w:rsid w:val="0093118E"/>
    <w:rsid w:val="009348F3"/>
    <w:rsid w:val="00934C5F"/>
    <w:rsid w:val="00935F6A"/>
    <w:rsid w:val="00941C59"/>
    <w:rsid w:val="00943492"/>
    <w:rsid w:val="0094409B"/>
    <w:rsid w:val="00950010"/>
    <w:rsid w:val="0095467B"/>
    <w:rsid w:val="0097529E"/>
    <w:rsid w:val="00976CAC"/>
    <w:rsid w:val="00977A2E"/>
    <w:rsid w:val="00990757"/>
    <w:rsid w:val="009A0D18"/>
    <w:rsid w:val="009A1C72"/>
    <w:rsid w:val="009A7EC8"/>
    <w:rsid w:val="009B5AD7"/>
    <w:rsid w:val="009D0B0C"/>
    <w:rsid w:val="009D1692"/>
    <w:rsid w:val="009D4129"/>
    <w:rsid w:val="009E038A"/>
    <w:rsid w:val="009E4A7F"/>
    <w:rsid w:val="009E61EC"/>
    <w:rsid w:val="00A004CC"/>
    <w:rsid w:val="00A11B51"/>
    <w:rsid w:val="00A12B12"/>
    <w:rsid w:val="00A224DB"/>
    <w:rsid w:val="00A2363F"/>
    <w:rsid w:val="00A36EE6"/>
    <w:rsid w:val="00A416BC"/>
    <w:rsid w:val="00A417BB"/>
    <w:rsid w:val="00A5327E"/>
    <w:rsid w:val="00A63E87"/>
    <w:rsid w:val="00A66364"/>
    <w:rsid w:val="00A721AC"/>
    <w:rsid w:val="00A74310"/>
    <w:rsid w:val="00A74B1E"/>
    <w:rsid w:val="00AA44E3"/>
    <w:rsid w:val="00AC4480"/>
    <w:rsid w:val="00AD1745"/>
    <w:rsid w:val="00AF2017"/>
    <w:rsid w:val="00AF28B8"/>
    <w:rsid w:val="00B07B99"/>
    <w:rsid w:val="00B10F3E"/>
    <w:rsid w:val="00B13385"/>
    <w:rsid w:val="00B175AF"/>
    <w:rsid w:val="00B2109F"/>
    <w:rsid w:val="00B21FB7"/>
    <w:rsid w:val="00B240E9"/>
    <w:rsid w:val="00B26FB0"/>
    <w:rsid w:val="00B32973"/>
    <w:rsid w:val="00B359DA"/>
    <w:rsid w:val="00B45FDB"/>
    <w:rsid w:val="00B50A88"/>
    <w:rsid w:val="00B55610"/>
    <w:rsid w:val="00B579B8"/>
    <w:rsid w:val="00B65438"/>
    <w:rsid w:val="00B84BE1"/>
    <w:rsid w:val="00BA6A09"/>
    <w:rsid w:val="00BB3DF9"/>
    <w:rsid w:val="00BD33E4"/>
    <w:rsid w:val="00BE786C"/>
    <w:rsid w:val="00C11696"/>
    <w:rsid w:val="00C17E4A"/>
    <w:rsid w:val="00C217C2"/>
    <w:rsid w:val="00C2791C"/>
    <w:rsid w:val="00C35810"/>
    <w:rsid w:val="00C4350B"/>
    <w:rsid w:val="00C4778B"/>
    <w:rsid w:val="00C82B6B"/>
    <w:rsid w:val="00C8691C"/>
    <w:rsid w:val="00C87110"/>
    <w:rsid w:val="00C905D4"/>
    <w:rsid w:val="00C93B31"/>
    <w:rsid w:val="00CB3497"/>
    <w:rsid w:val="00CB37B8"/>
    <w:rsid w:val="00CB7573"/>
    <w:rsid w:val="00CC267E"/>
    <w:rsid w:val="00CE44B3"/>
    <w:rsid w:val="00D04D30"/>
    <w:rsid w:val="00D05CF5"/>
    <w:rsid w:val="00D17754"/>
    <w:rsid w:val="00D234A4"/>
    <w:rsid w:val="00D264C9"/>
    <w:rsid w:val="00D40FE8"/>
    <w:rsid w:val="00D7230A"/>
    <w:rsid w:val="00D81701"/>
    <w:rsid w:val="00D84126"/>
    <w:rsid w:val="00D85ACC"/>
    <w:rsid w:val="00D9459F"/>
    <w:rsid w:val="00D952D9"/>
    <w:rsid w:val="00D97004"/>
    <w:rsid w:val="00D97885"/>
    <w:rsid w:val="00DA27D8"/>
    <w:rsid w:val="00DA3C01"/>
    <w:rsid w:val="00DD1F21"/>
    <w:rsid w:val="00DD636B"/>
    <w:rsid w:val="00DE54F2"/>
    <w:rsid w:val="00E05487"/>
    <w:rsid w:val="00E06897"/>
    <w:rsid w:val="00E13403"/>
    <w:rsid w:val="00E20387"/>
    <w:rsid w:val="00E230CF"/>
    <w:rsid w:val="00E335D6"/>
    <w:rsid w:val="00E33C4A"/>
    <w:rsid w:val="00E407B7"/>
    <w:rsid w:val="00E57E87"/>
    <w:rsid w:val="00E6133E"/>
    <w:rsid w:val="00E67850"/>
    <w:rsid w:val="00E81CD8"/>
    <w:rsid w:val="00E85E07"/>
    <w:rsid w:val="00EA5830"/>
    <w:rsid w:val="00ED2F67"/>
    <w:rsid w:val="00EE60CB"/>
    <w:rsid w:val="00F01867"/>
    <w:rsid w:val="00F02D0A"/>
    <w:rsid w:val="00F1571A"/>
    <w:rsid w:val="00F17FD8"/>
    <w:rsid w:val="00F231A0"/>
    <w:rsid w:val="00F25ECF"/>
    <w:rsid w:val="00F43306"/>
    <w:rsid w:val="00F43352"/>
    <w:rsid w:val="00F5195C"/>
    <w:rsid w:val="00F536B6"/>
    <w:rsid w:val="00F63280"/>
    <w:rsid w:val="00F70BCE"/>
    <w:rsid w:val="00F73036"/>
    <w:rsid w:val="00F92A2C"/>
    <w:rsid w:val="00FC08D8"/>
    <w:rsid w:val="00FC2D5D"/>
    <w:rsid w:val="00FD58D7"/>
    <w:rsid w:val="01D39FB8"/>
    <w:rsid w:val="02F75B63"/>
    <w:rsid w:val="03B669C7"/>
    <w:rsid w:val="0871AFA7"/>
    <w:rsid w:val="08D286AC"/>
    <w:rsid w:val="093BE25D"/>
    <w:rsid w:val="0A62B5AF"/>
    <w:rsid w:val="0EE0F12B"/>
    <w:rsid w:val="11FF6990"/>
    <w:rsid w:val="12C6949B"/>
    <w:rsid w:val="15370A52"/>
    <w:rsid w:val="174FB107"/>
    <w:rsid w:val="1915A0A2"/>
    <w:rsid w:val="1DCFE968"/>
    <w:rsid w:val="1F5BD536"/>
    <w:rsid w:val="1F6BB9C9"/>
    <w:rsid w:val="20E295EF"/>
    <w:rsid w:val="2353557F"/>
    <w:rsid w:val="2529824D"/>
    <w:rsid w:val="25DAFB4D"/>
    <w:rsid w:val="261D41D9"/>
    <w:rsid w:val="26BED9AD"/>
    <w:rsid w:val="2B924AD0"/>
    <w:rsid w:val="2BB2C453"/>
    <w:rsid w:val="2F2FDE6A"/>
    <w:rsid w:val="2FCEAAF8"/>
    <w:rsid w:val="3050AC4B"/>
    <w:rsid w:val="326A7476"/>
    <w:rsid w:val="336F107E"/>
    <w:rsid w:val="34E40D93"/>
    <w:rsid w:val="35F90C9D"/>
    <w:rsid w:val="36BFEDCF"/>
    <w:rsid w:val="3794DCFE"/>
    <w:rsid w:val="37E69E2D"/>
    <w:rsid w:val="385BBE30"/>
    <w:rsid w:val="392E4470"/>
    <w:rsid w:val="39568644"/>
    <w:rsid w:val="395E990F"/>
    <w:rsid w:val="4075938D"/>
    <w:rsid w:val="40B4E27F"/>
    <w:rsid w:val="4110B91B"/>
    <w:rsid w:val="4250B2E0"/>
    <w:rsid w:val="465BFDCC"/>
    <w:rsid w:val="4D59D01F"/>
    <w:rsid w:val="4E1FEDB3"/>
    <w:rsid w:val="501005BC"/>
    <w:rsid w:val="5285D6AE"/>
    <w:rsid w:val="54DD17AA"/>
    <w:rsid w:val="57F5285F"/>
    <w:rsid w:val="588DC740"/>
    <w:rsid w:val="5A0413AB"/>
    <w:rsid w:val="5A905898"/>
    <w:rsid w:val="5BD81AC5"/>
    <w:rsid w:val="5CDD3284"/>
    <w:rsid w:val="5D468E35"/>
    <w:rsid w:val="628F6ED3"/>
    <w:rsid w:val="629ECC64"/>
    <w:rsid w:val="63E41D36"/>
    <w:rsid w:val="6831EF5D"/>
    <w:rsid w:val="688E54F5"/>
    <w:rsid w:val="6E68A66C"/>
    <w:rsid w:val="7024ECFA"/>
    <w:rsid w:val="7141C545"/>
    <w:rsid w:val="71509D1F"/>
    <w:rsid w:val="770D039C"/>
    <w:rsid w:val="7A6D5755"/>
    <w:rsid w:val="7A71700A"/>
    <w:rsid w:val="7BF52390"/>
    <w:rsid w:val="7C0927B6"/>
    <w:rsid w:val="7D270F79"/>
    <w:rsid w:val="7DF41B9C"/>
    <w:rsid w:val="7E9F30A4"/>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420C9"/>
  <w15:chartTrackingRefBased/>
  <w15:docId w15:val="{D0B77ECC-CA4F-4845-8157-03254235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H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45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2"/>
    <w:basedOn w:val="Normal"/>
    <w:link w:val="FootnoteTextChar"/>
    <w:uiPriority w:val="99"/>
    <w:unhideWhenUsed/>
    <w:rsid w:val="000A330B"/>
    <w:pPr>
      <w:spacing w:after="0" w:line="240" w:lineRule="auto"/>
    </w:pPr>
    <w:rPr>
      <w:sz w:val="20"/>
      <w:szCs w:val="20"/>
    </w:rPr>
  </w:style>
  <w:style w:type="character" w:customStyle="1" w:styleId="FootnoteTextChar">
    <w:name w:val="Footnote Text Char"/>
    <w:aliases w:val="2 Char"/>
    <w:basedOn w:val="DefaultParagraphFont"/>
    <w:link w:val="FootnoteText"/>
    <w:uiPriority w:val="99"/>
    <w:rsid w:val="000A330B"/>
    <w:rPr>
      <w:sz w:val="20"/>
      <w:szCs w:val="20"/>
    </w:rPr>
  </w:style>
  <w:style w:type="character" w:styleId="Hyperlink">
    <w:name w:val="Hyperlink"/>
    <w:basedOn w:val="DefaultParagraphFont"/>
    <w:uiPriority w:val="99"/>
    <w:unhideWhenUsed/>
    <w:rsid w:val="00F01867"/>
    <w:rPr>
      <w:color w:val="0563C1" w:themeColor="hyperlink"/>
      <w:u w:val="single"/>
    </w:rPr>
  </w:style>
  <w:style w:type="character" w:styleId="UnresolvedMention">
    <w:name w:val="Unresolved Mention"/>
    <w:basedOn w:val="DefaultParagraphFont"/>
    <w:uiPriority w:val="99"/>
    <w:semiHidden/>
    <w:unhideWhenUsed/>
    <w:rsid w:val="00F01867"/>
    <w:rPr>
      <w:color w:val="605E5C"/>
      <w:shd w:val="clear" w:color="auto" w:fill="E1DFDD"/>
    </w:rPr>
  </w:style>
  <w:style w:type="character" w:customStyle="1" w:styleId="Heading1Char">
    <w:name w:val="Heading 1 Char"/>
    <w:basedOn w:val="DefaultParagraphFont"/>
    <w:link w:val="Heading1"/>
    <w:uiPriority w:val="9"/>
    <w:rsid w:val="008E4504"/>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B21FB7"/>
    <w:rPr>
      <w:rFonts w:cs="Times New Roman"/>
      <w:szCs w:val="24"/>
    </w:rPr>
  </w:style>
  <w:style w:type="character" w:styleId="FootnoteReference">
    <w:name w:val="footnote reference"/>
    <w:basedOn w:val="DefaultParagraphFont"/>
    <w:uiPriority w:val="99"/>
    <w:semiHidden/>
    <w:unhideWhenUsed/>
    <w:rsid w:val="00B21FB7"/>
    <w:rPr>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256B2"/>
    <w:rPr>
      <w:b/>
      <w:bCs/>
    </w:rPr>
  </w:style>
  <w:style w:type="character" w:customStyle="1" w:styleId="CommentSubjectChar">
    <w:name w:val="Comment Subject Char"/>
    <w:basedOn w:val="CommentTextChar"/>
    <w:link w:val="CommentSubject"/>
    <w:uiPriority w:val="99"/>
    <w:semiHidden/>
    <w:rsid w:val="005256B2"/>
    <w:rPr>
      <w:b/>
      <w:bCs/>
      <w:sz w:val="20"/>
      <w:szCs w:val="20"/>
    </w:rPr>
  </w:style>
  <w:style w:type="paragraph" w:styleId="Revision">
    <w:name w:val="Revision"/>
    <w:hidden/>
    <w:uiPriority w:val="99"/>
    <w:semiHidden/>
    <w:rsid w:val="00043B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2424">
      <w:bodyDiv w:val="1"/>
      <w:marLeft w:val="0"/>
      <w:marRight w:val="0"/>
      <w:marTop w:val="0"/>
      <w:marBottom w:val="0"/>
      <w:divBdr>
        <w:top w:val="none" w:sz="0" w:space="0" w:color="auto"/>
        <w:left w:val="none" w:sz="0" w:space="0" w:color="auto"/>
        <w:bottom w:val="none" w:sz="0" w:space="0" w:color="auto"/>
        <w:right w:val="none" w:sz="0" w:space="0" w:color="auto"/>
      </w:divBdr>
    </w:div>
    <w:div w:id="180316209">
      <w:bodyDiv w:val="1"/>
      <w:marLeft w:val="0"/>
      <w:marRight w:val="0"/>
      <w:marTop w:val="0"/>
      <w:marBottom w:val="0"/>
      <w:divBdr>
        <w:top w:val="none" w:sz="0" w:space="0" w:color="auto"/>
        <w:left w:val="none" w:sz="0" w:space="0" w:color="auto"/>
        <w:bottom w:val="none" w:sz="0" w:space="0" w:color="auto"/>
        <w:right w:val="none" w:sz="0" w:space="0" w:color="auto"/>
      </w:divBdr>
    </w:div>
    <w:div w:id="979267330">
      <w:bodyDiv w:val="1"/>
      <w:marLeft w:val="0"/>
      <w:marRight w:val="0"/>
      <w:marTop w:val="0"/>
      <w:marBottom w:val="0"/>
      <w:divBdr>
        <w:top w:val="none" w:sz="0" w:space="0" w:color="auto"/>
        <w:left w:val="none" w:sz="0" w:space="0" w:color="auto"/>
        <w:bottom w:val="none" w:sz="0" w:space="0" w:color="auto"/>
        <w:right w:val="none" w:sz="0" w:space="0" w:color="auto"/>
      </w:divBdr>
    </w:div>
    <w:div w:id="993727339">
      <w:bodyDiv w:val="1"/>
      <w:marLeft w:val="0"/>
      <w:marRight w:val="0"/>
      <w:marTop w:val="0"/>
      <w:marBottom w:val="0"/>
      <w:divBdr>
        <w:top w:val="none" w:sz="0" w:space="0" w:color="auto"/>
        <w:left w:val="none" w:sz="0" w:space="0" w:color="auto"/>
        <w:bottom w:val="none" w:sz="0" w:space="0" w:color="auto"/>
        <w:right w:val="none" w:sz="0" w:space="0" w:color="auto"/>
      </w:divBdr>
      <w:divsChild>
        <w:div w:id="997423606">
          <w:marLeft w:val="0"/>
          <w:marRight w:val="0"/>
          <w:marTop w:val="0"/>
          <w:marBottom w:val="0"/>
          <w:divBdr>
            <w:top w:val="none" w:sz="0" w:space="0" w:color="auto"/>
            <w:left w:val="none" w:sz="0" w:space="0" w:color="auto"/>
            <w:bottom w:val="none" w:sz="0" w:space="0" w:color="auto"/>
            <w:right w:val="none" w:sz="0" w:space="0" w:color="auto"/>
          </w:divBdr>
        </w:div>
        <w:div w:id="113326233">
          <w:marLeft w:val="0"/>
          <w:marRight w:val="0"/>
          <w:marTop w:val="0"/>
          <w:marBottom w:val="0"/>
          <w:divBdr>
            <w:top w:val="none" w:sz="0" w:space="0" w:color="auto"/>
            <w:left w:val="none" w:sz="0" w:space="0" w:color="auto"/>
            <w:bottom w:val="none" w:sz="0" w:space="0" w:color="auto"/>
            <w:right w:val="none" w:sz="0" w:space="0" w:color="auto"/>
          </w:divBdr>
        </w:div>
        <w:div w:id="1639065554">
          <w:marLeft w:val="0"/>
          <w:marRight w:val="0"/>
          <w:marTop w:val="0"/>
          <w:marBottom w:val="0"/>
          <w:divBdr>
            <w:top w:val="none" w:sz="0" w:space="0" w:color="auto"/>
            <w:left w:val="none" w:sz="0" w:space="0" w:color="auto"/>
            <w:bottom w:val="none" w:sz="0" w:space="0" w:color="auto"/>
            <w:right w:val="none" w:sz="0" w:space="0" w:color="auto"/>
          </w:divBdr>
        </w:div>
        <w:div w:id="844902478">
          <w:marLeft w:val="0"/>
          <w:marRight w:val="0"/>
          <w:marTop w:val="0"/>
          <w:marBottom w:val="0"/>
          <w:divBdr>
            <w:top w:val="none" w:sz="0" w:space="0" w:color="auto"/>
            <w:left w:val="none" w:sz="0" w:space="0" w:color="auto"/>
            <w:bottom w:val="none" w:sz="0" w:space="0" w:color="auto"/>
            <w:right w:val="none" w:sz="0" w:space="0" w:color="auto"/>
          </w:divBdr>
        </w:div>
        <w:div w:id="734663023">
          <w:marLeft w:val="0"/>
          <w:marRight w:val="0"/>
          <w:marTop w:val="0"/>
          <w:marBottom w:val="0"/>
          <w:divBdr>
            <w:top w:val="none" w:sz="0" w:space="0" w:color="auto"/>
            <w:left w:val="none" w:sz="0" w:space="0" w:color="auto"/>
            <w:bottom w:val="none" w:sz="0" w:space="0" w:color="auto"/>
            <w:right w:val="none" w:sz="0" w:space="0" w:color="auto"/>
          </w:divBdr>
        </w:div>
        <w:div w:id="1351759800">
          <w:marLeft w:val="0"/>
          <w:marRight w:val="0"/>
          <w:marTop w:val="0"/>
          <w:marBottom w:val="0"/>
          <w:divBdr>
            <w:top w:val="none" w:sz="0" w:space="0" w:color="auto"/>
            <w:left w:val="none" w:sz="0" w:space="0" w:color="auto"/>
            <w:bottom w:val="none" w:sz="0" w:space="0" w:color="auto"/>
            <w:right w:val="none" w:sz="0" w:space="0" w:color="auto"/>
          </w:divBdr>
        </w:div>
        <w:div w:id="653948225">
          <w:marLeft w:val="0"/>
          <w:marRight w:val="0"/>
          <w:marTop w:val="0"/>
          <w:marBottom w:val="0"/>
          <w:divBdr>
            <w:top w:val="none" w:sz="0" w:space="0" w:color="auto"/>
            <w:left w:val="none" w:sz="0" w:space="0" w:color="auto"/>
            <w:bottom w:val="none" w:sz="0" w:space="0" w:color="auto"/>
            <w:right w:val="none" w:sz="0" w:space="0" w:color="auto"/>
          </w:divBdr>
        </w:div>
        <w:div w:id="1658416567">
          <w:marLeft w:val="0"/>
          <w:marRight w:val="0"/>
          <w:marTop w:val="0"/>
          <w:marBottom w:val="0"/>
          <w:divBdr>
            <w:top w:val="none" w:sz="0" w:space="0" w:color="auto"/>
            <w:left w:val="none" w:sz="0" w:space="0" w:color="auto"/>
            <w:bottom w:val="none" w:sz="0" w:space="0" w:color="auto"/>
            <w:right w:val="none" w:sz="0" w:space="0" w:color="auto"/>
          </w:divBdr>
        </w:div>
        <w:div w:id="765152453">
          <w:marLeft w:val="0"/>
          <w:marRight w:val="0"/>
          <w:marTop w:val="0"/>
          <w:marBottom w:val="0"/>
          <w:divBdr>
            <w:top w:val="none" w:sz="0" w:space="0" w:color="auto"/>
            <w:left w:val="none" w:sz="0" w:space="0" w:color="auto"/>
            <w:bottom w:val="none" w:sz="0" w:space="0" w:color="auto"/>
            <w:right w:val="none" w:sz="0" w:space="0" w:color="auto"/>
          </w:divBdr>
        </w:div>
      </w:divsChild>
    </w:div>
    <w:div w:id="1602640085">
      <w:bodyDiv w:val="1"/>
      <w:marLeft w:val="0"/>
      <w:marRight w:val="0"/>
      <w:marTop w:val="0"/>
      <w:marBottom w:val="0"/>
      <w:divBdr>
        <w:top w:val="none" w:sz="0" w:space="0" w:color="auto"/>
        <w:left w:val="none" w:sz="0" w:space="0" w:color="auto"/>
        <w:bottom w:val="none" w:sz="0" w:space="0" w:color="auto"/>
        <w:right w:val="none" w:sz="0" w:space="0" w:color="auto"/>
      </w:divBdr>
    </w:div>
    <w:div w:id="1689066739">
      <w:bodyDiv w:val="1"/>
      <w:marLeft w:val="0"/>
      <w:marRight w:val="0"/>
      <w:marTop w:val="0"/>
      <w:marBottom w:val="0"/>
      <w:divBdr>
        <w:top w:val="none" w:sz="0" w:space="0" w:color="auto"/>
        <w:left w:val="none" w:sz="0" w:space="0" w:color="auto"/>
        <w:bottom w:val="none" w:sz="0" w:space="0" w:color="auto"/>
        <w:right w:val="none" w:sz="0" w:space="0" w:color="auto"/>
      </w:divBdr>
      <w:divsChild>
        <w:div w:id="1228997888">
          <w:marLeft w:val="0"/>
          <w:marRight w:val="0"/>
          <w:marTop w:val="0"/>
          <w:marBottom w:val="0"/>
          <w:divBdr>
            <w:top w:val="none" w:sz="0" w:space="0" w:color="auto"/>
            <w:left w:val="none" w:sz="0" w:space="0" w:color="auto"/>
            <w:bottom w:val="none" w:sz="0" w:space="0" w:color="auto"/>
            <w:right w:val="none" w:sz="0" w:space="0" w:color="auto"/>
          </w:divBdr>
        </w:div>
        <w:div w:id="1285498813">
          <w:marLeft w:val="0"/>
          <w:marRight w:val="0"/>
          <w:marTop w:val="0"/>
          <w:marBottom w:val="0"/>
          <w:divBdr>
            <w:top w:val="none" w:sz="0" w:space="0" w:color="auto"/>
            <w:left w:val="none" w:sz="0" w:space="0" w:color="auto"/>
            <w:bottom w:val="none" w:sz="0" w:space="0" w:color="auto"/>
            <w:right w:val="none" w:sz="0" w:space="0" w:color="auto"/>
          </w:divBdr>
        </w:div>
        <w:div w:id="282536873">
          <w:marLeft w:val="0"/>
          <w:marRight w:val="0"/>
          <w:marTop w:val="0"/>
          <w:marBottom w:val="0"/>
          <w:divBdr>
            <w:top w:val="none" w:sz="0" w:space="0" w:color="auto"/>
            <w:left w:val="none" w:sz="0" w:space="0" w:color="auto"/>
            <w:bottom w:val="none" w:sz="0" w:space="0" w:color="auto"/>
            <w:right w:val="none" w:sz="0" w:space="0" w:color="auto"/>
          </w:divBdr>
        </w:div>
        <w:div w:id="216472205">
          <w:marLeft w:val="0"/>
          <w:marRight w:val="0"/>
          <w:marTop w:val="0"/>
          <w:marBottom w:val="0"/>
          <w:divBdr>
            <w:top w:val="none" w:sz="0" w:space="0" w:color="auto"/>
            <w:left w:val="none" w:sz="0" w:space="0" w:color="auto"/>
            <w:bottom w:val="none" w:sz="0" w:space="0" w:color="auto"/>
            <w:right w:val="none" w:sz="0" w:space="0" w:color="auto"/>
          </w:divBdr>
        </w:div>
        <w:div w:id="712003450">
          <w:marLeft w:val="0"/>
          <w:marRight w:val="0"/>
          <w:marTop w:val="0"/>
          <w:marBottom w:val="0"/>
          <w:divBdr>
            <w:top w:val="none" w:sz="0" w:space="0" w:color="auto"/>
            <w:left w:val="none" w:sz="0" w:space="0" w:color="auto"/>
            <w:bottom w:val="none" w:sz="0" w:space="0" w:color="auto"/>
            <w:right w:val="none" w:sz="0" w:space="0" w:color="auto"/>
          </w:divBdr>
        </w:div>
        <w:div w:id="399405857">
          <w:marLeft w:val="0"/>
          <w:marRight w:val="0"/>
          <w:marTop w:val="0"/>
          <w:marBottom w:val="0"/>
          <w:divBdr>
            <w:top w:val="none" w:sz="0" w:space="0" w:color="auto"/>
            <w:left w:val="none" w:sz="0" w:space="0" w:color="auto"/>
            <w:bottom w:val="none" w:sz="0" w:space="0" w:color="auto"/>
            <w:right w:val="none" w:sz="0" w:space="0" w:color="auto"/>
          </w:divBdr>
        </w:div>
        <w:div w:id="1369335790">
          <w:marLeft w:val="0"/>
          <w:marRight w:val="0"/>
          <w:marTop w:val="0"/>
          <w:marBottom w:val="0"/>
          <w:divBdr>
            <w:top w:val="none" w:sz="0" w:space="0" w:color="auto"/>
            <w:left w:val="none" w:sz="0" w:space="0" w:color="auto"/>
            <w:bottom w:val="none" w:sz="0" w:space="0" w:color="auto"/>
            <w:right w:val="none" w:sz="0" w:space="0" w:color="auto"/>
          </w:divBdr>
        </w:div>
        <w:div w:id="1028679539">
          <w:marLeft w:val="0"/>
          <w:marRight w:val="0"/>
          <w:marTop w:val="0"/>
          <w:marBottom w:val="0"/>
          <w:divBdr>
            <w:top w:val="none" w:sz="0" w:space="0" w:color="auto"/>
            <w:left w:val="none" w:sz="0" w:space="0" w:color="auto"/>
            <w:bottom w:val="none" w:sz="0" w:space="0" w:color="auto"/>
            <w:right w:val="none" w:sz="0" w:space="0" w:color="auto"/>
          </w:divBdr>
        </w:div>
        <w:div w:id="1378814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D1AD8-F500-4AE6-8E53-E554F3D05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1461</Words>
  <Characters>8333</Characters>
  <Application>Microsoft Office Word</Application>
  <DocSecurity>0</DocSecurity>
  <Lines>69</Lines>
  <Paragraphs>19</Paragraphs>
  <ScaleCrop>false</ScaleCrop>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Birchall</dc:creator>
  <cp:keywords/>
  <dc:description/>
  <cp:lastModifiedBy>Bernaz, Nadia</cp:lastModifiedBy>
  <cp:revision>6</cp:revision>
  <dcterms:created xsi:type="dcterms:W3CDTF">2023-01-12T14:33:00Z</dcterms:created>
  <dcterms:modified xsi:type="dcterms:W3CDTF">2023-01-12T14:38:00Z</dcterms:modified>
</cp:coreProperties>
</file>