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240C9" w14:textId="77777777" w:rsidR="006961AB" w:rsidRDefault="00303AD1" w:rsidP="00465B6A">
      <w:pPr>
        <w:spacing w:after="0" w:line="240" w:lineRule="auto"/>
        <w:jc w:val="center"/>
        <w:rPr>
          <w:rFonts w:eastAsia="Times New Roman" w:cs="Arial"/>
          <w:b/>
          <w:color w:val="000000"/>
          <w:lang w:eastAsia="en-GB"/>
        </w:rPr>
      </w:pPr>
      <w:r>
        <w:rPr>
          <w:rFonts w:eastAsia="Times New Roman" w:cs="Arial"/>
          <w:b/>
          <w:color w:val="000000"/>
          <w:lang w:eastAsia="en-GB"/>
        </w:rPr>
        <w:t xml:space="preserve">ENHANCING THE QLD: INTERNATIONALISATION AND EMPLOYABILITY: THE BENEFITS OF ERASMUS INTENSIVE PROGRAMMES </w:t>
      </w:r>
    </w:p>
    <w:p w14:paraId="1C9C52C9" w14:textId="77777777" w:rsidR="00765954" w:rsidRDefault="00765954" w:rsidP="00465B6A">
      <w:pPr>
        <w:spacing w:after="0" w:line="240" w:lineRule="auto"/>
        <w:jc w:val="center"/>
        <w:rPr>
          <w:rFonts w:eastAsia="Times New Roman" w:cs="Arial"/>
          <w:b/>
          <w:color w:val="000000"/>
          <w:lang w:eastAsia="en-GB"/>
        </w:rPr>
      </w:pPr>
    </w:p>
    <w:p w14:paraId="3420B4D9" w14:textId="77777777" w:rsidR="00765954" w:rsidRDefault="00765954" w:rsidP="00465B6A">
      <w:pPr>
        <w:spacing w:after="0" w:line="240" w:lineRule="auto"/>
        <w:jc w:val="center"/>
        <w:rPr>
          <w:rFonts w:eastAsia="Times New Roman" w:cs="Arial"/>
          <w:b/>
          <w:color w:val="000000"/>
          <w:lang w:eastAsia="en-GB"/>
        </w:rPr>
      </w:pPr>
      <w:r>
        <w:rPr>
          <w:rFonts w:eastAsia="Times New Roman" w:cs="Arial"/>
          <w:b/>
          <w:color w:val="000000"/>
          <w:lang w:eastAsia="en-GB"/>
        </w:rPr>
        <w:t>By Cherry James</w:t>
      </w:r>
      <w:r>
        <w:rPr>
          <w:rStyle w:val="FootnoteReference"/>
          <w:rFonts w:eastAsia="Times New Roman" w:cs="Arial"/>
          <w:b/>
          <w:color w:val="000000"/>
          <w:lang w:eastAsia="en-GB"/>
        </w:rPr>
        <w:footnoteReference w:id="1"/>
      </w:r>
    </w:p>
    <w:p w14:paraId="65C6BBC7" w14:textId="77777777" w:rsidR="00337BCA" w:rsidRDefault="00337BCA" w:rsidP="00465B6A">
      <w:pPr>
        <w:spacing w:after="0" w:line="240" w:lineRule="auto"/>
        <w:jc w:val="center"/>
        <w:rPr>
          <w:rFonts w:eastAsia="Times New Roman" w:cs="Arial"/>
          <w:b/>
          <w:color w:val="000000"/>
          <w:lang w:eastAsia="en-GB"/>
        </w:rPr>
      </w:pPr>
    </w:p>
    <w:p w14:paraId="141E9E0F" w14:textId="77777777" w:rsidR="00337BCA" w:rsidRDefault="00337BCA" w:rsidP="00337BCA">
      <w:pPr>
        <w:spacing w:after="0" w:line="240" w:lineRule="auto"/>
        <w:rPr>
          <w:rFonts w:eastAsia="Times New Roman" w:cs="Arial"/>
          <w:b/>
          <w:color w:val="000000"/>
          <w:lang w:eastAsia="en-GB"/>
        </w:rPr>
      </w:pPr>
      <w:r>
        <w:rPr>
          <w:rFonts w:eastAsia="Times New Roman" w:cs="Arial"/>
          <w:b/>
          <w:color w:val="000000"/>
          <w:lang w:eastAsia="en-GB"/>
        </w:rPr>
        <w:t>ABSTRACT</w:t>
      </w:r>
    </w:p>
    <w:p w14:paraId="75A253FA" w14:textId="77777777" w:rsidR="00337BCA" w:rsidRDefault="00337BCA" w:rsidP="00337BCA">
      <w:pPr>
        <w:spacing w:after="0" w:line="240" w:lineRule="auto"/>
        <w:rPr>
          <w:rFonts w:eastAsia="Times New Roman" w:cs="Arial"/>
          <w:b/>
          <w:color w:val="000000"/>
          <w:lang w:eastAsia="en-GB"/>
        </w:rPr>
      </w:pPr>
    </w:p>
    <w:p w14:paraId="6F7C964D" w14:textId="49518522" w:rsidR="00337BCA" w:rsidRPr="00337BCA" w:rsidRDefault="00337BCA" w:rsidP="00337BCA">
      <w:pPr>
        <w:spacing w:before="63" w:after="63" w:line="360" w:lineRule="auto"/>
        <w:jc w:val="both"/>
        <w:rPr>
          <w:i/>
          <w:color w:val="000000"/>
          <w:sz w:val="24"/>
          <w:szCs w:val="24"/>
        </w:rPr>
      </w:pPr>
      <w:r w:rsidRPr="00337BCA">
        <w:rPr>
          <w:i/>
          <w:color w:val="000000"/>
          <w:sz w:val="24"/>
          <w:szCs w:val="24"/>
          <w:lang w:eastAsia="en-GB"/>
        </w:rPr>
        <w:t xml:space="preserve">With the aim of enabling students and teachers to work together in multinational groups in order to gain new perspectives on a specific topic being studied and so benefit from special learning and teaching conditions not available in a single institution, the </w:t>
      </w:r>
      <w:r w:rsidR="00EF034D">
        <w:rPr>
          <w:i/>
          <w:color w:val="000000"/>
          <w:sz w:val="24"/>
          <w:szCs w:val="24"/>
          <w:lang w:eastAsia="en-GB"/>
        </w:rPr>
        <w:t>European Commission funds</w:t>
      </w:r>
      <w:r w:rsidR="00ED1B5B">
        <w:rPr>
          <w:i/>
          <w:color w:val="000000"/>
          <w:sz w:val="24"/>
          <w:szCs w:val="24"/>
          <w:lang w:eastAsia="en-GB"/>
        </w:rPr>
        <w:t xml:space="preserve"> i</w:t>
      </w:r>
      <w:r w:rsidRPr="00337BCA">
        <w:rPr>
          <w:i/>
          <w:color w:val="000000"/>
          <w:sz w:val="24"/>
          <w:szCs w:val="24"/>
          <w:lang w:eastAsia="en-GB"/>
        </w:rPr>
        <w:t xml:space="preserve">nternational Intensive Programmes under the ambit of Erasmus mobility. </w:t>
      </w:r>
      <w:r w:rsidRPr="00337BCA">
        <w:rPr>
          <w:i/>
          <w:color w:val="000000"/>
          <w:sz w:val="24"/>
          <w:szCs w:val="24"/>
        </w:rPr>
        <w:t>An Intensive Pr</w:t>
      </w:r>
      <w:r w:rsidR="005164FC">
        <w:rPr>
          <w:i/>
          <w:color w:val="000000"/>
          <w:sz w:val="24"/>
          <w:szCs w:val="24"/>
        </w:rPr>
        <w:t>ogramme</w:t>
      </w:r>
      <w:r w:rsidRPr="00337BCA">
        <w:rPr>
          <w:i/>
          <w:color w:val="000000"/>
          <w:sz w:val="24"/>
          <w:szCs w:val="24"/>
        </w:rPr>
        <w:t xml:space="preserve"> culminates in a short programme of study, lasting from ten continuous full days to six weeks, which brings together at one of the partner institutions students and teaching staff from higher education institutions</w:t>
      </w:r>
      <w:r w:rsidR="00DC6083">
        <w:rPr>
          <w:i/>
          <w:color w:val="000000"/>
          <w:sz w:val="24"/>
          <w:szCs w:val="24"/>
        </w:rPr>
        <w:t xml:space="preserve"> of at least three</w:t>
      </w:r>
      <w:r w:rsidRPr="00337BCA">
        <w:rPr>
          <w:i/>
          <w:color w:val="000000"/>
          <w:sz w:val="24"/>
          <w:szCs w:val="24"/>
        </w:rPr>
        <w:t xml:space="preserve"> countries who have spent the preceding semester studying the topic under consideration at their home institutions. </w:t>
      </w:r>
    </w:p>
    <w:p w14:paraId="199F0B2D" w14:textId="77777777" w:rsidR="00337BCA" w:rsidRPr="00337BCA" w:rsidRDefault="00337BCA" w:rsidP="00337BCA">
      <w:pPr>
        <w:spacing w:before="63" w:after="63" w:line="360" w:lineRule="auto"/>
        <w:jc w:val="both"/>
        <w:rPr>
          <w:i/>
          <w:color w:val="000000"/>
          <w:sz w:val="24"/>
          <w:szCs w:val="24"/>
        </w:rPr>
      </w:pPr>
      <w:r w:rsidRPr="00337BCA">
        <w:rPr>
          <w:i/>
          <w:color w:val="000000"/>
          <w:sz w:val="24"/>
          <w:szCs w:val="24"/>
        </w:rPr>
        <w:t xml:space="preserve">The purpose of the present paper is to explore the nature of Erasmus Intensive </w:t>
      </w:r>
      <w:r w:rsidR="003A0852">
        <w:rPr>
          <w:i/>
          <w:color w:val="000000"/>
          <w:sz w:val="24"/>
          <w:szCs w:val="24"/>
        </w:rPr>
        <w:t>Programmes and their</w:t>
      </w:r>
      <w:r w:rsidRPr="00337BCA">
        <w:rPr>
          <w:i/>
          <w:color w:val="000000"/>
          <w:sz w:val="24"/>
          <w:szCs w:val="24"/>
        </w:rPr>
        <w:t xml:space="preserve"> value for law students by sharing the experience of London South Bank University’s</w:t>
      </w:r>
      <w:r>
        <w:rPr>
          <w:i/>
          <w:color w:val="000000"/>
          <w:sz w:val="24"/>
          <w:szCs w:val="24"/>
        </w:rPr>
        <w:t xml:space="preserve"> engagement in such a</w:t>
      </w:r>
      <w:r w:rsidRPr="00337BCA">
        <w:rPr>
          <w:i/>
          <w:color w:val="000000"/>
          <w:sz w:val="24"/>
          <w:szCs w:val="24"/>
        </w:rPr>
        <w:t xml:space="preserve"> programme with </w:t>
      </w:r>
      <w:r>
        <w:rPr>
          <w:i/>
          <w:color w:val="000000"/>
          <w:sz w:val="24"/>
          <w:szCs w:val="24"/>
        </w:rPr>
        <w:t>four</w:t>
      </w:r>
      <w:r w:rsidRPr="00337BCA">
        <w:rPr>
          <w:i/>
          <w:color w:val="000000"/>
          <w:sz w:val="24"/>
          <w:szCs w:val="24"/>
        </w:rPr>
        <w:t xml:space="preserve"> partner institutions from across the EU.  The programme constitutes an option module for final year LLB students and LLM students on a relevant LLM programme. The paper considers the parameters within which such programmes operate, their aims and objectives and the extent to which such aims and objectives are made out.</w:t>
      </w:r>
      <w:r>
        <w:rPr>
          <w:i/>
          <w:color w:val="000000"/>
          <w:sz w:val="24"/>
          <w:szCs w:val="24"/>
        </w:rPr>
        <w:t xml:space="preserve">  It is suggested that such programmes </w:t>
      </w:r>
      <w:r w:rsidR="00F57817">
        <w:rPr>
          <w:i/>
          <w:color w:val="000000"/>
          <w:sz w:val="24"/>
          <w:szCs w:val="24"/>
        </w:rPr>
        <w:t xml:space="preserve">may </w:t>
      </w:r>
      <w:r>
        <w:rPr>
          <w:i/>
          <w:color w:val="000000"/>
          <w:sz w:val="24"/>
          <w:szCs w:val="24"/>
        </w:rPr>
        <w:t>fulfil a particularly useful function in enabling students on Qualifying Law Degrees in the UK to enhance their employability by participating in an international collaborative project without the need to extend their degree length.</w:t>
      </w:r>
    </w:p>
    <w:p w14:paraId="057C72ED" w14:textId="77777777" w:rsidR="00337BCA" w:rsidRPr="00337BCA" w:rsidRDefault="00337BCA" w:rsidP="00337BCA">
      <w:pPr>
        <w:spacing w:after="0" w:line="240" w:lineRule="auto"/>
        <w:rPr>
          <w:rFonts w:eastAsia="Times New Roman" w:cs="Arial"/>
          <w:color w:val="000000"/>
          <w:lang w:eastAsia="en-GB"/>
        </w:rPr>
      </w:pPr>
    </w:p>
    <w:p w14:paraId="12519CB5" w14:textId="77777777" w:rsidR="00E17646" w:rsidRDefault="00E17646" w:rsidP="00465B6A">
      <w:pPr>
        <w:spacing w:after="0" w:line="240" w:lineRule="auto"/>
        <w:jc w:val="center"/>
        <w:rPr>
          <w:rFonts w:eastAsia="Times New Roman" w:cs="Arial"/>
          <w:b/>
          <w:color w:val="000000"/>
          <w:lang w:eastAsia="en-GB"/>
        </w:rPr>
      </w:pPr>
    </w:p>
    <w:p w14:paraId="5FF57E7B" w14:textId="77777777" w:rsidR="006961AB" w:rsidRDefault="006961AB" w:rsidP="006961AB">
      <w:pPr>
        <w:spacing w:after="0" w:line="240" w:lineRule="auto"/>
        <w:rPr>
          <w:rFonts w:eastAsia="Times New Roman" w:cs="Arial"/>
          <w:b/>
          <w:color w:val="000000"/>
          <w:lang w:eastAsia="en-GB"/>
        </w:rPr>
      </w:pPr>
    </w:p>
    <w:p w14:paraId="68020D66" w14:textId="77777777" w:rsidR="00465B6A" w:rsidRPr="00EB705A" w:rsidRDefault="00465B6A" w:rsidP="00D12FC0">
      <w:pPr>
        <w:spacing w:after="0" w:line="480" w:lineRule="auto"/>
        <w:rPr>
          <w:rFonts w:eastAsia="Times New Roman" w:cs="Arial"/>
          <w:b/>
          <w:color w:val="000000"/>
          <w:lang w:eastAsia="en-GB"/>
        </w:rPr>
      </w:pPr>
      <w:r w:rsidRPr="00EB705A">
        <w:rPr>
          <w:rFonts w:eastAsia="Times New Roman" w:cs="Arial"/>
          <w:b/>
          <w:color w:val="000000"/>
          <w:lang w:eastAsia="en-GB"/>
        </w:rPr>
        <w:t>THE BACKGROUND</w:t>
      </w:r>
    </w:p>
    <w:p w14:paraId="31C8DE4B" w14:textId="77777777" w:rsidR="004300C5" w:rsidRDefault="004300C5" w:rsidP="00D12FC0">
      <w:pPr>
        <w:spacing w:after="0" w:line="480" w:lineRule="auto"/>
        <w:rPr>
          <w:rFonts w:eastAsia="Times New Roman" w:cs="Arial"/>
          <w:b/>
          <w:color w:val="000000"/>
          <w:lang w:eastAsia="en-GB"/>
        </w:rPr>
      </w:pPr>
    </w:p>
    <w:p w14:paraId="0204ADBB" w14:textId="77777777" w:rsidR="00202FDF" w:rsidRDefault="004300C5" w:rsidP="00D12FC0">
      <w:pPr>
        <w:spacing w:after="0" w:line="480" w:lineRule="auto"/>
        <w:rPr>
          <w:rFonts w:eastAsia="Times New Roman" w:cs="Arial"/>
          <w:color w:val="000000"/>
          <w:lang w:eastAsia="en-GB"/>
        </w:rPr>
      </w:pPr>
      <w:r>
        <w:rPr>
          <w:rFonts w:eastAsia="Times New Roman" w:cs="Arial"/>
          <w:color w:val="000000"/>
          <w:lang w:eastAsia="en-GB"/>
        </w:rPr>
        <w:t>This article seeks to explain how an Erasmus I</w:t>
      </w:r>
      <w:r w:rsidR="009346D9">
        <w:rPr>
          <w:rFonts w:eastAsia="Times New Roman" w:cs="Arial"/>
          <w:color w:val="000000"/>
          <w:lang w:eastAsia="en-GB"/>
        </w:rPr>
        <w:t>ntensive Programme can be introduced</w:t>
      </w:r>
      <w:r w:rsidR="00EB705A">
        <w:rPr>
          <w:rFonts w:eastAsia="Times New Roman" w:cs="Arial"/>
          <w:color w:val="000000"/>
          <w:lang w:eastAsia="en-GB"/>
        </w:rPr>
        <w:t xml:space="preserve"> into a standard</w:t>
      </w:r>
      <w:r>
        <w:rPr>
          <w:rFonts w:eastAsia="Times New Roman" w:cs="Arial"/>
          <w:color w:val="000000"/>
          <w:lang w:eastAsia="en-GB"/>
        </w:rPr>
        <w:t xml:space="preserve"> three year Qualifying Law Degree</w:t>
      </w:r>
      <w:r w:rsidR="00EB705A">
        <w:rPr>
          <w:rFonts w:eastAsia="Times New Roman" w:cs="Arial"/>
          <w:color w:val="000000"/>
          <w:lang w:eastAsia="en-GB"/>
        </w:rPr>
        <w:t xml:space="preserve"> in the UK</w:t>
      </w:r>
      <w:r>
        <w:rPr>
          <w:rFonts w:eastAsia="Times New Roman" w:cs="Arial"/>
          <w:color w:val="000000"/>
          <w:lang w:eastAsia="en-GB"/>
        </w:rPr>
        <w:t xml:space="preserve">, in the process adding a valuable </w:t>
      </w:r>
      <w:r w:rsidR="00EB705A">
        <w:rPr>
          <w:rFonts w:eastAsia="Times New Roman" w:cs="Arial"/>
          <w:color w:val="000000"/>
          <w:lang w:eastAsia="en-GB"/>
        </w:rPr>
        <w:t xml:space="preserve">international element </w:t>
      </w:r>
      <w:r w:rsidR="00EB705A">
        <w:rPr>
          <w:rFonts w:eastAsia="Times New Roman" w:cs="Arial"/>
          <w:color w:val="000000"/>
          <w:lang w:eastAsia="en-GB"/>
        </w:rPr>
        <w:lastRenderedPageBreak/>
        <w:t>to the</w:t>
      </w:r>
      <w:r>
        <w:rPr>
          <w:rFonts w:eastAsia="Times New Roman" w:cs="Arial"/>
          <w:color w:val="000000"/>
          <w:lang w:eastAsia="en-GB"/>
        </w:rPr>
        <w:t xml:space="preserve"> degree</w:t>
      </w:r>
      <w:r w:rsidR="00EB705A">
        <w:rPr>
          <w:rFonts w:eastAsia="Times New Roman" w:cs="Arial"/>
          <w:color w:val="000000"/>
          <w:lang w:eastAsia="en-GB"/>
        </w:rPr>
        <w:t xml:space="preserve"> course</w:t>
      </w:r>
      <w:r w:rsidR="00FB0A03">
        <w:rPr>
          <w:rFonts w:eastAsia="Times New Roman" w:cs="Arial"/>
          <w:color w:val="000000"/>
          <w:lang w:eastAsia="en-GB"/>
        </w:rPr>
        <w:t xml:space="preserve"> and</w:t>
      </w:r>
      <w:r w:rsidR="0008007A">
        <w:rPr>
          <w:rFonts w:eastAsia="Times New Roman" w:cs="Arial"/>
          <w:color w:val="000000"/>
          <w:lang w:eastAsia="en-GB"/>
        </w:rPr>
        <w:t>, it is argued,</w:t>
      </w:r>
      <w:r w:rsidR="00FB0A03">
        <w:rPr>
          <w:rFonts w:eastAsia="Times New Roman" w:cs="Arial"/>
          <w:color w:val="000000"/>
          <w:lang w:eastAsia="en-GB"/>
        </w:rPr>
        <w:t xml:space="preserve"> potentially</w:t>
      </w:r>
      <w:r>
        <w:rPr>
          <w:rFonts w:eastAsia="Times New Roman" w:cs="Arial"/>
          <w:color w:val="000000"/>
          <w:lang w:eastAsia="en-GB"/>
        </w:rPr>
        <w:t xml:space="preserve"> enhancing the employability of the participating students.</w:t>
      </w:r>
      <w:r w:rsidR="00954CB1">
        <w:rPr>
          <w:rFonts w:eastAsia="Times New Roman" w:cs="Arial"/>
          <w:color w:val="000000"/>
          <w:lang w:eastAsia="en-GB"/>
        </w:rPr>
        <w:t xml:space="preserve">  First, the context is set by a brief consideration of the reasons why UK law students are unlikely to study abroad as part of their undergraduate </w:t>
      </w:r>
      <w:r w:rsidR="005164FC">
        <w:rPr>
          <w:rFonts w:eastAsia="Times New Roman" w:cs="Arial"/>
          <w:color w:val="000000"/>
          <w:lang w:eastAsia="en-GB"/>
        </w:rPr>
        <w:t>degrees; secondly, the Erasmus P</w:t>
      </w:r>
      <w:r w:rsidR="00954CB1">
        <w:rPr>
          <w:rFonts w:eastAsia="Times New Roman" w:cs="Arial"/>
          <w:color w:val="000000"/>
          <w:lang w:eastAsia="en-GB"/>
        </w:rPr>
        <w:t>rogramme is examined in the context of the European Union’s educational policy; then the nature of Erasmus Intensive Prog</w:t>
      </w:r>
      <w:r w:rsidR="00E43DC2">
        <w:rPr>
          <w:rFonts w:eastAsia="Times New Roman" w:cs="Arial"/>
          <w:color w:val="000000"/>
          <w:lang w:eastAsia="en-GB"/>
        </w:rPr>
        <w:t>rammes is explained; next,</w:t>
      </w:r>
      <w:r w:rsidR="00954CB1">
        <w:rPr>
          <w:rFonts w:eastAsia="Times New Roman" w:cs="Arial"/>
          <w:color w:val="000000"/>
          <w:lang w:eastAsia="en-GB"/>
        </w:rPr>
        <w:t xml:space="preserve"> there is a case study of a recent very successful </w:t>
      </w:r>
      <w:r w:rsidR="002F166E">
        <w:rPr>
          <w:rFonts w:eastAsia="Times New Roman" w:cs="Arial"/>
          <w:color w:val="000000"/>
          <w:lang w:eastAsia="en-GB"/>
        </w:rPr>
        <w:t>Erasmus Intensive Programme in L</w:t>
      </w:r>
      <w:r w:rsidR="00954CB1">
        <w:rPr>
          <w:rFonts w:eastAsia="Times New Roman" w:cs="Arial"/>
          <w:color w:val="000000"/>
          <w:lang w:eastAsia="en-GB"/>
        </w:rPr>
        <w:t>aw</w:t>
      </w:r>
      <w:r w:rsidR="00E43DC2">
        <w:rPr>
          <w:rFonts w:eastAsia="Times New Roman" w:cs="Arial"/>
          <w:color w:val="000000"/>
          <w:lang w:eastAsia="en-GB"/>
        </w:rPr>
        <w:t xml:space="preserve">, and finally, the </w:t>
      </w:r>
      <w:r w:rsidR="00662902">
        <w:rPr>
          <w:rFonts w:eastAsia="Times New Roman" w:cs="Arial"/>
          <w:color w:val="000000"/>
          <w:lang w:eastAsia="en-GB"/>
        </w:rPr>
        <w:t xml:space="preserve">article seeks to investigate the </w:t>
      </w:r>
      <w:r w:rsidR="00E43DC2">
        <w:rPr>
          <w:rFonts w:eastAsia="Times New Roman" w:cs="Arial"/>
          <w:color w:val="000000"/>
          <w:lang w:eastAsia="en-GB"/>
        </w:rPr>
        <w:t>outcomes o</w:t>
      </w:r>
      <w:r w:rsidR="00662902">
        <w:rPr>
          <w:rFonts w:eastAsia="Times New Roman" w:cs="Arial"/>
          <w:color w:val="000000"/>
          <w:lang w:eastAsia="en-GB"/>
        </w:rPr>
        <w:t xml:space="preserve">f such programmes, particularly whether they enhance the employability of students, and the impact of </w:t>
      </w:r>
      <w:r w:rsidR="005164FC">
        <w:rPr>
          <w:rFonts w:eastAsia="Times New Roman" w:cs="Arial"/>
          <w:color w:val="000000"/>
          <w:lang w:eastAsia="en-GB"/>
        </w:rPr>
        <w:t>the international dimension to Intensive P</w:t>
      </w:r>
      <w:r w:rsidR="00662902">
        <w:rPr>
          <w:rFonts w:eastAsia="Times New Roman" w:cs="Arial"/>
          <w:color w:val="000000"/>
          <w:lang w:eastAsia="en-GB"/>
        </w:rPr>
        <w:t>rogrammes on students and universities</w:t>
      </w:r>
      <w:r w:rsidR="00954CB1">
        <w:rPr>
          <w:rFonts w:eastAsia="Times New Roman" w:cs="Arial"/>
          <w:color w:val="000000"/>
          <w:lang w:eastAsia="en-GB"/>
        </w:rPr>
        <w:t>.</w:t>
      </w:r>
      <w:r w:rsidR="00662902">
        <w:rPr>
          <w:rFonts w:eastAsia="Times New Roman" w:cs="Arial"/>
          <w:color w:val="000000"/>
          <w:lang w:eastAsia="en-GB"/>
        </w:rPr>
        <w:t xml:space="preserve">  Reference is made to evaluations of the Intensive Programme under discussion and other data and evaluative material relating to the Erasmus Programme.  </w:t>
      </w:r>
    </w:p>
    <w:p w14:paraId="0889812E" w14:textId="77777777" w:rsidR="00202FDF" w:rsidRDefault="00202FDF" w:rsidP="00D12FC0">
      <w:pPr>
        <w:spacing w:after="0" w:line="480" w:lineRule="auto"/>
        <w:rPr>
          <w:rFonts w:eastAsia="Times New Roman" w:cs="Arial"/>
          <w:color w:val="000000"/>
          <w:lang w:eastAsia="en-GB"/>
        </w:rPr>
      </w:pPr>
    </w:p>
    <w:p w14:paraId="1E2D7591" w14:textId="77777777" w:rsidR="0008007A" w:rsidRDefault="0008007A" w:rsidP="00D12FC0">
      <w:pPr>
        <w:spacing w:after="0" w:line="480" w:lineRule="auto"/>
        <w:rPr>
          <w:rFonts w:eastAsia="Times New Roman" w:cs="Arial"/>
          <w:color w:val="000000"/>
          <w:lang w:eastAsia="en-GB"/>
        </w:rPr>
      </w:pPr>
      <w:r>
        <w:rPr>
          <w:rFonts w:eastAsia="Times New Roman" w:cs="Arial"/>
          <w:color w:val="000000"/>
          <w:lang w:eastAsia="en-GB"/>
        </w:rPr>
        <w:t>Two notes of caution are</w:t>
      </w:r>
      <w:r w:rsidR="00662902">
        <w:rPr>
          <w:rFonts w:eastAsia="Times New Roman" w:cs="Arial"/>
          <w:color w:val="000000"/>
          <w:lang w:eastAsia="en-GB"/>
        </w:rPr>
        <w:t xml:space="preserve"> appropriate here, however.  There is very little written about Erasmus Intensive Programmes and their effect and impact as a phenomenon distinct from the Erasmus Programme generally.  Such literature as exists about Erasmus Intensive Programmes tends to consist of case studies of particular Intensive Programmes, which are</w:t>
      </w:r>
      <w:r w:rsidR="0039584F">
        <w:rPr>
          <w:rFonts w:eastAsia="Times New Roman" w:cs="Arial"/>
          <w:color w:val="000000"/>
          <w:lang w:eastAsia="en-GB"/>
        </w:rPr>
        <w:t xml:space="preserve"> mostly sui generis and</w:t>
      </w:r>
      <w:r w:rsidR="008E486F">
        <w:rPr>
          <w:rFonts w:eastAsia="Times New Roman" w:cs="Arial"/>
          <w:color w:val="000000"/>
          <w:lang w:eastAsia="en-GB"/>
        </w:rPr>
        <w:t xml:space="preserve"> do not</w:t>
      </w:r>
      <w:r w:rsidR="00AB08E7">
        <w:rPr>
          <w:rFonts w:eastAsia="Times New Roman" w:cs="Arial"/>
          <w:color w:val="000000"/>
          <w:lang w:eastAsia="en-GB"/>
        </w:rPr>
        <w:t xml:space="preserve"> always</w:t>
      </w:r>
      <w:r w:rsidR="008E486F">
        <w:rPr>
          <w:rFonts w:eastAsia="Times New Roman" w:cs="Arial"/>
          <w:color w:val="000000"/>
          <w:lang w:eastAsia="en-GB"/>
        </w:rPr>
        <w:t xml:space="preserve"> contain much commentary of more general relevance.  Furthermore, it has been noted that data on student mobility generally is not of the highest quality: a HEFCE/British Council report on literature addressing international student mobility issued a ‘plea for better data’ to international and national organisations dealing with student mobility and the institutions concerned.</w:t>
      </w:r>
      <w:r w:rsidR="008E486F">
        <w:rPr>
          <w:rStyle w:val="FootnoteReference"/>
          <w:rFonts w:eastAsia="Times New Roman" w:cs="Arial"/>
          <w:color w:val="000000"/>
          <w:lang w:eastAsia="en-GB"/>
        </w:rPr>
        <w:footnoteReference w:id="2"/>
      </w:r>
      <w:r w:rsidR="00A7555B">
        <w:rPr>
          <w:rFonts w:eastAsia="Times New Roman" w:cs="Arial"/>
          <w:color w:val="000000"/>
          <w:lang w:eastAsia="en-GB"/>
        </w:rPr>
        <w:t xml:space="preserve">  This is echoed in the House of Lords Report of 2012, ‘The Modernisation of Higher Education in Europe’ which also reported widespread concern about the ‘lack of good quality data… relating to student mobility in Europe’.</w:t>
      </w:r>
      <w:r w:rsidR="00A7555B">
        <w:rPr>
          <w:rStyle w:val="FootnoteReference"/>
          <w:rFonts w:eastAsia="Times New Roman" w:cs="Arial"/>
          <w:color w:val="000000"/>
          <w:lang w:eastAsia="en-GB"/>
        </w:rPr>
        <w:footnoteReference w:id="3"/>
      </w:r>
      <w:r w:rsidR="008E486F">
        <w:rPr>
          <w:rFonts w:eastAsia="Times New Roman" w:cs="Arial"/>
          <w:color w:val="000000"/>
          <w:lang w:eastAsia="en-GB"/>
        </w:rPr>
        <w:t xml:space="preserve"> </w:t>
      </w:r>
    </w:p>
    <w:p w14:paraId="5103FA75" w14:textId="77777777" w:rsidR="0008007A" w:rsidRDefault="0008007A" w:rsidP="00D12FC0">
      <w:pPr>
        <w:spacing w:after="0" w:line="480" w:lineRule="auto"/>
        <w:rPr>
          <w:rFonts w:eastAsia="Times New Roman" w:cs="Arial"/>
          <w:color w:val="000000"/>
          <w:lang w:eastAsia="en-GB"/>
        </w:rPr>
      </w:pPr>
    </w:p>
    <w:p w14:paraId="20AC2D57" w14:textId="77777777" w:rsidR="004300C5" w:rsidRDefault="0008007A" w:rsidP="00D12FC0">
      <w:pPr>
        <w:spacing w:after="0" w:line="480" w:lineRule="auto"/>
        <w:rPr>
          <w:rFonts w:eastAsia="Times New Roman" w:cs="Arial"/>
          <w:color w:val="000000"/>
          <w:lang w:eastAsia="en-GB"/>
        </w:rPr>
      </w:pPr>
      <w:r>
        <w:rPr>
          <w:rFonts w:eastAsia="Times New Roman" w:cs="Arial"/>
          <w:color w:val="000000"/>
          <w:lang w:eastAsia="en-GB"/>
        </w:rPr>
        <w:lastRenderedPageBreak/>
        <w:t xml:space="preserve">Secondly, students participating in Intensive Programmes will be abroad for a </w:t>
      </w:r>
      <w:r w:rsidR="00B8611B">
        <w:rPr>
          <w:rFonts w:eastAsia="Times New Roman" w:cs="Arial"/>
          <w:color w:val="000000"/>
          <w:lang w:eastAsia="en-GB"/>
        </w:rPr>
        <w:t>much shorter period than students on a standard Erasmus exchange placement (two – six weeks, compared with a semester or an academic year, as is explained below).</w:t>
      </w:r>
      <w:r w:rsidR="00C47AEB">
        <w:rPr>
          <w:rFonts w:eastAsia="Times New Roman" w:cs="Arial"/>
          <w:color w:val="000000"/>
          <w:lang w:eastAsia="en-GB"/>
        </w:rPr>
        <w:t xml:space="preserve">  It</w:t>
      </w:r>
      <w:r w:rsidR="00630C54">
        <w:rPr>
          <w:rFonts w:eastAsia="Times New Roman" w:cs="Arial"/>
          <w:color w:val="000000"/>
          <w:lang w:eastAsia="en-GB"/>
        </w:rPr>
        <w:t xml:space="preserve"> is an important question</w:t>
      </w:r>
      <w:r w:rsidR="00C47AEB">
        <w:rPr>
          <w:rFonts w:eastAsia="Times New Roman" w:cs="Arial"/>
          <w:color w:val="000000"/>
          <w:lang w:eastAsia="en-GB"/>
        </w:rPr>
        <w:t xml:space="preserve"> to what extent the benefits asserted for Erasmus exchanges in evaluative studies can be assumed to attach to participation in Intensive Programmes; there appears to be little research addressing this specific point, although there is anecdotal evidence from students who have participated and from published case studies on Intensive Programmes</w:t>
      </w:r>
      <w:r w:rsidR="005062DA">
        <w:rPr>
          <w:rFonts w:eastAsia="Times New Roman" w:cs="Arial"/>
          <w:color w:val="000000"/>
          <w:lang w:eastAsia="en-GB"/>
        </w:rPr>
        <w:t xml:space="preserve"> and from some accounts of particular IPs of the kind mentioned above</w:t>
      </w:r>
      <w:r w:rsidR="00C47AEB">
        <w:rPr>
          <w:rFonts w:eastAsia="Times New Roman" w:cs="Arial"/>
          <w:color w:val="000000"/>
          <w:lang w:eastAsia="en-GB"/>
        </w:rPr>
        <w:t xml:space="preserve">.  However, as will be explained below, in reality the international collaborative elements of Intensive Programmes </w:t>
      </w:r>
      <w:r w:rsidR="00355ECC">
        <w:rPr>
          <w:rFonts w:eastAsia="Times New Roman" w:cs="Arial"/>
          <w:color w:val="000000"/>
          <w:lang w:eastAsia="en-GB"/>
        </w:rPr>
        <w:t>involve students for considerably longer than the short study period abroad, and for universities, are often part of a long term process of increasing international collaboration</w:t>
      </w:r>
      <w:r w:rsidR="00841A68">
        <w:rPr>
          <w:rFonts w:eastAsia="Times New Roman" w:cs="Arial"/>
          <w:color w:val="000000"/>
          <w:lang w:eastAsia="en-GB"/>
        </w:rPr>
        <w:t>, the effects</w:t>
      </w:r>
      <w:r w:rsidR="00355ECC">
        <w:rPr>
          <w:rFonts w:eastAsia="Times New Roman" w:cs="Arial"/>
          <w:color w:val="000000"/>
          <w:lang w:eastAsia="en-GB"/>
        </w:rPr>
        <w:t xml:space="preserve"> of which feed back into the institution</w:t>
      </w:r>
      <w:r w:rsidR="00841A68">
        <w:rPr>
          <w:rFonts w:eastAsia="Times New Roman" w:cs="Arial"/>
          <w:color w:val="000000"/>
          <w:lang w:eastAsia="en-GB"/>
        </w:rPr>
        <w:t xml:space="preserve"> and its staff and students</w:t>
      </w:r>
      <w:r w:rsidR="00355ECC">
        <w:rPr>
          <w:rFonts w:eastAsia="Times New Roman" w:cs="Arial"/>
          <w:color w:val="000000"/>
          <w:lang w:eastAsia="en-GB"/>
        </w:rPr>
        <w:t xml:space="preserve">. </w:t>
      </w:r>
      <w:r w:rsidR="00954CB1">
        <w:rPr>
          <w:rFonts w:eastAsia="Times New Roman" w:cs="Arial"/>
          <w:color w:val="000000"/>
          <w:lang w:eastAsia="en-GB"/>
        </w:rPr>
        <w:t xml:space="preserve"> </w:t>
      </w:r>
    </w:p>
    <w:p w14:paraId="085421B3" w14:textId="77777777" w:rsidR="00EB705A" w:rsidRDefault="00EB705A" w:rsidP="00D12FC0">
      <w:pPr>
        <w:spacing w:after="0" w:line="480" w:lineRule="auto"/>
        <w:rPr>
          <w:rFonts w:eastAsia="Times New Roman" w:cs="Arial"/>
          <w:color w:val="000000"/>
          <w:lang w:eastAsia="en-GB"/>
        </w:rPr>
      </w:pPr>
    </w:p>
    <w:p w14:paraId="1E9D8142" w14:textId="77777777" w:rsidR="00EB705A" w:rsidRPr="00EB705A" w:rsidRDefault="00EB705A" w:rsidP="00D12FC0">
      <w:pPr>
        <w:spacing w:after="0" w:line="480" w:lineRule="auto"/>
        <w:rPr>
          <w:rFonts w:eastAsia="Times New Roman" w:cs="Arial"/>
          <w:b/>
          <w:color w:val="000000"/>
          <w:lang w:eastAsia="en-GB"/>
        </w:rPr>
      </w:pPr>
      <w:r>
        <w:rPr>
          <w:rFonts w:eastAsia="Times New Roman" w:cs="Arial"/>
          <w:b/>
          <w:color w:val="000000"/>
          <w:lang w:eastAsia="en-GB"/>
        </w:rPr>
        <w:t>THE LAW DEGREE IN THE UK</w:t>
      </w:r>
    </w:p>
    <w:p w14:paraId="1B74816B" w14:textId="77777777" w:rsidR="004300C5" w:rsidRPr="004300C5" w:rsidRDefault="004300C5" w:rsidP="00D12FC0">
      <w:pPr>
        <w:spacing w:after="0" w:line="480" w:lineRule="auto"/>
        <w:rPr>
          <w:rFonts w:eastAsia="Times New Roman" w:cs="Arial"/>
          <w:b/>
          <w:color w:val="000000"/>
          <w:lang w:eastAsia="en-GB"/>
        </w:rPr>
      </w:pPr>
    </w:p>
    <w:p w14:paraId="5F95A170" w14:textId="77777777" w:rsidR="00303AD1" w:rsidRDefault="004300C5" w:rsidP="00D12FC0">
      <w:pPr>
        <w:spacing w:line="480" w:lineRule="auto"/>
      </w:pPr>
      <w:r>
        <w:t>T</w:t>
      </w:r>
      <w:r w:rsidR="00303AD1">
        <w:t>he requirements of a Qualifying Law Degree (“QLD”) in the UK mean that in a standard three year LLB, the seven foundation subjects dominate the timetable and there is generally only a little room for optional modules.  It is also often the case that a student on QLD will in fact be doing at least one compulsory ‘foundation’ subject during the entire currency of the degree.  If that is the case, it is clearly not possible for a student to study abroad for part or all of one of the three years of the degree under the standard Erasmus student mobility scheme, since this will result</w:t>
      </w:r>
      <w:r w:rsidR="00EB705A">
        <w:t xml:space="preserve"> in the student missing out on one or more</w:t>
      </w:r>
      <w:r w:rsidR="00303AD1">
        <w:t xml:space="preserve"> compulsory foundation subject module</w:t>
      </w:r>
      <w:r w:rsidR="00B211B9">
        <w:t>s</w:t>
      </w:r>
      <w:r w:rsidR="002F166E">
        <w:t>: it is unusual for any of the three years to be free of such subjects</w:t>
      </w:r>
      <w:r w:rsidR="00303AD1">
        <w:t>.  Students may of course study abroad for an extra year, adding a year to their degree,</w:t>
      </w:r>
      <w:r w:rsidR="002F166E">
        <w:t xml:space="preserve"> and a number of universities actively promote this as part of a four year Law degree. </w:t>
      </w:r>
      <w:r w:rsidR="00303AD1">
        <w:t xml:space="preserve"> </w:t>
      </w:r>
      <w:r w:rsidR="002F166E">
        <w:t xml:space="preserve">Students studying abroad under the Erasmus scheme do not pay fees to the home or the host university if they are studying abroad for the whole academic year, though they do </w:t>
      </w:r>
      <w:r w:rsidR="002F166E">
        <w:lastRenderedPageBreak/>
        <w:t>continue to pay fees to their home university if they are only away for a term or a semester.  They obtain a non-repayable Erasmus grant towards the cost of their travel and living costs abroad and continue to be eligible to access student maintenance loans and grants.  However, especially for Law students who may well have to incur further debt when undertaking required professional courses, the idea of adding a fourth year into a three year degree</w:t>
      </w:r>
      <w:r w:rsidR="00162C6F">
        <w:t xml:space="preserve"> is </w:t>
      </w:r>
      <w:r w:rsidR="00EE1E18">
        <w:t xml:space="preserve">often </w:t>
      </w:r>
      <w:r w:rsidR="00162C6F">
        <w:t>unattractive: the Erasmus grant does not cover all of their living costs and therefore most students will be adding to their debt burden by increasing the length of their degree.</w:t>
      </w:r>
      <w:r w:rsidR="002A4C74">
        <w:t xml:space="preserve">  If the law degree does have a semester free of QLD modules, a student could in theory study abroad for that semester forgoing optional modules in the UK university, though they would still have to pay fees to their home university for the semester abroad.  However, since any such semester in UK law degrees usually takes place in the final year, when assessment marks contribute towards the final degree classification, most students are reluctant to </w:t>
      </w:r>
      <w:r w:rsidR="000350B0">
        <w:t xml:space="preserve">take what appears to be a risk of having marks from an unknown </w:t>
      </w:r>
      <w:r w:rsidR="004A5967">
        <w:t xml:space="preserve">foreign </w:t>
      </w:r>
      <w:r w:rsidR="000350B0">
        <w:t>university affect their final result.</w:t>
      </w:r>
    </w:p>
    <w:p w14:paraId="0A5F2F0A" w14:textId="7A7D6BBC" w:rsidR="00303AD1" w:rsidRDefault="00303AD1" w:rsidP="00D12FC0">
      <w:pPr>
        <w:spacing w:line="480" w:lineRule="auto"/>
      </w:pPr>
      <w:r>
        <w:t>This means that for many Law students in the UK, a period of study abroad under the Erasmus student mobility scheme is unlikely.  It must be said that studying for a period of time in a European university is something which too few British students</w:t>
      </w:r>
      <w:r w:rsidR="00D1442E">
        <w:t xml:space="preserve"> of whatever discipline</w:t>
      </w:r>
      <w:r w:rsidR="005B714D">
        <w:t xml:space="preserve"> do, and a considerably smaller proportion of the student body than our European neighbours: </w:t>
      </w:r>
      <w:r w:rsidR="00776820">
        <w:t>less than 2% of students in the UK, compared with 6% of German students, 4% of French students and 10% of Spanish students</w:t>
      </w:r>
      <w:r>
        <w:t>.</w:t>
      </w:r>
      <w:r w:rsidR="00626457">
        <w:rPr>
          <w:rStyle w:val="FootnoteReference"/>
        </w:rPr>
        <w:footnoteReference w:id="4"/>
      </w:r>
      <w:r>
        <w:t xml:space="preserve">  Given the </w:t>
      </w:r>
      <w:r w:rsidR="002A7DF0">
        <w:t>value which studying abroad adds</w:t>
      </w:r>
      <w:r>
        <w:t xml:space="preserve"> to a CV</w:t>
      </w:r>
      <w:r w:rsidR="006079E8">
        <w:t xml:space="preserve"> this is a great pity: the 2006 study into the impact of Erasmus mobility on students who have participated i</w:t>
      </w:r>
      <w:r w:rsidR="001A5B6D">
        <w:t>n</w:t>
      </w:r>
      <w:r w:rsidR="006079E8">
        <w:t xml:space="preserve"> the programme</w:t>
      </w:r>
      <w:r w:rsidR="001A5B6D">
        <w:t xml:space="preserve"> (the most recent such official study)</w:t>
      </w:r>
      <w:r w:rsidR="006079E8">
        <w:t xml:space="preserve"> demonstrated that such students were perceived by most employers as having significantly superior competences than students who had not participated in a number of important s</w:t>
      </w:r>
      <w:r w:rsidR="005A4D86">
        <w:t>pheres, leading to</w:t>
      </w:r>
      <w:r w:rsidR="006079E8">
        <w:t xml:space="preserve"> enhanced employability</w:t>
      </w:r>
      <w:r w:rsidR="006C3467">
        <w:t>.  This was on the basis that they were noticeably ahead of their counterparts in foreign language proficiency, intercultural understanding and competences</w:t>
      </w:r>
      <w:r w:rsidR="00015476">
        <w:t>, knowledge of other countries,</w:t>
      </w:r>
      <w:r w:rsidR="006C3467">
        <w:t xml:space="preserve"> preparation for future employment and work and </w:t>
      </w:r>
      <w:r w:rsidR="006C3467">
        <w:lastRenderedPageBreak/>
        <w:t>academic knowledge and skills</w:t>
      </w:r>
      <w:r w:rsidR="006079E8">
        <w:t>.</w:t>
      </w:r>
      <w:r w:rsidR="006079E8">
        <w:rPr>
          <w:rStyle w:val="FootnoteReference"/>
        </w:rPr>
        <w:footnoteReference w:id="5"/>
      </w:r>
      <w:r w:rsidR="00D1442E">
        <w:t xml:space="preserve">  At a reception in May 2012 to mark the Erasmus programme’s 25</w:t>
      </w:r>
      <w:r w:rsidR="00D1442E" w:rsidRPr="00D1442E">
        <w:rPr>
          <w:vertAlign w:val="superscript"/>
        </w:rPr>
        <w:t>th</w:t>
      </w:r>
      <w:r w:rsidR="00D1442E">
        <w:t xml:space="preserve"> anniversary, Steve </w:t>
      </w:r>
      <w:proofErr w:type="spellStart"/>
      <w:r w:rsidR="00D1442E">
        <w:t>Beswick</w:t>
      </w:r>
      <w:proofErr w:type="spellEnd"/>
      <w:r w:rsidR="00D1442E">
        <w:t>, Microsoft UK’s director of education stated that study abroad was vital in improving the skills of British graduates.  ‘Diversity and appreciation of cultural differences are competitive weapons….having international experience is vital’.</w:t>
      </w:r>
      <w:r w:rsidR="00D1442E">
        <w:rPr>
          <w:rStyle w:val="FootnoteReference"/>
        </w:rPr>
        <w:footnoteReference w:id="6"/>
      </w:r>
      <w:r w:rsidR="00776820">
        <w:t xml:space="preserve">  David Docherty, chief executive of the Council for Industry and Higher Education has said,</w:t>
      </w:r>
      <w:r w:rsidR="00E73E49">
        <w:t xml:space="preserve"> speaking of the low take up of Erasmus places by UK students,</w:t>
      </w:r>
      <w:r w:rsidR="00776820">
        <w:t xml:space="preserve"> ‘This is bad news for UK plc...businesses see former Erasmus students as future leaders.  It is now time for the UK to catch up and focus on building its own Erasmus Generation’.</w:t>
      </w:r>
      <w:r w:rsidR="00776820">
        <w:rPr>
          <w:rStyle w:val="FootnoteReference"/>
        </w:rPr>
        <w:footnoteReference w:id="7"/>
      </w:r>
      <w:r w:rsidR="002128B2">
        <w:t xml:space="preserve">  These comments are echoed in the House of Lords Report</w:t>
      </w:r>
      <w:r w:rsidR="002128B2">
        <w:rPr>
          <w:rStyle w:val="FootnoteReference"/>
        </w:rPr>
        <w:footnoteReference w:id="8"/>
      </w:r>
      <w:r w:rsidR="00776820">
        <w:t xml:space="preserve"> </w:t>
      </w:r>
      <w:r w:rsidR="002128B2">
        <w:t>which stated ‘ We note that students in other European countries appear to be more predisposed to participation in the Erasmus programme and mobility schemes generally. We urge the Government and universities to do more to tackle the barrier to mobility in the United Kingdom’.</w:t>
      </w:r>
      <w:r w:rsidR="006079E8">
        <w:t xml:space="preserve">  </w:t>
      </w:r>
      <w:r>
        <w:t>There are probably a number of reasons</w:t>
      </w:r>
      <w:r w:rsidR="00776820">
        <w:t xml:space="preserve"> for the disappointing participation of British students in the Erasmus programme</w:t>
      </w:r>
      <w:r>
        <w:t>, ranging from the relative inflexibility of many British degrees (not just law degrees) compared with degrees offered</w:t>
      </w:r>
      <w:r w:rsidR="00776820">
        <w:t xml:space="preserve"> in other European countries, to</w:t>
      </w:r>
      <w:r>
        <w:t xml:space="preserve"> the much vaunted British reluctance to learn other languages</w:t>
      </w:r>
      <w:r w:rsidR="002A7DF0">
        <w:t xml:space="preserve"> (and lack of awareness of how many degree courses in European universities are now wholly or partially taught in English)</w:t>
      </w:r>
      <w:r>
        <w:t>,</w:t>
      </w:r>
      <w:r w:rsidR="00776820">
        <w:t xml:space="preserve"> and</w:t>
      </w:r>
      <w:r w:rsidR="004300C5">
        <w:t xml:space="preserve"> an island mentality. </w:t>
      </w:r>
    </w:p>
    <w:p w14:paraId="009C54F3" w14:textId="62C907E9" w:rsidR="00015476" w:rsidRDefault="00015476" w:rsidP="00D12FC0">
      <w:pPr>
        <w:spacing w:line="480" w:lineRule="auto"/>
      </w:pPr>
      <w:r>
        <w:t>It is suggested that an Erasmus Intensive Programme may be a way for students studying for law degrees in the UK to gain some of the advantages of a study period abroad, in terms of enhanced employability and international awareness, whilst not extending their degree length, the intensity and multinational dimensions of Intensive Programmes compensating for their relatively short duration.</w:t>
      </w:r>
      <w:r w:rsidR="006E532C">
        <w:t xml:space="preserve">  It is worthy of note that one of the recommendations to the UK government and the EU Commission made by the House of Lords is for support for much shorter Erasmus placements</w:t>
      </w:r>
      <w:r w:rsidR="00846981">
        <w:t xml:space="preserve"> to </w:t>
      </w:r>
      <w:r w:rsidR="00846981">
        <w:lastRenderedPageBreak/>
        <w:t>facilitate participation by a wider range of students and on the basis that shorter periods abroad would still be beneficial in many ways.</w:t>
      </w:r>
      <w:r w:rsidR="00846981">
        <w:rPr>
          <w:rStyle w:val="FootnoteReference"/>
        </w:rPr>
        <w:footnoteReference w:id="9"/>
      </w:r>
      <w:r w:rsidR="006E532C">
        <w:t xml:space="preserve"> </w:t>
      </w:r>
    </w:p>
    <w:p w14:paraId="0873983E" w14:textId="77777777" w:rsidR="00A75AD4" w:rsidRDefault="00A75AD4" w:rsidP="00D12FC0">
      <w:pPr>
        <w:spacing w:line="480" w:lineRule="auto"/>
      </w:pPr>
    </w:p>
    <w:p w14:paraId="55A42B36" w14:textId="77777777" w:rsidR="00A32E15" w:rsidRPr="00A32E15" w:rsidRDefault="00A32E15" w:rsidP="00D12FC0">
      <w:pPr>
        <w:spacing w:line="480" w:lineRule="auto"/>
        <w:rPr>
          <w:b/>
        </w:rPr>
      </w:pPr>
      <w:r>
        <w:rPr>
          <w:b/>
        </w:rPr>
        <w:t>EDUCATION IN THE EUROPEAN UNION – THE ERASMUS PROGRAMME</w:t>
      </w:r>
      <w:r w:rsidR="00242064">
        <w:rPr>
          <w:b/>
        </w:rPr>
        <w:t xml:space="preserve"> AND STUDENT MOBILITY</w:t>
      </w:r>
    </w:p>
    <w:p w14:paraId="161A8DCD" w14:textId="77777777" w:rsidR="00465B6A" w:rsidRDefault="00465B6A" w:rsidP="00D12FC0">
      <w:pPr>
        <w:spacing w:after="0" w:line="480" w:lineRule="auto"/>
        <w:jc w:val="center"/>
        <w:rPr>
          <w:rFonts w:eastAsia="Times New Roman" w:cs="Arial"/>
          <w:b/>
          <w:color w:val="000000"/>
          <w:lang w:eastAsia="en-GB"/>
        </w:rPr>
      </w:pPr>
    </w:p>
    <w:p w14:paraId="13BE9EBB" w14:textId="77777777" w:rsidR="00465B6A" w:rsidRDefault="00465B6A" w:rsidP="00D12FC0">
      <w:pPr>
        <w:spacing w:after="0" w:line="480" w:lineRule="auto"/>
        <w:rPr>
          <w:rFonts w:eastAsia="Times New Roman" w:cs="Arial"/>
          <w:color w:val="000000"/>
          <w:lang w:eastAsia="en-GB"/>
        </w:rPr>
      </w:pPr>
      <w:r>
        <w:rPr>
          <w:rFonts w:eastAsia="Times New Roman" w:cs="Arial"/>
          <w:color w:val="000000"/>
          <w:lang w:eastAsia="en-GB"/>
        </w:rPr>
        <w:t>Before exploring the na</w:t>
      </w:r>
      <w:r w:rsidR="001C37D9">
        <w:rPr>
          <w:rFonts w:eastAsia="Times New Roman" w:cs="Arial"/>
          <w:color w:val="000000"/>
          <w:lang w:eastAsia="en-GB"/>
        </w:rPr>
        <w:t>ture of the Erasmus programme and</w:t>
      </w:r>
      <w:r>
        <w:rPr>
          <w:rFonts w:eastAsia="Times New Roman" w:cs="Arial"/>
          <w:color w:val="000000"/>
          <w:lang w:eastAsia="en-GB"/>
        </w:rPr>
        <w:t xml:space="preserve"> Erasmus Intensive Programmes in particular, it is pertinent to consider briefly the competence of the European Union in higher education.  The following is an extract from the Europa website</w:t>
      </w:r>
    </w:p>
    <w:p w14:paraId="12DC3AB0" w14:textId="77777777" w:rsidR="00465B6A" w:rsidRPr="00465B6A" w:rsidRDefault="00465B6A" w:rsidP="00D12FC0">
      <w:pPr>
        <w:spacing w:after="0" w:line="480" w:lineRule="auto"/>
        <w:rPr>
          <w:rFonts w:eastAsia="Times New Roman" w:cs="Arial"/>
          <w:color w:val="000000"/>
          <w:lang w:eastAsia="en-GB"/>
        </w:rPr>
      </w:pPr>
      <w:r>
        <w:rPr>
          <w:rFonts w:eastAsia="Times New Roman" w:cs="Arial"/>
          <w:color w:val="000000"/>
          <w:lang w:eastAsia="en-GB"/>
        </w:rPr>
        <w:t xml:space="preserve"> </w:t>
      </w:r>
    </w:p>
    <w:p w14:paraId="25C421BE" w14:textId="77777777" w:rsidR="00465B6A" w:rsidRDefault="00465B6A" w:rsidP="00D12FC0">
      <w:pPr>
        <w:spacing w:after="0" w:line="480" w:lineRule="auto"/>
        <w:rPr>
          <w:rFonts w:eastAsia="Times New Roman" w:cs="Arial"/>
          <w:color w:val="000000"/>
          <w:lang w:eastAsia="en-GB"/>
        </w:rPr>
      </w:pPr>
      <w:r>
        <w:rPr>
          <w:rFonts w:eastAsia="Times New Roman" w:cs="Arial"/>
          <w:color w:val="000000"/>
          <w:lang w:eastAsia="en-GB"/>
        </w:rPr>
        <w:t>‘</w:t>
      </w:r>
      <w:r w:rsidRPr="00465B6A">
        <w:rPr>
          <w:rFonts w:eastAsia="Times New Roman" w:cs="Arial"/>
          <w:color w:val="000000"/>
          <w:lang w:eastAsia="en-GB"/>
        </w:rPr>
        <w:t>The EU has a supporting role in education and training policies. Member States are in charge of their own education and training systems, but they co-operate within the EU framework in order to achieve common goals</w:t>
      </w:r>
      <w:r w:rsidR="002F17FF">
        <w:rPr>
          <w:rFonts w:eastAsia="Times New Roman" w:cs="Arial"/>
          <w:color w:val="000000"/>
          <w:lang w:eastAsia="en-GB"/>
        </w:rPr>
        <w:t>.’</w:t>
      </w:r>
      <w:r w:rsidR="00185CCE">
        <w:rPr>
          <w:rStyle w:val="FootnoteReference"/>
          <w:rFonts w:eastAsia="Times New Roman" w:cs="Arial"/>
          <w:color w:val="000000"/>
          <w:lang w:eastAsia="en-GB"/>
        </w:rPr>
        <w:footnoteReference w:id="10"/>
      </w:r>
    </w:p>
    <w:p w14:paraId="704F4B84" w14:textId="77777777" w:rsidR="002F17FF" w:rsidRDefault="002F17FF" w:rsidP="00D12FC0">
      <w:pPr>
        <w:spacing w:after="0" w:line="480" w:lineRule="auto"/>
        <w:rPr>
          <w:rFonts w:eastAsia="Times New Roman" w:cs="Arial"/>
          <w:color w:val="000000"/>
          <w:lang w:eastAsia="en-GB"/>
        </w:rPr>
      </w:pPr>
    </w:p>
    <w:p w14:paraId="2D10EA76" w14:textId="77777777" w:rsidR="00FC6281" w:rsidRDefault="002F17FF" w:rsidP="00D12FC0">
      <w:pPr>
        <w:spacing w:after="0" w:line="480" w:lineRule="auto"/>
        <w:rPr>
          <w:rFonts w:eastAsia="Times New Roman" w:cs="Arial"/>
          <w:color w:val="000000"/>
          <w:lang w:eastAsia="en-GB"/>
        </w:rPr>
      </w:pPr>
      <w:r>
        <w:rPr>
          <w:rFonts w:eastAsia="Times New Roman" w:cs="Arial"/>
          <w:color w:val="000000"/>
          <w:lang w:eastAsia="en-GB"/>
        </w:rPr>
        <w:t>Education has traditionally been regarded as within the province of the Me</w:t>
      </w:r>
      <w:r w:rsidR="00BE3159">
        <w:rPr>
          <w:rFonts w:eastAsia="Times New Roman" w:cs="Arial"/>
          <w:color w:val="000000"/>
          <w:lang w:eastAsia="en-GB"/>
        </w:rPr>
        <w:t>mber States although the EU has always had</w:t>
      </w:r>
      <w:r>
        <w:rPr>
          <w:rFonts w:eastAsia="Times New Roman" w:cs="Arial"/>
          <w:color w:val="000000"/>
          <w:lang w:eastAsia="en-GB"/>
        </w:rPr>
        <w:t xml:space="preserve"> a significant role in the recognition of professional qualifications. </w:t>
      </w:r>
      <w:r w:rsidR="0012014B">
        <w:rPr>
          <w:rFonts w:eastAsia="Times New Roman" w:cs="Arial"/>
          <w:color w:val="000000"/>
          <w:lang w:eastAsia="en-GB"/>
        </w:rPr>
        <w:t xml:space="preserve"> </w:t>
      </w:r>
      <w:r w:rsidR="00465B6A" w:rsidRPr="00465B6A">
        <w:rPr>
          <w:rFonts w:eastAsia="Times New Roman" w:cs="Arial"/>
          <w:color w:val="000000"/>
          <w:lang w:eastAsia="en-GB"/>
        </w:rPr>
        <w:t>While vocational training was identified as an area of Community action in the Treaty of Rome in 1957, education was formally recognised as an area of European Union comp</w:t>
      </w:r>
      <w:r w:rsidR="000350B0">
        <w:rPr>
          <w:rFonts w:eastAsia="Times New Roman" w:cs="Arial"/>
          <w:color w:val="000000"/>
          <w:lang w:eastAsia="en-GB"/>
        </w:rPr>
        <w:t>etency</w:t>
      </w:r>
      <w:r w:rsidR="00D92D7F">
        <w:rPr>
          <w:rFonts w:eastAsia="Times New Roman" w:cs="Arial"/>
          <w:color w:val="000000"/>
          <w:lang w:eastAsia="en-GB"/>
        </w:rPr>
        <w:t xml:space="preserve"> only</w:t>
      </w:r>
      <w:r w:rsidR="000350B0">
        <w:rPr>
          <w:rFonts w:eastAsia="Times New Roman" w:cs="Arial"/>
          <w:color w:val="000000"/>
          <w:lang w:eastAsia="en-GB"/>
        </w:rPr>
        <w:t xml:space="preserve"> in the Maastricht Treaty </w:t>
      </w:r>
      <w:r w:rsidR="00465B6A" w:rsidRPr="00465B6A">
        <w:rPr>
          <w:rFonts w:eastAsia="Times New Roman" w:cs="Arial"/>
          <w:color w:val="000000"/>
          <w:lang w:eastAsia="en-GB"/>
        </w:rPr>
        <w:t xml:space="preserve">1992. </w:t>
      </w:r>
      <w:r w:rsidR="00FC6281">
        <w:rPr>
          <w:rFonts w:eastAsia="Times New Roman" w:cs="Arial"/>
          <w:color w:val="000000"/>
          <w:lang w:eastAsia="en-GB"/>
        </w:rPr>
        <w:t xml:space="preserve"> The ‘supporting role’ referred to in the extract from the Europa website above is an implicit nod to the principle of subsidiarity. </w:t>
      </w:r>
    </w:p>
    <w:p w14:paraId="7CFF6CBB" w14:textId="77777777" w:rsidR="001E340F" w:rsidRDefault="001E340F" w:rsidP="00D12FC0">
      <w:pPr>
        <w:spacing w:before="32" w:after="253" w:line="480" w:lineRule="auto"/>
        <w:rPr>
          <w:rFonts w:eastAsia="Times New Roman" w:cs="Arial"/>
          <w:color w:val="000000"/>
          <w:lang w:eastAsia="en-GB"/>
        </w:rPr>
      </w:pPr>
    </w:p>
    <w:p w14:paraId="6DFB4727" w14:textId="77777777" w:rsidR="00465B6A" w:rsidRPr="00465B6A" w:rsidRDefault="00465B6A" w:rsidP="00D12FC0">
      <w:pPr>
        <w:spacing w:before="32" w:after="253" w:line="480" w:lineRule="auto"/>
        <w:rPr>
          <w:rFonts w:eastAsia="Times New Roman" w:cs="Arial"/>
          <w:color w:val="000000"/>
          <w:lang w:eastAsia="en-GB"/>
        </w:rPr>
      </w:pPr>
      <w:r w:rsidRPr="00465B6A">
        <w:rPr>
          <w:rFonts w:eastAsia="Times New Roman" w:cs="Arial"/>
          <w:color w:val="000000"/>
          <w:lang w:eastAsia="en-GB"/>
        </w:rPr>
        <w:t>The</w:t>
      </w:r>
      <w:r w:rsidR="00BE3159">
        <w:rPr>
          <w:rFonts w:eastAsia="Times New Roman" w:cs="Arial"/>
          <w:color w:val="000000"/>
          <w:lang w:eastAsia="en-GB"/>
        </w:rPr>
        <w:t xml:space="preserve"> relevant</w:t>
      </w:r>
      <w:r w:rsidRPr="00465B6A">
        <w:rPr>
          <w:rFonts w:eastAsia="Times New Roman" w:cs="Arial"/>
          <w:color w:val="000000"/>
          <w:lang w:eastAsia="en-GB"/>
        </w:rPr>
        <w:t xml:space="preserve"> Treaty</w:t>
      </w:r>
      <w:r w:rsidR="00BE3159">
        <w:rPr>
          <w:rFonts w:eastAsia="Times New Roman" w:cs="Arial"/>
          <w:color w:val="000000"/>
          <w:lang w:eastAsia="en-GB"/>
        </w:rPr>
        <w:t xml:space="preserve"> artic</w:t>
      </w:r>
      <w:r w:rsidR="00952C92">
        <w:rPr>
          <w:rFonts w:eastAsia="Times New Roman" w:cs="Arial"/>
          <w:color w:val="000000"/>
          <w:lang w:eastAsia="en-GB"/>
        </w:rPr>
        <w:t>le is now Article 165 TFEU; this</w:t>
      </w:r>
      <w:r w:rsidRPr="00465B6A">
        <w:rPr>
          <w:rFonts w:eastAsia="Times New Roman" w:cs="Arial"/>
          <w:color w:val="000000"/>
          <w:lang w:eastAsia="en-GB"/>
        </w:rPr>
        <w:t xml:space="preserve"> states: "</w:t>
      </w:r>
      <w:r w:rsidR="00BE3159">
        <w:rPr>
          <w:rFonts w:eastAsia="Times New Roman" w:cs="Arial"/>
          <w:i/>
          <w:iCs/>
          <w:color w:val="000000"/>
          <w:lang w:eastAsia="en-GB"/>
        </w:rPr>
        <w:t>[t]he Union</w:t>
      </w:r>
      <w:r w:rsidRPr="00465B6A">
        <w:rPr>
          <w:rFonts w:eastAsia="Times New Roman" w:cs="Arial"/>
          <w:i/>
          <w:iCs/>
          <w:color w:val="000000"/>
          <w:lang w:eastAsia="en-GB"/>
        </w:rPr>
        <w:t xml:space="preserve"> shall contribute to the development of quality education by encouraging co-operation between Member States and, if necessary, by supporting and supplementing their action, while fully respecting the responsibility of </w:t>
      </w:r>
      <w:r w:rsidRPr="00465B6A">
        <w:rPr>
          <w:rFonts w:eastAsia="Times New Roman" w:cs="Arial"/>
          <w:i/>
          <w:iCs/>
          <w:color w:val="000000"/>
          <w:lang w:eastAsia="en-GB"/>
        </w:rPr>
        <w:lastRenderedPageBreak/>
        <w:t>the Member States for the content of teaching and the organisation of education systems and their cultural and linguistic diversity.</w:t>
      </w:r>
      <w:r w:rsidRPr="00465B6A">
        <w:rPr>
          <w:rFonts w:eastAsia="Times New Roman" w:cs="Arial"/>
          <w:color w:val="000000"/>
          <w:lang w:eastAsia="en-GB"/>
        </w:rPr>
        <w:t>"</w:t>
      </w:r>
    </w:p>
    <w:p w14:paraId="5BE5A1DF" w14:textId="77777777" w:rsidR="00465B6A" w:rsidRDefault="00952C92" w:rsidP="00D12FC0">
      <w:pPr>
        <w:spacing w:before="32" w:after="253" w:line="480" w:lineRule="auto"/>
        <w:rPr>
          <w:rFonts w:eastAsia="Times New Roman" w:cs="Arial"/>
          <w:color w:val="000000"/>
          <w:lang w:eastAsia="en-GB"/>
        </w:rPr>
      </w:pPr>
      <w:r>
        <w:rPr>
          <w:rFonts w:eastAsia="Times New Roman" w:cs="Arial"/>
          <w:color w:val="000000"/>
          <w:lang w:eastAsia="en-GB"/>
        </w:rPr>
        <w:t>This was a continuation of the position since the introduction of Community competence</w:t>
      </w:r>
      <w:r w:rsidR="00242064">
        <w:rPr>
          <w:rFonts w:eastAsia="Times New Roman" w:cs="Arial"/>
          <w:color w:val="000000"/>
          <w:lang w:eastAsia="en-GB"/>
        </w:rPr>
        <w:t xml:space="preserve"> in the sphere of education</w:t>
      </w:r>
      <w:r>
        <w:rPr>
          <w:rFonts w:eastAsia="Times New Roman" w:cs="Arial"/>
          <w:color w:val="000000"/>
          <w:lang w:eastAsia="en-GB"/>
        </w:rPr>
        <w:t>, carefully delineated and circumsc</w:t>
      </w:r>
      <w:r w:rsidR="00242064">
        <w:rPr>
          <w:rFonts w:eastAsia="Times New Roman" w:cs="Arial"/>
          <w:color w:val="000000"/>
          <w:lang w:eastAsia="en-GB"/>
        </w:rPr>
        <w:t>ribed,</w:t>
      </w:r>
      <w:r>
        <w:rPr>
          <w:rFonts w:eastAsia="Times New Roman" w:cs="Arial"/>
          <w:color w:val="000000"/>
          <w:lang w:eastAsia="en-GB"/>
        </w:rPr>
        <w:t xml:space="preserve"> since the Maastricht Treaty 1992.  </w:t>
      </w:r>
      <w:r w:rsidR="00465B6A" w:rsidRPr="00465B6A">
        <w:rPr>
          <w:rFonts w:eastAsia="Times New Roman" w:cs="Arial"/>
          <w:color w:val="000000"/>
          <w:lang w:eastAsia="en-GB"/>
        </w:rPr>
        <w:t xml:space="preserve">The </w:t>
      </w:r>
      <w:r w:rsidR="002F3A37">
        <w:fldChar w:fldCharType="begin"/>
      </w:r>
      <w:r w:rsidR="002F3A37">
        <w:instrText xml:space="preserve"> HYPERLINK "http://europa.eu/lisbon_treaty/index_en.htm" \t "_blank" </w:instrText>
      </w:r>
      <w:r w:rsidR="002F3A37">
        <w:fldChar w:fldCharType="separate"/>
      </w:r>
      <w:r w:rsidR="00465B6A" w:rsidRPr="00465B6A">
        <w:rPr>
          <w:rFonts w:eastAsia="Times New Roman" w:cs="Arial"/>
          <w:color w:val="0000FF"/>
          <w:u w:val="single"/>
          <w:lang w:eastAsia="en-GB"/>
        </w:rPr>
        <w:t>Treaty of Lisbon</w:t>
      </w:r>
      <w:r w:rsidR="002F3A37">
        <w:rPr>
          <w:rFonts w:eastAsia="Times New Roman" w:cs="Arial"/>
          <w:color w:val="0000FF"/>
          <w:u w:val="single"/>
          <w:lang w:eastAsia="en-GB"/>
        </w:rPr>
        <w:fldChar w:fldCharType="end"/>
      </w:r>
      <w:r w:rsidR="00465B6A" w:rsidRPr="00465B6A">
        <w:rPr>
          <w:rFonts w:eastAsia="Times New Roman" w:cs="Arial"/>
          <w:color w:val="000000"/>
          <w:lang w:eastAsia="en-GB"/>
        </w:rPr>
        <w:t>, in force since 1 December 2009, did not change the provisions on the role of the EU in education and training.</w:t>
      </w:r>
      <w:r w:rsidR="00465B6A">
        <w:rPr>
          <w:rStyle w:val="FootnoteReference"/>
          <w:rFonts w:eastAsia="Times New Roman" w:cs="Arial"/>
          <w:color w:val="000000"/>
          <w:lang w:eastAsia="en-GB"/>
        </w:rPr>
        <w:footnoteReference w:id="11"/>
      </w:r>
    </w:p>
    <w:p w14:paraId="137FC7D9" w14:textId="77777777" w:rsidR="00FD7141" w:rsidRPr="00242064" w:rsidRDefault="00DF0516" w:rsidP="00D12FC0">
      <w:pPr>
        <w:spacing w:before="32" w:after="253" w:line="480" w:lineRule="auto"/>
        <w:rPr>
          <w:rFonts w:eastAsia="Times New Roman" w:cs="Arial"/>
          <w:color w:val="000000"/>
          <w:lang w:eastAsia="en-GB"/>
        </w:rPr>
      </w:pPr>
      <w:r>
        <w:rPr>
          <w:rFonts w:eastAsia="Times New Roman" w:cs="Arial"/>
          <w:color w:val="000000"/>
          <w:lang w:eastAsia="en-GB"/>
        </w:rPr>
        <w:t>In the specifi</w:t>
      </w:r>
      <w:r w:rsidR="00AD5AAB">
        <w:rPr>
          <w:rFonts w:eastAsia="Times New Roman" w:cs="Arial"/>
          <w:color w:val="000000"/>
          <w:lang w:eastAsia="en-GB"/>
        </w:rPr>
        <w:t xml:space="preserve">c context of higher education, which has been recognised, provided publicly </w:t>
      </w:r>
      <w:r w:rsidR="00952C92">
        <w:rPr>
          <w:rFonts w:eastAsia="Times New Roman" w:cs="Arial"/>
          <w:color w:val="000000"/>
          <w:lang w:eastAsia="en-GB"/>
        </w:rPr>
        <w:t>funded, as being</w:t>
      </w:r>
      <w:r w:rsidR="0012014B">
        <w:rPr>
          <w:rFonts w:eastAsia="Times New Roman" w:cs="Arial"/>
          <w:color w:val="000000"/>
          <w:lang w:eastAsia="en-GB"/>
        </w:rPr>
        <w:t xml:space="preserve"> within the scope of the Union’s competence</w:t>
      </w:r>
      <w:r w:rsidR="00AD5AAB">
        <w:rPr>
          <w:rFonts w:eastAsia="Times New Roman" w:cs="Arial"/>
          <w:color w:val="000000"/>
          <w:lang w:eastAsia="en-GB"/>
        </w:rPr>
        <w:t xml:space="preserve"> </w:t>
      </w:r>
      <w:r>
        <w:rPr>
          <w:rFonts w:eastAsia="Times New Roman" w:cs="Arial"/>
          <w:color w:val="000000"/>
          <w:lang w:eastAsia="en-GB"/>
        </w:rPr>
        <w:t xml:space="preserve">since the </w:t>
      </w:r>
      <w:proofErr w:type="spellStart"/>
      <w:r>
        <w:rPr>
          <w:rFonts w:eastAsia="Times New Roman" w:cs="Arial"/>
          <w:i/>
          <w:color w:val="000000"/>
          <w:lang w:eastAsia="en-GB"/>
        </w:rPr>
        <w:t>Gravier</w:t>
      </w:r>
      <w:proofErr w:type="spellEnd"/>
      <w:r w:rsidR="00AD5AAB" w:rsidRPr="000350B0">
        <w:rPr>
          <w:rStyle w:val="FootnoteReference"/>
          <w:rFonts w:eastAsia="Times New Roman" w:cs="Arial"/>
          <w:color w:val="000000"/>
          <w:lang w:eastAsia="en-GB"/>
        </w:rPr>
        <w:footnoteReference w:id="12"/>
      </w:r>
      <w:r w:rsidR="009030F9">
        <w:rPr>
          <w:rFonts w:eastAsia="Times New Roman" w:cs="Arial"/>
          <w:i/>
          <w:color w:val="000000"/>
          <w:lang w:eastAsia="en-GB"/>
        </w:rPr>
        <w:t xml:space="preserve"> </w:t>
      </w:r>
      <w:r w:rsidR="009030F9">
        <w:rPr>
          <w:rFonts w:eastAsia="Times New Roman" w:cs="Arial"/>
          <w:color w:val="000000"/>
          <w:lang w:eastAsia="en-GB"/>
        </w:rPr>
        <w:t xml:space="preserve">and </w:t>
      </w:r>
      <w:proofErr w:type="spellStart"/>
      <w:r w:rsidR="009030F9">
        <w:rPr>
          <w:rFonts w:eastAsia="Times New Roman" w:cs="Arial"/>
          <w:i/>
          <w:color w:val="000000"/>
          <w:lang w:eastAsia="en-GB"/>
        </w:rPr>
        <w:t>Blaizot</w:t>
      </w:r>
      <w:proofErr w:type="spellEnd"/>
      <w:r w:rsidR="00AD5AAB" w:rsidRPr="000350B0">
        <w:rPr>
          <w:rStyle w:val="FootnoteReference"/>
          <w:rFonts w:eastAsia="Times New Roman" w:cs="Arial"/>
          <w:color w:val="000000"/>
          <w:lang w:eastAsia="en-GB"/>
        </w:rPr>
        <w:footnoteReference w:id="13"/>
      </w:r>
      <w:r w:rsidR="009030F9">
        <w:rPr>
          <w:rFonts w:eastAsia="Times New Roman" w:cs="Arial"/>
          <w:i/>
          <w:color w:val="000000"/>
          <w:lang w:eastAsia="en-GB"/>
        </w:rPr>
        <w:t xml:space="preserve"> </w:t>
      </w:r>
      <w:r>
        <w:rPr>
          <w:rFonts w:eastAsia="Times New Roman" w:cs="Arial"/>
          <w:color w:val="000000"/>
          <w:lang w:eastAsia="en-GB"/>
        </w:rPr>
        <w:t>judgment</w:t>
      </w:r>
      <w:r w:rsidR="009030F9">
        <w:rPr>
          <w:rFonts w:eastAsia="Times New Roman" w:cs="Arial"/>
          <w:color w:val="000000"/>
          <w:lang w:eastAsia="en-GB"/>
        </w:rPr>
        <w:t>s</w:t>
      </w:r>
      <w:r w:rsidR="00AD5AAB">
        <w:rPr>
          <w:rFonts w:eastAsia="Times New Roman" w:cs="Arial"/>
          <w:color w:val="000000"/>
          <w:lang w:eastAsia="en-GB"/>
        </w:rPr>
        <w:t>, the</w:t>
      </w:r>
      <w:r>
        <w:rPr>
          <w:rFonts w:eastAsia="Times New Roman" w:cs="Arial"/>
          <w:color w:val="000000"/>
          <w:lang w:eastAsia="en-GB"/>
        </w:rPr>
        <w:t xml:space="preserve"> European Commission operates the Erasmus Programme</w:t>
      </w:r>
      <w:r w:rsidR="00952C92">
        <w:rPr>
          <w:rFonts w:eastAsia="Times New Roman" w:cs="Arial"/>
          <w:color w:val="000000"/>
          <w:lang w:eastAsia="en-GB"/>
        </w:rPr>
        <w:t>, introduced in 1987 and currently</w:t>
      </w:r>
      <w:r>
        <w:rPr>
          <w:rFonts w:eastAsia="Times New Roman" w:cs="Arial"/>
          <w:color w:val="000000"/>
          <w:lang w:eastAsia="en-GB"/>
        </w:rPr>
        <w:t xml:space="preserve"> part of the Lifelong Learning Programme.  According to the Commission, this is the ‘EU’s flagship education and training programme enabling 200,000 students to study abroad each year’.</w:t>
      </w:r>
      <w:r>
        <w:rPr>
          <w:rStyle w:val="FootnoteReference"/>
          <w:rFonts w:eastAsia="Times New Roman" w:cs="Arial"/>
          <w:color w:val="000000"/>
          <w:lang w:eastAsia="en-GB"/>
        </w:rPr>
        <w:footnoteReference w:id="14"/>
      </w:r>
      <w:r>
        <w:rPr>
          <w:rFonts w:eastAsia="Times New Roman" w:cs="Arial"/>
          <w:color w:val="000000"/>
          <w:lang w:eastAsia="en-GB"/>
        </w:rPr>
        <w:t xml:space="preserve">  </w:t>
      </w:r>
      <w:r w:rsidR="00F97A47">
        <w:rPr>
          <w:rFonts w:eastAsia="Times New Roman" w:cs="Arial"/>
          <w:b/>
          <w:color w:val="000000"/>
          <w:lang w:eastAsia="en-GB"/>
        </w:rPr>
        <w:t xml:space="preserve"> </w:t>
      </w:r>
    </w:p>
    <w:p w14:paraId="28228F86" w14:textId="77777777" w:rsidR="00FC2090" w:rsidRDefault="00242064" w:rsidP="00D12FC0">
      <w:pPr>
        <w:spacing w:before="32" w:after="253" w:line="480" w:lineRule="auto"/>
        <w:rPr>
          <w:rFonts w:cs="Arial"/>
          <w:color w:val="000000"/>
        </w:rPr>
      </w:pPr>
      <w:proofErr w:type="spellStart"/>
      <w:r>
        <w:rPr>
          <w:rFonts w:cs="Arial"/>
          <w:color w:val="000000"/>
        </w:rPr>
        <w:t>Teichler</w:t>
      </w:r>
      <w:proofErr w:type="spellEnd"/>
      <w:r>
        <w:rPr>
          <w:rFonts w:cs="Arial"/>
          <w:color w:val="000000"/>
        </w:rPr>
        <w:t xml:space="preserve"> has pointed out that</w:t>
      </w:r>
      <w:r w:rsidR="00FC2090">
        <w:rPr>
          <w:rFonts w:cs="Arial"/>
          <w:color w:val="000000"/>
        </w:rPr>
        <w:t xml:space="preserve"> students have travelled to different countries to study for hundreds of years: he states that historians suggest that about one tenth of students in medieval universities came from other countries.</w:t>
      </w:r>
      <w:r w:rsidR="00FC2090">
        <w:rPr>
          <w:rStyle w:val="FootnoteReference"/>
          <w:rFonts w:cs="Arial"/>
          <w:color w:val="000000"/>
        </w:rPr>
        <w:footnoteReference w:id="15"/>
      </w:r>
      <w:r w:rsidR="00FC2090">
        <w:rPr>
          <w:rFonts w:cs="Arial"/>
          <w:color w:val="000000"/>
        </w:rPr>
        <w:t xml:space="preserve">   Within Europe, the Erasmus programme has undoubtedly promoted</w:t>
      </w:r>
      <w:r>
        <w:rPr>
          <w:rFonts w:cs="Arial"/>
          <w:color w:val="000000"/>
        </w:rPr>
        <w:t xml:space="preserve"> and led to a growth in</w:t>
      </w:r>
      <w:r w:rsidR="00D9055D">
        <w:rPr>
          <w:rFonts w:cs="Arial"/>
          <w:color w:val="000000"/>
        </w:rPr>
        <w:t xml:space="preserve"> student mobility, though</w:t>
      </w:r>
      <w:r w:rsidR="00FC2090">
        <w:rPr>
          <w:rFonts w:cs="Arial"/>
          <w:color w:val="000000"/>
        </w:rPr>
        <w:t xml:space="preserve"> there was much to build on already, particularly in the context of students coming from countries with colonial links, or by virtue of geographical and cultural connections or a historical tr</w:t>
      </w:r>
      <w:r w:rsidR="00D9055D">
        <w:rPr>
          <w:rFonts w:cs="Arial"/>
          <w:color w:val="000000"/>
        </w:rPr>
        <w:t>adition of student exchanges.  However, t</w:t>
      </w:r>
      <w:r w:rsidR="00FC2090">
        <w:rPr>
          <w:rFonts w:cs="Arial"/>
          <w:color w:val="000000"/>
        </w:rPr>
        <w:t>he statistics as to the number of students participating in Erasmus progra</w:t>
      </w:r>
      <w:r w:rsidR="000350B0">
        <w:rPr>
          <w:rFonts w:cs="Arial"/>
          <w:color w:val="000000"/>
        </w:rPr>
        <w:t xml:space="preserve">mmes generally are impressive: </w:t>
      </w:r>
      <w:r w:rsidR="004031DD">
        <w:rPr>
          <w:rFonts w:cs="Arial"/>
          <w:color w:val="000000"/>
        </w:rPr>
        <w:t>to date</w:t>
      </w:r>
      <w:r w:rsidR="00FC2090">
        <w:rPr>
          <w:rFonts w:cs="Arial"/>
          <w:color w:val="000000"/>
        </w:rPr>
        <w:t xml:space="preserve"> more than 2.2 million</w:t>
      </w:r>
      <w:r w:rsidR="00B211B9">
        <w:rPr>
          <w:rFonts w:cs="Arial"/>
          <w:color w:val="000000"/>
        </w:rPr>
        <w:t xml:space="preserve"> students</w:t>
      </w:r>
      <w:r w:rsidR="004031DD">
        <w:rPr>
          <w:rFonts w:cs="Arial"/>
          <w:color w:val="000000"/>
        </w:rPr>
        <w:t>.</w:t>
      </w:r>
      <w:r w:rsidR="004031DD">
        <w:rPr>
          <w:rStyle w:val="FootnoteReference"/>
          <w:rFonts w:cs="Arial"/>
          <w:color w:val="000000"/>
        </w:rPr>
        <w:footnoteReference w:id="16"/>
      </w:r>
      <w:r w:rsidR="00FC2090">
        <w:rPr>
          <w:rFonts w:cs="Arial"/>
          <w:color w:val="000000"/>
        </w:rPr>
        <w:t xml:space="preserve">  According to Jan </w:t>
      </w:r>
      <w:proofErr w:type="spellStart"/>
      <w:r w:rsidR="00FC2090">
        <w:rPr>
          <w:rFonts w:cs="Arial"/>
          <w:color w:val="000000"/>
        </w:rPr>
        <w:t>Figel</w:t>
      </w:r>
      <w:proofErr w:type="spellEnd"/>
      <w:r w:rsidR="00FC2090">
        <w:rPr>
          <w:rFonts w:cs="Arial"/>
          <w:color w:val="000000"/>
        </w:rPr>
        <w:t xml:space="preserve">, </w:t>
      </w:r>
      <w:r w:rsidR="00B211B9">
        <w:rPr>
          <w:rFonts w:cs="Arial"/>
          <w:color w:val="000000"/>
        </w:rPr>
        <w:t xml:space="preserve">who served as </w:t>
      </w:r>
      <w:r w:rsidR="00FC2090">
        <w:rPr>
          <w:rFonts w:cs="Arial"/>
          <w:color w:val="000000"/>
        </w:rPr>
        <w:t>European Commissioner for Education, Training, Culture and Youth</w:t>
      </w:r>
      <w:r w:rsidR="00B211B9">
        <w:rPr>
          <w:rFonts w:cs="Arial"/>
          <w:color w:val="000000"/>
        </w:rPr>
        <w:t xml:space="preserve"> from 2004 to 2009</w:t>
      </w:r>
      <w:r w:rsidR="00FC2090">
        <w:rPr>
          <w:rFonts w:cs="Arial"/>
          <w:color w:val="000000"/>
        </w:rPr>
        <w:t xml:space="preserve">, four out of five Erasmus students have </w:t>
      </w:r>
      <w:r w:rsidR="00FC2090">
        <w:rPr>
          <w:rFonts w:cs="Arial"/>
          <w:color w:val="000000"/>
        </w:rPr>
        <w:lastRenderedPageBreak/>
        <w:t>been the first in their family to study abroad and Erasmus programmes have ‘given “Europe” real meaning in hundreds of thousands of families for whom it would otherwise have remained a vague and abstract concept’.</w:t>
      </w:r>
      <w:r w:rsidR="00FC2090">
        <w:rPr>
          <w:rStyle w:val="FootnoteReference"/>
          <w:rFonts w:cs="Arial"/>
          <w:color w:val="000000"/>
        </w:rPr>
        <w:footnoteReference w:id="17"/>
      </w:r>
    </w:p>
    <w:p w14:paraId="50E8CA4A" w14:textId="77777777" w:rsidR="00FE6FFA" w:rsidRDefault="004031DD" w:rsidP="00D12FC0">
      <w:pPr>
        <w:spacing w:before="32" w:after="253" w:line="480" w:lineRule="auto"/>
        <w:rPr>
          <w:rFonts w:cs="Arial"/>
          <w:color w:val="000000"/>
        </w:rPr>
      </w:pPr>
      <w:r>
        <w:rPr>
          <w:rFonts w:cs="Arial"/>
          <w:color w:val="000000"/>
        </w:rPr>
        <w:t xml:space="preserve"> The Commission</w:t>
      </w:r>
      <w:r w:rsidR="00B211B9">
        <w:rPr>
          <w:rFonts w:cs="Arial"/>
          <w:color w:val="000000"/>
        </w:rPr>
        <w:t>’s literature about the Erasmus programme</w:t>
      </w:r>
      <w:r>
        <w:rPr>
          <w:rFonts w:cs="Arial"/>
          <w:color w:val="000000"/>
        </w:rPr>
        <w:t xml:space="preserve"> presents an entirely positive perspective.  It behoves to consider other stakeholders in higher education: </w:t>
      </w:r>
      <w:r w:rsidR="00D20AF4">
        <w:rPr>
          <w:rFonts w:cs="Arial"/>
          <w:color w:val="000000"/>
        </w:rPr>
        <w:t>it has been noted that</w:t>
      </w:r>
      <w:r w:rsidR="00FC2090">
        <w:rPr>
          <w:rFonts w:cs="Arial"/>
          <w:color w:val="000000"/>
        </w:rPr>
        <w:t xml:space="preserve"> some Member States may fear ‘brain drain’ (</w:t>
      </w:r>
      <w:proofErr w:type="spellStart"/>
      <w:r w:rsidR="00FC2090">
        <w:rPr>
          <w:rFonts w:cs="Arial"/>
          <w:color w:val="000000"/>
        </w:rPr>
        <w:t>ie</w:t>
      </w:r>
      <w:proofErr w:type="spellEnd"/>
      <w:r w:rsidR="00FC2090">
        <w:rPr>
          <w:rFonts w:cs="Arial"/>
          <w:color w:val="000000"/>
        </w:rPr>
        <w:t xml:space="preserve"> short term student mobility leading to long-term mobility, which could lead to shortages of domestic manpower)</w:t>
      </w:r>
      <w:r w:rsidR="002A50A5">
        <w:rPr>
          <w:rFonts w:cs="Arial"/>
          <w:color w:val="000000"/>
        </w:rPr>
        <w:t>.</w:t>
      </w:r>
      <w:r w:rsidR="00FC2090">
        <w:rPr>
          <w:rStyle w:val="FootnoteReference"/>
          <w:rFonts w:cs="Arial"/>
          <w:color w:val="000000"/>
        </w:rPr>
        <w:footnoteReference w:id="18"/>
      </w:r>
      <w:r w:rsidR="00FC2090">
        <w:rPr>
          <w:rFonts w:cs="Arial"/>
          <w:color w:val="000000"/>
        </w:rPr>
        <w:t xml:space="preserve">  It is also worth commenting that the traditional impetuses for mobility, often arising from colonial links, still persist and can be regarded as economically important for national governments who may have agendas for the promotion of student mobility, particularly inward, which are not altogether in line with the rationale of the European Commission, consisting of </w:t>
      </w:r>
      <w:r w:rsidR="00D20AF4">
        <w:rPr>
          <w:rFonts w:cs="Arial"/>
          <w:color w:val="000000"/>
        </w:rPr>
        <w:t xml:space="preserve">a </w:t>
      </w:r>
      <w:r w:rsidR="00FC2090">
        <w:rPr>
          <w:rFonts w:cs="Arial"/>
          <w:color w:val="000000"/>
        </w:rPr>
        <w:t>more general internationalisation</w:t>
      </w:r>
      <w:r w:rsidR="00D20AF4">
        <w:rPr>
          <w:rFonts w:cs="Arial"/>
          <w:color w:val="000000"/>
        </w:rPr>
        <w:t xml:space="preserve"> policy</w:t>
      </w:r>
      <w:r w:rsidR="00FC2090">
        <w:rPr>
          <w:rFonts w:cs="Arial"/>
          <w:color w:val="000000"/>
        </w:rPr>
        <w:t xml:space="preserve"> than the development of the New Europe, and also simply as a source of income.</w:t>
      </w:r>
      <w:r w:rsidR="00D9055D">
        <w:rPr>
          <w:rFonts w:cs="Arial"/>
          <w:color w:val="000000"/>
        </w:rPr>
        <w:t xml:space="preserve">  It is also the case that student mobility is</w:t>
      </w:r>
      <w:r w:rsidR="00B211B9">
        <w:rPr>
          <w:rFonts w:cs="Arial"/>
          <w:color w:val="000000"/>
        </w:rPr>
        <w:t xml:space="preserve"> attributable </w:t>
      </w:r>
      <w:r w:rsidR="00D9055D">
        <w:rPr>
          <w:rFonts w:cs="Arial"/>
          <w:color w:val="000000"/>
        </w:rPr>
        <w:t>to increasing globalisation as well as</w:t>
      </w:r>
      <w:r w:rsidR="00B211B9">
        <w:rPr>
          <w:rFonts w:cs="Arial"/>
          <w:color w:val="000000"/>
        </w:rPr>
        <w:t xml:space="preserve"> to the development of Europe</w:t>
      </w:r>
      <w:r w:rsidR="001E340F">
        <w:rPr>
          <w:rFonts w:cs="Arial"/>
          <w:color w:val="000000"/>
        </w:rPr>
        <w:t>an integration</w:t>
      </w:r>
      <w:r w:rsidR="00B32259">
        <w:rPr>
          <w:rFonts w:cs="Arial"/>
          <w:color w:val="000000"/>
        </w:rPr>
        <w:t xml:space="preserve">: </w:t>
      </w:r>
      <w:proofErr w:type="spellStart"/>
      <w:r w:rsidR="00B32259">
        <w:rPr>
          <w:rFonts w:cs="Arial"/>
          <w:color w:val="000000"/>
        </w:rPr>
        <w:t>Teichler</w:t>
      </w:r>
      <w:proofErr w:type="spellEnd"/>
      <w:r w:rsidR="00B32259">
        <w:rPr>
          <w:rStyle w:val="FootnoteReference"/>
          <w:rFonts w:cs="Arial"/>
          <w:color w:val="000000"/>
        </w:rPr>
        <w:footnoteReference w:id="19"/>
      </w:r>
      <w:r w:rsidR="00FC2090">
        <w:rPr>
          <w:rFonts w:cs="Arial"/>
          <w:color w:val="000000"/>
        </w:rPr>
        <w:t xml:space="preserve"> </w:t>
      </w:r>
      <w:r w:rsidR="0000404A">
        <w:rPr>
          <w:rFonts w:cs="Arial"/>
          <w:color w:val="000000"/>
        </w:rPr>
        <w:t>considers ‘</w:t>
      </w:r>
      <w:proofErr w:type="spellStart"/>
      <w:r w:rsidR="0000404A">
        <w:rPr>
          <w:rFonts w:cs="Arial"/>
          <w:color w:val="000000"/>
        </w:rPr>
        <w:t>Europeanisation</w:t>
      </w:r>
      <w:proofErr w:type="spellEnd"/>
      <w:r w:rsidR="0000404A">
        <w:rPr>
          <w:rFonts w:cs="Arial"/>
          <w:color w:val="000000"/>
        </w:rPr>
        <w:t>’ as part of the larger phenomenon of ‘internationalisation’ or ‘globalisation’ and points out that whilst each term ‘addresses the process of internationalisation’ they each have a different emphasis.</w:t>
      </w:r>
      <w:r w:rsidR="004A5A3E">
        <w:rPr>
          <w:rFonts w:cs="Arial"/>
          <w:color w:val="000000"/>
        </w:rPr>
        <w:t xml:space="preserve">  This is not to undermine the value of a specifically European focused mobility programme but rather to highlight its place as part of a larger scale agenda.</w:t>
      </w:r>
    </w:p>
    <w:p w14:paraId="0DA56515" w14:textId="77777777" w:rsidR="00FE6FFA" w:rsidRDefault="00FE6FFA" w:rsidP="00D12FC0">
      <w:pPr>
        <w:spacing w:before="32" w:after="253" w:line="480" w:lineRule="auto"/>
        <w:rPr>
          <w:rFonts w:cs="Arial"/>
          <w:color w:val="000000"/>
        </w:rPr>
      </w:pPr>
      <w:r>
        <w:rPr>
          <w:rFonts w:cs="Arial"/>
          <w:color w:val="000000"/>
        </w:rPr>
        <w:t>A word of caution is in order.</w:t>
      </w:r>
      <w:r w:rsidR="00D20AF4">
        <w:rPr>
          <w:rFonts w:cs="Arial"/>
          <w:color w:val="000000"/>
        </w:rPr>
        <w:t xml:space="preserve">  The focus of this article is on Erasmus Intensive Programmes (“IPs”), which are explained in the section below.</w:t>
      </w:r>
      <w:r>
        <w:rPr>
          <w:rFonts w:cs="Arial"/>
          <w:color w:val="000000"/>
        </w:rPr>
        <w:t xml:space="preserve">  Much is written about student mobility and Erasmus programmes in general.  However, it is</w:t>
      </w:r>
      <w:r w:rsidR="00D20AF4">
        <w:rPr>
          <w:rFonts w:cs="Arial"/>
          <w:color w:val="000000"/>
        </w:rPr>
        <w:t xml:space="preserve"> sometimes</w:t>
      </w:r>
      <w:r>
        <w:rPr>
          <w:rFonts w:cs="Arial"/>
          <w:color w:val="000000"/>
        </w:rPr>
        <w:t xml:space="preserve"> difficult to disentangle what is written concerning </w:t>
      </w:r>
      <w:r>
        <w:rPr>
          <w:rFonts w:cs="Arial"/>
          <w:color w:val="000000"/>
        </w:rPr>
        <w:lastRenderedPageBreak/>
        <w:t xml:space="preserve">participation </w:t>
      </w:r>
      <w:r w:rsidR="002A50A5">
        <w:rPr>
          <w:rFonts w:cs="Arial"/>
          <w:color w:val="000000"/>
        </w:rPr>
        <w:t>in Erasmus IPs from that written</w:t>
      </w:r>
      <w:r>
        <w:rPr>
          <w:rFonts w:cs="Arial"/>
          <w:color w:val="000000"/>
        </w:rPr>
        <w:t xml:space="preserve"> about Erasmus programmes overall.  </w:t>
      </w:r>
      <w:r w:rsidR="00D20AF4">
        <w:rPr>
          <w:rFonts w:cs="Arial"/>
          <w:color w:val="000000"/>
        </w:rPr>
        <w:t>Not diss</w:t>
      </w:r>
      <w:r>
        <w:rPr>
          <w:rFonts w:cs="Arial"/>
          <w:color w:val="000000"/>
        </w:rPr>
        <w:t xml:space="preserve">imilar problems arise when investigating student mobility </w:t>
      </w:r>
      <w:r w:rsidR="00D20AF4">
        <w:rPr>
          <w:rFonts w:cs="Arial"/>
          <w:color w:val="000000"/>
        </w:rPr>
        <w:t>on the world rather than the EU stage</w:t>
      </w:r>
      <w:r>
        <w:rPr>
          <w:rFonts w:cs="Arial"/>
          <w:color w:val="000000"/>
        </w:rPr>
        <w:t>, given that in statistics published by UNESCO, OECD and various different agencies there is no agreed definition of ‘foreign’ or ‘international’ students, of student mobility, or of the concept of study abroad: some students whose nationality differs from that of their host state in fact regard their host state as ‘home’ as they have attended secondary school there, and some students who hold the nationality of the state  in which they are studying, in fact studied abroad before returning home to study further.</w:t>
      </w:r>
      <w:r>
        <w:rPr>
          <w:rStyle w:val="FootnoteReference"/>
          <w:rFonts w:cs="Arial"/>
          <w:color w:val="000000"/>
        </w:rPr>
        <w:footnoteReference w:id="20"/>
      </w:r>
      <w:r>
        <w:rPr>
          <w:rFonts w:cs="Arial"/>
          <w:color w:val="000000"/>
        </w:rPr>
        <w:t xml:space="preserve">  There is also a decided lack of data available about students participating in IPs, since most countries do not include short term mobile students when gathering information about mobile students. </w:t>
      </w:r>
    </w:p>
    <w:p w14:paraId="1D239532" w14:textId="77777777" w:rsidR="00FC2090" w:rsidRPr="00FD7141" w:rsidRDefault="00FC2090" w:rsidP="00D12FC0">
      <w:pPr>
        <w:spacing w:before="32" w:after="253" w:line="480" w:lineRule="auto"/>
        <w:rPr>
          <w:rFonts w:eastAsia="Times New Roman" w:cs="Arial"/>
          <w:b/>
          <w:color w:val="000000"/>
          <w:lang w:eastAsia="en-GB"/>
        </w:rPr>
      </w:pPr>
      <w:r>
        <w:rPr>
          <w:rFonts w:eastAsia="Times New Roman" w:cs="Arial"/>
          <w:b/>
          <w:color w:val="000000"/>
          <w:lang w:eastAsia="en-GB"/>
        </w:rPr>
        <w:t xml:space="preserve">ERASMUS </w:t>
      </w:r>
      <w:r w:rsidR="0051089F">
        <w:rPr>
          <w:rFonts w:eastAsia="Times New Roman" w:cs="Arial"/>
          <w:b/>
          <w:color w:val="000000"/>
          <w:lang w:eastAsia="en-GB"/>
        </w:rPr>
        <w:t xml:space="preserve">INTENSIVE </w:t>
      </w:r>
      <w:r>
        <w:rPr>
          <w:rFonts w:eastAsia="Times New Roman" w:cs="Arial"/>
          <w:b/>
          <w:color w:val="000000"/>
          <w:lang w:eastAsia="en-GB"/>
        </w:rPr>
        <w:t>PROGRAMMES</w:t>
      </w:r>
    </w:p>
    <w:p w14:paraId="791F6C56" w14:textId="77777777" w:rsidR="00DF0516" w:rsidRDefault="00D9055D" w:rsidP="00D12FC0">
      <w:pPr>
        <w:spacing w:before="32" w:after="253" w:line="480" w:lineRule="auto"/>
        <w:rPr>
          <w:rFonts w:eastAsia="Times New Roman" w:cs="Arial"/>
          <w:color w:val="000000"/>
          <w:lang w:eastAsia="en-GB"/>
        </w:rPr>
      </w:pPr>
      <w:r>
        <w:rPr>
          <w:rFonts w:eastAsia="Times New Roman" w:cs="Arial"/>
          <w:color w:val="000000"/>
          <w:lang w:eastAsia="en-GB"/>
        </w:rPr>
        <w:t>The Erasmus programme is</w:t>
      </w:r>
      <w:r w:rsidR="00E31A59">
        <w:rPr>
          <w:rFonts w:eastAsia="Times New Roman" w:cs="Arial"/>
          <w:color w:val="000000"/>
          <w:lang w:eastAsia="en-GB"/>
        </w:rPr>
        <w:t xml:space="preserve"> be</w:t>
      </w:r>
      <w:r w:rsidR="00FD7141">
        <w:rPr>
          <w:rFonts w:eastAsia="Times New Roman" w:cs="Arial"/>
          <w:color w:val="000000"/>
          <w:lang w:eastAsia="en-GB"/>
        </w:rPr>
        <w:t>st</w:t>
      </w:r>
      <w:r w:rsidR="00E31A59">
        <w:rPr>
          <w:rFonts w:eastAsia="Times New Roman" w:cs="Arial"/>
          <w:color w:val="000000"/>
          <w:lang w:eastAsia="en-GB"/>
        </w:rPr>
        <w:t xml:space="preserve"> known for facilitating university students to spend </w:t>
      </w:r>
      <w:r w:rsidR="00837A04">
        <w:rPr>
          <w:rFonts w:eastAsia="Times New Roman" w:cs="Arial"/>
          <w:color w:val="000000"/>
          <w:lang w:eastAsia="en-GB"/>
        </w:rPr>
        <w:t>periods of three months</w:t>
      </w:r>
      <w:r w:rsidR="00E31A59">
        <w:rPr>
          <w:rFonts w:eastAsia="Times New Roman" w:cs="Arial"/>
          <w:color w:val="000000"/>
          <w:lang w:eastAsia="en-GB"/>
        </w:rPr>
        <w:t xml:space="preserve"> to </w:t>
      </w:r>
      <w:r w:rsidR="00837A04">
        <w:rPr>
          <w:rFonts w:eastAsia="Times New Roman" w:cs="Arial"/>
          <w:color w:val="000000"/>
          <w:lang w:eastAsia="en-GB"/>
        </w:rPr>
        <w:t>one</w:t>
      </w:r>
      <w:r w:rsidR="00E31A59">
        <w:rPr>
          <w:rFonts w:eastAsia="Times New Roman" w:cs="Arial"/>
          <w:color w:val="000000"/>
          <w:lang w:eastAsia="en-GB"/>
        </w:rPr>
        <w:t xml:space="preserve"> year studying in a university in another EU member state.  However, funding is also available for shorter programmes which involve students and staff from universities of different EU member states</w:t>
      </w:r>
      <w:r w:rsidR="000D0214">
        <w:rPr>
          <w:rFonts w:eastAsia="Times New Roman" w:cs="Arial"/>
          <w:color w:val="000000"/>
          <w:lang w:eastAsia="en-GB"/>
        </w:rPr>
        <w:t xml:space="preserve"> (and a few other countries)</w:t>
      </w:r>
      <w:r w:rsidR="00E31A59">
        <w:rPr>
          <w:rFonts w:eastAsia="Times New Roman" w:cs="Arial"/>
          <w:color w:val="000000"/>
          <w:lang w:eastAsia="en-GB"/>
        </w:rPr>
        <w:t xml:space="preserve"> to spend a short period of time studying a particular specialised topic together.  Such programmes are called, not without reason, ‘Intensive Programmes’.</w:t>
      </w:r>
      <w:r w:rsidR="009B2722">
        <w:rPr>
          <w:rFonts w:eastAsia="Times New Roman" w:cs="Arial"/>
          <w:color w:val="000000"/>
          <w:lang w:eastAsia="en-GB"/>
        </w:rPr>
        <w:t xml:space="preserve">  Over time the Commission has </w:t>
      </w:r>
      <w:r w:rsidR="00D20AF4">
        <w:rPr>
          <w:rFonts w:eastAsia="Times New Roman" w:cs="Arial"/>
          <w:color w:val="000000"/>
          <w:lang w:eastAsia="en-GB"/>
        </w:rPr>
        <w:t>developed an e</w:t>
      </w:r>
      <w:r w:rsidR="009B2722">
        <w:rPr>
          <w:rFonts w:eastAsia="Times New Roman" w:cs="Arial"/>
          <w:color w:val="000000"/>
          <w:lang w:eastAsia="en-GB"/>
        </w:rPr>
        <w:t xml:space="preserve">mphasis on curricular innovation and under the Erasmus umbrella a greater share of resources have been apportioned to Intensive Programmes and Curricular Development.  </w:t>
      </w:r>
      <w:r w:rsidR="00E31A59">
        <w:rPr>
          <w:rFonts w:eastAsia="Times New Roman" w:cs="Arial"/>
          <w:color w:val="000000"/>
          <w:lang w:eastAsia="en-GB"/>
        </w:rPr>
        <w:t xml:space="preserve">  </w:t>
      </w:r>
    </w:p>
    <w:p w14:paraId="458C22E4" w14:textId="77777777" w:rsidR="005F4CAA" w:rsidRDefault="005F4CAA" w:rsidP="00D12FC0">
      <w:pPr>
        <w:spacing w:before="32" w:after="253" w:line="480" w:lineRule="auto"/>
        <w:rPr>
          <w:rFonts w:eastAsia="Times New Roman" w:cs="Arial"/>
          <w:color w:val="000000"/>
          <w:lang w:eastAsia="en-GB"/>
        </w:rPr>
      </w:pPr>
      <w:r>
        <w:rPr>
          <w:rFonts w:eastAsia="Times New Roman" w:cs="Arial"/>
          <w:color w:val="000000"/>
          <w:lang w:eastAsia="en-GB"/>
        </w:rPr>
        <w:t xml:space="preserve">The European Commission </w:t>
      </w:r>
      <w:r w:rsidR="00837A04">
        <w:rPr>
          <w:rFonts w:eastAsia="Times New Roman" w:cs="Arial"/>
          <w:color w:val="000000"/>
          <w:lang w:eastAsia="en-GB"/>
        </w:rPr>
        <w:t>describes</w:t>
      </w:r>
      <w:r>
        <w:rPr>
          <w:rFonts w:eastAsia="Times New Roman" w:cs="Arial"/>
          <w:color w:val="000000"/>
          <w:lang w:eastAsia="en-GB"/>
        </w:rPr>
        <w:t xml:space="preserve"> Intensive Programmes</w:t>
      </w:r>
      <w:r w:rsidR="00243792">
        <w:rPr>
          <w:rFonts w:eastAsia="Times New Roman" w:cs="Arial"/>
          <w:color w:val="000000"/>
          <w:lang w:eastAsia="en-GB"/>
        </w:rPr>
        <w:t>, of which over 250</w:t>
      </w:r>
      <w:r w:rsidR="00837A04">
        <w:rPr>
          <w:rFonts w:eastAsia="Times New Roman" w:cs="Arial"/>
          <w:color w:val="000000"/>
          <w:lang w:eastAsia="en-GB"/>
        </w:rPr>
        <w:t xml:space="preserve"> take place</w:t>
      </w:r>
      <w:r w:rsidR="00243792">
        <w:rPr>
          <w:rFonts w:eastAsia="Times New Roman" w:cs="Arial"/>
          <w:color w:val="000000"/>
          <w:lang w:eastAsia="en-GB"/>
        </w:rPr>
        <w:t xml:space="preserve"> throughout the EU each year,</w:t>
      </w:r>
      <w:r>
        <w:rPr>
          <w:rFonts w:eastAsia="Times New Roman" w:cs="Arial"/>
          <w:color w:val="000000"/>
          <w:lang w:eastAsia="en-GB"/>
        </w:rPr>
        <w:t xml:space="preserve"> </w:t>
      </w:r>
      <w:r w:rsidR="00243792">
        <w:rPr>
          <w:rFonts w:eastAsia="Times New Roman" w:cs="Arial"/>
          <w:color w:val="000000"/>
          <w:lang w:eastAsia="en-GB"/>
        </w:rPr>
        <w:t>in the following way</w:t>
      </w:r>
      <w:r>
        <w:rPr>
          <w:rFonts w:eastAsia="Times New Roman" w:cs="Arial"/>
          <w:color w:val="000000"/>
          <w:lang w:eastAsia="en-GB"/>
        </w:rPr>
        <w:t>:</w:t>
      </w:r>
    </w:p>
    <w:p w14:paraId="2C236437" w14:textId="77777777" w:rsidR="005F4CAA" w:rsidRDefault="005F4CAA" w:rsidP="00D12FC0">
      <w:pPr>
        <w:spacing w:before="32" w:after="253" w:line="480" w:lineRule="auto"/>
        <w:rPr>
          <w:rFonts w:cs="Arial"/>
          <w:color w:val="000000"/>
        </w:rPr>
      </w:pPr>
      <w:r>
        <w:rPr>
          <w:rFonts w:cs="Arial"/>
          <w:color w:val="000000"/>
        </w:rPr>
        <w:lastRenderedPageBreak/>
        <w:t>‘</w:t>
      </w:r>
      <w:r w:rsidRPr="005F4CAA">
        <w:rPr>
          <w:rFonts w:cs="Arial"/>
          <w:color w:val="000000"/>
        </w:rPr>
        <w:t>An Intensive Programme (IP) is a short programme of study which brings together students and teaching staff from higher education institutions of at least three participating countries. It can last from 10 continuous full days to 6 weeks of subject related work.</w:t>
      </w:r>
      <w:r>
        <w:rPr>
          <w:rFonts w:cs="Arial"/>
          <w:color w:val="000000"/>
        </w:rPr>
        <w:t>’</w:t>
      </w:r>
      <w:r>
        <w:rPr>
          <w:rStyle w:val="FootnoteReference"/>
          <w:rFonts w:cs="Arial"/>
          <w:color w:val="000000"/>
        </w:rPr>
        <w:footnoteReference w:id="21"/>
      </w:r>
    </w:p>
    <w:p w14:paraId="64C84E39" w14:textId="77777777" w:rsidR="00837A04" w:rsidRDefault="00592A71" w:rsidP="00D12FC0">
      <w:pPr>
        <w:spacing w:before="32" w:after="253" w:line="480" w:lineRule="auto"/>
        <w:rPr>
          <w:rFonts w:cs="Arial"/>
          <w:color w:val="000000"/>
        </w:rPr>
      </w:pPr>
      <w:r>
        <w:rPr>
          <w:rFonts w:cs="Arial"/>
          <w:color w:val="000000"/>
        </w:rPr>
        <w:t>The Commission’s information pages on the Europa website on IP</w:t>
      </w:r>
      <w:r w:rsidR="00974313">
        <w:rPr>
          <w:rFonts w:cs="Arial"/>
          <w:color w:val="000000"/>
        </w:rPr>
        <w:t>s</w:t>
      </w:r>
      <w:r>
        <w:rPr>
          <w:rFonts w:cs="Arial"/>
          <w:color w:val="000000"/>
        </w:rPr>
        <w:t xml:space="preserve"> provide a </w:t>
      </w:r>
      <w:r w:rsidR="00545D43">
        <w:rPr>
          <w:rFonts w:cs="Arial"/>
          <w:color w:val="000000"/>
        </w:rPr>
        <w:t>very comprehensive overview.</w:t>
      </w:r>
      <w:r w:rsidR="00974313">
        <w:rPr>
          <w:rFonts w:cs="Arial"/>
          <w:color w:val="000000"/>
        </w:rPr>
        <w:t xml:space="preserve">  Certain particular features merit highlighting.  </w:t>
      </w:r>
      <w:r w:rsidR="00837A04">
        <w:rPr>
          <w:rFonts w:cs="Arial"/>
          <w:color w:val="000000"/>
        </w:rPr>
        <w:t>In the words of the Europa website, an Erasmus IP</w:t>
      </w:r>
      <w:r w:rsidR="00974313">
        <w:rPr>
          <w:rFonts w:cs="Arial"/>
          <w:color w:val="000000"/>
        </w:rPr>
        <w:t xml:space="preserve"> aims, inter alia,</w:t>
      </w:r>
      <w:r w:rsidR="00837A04">
        <w:rPr>
          <w:rFonts w:cs="Arial"/>
          <w:color w:val="000000"/>
        </w:rPr>
        <w:t xml:space="preserve"> to </w:t>
      </w:r>
    </w:p>
    <w:p w14:paraId="736DBC0B" w14:textId="77777777" w:rsidR="00837A04" w:rsidRPr="004C6A20" w:rsidRDefault="00837A04" w:rsidP="00D12FC0">
      <w:pPr>
        <w:numPr>
          <w:ilvl w:val="0"/>
          <w:numId w:val="1"/>
        </w:numPr>
        <w:spacing w:before="63" w:after="63" w:line="480" w:lineRule="auto"/>
        <w:rPr>
          <w:rFonts w:eastAsia="Times New Roman" w:cs="Arial"/>
          <w:color w:val="000000"/>
          <w:lang w:eastAsia="en-GB"/>
        </w:rPr>
      </w:pPr>
      <w:r w:rsidRPr="004C6A20">
        <w:rPr>
          <w:rFonts w:eastAsia="Times New Roman" w:cs="Arial"/>
          <w:color w:val="000000"/>
          <w:lang w:eastAsia="en-GB"/>
        </w:rPr>
        <w:t xml:space="preserve">Encourage efficient and multinational teaching of specialist topics which might otherwise not be taught at all, or only in a very restricted number of higher education institutions; </w:t>
      </w:r>
    </w:p>
    <w:p w14:paraId="53D3DBF2" w14:textId="77777777" w:rsidR="00837A04" w:rsidRPr="004C6A20" w:rsidRDefault="00837A04" w:rsidP="00D12FC0">
      <w:pPr>
        <w:numPr>
          <w:ilvl w:val="0"/>
          <w:numId w:val="1"/>
        </w:numPr>
        <w:spacing w:before="63" w:after="63" w:line="480" w:lineRule="auto"/>
        <w:rPr>
          <w:rFonts w:eastAsia="Times New Roman" w:cs="Arial"/>
          <w:color w:val="000000"/>
          <w:lang w:eastAsia="en-GB"/>
        </w:rPr>
      </w:pPr>
      <w:r w:rsidRPr="004C6A20">
        <w:rPr>
          <w:rFonts w:eastAsia="Times New Roman" w:cs="Arial"/>
          <w:color w:val="000000"/>
          <w:lang w:eastAsia="en-GB"/>
        </w:rPr>
        <w:t xml:space="preserve">Enable students and teachers to work together in multinational groups and so benefit from special learning and teaching conditions not available in a single institution, and to gain new perspectives on the topic being studied; </w:t>
      </w:r>
    </w:p>
    <w:p w14:paraId="01A9A6C3" w14:textId="77777777" w:rsidR="00837A04" w:rsidRDefault="00837A04" w:rsidP="00D12FC0">
      <w:pPr>
        <w:numPr>
          <w:ilvl w:val="0"/>
          <w:numId w:val="1"/>
        </w:numPr>
        <w:spacing w:before="63" w:after="63" w:line="480" w:lineRule="auto"/>
        <w:rPr>
          <w:rFonts w:eastAsia="Times New Roman" w:cs="Arial"/>
          <w:color w:val="000000"/>
          <w:lang w:eastAsia="en-GB"/>
        </w:rPr>
      </w:pPr>
      <w:r w:rsidRPr="004C6A20">
        <w:rPr>
          <w:rFonts w:eastAsia="Times New Roman" w:cs="Arial"/>
          <w:color w:val="000000"/>
          <w:lang w:eastAsia="en-GB"/>
        </w:rPr>
        <w:t>Allow members of the teaching staff to exchange views on teaching content and new curricula approaches and to test teaching methods in an international classroom environment.</w:t>
      </w:r>
      <w:r>
        <w:rPr>
          <w:rStyle w:val="FootnoteReference"/>
          <w:rFonts w:eastAsia="Times New Roman" w:cs="Arial"/>
          <w:color w:val="000000"/>
          <w:lang w:eastAsia="en-GB"/>
        </w:rPr>
        <w:footnoteReference w:id="22"/>
      </w:r>
      <w:r w:rsidR="000E474E">
        <w:rPr>
          <w:rFonts w:eastAsia="Times New Roman" w:cs="Arial"/>
          <w:color w:val="000000"/>
          <w:lang w:eastAsia="en-GB"/>
        </w:rPr>
        <w:t xml:space="preserve"> </w:t>
      </w:r>
    </w:p>
    <w:p w14:paraId="646F4421" w14:textId="77777777" w:rsidR="000D0214" w:rsidRDefault="000D0214" w:rsidP="00D12FC0">
      <w:pPr>
        <w:spacing w:before="63" w:after="63" w:line="480" w:lineRule="auto"/>
        <w:rPr>
          <w:rFonts w:eastAsia="Times New Roman" w:cs="Arial"/>
          <w:color w:val="000000"/>
          <w:lang w:eastAsia="en-GB"/>
        </w:rPr>
      </w:pPr>
    </w:p>
    <w:p w14:paraId="1B959629" w14:textId="77777777" w:rsidR="00837A04" w:rsidRDefault="00974313" w:rsidP="00D12FC0">
      <w:pPr>
        <w:spacing w:before="63" w:after="63" w:line="480" w:lineRule="auto"/>
        <w:rPr>
          <w:rFonts w:eastAsia="Times New Roman" w:cs="Arial"/>
          <w:color w:val="000000"/>
          <w:lang w:eastAsia="en-GB"/>
        </w:rPr>
      </w:pPr>
      <w:r>
        <w:rPr>
          <w:rFonts w:eastAsia="Times New Roman" w:cs="Arial"/>
          <w:color w:val="000000"/>
          <w:lang w:eastAsia="en-GB"/>
        </w:rPr>
        <w:t>Essentially t</w:t>
      </w:r>
      <w:r w:rsidR="00837A04">
        <w:rPr>
          <w:rFonts w:eastAsia="Times New Roman" w:cs="Arial"/>
          <w:color w:val="000000"/>
          <w:lang w:eastAsia="en-GB"/>
        </w:rPr>
        <w:t xml:space="preserve">hese aims and objectives </w:t>
      </w:r>
      <w:r>
        <w:rPr>
          <w:rFonts w:eastAsia="Times New Roman" w:cs="Arial"/>
          <w:color w:val="000000"/>
          <w:lang w:eastAsia="en-GB"/>
        </w:rPr>
        <w:t>focus on</w:t>
      </w:r>
      <w:r w:rsidR="00837A04">
        <w:rPr>
          <w:rFonts w:eastAsia="Times New Roman" w:cs="Arial"/>
          <w:color w:val="000000"/>
          <w:lang w:eastAsia="en-GB"/>
        </w:rPr>
        <w:t xml:space="preserve"> the international element of the programme, and </w:t>
      </w:r>
      <w:r>
        <w:rPr>
          <w:rFonts w:eastAsia="Times New Roman" w:cs="Arial"/>
          <w:color w:val="000000"/>
          <w:lang w:eastAsia="en-GB"/>
        </w:rPr>
        <w:t>also its alleged</w:t>
      </w:r>
      <w:r w:rsidR="00837A04">
        <w:rPr>
          <w:rFonts w:eastAsia="Times New Roman" w:cs="Arial"/>
          <w:color w:val="000000"/>
          <w:lang w:eastAsia="en-GB"/>
        </w:rPr>
        <w:t xml:space="preserve"> particular pedagogical advantages: the facilitati</w:t>
      </w:r>
      <w:r w:rsidR="000D0214">
        <w:rPr>
          <w:rFonts w:eastAsia="Times New Roman" w:cs="Arial"/>
          <w:color w:val="000000"/>
          <w:lang w:eastAsia="en-GB"/>
        </w:rPr>
        <w:t>on of the study of topics which</w:t>
      </w:r>
      <w:r w:rsidR="00837A04">
        <w:rPr>
          <w:rFonts w:eastAsia="Times New Roman" w:cs="Arial"/>
          <w:color w:val="000000"/>
          <w:lang w:eastAsia="en-GB"/>
        </w:rPr>
        <w:t xml:space="preserve"> may not usually be available; and an emphasis on novel approaches to teaching.  The former of these</w:t>
      </w:r>
      <w:r>
        <w:rPr>
          <w:rFonts w:eastAsia="Times New Roman" w:cs="Arial"/>
          <w:color w:val="000000"/>
          <w:lang w:eastAsia="en-GB"/>
        </w:rPr>
        <w:t xml:space="preserve"> themes</w:t>
      </w:r>
      <w:r w:rsidR="00837A04">
        <w:rPr>
          <w:rFonts w:eastAsia="Times New Roman" w:cs="Arial"/>
          <w:color w:val="000000"/>
          <w:lang w:eastAsia="en-GB"/>
        </w:rPr>
        <w:t xml:space="preserve"> is in line with </w:t>
      </w:r>
      <w:r w:rsidR="006978B5">
        <w:rPr>
          <w:rFonts w:eastAsia="Times New Roman" w:cs="Arial"/>
          <w:color w:val="000000"/>
          <w:lang w:eastAsia="en-GB"/>
        </w:rPr>
        <w:t xml:space="preserve">some of </w:t>
      </w:r>
      <w:r w:rsidR="00837A04">
        <w:rPr>
          <w:rFonts w:eastAsia="Times New Roman" w:cs="Arial"/>
          <w:color w:val="000000"/>
          <w:lang w:eastAsia="en-GB"/>
        </w:rPr>
        <w:t xml:space="preserve">the advantages </w:t>
      </w:r>
      <w:r>
        <w:rPr>
          <w:rFonts w:eastAsia="Times New Roman" w:cs="Arial"/>
          <w:color w:val="000000"/>
          <w:lang w:eastAsia="en-GB"/>
        </w:rPr>
        <w:t xml:space="preserve">widely </w:t>
      </w:r>
      <w:r w:rsidR="00837A04">
        <w:rPr>
          <w:rFonts w:eastAsia="Times New Roman" w:cs="Arial"/>
          <w:color w:val="000000"/>
          <w:lang w:eastAsia="en-GB"/>
        </w:rPr>
        <w:t xml:space="preserve">cited for international student mobility in general.  The latter is perhaps more specific to IPs, with their relatively short duration, and the fact that the subject matter of an IP will be the sole subject studied </w:t>
      </w:r>
      <w:proofErr w:type="spellStart"/>
      <w:r w:rsidR="00837A04">
        <w:rPr>
          <w:rFonts w:eastAsia="Times New Roman" w:cs="Arial"/>
          <w:color w:val="000000"/>
          <w:lang w:eastAsia="en-GB"/>
        </w:rPr>
        <w:t>ie</w:t>
      </w:r>
      <w:proofErr w:type="spellEnd"/>
      <w:r w:rsidR="00837A04">
        <w:rPr>
          <w:rFonts w:eastAsia="Times New Roman" w:cs="Arial"/>
          <w:color w:val="000000"/>
          <w:lang w:eastAsia="en-GB"/>
        </w:rPr>
        <w:t xml:space="preserve"> fill the teaching timetable for the duration of the programme rather than simply being one module studied for a period of time alongside others.</w:t>
      </w:r>
      <w:r w:rsidR="00C23688">
        <w:rPr>
          <w:rFonts w:eastAsia="Times New Roman" w:cs="Arial"/>
          <w:color w:val="000000"/>
          <w:lang w:eastAsia="en-GB"/>
        </w:rPr>
        <w:t xml:space="preserve">  That it is not overoptimistic to talk about the pedagogical advantages which many emanate </w:t>
      </w:r>
      <w:r w:rsidR="00C23688">
        <w:rPr>
          <w:rFonts w:eastAsia="Times New Roman" w:cs="Arial"/>
          <w:color w:val="000000"/>
          <w:lang w:eastAsia="en-GB"/>
        </w:rPr>
        <w:lastRenderedPageBreak/>
        <w:t xml:space="preserve">from IPs is borne out by some of the literature which gives accounts of particular IPs; for example, a paper on an IP involving eight higher education institutions between 2007 and 2010 </w:t>
      </w:r>
      <w:r w:rsidR="00970AF1">
        <w:rPr>
          <w:rFonts w:eastAsia="Times New Roman" w:cs="Arial"/>
          <w:color w:val="000000"/>
          <w:lang w:eastAsia="en-GB"/>
        </w:rPr>
        <w:t>states that ‘the 2 week programme provide[s] a pedagogical framework for trialling innovative and interactive approaches…’.</w:t>
      </w:r>
      <w:r w:rsidR="008023B1">
        <w:rPr>
          <w:rStyle w:val="FootnoteReference"/>
          <w:rFonts w:eastAsia="Times New Roman" w:cs="Arial"/>
          <w:color w:val="000000"/>
          <w:lang w:eastAsia="en-GB"/>
        </w:rPr>
        <w:footnoteReference w:id="23"/>
      </w:r>
      <w:r w:rsidR="00C23688">
        <w:rPr>
          <w:rFonts w:eastAsia="Times New Roman" w:cs="Arial"/>
          <w:color w:val="000000"/>
          <w:lang w:eastAsia="en-GB"/>
        </w:rPr>
        <w:t xml:space="preserve">  </w:t>
      </w:r>
      <w:r w:rsidR="00837A04">
        <w:rPr>
          <w:rFonts w:eastAsia="Times New Roman" w:cs="Arial"/>
          <w:color w:val="000000"/>
          <w:lang w:eastAsia="en-GB"/>
        </w:rPr>
        <w:t xml:space="preserve"> </w:t>
      </w:r>
    </w:p>
    <w:p w14:paraId="54AE5E9D" w14:textId="77777777" w:rsidR="00974313" w:rsidRDefault="00974313" w:rsidP="00D12FC0">
      <w:pPr>
        <w:spacing w:before="63" w:after="63" w:line="480" w:lineRule="auto"/>
        <w:rPr>
          <w:rFonts w:cs="Arial"/>
          <w:color w:val="000000"/>
        </w:rPr>
      </w:pPr>
    </w:p>
    <w:p w14:paraId="40707DF5" w14:textId="77777777" w:rsidR="00DE680D" w:rsidRDefault="00974313" w:rsidP="00D12FC0">
      <w:pPr>
        <w:spacing w:before="32" w:after="253" w:line="480" w:lineRule="auto"/>
        <w:rPr>
          <w:rFonts w:cs="Arial"/>
          <w:color w:val="000000"/>
        </w:rPr>
      </w:pPr>
      <w:r>
        <w:rPr>
          <w:rFonts w:cs="Arial"/>
          <w:color w:val="000000"/>
        </w:rPr>
        <w:t>Taking these points further, the following comments can be made</w:t>
      </w:r>
      <w:r w:rsidR="00545D43">
        <w:rPr>
          <w:rFonts w:cs="Arial"/>
          <w:color w:val="000000"/>
        </w:rPr>
        <w:t>.</w:t>
      </w:r>
      <w:r>
        <w:rPr>
          <w:rFonts w:cs="Arial"/>
          <w:color w:val="000000"/>
        </w:rPr>
        <w:t xml:space="preserve">  </w:t>
      </w:r>
      <w:r w:rsidR="00545D43">
        <w:rPr>
          <w:rFonts w:cs="Arial"/>
          <w:color w:val="000000"/>
        </w:rPr>
        <w:t>First of all,</w:t>
      </w:r>
      <w:r w:rsidR="004D4D10">
        <w:rPr>
          <w:rFonts w:cs="Arial"/>
          <w:color w:val="000000"/>
        </w:rPr>
        <w:t xml:space="preserve"> various points are made about the nature of the subject matter studied during IPs. T</w:t>
      </w:r>
      <w:r w:rsidR="00545D43">
        <w:rPr>
          <w:rFonts w:cs="Arial"/>
          <w:color w:val="000000"/>
        </w:rPr>
        <w:t>he focus is</w:t>
      </w:r>
      <w:r w:rsidR="004D4D10">
        <w:rPr>
          <w:rFonts w:cs="Arial"/>
          <w:color w:val="000000"/>
        </w:rPr>
        <w:t xml:space="preserve"> firmly</w:t>
      </w:r>
      <w:r w:rsidR="00545D43">
        <w:rPr>
          <w:rFonts w:cs="Arial"/>
          <w:color w:val="000000"/>
        </w:rPr>
        <w:t xml:space="preserve"> on specialist topics which might otherwise not be taught </w:t>
      </w:r>
      <w:r w:rsidR="004D4D10">
        <w:rPr>
          <w:rFonts w:cs="Arial"/>
          <w:color w:val="000000"/>
        </w:rPr>
        <w:t xml:space="preserve">at all or taught only in a few HE institutions, and </w:t>
      </w:r>
      <w:r w:rsidR="00837A04">
        <w:rPr>
          <w:rFonts w:cs="Arial"/>
          <w:color w:val="000000"/>
        </w:rPr>
        <w:t xml:space="preserve">the teaching of </w:t>
      </w:r>
      <w:r w:rsidR="004D4D10">
        <w:rPr>
          <w:rFonts w:cs="Arial"/>
          <w:color w:val="000000"/>
        </w:rPr>
        <w:t xml:space="preserve">which has not before been funded as an IP. </w:t>
      </w:r>
      <w:r w:rsidR="00276B41">
        <w:rPr>
          <w:rFonts w:cs="Arial"/>
          <w:color w:val="000000"/>
        </w:rPr>
        <w:t>Multidisciplinary topic areas which will involve students from different academic disciplines are strongly encouraged.</w:t>
      </w:r>
      <w:r w:rsidR="00AB425E">
        <w:rPr>
          <w:rFonts w:cs="Arial"/>
          <w:color w:val="000000"/>
        </w:rPr>
        <w:t xml:space="preserve">  It is emphasised that an IP may not be constituted by research activities or conferences: it is intended to provide a new learning opportunity for the teachers and students participating; it can be a ‘one off’ or last for up to three years (the maximum duration of funding for the same or a similar IP).</w:t>
      </w:r>
    </w:p>
    <w:p w14:paraId="369D0070" w14:textId="77777777" w:rsidR="00276B41" w:rsidRDefault="00DE680D" w:rsidP="00D12FC0">
      <w:pPr>
        <w:spacing w:before="32" w:after="253" w:line="480" w:lineRule="auto"/>
        <w:rPr>
          <w:rFonts w:cs="Arial"/>
          <w:color w:val="000000"/>
        </w:rPr>
      </w:pPr>
      <w:r>
        <w:rPr>
          <w:rFonts w:cs="Arial"/>
          <w:color w:val="000000"/>
        </w:rPr>
        <w:t>Secondly, consideration is given to the international nature of the group and the benefits that</w:t>
      </w:r>
      <w:r w:rsidR="00837A04">
        <w:rPr>
          <w:rFonts w:cs="Arial"/>
          <w:color w:val="000000"/>
        </w:rPr>
        <w:t xml:space="preserve"> it</w:t>
      </w:r>
      <w:r>
        <w:rPr>
          <w:rFonts w:cs="Arial"/>
          <w:color w:val="000000"/>
        </w:rPr>
        <w:t xml:space="preserve"> is hoped </w:t>
      </w:r>
      <w:r w:rsidR="00837A04">
        <w:rPr>
          <w:rFonts w:cs="Arial"/>
          <w:color w:val="000000"/>
        </w:rPr>
        <w:t>this will</w:t>
      </w:r>
      <w:r>
        <w:rPr>
          <w:rFonts w:cs="Arial"/>
          <w:color w:val="000000"/>
        </w:rPr>
        <w:t xml:space="preserve"> engender:</w:t>
      </w:r>
      <w:r w:rsidR="00837A04">
        <w:rPr>
          <w:rFonts w:cs="Arial"/>
          <w:color w:val="000000"/>
        </w:rPr>
        <w:t xml:space="preserve"> this is self evidently key.</w:t>
      </w:r>
      <w:r>
        <w:rPr>
          <w:rFonts w:cs="Arial"/>
          <w:color w:val="000000"/>
        </w:rPr>
        <w:t xml:space="preserve"> </w:t>
      </w:r>
      <w:r w:rsidR="00837A04">
        <w:rPr>
          <w:rFonts w:cs="Arial"/>
          <w:color w:val="000000"/>
        </w:rPr>
        <w:t xml:space="preserve"> O</w:t>
      </w:r>
      <w:r>
        <w:rPr>
          <w:rFonts w:cs="Arial"/>
          <w:color w:val="000000"/>
        </w:rPr>
        <w:t xml:space="preserve">ne of the aims of IPs is asserted to be to enable students and teachers to work together in multinational groups ...and to gain new perspectives on the topic being studied.  The </w:t>
      </w:r>
      <w:r w:rsidR="00276B41">
        <w:rPr>
          <w:rFonts w:cs="Arial"/>
          <w:color w:val="000000"/>
        </w:rPr>
        <w:t>IP must involve at least three HE institutions from three different countries participating in the Lifelong Learning Programme, at least one of the institutions coming from an EU Member State</w:t>
      </w:r>
      <w:r w:rsidR="006978B5">
        <w:rPr>
          <w:rFonts w:cs="Arial"/>
          <w:color w:val="000000"/>
        </w:rPr>
        <w:t>; as stated above,</w:t>
      </w:r>
      <w:r w:rsidR="00D4638E">
        <w:rPr>
          <w:rFonts w:cs="Arial"/>
          <w:color w:val="000000"/>
        </w:rPr>
        <w:t xml:space="preserve"> countries other than EU Member States participate in the Lifelong Learning Programme: currently thirty three countries participate</w:t>
      </w:r>
      <w:r w:rsidR="00276B41">
        <w:rPr>
          <w:rFonts w:cs="Arial"/>
          <w:color w:val="000000"/>
        </w:rPr>
        <w:t>.</w:t>
      </w:r>
      <w:r w:rsidR="00D4638E">
        <w:rPr>
          <w:rStyle w:val="FootnoteReference"/>
          <w:rFonts w:cs="Arial"/>
          <w:color w:val="000000"/>
        </w:rPr>
        <w:footnoteReference w:id="24"/>
      </w:r>
      <w:r w:rsidR="00276B41">
        <w:rPr>
          <w:rFonts w:cs="Arial"/>
          <w:color w:val="000000"/>
        </w:rPr>
        <w:t xml:space="preserve">  The IP must take place in a country eligible to participate in the Lifelong Learning Programme.</w:t>
      </w:r>
    </w:p>
    <w:p w14:paraId="402699C3" w14:textId="77777777" w:rsidR="00C45EB6" w:rsidRDefault="006978B5" w:rsidP="00D12FC0">
      <w:pPr>
        <w:spacing w:before="32" w:after="253" w:line="480" w:lineRule="auto"/>
        <w:rPr>
          <w:rFonts w:cs="Arial"/>
          <w:color w:val="000000"/>
        </w:rPr>
      </w:pPr>
      <w:r>
        <w:rPr>
          <w:rFonts w:cs="Arial"/>
          <w:color w:val="000000"/>
        </w:rPr>
        <w:lastRenderedPageBreak/>
        <w:t>A</w:t>
      </w:r>
      <w:r w:rsidR="00276B41">
        <w:rPr>
          <w:rFonts w:cs="Arial"/>
          <w:color w:val="000000"/>
        </w:rPr>
        <w:t xml:space="preserve"> num</w:t>
      </w:r>
      <w:r w:rsidR="00974313">
        <w:rPr>
          <w:rFonts w:cs="Arial"/>
          <w:color w:val="000000"/>
        </w:rPr>
        <w:t xml:space="preserve">ber of other requirements are stipulated.  These are </w:t>
      </w:r>
      <w:r w:rsidR="00AB425E">
        <w:rPr>
          <w:rFonts w:cs="Arial"/>
          <w:color w:val="000000"/>
        </w:rPr>
        <w:t>mostly of a procedural</w:t>
      </w:r>
      <w:r w:rsidR="00726192">
        <w:rPr>
          <w:rFonts w:cs="Arial"/>
          <w:color w:val="000000"/>
        </w:rPr>
        <w:t xml:space="preserve"> and organisational</w:t>
      </w:r>
      <w:r w:rsidR="00AB425E">
        <w:rPr>
          <w:rFonts w:cs="Arial"/>
          <w:color w:val="000000"/>
        </w:rPr>
        <w:t xml:space="preserve"> nature</w:t>
      </w:r>
      <w:r w:rsidR="00726192">
        <w:rPr>
          <w:rFonts w:cs="Arial"/>
          <w:color w:val="000000"/>
        </w:rPr>
        <w:t>,</w:t>
      </w:r>
      <w:r w:rsidR="00AB425E">
        <w:rPr>
          <w:rFonts w:cs="Arial"/>
          <w:color w:val="000000"/>
        </w:rPr>
        <w:t xml:space="preserve"> and concern</w:t>
      </w:r>
      <w:r w:rsidR="00974313">
        <w:rPr>
          <w:rFonts w:cs="Arial"/>
          <w:color w:val="000000"/>
        </w:rPr>
        <w:t xml:space="preserve"> such matters as</w:t>
      </w:r>
      <w:r w:rsidR="001222E7">
        <w:rPr>
          <w:rFonts w:cs="Arial"/>
          <w:color w:val="000000"/>
        </w:rPr>
        <w:t xml:space="preserve"> the number of students (no fewer</w:t>
      </w:r>
      <w:r w:rsidR="00AB425E">
        <w:rPr>
          <w:rFonts w:cs="Arial"/>
          <w:color w:val="000000"/>
        </w:rPr>
        <w:t xml:space="preserve"> than ten), the requirement for at least ten days continuous work (weekends</w:t>
      </w:r>
      <w:r w:rsidR="00974313">
        <w:rPr>
          <w:rFonts w:cs="Arial"/>
          <w:color w:val="000000"/>
        </w:rPr>
        <w:t xml:space="preserve"> off are permitted), that there is a strong </w:t>
      </w:r>
      <w:r w:rsidR="00AB425E">
        <w:rPr>
          <w:rFonts w:cs="Arial"/>
          <w:color w:val="000000"/>
        </w:rPr>
        <w:t>prefer</w:t>
      </w:r>
      <w:r w:rsidR="00974313">
        <w:rPr>
          <w:rFonts w:cs="Arial"/>
          <w:color w:val="000000"/>
        </w:rPr>
        <w:t>ence</w:t>
      </w:r>
      <w:r w:rsidR="00AB425E">
        <w:rPr>
          <w:rFonts w:cs="Arial"/>
          <w:color w:val="000000"/>
        </w:rPr>
        <w:t xml:space="preserve"> that the students should be rewarded for their participation in the form of ECTS, and that ICT tools should be utilised in the design and follow up of the IP.</w:t>
      </w:r>
    </w:p>
    <w:p w14:paraId="23E595D9" w14:textId="77777777" w:rsidR="00355C8A" w:rsidRDefault="00C45EB6" w:rsidP="00D12FC0">
      <w:pPr>
        <w:spacing w:before="32" w:after="253" w:line="480" w:lineRule="auto"/>
        <w:rPr>
          <w:rFonts w:cs="Arial"/>
          <w:color w:val="000000"/>
        </w:rPr>
      </w:pPr>
      <w:r>
        <w:rPr>
          <w:rFonts w:cs="Arial"/>
          <w:color w:val="000000"/>
        </w:rPr>
        <w:t>The recognition of the period of study abroad by the home university is an issue</w:t>
      </w:r>
      <w:r w:rsidR="00355C8A">
        <w:rPr>
          <w:rFonts w:cs="Arial"/>
          <w:color w:val="000000"/>
        </w:rPr>
        <w:t xml:space="preserve"> not confined to IPs</w:t>
      </w:r>
      <w:r>
        <w:rPr>
          <w:rFonts w:cs="Arial"/>
          <w:color w:val="000000"/>
        </w:rPr>
        <w:t>.  The Commission has attempted to address this by promoting the use of ECTS.  This was initially a pilot project supported by the Commission; it started in 1990-91 and by the end of the century about half of all Erasmus students were awarded credit by their home university in respect of their studies elsewhere as Erasmus students.</w:t>
      </w:r>
      <w:r w:rsidR="00EB5C38">
        <w:rPr>
          <w:rFonts w:cs="Arial"/>
          <w:color w:val="000000"/>
        </w:rPr>
        <w:t xml:space="preserve">  It is now also promoted outside the EU framework by the intergovernmental Bologna Process.</w:t>
      </w:r>
      <w:r>
        <w:rPr>
          <w:rFonts w:cs="Arial"/>
          <w:color w:val="000000"/>
        </w:rPr>
        <w:t xml:space="preserve"> </w:t>
      </w:r>
    </w:p>
    <w:p w14:paraId="39B26EAA" w14:textId="77777777" w:rsidR="00276B41" w:rsidRDefault="00FA37F8" w:rsidP="00D12FC0">
      <w:pPr>
        <w:spacing w:before="32" w:after="253" w:line="480" w:lineRule="auto"/>
        <w:rPr>
          <w:rFonts w:cs="Arial"/>
          <w:color w:val="000000"/>
        </w:rPr>
      </w:pPr>
      <w:r>
        <w:rPr>
          <w:rFonts w:cs="Arial"/>
          <w:color w:val="000000"/>
        </w:rPr>
        <w:t>One of the great benefits of Intensive Programmes for students, therefore, is that they provide the possibility of a short period abroad</w:t>
      </w:r>
      <w:r w:rsidR="0073292B">
        <w:rPr>
          <w:rFonts w:cs="Arial"/>
          <w:color w:val="000000"/>
        </w:rPr>
        <w:t xml:space="preserve"> studying alongside students of different nationalities without having to add to their degree length; the Intensive Programme can be designed to be embedded in an optional subject with the </w:t>
      </w:r>
      <w:r w:rsidR="007628B3">
        <w:rPr>
          <w:rFonts w:cs="Arial"/>
          <w:color w:val="000000"/>
        </w:rPr>
        <w:t xml:space="preserve">relatively short </w:t>
      </w:r>
      <w:r w:rsidR="0073292B">
        <w:rPr>
          <w:rFonts w:cs="Arial"/>
          <w:color w:val="000000"/>
        </w:rPr>
        <w:t>period abroad being at least part</w:t>
      </w:r>
      <w:r w:rsidR="007628B3">
        <w:rPr>
          <w:rFonts w:cs="Arial"/>
          <w:color w:val="000000"/>
        </w:rPr>
        <w:t>ly</w:t>
      </w:r>
      <w:r w:rsidR="0073292B">
        <w:rPr>
          <w:rFonts w:cs="Arial"/>
          <w:color w:val="000000"/>
        </w:rPr>
        <w:t xml:space="preserve"> in university vacation periods.</w:t>
      </w:r>
      <w:r>
        <w:rPr>
          <w:rFonts w:cs="Arial"/>
          <w:color w:val="000000"/>
        </w:rPr>
        <w:t xml:space="preserve"> </w:t>
      </w:r>
    </w:p>
    <w:p w14:paraId="0D4C3884" w14:textId="77777777" w:rsidR="00E12494" w:rsidRDefault="007628B3" w:rsidP="00D12FC0">
      <w:pPr>
        <w:spacing w:before="32" w:after="253" w:line="480" w:lineRule="auto"/>
        <w:rPr>
          <w:rFonts w:cs="Arial"/>
          <w:color w:val="000000"/>
        </w:rPr>
      </w:pPr>
      <w:r>
        <w:rPr>
          <w:rFonts w:cs="Arial"/>
          <w:color w:val="000000"/>
        </w:rPr>
        <w:t>The second half of this article consists of</w:t>
      </w:r>
      <w:r w:rsidR="00CF4D0F">
        <w:rPr>
          <w:rFonts w:cs="Arial"/>
          <w:color w:val="000000"/>
        </w:rPr>
        <w:t xml:space="preserve"> a case study</w:t>
      </w:r>
      <w:r w:rsidR="00EB5C38">
        <w:rPr>
          <w:rFonts w:cs="Arial"/>
          <w:color w:val="000000"/>
        </w:rPr>
        <w:t xml:space="preserve"> of a recent Law IP</w:t>
      </w:r>
      <w:r w:rsidR="004A3BF8">
        <w:rPr>
          <w:rFonts w:cs="Arial"/>
          <w:color w:val="000000"/>
        </w:rPr>
        <w:t>, followed by consideration of the e</w:t>
      </w:r>
      <w:r w:rsidR="00A129AE">
        <w:rPr>
          <w:rFonts w:cs="Arial"/>
          <w:color w:val="000000"/>
        </w:rPr>
        <w:t>xtent to which an IP can be considered</w:t>
      </w:r>
      <w:r w:rsidR="004A3BF8">
        <w:rPr>
          <w:rFonts w:cs="Arial"/>
          <w:color w:val="000000"/>
        </w:rPr>
        <w:t xml:space="preserve"> to enhance employability and the impact of the international dimension to IPs</w:t>
      </w:r>
      <w:r>
        <w:rPr>
          <w:rFonts w:cs="Arial"/>
          <w:color w:val="000000"/>
        </w:rPr>
        <w:t xml:space="preserve">.  </w:t>
      </w:r>
      <w:r w:rsidR="00CF4D0F">
        <w:rPr>
          <w:rFonts w:cs="Arial"/>
          <w:color w:val="000000"/>
        </w:rPr>
        <w:t xml:space="preserve"> </w:t>
      </w:r>
      <w:r>
        <w:rPr>
          <w:rFonts w:cs="Arial"/>
          <w:color w:val="000000"/>
        </w:rPr>
        <w:t>To give sharper relief to the special nature of IPs, i</w:t>
      </w:r>
      <w:r w:rsidR="00CF4D0F">
        <w:rPr>
          <w:rFonts w:cs="Arial"/>
          <w:color w:val="000000"/>
        </w:rPr>
        <w:t>t is worth</w:t>
      </w:r>
      <w:r>
        <w:rPr>
          <w:rFonts w:cs="Arial"/>
          <w:color w:val="000000"/>
        </w:rPr>
        <w:t xml:space="preserve"> first</w:t>
      </w:r>
      <w:r w:rsidR="00CF4D0F">
        <w:rPr>
          <w:rFonts w:cs="Arial"/>
          <w:color w:val="000000"/>
        </w:rPr>
        <w:t xml:space="preserve"> outlining briefly the differences between </w:t>
      </w:r>
      <w:r w:rsidR="00E12494">
        <w:rPr>
          <w:rFonts w:cs="Arial"/>
          <w:color w:val="000000"/>
        </w:rPr>
        <w:t xml:space="preserve">‘standard’ Erasmus student mobility (where students undertake a period of study at a higher education institution in a country other than the one in which they are registered for their degree) and mobility consequential upon participation in an IP.  </w:t>
      </w:r>
      <w:r w:rsidR="00EB5C38">
        <w:rPr>
          <w:rFonts w:cs="Arial"/>
          <w:color w:val="000000"/>
        </w:rPr>
        <w:t>Some of the most signific</w:t>
      </w:r>
      <w:r w:rsidR="00AA39B0">
        <w:rPr>
          <w:rFonts w:cs="Arial"/>
          <w:color w:val="000000"/>
        </w:rPr>
        <w:t>ant differences</w:t>
      </w:r>
      <w:r w:rsidR="00E12494">
        <w:rPr>
          <w:rFonts w:cs="Arial"/>
          <w:color w:val="000000"/>
        </w:rPr>
        <w:t xml:space="preserve"> are listed below:</w:t>
      </w:r>
    </w:p>
    <w:p w14:paraId="4020E1BE" w14:textId="77777777" w:rsidR="00F10BE7" w:rsidRDefault="00E12494" w:rsidP="00D12FC0">
      <w:pPr>
        <w:pStyle w:val="ListParagraph"/>
        <w:numPr>
          <w:ilvl w:val="0"/>
          <w:numId w:val="4"/>
        </w:numPr>
        <w:spacing w:before="32" w:after="253" w:line="480" w:lineRule="auto"/>
        <w:rPr>
          <w:rFonts w:cs="Arial"/>
          <w:color w:val="000000"/>
        </w:rPr>
      </w:pPr>
      <w:r>
        <w:rPr>
          <w:rFonts w:cs="Arial"/>
          <w:color w:val="000000"/>
        </w:rPr>
        <w:lastRenderedPageBreak/>
        <w:t>All teaching and study time for the period of the Intensive Programme is devoted to its subject matter: for the period of the time abroad it is not studied alongside other modules</w:t>
      </w:r>
      <w:r w:rsidR="003828A9">
        <w:rPr>
          <w:rFonts w:cs="Arial"/>
          <w:color w:val="000000"/>
        </w:rPr>
        <w:t>.</w:t>
      </w:r>
      <w:r w:rsidR="00AA39B0">
        <w:rPr>
          <w:rFonts w:cs="Arial"/>
          <w:color w:val="000000"/>
        </w:rPr>
        <w:t xml:space="preserve">  The ‘intensive’ nature of the engagement over this period is evident. </w:t>
      </w:r>
    </w:p>
    <w:p w14:paraId="4880FBEE" w14:textId="77777777" w:rsidR="003828A9" w:rsidRPr="00AA39B0" w:rsidRDefault="0030409D" w:rsidP="00AA39B0">
      <w:pPr>
        <w:pStyle w:val="ListParagraph"/>
        <w:numPr>
          <w:ilvl w:val="0"/>
          <w:numId w:val="4"/>
        </w:numPr>
        <w:spacing w:before="32" w:after="253" w:line="480" w:lineRule="auto"/>
        <w:rPr>
          <w:rFonts w:cs="Arial"/>
          <w:color w:val="000000"/>
        </w:rPr>
      </w:pPr>
      <w:r>
        <w:rPr>
          <w:rFonts w:cs="Arial"/>
          <w:color w:val="000000"/>
        </w:rPr>
        <w:t xml:space="preserve">An IP is not an exchange programme for individual students of particular universities in different European countries. It is instead </w:t>
      </w:r>
      <w:proofErr w:type="gramStart"/>
      <w:r>
        <w:rPr>
          <w:rFonts w:cs="Arial"/>
          <w:color w:val="000000"/>
        </w:rPr>
        <w:t>a collaboration</w:t>
      </w:r>
      <w:proofErr w:type="gramEnd"/>
      <w:r>
        <w:rPr>
          <w:rFonts w:cs="Arial"/>
          <w:color w:val="000000"/>
        </w:rPr>
        <w:t xml:space="preserve"> between a group of higher education institutions: a</w:t>
      </w:r>
      <w:r w:rsidR="003828A9">
        <w:rPr>
          <w:rFonts w:cs="Arial"/>
          <w:color w:val="000000"/>
        </w:rPr>
        <w:t>t least three higher education institutions from three different countries must participate.  This significantly increases the international dimension</w:t>
      </w:r>
      <w:r w:rsidR="00C91745">
        <w:rPr>
          <w:rFonts w:cs="Arial"/>
          <w:color w:val="000000"/>
        </w:rPr>
        <w:t>s</w:t>
      </w:r>
      <w:r w:rsidR="003828A9">
        <w:rPr>
          <w:rFonts w:cs="Arial"/>
          <w:color w:val="000000"/>
        </w:rPr>
        <w:t xml:space="preserve"> of the programme</w:t>
      </w:r>
      <w:r w:rsidR="00E57139">
        <w:rPr>
          <w:rFonts w:cs="Arial"/>
          <w:color w:val="000000"/>
        </w:rPr>
        <w:t>: students work with other students from a number of different institutions in different countries and may thereby be exposed to a variety of different learning styles and cultural approaches</w:t>
      </w:r>
      <w:r w:rsidR="003828A9" w:rsidRPr="00AA39B0">
        <w:rPr>
          <w:rFonts w:cs="Arial"/>
          <w:color w:val="000000"/>
        </w:rPr>
        <w:t>.</w:t>
      </w:r>
      <w:r w:rsidR="00AA39B0">
        <w:rPr>
          <w:rFonts w:cs="Arial"/>
          <w:color w:val="000000"/>
        </w:rPr>
        <w:t xml:space="preserve">  It is expected that they will be working collaboratively in teams for </w:t>
      </w:r>
      <w:r w:rsidR="00B41D94">
        <w:rPr>
          <w:rFonts w:cs="Arial"/>
          <w:color w:val="000000"/>
        </w:rPr>
        <w:t>much of the time abroad, something of which prospective employers may be particularly appreciative.</w:t>
      </w:r>
      <w:r w:rsidR="00B41D94">
        <w:rPr>
          <w:rStyle w:val="FootnoteReference"/>
          <w:rFonts w:cs="Arial"/>
          <w:color w:val="000000"/>
        </w:rPr>
        <w:footnoteReference w:id="25"/>
      </w:r>
      <w:r w:rsidR="00B41D94">
        <w:rPr>
          <w:rFonts w:cs="Arial"/>
          <w:color w:val="000000"/>
        </w:rPr>
        <w:t xml:space="preserve"> </w:t>
      </w:r>
    </w:p>
    <w:p w14:paraId="174DC55C" w14:textId="77777777" w:rsidR="003828A9" w:rsidRDefault="003828A9" w:rsidP="00D12FC0">
      <w:pPr>
        <w:pStyle w:val="ListParagraph"/>
        <w:numPr>
          <w:ilvl w:val="0"/>
          <w:numId w:val="4"/>
        </w:numPr>
        <w:spacing w:before="32" w:after="253" w:line="480" w:lineRule="auto"/>
        <w:rPr>
          <w:rFonts w:cs="Arial"/>
          <w:color w:val="000000"/>
        </w:rPr>
      </w:pPr>
      <w:r>
        <w:rPr>
          <w:rFonts w:cs="Arial"/>
          <w:color w:val="000000"/>
        </w:rPr>
        <w:t>The programme is devised co-operatively between the participating institutions, thus ensuring a variety of different perspectives on the subject matter and on the pedagogical approaches used.</w:t>
      </w:r>
    </w:p>
    <w:p w14:paraId="1D99237B" w14:textId="77777777" w:rsidR="007628B3" w:rsidRDefault="009F5B99" w:rsidP="00D12FC0">
      <w:pPr>
        <w:pStyle w:val="ListParagraph"/>
        <w:numPr>
          <w:ilvl w:val="0"/>
          <w:numId w:val="4"/>
        </w:numPr>
        <w:spacing w:before="32" w:after="253" w:line="480" w:lineRule="auto"/>
        <w:rPr>
          <w:rFonts w:cs="Arial"/>
          <w:color w:val="000000"/>
        </w:rPr>
      </w:pPr>
      <w:r>
        <w:rPr>
          <w:rFonts w:cs="Arial"/>
          <w:color w:val="000000"/>
        </w:rPr>
        <w:t>The fact that the students participating in the programme are staying in the host country only</w:t>
      </w:r>
      <w:r w:rsidR="0030409D">
        <w:rPr>
          <w:rFonts w:cs="Arial"/>
          <w:color w:val="000000"/>
        </w:rPr>
        <w:t xml:space="preserve"> for a short time</w:t>
      </w:r>
      <w:r>
        <w:rPr>
          <w:rFonts w:cs="Arial"/>
          <w:color w:val="000000"/>
        </w:rPr>
        <w:t xml:space="preserve"> impact</w:t>
      </w:r>
      <w:r w:rsidR="0030409D">
        <w:rPr>
          <w:rFonts w:cs="Arial"/>
          <w:color w:val="000000"/>
        </w:rPr>
        <w:t xml:space="preserve">s </w:t>
      </w:r>
      <w:r>
        <w:rPr>
          <w:rFonts w:cs="Arial"/>
          <w:color w:val="000000"/>
        </w:rPr>
        <w:t>on the accommodation they are likely to use; it is less likely that they will be able to be accommodated in standard student res</w:t>
      </w:r>
      <w:r w:rsidR="00455408">
        <w:rPr>
          <w:rFonts w:cs="Arial"/>
          <w:color w:val="000000"/>
        </w:rPr>
        <w:t>idences at the host institution</w:t>
      </w:r>
      <w:r w:rsidR="0030409D">
        <w:rPr>
          <w:rFonts w:cs="Arial"/>
          <w:color w:val="000000"/>
        </w:rPr>
        <w:t xml:space="preserve"> whereas this is often facilitated for standard Erasmus students.  It is</w:t>
      </w:r>
      <w:r>
        <w:rPr>
          <w:rFonts w:cs="Arial"/>
          <w:color w:val="000000"/>
        </w:rPr>
        <w:t xml:space="preserve"> more likely that they will be staying together as a group in hostel accommodation or similar</w:t>
      </w:r>
      <w:r w:rsidR="00B77642">
        <w:rPr>
          <w:rFonts w:cs="Arial"/>
          <w:color w:val="000000"/>
        </w:rPr>
        <w:t xml:space="preserve"> (the Erasmus Programme funds the travel, accommodation and living expenses of all participants but unsurprisingly does not provide for particularly luxurious living)</w:t>
      </w:r>
      <w:r>
        <w:rPr>
          <w:rFonts w:cs="Arial"/>
          <w:color w:val="000000"/>
        </w:rPr>
        <w:t>.</w:t>
      </w:r>
      <w:r w:rsidR="00932F66">
        <w:rPr>
          <w:rFonts w:cs="Arial"/>
          <w:color w:val="000000"/>
        </w:rPr>
        <w:t xml:space="preserve">  They will therefore mix </w:t>
      </w:r>
      <w:r w:rsidR="0030409D">
        <w:rPr>
          <w:rFonts w:cs="Arial"/>
          <w:color w:val="000000"/>
        </w:rPr>
        <w:t>in their group but may not integrate socially</w:t>
      </w:r>
      <w:r w:rsidR="00932F66">
        <w:rPr>
          <w:rFonts w:cs="Arial"/>
          <w:color w:val="000000"/>
        </w:rPr>
        <w:t xml:space="preserve"> with the wider student community of the host institution</w:t>
      </w:r>
      <w:r w:rsidR="0030409D">
        <w:rPr>
          <w:rFonts w:cs="Arial"/>
          <w:color w:val="000000"/>
        </w:rPr>
        <w:t xml:space="preserve"> to any great extent, though this is heavily dependent on the efforts made by the </w:t>
      </w:r>
      <w:r w:rsidR="0030409D">
        <w:rPr>
          <w:rFonts w:cs="Arial"/>
          <w:color w:val="000000"/>
        </w:rPr>
        <w:lastRenderedPageBreak/>
        <w:t>hosts</w:t>
      </w:r>
      <w:r w:rsidR="00932F66">
        <w:rPr>
          <w:rFonts w:cs="Arial"/>
          <w:color w:val="000000"/>
        </w:rPr>
        <w:t>; they will not be having classes with students from the host institution except for the relatively small number from that institution</w:t>
      </w:r>
      <w:r w:rsidR="0030409D">
        <w:rPr>
          <w:rFonts w:cs="Arial"/>
          <w:color w:val="000000"/>
        </w:rPr>
        <w:t xml:space="preserve"> participating in the programme</w:t>
      </w:r>
      <w:r w:rsidR="00932F66">
        <w:rPr>
          <w:rFonts w:cs="Arial"/>
          <w:color w:val="000000"/>
        </w:rPr>
        <w:t xml:space="preserve">. </w:t>
      </w:r>
      <w:r w:rsidR="003828A9">
        <w:rPr>
          <w:rFonts w:cs="Arial"/>
          <w:color w:val="000000"/>
        </w:rPr>
        <w:t xml:space="preserve"> </w:t>
      </w:r>
    </w:p>
    <w:p w14:paraId="16F2DCFC" w14:textId="77777777" w:rsidR="00E46A4E" w:rsidRDefault="00AD46A8" w:rsidP="00D12FC0">
      <w:pPr>
        <w:pStyle w:val="ListParagraph"/>
        <w:numPr>
          <w:ilvl w:val="0"/>
          <w:numId w:val="4"/>
        </w:numPr>
        <w:spacing w:before="32" w:after="253" w:line="480" w:lineRule="auto"/>
        <w:rPr>
          <w:rFonts w:cs="Arial"/>
          <w:color w:val="000000"/>
        </w:rPr>
      </w:pPr>
      <w:r w:rsidRPr="007628B3">
        <w:rPr>
          <w:rFonts w:eastAsia="Times New Roman" w:cs="Arial"/>
          <w:color w:val="000000"/>
          <w:lang w:eastAsia="en-GB"/>
        </w:rPr>
        <w:t>There is no doubting the importance attached by the Commission to the use of Intensive Programmes as a vehicle for curricular innovation</w:t>
      </w:r>
      <w:r w:rsidR="00AF1F1E" w:rsidRPr="007628B3">
        <w:rPr>
          <w:rFonts w:eastAsia="Times New Roman" w:cs="Arial"/>
          <w:color w:val="000000"/>
          <w:lang w:eastAsia="en-GB"/>
        </w:rPr>
        <w:t>.  The Europa website states that IPs ‘</w:t>
      </w:r>
      <w:r w:rsidR="00AF1F1E" w:rsidRPr="007628B3">
        <w:rPr>
          <w:rFonts w:cs="Arial"/>
          <w:color w:val="000000"/>
        </w:rPr>
        <w:t>should provide something new in terms of learning opportunities, skills development, access to information, etc. for the participating teachers and students and promote an element of curricular development’.</w:t>
      </w:r>
      <w:r w:rsidR="00AF1F1E">
        <w:rPr>
          <w:rStyle w:val="FootnoteReference"/>
          <w:rFonts w:cs="Arial"/>
          <w:color w:val="000000"/>
        </w:rPr>
        <w:footnoteReference w:id="26"/>
      </w:r>
      <w:r w:rsidR="00AF1F1E" w:rsidRPr="007628B3">
        <w:rPr>
          <w:rFonts w:cs="Arial"/>
          <w:color w:val="000000"/>
        </w:rPr>
        <w:t xml:space="preserve">  This can of course be a way of feeding the benefits of student mobility (still the preserve of the minority) to the majority.  However, it has been reported</w:t>
      </w:r>
      <w:r w:rsidR="00AF1F1E">
        <w:rPr>
          <w:rStyle w:val="FootnoteReference"/>
          <w:rFonts w:cs="Arial"/>
          <w:color w:val="000000"/>
        </w:rPr>
        <w:footnoteReference w:id="27"/>
      </w:r>
      <w:r w:rsidR="00AF1F1E" w:rsidRPr="007628B3">
        <w:rPr>
          <w:rFonts w:cs="Arial"/>
          <w:color w:val="000000"/>
        </w:rPr>
        <w:t xml:space="preserve"> </w:t>
      </w:r>
      <w:r w:rsidR="00185841" w:rsidRPr="007628B3">
        <w:rPr>
          <w:rFonts w:cs="Arial"/>
          <w:color w:val="000000"/>
        </w:rPr>
        <w:t>that many academics involved in curricular innovation under the auspices of Erasmus programmes feel that there is a need to help in disseminating the results of such innovations with a view to improving on and widening the impact of successful innovations and lea</w:t>
      </w:r>
      <w:r w:rsidR="00E46A4E">
        <w:rPr>
          <w:rFonts w:cs="Arial"/>
          <w:color w:val="000000"/>
        </w:rPr>
        <w:t>rning from less successful ones.</w:t>
      </w:r>
      <w:r w:rsidR="0073064B">
        <w:rPr>
          <w:rFonts w:cs="Arial"/>
          <w:color w:val="000000"/>
        </w:rPr>
        <w:t xml:space="preserve">  This comment is clearly related to the apparent paucity of the literature in this field.</w:t>
      </w:r>
    </w:p>
    <w:p w14:paraId="7E1464F8" w14:textId="77777777" w:rsidR="0030409D" w:rsidRDefault="00A9609A" w:rsidP="00D12FC0">
      <w:pPr>
        <w:pStyle w:val="ListParagraph"/>
        <w:numPr>
          <w:ilvl w:val="0"/>
          <w:numId w:val="4"/>
        </w:numPr>
        <w:spacing w:before="63" w:after="63" w:line="480" w:lineRule="auto"/>
        <w:rPr>
          <w:rFonts w:eastAsia="Times New Roman" w:cs="Arial"/>
          <w:color w:val="000000"/>
          <w:lang w:eastAsia="en-GB"/>
        </w:rPr>
      </w:pPr>
      <w:r w:rsidRPr="00EB5C38">
        <w:rPr>
          <w:rFonts w:eastAsia="Times New Roman" w:cs="Arial"/>
          <w:color w:val="000000"/>
          <w:lang w:eastAsia="en-GB"/>
        </w:rPr>
        <w:t xml:space="preserve">The most obvious difference between ‘standard’ Erasmus mobility and IPs is the length of time spent abroad.  </w:t>
      </w:r>
      <w:r w:rsidR="00915065" w:rsidRPr="00EB5C38">
        <w:rPr>
          <w:rFonts w:eastAsia="Times New Roman" w:cs="Arial"/>
          <w:color w:val="000000"/>
          <w:lang w:eastAsia="en-GB"/>
        </w:rPr>
        <w:t>It is a significant question</w:t>
      </w:r>
      <w:r w:rsidR="00357695" w:rsidRPr="00EB5C38">
        <w:rPr>
          <w:rFonts w:eastAsia="Times New Roman" w:cs="Arial"/>
          <w:color w:val="000000"/>
          <w:lang w:eastAsia="en-GB"/>
        </w:rPr>
        <w:t xml:space="preserve"> as to </w:t>
      </w:r>
      <w:r w:rsidR="00AF1F1E" w:rsidRPr="00EB5C38">
        <w:rPr>
          <w:rFonts w:eastAsia="Times New Roman" w:cs="Arial"/>
          <w:color w:val="000000"/>
          <w:lang w:eastAsia="en-GB"/>
        </w:rPr>
        <w:t>how far</w:t>
      </w:r>
      <w:r w:rsidR="00357695" w:rsidRPr="00EB5C38">
        <w:rPr>
          <w:rFonts w:eastAsia="Times New Roman" w:cs="Arial"/>
          <w:color w:val="000000"/>
          <w:lang w:eastAsia="en-GB"/>
        </w:rPr>
        <w:t xml:space="preserve"> t</w:t>
      </w:r>
      <w:r w:rsidR="002564E6" w:rsidRPr="00EB5C38">
        <w:rPr>
          <w:rFonts w:eastAsia="Times New Roman" w:cs="Arial"/>
          <w:color w:val="000000"/>
          <w:lang w:eastAsia="en-GB"/>
        </w:rPr>
        <w:t xml:space="preserve">he advantages accruing to students from participating in an Intensive Programme, the maximum duration of which is six weeks, can be expected to be similar in nature to those for students participating in a longer Erasmus exchange (the normal duration of which is three </w:t>
      </w:r>
      <w:r w:rsidR="00357695" w:rsidRPr="00EB5C38">
        <w:rPr>
          <w:rFonts w:eastAsia="Times New Roman" w:cs="Arial"/>
          <w:color w:val="000000"/>
          <w:lang w:eastAsia="en-GB"/>
        </w:rPr>
        <w:t>months to one academic year).</w:t>
      </w:r>
      <w:r w:rsidR="005D7283">
        <w:rPr>
          <w:rFonts w:eastAsia="Times New Roman" w:cs="Arial"/>
          <w:color w:val="000000"/>
          <w:lang w:eastAsia="en-GB"/>
        </w:rPr>
        <w:t xml:space="preserve"> This is considered further below</w:t>
      </w:r>
      <w:r w:rsidR="0011379A">
        <w:rPr>
          <w:rFonts w:eastAsia="Times New Roman" w:cs="Arial"/>
          <w:color w:val="000000"/>
          <w:lang w:eastAsia="en-GB"/>
        </w:rPr>
        <w:t>, but scepticism should</w:t>
      </w:r>
      <w:r w:rsidR="00D56D10">
        <w:rPr>
          <w:rFonts w:eastAsia="Times New Roman" w:cs="Arial"/>
          <w:color w:val="000000"/>
          <w:lang w:eastAsia="en-GB"/>
        </w:rPr>
        <w:t xml:space="preserve"> be tempered by awareness that an IP is by no means just a shorter version of a standard Erasmus period abroad but will involve collaboration with students from countries other than just those at the host university, working in teams and exclusively focused on the IP for the period abroad, which is preceded by a much longer period of preparatory work at the home institution when however students will be communicating and sharing their learning online</w:t>
      </w:r>
      <w:r w:rsidR="005D7283">
        <w:rPr>
          <w:rFonts w:eastAsia="Times New Roman" w:cs="Arial"/>
          <w:color w:val="000000"/>
          <w:lang w:eastAsia="en-GB"/>
        </w:rPr>
        <w:t>.</w:t>
      </w:r>
      <w:r w:rsidR="00357695" w:rsidRPr="00EB5C38">
        <w:rPr>
          <w:rFonts w:eastAsia="Times New Roman" w:cs="Arial"/>
          <w:color w:val="000000"/>
          <w:lang w:eastAsia="en-GB"/>
        </w:rPr>
        <w:t xml:space="preserve">  </w:t>
      </w:r>
    </w:p>
    <w:p w14:paraId="6F726B7D" w14:textId="77777777" w:rsidR="009E73BF" w:rsidRDefault="009E73BF" w:rsidP="00D12FC0">
      <w:pPr>
        <w:spacing w:before="63" w:after="63" w:line="480" w:lineRule="auto"/>
        <w:rPr>
          <w:rFonts w:eastAsia="Times New Roman" w:cs="Arial"/>
          <w:b/>
          <w:color w:val="000000"/>
          <w:lang w:eastAsia="en-GB"/>
        </w:rPr>
      </w:pPr>
    </w:p>
    <w:p w14:paraId="13927BBF" w14:textId="77777777" w:rsidR="00F05EA0" w:rsidRDefault="00F05EA0" w:rsidP="00D12FC0">
      <w:pPr>
        <w:spacing w:before="63" w:after="63" w:line="480" w:lineRule="auto"/>
        <w:rPr>
          <w:rFonts w:eastAsia="Times New Roman" w:cs="Arial"/>
          <w:b/>
          <w:color w:val="000000"/>
          <w:lang w:eastAsia="en-GB"/>
        </w:rPr>
      </w:pPr>
    </w:p>
    <w:p w14:paraId="75A20010" w14:textId="77777777" w:rsidR="00F05EA0" w:rsidRDefault="00F05EA0" w:rsidP="00D12FC0">
      <w:pPr>
        <w:spacing w:before="63" w:after="63" w:line="480" w:lineRule="auto"/>
        <w:rPr>
          <w:rFonts w:eastAsia="Times New Roman" w:cs="Arial"/>
          <w:b/>
          <w:color w:val="000000"/>
          <w:lang w:eastAsia="en-GB"/>
        </w:rPr>
      </w:pPr>
    </w:p>
    <w:p w14:paraId="62E9500F" w14:textId="77777777" w:rsidR="00F05EA0" w:rsidRDefault="00F05EA0" w:rsidP="00D12FC0">
      <w:pPr>
        <w:spacing w:before="63" w:after="63" w:line="480" w:lineRule="auto"/>
        <w:rPr>
          <w:rFonts w:eastAsia="Times New Roman" w:cs="Arial"/>
          <w:b/>
          <w:color w:val="000000"/>
          <w:lang w:eastAsia="en-GB"/>
        </w:rPr>
      </w:pPr>
    </w:p>
    <w:p w14:paraId="2BB13F2B" w14:textId="77777777" w:rsidR="00303AD1" w:rsidRPr="009E73BF" w:rsidRDefault="00303AD1" w:rsidP="00D12FC0">
      <w:pPr>
        <w:spacing w:before="63" w:after="63" w:line="480" w:lineRule="auto"/>
        <w:rPr>
          <w:rFonts w:eastAsia="Times New Roman" w:cs="Arial"/>
          <w:b/>
          <w:color w:val="000000"/>
          <w:lang w:eastAsia="en-GB"/>
        </w:rPr>
      </w:pPr>
      <w:r>
        <w:rPr>
          <w:rFonts w:eastAsia="Times New Roman" w:cs="Arial"/>
          <w:b/>
          <w:color w:val="000000"/>
          <w:lang w:eastAsia="en-GB"/>
        </w:rPr>
        <w:t>A CASE STUDY</w:t>
      </w:r>
    </w:p>
    <w:p w14:paraId="49D127CB" w14:textId="77777777" w:rsidR="00303AD1" w:rsidRDefault="00303AD1" w:rsidP="00D12FC0">
      <w:pPr>
        <w:spacing w:line="480" w:lineRule="auto"/>
      </w:pPr>
    </w:p>
    <w:p w14:paraId="77F0620C" w14:textId="77777777" w:rsidR="00303AD1" w:rsidRDefault="00303AD1" w:rsidP="00D12FC0">
      <w:pPr>
        <w:spacing w:line="480" w:lineRule="auto"/>
      </w:pPr>
      <w:r>
        <w:t xml:space="preserve">London South Bank University was approached in 2009 by </w:t>
      </w:r>
      <w:proofErr w:type="spellStart"/>
      <w:r>
        <w:t>Inholland</w:t>
      </w:r>
      <w:proofErr w:type="spellEnd"/>
      <w:r>
        <w:t xml:space="preserve"> University of Applied Sciences in Rotterdam (universities of applied science in The Netherlands are roughly equivalent to the pre 1992 polytechnics in the UK) about the possibility of being one of five partner universities to apply for funding for a three year Intensive Programme.  </w:t>
      </w:r>
      <w:proofErr w:type="spellStart"/>
      <w:r>
        <w:t>Inholland</w:t>
      </w:r>
      <w:proofErr w:type="spellEnd"/>
      <w:r>
        <w:t xml:space="preserve"> took on the role of</w:t>
      </w:r>
      <w:r w:rsidR="00B437D2">
        <w:t xml:space="preserve"> the co-ordinating institution. O</w:t>
      </w:r>
      <w:r>
        <w:t>ne of the Higher Education Institutions participating in an Erasmus IP has to take on this role; there is a lot of bureaucracy and administration involved and it is n</w:t>
      </w:r>
      <w:r w:rsidR="00B437D2">
        <w:t>ot to be taken lightly</w:t>
      </w:r>
      <w:r>
        <w:t>.</w:t>
      </w:r>
      <w:r w:rsidR="00381EE6">
        <w:t xml:space="preserve">  Van </w:t>
      </w:r>
      <w:proofErr w:type="spellStart"/>
      <w:r w:rsidR="00381EE6">
        <w:t>Damme</w:t>
      </w:r>
      <w:proofErr w:type="spellEnd"/>
      <w:r w:rsidR="00381EE6">
        <w:rPr>
          <w:rStyle w:val="FootnoteReference"/>
        </w:rPr>
        <w:footnoteReference w:id="28"/>
      </w:r>
      <w:r w:rsidR="003E15D6">
        <w:t xml:space="preserve"> refers to the ‘bureaucratic over-regulation’ and ‘exaggerated paperwork’.</w:t>
      </w:r>
      <w:r>
        <w:t xml:space="preserve">  However, </w:t>
      </w:r>
      <w:proofErr w:type="spellStart"/>
      <w:r>
        <w:t>I</w:t>
      </w:r>
      <w:r w:rsidR="00F40B6D">
        <w:t>nholland</w:t>
      </w:r>
      <w:proofErr w:type="spellEnd"/>
      <w:r w:rsidR="00F40B6D">
        <w:t xml:space="preserve"> were very suited for the role</w:t>
      </w:r>
      <w:r>
        <w:t xml:space="preserve"> as they both send and receive a great many students under the Erasmus student mobility programme and have an experienced and well staffed International Office.  The other universities were the University of Ulster (it is permissible under Erasmus IP funding rules that more than one of the partner universities is located in the same country though there must be at least three countries represented), the University of Pecs in Hungary and the University of </w:t>
      </w:r>
      <w:proofErr w:type="spellStart"/>
      <w:r>
        <w:t>Cergy</w:t>
      </w:r>
      <w:proofErr w:type="spellEnd"/>
      <w:r>
        <w:t xml:space="preserve"> </w:t>
      </w:r>
      <w:proofErr w:type="spellStart"/>
      <w:r>
        <w:t>Pontoise</w:t>
      </w:r>
      <w:proofErr w:type="spellEnd"/>
      <w:r>
        <w:t xml:space="preserve">, near Paris in France.  </w:t>
      </w:r>
    </w:p>
    <w:p w14:paraId="5BEE5540" w14:textId="77777777" w:rsidR="00303AD1" w:rsidRDefault="00303AD1" w:rsidP="00D12FC0">
      <w:pPr>
        <w:spacing w:line="480" w:lineRule="auto"/>
      </w:pPr>
      <w:r>
        <w:t xml:space="preserve">The initiative for the IP came from a small group of Law and Criminology lecturers at </w:t>
      </w:r>
      <w:proofErr w:type="spellStart"/>
      <w:r>
        <w:t>Inholland</w:t>
      </w:r>
      <w:proofErr w:type="spellEnd"/>
      <w:r>
        <w:t xml:space="preserve">.  Both lecturers and staff from these departments had formed </w:t>
      </w:r>
      <w:r w:rsidR="0071284D">
        <w:t xml:space="preserve">working </w:t>
      </w:r>
      <w:r>
        <w:t xml:space="preserve">relationships over a number of years with the other universities in the group, not all of whom had worked with each other but some of whom had (LSBU has a long-standing relationship with </w:t>
      </w:r>
      <w:proofErr w:type="spellStart"/>
      <w:r>
        <w:t>Cergy-Pontoise</w:t>
      </w:r>
      <w:proofErr w:type="spellEnd"/>
      <w:r>
        <w:t xml:space="preserve"> University in France and has hosted a number of Erasmus</w:t>
      </w:r>
      <w:r w:rsidR="0071284D">
        <w:t xml:space="preserve"> exchange</w:t>
      </w:r>
      <w:r>
        <w:t xml:space="preserve"> students from that university in the Law Department).</w:t>
      </w:r>
      <w:r w:rsidRPr="00D41F3A">
        <w:t xml:space="preserve"> </w:t>
      </w:r>
      <w:r>
        <w:lastRenderedPageBreak/>
        <w:t xml:space="preserve">The choice of subject matter is clearly significant.  The Commission notes certain preferences which guide the design of IPs.  Preference is given to IPs in rapidly evolving and new areas and if the IP is situated in a subject area which does not readily lend itself to an extended period of study abroad. </w:t>
      </w:r>
    </w:p>
    <w:p w14:paraId="614971DB" w14:textId="77777777" w:rsidR="00A97A31" w:rsidRDefault="00303AD1" w:rsidP="00D12FC0">
      <w:pPr>
        <w:spacing w:line="480" w:lineRule="auto"/>
      </w:pPr>
      <w:r>
        <w:t>With this in mind, the subject matter fixed on for the IP can best be described as EU Criminal and Migration Law, which by virtue of the then imminent coming into force of the Treaty of Lisbon was particularly topical: the law and policy relating to the Area of Freedom, Security and Justice (“AFSJ”): Title V of the TFEU.  The rather grand official title of the IP was ‘Citizenship and Combating Crime in the EU’.  At the time</w:t>
      </w:r>
      <w:r w:rsidR="0071284D">
        <w:t xml:space="preserve"> the IP was being discussed</w:t>
      </w:r>
      <w:r>
        <w:t xml:space="preserve"> – and to a considerable extent still now – this was certainly an area which was recognised as ripe for academic focus; there were many conferences on the topic and it was recognised that it constituted a considerable development for EU lawyers who would have to begin to take more notice than before of Criminal Law and for Criminal lawyers who thought they had escaped from EU law after law school.  It was not an area encompassed by a standard EU law course but some universities anticipated it would become a ‘stand alone’ subject studied in its own right.  It was thought that this satisfied the Commission’s preference for new and rapidly evolving areas.   It was recognised that students needed to have studied EU law and Criminal law before participating in the IP and satisfactory completion of such subjects at their home institutions was made one of the requirements of participation.  </w:t>
      </w:r>
    </w:p>
    <w:p w14:paraId="59A1D731" w14:textId="77777777" w:rsidR="00303AD1" w:rsidRDefault="00303AD1" w:rsidP="00D12FC0">
      <w:pPr>
        <w:spacing w:line="480" w:lineRule="auto"/>
      </w:pPr>
      <w:r>
        <w:t>It was decided to design and apply (ultimately successfully) for funding for an IP of the minimum length of two weeks</w:t>
      </w:r>
      <w:r w:rsidR="0030409D">
        <w:t>,</w:t>
      </w:r>
      <w:r>
        <w:t xml:space="preserve"> which could be fitted, wholly or partially, for most of the participating universities into the Easter break.</w:t>
      </w:r>
      <w:r w:rsidR="0030409D">
        <w:t xml:space="preserve"> An IP can be integrated into a degree programme either as a free standing study programme, probably undertaken in the holidays, or embedded into an optional modu</w:t>
      </w:r>
      <w:r w:rsidR="00B52538">
        <w:t>le.  As stated above, the</w:t>
      </w:r>
      <w:r w:rsidR="0030409D">
        <w:t xml:space="preserve"> IP itself has to consist of at least ten continuous days study (weekends can be off!) and no more than six weeks of</w:t>
      </w:r>
      <w:r w:rsidR="00B52538">
        <w:t xml:space="preserve"> study</w:t>
      </w:r>
      <w:r w:rsidR="0030409D">
        <w:t xml:space="preserve">.  It can therefore fit into a university holiday and indeed will generally need to since one of the requirements of an IP is that during the IP study days, </w:t>
      </w:r>
      <w:r w:rsidR="0030409D">
        <w:lastRenderedPageBreak/>
        <w:t>the students should be studying the subject of the IP full time and should not be doing any other modules in p</w:t>
      </w:r>
      <w:r w:rsidR="00F24FC5">
        <w:t>arallel, as they would usually</w:t>
      </w:r>
      <w:r w:rsidR="0030409D">
        <w:t xml:space="preserve"> be doing during term time at their home institution. </w:t>
      </w:r>
      <w:r>
        <w:t xml:space="preserve"> </w:t>
      </w:r>
    </w:p>
    <w:p w14:paraId="30C95D93" w14:textId="77777777" w:rsidR="00303AD1" w:rsidRDefault="00303AD1" w:rsidP="00D12FC0">
      <w:pPr>
        <w:spacing w:line="480" w:lineRule="auto"/>
      </w:pPr>
      <w:r>
        <w:t>The topics coming under the general umbrella of the AFSJ also sat well with the teaching and research interests of lecturers from the participating universities, who between them and with the incorporation into the IP teaching team of other colleagues were able to offer specialisms in regular and irregular EU migration (</w:t>
      </w:r>
      <w:proofErr w:type="spellStart"/>
      <w:r>
        <w:t>ie</w:t>
      </w:r>
      <w:proofErr w:type="spellEnd"/>
      <w:r>
        <w:t xml:space="preserve"> standard free movement of persons and also in Asylum law), in EU Criminal law particularly relating to terrorism and organised crime, and in state surveillance.  Most of the lecturers were from the Law departments of the participating universities but a couple from Criminolog</w:t>
      </w:r>
      <w:r w:rsidR="00E37ADA">
        <w:t>y departments.  It was</w:t>
      </w:r>
      <w:r>
        <w:t xml:space="preserve"> decided that there should be six specialist topic areas with one student at each university assigned to eac</w:t>
      </w:r>
      <w:r w:rsidR="00A97A31">
        <w:t>h topic area</w:t>
      </w:r>
      <w:r w:rsidR="00A326A8">
        <w:t>, each of the five universities therefore providing five students</w:t>
      </w:r>
      <w:r w:rsidR="00A97A31">
        <w:t>.  The topic areas we</w:t>
      </w:r>
      <w:r>
        <w:t xml:space="preserve">re Terrorism, Organised Crime, State Surveillance, Asylum and Immigration, Free Movement of Persons and Citizenship.  As will be seen, </w:t>
      </w:r>
      <w:r w:rsidR="00A97A31">
        <w:t>these specialist topic areas fe</w:t>
      </w:r>
      <w:r>
        <w:t xml:space="preserve">d directly into the assessment pattern.    </w:t>
      </w:r>
    </w:p>
    <w:p w14:paraId="3817A406" w14:textId="77777777" w:rsidR="00303AD1" w:rsidRDefault="00303AD1" w:rsidP="00D12FC0">
      <w:pPr>
        <w:spacing w:line="480" w:lineRule="auto"/>
      </w:pPr>
      <w:r>
        <w:t>The full teaching programme incorporated some preparatory work undertaken at home universities during the ‘pre-IP</w:t>
      </w:r>
      <w:r w:rsidRPr="00107CC3">
        <w:t xml:space="preserve"> </w:t>
      </w:r>
      <w:r w:rsidR="00A80076">
        <w:t>phase’ when students wer</w:t>
      </w:r>
      <w:r>
        <w:t>e undertaking their usual</w:t>
      </w:r>
      <w:r w:rsidR="00A97A31">
        <w:t xml:space="preserve"> term-time</w:t>
      </w:r>
      <w:r w:rsidR="00A80076">
        <w:t xml:space="preserve"> timetable, as well as</w:t>
      </w:r>
      <w:r>
        <w:t xml:space="preserve"> work done during the IP phase</w:t>
      </w:r>
      <w:r w:rsidR="00A97A31">
        <w:t xml:space="preserve"> during the Easter holidays</w:t>
      </w:r>
      <w:r>
        <w:t>.  The EU Commission also puts great emphasis on the IP providing something new in terms of learning opportunities and skills development, both for the students and the staff.  The teaching programme was therefore designed to incorporate a variety of innovative assessments.  It was also borne in mind that the Commission’s requirements for IPs were to enable students and teachers to work together in multinational groups and experience an ‘international classroom’.</w:t>
      </w:r>
    </w:p>
    <w:p w14:paraId="7DFC48ED" w14:textId="77777777" w:rsidR="00303AD1" w:rsidRDefault="00303AD1" w:rsidP="00D12FC0">
      <w:pPr>
        <w:spacing w:line="480" w:lineRule="auto"/>
      </w:pPr>
      <w:r>
        <w:t>With this in mind, the teaching and assessment pattern for the IP was devised as follows:</w:t>
      </w:r>
    </w:p>
    <w:p w14:paraId="5286A8A1" w14:textId="77777777" w:rsidR="00303AD1" w:rsidRDefault="00303AD1" w:rsidP="00D12FC0">
      <w:pPr>
        <w:spacing w:line="480" w:lineRule="auto"/>
      </w:pPr>
      <w:r>
        <w:t xml:space="preserve">In the pre-IP </w:t>
      </w:r>
      <w:proofErr w:type="gramStart"/>
      <w:r>
        <w:t>phase</w:t>
      </w:r>
      <w:proofErr w:type="gramEnd"/>
      <w:r>
        <w:t xml:space="preserve"> at home universities, students attend</w:t>
      </w:r>
      <w:r w:rsidR="00A97A31">
        <w:t>ed</w:t>
      </w:r>
      <w:r>
        <w:t xml:space="preserve"> classes on the development and prin</w:t>
      </w:r>
      <w:r w:rsidR="00A97A31">
        <w:t>ciples of EU AFSJ law.</w:t>
      </w:r>
      <w:r w:rsidR="00273F15">
        <w:t xml:space="preserve">  In three of the five universities, some of these classes were delivered by </w:t>
      </w:r>
      <w:r w:rsidR="00273F15">
        <w:lastRenderedPageBreak/>
        <w:t>lecturers visiting from other universities participating in the IP</w:t>
      </w:r>
      <w:r w:rsidR="00F75467">
        <w:t>, such visits funded by the Erasmus staff mobility scheme</w:t>
      </w:r>
      <w:r w:rsidR="00EE05AB">
        <w:t>, thus introducing the students to different national perspectives on the IP topic and also to different approaches to teaching and learning, thus introducing the international dimension to the experience of the IP some weeks or months before the period of study overseas.</w:t>
      </w:r>
      <w:r w:rsidR="00F75467">
        <w:t xml:space="preserve"> </w:t>
      </w:r>
      <w:r w:rsidR="00A97A31">
        <w:t xml:space="preserve"> </w:t>
      </w:r>
      <w:r w:rsidR="00A04EB9">
        <w:t xml:space="preserve"> </w:t>
      </w:r>
      <w:r w:rsidR="00EE05AB">
        <w:t>The students</w:t>
      </w:r>
      <w:r w:rsidR="00A97A31">
        <w:t xml:space="preserve"> wrote two papers; the first one wa</w:t>
      </w:r>
      <w:r>
        <w:t>s a group project undertaken by the participating students at each university, looking at the implementation of AFSJ law and policy in the member s</w:t>
      </w:r>
      <w:r w:rsidR="00A97A31">
        <w:t>tate in which their university wa</w:t>
      </w:r>
      <w:r>
        <w:t>s situated.  Do</w:t>
      </w:r>
      <w:r w:rsidR="00A97A31">
        <w:t>ing this as a group exercise had</w:t>
      </w:r>
      <w:r w:rsidR="003C2992">
        <w:t xml:space="preserve"> the benefit that </w:t>
      </w:r>
      <w:r>
        <w:t>students experience</w:t>
      </w:r>
      <w:r w:rsidR="00A80076">
        <w:t>d</w:t>
      </w:r>
      <w:r>
        <w:t xml:space="preserve"> a group work project in the more comfortable context of their home university before embarking on another group project in the arguably more challenging environment of an international group during the IP.  </w:t>
      </w:r>
    </w:p>
    <w:p w14:paraId="12FFFE22" w14:textId="77777777" w:rsidR="00303AD1" w:rsidRDefault="00303AD1" w:rsidP="00D12FC0">
      <w:pPr>
        <w:spacing w:line="480" w:lineRule="auto"/>
      </w:pPr>
      <w:r>
        <w:t>The second and shorter paper written by each stud</w:t>
      </w:r>
      <w:r w:rsidR="00A97A31">
        <w:t>ent at this pre-IP stage focussed</w:t>
      </w:r>
      <w:r>
        <w:t xml:space="preserve"> on an issue within that student’s specialist topic area, the paper written from the perspective of the law and policy in the member state of that student’s univers</w:t>
      </w:r>
      <w:r w:rsidR="00A97A31">
        <w:t>ity.  The titles of the papers we</w:t>
      </w:r>
      <w:r>
        <w:t>re set jointly by the IP lecturers</w:t>
      </w:r>
      <w:r w:rsidR="00A97A31">
        <w:t>,</w:t>
      </w:r>
      <w:r>
        <w:t xml:space="preserve"> and therefore each student assigned to a particular </w:t>
      </w:r>
      <w:r w:rsidR="00226081">
        <w:t>specialist topic</w:t>
      </w:r>
      <w:r w:rsidR="00A97A31">
        <w:t xml:space="preserve"> wrote</w:t>
      </w:r>
      <w:r>
        <w:t xml:space="preserve"> a paper on the same issue as the students assigned to that specialist topic at the other universities.    </w:t>
      </w:r>
    </w:p>
    <w:p w14:paraId="01C5296F" w14:textId="77777777" w:rsidR="00303AD1" w:rsidRDefault="00A97A31" w:rsidP="00D12FC0">
      <w:pPr>
        <w:spacing w:line="480" w:lineRule="auto"/>
      </w:pPr>
      <w:r>
        <w:t>All the papers we</w:t>
      </w:r>
      <w:r w:rsidR="00303AD1">
        <w:t>re uploaded onto a dedicated Blackboard (Virtual Le</w:t>
      </w:r>
      <w:r>
        <w:t xml:space="preserve">arning Environment) site </w:t>
      </w:r>
      <w:r w:rsidR="00303AD1">
        <w:t>made available to all students and staff partic</w:t>
      </w:r>
      <w:r>
        <w:t>ipating in the IP and it wa</w:t>
      </w:r>
      <w:r w:rsidR="00226081">
        <w:t>s required</w:t>
      </w:r>
      <w:r w:rsidR="00303AD1">
        <w:t xml:space="preserve"> that all students read all the other papers from their own and the other universities in advance of the IP.  </w:t>
      </w:r>
    </w:p>
    <w:p w14:paraId="03D33AF4" w14:textId="77777777" w:rsidR="00303AD1" w:rsidRDefault="00303AD1" w:rsidP="00D12FC0">
      <w:pPr>
        <w:spacing w:line="480" w:lineRule="auto"/>
      </w:pPr>
      <w:r>
        <w:t>The IP itself, when the participating students and staff gather</w:t>
      </w:r>
      <w:r w:rsidR="00A97A31">
        <w:t>ed</w:t>
      </w:r>
      <w:r>
        <w:t xml:space="preserve"> at one of the participating institutions for two weeks du</w:t>
      </w:r>
      <w:r w:rsidR="00A97A31">
        <w:t>ring the Easter break, commenced</w:t>
      </w:r>
      <w:r>
        <w:t xml:space="preserve"> with short oral presentations from all the students on their national group papers and t</w:t>
      </w:r>
      <w:r w:rsidR="00A97A31">
        <w:t>heir individual papers.  There we</w:t>
      </w:r>
      <w:r>
        <w:t>re also lectures on specialist topics given to all the participating students, as well as spec</w:t>
      </w:r>
      <w:r w:rsidR="00A97A31">
        <w:t>ialist guest lectures which varied</w:t>
      </w:r>
      <w:r>
        <w:t xml:space="preserve"> from year to year according to local availability of appropriate guest lecturers.  With an emphasis on showcasing nati</w:t>
      </w:r>
      <w:r w:rsidR="001056B2">
        <w:t>onal approaches to law which could</w:t>
      </w:r>
      <w:r>
        <w:t xml:space="preserve"> be contrasted with each other, there </w:t>
      </w:r>
      <w:r w:rsidR="00A97A31">
        <w:t>wa</w:t>
      </w:r>
      <w:r>
        <w:t>s also a moot co</w:t>
      </w:r>
      <w:r w:rsidR="00226081">
        <w:t>urt activity in which students we</w:t>
      </w:r>
      <w:r>
        <w:t xml:space="preserve">re given a problem scenario relating to the </w:t>
      </w:r>
      <w:r>
        <w:lastRenderedPageBreak/>
        <w:t>s</w:t>
      </w:r>
      <w:r w:rsidR="00A97A31">
        <w:t>ubject matter of the IP and had</w:t>
      </w:r>
      <w:r>
        <w:t xml:space="preserve"> to prepare a moot on the relevant legal issues as it would be heard in the highest court of th</w:t>
      </w:r>
      <w:r w:rsidR="00226081">
        <w:t>eir country.</w:t>
      </w:r>
      <w:r w:rsidR="00544BD3">
        <w:t xml:space="preserve">  For this exercise</w:t>
      </w:r>
      <w:r w:rsidR="001056B2">
        <w:t>,</w:t>
      </w:r>
      <w:r w:rsidR="00544BD3">
        <w:t xml:space="preserve"> the students worked in groups with the other students from their home university, with guidance and coaching from one of their own lecturers.</w:t>
      </w:r>
      <w:r w:rsidR="00226081">
        <w:t xml:space="preserve">  The moot problem wa</w:t>
      </w:r>
      <w:r w:rsidR="001056B2">
        <w:t>s not</w:t>
      </w:r>
      <w:r>
        <w:t xml:space="preserve"> presented </w:t>
      </w:r>
      <w:r w:rsidR="00544BD3">
        <w:t xml:space="preserve">to the students </w:t>
      </w:r>
      <w:r>
        <w:t>as it would be for a moot in the UK</w:t>
      </w:r>
      <w:r w:rsidR="00544BD3">
        <w:t>; rather, a detailed scenario with a number of possible legal issues was provided to the s</w:t>
      </w:r>
      <w:r w:rsidR="00A97A31">
        <w:t>tudents</w:t>
      </w:r>
      <w:r w:rsidR="00544BD3">
        <w:t>, who</w:t>
      </w:r>
      <w:r w:rsidR="00A97A31">
        <w:t xml:space="preserve"> first had</w:t>
      </w:r>
      <w:r>
        <w:t xml:space="preserve"> to</w:t>
      </w:r>
      <w:r w:rsidR="00A97A31">
        <w:t xml:space="preserve"> identify</w:t>
      </w:r>
      <w:r w:rsidR="00544BD3">
        <w:t xml:space="preserve"> (and, realistically, given time constraints, select) one or two</w:t>
      </w:r>
      <w:r w:rsidR="00A97A31">
        <w:t xml:space="preserve"> legal issues which could</w:t>
      </w:r>
      <w:r>
        <w:t xml:space="preserve"> be mooted</w:t>
      </w:r>
      <w:r w:rsidR="00544BD3">
        <w:t>,</w:t>
      </w:r>
      <w:r>
        <w:t xml:space="preserve"> and</w:t>
      </w:r>
      <w:r w:rsidR="00544BD3">
        <w:t xml:space="preserve"> then</w:t>
      </w:r>
      <w:r>
        <w:t xml:space="preserve"> formulate</w:t>
      </w:r>
      <w:r w:rsidR="00544BD3">
        <w:t xml:space="preserve"> their moot as though for their country’s highest court</w:t>
      </w:r>
      <w:r w:rsidR="003C2992">
        <w:t>; there were therefore five moots in all, each one involving the students of one of the participating institutions</w:t>
      </w:r>
      <w:r>
        <w:t xml:space="preserve">.  Preparation for the moot court exercise </w:t>
      </w:r>
      <w:r w:rsidR="00A97A31">
        <w:t>wa</w:t>
      </w:r>
      <w:r>
        <w:t xml:space="preserve">s preceded by a day in </w:t>
      </w:r>
      <w:r w:rsidR="00A97A31">
        <w:t>which the participating staff ga</w:t>
      </w:r>
      <w:r>
        <w:t>ve lectures on the court systems and court procedure in each of the participating countries</w:t>
      </w:r>
      <w:r w:rsidR="00D511E0">
        <w:t>, and then a very long day (and evening!) of preparation and coaching for the moot</w:t>
      </w:r>
      <w:r>
        <w:t>.</w:t>
      </w:r>
      <w:r w:rsidR="00B5322E">
        <w:t xml:space="preserve">  Staff</w:t>
      </w:r>
      <w:r w:rsidR="00A97A31">
        <w:t xml:space="preserve"> acted as judges for the moot involving their university’s students.</w:t>
      </w:r>
      <w:r w:rsidR="00963C2F">
        <w:t xml:space="preserve">  Students voted this exercise</w:t>
      </w:r>
      <w:r w:rsidR="00D511E0">
        <w:t xml:space="preserve"> one of the highlights of the IP and </w:t>
      </w:r>
      <w:r w:rsidR="00963C2F">
        <w:t>it provided an opportunity to showcase differences in court procedure, judicial functioning and in national constitutions.</w:t>
      </w:r>
      <w:r>
        <w:t xml:space="preserve"> </w:t>
      </w:r>
    </w:p>
    <w:p w14:paraId="59895BE3" w14:textId="77777777" w:rsidR="00303AD1" w:rsidRDefault="00303AD1" w:rsidP="00D12FC0">
      <w:pPr>
        <w:spacing w:line="480" w:lineRule="auto"/>
      </w:pPr>
      <w:r>
        <w:t xml:space="preserve">The main remaining task </w:t>
      </w:r>
      <w:r w:rsidR="00A97A31">
        <w:t>for the students during the IP</w:t>
      </w:r>
      <w:r w:rsidR="00625761">
        <w:t xml:space="preserve"> </w:t>
      </w:r>
      <w:r w:rsidR="00A97A31">
        <w:t>wa</w:t>
      </w:r>
      <w:r>
        <w:t>s for them to work in international specialist topic groups (</w:t>
      </w:r>
      <w:proofErr w:type="spellStart"/>
      <w:r>
        <w:t>ie</w:t>
      </w:r>
      <w:proofErr w:type="spellEnd"/>
      <w:r>
        <w:t xml:space="preserve"> the students who</w:t>
      </w:r>
      <w:r w:rsidR="00A97A31">
        <w:t xml:space="preserve"> at their home universities</w:t>
      </w:r>
      <w:r>
        <w:t xml:space="preserve"> studied terrori</w:t>
      </w:r>
      <w:r w:rsidR="00625761">
        <w:t>sm worked together, those who</w:t>
      </w:r>
      <w:r>
        <w:t xml:space="preserve"> studied asylum work</w:t>
      </w:r>
      <w:r w:rsidR="00625761">
        <w:t>ed</w:t>
      </w:r>
      <w:r>
        <w:t xml:space="preserve"> together etc so that each group is comprised of one stud</w:t>
      </w:r>
      <w:r w:rsidR="00625761">
        <w:t>ent from each university who had</w:t>
      </w:r>
      <w:r>
        <w:t xml:space="preserve"> at their home institution studied the particular specialist t</w:t>
      </w:r>
      <w:r w:rsidR="00625761">
        <w:t>opic of the group</w:t>
      </w:r>
      <w:r w:rsidR="006108A8">
        <w:t>)</w:t>
      </w:r>
      <w:r w:rsidR="00625761">
        <w:t>.  Each group wa</w:t>
      </w:r>
      <w:r>
        <w:t>s given the same fairly lengthy problem scenario w</w:t>
      </w:r>
      <w:r w:rsidR="00416529">
        <w:t>hich encompassed</w:t>
      </w:r>
      <w:r>
        <w:t xml:space="preserve"> issues of law relating to the Area of Freedo</w:t>
      </w:r>
      <w:r w:rsidR="00625761">
        <w:t>m, Security and Justice, and had</w:t>
      </w:r>
      <w:r>
        <w:t xml:space="preserve"> to produce a group paper commenting on the relevant law i</w:t>
      </w:r>
      <w:r w:rsidR="00416529">
        <w:t>n their topic area as it applied</w:t>
      </w:r>
      <w:r>
        <w:t xml:space="preserve"> to each of the i</w:t>
      </w:r>
      <w:r w:rsidR="00416529">
        <w:t>ndividuals in the scenario. Much</w:t>
      </w:r>
      <w:r>
        <w:t xml:space="preserve"> of the work involved in the preparation of t</w:t>
      </w:r>
      <w:r w:rsidR="00416529">
        <w:t>hese</w:t>
      </w:r>
      <w:r w:rsidR="00625761">
        <w:t xml:space="preserve"> paper</w:t>
      </w:r>
      <w:r w:rsidR="00416529">
        <w:t>s</w:t>
      </w:r>
      <w:r w:rsidR="00625761">
        <w:t xml:space="preserve"> wa</w:t>
      </w:r>
      <w:r>
        <w:t>s undertaken by each group wo</w:t>
      </w:r>
      <w:r w:rsidR="007D6FC1">
        <w:t>rking on its own,</w:t>
      </w:r>
      <w:r w:rsidR="00625761">
        <w:t xml:space="preserve"> but each group wa</w:t>
      </w:r>
      <w:r>
        <w:t>s assigned a lecturer with specialist knowled</w:t>
      </w:r>
      <w:r w:rsidR="00416529">
        <w:t>ge of that area of law who met</w:t>
      </w:r>
      <w:r>
        <w:t xml:space="preserve"> with the group daily to g</w:t>
      </w:r>
      <w:r w:rsidR="00625761">
        <w:t>uide and advise.  Each group wrote</w:t>
      </w:r>
      <w:r>
        <w:t xml:space="preserve"> up its pap</w:t>
      </w:r>
      <w:r w:rsidR="00625761">
        <w:t>er in the usual way but also had</w:t>
      </w:r>
      <w:r>
        <w:t xml:space="preserve"> to present its findings orally on the last day of the IP.</w:t>
      </w:r>
    </w:p>
    <w:p w14:paraId="0596FB9C" w14:textId="77777777" w:rsidR="00303AD1" w:rsidRDefault="00303AD1" w:rsidP="00D12FC0">
      <w:pPr>
        <w:spacing w:line="480" w:lineRule="auto"/>
      </w:pPr>
      <w:r>
        <w:lastRenderedPageBreak/>
        <w:t>As can be see</w:t>
      </w:r>
      <w:r w:rsidR="00625761">
        <w:t>n, the assessment methods used we</w:t>
      </w:r>
      <w:r>
        <w:t>re diverse, incorporating individual papers, group papers produced both in national groups and also in international topic groups, oral presentations, and mooting.  The range</w:t>
      </w:r>
      <w:r w:rsidR="00625761">
        <w:t xml:space="preserve"> of assessments not only enabled</w:t>
      </w:r>
      <w:r>
        <w:t xml:space="preserve"> students to develop and demonstrate a range of research, writing and oral skills but also to work with students from different countries, and in so doing not only to learn something about the areas of law and policy which affect all of the countries rep</w:t>
      </w:r>
      <w:r w:rsidR="00625761">
        <w:t>resented in the IP but which might</w:t>
      </w:r>
      <w:r>
        <w:t xml:space="preserve"> be implemented or operated in different ways in</w:t>
      </w:r>
      <w:r w:rsidR="00625761">
        <w:t xml:space="preserve"> different countries.  This fitted</w:t>
      </w:r>
      <w:r>
        <w:t xml:space="preserve"> with the aims of Erasmus IPs in that it ‘...enables students and teachers to work together in multinational groups....and to gain new perspectives on the topic being studied’.   </w:t>
      </w:r>
    </w:p>
    <w:p w14:paraId="0C3F464C" w14:textId="77777777" w:rsidR="00303AD1" w:rsidRDefault="00303AD1" w:rsidP="00D12FC0">
      <w:pPr>
        <w:spacing w:line="480" w:lineRule="auto"/>
      </w:pPr>
      <w:r>
        <w:t>As previously indicated, during th</w:t>
      </w:r>
      <w:r w:rsidR="00625761">
        <w:t>e period of the IP students were not</w:t>
      </w:r>
      <w:r>
        <w:t xml:space="preserve"> studying any other module</w:t>
      </w:r>
      <w:r w:rsidR="00625761">
        <w:t>s and therefore all their time wa</w:t>
      </w:r>
      <w:r>
        <w:t>s dedicated to the IP.  The lectures and</w:t>
      </w:r>
      <w:r w:rsidR="00625761">
        <w:t xml:space="preserve"> work periods we</w:t>
      </w:r>
      <w:r>
        <w:t>re punctuated with visits and guest lectures arranged according to the location (</w:t>
      </w:r>
      <w:r w:rsidR="00625761">
        <w:t xml:space="preserve">for example, </w:t>
      </w:r>
      <w:r>
        <w:t>in 2011 they visited a Hungarian prison) and also with specific training in presentation skills and in intercultural communication.</w:t>
      </w:r>
      <w:r w:rsidR="007D6FC1">
        <w:t xml:space="preserve">  For example, there were discussions about the expected level and nature of participation in the classroom; in Hungary, students are not </w:t>
      </w:r>
      <w:r w:rsidR="00261787">
        <w:t xml:space="preserve">at all </w:t>
      </w:r>
      <w:r w:rsidR="007D6FC1">
        <w:t xml:space="preserve">used to an interactive style of teaching and learning; in The Netherlands, feedback is notoriously to </w:t>
      </w:r>
      <w:r w:rsidR="002545F0">
        <w:t>the point and direct.  D</w:t>
      </w:r>
      <w:r w:rsidR="00BE2367">
        <w:t>iscussion of these</w:t>
      </w:r>
      <w:r w:rsidR="002545F0">
        <w:t xml:space="preserve"> differences rapidly increased mutual comprehension and decreased the risk of offence being taken at certain types of behaviour.</w:t>
      </w:r>
    </w:p>
    <w:p w14:paraId="7278950B" w14:textId="77777777" w:rsidR="00B90497" w:rsidRDefault="00303AD1" w:rsidP="00D12FC0">
      <w:pPr>
        <w:spacing w:line="480" w:lineRule="auto"/>
      </w:pPr>
      <w:r>
        <w:t>Those familiar with this are</w:t>
      </w:r>
      <w:r w:rsidR="00625761">
        <w:t>a</w:t>
      </w:r>
      <w:r>
        <w:t xml:space="preserve"> of EU law will have immediately seen that the Area of Freedom, Security and Justice gives itself well to multinational study not only because it is an area of law affecting the whole of the EU but also from the UK’s point of view because the UK negotiated a special position with regard to the AFSJ which is reflected in Protocol 21 TFEU and whereby essentially it has a right to opt into measures taken under Title V TFEU but is not automatically bound by them.</w:t>
      </w:r>
      <w:r w:rsidR="00416529">
        <w:t xml:space="preserve">  Such topics as Terrorism and Organised Crime also involved varying considerations because of different national issues, and </w:t>
      </w:r>
      <w:r w:rsidR="00FF3515">
        <w:t xml:space="preserve">the Free Movement and Citizenship topics generated </w:t>
      </w:r>
      <w:r w:rsidR="00FF3515">
        <w:lastRenderedPageBreak/>
        <w:t>different issues and awareness of EU legislation the applicability of which varied by virtue of the Schengen Area.</w:t>
      </w:r>
    </w:p>
    <w:p w14:paraId="16FAB31F" w14:textId="77777777" w:rsidR="0074584A" w:rsidRDefault="0074584A" w:rsidP="00D12FC0">
      <w:pPr>
        <w:spacing w:line="480" w:lineRule="auto"/>
      </w:pPr>
    </w:p>
    <w:p w14:paraId="2AB663EF" w14:textId="77777777" w:rsidR="0074584A" w:rsidRDefault="0074584A" w:rsidP="00D12FC0">
      <w:pPr>
        <w:spacing w:line="480" w:lineRule="auto"/>
      </w:pPr>
    </w:p>
    <w:p w14:paraId="3224A017" w14:textId="77777777" w:rsidR="00B90497" w:rsidRDefault="00B90497" w:rsidP="00D12FC0">
      <w:pPr>
        <w:spacing w:line="480" w:lineRule="auto"/>
        <w:rPr>
          <w:b/>
        </w:rPr>
      </w:pPr>
      <w:r>
        <w:rPr>
          <w:b/>
        </w:rPr>
        <w:t>THE OUTCOMES OF ERASMUS INTENSIVE PROGRAMMES</w:t>
      </w:r>
    </w:p>
    <w:p w14:paraId="421E6B25" w14:textId="77777777" w:rsidR="00A87824" w:rsidRPr="00A87824" w:rsidRDefault="00A87824" w:rsidP="00D12FC0">
      <w:pPr>
        <w:spacing w:line="480" w:lineRule="auto"/>
      </w:pPr>
      <w:r>
        <w:t>As stated above, it is suggested that Erasmus IPs may have a useful role to play in a qu</w:t>
      </w:r>
      <w:r w:rsidR="00750422">
        <w:t>alifying law degree by virtue of introducing an</w:t>
      </w:r>
      <w:r>
        <w:t xml:space="preserve"> international element to the course</w:t>
      </w:r>
      <w:r w:rsidR="0008052D">
        <w:t>,</w:t>
      </w:r>
      <w:r>
        <w:t xml:space="preserve"> which </w:t>
      </w:r>
      <w:r w:rsidR="0094709B">
        <w:t xml:space="preserve">may enhance employability and </w:t>
      </w:r>
      <w:r w:rsidR="00750422">
        <w:t xml:space="preserve">also have a positive impact on students and indeed their universities by virtue of the international </w:t>
      </w:r>
      <w:r w:rsidR="0008052D">
        <w:t xml:space="preserve">nature of the </w:t>
      </w:r>
      <w:r w:rsidR="00750422">
        <w:t>collaboration constituted by the IP.</w:t>
      </w:r>
    </w:p>
    <w:p w14:paraId="24014DA6" w14:textId="77777777" w:rsidR="00531CCA" w:rsidRDefault="001E6880" w:rsidP="00D12FC0">
      <w:pPr>
        <w:spacing w:before="63" w:after="63" w:line="480" w:lineRule="auto"/>
        <w:rPr>
          <w:rFonts w:eastAsia="Times New Roman" w:cs="Arial"/>
          <w:color w:val="000000"/>
          <w:lang w:eastAsia="en-GB"/>
        </w:rPr>
      </w:pPr>
      <w:r>
        <w:rPr>
          <w:rFonts w:eastAsia="Times New Roman" w:cs="Arial"/>
          <w:color w:val="000000"/>
          <w:lang w:eastAsia="en-GB"/>
        </w:rPr>
        <w:t xml:space="preserve">One </w:t>
      </w:r>
      <w:r w:rsidR="00863999">
        <w:rPr>
          <w:rFonts w:eastAsia="Times New Roman" w:cs="Arial"/>
          <w:color w:val="000000"/>
          <w:lang w:eastAsia="en-GB"/>
        </w:rPr>
        <w:t xml:space="preserve">obvious </w:t>
      </w:r>
      <w:r>
        <w:rPr>
          <w:rFonts w:eastAsia="Times New Roman" w:cs="Arial"/>
          <w:color w:val="000000"/>
          <w:lang w:eastAsia="en-GB"/>
        </w:rPr>
        <w:t>featur</w:t>
      </w:r>
      <w:r w:rsidR="00863999">
        <w:rPr>
          <w:rFonts w:eastAsia="Times New Roman" w:cs="Arial"/>
          <w:color w:val="000000"/>
          <w:lang w:eastAsia="en-GB"/>
        </w:rPr>
        <w:t>e of IPs</w:t>
      </w:r>
      <w:r>
        <w:rPr>
          <w:rFonts w:eastAsia="Times New Roman" w:cs="Arial"/>
          <w:color w:val="000000"/>
          <w:lang w:eastAsia="en-GB"/>
        </w:rPr>
        <w:t xml:space="preserve"> is that the period spent abroad is not long: </w:t>
      </w:r>
      <w:r w:rsidR="0008052D">
        <w:rPr>
          <w:rFonts w:eastAsia="Times New Roman" w:cs="Arial"/>
          <w:color w:val="000000"/>
          <w:lang w:eastAsia="en-GB"/>
        </w:rPr>
        <w:t>as prescribed by the Commission, a minimum of two and a maximum of</w:t>
      </w:r>
      <w:r>
        <w:rPr>
          <w:rFonts w:eastAsia="Times New Roman" w:cs="Arial"/>
          <w:color w:val="000000"/>
          <w:lang w:eastAsia="en-GB"/>
        </w:rPr>
        <w:t xml:space="preserve"> six weeks.  </w:t>
      </w:r>
      <w:proofErr w:type="spellStart"/>
      <w:r w:rsidR="00EA715F" w:rsidRPr="0030409D">
        <w:rPr>
          <w:rFonts w:eastAsia="Times New Roman" w:cs="Arial"/>
          <w:color w:val="000000"/>
          <w:lang w:eastAsia="en-GB"/>
        </w:rPr>
        <w:t>Stronkhurst</w:t>
      </w:r>
      <w:proofErr w:type="spellEnd"/>
      <w:r w:rsidR="00EA715F">
        <w:rPr>
          <w:rStyle w:val="FootnoteReference"/>
          <w:rFonts w:eastAsia="Times New Roman" w:cs="Arial"/>
          <w:color w:val="000000"/>
          <w:lang w:eastAsia="en-GB"/>
        </w:rPr>
        <w:footnoteReference w:id="29"/>
      </w:r>
      <w:r w:rsidR="00EA715F" w:rsidRPr="0030409D">
        <w:rPr>
          <w:rFonts w:eastAsia="Times New Roman" w:cs="Arial"/>
          <w:color w:val="000000"/>
          <w:lang w:eastAsia="en-GB"/>
        </w:rPr>
        <w:t xml:space="preserve"> reports the findings of an evaluation study concerning the effects of international mobility in terms of specific c</w:t>
      </w:r>
      <w:r w:rsidR="00956EDC">
        <w:rPr>
          <w:rFonts w:eastAsia="Times New Roman" w:cs="Arial"/>
          <w:color w:val="000000"/>
          <w:lang w:eastAsia="en-GB"/>
        </w:rPr>
        <w:t>ompetencies (largely</w:t>
      </w:r>
      <w:r w:rsidR="00EA715F" w:rsidRPr="0030409D">
        <w:rPr>
          <w:rFonts w:eastAsia="Times New Roman" w:cs="Arial"/>
          <w:color w:val="000000"/>
          <w:lang w:eastAsia="en-GB"/>
        </w:rPr>
        <w:t xml:space="preserve"> international and intercultural competencies in the professional sphere, not just student s</w:t>
      </w:r>
      <w:r w:rsidR="00782F42">
        <w:rPr>
          <w:rFonts w:eastAsia="Times New Roman" w:cs="Arial"/>
          <w:color w:val="000000"/>
          <w:lang w:eastAsia="en-GB"/>
        </w:rPr>
        <w:t>atisfaction, the</w:t>
      </w:r>
      <w:r w:rsidR="00EA715F" w:rsidRPr="0030409D">
        <w:rPr>
          <w:rFonts w:eastAsia="Times New Roman" w:cs="Arial"/>
          <w:color w:val="000000"/>
          <w:lang w:eastAsia="en-GB"/>
        </w:rPr>
        <w:t xml:space="preserve"> subject of most such evaluations), which suggests that periods of three to four months of study abroad are too short to achieve much progress in these competencies.  </w:t>
      </w:r>
      <w:r w:rsidR="004B7BE4">
        <w:rPr>
          <w:rFonts w:eastAsia="Times New Roman" w:cs="Arial"/>
          <w:color w:val="000000"/>
          <w:lang w:eastAsia="en-GB"/>
        </w:rPr>
        <w:t>In the context of Intensive Programmes the question arises as to how much value is added from short international periods of study</w:t>
      </w:r>
      <w:r w:rsidR="00684262">
        <w:rPr>
          <w:rFonts w:eastAsia="Times New Roman" w:cs="Arial"/>
          <w:color w:val="000000"/>
          <w:lang w:eastAsia="en-GB"/>
        </w:rPr>
        <w:t xml:space="preserve">, though it should be noted that </w:t>
      </w:r>
      <w:r w:rsidR="00081EA6">
        <w:rPr>
          <w:rFonts w:eastAsia="Times New Roman" w:cs="Arial"/>
          <w:color w:val="000000"/>
          <w:lang w:eastAsia="en-GB"/>
        </w:rPr>
        <w:t xml:space="preserve">the </w:t>
      </w:r>
      <w:r w:rsidR="00684262">
        <w:rPr>
          <w:rFonts w:eastAsia="Times New Roman" w:cs="Arial"/>
          <w:color w:val="000000"/>
          <w:lang w:eastAsia="en-GB"/>
        </w:rPr>
        <w:t>evaluation mentioned here looked at the development of particular competencies.  However,</w:t>
      </w:r>
      <w:r w:rsidR="004B7BE4">
        <w:rPr>
          <w:rFonts w:eastAsia="Times New Roman" w:cs="Arial"/>
          <w:color w:val="000000"/>
          <w:lang w:eastAsia="en-GB"/>
        </w:rPr>
        <w:t xml:space="preserve"> the study referred to, although questioning the </w:t>
      </w:r>
      <w:r w:rsidR="00684262">
        <w:rPr>
          <w:rFonts w:eastAsia="Times New Roman" w:cs="Arial"/>
          <w:color w:val="000000"/>
          <w:lang w:eastAsia="en-GB"/>
        </w:rPr>
        <w:t xml:space="preserve">extent of the </w:t>
      </w:r>
      <w:r w:rsidR="004B7BE4">
        <w:rPr>
          <w:rFonts w:eastAsia="Times New Roman" w:cs="Arial"/>
          <w:color w:val="000000"/>
          <w:lang w:eastAsia="en-GB"/>
        </w:rPr>
        <w:t xml:space="preserve">benefits accruing from short periods of study, gives grounds for optimism in the context of IPs: </w:t>
      </w:r>
      <w:proofErr w:type="spellStart"/>
      <w:r w:rsidR="004B7BE4">
        <w:rPr>
          <w:rFonts w:eastAsia="Times New Roman" w:cs="Arial"/>
          <w:color w:val="000000"/>
          <w:lang w:eastAsia="en-GB"/>
        </w:rPr>
        <w:t>Stronkhurst</w:t>
      </w:r>
      <w:proofErr w:type="spellEnd"/>
      <w:r w:rsidR="004B7BE4">
        <w:rPr>
          <w:rFonts w:eastAsia="Times New Roman" w:cs="Arial"/>
          <w:color w:val="000000"/>
          <w:lang w:eastAsia="en-GB"/>
        </w:rPr>
        <w:t xml:space="preserve"> reports that intercultural competencies are primarily developed in situations where prolonged and intensive interaction occurs between students of different cultures,</w:t>
      </w:r>
      <w:r w:rsidR="00684262">
        <w:rPr>
          <w:rFonts w:eastAsia="Times New Roman" w:cs="Arial"/>
          <w:color w:val="000000"/>
          <w:lang w:eastAsia="en-GB"/>
        </w:rPr>
        <w:t xml:space="preserve"> for example through projects or</w:t>
      </w:r>
      <w:r w:rsidR="004B7BE4">
        <w:rPr>
          <w:rFonts w:eastAsia="Times New Roman" w:cs="Arial"/>
          <w:color w:val="000000"/>
          <w:lang w:eastAsia="en-GB"/>
        </w:rPr>
        <w:t xml:space="preserve"> assignments in which students of different cultures have to work and co-operate towards the same goal.  This is precisely what IPs do</w:t>
      </w:r>
      <w:r w:rsidR="00684262">
        <w:rPr>
          <w:rFonts w:eastAsia="Times New Roman" w:cs="Arial"/>
          <w:color w:val="000000"/>
          <w:lang w:eastAsia="en-GB"/>
        </w:rPr>
        <w:t xml:space="preserve">, as the </w:t>
      </w:r>
      <w:r w:rsidR="00684262">
        <w:rPr>
          <w:rFonts w:eastAsia="Times New Roman" w:cs="Arial"/>
          <w:color w:val="000000"/>
          <w:lang w:eastAsia="en-GB"/>
        </w:rPr>
        <w:lastRenderedPageBreak/>
        <w:t>case study above indicates,</w:t>
      </w:r>
      <w:r w:rsidR="004B7BE4">
        <w:rPr>
          <w:rFonts w:eastAsia="Times New Roman" w:cs="Arial"/>
          <w:color w:val="000000"/>
          <w:lang w:eastAsia="en-GB"/>
        </w:rPr>
        <w:t xml:space="preserve"> and it is in this respect that IPs differ from ‘standard’ student mobility where students simply study in another country for a period of time alongside students registered at the host institution and where the interaction may take longer to develop</w:t>
      </w:r>
      <w:r w:rsidR="00081EA6">
        <w:rPr>
          <w:rFonts w:eastAsia="Times New Roman" w:cs="Arial"/>
          <w:color w:val="000000"/>
          <w:lang w:eastAsia="en-GB"/>
        </w:rPr>
        <w:t xml:space="preserve"> and be rather less intensive or</w:t>
      </w:r>
      <w:r w:rsidR="00684262">
        <w:rPr>
          <w:rFonts w:eastAsia="Times New Roman" w:cs="Arial"/>
          <w:color w:val="000000"/>
          <w:lang w:eastAsia="en-GB"/>
        </w:rPr>
        <w:t xml:space="preserve"> focused on collaborative outcomes</w:t>
      </w:r>
      <w:r w:rsidR="004B7BE4">
        <w:rPr>
          <w:rFonts w:eastAsia="Times New Roman" w:cs="Arial"/>
          <w:color w:val="000000"/>
          <w:lang w:eastAsia="en-GB"/>
        </w:rPr>
        <w:t xml:space="preserve">. </w:t>
      </w:r>
    </w:p>
    <w:p w14:paraId="610C9FA9" w14:textId="77777777" w:rsidR="009C7016" w:rsidRDefault="00EA715F" w:rsidP="00D12FC0">
      <w:pPr>
        <w:spacing w:before="63" w:after="63" w:line="480" w:lineRule="auto"/>
        <w:rPr>
          <w:rFonts w:eastAsia="Times New Roman" w:cs="Arial"/>
          <w:color w:val="000000"/>
          <w:lang w:eastAsia="en-GB"/>
        </w:rPr>
      </w:pPr>
      <w:r w:rsidRPr="00A9609A">
        <w:rPr>
          <w:rFonts w:eastAsia="Times New Roman" w:cs="Arial"/>
          <w:color w:val="000000"/>
          <w:lang w:eastAsia="en-GB"/>
        </w:rPr>
        <w:t>Whether or not specific compete</w:t>
      </w:r>
      <w:r w:rsidR="00B833C9">
        <w:rPr>
          <w:rFonts w:eastAsia="Times New Roman" w:cs="Arial"/>
          <w:color w:val="000000"/>
          <w:lang w:eastAsia="en-GB"/>
        </w:rPr>
        <w:t>ncies are advanced measurably</w:t>
      </w:r>
      <w:r w:rsidRPr="00A9609A">
        <w:rPr>
          <w:rFonts w:eastAsia="Times New Roman" w:cs="Arial"/>
          <w:color w:val="000000"/>
          <w:lang w:eastAsia="en-GB"/>
        </w:rPr>
        <w:t>,</w:t>
      </w:r>
      <w:r w:rsidR="00684262">
        <w:rPr>
          <w:rFonts w:eastAsia="Times New Roman" w:cs="Arial"/>
          <w:color w:val="000000"/>
          <w:lang w:eastAsia="en-GB"/>
        </w:rPr>
        <w:t xml:space="preserve"> the intensive nature of the short period abroad</w:t>
      </w:r>
      <w:r w:rsidRPr="00A9609A">
        <w:rPr>
          <w:rFonts w:eastAsia="Times New Roman" w:cs="Arial"/>
          <w:color w:val="000000"/>
          <w:lang w:eastAsia="en-GB"/>
        </w:rPr>
        <w:t xml:space="preserve"> does</w:t>
      </w:r>
      <w:r w:rsidR="00B833C9">
        <w:rPr>
          <w:rFonts w:eastAsia="Times New Roman" w:cs="Arial"/>
          <w:color w:val="000000"/>
          <w:lang w:eastAsia="en-GB"/>
        </w:rPr>
        <w:t xml:space="preserve"> appear to</w:t>
      </w:r>
      <w:r w:rsidR="00684262">
        <w:rPr>
          <w:rFonts w:eastAsia="Times New Roman" w:cs="Arial"/>
          <w:color w:val="000000"/>
          <w:lang w:eastAsia="en-GB"/>
        </w:rPr>
        <w:t xml:space="preserve"> be considered by those who have been involved in IPs to</w:t>
      </w:r>
      <w:r w:rsidR="001E6880">
        <w:rPr>
          <w:rFonts w:eastAsia="Times New Roman" w:cs="Arial"/>
          <w:color w:val="000000"/>
          <w:lang w:eastAsia="en-GB"/>
        </w:rPr>
        <w:t xml:space="preserve"> have a</w:t>
      </w:r>
      <w:r w:rsidR="008C16EE">
        <w:rPr>
          <w:rFonts w:eastAsia="Times New Roman" w:cs="Arial"/>
          <w:color w:val="000000"/>
          <w:lang w:eastAsia="en-GB"/>
        </w:rPr>
        <w:t xml:space="preserve"> noticeable and</w:t>
      </w:r>
      <w:r w:rsidR="001E6880">
        <w:rPr>
          <w:rFonts w:eastAsia="Times New Roman" w:cs="Arial"/>
          <w:color w:val="000000"/>
          <w:lang w:eastAsia="en-GB"/>
        </w:rPr>
        <w:t xml:space="preserve"> worthwhile impact</w:t>
      </w:r>
      <w:r w:rsidR="00A753F3">
        <w:rPr>
          <w:rFonts w:eastAsia="Times New Roman" w:cs="Arial"/>
          <w:color w:val="000000"/>
          <w:lang w:eastAsia="en-GB"/>
        </w:rPr>
        <w:t xml:space="preserve"> arising from students from different countries working together intensively</w:t>
      </w:r>
      <w:r w:rsidRPr="00A9609A">
        <w:rPr>
          <w:rFonts w:eastAsia="Times New Roman" w:cs="Arial"/>
          <w:color w:val="000000"/>
          <w:lang w:eastAsia="en-GB"/>
        </w:rPr>
        <w:t xml:space="preserve">.  </w:t>
      </w:r>
      <w:r w:rsidR="001E6880">
        <w:rPr>
          <w:rFonts w:eastAsia="Times New Roman" w:cs="Arial"/>
          <w:color w:val="000000"/>
          <w:lang w:eastAsia="en-GB"/>
        </w:rPr>
        <w:t xml:space="preserve">Evidence to support this assertion comes from evaluations and comments from students who have participated in the IP under discussion in this paper and also from literature on international collaborations such as IPs.  </w:t>
      </w:r>
      <w:r w:rsidR="00CF7E1F">
        <w:rPr>
          <w:rFonts w:eastAsia="Times New Roman" w:cs="Arial"/>
          <w:color w:val="000000"/>
          <w:lang w:eastAsia="en-GB"/>
        </w:rPr>
        <w:t xml:space="preserve">A paper discussing an Erasmus IP which brought together students and staff from three European universities and one Canadian associate to engage in a practical project in the field of </w:t>
      </w:r>
      <w:proofErr w:type="spellStart"/>
      <w:r w:rsidR="00CF7E1F">
        <w:rPr>
          <w:rFonts w:eastAsia="Times New Roman" w:cs="Arial"/>
          <w:color w:val="000000"/>
          <w:lang w:eastAsia="en-GB"/>
        </w:rPr>
        <w:t>hydrographic</w:t>
      </w:r>
      <w:proofErr w:type="spellEnd"/>
      <w:r w:rsidR="00CF7E1F">
        <w:rPr>
          <w:rFonts w:eastAsia="Times New Roman" w:cs="Arial"/>
          <w:color w:val="000000"/>
          <w:lang w:eastAsia="en-GB"/>
        </w:rPr>
        <w:t xml:space="preserve"> survey training noted the added value of the international co-operation involved in students working in international teams to students, staff and the industry</w:t>
      </w:r>
      <w:r w:rsidR="00744B0A">
        <w:rPr>
          <w:rFonts w:eastAsia="Times New Roman" w:cs="Arial"/>
          <w:color w:val="000000"/>
          <w:lang w:eastAsia="en-GB"/>
        </w:rPr>
        <w:t>, with a very positive response noted from companies involved in providing equipment and the like demonstrating clear interest in the international co-operation inherent in the project</w:t>
      </w:r>
      <w:r w:rsidR="00CF7E1F">
        <w:rPr>
          <w:rFonts w:eastAsia="Times New Roman" w:cs="Arial"/>
          <w:color w:val="000000"/>
          <w:lang w:eastAsia="en-GB"/>
        </w:rPr>
        <w:t>.</w:t>
      </w:r>
      <w:r w:rsidR="00CF7E1F">
        <w:rPr>
          <w:rStyle w:val="FootnoteReference"/>
          <w:rFonts w:eastAsia="Times New Roman" w:cs="Arial"/>
          <w:color w:val="000000"/>
          <w:lang w:eastAsia="en-GB"/>
        </w:rPr>
        <w:footnoteReference w:id="30"/>
      </w:r>
      <w:r w:rsidR="00054CEE">
        <w:rPr>
          <w:rFonts w:eastAsia="Times New Roman" w:cs="Arial"/>
          <w:color w:val="000000"/>
          <w:lang w:eastAsia="en-GB"/>
        </w:rPr>
        <w:t xml:space="preserve">  A report of an Erasmus IP led by the Latvia University of Agriculture states that projects such as IPs facilitated networking as well as the development o</w:t>
      </w:r>
      <w:r w:rsidR="003864BD">
        <w:rPr>
          <w:rFonts w:eastAsia="Times New Roman" w:cs="Arial"/>
          <w:color w:val="000000"/>
          <w:lang w:eastAsia="en-GB"/>
        </w:rPr>
        <w:t>f intercultural skills and highlighted with approval</w:t>
      </w:r>
      <w:r w:rsidR="00054CEE">
        <w:rPr>
          <w:rFonts w:eastAsia="Times New Roman" w:cs="Arial"/>
          <w:color w:val="000000"/>
          <w:lang w:eastAsia="en-GB"/>
        </w:rPr>
        <w:t xml:space="preserve"> the particular conditions of teaching and learning inherent in working in multinational groups.</w:t>
      </w:r>
      <w:r w:rsidR="00D841FA">
        <w:rPr>
          <w:rStyle w:val="FootnoteReference"/>
          <w:rFonts w:eastAsia="Times New Roman" w:cs="Arial"/>
          <w:color w:val="000000"/>
          <w:lang w:eastAsia="en-GB"/>
        </w:rPr>
        <w:footnoteReference w:id="31"/>
      </w:r>
    </w:p>
    <w:p w14:paraId="3C5605BD" w14:textId="77777777" w:rsidR="001E6880" w:rsidRDefault="001E6880" w:rsidP="00D12FC0">
      <w:pPr>
        <w:spacing w:before="63" w:after="63" w:line="480" w:lineRule="auto"/>
        <w:rPr>
          <w:rFonts w:eastAsia="Times New Roman" w:cs="Arial"/>
          <w:color w:val="000000"/>
          <w:lang w:eastAsia="en-GB"/>
        </w:rPr>
      </w:pPr>
    </w:p>
    <w:p w14:paraId="4B26FA5A" w14:textId="77777777" w:rsidR="003864BD" w:rsidRDefault="00EA715F" w:rsidP="00D12FC0">
      <w:pPr>
        <w:spacing w:before="63" w:after="63" w:line="480" w:lineRule="auto"/>
        <w:rPr>
          <w:rFonts w:eastAsia="Times New Roman" w:cs="Arial"/>
          <w:color w:val="000000"/>
          <w:lang w:eastAsia="en-GB"/>
        </w:rPr>
      </w:pPr>
      <w:r w:rsidRPr="00A9609A">
        <w:rPr>
          <w:rFonts w:eastAsia="Times New Roman" w:cs="Arial"/>
          <w:color w:val="000000"/>
          <w:lang w:eastAsia="en-GB"/>
        </w:rPr>
        <w:t xml:space="preserve">Evaluations of the IP in which students from London South Bank University participated </w:t>
      </w:r>
      <w:r w:rsidR="001B325E">
        <w:rPr>
          <w:rFonts w:eastAsia="Times New Roman" w:cs="Arial"/>
          <w:color w:val="000000"/>
          <w:lang w:eastAsia="en-GB"/>
        </w:rPr>
        <w:t>reveal the benefits</w:t>
      </w:r>
      <w:r w:rsidRPr="00A9609A">
        <w:rPr>
          <w:rFonts w:eastAsia="Times New Roman" w:cs="Arial"/>
          <w:color w:val="000000"/>
          <w:lang w:eastAsia="en-GB"/>
        </w:rPr>
        <w:t xml:space="preserve"> which can accrue from even a programme of a short</w:t>
      </w:r>
      <w:r w:rsidR="00782F42">
        <w:rPr>
          <w:rFonts w:eastAsia="Times New Roman" w:cs="Arial"/>
          <w:color w:val="000000"/>
          <w:lang w:eastAsia="en-GB"/>
        </w:rPr>
        <w:t xml:space="preserve"> duration</w:t>
      </w:r>
      <w:r w:rsidRPr="00A9609A">
        <w:rPr>
          <w:rFonts w:eastAsia="Times New Roman" w:cs="Arial"/>
          <w:color w:val="000000"/>
          <w:lang w:eastAsia="en-GB"/>
        </w:rPr>
        <w:t xml:space="preserve">.  After only a few days, </w:t>
      </w:r>
      <w:r w:rsidR="00782F42">
        <w:rPr>
          <w:rFonts w:eastAsia="Times New Roman" w:cs="Arial"/>
          <w:color w:val="000000"/>
          <w:lang w:eastAsia="en-GB"/>
        </w:rPr>
        <w:lastRenderedPageBreak/>
        <w:t xml:space="preserve">participating </w:t>
      </w:r>
      <w:r w:rsidRPr="00A9609A">
        <w:rPr>
          <w:rFonts w:eastAsia="Times New Roman" w:cs="Arial"/>
          <w:color w:val="000000"/>
          <w:lang w:eastAsia="en-GB"/>
        </w:rPr>
        <w:t>students</w:t>
      </w:r>
      <w:r w:rsidR="00782F42">
        <w:rPr>
          <w:rFonts w:eastAsia="Times New Roman" w:cs="Arial"/>
          <w:color w:val="000000"/>
          <w:lang w:eastAsia="en-GB"/>
        </w:rPr>
        <w:t xml:space="preserve"> </w:t>
      </w:r>
      <w:r w:rsidR="0058035C">
        <w:rPr>
          <w:rFonts w:eastAsia="Times New Roman" w:cs="Arial"/>
          <w:color w:val="000000"/>
          <w:lang w:eastAsia="en-GB"/>
        </w:rPr>
        <w:t>commented on</w:t>
      </w:r>
      <w:r w:rsidRPr="00A9609A">
        <w:rPr>
          <w:rFonts w:eastAsia="Times New Roman" w:cs="Arial"/>
          <w:color w:val="000000"/>
          <w:lang w:eastAsia="en-GB"/>
        </w:rPr>
        <w:t xml:space="preserve"> the similarities and different ways of approaching a subject taken by those at universities in different countries from their own.</w:t>
      </w:r>
      <w:r>
        <w:rPr>
          <w:rFonts w:eastAsia="Times New Roman" w:cs="Arial"/>
          <w:color w:val="000000"/>
          <w:lang w:eastAsia="en-GB"/>
        </w:rPr>
        <w:t xml:space="preserve">  Furthermore, in several</w:t>
      </w:r>
      <w:r w:rsidRPr="00A9609A">
        <w:rPr>
          <w:rFonts w:eastAsia="Times New Roman" w:cs="Arial"/>
          <w:color w:val="000000"/>
          <w:lang w:eastAsia="en-GB"/>
        </w:rPr>
        <w:t xml:space="preserve"> cases the experience of living and studying</w:t>
      </w:r>
      <w:r w:rsidR="0058035C">
        <w:rPr>
          <w:rFonts w:eastAsia="Times New Roman" w:cs="Arial"/>
          <w:color w:val="000000"/>
          <w:lang w:eastAsia="en-GB"/>
        </w:rPr>
        <w:t xml:space="preserve"> abroad even for a fortnight</w:t>
      </w:r>
      <w:r w:rsidRPr="00A9609A">
        <w:rPr>
          <w:rFonts w:eastAsia="Times New Roman" w:cs="Arial"/>
          <w:color w:val="000000"/>
          <w:lang w:eastAsia="en-GB"/>
        </w:rPr>
        <w:t xml:space="preserve"> opened students’ eyes to the possibility of pursuing postgra</w:t>
      </w:r>
      <w:r w:rsidR="00B511D0">
        <w:rPr>
          <w:rFonts w:eastAsia="Times New Roman" w:cs="Arial"/>
          <w:color w:val="000000"/>
          <w:lang w:eastAsia="en-GB"/>
        </w:rPr>
        <w:t>duate level studies abroad when by their own admission they would</w:t>
      </w:r>
      <w:r w:rsidRPr="00A9609A">
        <w:rPr>
          <w:rFonts w:eastAsia="Times New Roman" w:cs="Arial"/>
          <w:color w:val="000000"/>
          <w:lang w:eastAsia="en-GB"/>
        </w:rPr>
        <w:t xml:space="preserve"> not previously </w:t>
      </w:r>
      <w:r w:rsidR="00B511D0">
        <w:rPr>
          <w:rFonts w:eastAsia="Times New Roman" w:cs="Arial"/>
          <w:color w:val="000000"/>
          <w:lang w:eastAsia="en-GB"/>
        </w:rPr>
        <w:t>have contemplated pursuing such studies abroad</w:t>
      </w:r>
      <w:r w:rsidRPr="00A9609A">
        <w:rPr>
          <w:rFonts w:eastAsia="Times New Roman" w:cs="Arial"/>
          <w:color w:val="000000"/>
          <w:lang w:eastAsia="en-GB"/>
        </w:rPr>
        <w:t>.</w:t>
      </w:r>
      <w:r>
        <w:rPr>
          <w:rFonts w:eastAsia="Times New Roman" w:cs="Arial"/>
          <w:color w:val="000000"/>
          <w:lang w:eastAsia="en-GB"/>
        </w:rPr>
        <w:t xml:space="preserve">  Some students </w:t>
      </w:r>
      <w:r w:rsidR="0058035C">
        <w:rPr>
          <w:rFonts w:eastAsia="Times New Roman" w:cs="Arial"/>
          <w:color w:val="000000"/>
          <w:lang w:eastAsia="en-GB"/>
        </w:rPr>
        <w:t xml:space="preserve">from a number of the universities participating in the IP </w:t>
      </w:r>
      <w:r>
        <w:rPr>
          <w:rFonts w:eastAsia="Times New Roman" w:cs="Arial"/>
          <w:color w:val="000000"/>
          <w:lang w:eastAsia="en-GB"/>
        </w:rPr>
        <w:t>have gone on to full year Erasmus</w:t>
      </w:r>
      <w:r w:rsidR="0058035C">
        <w:rPr>
          <w:rFonts w:eastAsia="Times New Roman" w:cs="Arial"/>
          <w:color w:val="000000"/>
          <w:lang w:eastAsia="en-GB"/>
        </w:rPr>
        <w:t xml:space="preserve"> exchanges as a result</w:t>
      </w:r>
      <w:r w:rsidR="00844B7A">
        <w:rPr>
          <w:rFonts w:eastAsia="Times New Roman" w:cs="Arial"/>
          <w:color w:val="000000"/>
          <w:lang w:eastAsia="en-GB"/>
        </w:rPr>
        <w:t xml:space="preserve">, again something which they had not previously </w:t>
      </w:r>
      <w:r w:rsidR="008C16EE">
        <w:rPr>
          <w:rFonts w:eastAsia="Times New Roman" w:cs="Arial"/>
          <w:color w:val="000000"/>
          <w:lang w:eastAsia="en-GB"/>
        </w:rPr>
        <w:t>been considering</w:t>
      </w:r>
      <w:r w:rsidR="0058035C">
        <w:rPr>
          <w:rFonts w:eastAsia="Times New Roman" w:cs="Arial"/>
          <w:color w:val="000000"/>
          <w:lang w:eastAsia="en-GB"/>
        </w:rPr>
        <w:t>; a high proportion</w:t>
      </w:r>
      <w:r>
        <w:rPr>
          <w:rFonts w:eastAsia="Times New Roman" w:cs="Arial"/>
          <w:color w:val="000000"/>
          <w:lang w:eastAsia="en-GB"/>
        </w:rPr>
        <w:t xml:space="preserve"> of students have commented on the</w:t>
      </w:r>
      <w:r w:rsidR="0058035C">
        <w:rPr>
          <w:rFonts w:eastAsia="Times New Roman" w:cs="Arial"/>
          <w:color w:val="000000"/>
          <w:lang w:eastAsia="en-GB"/>
        </w:rPr>
        <w:t xml:space="preserve"> real</w:t>
      </w:r>
      <w:r>
        <w:rPr>
          <w:rFonts w:eastAsia="Times New Roman" w:cs="Arial"/>
          <w:color w:val="000000"/>
          <w:lang w:eastAsia="en-GB"/>
        </w:rPr>
        <w:t xml:space="preserve"> interest shown in their participation in the IP</w:t>
      </w:r>
      <w:r w:rsidR="0058035C">
        <w:rPr>
          <w:rFonts w:eastAsia="Times New Roman" w:cs="Arial"/>
          <w:color w:val="000000"/>
          <w:lang w:eastAsia="en-GB"/>
        </w:rPr>
        <w:t xml:space="preserve"> by employers interviewing them for training contracts, pupillages and other forms of employment.</w:t>
      </w:r>
      <w:r w:rsidR="00863999">
        <w:rPr>
          <w:rFonts w:eastAsia="Times New Roman" w:cs="Arial"/>
          <w:color w:val="000000"/>
          <w:lang w:eastAsia="en-GB"/>
        </w:rPr>
        <w:t xml:space="preserve">  One participant states ‘Erasmus is a very recognisable ‘brand’ for employers and law schools and the experience of studying overseas is a useful way of standing out as a candidate’.</w:t>
      </w:r>
      <w:r w:rsidR="000C4148">
        <w:rPr>
          <w:rFonts w:eastAsia="Times New Roman" w:cs="Arial"/>
          <w:color w:val="000000"/>
          <w:lang w:eastAsia="en-GB"/>
        </w:rPr>
        <w:t xml:space="preserve">  Another student stated ‘Skills drawn from the programme…enhanced my prospects in securing the position [in a leading London criminal defence practice].</w:t>
      </w:r>
      <w:r w:rsidR="00B511D0">
        <w:rPr>
          <w:rStyle w:val="FootnoteReference"/>
          <w:rFonts w:eastAsia="Times New Roman" w:cs="Arial"/>
          <w:color w:val="000000"/>
          <w:lang w:eastAsia="en-GB"/>
        </w:rPr>
        <w:footnoteReference w:id="32"/>
      </w:r>
      <w:r w:rsidR="00416172">
        <w:rPr>
          <w:rFonts w:eastAsia="Times New Roman" w:cs="Arial"/>
          <w:color w:val="000000"/>
          <w:lang w:eastAsia="en-GB"/>
        </w:rPr>
        <w:t xml:space="preserve"> </w:t>
      </w:r>
    </w:p>
    <w:p w14:paraId="315F2E9B" w14:textId="77777777" w:rsidR="003864BD" w:rsidRDefault="003864BD" w:rsidP="00D12FC0">
      <w:pPr>
        <w:spacing w:before="63" w:after="63" w:line="480" w:lineRule="auto"/>
        <w:rPr>
          <w:rFonts w:eastAsia="Times New Roman" w:cs="Arial"/>
          <w:color w:val="000000"/>
          <w:lang w:eastAsia="en-GB"/>
        </w:rPr>
      </w:pPr>
    </w:p>
    <w:p w14:paraId="2B8BB6F8" w14:textId="77777777" w:rsidR="00EA715F" w:rsidRDefault="00AA6821" w:rsidP="00D12FC0">
      <w:pPr>
        <w:spacing w:before="63" w:after="63" w:line="480" w:lineRule="auto"/>
        <w:rPr>
          <w:rFonts w:eastAsia="Times New Roman" w:cs="Arial"/>
          <w:color w:val="000000"/>
          <w:lang w:eastAsia="en-GB"/>
        </w:rPr>
      </w:pPr>
      <w:r>
        <w:rPr>
          <w:rFonts w:eastAsia="Times New Roman" w:cs="Arial"/>
          <w:color w:val="000000"/>
          <w:lang w:eastAsia="en-GB"/>
        </w:rPr>
        <w:t>Although the evidence is anecdotal</w:t>
      </w:r>
      <w:r w:rsidR="001B325E">
        <w:rPr>
          <w:rFonts w:eastAsia="Times New Roman" w:cs="Arial"/>
          <w:color w:val="000000"/>
          <w:lang w:eastAsia="en-GB"/>
        </w:rPr>
        <w:t>,</w:t>
      </w:r>
      <w:r w:rsidR="00A753F3">
        <w:rPr>
          <w:rFonts w:eastAsia="Times New Roman" w:cs="Arial"/>
          <w:color w:val="000000"/>
          <w:lang w:eastAsia="en-GB"/>
        </w:rPr>
        <w:t xml:space="preserve"> and it is not possible to determine that participation in the IP was actually a cause of obtaining particular employment,</w:t>
      </w:r>
      <w:r w:rsidR="00153C30">
        <w:rPr>
          <w:rFonts w:eastAsia="Times New Roman" w:cs="Arial"/>
          <w:color w:val="000000"/>
          <w:lang w:eastAsia="en-GB"/>
        </w:rPr>
        <w:t xml:space="preserve"> it does appear to indicate</w:t>
      </w:r>
      <w:r>
        <w:rPr>
          <w:rFonts w:eastAsia="Times New Roman" w:cs="Arial"/>
          <w:color w:val="000000"/>
          <w:lang w:eastAsia="en-GB"/>
        </w:rPr>
        <w:t xml:space="preserve"> that</w:t>
      </w:r>
      <w:r w:rsidR="001B325E">
        <w:rPr>
          <w:rFonts w:eastAsia="Times New Roman" w:cs="Arial"/>
          <w:color w:val="000000"/>
          <w:lang w:eastAsia="en-GB"/>
        </w:rPr>
        <w:t xml:space="preserve"> one of </w:t>
      </w:r>
      <w:r w:rsidR="00863999">
        <w:rPr>
          <w:rFonts w:eastAsia="Times New Roman" w:cs="Arial"/>
          <w:color w:val="000000"/>
          <w:lang w:eastAsia="en-GB"/>
        </w:rPr>
        <w:t>t</w:t>
      </w:r>
      <w:r w:rsidR="001B325E">
        <w:rPr>
          <w:rFonts w:eastAsia="Times New Roman" w:cs="Arial"/>
          <w:color w:val="000000"/>
          <w:lang w:eastAsia="en-GB"/>
        </w:rPr>
        <w:t xml:space="preserve">he benefits of </w:t>
      </w:r>
      <w:r w:rsidR="00416172">
        <w:rPr>
          <w:rFonts w:eastAsia="Times New Roman" w:cs="Arial"/>
          <w:color w:val="000000"/>
          <w:lang w:eastAsia="en-GB"/>
        </w:rPr>
        <w:t>IPs shoul</w:t>
      </w:r>
      <w:r w:rsidR="001B325E">
        <w:rPr>
          <w:rFonts w:eastAsia="Times New Roman" w:cs="Arial"/>
          <w:color w:val="000000"/>
          <w:lang w:eastAsia="en-GB"/>
        </w:rPr>
        <w:t>d be seen in terms of their enhancement of employability, and in this respect they should be attractive to and encouraged</w:t>
      </w:r>
      <w:r w:rsidR="00416172">
        <w:rPr>
          <w:rFonts w:eastAsia="Times New Roman" w:cs="Arial"/>
          <w:color w:val="000000"/>
          <w:lang w:eastAsia="en-GB"/>
        </w:rPr>
        <w:t xml:space="preserve"> by university management.</w:t>
      </w:r>
      <w:r w:rsidR="00844B7A">
        <w:rPr>
          <w:rFonts w:eastAsia="Times New Roman" w:cs="Arial"/>
          <w:color w:val="000000"/>
          <w:lang w:eastAsia="en-GB"/>
        </w:rPr>
        <w:t xml:space="preserve">  Clearly this is an area</w:t>
      </w:r>
      <w:r>
        <w:rPr>
          <w:rFonts w:eastAsia="Times New Roman" w:cs="Arial"/>
          <w:color w:val="000000"/>
          <w:lang w:eastAsia="en-GB"/>
        </w:rPr>
        <w:t xml:space="preserve"> which would benefit from fur</w:t>
      </w:r>
      <w:r w:rsidR="00EA6075">
        <w:rPr>
          <w:rFonts w:eastAsia="Times New Roman" w:cs="Arial"/>
          <w:color w:val="000000"/>
          <w:lang w:eastAsia="en-GB"/>
        </w:rPr>
        <w:t>ther formal</w:t>
      </w:r>
      <w:r w:rsidR="00844B7A">
        <w:rPr>
          <w:rFonts w:eastAsia="Times New Roman" w:cs="Arial"/>
          <w:color w:val="000000"/>
          <w:lang w:eastAsia="en-GB"/>
        </w:rPr>
        <w:t xml:space="preserve"> and probably discipline specific</w:t>
      </w:r>
      <w:r w:rsidR="00EA6075">
        <w:rPr>
          <w:rFonts w:eastAsia="Times New Roman" w:cs="Arial"/>
          <w:color w:val="000000"/>
          <w:lang w:eastAsia="en-GB"/>
        </w:rPr>
        <w:t xml:space="preserve"> research</w:t>
      </w:r>
      <w:r w:rsidR="00844B7A">
        <w:rPr>
          <w:rFonts w:eastAsia="Times New Roman" w:cs="Arial"/>
          <w:color w:val="000000"/>
          <w:lang w:eastAsia="en-GB"/>
        </w:rPr>
        <w:t>,</w:t>
      </w:r>
      <w:r w:rsidR="008A15B0">
        <w:rPr>
          <w:rFonts w:eastAsia="Times New Roman" w:cs="Arial"/>
          <w:color w:val="000000"/>
          <w:lang w:eastAsia="en-GB"/>
        </w:rPr>
        <w:t xml:space="preserve"> as it may be that employability is affected in different ways depending on the subject area of the degree and the type of employment students are entering</w:t>
      </w:r>
      <w:r w:rsidR="00EA6075">
        <w:rPr>
          <w:rFonts w:eastAsia="Times New Roman" w:cs="Arial"/>
          <w:color w:val="000000"/>
          <w:lang w:eastAsia="en-GB"/>
        </w:rPr>
        <w:t>.</w:t>
      </w:r>
      <w:r w:rsidR="009F5BC2">
        <w:rPr>
          <w:rFonts w:eastAsia="Times New Roman" w:cs="Arial"/>
          <w:color w:val="000000"/>
          <w:lang w:eastAsia="en-GB"/>
        </w:rPr>
        <w:t xml:space="preserve"> The Report for HEFCE referred to above</w:t>
      </w:r>
      <w:r w:rsidR="009F5BC2">
        <w:rPr>
          <w:rStyle w:val="FootnoteReference"/>
          <w:rFonts w:eastAsia="Times New Roman" w:cs="Arial"/>
          <w:color w:val="000000"/>
          <w:lang w:eastAsia="en-GB"/>
        </w:rPr>
        <w:footnoteReference w:id="33"/>
      </w:r>
      <w:r w:rsidR="003717FC">
        <w:rPr>
          <w:rFonts w:eastAsia="Times New Roman" w:cs="Arial"/>
          <w:color w:val="000000"/>
          <w:lang w:eastAsia="en-GB"/>
        </w:rPr>
        <w:t xml:space="preserve"> notes the link between mobility and employment as an ar</w:t>
      </w:r>
      <w:r w:rsidR="00DA5AE2">
        <w:rPr>
          <w:rFonts w:eastAsia="Times New Roman" w:cs="Arial"/>
          <w:color w:val="000000"/>
          <w:lang w:eastAsia="en-GB"/>
        </w:rPr>
        <w:t>ea in need of a ‘scientifically</w:t>
      </w:r>
      <w:r w:rsidR="003717FC">
        <w:rPr>
          <w:rFonts w:eastAsia="Times New Roman" w:cs="Arial"/>
          <w:color w:val="000000"/>
          <w:lang w:eastAsia="en-GB"/>
        </w:rPr>
        <w:t xml:space="preserve"> rigorous study’ to investigate the ‘broad statistical indicators’ and ‘anecdotal evidence from interviews with employers’. </w:t>
      </w:r>
      <w:r w:rsidR="00416172">
        <w:rPr>
          <w:rFonts w:eastAsia="Times New Roman" w:cs="Arial"/>
          <w:color w:val="000000"/>
          <w:lang w:eastAsia="en-GB"/>
        </w:rPr>
        <w:t xml:space="preserve"> </w:t>
      </w:r>
      <w:r w:rsidR="003717FC">
        <w:rPr>
          <w:rFonts w:eastAsia="Times New Roman" w:cs="Arial"/>
          <w:color w:val="000000"/>
          <w:lang w:eastAsia="en-GB"/>
        </w:rPr>
        <w:t xml:space="preserve">It is worth adding to this that there does not appear to be any study which focuses </w:t>
      </w:r>
      <w:r w:rsidR="003717FC">
        <w:rPr>
          <w:rFonts w:eastAsia="Times New Roman" w:cs="Arial"/>
          <w:color w:val="000000"/>
          <w:lang w:eastAsia="en-GB"/>
        </w:rPr>
        <w:lastRenderedPageBreak/>
        <w:t>specifically on the question of whether participation in Erasmus IPs</w:t>
      </w:r>
      <w:r w:rsidR="003864BD">
        <w:rPr>
          <w:rFonts w:eastAsia="Times New Roman" w:cs="Arial"/>
          <w:color w:val="000000"/>
          <w:lang w:eastAsia="en-GB"/>
        </w:rPr>
        <w:t>, as distinct from Erasmus mobility generally,</w:t>
      </w:r>
      <w:r w:rsidR="003717FC">
        <w:rPr>
          <w:rFonts w:eastAsia="Times New Roman" w:cs="Arial"/>
          <w:color w:val="000000"/>
          <w:lang w:eastAsia="en-GB"/>
        </w:rPr>
        <w:t xml:space="preserve"> enhances employability, although as noted above, students who have participated believe that it has helped them in obtaining interviews and employment.</w:t>
      </w:r>
      <w:r w:rsidR="004A0026">
        <w:rPr>
          <w:rFonts w:eastAsia="Times New Roman" w:cs="Arial"/>
          <w:color w:val="000000"/>
          <w:lang w:eastAsia="en-GB"/>
        </w:rPr>
        <w:t xml:space="preserve">  A major study on t</w:t>
      </w:r>
      <w:r w:rsidR="005D7033">
        <w:rPr>
          <w:rFonts w:eastAsia="Times New Roman" w:cs="Arial"/>
          <w:color w:val="000000"/>
          <w:lang w:eastAsia="en-GB"/>
        </w:rPr>
        <w:t>he professional value of Erasmus</w:t>
      </w:r>
      <w:r w:rsidR="004A0026">
        <w:rPr>
          <w:rFonts w:eastAsia="Times New Roman" w:cs="Arial"/>
          <w:color w:val="000000"/>
          <w:lang w:eastAsia="en-GB"/>
        </w:rPr>
        <w:t xml:space="preserve"> mobility was undertaken for the Commission </w:t>
      </w:r>
      <w:r w:rsidR="009052E6">
        <w:rPr>
          <w:rFonts w:eastAsia="Times New Roman" w:cs="Arial"/>
          <w:color w:val="000000"/>
          <w:lang w:eastAsia="en-GB"/>
        </w:rPr>
        <w:t>and reported</w:t>
      </w:r>
      <w:r w:rsidR="004A0026">
        <w:rPr>
          <w:rFonts w:eastAsia="Times New Roman" w:cs="Arial"/>
          <w:color w:val="000000"/>
          <w:lang w:eastAsia="en-GB"/>
        </w:rPr>
        <w:t xml:space="preserve"> in 2006; this is largely very positive, reporting that ‘a temporary period of study in another European country helps to enhance international competences, contributes to international mobility of graduates and plac</w:t>
      </w:r>
      <w:r w:rsidR="005D7033">
        <w:rPr>
          <w:rFonts w:eastAsia="Times New Roman" w:cs="Arial"/>
          <w:color w:val="000000"/>
          <w:lang w:eastAsia="en-GB"/>
        </w:rPr>
        <w:t>es former Erasmus</w:t>
      </w:r>
      <w:r w:rsidR="004A0026">
        <w:rPr>
          <w:rFonts w:eastAsia="Times New Roman" w:cs="Arial"/>
          <w:color w:val="000000"/>
          <w:lang w:eastAsia="en-GB"/>
        </w:rPr>
        <w:t xml:space="preserve"> students in visibly international professional positions’</w:t>
      </w:r>
      <w:r w:rsidR="005D7033">
        <w:rPr>
          <w:rStyle w:val="FootnoteReference"/>
          <w:rFonts w:eastAsia="Times New Roman" w:cs="Arial"/>
          <w:color w:val="000000"/>
          <w:lang w:eastAsia="en-GB"/>
        </w:rPr>
        <w:footnoteReference w:id="34"/>
      </w:r>
      <w:r w:rsidR="003717FC">
        <w:rPr>
          <w:rFonts w:eastAsia="Times New Roman" w:cs="Arial"/>
          <w:color w:val="000000"/>
          <w:lang w:eastAsia="en-GB"/>
        </w:rPr>
        <w:t xml:space="preserve"> </w:t>
      </w:r>
      <w:r w:rsidR="009052E6">
        <w:rPr>
          <w:rFonts w:eastAsia="Times New Roman" w:cs="Arial"/>
          <w:color w:val="000000"/>
          <w:lang w:eastAsia="en-GB"/>
        </w:rPr>
        <w:t>and stating tha</w:t>
      </w:r>
      <w:r w:rsidR="00D4403D">
        <w:rPr>
          <w:rFonts w:eastAsia="Times New Roman" w:cs="Arial"/>
          <w:color w:val="000000"/>
          <w:lang w:eastAsia="en-GB"/>
        </w:rPr>
        <w:t>t this confirms earlier studies.</w:t>
      </w:r>
      <w:r w:rsidR="009052E6">
        <w:rPr>
          <w:rFonts w:eastAsia="Times New Roman" w:cs="Arial"/>
          <w:color w:val="000000"/>
          <w:lang w:eastAsia="en-GB"/>
        </w:rPr>
        <w:t xml:space="preserve">  However, Erasmus IPs with their distinctive form of mobility are not separated out from Erasmus student mobility</w:t>
      </w:r>
      <w:r w:rsidR="003717FC">
        <w:rPr>
          <w:rFonts w:eastAsia="Times New Roman" w:cs="Arial"/>
          <w:color w:val="000000"/>
          <w:lang w:eastAsia="en-GB"/>
        </w:rPr>
        <w:t xml:space="preserve"> </w:t>
      </w:r>
      <w:r w:rsidR="009052E6">
        <w:rPr>
          <w:rFonts w:eastAsia="Times New Roman" w:cs="Arial"/>
          <w:color w:val="000000"/>
          <w:lang w:eastAsia="en-GB"/>
        </w:rPr>
        <w:t>in general</w:t>
      </w:r>
      <w:r w:rsidR="00D4403D">
        <w:rPr>
          <w:rFonts w:eastAsia="Times New Roman" w:cs="Arial"/>
          <w:color w:val="000000"/>
          <w:lang w:eastAsia="en-GB"/>
        </w:rPr>
        <w:t xml:space="preserve"> and therefore the extent of the applicability of the study’s findings to Erasmus IPs is open to question.</w:t>
      </w:r>
      <w:r w:rsidR="00D20C0A">
        <w:rPr>
          <w:rFonts w:eastAsia="Times New Roman" w:cs="Arial"/>
          <w:color w:val="000000"/>
          <w:lang w:eastAsia="en-GB"/>
        </w:rPr>
        <w:t xml:space="preserve">  </w:t>
      </w:r>
      <w:proofErr w:type="spellStart"/>
      <w:r w:rsidR="00D20C0A">
        <w:rPr>
          <w:rFonts w:eastAsia="Times New Roman" w:cs="Arial"/>
          <w:color w:val="000000"/>
          <w:lang w:eastAsia="en-GB"/>
        </w:rPr>
        <w:t>Teichler</w:t>
      </w:r>
      <w:proofErr w:type="spellEnd"/>
      <w:r w:rsidR="00D20C0A">
        <w:rPr>
          <w:rFonts w:eastAsia="Times New Roman" w:cs="Arial"/>
          <w:color w:val="000000"/>
          <w:lang w:eastAsia="en-GB"/>
        </w:rPr>
        <w:t xml:space="preserve"> and </w:t>
      </w:r>
      <w:proofErr w:type="spellStart"/>
      <w:r w:rsidR="00D20C0A">
        <w:rPr>
          <w:rFonts w:eastAsia="Times New Roman" w:cs="Arial"/>
          <w:color w:val="000000"/>
          <w:lang w:eastAsia="en-GB"/>
        </w:rPr>
        <w:t>Janson</w:t>
      </w:r>
      <w:proofErr w:type="spellEnd"/>
      <w:r w:rsidR="00D20C0A">
        <w:rPr>
          <w:rFonts w:eastAsia="Times New Roman" w:cs="Arial"/>
          <w:color w:val="000000"/>
          <w:lang w:eastAsia="en-GB"/>
        </w:rPr>
        <w:t xml:space="preserve"> analysed this study alongside two earlier ones and concluded that ‘The temporary study period in another European country undertaken in the framework of Erasmus certainly turns out to be professionally valuable’ and that ‘Their [sc former Erasmus students] international experience seems to have been helpful for most of them in getting employed for the first time’.</w:t>
      </w:r>
      <w:r w:rsidR="00D20C0A">
        <w:rPr>
          <w:rStyle w:val="FootnoteReference"/>
          <w:rFonts w:eastAsia="Times New Roman" w:cs="Arial"/>
          <w:color w:val="000000"/>
          <w:lang w:eastAsia="en-GB"/>
        </w:rPr>
        <w:footnoteReference w:id="35"/>
      </w:r>
      <w:r w:rsidR="00956F32">
        <w:rPr>
          <w:rFonts w:eastAsia="Times New Roman" w:cs="Arial"/>
          <w:color w:val="000000"/>
          <w:lang w:eastAsia="en-GB"/>
        </w:rPr>
        <w:t xml:space="preserve"> </w:t>
      </w:r>
    </w:p>
    <w:p w14:paraId="29F70696" w14:textId="77777777" w:rsidR="00370F49" w:rsidRDefault="00370F49" w:rsidP="00D12FC0">
      <w:pPr>
        <w:spacing w:before="63" w:after="63" w:line="480" w:lineRule="auto"/>
        <w:rPr>
          <w:rFonts w:eastAsia="Times New Roman" w:cs="Arial"/>
          <w:color w:val="000000"/>
          <w:lang w:eastAsia="en-GB"/>
        </w:rPr>
      </w:pPr>
    </w:p>
    <w:p w14:paraId="04C46EB4" w14:textId="77777777" w:rsidR="00844B7A" w:rsidRDefault="00844B7A" w:rsidP="00D12FC0">
      <w:pPr>
        <w:spacing w:before="63" w:after="63" w:line="480" w:lineRule="auto"/>
        <w:rPr>
          <w:rFonts w:eastAsia="Times New Roman" w:cs="Arial"/>
          <w:color w:val="000000"/>
          <w:lang w:eastAsia="en-GB"/>
        </w:rPr>
      </w:pPr>
    </w:p>
    <w:p w14:paraId="7ED7AA6E" w14:textId="77777777" w:rsidR="00844B7A" w:rsidRDefault="00844B7A" w:rsidP="00D12FC0">
      <w:pPr>
        <w:spacing w:before="63" w:after="63" w:line="480" w:lineRule="auto"/>
        <w:rPr>
          <w:rFonts w:eastAsia="Times New Roman" w:cs="Arial"/>
          <w:color w:val="000000"/>
          <w:lang w:eastAsia="en-GB"/>
        </w:rPr>
      </w:pPr>
      <w:r>
        <w:rPr>
          <w:rFonts w:eastAsia="Times New Roman" w:cs="Arial"/>
          <w:color w:val="000000"/>
          <w:lang w:eastAsia="en-GB"/>
        </w:rPr>
        <w:t>It is also worth noting that when considering the benefits which accrue from the international aspects of the programme, it is a mistake to focus too exclusively on the benefits accruing to students alone.  A case can be made that in a programme which is carefully designed to consist of collaborative work between a number of different institutions and their students and staff, the benefits are felt more widely and in terms not just of the increased international outlook of the participating students but also of the participating institutions and staff.</w:t>
      </w:r>
      <w:r w:rsidR="00F9751F">
        <w:rPr>
          <w:rFonts w:eastAsia="Times New Roman" w:cs="Arial"/>
          <w:color w:val="000000"/>
          <w:lang w:eastAsia="en-GB"/>
        </w:rPr>
        <w:t xml:space="preserve">  An account of an Erasmus </w:t>
      </w:r>
      <w:r w:rsidR="00F9751F">
        <w:rPr>
          <w:rFonts w:eastAsia="Times New Roman" w:cs="Arial"/>
          <w:color w:val="000000"/>
          <w:lang w:eastAsia="en-GB"/>
        </w:rPr>
        <w:lastRenderedPageBreak/>
        <w:t>IP in the field of health and social care</w:t>
      </w:r>
      <w:r w:rsidR="001649C9">
        <w:rPr>
          <w:rFonts w:eastAsia="Times New Roman" w:cs="Arial"/>
          <w:color w:val="000000"/>
          <w:lang w:eastAsia="en-GB"/>
        </w:rPr>
        <w:t xml:space="preserve"> notes the increasing extent of academic mobility between higher education institutions in Europe and throughout the world but also</w:t>
      </w:r>
      <w:r w:rsidR="00DA4B26">
        <w:rPr>
          <w:rFonts w:eastAsia="Times New Roman" w:cs="Arial"/>
          <w:color w:val="000000"/>
          <w:lang w:eastAsia="en-GB"/>
        </w:rPr>
        <w:t xml:space="preserve"> the challenges which can arise</w:t>
      </w:r>
      <w:r w:rsidR="001649C9">
        <w:rPr>
          <w:rFonts w:eastAsia="Times New Roman" w:cs="Arial"/>
          <w:color w:val="000000"/>
          <w:lang w:eastAsia="en-GB"/>
        </w:rPr>
        <w:t xml:space="preserve"> and </w:t>
      </w:r>
      <w:r w:rsidR="00F9751F">
        <w:rPr>
          <w:rFonts w:eastAsia="Times New Roman" w:cs="Arial"/>
          <w:color w:val="000000"/>
          <w:lang w:eastAsia="en-GB"/>
        </w:rPr>
        <w:t>concluded that ‘creating and using international learning environments yields enormous pedagogical … value which may be particularly well suited to enable students and teachers to exchange knowledge and</w:t>
      </w:r>
      <w:r w:rsidR="008A1BC0">
        <w:rPr>
          <w:rFonts w:eastAsia="Times New Roman" w:cs="Arial"/>
          <w:color w:val="000000"/>
          <w:lang w:eastAsia="en-GB"/>
        </w:rPr>
        <w:t xml:space="preserve"> ideas</w:t>
      </w:r>
      <w:r w:rsidR="009E6A99">
        <w:rPr>
          <w:rFonts w:eastAsia="Times New Roman" w:cs="Arial"/>
          <w:color w:val="000000"/>
          <w:lang w:eastAsia="en-GB"/>
        </w:rPr>
        <w:t>.</w:t>
      </w:r>
      <w:r w:rsidR="008A1BC0">
        <w:rPr>
          <w:rFonts w:eastAsia="Times New Roman" w:cs="Arial"/>
          <w:color w:val="000000"/>
          <w:lang w:eastAsia="en-GB"/>
        </w:rPr>
        <w:t>’</w:t>
      </w:r>
      <w:r w:rsidR="008A1BC0">
        <w:rPr>
          <w:rStyle w:val="FootnoteReference"/>
          <w:rFonts w:eastAsia="Times New Roman" w:cs="Arial"/>
          <w:color w:val="000000"/>
          <w:lang w:eastAsia="en-GB"/>
        </w:rPr>
        <w:footnoteReference w:id="36"/>
      </w:r>
      <w:r w:rsidR="009E6A99">
        <w:rPr>
          <w:rFonts w:eastAsia="Times New Roman" w:cs="Arial"/>
          <w:color w:val="000000"/>
          <w:lang w:eastAsia="en-GB"/>
        </w:rPr>
        <w:t xml:space="preserve"> </w:t>
      </w:r>
      <w:r w:rsidR="00064F7D">
        <w:rPr>
          <w:rFonts w:eastAsia="Times New Roman" w:cs="Arial"/>
          <w:color w:val="000000"/>
          <w:lang w:eastAsia="en-GB"/>
        </w:rPr>
        <w:t xml:space="preserve"> Another account of a series of</w:t>
      </w:r>
      <w:r w:rsidR="00032C56">
        <w:rPr>
          <w:rFonts w:eastAsia="Times New Roman" w:cs="Arial"/>
          <w:color w:val="000000"/>
          <w:lang w:eastAsia="en-GB"/>
        </w:rPr>
        <w:t xml:space="preserve"> IP</w:t>
      </w:r>
      <w:r w:rsidR="00064F7D">
        <w:rPr>
          <w:rFonts w:eastAsia="Times New Roman" w:cs="Arial"/>
          <w:color w:val="000000"/>
          <w:lang w:eastAsia="en-GB"/>
        </w:rPr>
        <w:t>s</w:t>
      </w:r>
      <w:r w:rsidR="00032C56">
        <w:rPr>
          <w:rFonts w:eastAsia="Times New Roman" w:cs="Arial"/>
          <w:color w:val="000000"/>
          <w:lang w:eastAsia="en-GB"/>
        </w:rPr>
        <w:t xml:space="preserve">, this time in the field of teacher education, </w:t>
      </w:r>
      <w:r w:rsidR="00064F7D">
        <w:rPr>
          <w:rFonts w:eastAsia="Times New Roman" w:cs="Arial"/>
          <w:color w:val="000000"/>
          <w:lang w:eastAsia="en-GB"/>
        </w:rPr>
        <w:t>refers to the ‘community of learners’ established by the IPs which provided continuing contact for learning via online social networks, Virtual Learning Environments and the researching of IP themes by doctoral students.</w:t>
      </w:r>
      <w:r w:rsidR="00064F7D">
        <w:rPr>
          <w:rStyle w:val="FootnoteReference"/>
          <w:rFonts w:eastAsia="Times New Roman" w:cs="Arial"/>
          <w:color w:val="000000"/>
          <w:lang w:eastAsia="en-GB"/>
        </w:rPr>
        <w:footnoteReference w:id="37"/>
      </w:r>
      <w:r w:rsidR="009E6A99">
        <w:rPr>
          <w:rFonts w:eastAsia="Times New Roman" w:cs="Arial"/>
          <w:color w:val="000000"/>
          <w:lang w:eastAsia="en-GB"/>
        </w:rPr>
        <w:t xml:space="preserve"> Fur</w:t>
      </w:r>
      <w:r w:rsidR="00153C30">
        <w:rPr>
          <w:rFonts w:eastAsia="Times New Roman" w:cs="Arial"/>
          <w:color w:val="000000"/>
          <w:lang w:eastAsia="en-GB"/>
        </w:rPr>
        <w:t xml:space="preserve">thermore, as noted above, </w:t>
      </w:r>
      <w:r w:rsidR="009E6A99">
        <w:rPr>
          <w:rFonts w:eastAsia="Times New Roman" w:cs="Arial"/>
          <w:color w:val="000000"/>
          <w:lang w:eastAsia="en-GB"/>
        </w:rPr>
        <w:t xml:space="preserve">IPs </w:t>
      </w:r>
      <w:r w:rsidR="00153C30">
        <w:rPr>
          <w:rFonts w:eastAsia="Times New Roman" w:cs="Arial"/>
          <w:color w:val="000000"/>
          <w:lang w:eastAsia="en-GB"/>
        </w:rPr>
        <w:t xml:space="preserve">can </w:t>
      </w:r>
      <w:r w:rsidR="009E6A99">
        <w:rPr>
          <w:rFonts w:eastAsia="Times New Roman" w:cs="Arial"/>
          <w:color w:val="000000"/>
          <w:lang w:eastAsia="en-GB"/>
        </w:rPr>
        <w:t>provide the opportunity to constitute a test ground for in</w:t>
      </w:r>
      <w:r w:rsidR="00A1222C">
        <w:rPr>
          <w:rFonts w:eastAsia="Times New Roman" w:cs="Arial"/>
          <w:color w:val="000000"/>
          <w:lang w:eastAsia="en-GB"/>
        </w:rPr>
        <w:t xml:space="preserve">novative pedagogical approaches, </w:t>
      </w:r>
      <w:r w:rsidR="00153C30">
        <w:rPr>
          <w:rFonts w:eastAsia="Times New Roman" w:cs="Arial"/>
          <w:color w:val="000000"/>
          <w:lang w:eastAsia="en-GB"/>
        </w:rPr>
        <w:t>something</w:t>
      </w:r>
      <w:r w:rsidR="00A1222C">
        <w:rPr>
          <w:rFonts w:eastAsia="Times New Roman" w:cs="Arial"/>
          <w:color w:val="000000"/>
          <w:lang w:eastAsia="en-GB"/>
        </w:rPr>
        <w:t xml:space="preserve"> encouraged by the Commission itself, which ca</w:t>
      </w:r>
      <w:r w:rsidR="00153C30">
        <w:rPr>
          <w:rFonts w:eastAsia="Times New Roman" w:cs="Arial"/>
          <w:color w:val="000000"/>
          <w:lang w:eastAsia="en-GB"/>
        </w:rPr>
        <w:t>n potentially feed back into</w:t>
      </w:r>
      <w:r w:rsidR="00A1222C">
        <w:rPr>
          <w:rFonts w:eastAsia="Times New Roman" w:cs="Arial"/>
          <w:color w:val="000000"/>
          <w:lang w:eastAsia="en-GB"/>
        </w:rPr>
        <w:t xml:space="preserve"> teaching and learning strategies at the institutions involved.</w:t>
      </w:r>
      <w:r w:rsidR="00A1222C">
        <w:rPr>
          <w:rStyle w:val="FootnoteReference"/>
          <w:rFonts w:eastAsia="Times New Roman" w:cs="Arial"/>
          <w:color w:val="000000"/>
          <w:lang w:eastAsia="en-GB"/>
        </w:rPr>
        <w:footnoteReference w:id="38"/>
      </w:r>
    </w:p>
    <w:p w14:paraId="32B24342" w14:textId="77777777" w:rsidR="00EA715F" w:rsidRPr="00A9609A" w:rsidRDefault="00EA715F" w:rsidP="00D12FC0">
      <w:pPr>
        <w:spacing w:before="63" w:after="63" w:line="480" w:lineRule="auto"/>
        <w:rPr>
          <w:rFonts w:eastAsia="Times New Roman" w:cs="Arial"/>
          <w:color w:val="000000"/>
          <w:lang w:eastAsia="en-GB"/>
        </w:rPr>
      </w:pPr>
    </w:p>
    <w:p w14:paraId="7BCB1A35" w14:textId="77777777" w:rsidR="00EA715F" w:rsidRDefault="00EA715F" w:rsidP="00D12FC0">
      <w:pPr>
        <w:spacing w:before="63" w:after="63" w:line="480" w:lineRule="auto"/>
        <w:rPr>
          <w:rFonts w:eastAsia="Times New Roman" w:cs="Arial"/>
          <w:color w:val="000000"/>
          <w:lang w:eastAsia="en-GB"/>
        </w:rPr>
      </w:pPr>
      <w:r>
        <w:rPr>
          <w:rFonts w:eastAsia="Times New Roman" w:cs="Arial"/>
          <w:color w:val="000000"/>
          <w:lang w:eastAsia="en-GB"/>
        </w:rPr>
        <w:t xml:space="preserve">As stated above, </w:t>
      </w:r>
      <w:proofErr w:type="spellStart"/>
      <w:r>
        <w:rPr>
          <w:rFonts w:eastAsia="Times New Roman" w:cs="Arial"/>
          <w:color w:val="000000"/>
          <w:lang w:eastAsia="en-GB"/>
        </w:rPr>
        <w:t>Stronkhurst</w:t>
      </w:r>
      <w:proofErr w:type="spellEnd"/>
      <w:r>
        <w:rPr>
          <w:rFonts w:eastAsia="Times New Roman" w:cs="Arial"/>
          <w:color w:val="000000"/>
          <w:lang w:eastAsia="en-GB"/>
        </w:rPr>
        <w:t xml:space="preserve"> has commented</w:t>
      </w:r>
      <w:r>
        <w:rPr>
          <w:rStyle w:val="FootnoteReference"/>
          <w:rFonts w:eastAsia="Times New Roman" w:cs="Arial"/>
          <w:color w:val="000000"/>
          <w:lang w:eastAsia="en-GB"/>
        </w:rPr>
        <w:footnoteReference w:id="39"/>
      </w:r>
      <w:r>
        <w:rPr>
          <w:rFonts w:eastAsia="Times New Roman" w:cs="Arial"/>
          <w:color w:val="000000"/>
          <w:lang w:eastAsia="en-GB"/>
        </w:rPr>
        <w:t xml:space="preserve"> on the limitations of most of the </w:t>
      </w:r>
      <w:r w:rsidR="0058035C">
        <w:rPr>
          <w:rFonts w:eastAsia="Times New Roman" w:cs="Arial"/>
          <w:color w:val="000000"/>
          <w:lang w:eastAsia="en-GB"/>
        </w:rPr>
        <w:t xml:space="preserve">formal </w:t>
      </w:r>
      <w:r>
        <w:rPr>
          <w:rFonts w:eastAsia="Times New Roman" w:cs="Arial"/>
          <w:color w:val="000000"/>
          <w:lang w:eastAsia="en-GB"/>
        </w:rPr>
        <w:t>evaluations of Erasmus student mobility which are available</w:t>
      </w:r>
      <w:r w:rsidR="00490AB0">
        <w:rPr>
          <w:rFonts w:eastAsia="Times New Roman" w:cs="Arial"/>
          <w:color w:val="000000"/>
          <w:lang w:eastAsia="en-GB"/>
        </w:rPr>
        <w:t>, and this paper has noted the paucity of research into Erasmus Intens</w:t>
      </w:r>
      <w:r w:rsidR="004740AE">
        <w:rPr>
          <w:rFonts w:eastAsia="Times New Roman" w:cs="Arial"/>
          <w:color w:val="000000"/>
          <w:lang w:eastAsia="en-GB"/>
        </w:rPr>
        <w:t>ive Programmes in particular.  Furthermore, m</w:t>
      </w:r>
      <w:r w:rsidR="00490AB0">
        <w:rPr>
          <w:rFonts w:eastAsia="Times New Roman" w:cs="Arial"/>
          <w:color w:val="000000"/>
          <w:lang w:eastAsia="en-GB"/>
        </w:rPr>
        <w:t>ost of the</w:t>
      </w:r>
      <w:r>
        <w:rPr>
          <w:rFonts w:eastAsia="Times New Roman" w:cs="Arial"/>
          <w:color w:val="000000"/>
          <w:lang w:eastAsia="en-GB"/>
        </w:rPr>
        <w:t xml:space="preserve"> evaluations </w:t>
      </w:r>
      <w:r w:rsidR="00490AB0">
        <w:rPr>
          <w:rFonts w:eastAsia="Times New Roman" w:cs="Arial"/>
          <w:color w:val="000000"/>
          <w:lang w:eastAsia="en-GB"/>
        </w:rPr>
        <w:t>about Erasmus student mobility</w:t>
      </w:r>
      <w:r w:rsidR="00B86011">
        <w:rPr>
          <w:rFonts w:eastAsia="Times New Roman" w:cs="Arial"/>
          <w:color w:val="000000"/>
          <w:lang w:eastAsia="en-GB"/>
        </w:rPr>
        <w:t xml:space="preserve"> in general</w:t>
      </w:r>
      <w:r w:rsidR="00490AB0">
        <w:rPr>
          <w:rFonts w:eastAsia="Times New Roman" w:cs="Arial"/>
          <w:color w:val="000000"/>
          <w:lang w:eastAsia="en-GB"/>
        </w:rPr>
        <w:t xml:space="preserve"> which do exist </w:t>
      </w:r>
      <w:r>
        <w:rPr>
          <w:rFonts w:eastAsia="Times New Roman" w:cs="Arial"/>
          <w:color w:val="000000"/>
          <w:lang w:eastAsia="en-GB"/>
        </w:rPr>
        <w:t>focus on the participants’ perceptions in terms of satisfaction and related concepts, and certainly produce a positive picture</w:t>
      </w:r>
      <w:r w:rsidR="0058035C">
        <w:rPr>
          <w:rFonts w:eastAsia="Times New Roman" w:cs="Arial"/>
          <w:color w:val="000000"/>
          <w:lang w:eastAsia="en-GB"/>
        </w:rPr>
        <w:t>, as is broadly echoed by the experience of LSBU and the other participating institutions in the IP described here</w:t>
      </w:r>
      <w:r>
        <w:rPr>
          <w:rFonts w:eastAsia="Times New Roman" w:cs="Arial"/>
          <w:color w:val="000000"/>
          <w:lang w:eastAsia="en-GB"/>
        </w:rPr>
        <w:t>.  However, the international and intercultural competencies which the Commission highlights</w:t>
      </w:r>
      <w:r w:rsidR="0058035C">
        <w:rPr>
          <w:rFonts w:eastAsia="Times New Roman" w:cs="Arial"/>
          <w:color w:val="000000"/>
          <w:lang w:eastAsia="en-GB"/>
        </w:rPr>
        <w:t xml:space="preserve"> in its literature</w:t>
      </w:r>
      <w:r w:rsidR="00B86011">
        <w:rPr>
          <w:rFonts w:eastAsia="Times New Roman" w:cs="Arial"/>
          <w:color w:val="000000"/>
          <w:lang w:eastAsia="en-GB"/>
        </w:rPr>
        <w:t xml:space="preserve"> as learning outcomes are</w:t>
      </w:r>
      <w:r>
        <w:rPr>
          <w:rFonts w:eastAsia="Times New Roman" w:cs="Arial"/>
          <w:color w:val="000000"/>
          <w:lang w:eastAsia="en-GB"/>
        </w:rPr>
        <w:t xml:space="preserve"> mentioned</w:t>
      </w:r>
      <w:r w:rsidR="00B86011">
        <w:rPr>
          <w:rFonts w:eastAsia="Times New Roman" w:cs="Arial"/>
          <w:color w:val="000000"/>
          <w:lang w:eastAsia="en-GB"/>
        </w:rPr>
        <w:t xml:space="preserve"> in evaluative studies much less often</w:t>
      </w:r>
      <w:r>
        <w:rPr>
          <w:rFonts w:eastAsia="Times New Roman" w:cs="Arial"/>
          <w:color w:val="000000"/>
          <w:lang w:eastAsia="en-GB"/>
        </w:rPr>
        <w:t xml:space="preserve">.  </w:t>
      </w:r>
      <w:proofErr w:type="spellStart"/>
      <w:r>
        <w:rPr>
          <w:rFonts w:eastAsia="Times New Roman" w:cs="Arial"/>
          <w:color w:val="000000"/>
          <w:lang w:eastAsia="en-GB"/>
        </w:rPr>
        <w:t>Stronkhurst</w:t>
      </w:r>
      <w:r w:rsidR="00D66681">
        <w:rPr>
          <w:rFonts w:eastAsia="Times New Roman" w:cs="Arial"/>
          <w:color w:val="000000"/>
          <w:lang w:eastAsia="en-GB"/>
        </w:rPr>
        <w:t>’s</w:t>
      </w:r>
      <w:proofErr w:type="spellEnd"/>
      <w:r w:rsidR="00D66681">
        <w:rPr>
          <w:rFonts w:eastAsia="Times New Roman" w:cs="Arial"/>
          <w:color w:val="000000"/>
          <w:lang w:eastAsia="en-GB"/>
        </w:rPr>
        <w:t xml:space="preserve"> report looks </w:t>
      </w:r>
      <w:r w:rsidR="00D66681">
        <w:rPr>
          <w:rFonts w:eastAsia="Times New Roman" w:cs="Arial"/>
          <w:color w:val="000000"/>
          <w:lang w:eastAsia="en-GB"/>
        </w:rPr>
        <w:lastRenderedPageBreak/>
        <w:t>at</w:t>
      </w:r>
      <w:r>
        <w:rPr>
          <w:rFonts w:eastAsia="Times New Roman" w:cs="Arial"/>
          <w:color w:val="000000"/>
          <w:lang w:eastAsia="en-GB"/>
        </w:rPr>
        <w:t xml:space="preserve"> an evaluative study which attempts to establish the worth of the educational activities undertaken as part of student mobility</w:t>
      </w:r>
      <w:r w:rsidR="0058035C">
        <w:rPr>
          <w:rFonts w:eastAsia="Times New Roman" w:cs="Arial"/>
          <w:color w:val="000000"/>
          <w:lang w:eastAsia="en-GB"/>
        </w:rPr>
        <w:t xml:space="preserve"> rather than focusing on student satisfaction</w:t>
      </w:r>
      <w:r>
        <w:rPr>
          <w:rFonts w:eastAsia="Times New Roman" w:cs="Arial"/>
          <w:color w:val="000000"/>
          <w:lang w:eastAsia="en-GB"/>
        </w:rPr>
        <w:t>.  He notes that the mobility programmes appear to have a positive effect on characteristics such as cultural empathy, open-mindedness, social initiative and flexibi</w:t>
      </w:r>
      <w:r w:rsidR="0058035C">
        <w:rPr>
          <w:rFonts w:eastAsia="Times New Roman" w:cs="Arial"/>
          <w:color w:val="000000"/>
          <w:lang w:eastAsia="en-GB"/>
        </w:rPr>
        <w:t>lity in many students, but admits</w:t>
      </w:r>
      <w:r>
        <w:rPr>
          <w:rFonts w:eastAsia="Times New Roman" w:cs="Arial"/>
          <w:color w:val="000000"/>
          <w:lang w:eastAsia="en-GB"/>
        </w:rPr>
        <w:t xml:space="preserve"> that the students undertaking mobility programmes already had high levels of such characteristics.  The appetite of students involved in international mobility activities is high, although the self-selection involved in mobil</w:t>
      </w:r>
      <w:r w:rsidR="0058035C">
        <w:rPr>
          <w:rFonts w:eastAsia="Times New Roman" w:cs="Arial"/>
          <w:color w:val="000000"/>
          <w:lang w:eastAsia="en-GB"/>
        </w:rPr>
        <w:t>ity programmes makes it an open question how much</w:t>
      </w:r>
      <w:r>
        <w:rPr>
          <w:rFonts w:eastAsia="Times New Roman" w:cs="Arial"/>
          <w:color w:val="000000"/>
          <w:lang w:eastAsia="en-GB"/>
        </w:rPr>
        <w:t xml:space="preserve"> the experience of studying abroad has contributed much to this.</w:t>
      </w:r>
      <w:r w:rsidR="00ED681D">
        <w:rPr>
          <w:rFonts w:eastAsia="Times New Roman" w:cs="Arial"/>
          <w:color w:val="000000"/>
          <w:lang w:eastAsia="en-GB"/>
        </w:rPr>
        <w:t xml:space="preserve">  Perhaps however studying abroad can be seen as part of a virtuous circle, a desire to experience an international dimension as part of one’s education arising out of an interest in participating in the wider world, and the experience building on and developing that interest.</w:t>
      </w:r>
      <w:r w:rsidR="0058035C">
        <w:rPr>
          <w:rFonts w:eastAsia="Times New Roman" w:cs="Arial"/>
          <w:color w:val="000000"/>
          <w:lang w:eastAsia="en-GB"/>
        </w:rPr>
        <w:t xml:space="preserve">  </w:t>
      </w:r>
    </w:p>
    <w:p w14:paraId="39B95E49" w14:textId="77777777" w:rsidR="00EA715F" w:rsidRDefault="00EA715F" w:rsidP="00D12FC0">
      <w:pPr>
        <w:spacing w:before="63" w:after="63" w:line="480" w:lineRule="auto"/>
        <w:rPr>
          <w:rFonts w:eastAsia="Times New Roman" w:cs="Arial"/>
          <w:color w:val="000000"/>
          <w:lang w:eastAsia="en-GB"/>
        </w:rPr>
      </w:pPr>
    </w:p>
    <w:p w14:paraId="1762FA40" w14:textId="77777777" w:rsidR="0058035C" w:rsidRDefault="0058035C" w:rsidP="00D12FC0">
      <w:pPr>
        <w:spacing w:before="63" w:after="63" w:line="480" w:lineRule="auto"/>
        <w:rPr>
          <w:rFonts w:eastAsia="Times New Roman" w:cs="Arial"/>
          <w:color w:val="000000"/>
          <w:lang w:eastAsia="en-GB"/>
        </w:rPr>
      </w:pPr>
    </w:p>
    <w:p w14:paraId="4B273A06" w14:textId="77777777" w:rsidR="0058035C" w:rsidRDefault="0058035C" w:rsidP="00D12FC0">
      <w:pPr>
        <w:spacing w:before="63" w:after="63" w:line="480" w:lineRule="auto"/>
        <w:rPr>
          <w:rFonts w:eastAsia="Times New Roman" w:cs="Arial"/>
          <w:b/>
          <w:color w:val="000000"/>
          <w:lang w:eastAsia="en-GB"/>
        </w:rPr>
      </w:pPr>
      <w:r>
        <w:rPr>
          <w:rFonts w:eastAsia="Times New Roman" w:cs="Arial"/>
          <w:b/>
          <w:color w:val="000000"/>
          <w:lang w:eastAsia="en-GB"/>
        </w:rPr>
        <w:t>CONCLUSION</w:t>
      </w:r>
    </w:p>
    <w:p w14:paraId="3AE9CAAD" w14:textId="77777777" w:rsidR="0058035C" w:rsidRDefault="0058035C" w:rsidP="00D12FC0">
      <w:pPr>
        <w:spacing w:before="63" w:after="63" w:line="480" w:lineRule="auto"/>
        <w:rPr>
          <w:rFonts w:eastAsia="Times New Roman" w:cs="Arial"/>
          <w:b/>
          <w:color w:val="000000"/>
          <w:lang w:eastAsia="en-GB"/>
        </w:rPr>
      </w:pPr>
    </w:p>
    <w:p w14:paraId="3611282A" w14:textId="77777777" w:rsidR="00EA715F" w:rsidRPr="00416172" w:rsidRDefault="0058035C" w:rsidP="00D12FC0">
      <w:pPr>
        <w:spacing w:before="63" w:after="63" w:line="480" w:lineRule="auto"/>
        <w:rPr>
          <w:rFonts w:eastAsia="Times New Roman" w:cs="Arial"/>
          <w:color w:val="000000"/>
          <w:lang w:eastAsia="en-GB"/>
        </w:rPr>
      </w:pPr>
      <w:r>
        <w:rPr>
          <w:rFonts w:eastAsia="Times New Roman" w:cs="Arial"/>
          <w:color w:val="000000"/>
          <w:lang w:eastAsia="en-GB"/>
        </w:rPr>
        <w:t>Erasmus Inten</w:t>
      </w:r>
      <w:r w:rsidR="00CF13ED">
        <w:rPr>
          <w:rFonts w:eastAsia="Times New Roman" w:cs="Arial"/>
          <w:color w:val="000000"/>
          <w:lang w:eastAsia="en-GB"/>
        </w:rPr>
        <w:t>sive Programmes provide a valuable</w:t>
      </w:r>
      <w:r>
        <w:rPr>
          <w:rFonts w:eastAsia="Times New Roman" w:cs="Arial"/>
          <w:color w:val="000000"/>
          <w:lang w:eastAsia="en-GB"/>
        </w:rPr>
        <w:t xml:space="preserve"> opportunity for students on a UK Qualifying Law Degree to participate in an international programme abroad </w:t>
      </w:r>
      <w:r w:rsidR="00CF13ED">
        <w:rPr>
          <w:rFonts w:eastAsia="Times New Roman" w:cs="Arial"/>
          <w:color w:val="000000"/>
          <w:lang w:eastAsia="en-GB"/>
        </w:rPr>
        <w:t>whilst still completing their degrees within three years.</w:t>
      </w:r>
      <w:r w:rsidR="00416172">
        <w:rPr>
          <w:rFonts w:eastAsia="Times New Roman" w:cs="Arial"/>
          <w:color w:val="000000"/>
          <w:lang w:eastAsia="en-GB"/>
        </w:rPr>
        <w:t xml:space="preserve">  As such they serve a very useful purpose for UK law students reluctant to extend their degrees to four years for financial and other reasons and yet keen to be able to demonstrate to future employers awarenes</w:t>
      </w:r>
      <w:r w:rsidR="00257FA2">
        <w:rPr>
          <w:rFonts w:eastAsia="Times New Roman" w:cs="Arial"/>
          <w:color w:val="000000"/>
          <w:lang w:eastAsia="en-GB"/>
        </w:rPr>
        <w:t>s of global issues and participation</w:t>
      </w:r>
      <w:r w:rsidR="00416172">
        <w:rPr>
          <w:rFonts w:eastAsia="Times New Roman" w:cs="Arial"/>
          <w:color w:val="000000"/>
          <w:lang w:eastAsia="en-GB"/>
        </w:rPr>
        <w:t xml:space="preserve"> in international projects.</w:t>
      </w:r>
      <w:r w:rsidR="00CF13ED">
        <w:rPr>
          <w:rFonts w:eastAsia="Times New Roman" w:cs="Arial"/>
          <w:color w:val="000000"/>
          <w:lang w:eastAsia="en-GB"/>
        </w:rPr>
        <w:t xml:space="preserve">  Even though the students may only be abroad for a short while, the intensity of the interaction with students and staff from other European universities and the focus on one particular discrete topic for the relevant period can lead to significant enhancement of awareness of both the differences and similarities in the treatment of particular legal issues in different countries, of reasons for differences in policy approaches, and of the cultural significance of pedagogical variations.  Such outcomes by themselves </w:t>
      </w:r>
      <w:r w:rsidR="00CF13ED">
        <w:rPr>
          <w:rFonts w:eastAsia="Times New Roman" w:cs="Arial"/>
          <w:color w:val="000000"/>
          <w:lang w:eastAsia="en-GB"/>
        </w:rPr>
        <w:lastRenderedPageBreak/>
        <w:t>are valuable in an increasingly competitive and globally minded employment market.</w:t>
      </w:r>
      <w:r w:rsidR="00257FA2">
        <w:rPr>
          <w:rFonts w:eastAsia="Times New Roman" w:cs="Arial"/>
          <w:color w:val="000000"/>
          <w:lang w:eastAsia="en-GB"/>
        </w:rPr>
        <w:t xml:space="preserve"> </w:t>
      </w:r>
      <w:r w:rsidR="00CF13ED">
        <w:rPr>
          <w:rFonts w:eastAsia="Times New Roman" w:cs="Arial"/>
          <w:color w:val="000000"/>
          <w:lang w:eastAsia="en-GB"/>
        </w:rPr>
        <w:t xml:space="preserve"> </w:t>
      </w:r>
      <w:r w:rsidR="00416172">
        <w:rPr>
          <w:rFonts w:eastAsia="Times New Roman" w:cs="Arial"/>
          <w:color w:val="000000"/>
          <w:lang w:eastAsia="en-GB"/>
        </w:rPr>
        <w:t xml:space="preserve">Erasmus Intensive Programmes should be seen as an excellent way of enhancing the employability of students in a very competitive and increasingly global market, as well as uniquely enjoyable experiences for all concerned.  </w:t>
      </w:r>
    </w:p>
    <w:p w14:paraId="4B3E9A84" w14:textId="77777777" w:rsidR="00303AD1" w:rsidRPr="00D042F8" w:rsidRDefault="00303AD1" w:rsidP="00D12FC0">
      <w:pPr>
        <w:spacing w:line="480" w:lineRule="auto"/>
      </w:pPr>
      <w:r>
        <w:t xml:space="preserve"> </w:t>
      </w:r>
    </w:p>
    <w:p w14:paraId="3BBA89D4" w14:textId="77777777" w:rsidR="004C6A20" w:rsidRPr="004C6A20" w:rsidRDefault="004C6A20" w:rsidP="00D12FC0">
      <w:pPr>
        <w:spacing w:before="32" w:after="253" w:line="480" w:lineRule="auto"/>
        <w:rPr>
          <w:rFonts w:cs="Arial"/>
          <w:color w:val="000000"/>
        </w:rPr>
      </w:pPr>
    </w:p>
    <w:p w14:paraId="7E46559D" w14:textId="77777777" w:rsidR="001F02EA" w:rsidRPr="001F02EA" w:rsidRDefault="001F02EA" w:rsidP="00D12FC0">
      <w:pPr>
        <w:spacing w:before="32" w:after="253" w:line="480" w:lineRule="auto"/>
        <w:rPr>
          <w:rFonts w:cs="Arial"/>
          <w:b/>
          <w:color w:val="000000"/>
        </w:rPr>
      </w:pPr>
    </w:p>
    <w:p w14:paraId="6B4F72CD" w14:textId="77777777" w:rsidR="00592A71" w:rsidRPr="005F4CAA" w:rsidRDefault="00DE680D" w:rsidP="00D12FC0">
      <w:pPr>
        <w:spacing w:before="32" w:after="253" w:line="480" w:lineRule="auto"/>
        <w:rPr>
          <w:rFonts w:eastAsia="Times New Roman" w:cs="Arial"/>
          <w:color w:val="000000"/>
          <w:lang w:eastAsia="en-GB"/>
        </w:rPr>
      </w:pPr>
      <w:r>
        <w:rPr>
          <w:rFonts w:cs="Arial"/>
          <w:color w:val="000000"/>
        </w:rPr>
        <w:t xml:space="preserve">   </w:t>
      </w:r>
      <w:r w:rsidR="004D4D10">
        <w:rPr>
          <w:rFonts w:cs="Arial"/>
          <w:color w:val="000000"/>
        </w:rPr>
        <w:t xml:space="preserve">  </w:t>
      </w:r>
      <w:r w:rsidR="00545D43">
        <w:rPr>
          <w:rFonts w:cs="Arial"/>
          <w:color w:val="000000"/>
        </w:rPr>
        <w:t xml:space="preserve">  </w:t>
      </w:r>
    </w:p>
    <w:p w14:paraId="61F40B98" w14:textId="77777777" w:rsidR="00E913DB" w:rsidRDefault="00E913DB" w:rsidP="00D12FC0">
      <w:pPr>
        <w:spacing w:line="480" w:lineRule="auto"/>
      </w:pPr>
    </w:p>
    <w:sectPr w:rsidR="00E913DB" w:rsidSect="00E913DB">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5735A" w14:textId="77777777" w:rsidR="00A633AD" w:rsidRDefault="00A633AD" w:rsidP="00465B6A">
      <w:pPr>
        <w:spacing w:after="0" w:line="240" w:lineRule="auto"/>
      </w:pPr>
      <w:r>
        <w:separator/>
      </w:r>
    </w:p>
  </w:endnote>
  <w:endnote w:type="continuationSeparator" w:id="0">
    <w:p w14:paraId="71631C6F" w14:textId="77777777" w:rsidR="00A633AD" w:rsidRDefault="00A633AD" w:rsidP="0046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DE84" w14:textId="77777777" w:rsidR="00A633AD" w:rsidRDefault="00A633AD" w:rsidP="00180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C7162" w14:textId="77777777" w:rsidR="00A633AD" w:rsidRDefault="00A633AD" w:rsidP="009810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BB3C0" w14:textId="77777777" w:rsidR="00A633AD" w:rsidRDefault="00A633AD" w:rsidP="00180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0D18">
      <w:rPr>
        <w:rStyle w:val="PageNumber"/>
        <w:noProof/>
      </w:rPr>
      <w:t>25</w:t>
    </w:r>
    <w:r>
      <w:rPr>
        <w:rStyle w:val="PageNumber"/>
      </w:rPr>
      <w:fldChar w:fldCharType="end"/>
    </w:r>
  </w:p>
  <w:p w14:paraId="7E2B9880" w14:textId="77777777" w:rsidR="00A633AD" w:rsidRDefault="00A633AD" w:rsidP="009810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DC06D" w14:textId="77777777" w:rsidR="00A633AD" w:rsidRDefault="00A633AD" w:rsidP="00465B6A">
      <w:pPr>
        <w:spacing w:after="0" w:line="240" w:lineRule="auto"/>
      </w:pPr>
      <w:r>
        <w:separator/>
      </w:r>
    </w:p>
  </w:footnote>
  <w:footnote w:type="continuationSeparator" w:id="0">
    <w:p w14:paraId="2215FC6B" w14:textId="77777777" w:rsidR="00A633AD" w:rsidRDefault="00A633AD" w:rsidP="00465B6A">
      <w:pPr>
        <w:spacing w:after="0" w:line="240" w:lineRule="auto"/>
      </w:pPr>
      <w:r>
        <w:continuationSeparator/>
      </w:r>
    </w:p>
  </w:footnote>
  <w:footnote w:id="1">
    <w:p w14:paraId="5D9D4E2B" w14:textId="77777777" w:rsidR="00A633AD" w:rsidRPr="00765954" w:rsidRDefault="00A633AD">
      <w:pPr>
        <w:pStyle w:val="FootnoteText"/>
        <w:rPr>
          <w:lang w:val="en-US"/>
        </w:rPr>
      </w:pPr>
      <w:r>
        <w:rPr>
          <w:rStyle w:val="FootnoteReference"/>
        </w:rPr>
        <w:footnoteRef/>
      </w:r>
      <w:r>
        <w:t xml:space="preserve"> </w:t>
      </w:r>
      <w:r>
        <w:rPr>
          <w:lang w:val="en-US"/>
        </w:rPr>
        <w:t>Cherry James, MA, LLM, PGCHE, Solicitor, Senior Lecturer at London South Bank University</w:t>
      </w:r>
    </w:p>
  </w:footnote>
  <w:footnote w:id="2">
    <w:p w14:paraId="76CCBB62" w14:textId="77777777" w:rsidR="00A633AD" w:rsidRPr="008E486F" w:rsidRDefault="00A633AD">
      <w:pPr>
        <w:pStyle w:val="FootnoteText"/>
        <w:rPr>
          <w:lang w:val="en-US"/>
        </w:rPr>
      </w:pPr>
      <w:r>
        <w:rPr>
          <w:rStyle w:val="FootnoteReference"/>
        </w:rPr>
        <w:footnoteRef/>
      </w:r>
      <w:r>
        <w:t xml:space="preserve"> </w:t>
      </w:r>
      <w:proofErr w:type="gramStart"/>
      <w:r>
        <w:t xml:space="preserve">King, R, Findlay, A and Ahrens, J. </w:t>
      </w:r>
      <w:r w:rsidRPr="00A7555B">
        <w:rPr>
          <w:i/>
          <w:lang w:val="en-US"/>
        </w:rPr>
        <w:t>International student mobility literature review</w:t>
      </w:r>
      <w:r>
        <w:rPr>
          <w:lang w:val="en-US"/>
        </w:rPr>
        <w:t>.</w:t>
      </w:r>
      <w:proofErr w:type="gramEnd"/>
      <w:r>
        <w:rPr>
          <w:lang w:val="en-US"/>
        </w:rPr>
        <w:t xml:space="preserve"> November 2010.  Report to HEFCE, and co-funded by the British Council, UK National Agency for Erasmus: </w:t>
      </w:r>
      <w:proofErr w:type="spellStart"/>
      <w:r>
        <w:rPr>
          <w:lang w:val="en-US"/>
        </w:rPr>
        <w:t>para</w:t>
      </w:r>
      <w:proofErr w:type="spellEnd"/>
      <w:r>
        <w:rPr>
          <w:lang w:val="en-US"/>
        </w:rPr>
        <w:t xml:space="preserve"> 139. Available at </w:t>
      </w:r>
      <w:hyperlink r:id="rId1" w:history="1">
        <w:r w:rsidRPr="00330DF2">
          <w:rPr>
            <w:rStyle w:val="Hyperlink"/>
            <w:lang w:val="en-US"/>
          </w:rPr>
          <w:t>http://www.britishcouncil.org/hefce_bc_report2010.pdf</w:t>
        </w:r>
      </w:hyperlink>
      <w:r>
        <w:rPr>
          <w:lang w:val="en-US"/>
        </w:rPr>
        <w:t xml:space="preserve"> Accessed 28/10/12</w:t>
      </w:r>
    </w:p>
  </w:footnote>
  <w:footnote w:id="3">
    <w:p w14:paraId="273D90CB" w14:textId="77777777" w:rsidR="00A633AD" w:rsidRPr="00A7555B" w:rsidRDefault="00A633AD">
      <w:pPr>
        <w:pStyle w:val="FootnoteText"/>
        <w:rPr>
          <w:lang w:val="en-US"/>
        </w:rPr>
      </w:pPr>
      <w:r>
        <w:rPr>
          <w:rStyle w:val="FootnoteReference"/>
        </w:rPr>
        <w:footnoteRef/>
      </w:r>
      <w:r>
        <w:t xml:space="preserve"> </w:t>
      </w:r>
      <w:proofErr w:type="gramStart"/>
      <w:r>
        <w:rPr>
          <w:lang w:val="en-US"/>
        </w:rPr>
        <w:t>House of Lords, European Union Committee.</w:t>
      </w:r>
      <w:proofErr w:type="gramEnd"/>
      <w:r>
        <w:rPr>
          <w:lang w:val="en-US"/>
        </w:rPr>
        <w:t xml:space="preserve"> </w:t>
      </w:r>
      <w:proofErr w:type="gramStart"/>
      <w:r>
        <w:rPr>
          <w:i/>
          <w:lang w:val="en-US"/>
        </w:rPr>
        <w:t xml:space="preserve">The </w:t>
      </w:r>
      <w:proofErr w:type="spellStart"/>
      <w:r>
        <w:rPr>
          <w:i/>
          <w:lang w:val="en-US"/>
        </w:rPr>
        <w:t>Modernisation</w:t>
      </w:r>
      <w:proofErr w:type="spellEnd"/>
      <w:r>
        <w:rPr>
          <w:i/>
          <w:lang w:val="en-US"/>
        </w:rPr>
        <w:t xml:space="preserve"> of Higher Education in Europe.</w:t>
      </w:r>
      <w:proofErr w:type="gramEnd"/>
      <w:r>
        <w:rPr>
          <w:i/>
          <w:lang w:val="en-US"/>
        </w:rPr>
        <w:t xml:space="preserve"> </w:t>
      </w:r>
      <w:r>
        <w:rPr>
          <w:lang w:val="en-US"/>
        </w:rPr>
        <w:t xml:space="preserve">HL Paper 275, 22 March 2012: </w:t>
      </w:r>
      <w:proofErr w:type="spellStart"/>
      <w:r>
        <w:rPr>
          <w:lang w:val="en-US"/>
        </w:rPr>
        <w:t>para</w:t>
      </w:r>
      <w:proofErr w:type="spellEnd"/>
      <w:r>
        <w:rPr>
          <w:lang w:val="en-US"/>
        </w:rPr>
        <w:t xml:space="preserve"> 64. Available at  </w:t>
      </w:r>
      <w:hyperlink r:id="rId2" w:history="1">
        <w:r w:rsidRPr="00497595">
          <w:rPr>
            <w:rStyle w:val="Hyperlink"/>
            <w:lang w:val="en-US"/>
          </w:rPr>
          <w:t>http://www.publications.parliament.uk/pa/ld201012/ldselect/ldeucom/275/27502.htm</w:t>
        </w:r>
      </w:hyperlink>
      <w:r>
        <w:rPr>
          <w:lang w:val="en-US"/>
        </w:rPr>
        <w:t xml:space="preserve"> Accessed 20/10/12</w:t>
      </w:r>
      <w:r>
        <w:rPr>
          <w:i/>
          <w:lang w:val="en-US"/>
        </w:rPr>
        <w:t xml:space="preserve"> </w:t>
      </w:r>
      <w:r>
        <w:rPr>
          <w:lang w:val="en-US"/>
        </w:rPr>
        <w:t xml:space="preserve">  </w:t>
      </w:r>
    </w:p>
  </w:footnote>
  <w:footnote w:id="4">
    <w:p w14:paraId="389B05A8" w14:textId="6BC8A638" w:rsidR="00A633AD" w:rsidRPr="00626457" w:rsidRDefault="00A633AD">
      <w:pPr>
        <w:pStyle w:val="FootnoteText"/>
        <w:rPr>
          <w:lang w:val="en-US"/>
        </w:rPr>
      </w:pPr>
      <w:r>
        <w:rPr>
          <w:rStyle w:val="FootnoteReference"/>
        </w:rPr>
        <w:footnoteRef/>
      </w:r>
      <w:r>
        <w:t xml:space="preserve"> </w:t>
      </w:r>
      <w:r>
        <w:rPr>
          <w:lang w:val="en-US"/>
        </w:rPr>
        <w:t xml:space="preserve">Grove, J. Russell Group students dominate Erasmus scheme.  </w:t>
      </w:r>
      <w:r>
        <w:rPr>
          <w:i/>
          <w:lang w:val="en-US"/>
        </w:rPr>
        <w:t xml:space="preserve">Times Higher Education. </w:t>
      </w:r>
      <w:r>
        <w:rPr>
          <w:lang w:val="en-US"/>
        </w:rPr>
        <w:t>29/7/12</w:t>
      </w:r>
    </w:p>
  </w:footnote>
  <w:footnote w:id="5">
    <w:p w14:paraId="7FE88EB0" w14:textId="77777777" w:rsidR="00A633AD" w:rsidRPr="006079E8" w:rsidRDefault="00A633AD">
      <w:pPr>
        <w:pStyle w:val="FootnoteText"/>
        <w:rPr>
          <w:i/>
          <w:lang w:val="en-US"/>
        </w:rPr>
      </w:pPr>
      <w:r>
        <w:rPr>
          <w:rStyle w:val="FootnoteReference"/>
        </w:rPr>
        <w:footnoteRef/>
      </w:r>
      <w:r>
        <w:t xml:space="preserve"> </w:t>
      </w:r>
      <w:proofErr w:type="gramStart"/>
      <w:r>
        <w:rPr>
          <w:lang w:val="en-US"/>
        </w:rPr>
        <w:t>International Centre for Higher Education Research, University of Kassel.</w:t>
      </w:r>
      <w:proofErr w:type="gramEnd"/>
      <w:r>
        <w:rPr>
          <w:lang w:val="en-US"/>
        </w:rPr>
        <w:t xml:space="preserve"> </w:t>
      </w:r>
      <w:r>
        <w:rPr>
          <w:i/>
          <w:lang w:val="en-US"/>
        </w:rPr>
        <w:t xml:space="preserve">The Professional Value of ERASMUS Mobility, </w:t>
      </w:r>
      <w:r>
        <w:rPr>
          <w:lang w:val="en-US"/>
        </w:rPr>
        <w:t>Final Report, 2006</w:t>
      </w:r>
      <w:r>
        <w:rPr>
          <w:i/>
          <w:lang w:val="en-US"/>
        </w:rPr>
        <w:t xml:space="preserve"> </w:t>
      </w:r>
    </w:p>
  </w:footnote>
  <w:footnote w:id="6">
    <w:p w14:paraId="17B6F911" w14:textId="380284D1" w:rsidR="00A633AD" w:rsidRPr="00D1442E" w:rsidRDefault="00A633AD">
      <w:pPr>
        <w:pStyle w:val="FootnoteText"/>
        <w:rPr>
          <w:lang w:val="en-US"/>
        </w:rPr>
      </w:pPr>
      <w:r>
        <w:rPr>
          <w:rStyle w:val="FootnoteReference"/>
        </w:rPr>
        <w:footnoteRef/>
      </w:r>
      <w:r>
        <w:t xml:space="preserve"> </w:t>
      </w:r>
      <w:proofErr w:type="spellStart"/>
      <w:r>
        <w:rPr>
          <w:lang w:val="en-US"/>
        </w:rPr>
        <w:t>Beswick</w:t>
      </w:r>
      <w:proofErr w:type="spellEnd"/>
      <w:r>
        <w:rPr>
          <w:lang w:val="en-US"/>
        </w:rPr>
        <w:t xml:space="preserve">, S quoted by Grove, n4 </w:t>
      </w:r>
      <w:r w:rsidRPr="006521BA">
        <w:rPr>
          <w:i/>
          <w:lang w:val="en-US"/>
        </w:rPr>
        <w:t>supra</w:t>
      </w:r>
    </w:p>
  </w:footnote>
  <w:footnote w:id="7">
    <w:p w14:paraId="617DAFDB" w14:textId="77777777" w:rsidR="00A633AD" w:rsidRPr="00776820" w:rsidRDefault="00A633AD">
      <w:pPr>
        <w:pStyle w:val="FootnoteText"/>
        <w:rPr>
          <w:lang w:val="en-US"/>
        </w:rPr>
      </w:pPr>
      <w:r>
        <w:rPr>
          <w:rStyle w:val="FootnoteReference"/>
        </w:rPr>
        <w:footnoteRef/>
      </w:r>
      <w:r>
        <w:t xml:space="preserve"> </w:t>
      </w:r>
      <w:r>
        <w:rPr>
          <w:lang w:val="en-US"/>
        </w:rPr>
        <w:t xml:space="preserve">Docherty, D. ‘Universities need to work harder to turn UK students into global graduates’.  </w:t>
      </w:r>
      <w:r>
        <w:rPr>
          <w:i/>
          <w:lang w:val="en-US"/>
        </w:rPr>
        <w:t xml:space="preserve">Guardian, </w:t>
      </w:r>
      <w:r>
        <w:rPr>
          <w:lang w:val="en-US"/>
        </w:rPr>
        <w:t>29/11/11</w:t>
      </w:r>
    </w:p>
  </w:footnote>
  <w:footnote w:id="8">
    <w:p w14:paraId="2DD0449E" w14:textId="77777777" w:rsidR="00A633AD" w:rsidRPr="002128B2" w:rsidRDefault="00A633AD">
      <w:pPr>
        <w:pStyle w:val="FootnoteText"/>
        <w:rPr>
          <w:lang w:val="en-US"/>
        </w:rPr>
      </w:pPr>
      <w:r>
        <w:rPr>
          <w:rStyle w:val="FootnoteReference"/>
        </w:rPr>
        <w:footnoteRef/>
      </w:r>
      <w:r>
        <w:t xml:space="preserve"> </w:t>
      </w:r>
      <w:r>
        <w:rPr>
          <w:i/>
          <w:lang w:val="en-US"/>
        </w:rPr>
        <w:t xml:space="preserve">Supra </w:t>
      </w:r>
      <w:r>
        <w:rPr>
          <w:lang w:val="en-US"/>
        </w:rPr>
        <w:t xml:space="preserve">n3, </w:t>
      </w:r>
      <w:proofErr w:type="spellStart"/>
      <w:r>
        <w:rPr>
          <w:lang w:val="en-US"/>
        </w:rPr>
        <w:t>para</w:t>
      </w:r>
      <w:proofErr w:type="spellEnd"/>
      <w:r>
        <w:rPr>
          <w:lang w:val="en-US"/>
        </w:rPr>
        <w:t xml:space="preserve"> 75</w:t>
      </w:r>
    </w:p>
  </w:footnote>
  <w:footnote w:id="9">
    <w:p w14:paraId="55414F7C" w14:textId="3987C439" w:rsidR="00A633AD" w:rsidRPr="00846981" w:rsidRDefault="00A633AD">
      <w:pPr>
        <w:pStyle w:val="FootnoteText"/>
        <w:rPr>
          <w:lang w:val="en-US"/>
        </w:rPr>
      </w:pPr>
      <w:r>
        <w:rPr>
          <w:rStyle w:val="FootnoteReference"/>
        </w:rPr>
        <w:footnoteRef/>
      </w:r>
      <w:r>
        <w:t xml:space="preserve"> </w:t>
      </w:r>
      <w:r>
        <w:rPr>
          <w:i/>
          <w:lang w:val="en-US"/>
        </w:rPr>
        <w:t xml:space="preserve">Ibid. </w:t>
      </w:r>
      <w:proofErr w:type="spellStart"/>
      <w:proofErr w:type="gramStart"/>
      <w:r>
        <w:rPr>
          <w:lang w:val="en-US"/>
        </w:rPr>
        <w:t>paras</w:t>
      </w:r>
      <w:proofErr w:type="spellEnd"/>
      <w:proofErr w:type="gramEnd"/>
      <w:r>
        <w:rPr>
          <w:lang w:val="en-US"/>
        </w:rPr>
        <w:t xml:space="preserve"> 92-4</w:t>
      </w:r>
    </w:p>
  </w:footnote>
  <w:footnote w:id="10">
    <w:p w14:paraId="29E535FF" w14:textId="77777777" w:rsidR="00A633AD" w:rsidRDefault="00A633AD">
      <w:pPr>
        <w:pStyle w:val="FootnoteText"/>
      </w:pPr>
      <w:r>
        <w:rPr>
          <w:rStyle w:val="FootnoteReference"/>
        </w:rPr>
        <w:footnoteRef/>
      </w:r>
      <w:r>
        <w:t xml:space="preserve"> </w:t>
      </w:r>
      <w:hyperlink r:id="rId3" w:history="1">
        <w:r w:rsidRPr="007C3310">
          <w:rPr>
            <w:rStyle w:val="Hyperlink"/>
          </w:rPr>
          <w:t>http://ec.europa.eu/education/lifelong-learning-policy/doc30_en.htm</w:t>
        </w:r>
      </w:hyperlink>
      <w:r>
        <w:t xml:space="preserve"> accessed 25 October 2012</w:t>
      </w:r>
    </w:p>
  </w:footnote>
  <w:footnote w:id="11">
    <w:p w14:paraId="59552DE2" w14:textId="77777777" w:rsidR="00A633AD" w:rsidRPr="00185CCE" w:rsidRDefault="00A633AD">
      <w:pPr>
        <w:pStyle w:val="FootnoteText"/>
        <w:rPr>
          <w:i/>
        </w:rPr>
      </w:pPr>
      <w:r>
        <w:rPr>
          <w:rStyle w:val="FootnoteReference"/>
        </w:rPr>
        <w:footnoteRef/>
      </w:r>
      <w:r>
        <w:t xml:space="preserve"> </w:t>
      </w:r>
      <w:r>
        <w:rPr>
          <w:i/>
        </w:rPr>
        <w:t>Ibid.</w:t>
      </w:r>
    </w:p>
  </w:footnote>
  <w:footnote w:id="12">
    <w:p w14:paraId="33CE246C" w14:textId="77777777" w:rsidR="00A633AD" w:rsidRPr="00AD5AAB" w:rsidRDefault="00A633AD">
      <w:pPr>
        <w:pStyle w:val="FootnoteText"/>
      </w:pPr>
      <w:r>
        <w:rPr>
          <w:rStyle w:val="FootnoteReference"/>
        </w:rPr>
        <w:footnoteRef/>
      </w:r>
      <w:r>
        <w:t xml:space="preserve"> </w:t>
      </w:r>
      <w:proofErr w:type="spellStart"/>
      <w:r>
        <w:rPr>
          <w:i/>
        </w:rPr>
        <w:t>Gravier</w:t>
      </w:r>
      <w:proofErr w:type="spellEnd"/>
      <w:r>
        <w:rPr>
          <w:i/>
        </w:rPr>
        <w:t xml:space="preserve"> v City of Liege </w:t>
      </w:r>
      <w:r>
        <w:t>Case 293/83, [1985] ECR I-593</w:t>
      </w:r>
    </w:p>
  </w:footnote>
  <w:footnote w:id="13">
    <w:p w14:paraId="06581D9A" w14:textId="77777777" w:rsidR="00A633AD" w:rsidRPr="00AD5AAB" w:rsidRDefault="00A633AD">
      <w:pPr>
        <w:pStyle w:val="FootnoteText"/>
      </w:pPr>
      <w:r>
        <w:rPr>
          <w:rStyle w:val="FootnoteReference"/>
        </w:rPr>
        <w:footnoteRef/>
      </w:r>
      <w:r>
        <w:t xml:space="preserve"> </w:t>
      </w:r>
      <w:proofErr w:type="spellStart"/>
      <w:r>
        <w:rPr>
          <w:i/>
        </w:rPr>
        <w:t>Blaizot</w:t>
      </w:r>
      <w:proofErr w:type="spellEnd"/>
      <w:r>
        <w:rPr>
          <w:i/>
        </w:rPr>
        <w:t xml:space="preserve"> v University of Liege and Others </w:t>
      </w:r>
      <w:r>
        <w:t>Case 24/86, [1988] ECR 379</w:t>
      </w:r>
    </w:p>
  </w:footnote>
  <w:footnote w:id="14">
    <w:p w14:paraId="7D7452AA" w14:textId="77777777" w:rsidR="00A633AD" w:rsidRDefault="00A633AD">
      <w:pPr>
        <w:pStyle w:val="FootnoteText"/>
      </w:pPr>
      <w:r>
        <w:rPr>
          <w:rStyle w:val="FootnoteReference"/>
        </w:rPr>
        <w:footnoteRef/>
      </w:r>
      <w:r>
        <w:t xml:space="preserve"> </w:t>
      </w:r>
      <w:hyperlink r:id="rId4" w:history="1">
        <w:r w:rsidRPr="007C3310">
          <w:rPr>
            <w:rStyle w:val="Hyperlink"/>
          </w:rPr>
          <w:t>http://ec.europa.eu/education/lifelong-learning-programme/doc80_en.htm</w:t>
        </w:r>
      </w:hyperlink>
      <w:r>
        <w:t xml:space="preserve"> accessed 25 June 2011</w:t>
      </w:r>
    </w:p>
  </w:footnote>
  <w:footnote w:id="15">
    <w:p w14:paraId="72944D06" w14:textId="77777777" w:rsidR="00A633AD" w:rsidRPr="00E34FCD" w:rsidRDefault="00A633AD" w:rsidP="00FC2090">
      <w:pPr>
        <w:pStyle w:val="FootnoteText"/>
      </w:pPr>
      <w:r>
        <w:rPr>
          <w:rStyle w:val="FootnoteReference"/>
        </w:rPr>
        <w:footnoteRef/>
      </w:r>
      <w:r>
        <w:t xml:space="preserve"> </w:t>
      </w:r>
      <w:proofErr w:type="spellStart"/>
      <w:r>
        <w:t>Teichler</w:t>
      </w:r>
      <w:proofErr w:type="spellEnd"/>
      <w:r>
        <w:t xml:space="preserve">, U. 2007. </w:t>
      </w:r>
      <w:proofErr w:type="gramStart"/>
      <w:r>
        <w:t>The Changing Role of Student Mobility.</w:t>
      </w:r>
      <w:proofErr w:type="gramEnd"/>
      <w:r>
        <w:t xml:space="preserve"> Available at: </w:t>
      </w:r>
      <w:hyperlink r:id="rId5" w:history="1">
        <w:r w:rsidRPr="00C13582">
          <w:rPr>
            <w:rStyle w:val="Hyperlink"/>
          </w:rPr>
          <w:t>http://portal.unesco.org/education/en/files/53904/11858759925Changing_role_student_mobility.pdf/Changing_role_student_mobility.pdf</w:t>
        </w:r>
      </w:hyperlink>
      <w:r>
        <w:t xml:space="preserve"> accessed 30 June 2011.  See also D Van </w:t>
      </w:r>
      <w:proofErr w:type="spellStart"/>
      <w:r>
        <w:t>Damme</w:t>
      </w:r>
      <w:proofErr w:type="spellEnd"/>
      <w:r>
        <w:t xml:space="preserve">. 2001. Quality issues in the internationalisation of higher education. </w:t>
      </w:r>
      <w:r>
        <w:rPr>
          <w:i/>
        </w:rPr>
        <w:t xml:space="preserve">Higher Education. </w:t>
      </w:r>
      <w:r>
        <w:t>41: 415-441 at 415</w:t>
      </w:r>
    </w:p>
  </w:footnote>
  <w:footnote w:id="16">
    <w:p w14:paraId="3E5BD664" w14:textId="5B77846D" w:rsidR="00A633AD" w:rsidRPr="004031DD" w:rsidRDefault="00A633AD">
      <w:pPr>
        <w:pStyle w:val="FootnoteText"/>
      </w:pPr>
      <w:r>
        <w:rPr>
          <w:rStyle w:val="FootnoteReference"/>
        </w:rPr>
        <w:footnoteRef/>
      </w:r>
      <w:r>
        <w:t xml:space="preserve"> </w:t>
      </w:r>
      <w:r>
        <w:rPr>
          <w:i/>
        </w:rPr>
        <w:t xml:space="preserve">Supra </w:t>
      </w:r>
      <w:r>
        <w:t>n10</w:t>
      </w:r>
    </w:p>
  </w:footnote>
  <w:footnote w:id="17">
    <w:p w14:paraId="643C93DE" w14:textId="77777777" w:rsidR="00A633AD" w:rsidRPr="002B161D" w:rsidRDefault="00A633AD" w:rsidP="00FC2090">
      <w:pPr>
        <w:pStyle w:val="FootnoteText"/>
      </w:pPr>
      <w:r>
        <w:rPr>
          <w:rStyle w:val="FootnoteReference"/>
        </w:rPr>
        <w:footnoteRef/>
      </w:r>
      <w:r>
        <w:t xml:space="preserve"> </w:t>
      </w:r>
      <w:proofErr w:type="gramStart"/>
      <w:r>
        <w:t>Loveland, E. 2008.</w:t>
      </w:r>
      <w:proofErr w:type="gramEnd"/>
      <w:r>
        <w:t xml:space="preserve"> Student Mobility in the European Union: An interview with Jan </w:t>
      </w:r>
      <w:proofErr w:type="spellStart"/>
      <w:r>
        <w:t>Figel</w:t>
      </w:r>
      <w:proofErr w:type="spellEnd"/>
      <w:r>
        <w:t xml:space="preserve">, European commissioner for education, training, culture and youth. </w:t>
      </w:r>
      <w:r>
        <w:rPr>
          <w:i/>
        </w:rPr>
        <w:t>International Educator.</w:t>
      </w:r>
      <w:r>
        <w:t xml:space="preserve"> Nov/Dec 2008: 22-25 at 22</w:t>
      </w:r>
      <w:r>
        <w:rPr>
          <w:i/>
        </w:rPr>
        <w:t xml:space="preserve"> </w:t>
      </w:r>
    </w:p>
  </w:footnote>
  <w:footnote w:id="18">
    <w:p w14:paraId="030187D0" w14:textId="3F641F8F" w:rsidR="00A633AD" w:rsidRPr="004E2638" w:rsidRDefault="00A633AD" w:rsidP="004E2638">
      <w:pPr>
        <w:widowControl w:val="0"/>
        <w:autoSpaceDE w:val="0"/>
        <w:autoSpaceDN w:val="0"/>
        <w:adjustRightInd w:val="0"/>
        <w:spacing w:after="0" w:line="240" w:lineRule="auto"/>
        <w:rPr>
          <w:rFonts w:cs="Arial"/>
          <w:sz w:val="20"/>
          <w:szCs w:val="20"/>
          <w:lang w:val="en-US"/>
        </w:rPr>
      </w:pPr>
      <w:r>
        <w:rPr>
          <w:rStyle w:val="FootnoteReference"/>
        </w:rPr>
        <w:footnoteRef/>
      </w:r>
      <w:r>
        <w:t xml:space="preserve"> </w:t>
      </w:r>
      <w:proofErr w:type="spellStart"/>
      <w:proofErr w:type="gramStart"/>
      <w:r w:rsidRPr="00E90EAA">
        <w:rPr>
          <w:rFonts w:cs="Arial"/>
          <w:sz w:val="20"/>
          <w:szCs w:val="20"/>
          <w:lang w:val="en-US"/>
        </w:rPr>
        <w:t>Huisman</w:t>
      </w:r>
      <w:proofErr w:type="spellEnd"/>
      <w:r w:rsidRPr="00E90EAA">
        <w:rPr>
          <w:rFonts w:cs="Arial"/>
          <w:sz w:val="20"/>
          <w:szCs w:val="20"/>
          <w:lang w:val="en-US"/>
        </w:rPr>
        <w:t>,</w:t>
      </w:r>
      <w:r>
        <w:rPr>
          <w:rFonts w:cs="Arial"/>
          <w:sz w:val="20"/>
          <w:szCs w:val="20"/>
          <w:lang w:val="en-US"/>
        </w:rPr>
        <w:t xml:space="preserve"> J, </w:t>
      </w:r>
      <w:proofErr w:type="spellStart"/>
      <w:r w:rsidRPr="00E90EAA">
        <w:rPr>
          <w:rFonts w:cs="Arial"/>
          <w:sz w:val="20"/>
          <w:szCs w:val="20"/>
          <w:lang w:val="en-US"/>
        </w:rPr>
        <w:t>Luijten-Lub</w:t>
      </w:r>
      <w:proofErr w:type="spellEnd"/>
      <w:r w:rsidRPr="00E90EAA">
        <w:rPr>
          <w:rFonts w:cs="Arial"/>
          <w:sz w:val="20"/>
          <w:szCs w:val="20"/>
          <w:lang w:val="en-US"/>
        </w:rPr>
        <w:t>,</w:t>
      </w:r>
      <w:r>
        <w:rPr>
          <w:rFonts w:cs="Arial"/>
          <w:sz w:val="20"/>
          <w:szCs w:val="20"/>
          <w:lang w:val="en-US"/>
        </w:rPr>
        <w:t xml:space="preserve"> A and </w:t>
      </w:r>
      <w:r w:rsidRPr="00E90EAA">
        <w:rPr>
          <w:rFonts w:cs="Arial"/>
          <w:sz w:val="20"/>
          <w:szCs w:val="20"/>
          <w:lang w:val="en-US"/>
        </w:rPr>
        <w:t xml:space="preserve">van der </w:t>
      </w:r>
      <w:proofErr w:type="spellStart"/>
      <w:r w:rsidRPr="00E90EAA">
        <w:rPr>
          <w:rFonts w:cs="Arial"/>
          <w:sz w:val="20"/>
          <w:szCs w:val="20"/>
          <w:lang w:val="en-US"/>
        </w:rPr>
        <w:t>Wende</w:t>
      </w:r>
      <w:proofErr w:type="spellEnd"/>
      <w:r>
        <w:rPr>
          <w:rFonts w:cs="Arial"/>
          <w:sz w:val="20"/>
          <w:szCs w:val="20"/>
          <w:lang w:val="en-US"/>
        </w:rPr>
        <w:t>, M. 2005.</w:t>
      </w:r>
      <w:proofErr w:type="gramEnd"/>
      <w:r w:rsidRPr="00E90EAA">
        <w:rPr>
          <w:rFonts w:cs="Arial"/>
          <w:sz w:val="20"/>
          <w:szCs w:val="20"/>
          <w:lang w:val="en-US"/>
        </w:rPr>
        <w:t xml:space="preserve"> Explaining Domestic Responses to European Policies: The Impact of the Erasmus </w:t>
      </w:r>
      <w:proofErr w:type="spellStart"/>
      <w:r w:rsidRPr="00E90EAA">
        <w:rPr>
          <w:rFonts w:cs="Arial"/>
          <w:sz w:val="20"/>
          <w:szCs w:val="20"/>
          <w:lang w:val="en-US"/>
        </w:rPr>
        <w:t>Programme</w:t>
      </w:r>
      <w:proofErr w:type="spellEnd"/>
      <w:r w:rsidRPr="00E90EAA">
        <w:rPr>
          <w:rFonts w:cs="Arial"/>
          <w:sz w:val="20"/>
          <w:szCs w:val="20"/>
          <w:lang w:val="en-US"/>
        </w:rPr>
        <w:t xml:space="preserve"> on National Higher</w:t>
      </w:r>
      <w:r>
        <w:rPr>
          <w:rFonts w:cs="Arial"/>
          <w:sz w:val="20"/>
          <w:szCs w:val="20"/>
          <w:lang w:val="en-US"/>
        </w:rPr>
        <w:t xml:space="preserve"> Education Policies, in </w:t>
      </w:r>
      <w:r w:rsidRPr="00E90EAA">
        <w:rPr>
          <w:rFonts w:cs="Arial"/>
          <w:sz w:val="20"/>
          <w:szCs w:val="20"/>
          <w:lang w:val="en-US"/>
        </w:rPr>
        <w:t>Tight</w:t>
      </w:r>
      <w:r>
        <w:rPr>
          <w:rFonts w:cs="Arial"/>
          <w:sz w:val="20"/>
          <w:szCs w:val="20"/>
          <w:lang w:val="en-US"/>
        </w:rPr>
        <w:t>, M</w:t>
      </w:r>
      <w:r w:rsidRPr="00E90EAA">
        <w:rPr>
          <w:rFonts w:cs="Arial"/>
          <w:sz w:val="20"/>
          <w:szCs w:val="20"/>
          <w:lang w:val="en-US"/>
        </w:rPr>
        <w:t xml:space="preserve"> (ed.) </w:t>
      </w:r>
      <w:r w:rsidRPr="00E90EAA">
        <w:rPr>
          <w:rFonts w:cs="Arial"/>
          <w:i/>
          <w:iCs/>
          <w:sz w:val="20"/>
          <w:szCs w:val="20"/>
          <w:lang w:val="en-US"/>
        </w:rPr>
        <w:t>International Relations (International Perspectives on Higher Education Research, Volume 3)</w:t>
      </w:r>
      <w:r w:rsidRPr="00E90EAA">
        <w:rPr>
          <w:rFonts w:cs="Arial"/>
          <w:sz w:val="20"/>
          <w:szCs w:val="20"/>
          <w:lang w:val="en-US"/>
        </w:rPr>
        <w:t>, Emerald G</w:t>
      </w:r>
      <w:r>
        <w:rPr>
          <w:rFonts w:cs="Arial"/>
          <w:sz w:val="20"/>
          <w:szCs w:val="20"/>
          <w:lang w:val="en-US"/>
        </w:rPr>
        <w:t>roup Publishing Limited</w:t>
      </w:r>
    </w:p>
  </w:footnote>
  <w:footnote w:id="19">
    <w:p w14:paraId="6CC3FA12" w14:textId="70B23D3B" w:rsidR="00A633AD" w:rsidRPr="00B32259" w:rsidRDefault="00A633AD">
      <w:pPr>
        <w:pStyle w:val="FootnoteText"/>
        <w:rPr>
          <w:lang w:val="en-US"/>
        </w:rPr>
      </w:pPr>
      <w:r>
        <w:rPr>
          <w:rStyle w:val="FootnoteReference"/>
        </w:rPr>
        <w:footnoteRef/>
      </w:r>
      <w:r>
        <w:t xml:space="preserve"> </w:t>
      </w:r>
      <w:proofErr w:type="spellStart"/>
      <w:r>
        <w:rPr>
          <w:lang w:val="en-US"/>
        </w:rPr>
        <w:t>Teichler</w:t>
      </w:r>
      <w:proofErr w:type="spellEnd"/>
      <w:r>
        <w:rPr>
          <w:lang w:val="en-US"/>
        </w:rPr>
        <w:t xml:space="preserve">, U. 2005. </w:t>
      </w:r>
      <w:proofErr w:type="gramStart"/>
      <w:r>
        <w:rPr>
          <w:lang w:val="en-US"/>
        </w:rPr>
        <w:t>The changing debate on internationalization of higher education.</w:t>
      </w:r>
      <w:proofErr w:type="gramEnd"/>
      <w:r>
        <w:rPr>
          <w:lang w:val="en-US"/>
        </w:rPr>
        <w:t xml:space="preserve"> </w:t>
      </w:r>
      <w:r>
        <w:rPr>
          <w:i/>
          <w:lang w:val="en-US"/>
        </w:rPr>
        <w:t xml:space="preserve">Higher Education. </w:t>
      </w:r>
      <w:r>
        <w:rPr>
          <w:lang w:val="en-US"/>
        </w:rPr>
        <w:t>48: 5-26 at 22</w:t>
      </w:r>
    </w:p>
  </w:footnote>
  <w:footnote w:id="20">
    <w:p w14:paraId="355D77A2" w14:textId="00E3E404" w:rsidR="00A633AD" w:rsidRPr="00F122CB" w:rsidRDefault="00A633AD" w:rsidP="00FE6FFA">
      <w:pPr>
        <w:pStyle w:val="FootnoteText"/>
      </w:pPr>
      <w:r>
        <w:rPr>
          <w:rStyle w:val="FootnoteReference"/>
        </w:rPr>
        <w:footnoteRef/>
      </w:r>
      <w:r>
        <w:t xml:space="preserve"> </w:t>
      </w:r>
      <w:proofErr w:type="spellStart"/>
      <w:r>
        <w:t>Teichler</w:t>
      </w:r>
      <w:proofErr w:type="spellEnd"/>
      <w:r>
        <w:t xml:space="preserve">, U. 2001. </w:t>
      </w:r>
      <w:proofErr w:type="gramStart"/>
      <w:r>
        <w:t>Changes of ERASMUS under the umbrella of SOCRATES.</w:t>
      </w:r>
      <w:proofErr w:type="gramEnd"/>
      <w:r>
        <w:t xml:space="preserve"> </w:t>
      </w:r>
      <w:proofErr w:type="gramStart"/>
      <w:r>
        <w:rPr>
          <w:i/>
        </w:rPr>
        <w:t>Journal of Studies in International Education.</w:t>
      </w:r>
      <w:proofErr w:type="gramEnd"/>
      <w:r>
        <w:rPr>
          <w:i/>
        </w:rPr>
        <w:t xml:space="preserve"> </w:t>
      </w:r>
      <w:r>
        <w:t>5: 201-227 at 210</w:t>
      </w:r>
    </w:p>
  </w:footnote>
  <w:footnote w:id="21">
    <w:p w14:paraId="5DC34C67" w14:textId="77777777" w:rsidR="00A633AD" w:rsidRDefault="00A633AD">
      <w:pPr>
        <w:pStyle w:val="FootnoteText"/>
      </w:pPr>
      <w:r>
        <w:rPr>
          <w:rStyle w:val="FootnoteReference"/>
        </w:rPr>
        <w:footnoteRef/>
      </w:r>
      <w:r>
        <w:t xml:space="preserve"> </w:t>
      </w:r>
      <w:hyperlink r:id="rId6" w:history="1">
        <w:r w:rsidRPr="008F3D41">
          <w:rPr>
            <w:rStyle w:val="Hyperlink"/>
          </w:rPr>
          <w:t>http://ec.europa.eu/education/erasmus/doc900_en.htm</w:t>
        </w:r>
      </w:hyperlink>
      <w:r>
        <w:t xml:space="preserve"> accessed 27 June 2011</w:t>
      </w:r>
    </w:p>
  </w:footnote>
  <w:footnote w:id="22">
    <w:p w14:paraId="2857015B" w14:textId="77777777" w:rsidR="00A633AD" w:rsidRPr="004C6A20" w:rsidRDefault="00A633AD" w:rsidP="00837A04">
      <w:pPr>
        <w:pStyle w:val="FootnoteText"/>
      </w:pPr>
      <w:r>
        <w:rPr>
          <w:rStyle w:val="FootnoteReference"/>
        </w:rPr>
        <w:footnoteRef/>
      </w:r>
      <w:r>
        <w:t xml:space="preserve"> </w:t>
      </w:r>
      <w:r>
        <w:rPr>
          <w:i/>
        </w:rPr>
        <w:t>Ibid.</w:t>
      </w:r>
    </w:p>
  </w:footnote>
  <w:footnote w:id="23">
    <w:p w14:paraId="2CDBD627" w14:textId="77777777" w:rsidR="00A633AD" w:rsidRPr="008023B1" w:rsidRDefault="00A633AD">
      <w:pPr>
        <w:pStyle w:val="FootnoteText"/>
        <w:rPr>
          <w:lang w:val="en-US"/>
        </w:rPr>
      </w:pPr>
      <w:r>
        <w:rPr>
          <w:rStyle w:val="FootnoteReference"/>
        </w:rPr>
        <w:footnoteRef/>
      </w:r>
      <w:r>
        <w:t xml:space="preserve"> </w:t>
      </w:r>
      <w:r>
        <w:rPr>
          <w:lang w:val="en-US"/>
        </w:rPr>
        <w:t xml:space="preserve">Clough, N, </w:t>
      </w:r>
      <w:proofErr w:type="spellStart"/>
      <w:r>
        <w:rPr>
          <w:lang w:val="en-US"/>
        </w:rPr>
        <w:t>Tarr</w:t>
      </w:r>
      <w:proofErr w:type="spellEnd"/>
      <w:r>
        <w:rPr>
          <w:lang w:val="en-US"/>
        </w:rPr>
        <w:t xml:space="preserve">, J, </w:t>
      </w:r>
      <w:proofErr w:type="spellStart"/>
      <w:r>
        <w:rPr>
          <w:lang w:val="en-US"/>
        </w:rPr>
        <w:t>Macedo</w:t>
      </w:r>
      <w:proofErr w:type="spellEnd"/>
      <w:r>
        <w:rPr>
          <w:lang w:val="en-US"/>
        </w:rPr>
        <w:t xml:space="preserve">, E and </w:t>
      </w:r>
      <w:proofErr w:type="spellStart"/>
      <w:r>
        <w:rPr>
          <w:lang w:val="en-US"/>
        </w:rPr>
        <w:t>Cortesao</w:t>
      </w:r>
      <w:proofErr w:type="spellEnd"/>
      <w:r>
        <w:rPr>
          <w:lang w:val="en-US"/>
        </w:rPr>
        <w:t xml:space="preserve">, L. 2010. Testing the impact of innovative pedagogies for Higher Education.  Paper presented at the European Conference on Educational Research, Helsinki, </w:t>
      </w:r>
      <w:proofErr w:type="gramStart"/>
      <w:r>
        <w:rPr>
          <w:lang w:val="en-US"/>
        </w:rPr>
        <w:t>August</w:t>
      </w:r>
      <w:proofErr w:type="gramEnd"/>
      <w:r>
        <w:rPr>
          <w:lang w:val="en-US"/>
        </w:rPr>
        <w:t xml:space="preserve"> 2010.  Available at </w:t>
      </w:r>
      <w:hyperlink r:id="rId7" w:history="1">
        <w:r w:rsidRPr="00497595">
          <w:rPr>
            <w:rStyle w:val="Hyperlink"/>
            <w:lang w:val="en-US"/>
          </w:rPr>
          <w:t>http://eprints.uwe.ac.uk/12926/2/Clough2010Testingtheimpact.pdf</w:t>
        </w:r>
      </w:hyperlink>
      <w:r>
        <w:rPr>
          <w:lang w:val="en-US"/>
        </w:rPr>
        <w:t xml:space="preserve"> Accessed 25/10/12</w:t>
      </w:r>
    </w:p>
  </w:footnote>
  <w:footnote w:id="24">
    <w:p w14:paraId="08B364B2" w14:textId="5355FF17" w:rsidR="00A633AD" w:rsidRPr="00D4638E" w:rsidRDefault="00A633AD">
      <w:pPr>
        <w:pStyle w:val="FootnoteText"/>
      </w:pPr>
      <w:r>
        <w:rPr>
          <w:rStyle w:val="FootnoteReference"/>
        </w:rPr>
        <w:footnoteRef/>
      </w:r>
      <w:r>
        <w:t xml:space="preserve"> </w:t>
      </w:r>
      <w:r>
        <w:rPr>
          <w:i/>
        </w:rPr>
        <w:t xml:space="preserve">Supra </w:t>
      </w:r>
      <w:r>
        <w:t>n10</w:t>
      </w:r>
    </w:p>
  </w:footnote>
  <w:footnote w:id="25">
    <w:p w14:paraId="652AC1ED" w14:textId="6D5463B6" w:rsidR="00A633AD" w:rsidRPr="00B41D94" w:rsidRDefault="00A633AD">
      <w:pPr>
        <w:pStyle w:val="FootnoteText"/>
        <w:rPr>
          <w:lang w:val="en-US"/>
        </w:rPr>
      </w:pPr>
      <w:r>
        <w:rPr>
          <w:rStyle w:val="FootnoteReference"/>
        </w:rPr>
        <w:footnoteRef/>
      </w:r>
      <w:r>
        <w:t xml:space="preserve"> </w:t>
      </w:r>
      <w:r>
        <w:rPr>
          <w:lang w:val="en-US"/>
        </w:rPr>
        <w:t>Participants in the IP under discussion in this paper have commented to this effect. Evaluations and supporting documentation are with the author.  See also footnote 32 below.</w:t>
      </w:r>
    </w:p>
  </w:footnote>
  <w:footnote w:id="26">
    <w:p w14:paraId="345E82F4" w14:textId="6479A8B1" w:rsidR="00A633AD" w:rsidRPr="00AF1F1E" w:rsidRDefault="00A633AD">
      <w:pPr>
        <w:pStyle w:val="FootnoteText"/>
      </w:pPr>
      <w:r>
        <w:rPr>
          <w:rStyle w:val="FootnoteReference"/>
        </w:rPr>
        <w:footnoteRef/>
      </w:r>
      <w:r>
        <w:t xml:space="preserve"> </w:t>
      </w:r>
      <w:r>
        <w:rPr>
          <w:i/>
        </w:rPr>
        <w:t xml:space="preserve">Supra </w:t>
      </w:r>
      <w:r>
        <w:t>n21</w:t>
      </w:r>
    </w:p>
  </w:footnote>
  <w:footnote w:id="27">
    <w:p w14:paraId="28D2AD06" w14:textId="10BBD1D2" w:rsidR="00A633AD" w:rsidRPr="00174761" w:rsidRDefault="00A633AD">
      <w:pPr>
        <w:pStyle w:val="FootnoteText"/>
      </w:pPr>
      <w:r>
        <w:rPr>
          <w:rStyle w:val="FootnoteReference"/>
        </w:rPr>
        <w:footnoteRef/>
      </w:r>
      <w:r>
        <w:t xml:space="preserve"> </w:t>
      </w:r>
      <w:r>
        <w:rPr>
          <w:i/>
        </w:rPr>
        <w:t xml:space="preserve">Supra </w:t>
      </w:r>
      <w:r>
        <w:t>n20</w:t>
      </w:r>
      <w:r w:rsidR="0082371A">
        <w:t xml:space="preserve"> at 217 and 222</w:t>
      </w:r>
    </w:p>
  </w:footnote>
  <w:footnote w:id="28">
    <w:p w14:paraId="3544859D" w14:textId="7B6D8162" w:rsidR="00A633AD" w:rsidRPr="00381EE6" w:rsidRDefault="00A633AD">
      <w:pPr>
        <w:pStyle w:val="FootnoteText"/>
        <w:rPr>
          <w:lang w:val="en-US"/>
        </w:rPr>
      </w:pPr>
      <w:r>
        <w:rPr>
          <w:rStyle w:val="FootnoteReference"/>
        </w:rPr>
        <w:footnoteRef/>
      </w:r>
      <w:r>
        <w:t xml:space="preserve"> </w:t>
      </w:r>
      <w:r>
        <w:rPr>
          <w:i/>
          <w:lang w:val="en-US"/>
        </w:rPr>
        <w:t xml:space="preserve">Supra </w:t>
      </w:r>
      <w:r w:rsidR="00197E9E">
        <w:rPr>
          <w:lang w:val="en-US"/>
        </w:rPr>
        <w:t>n15</w:t>
      </w:r>
      <w:r>
        <w:rPr>
          <w:lang w:val="en-US"/>
        </w:rPr>
        <w:t xml:space="preserve"> at p430</w:t>
      </w:r>
    </w:p>
  </w:footnote>
  <w:footnote w:id="29">
    <w:p w14:paraId="20C6A7FC" w14:textId="77777777" w:rsidR="00A633AD" w:rsidRPr="00357695" w:rsidRDefault="00A633AD" w:rsidP="00EA715F">
      <w:pPr>
        <w:pStyle w:val="FootnoteText"/>
      </w:pPr>
      <w:r>
        <w:rPr>
          <w:rStyle w:val="FootnoteReference"/>
        </w:rPr>
        <w:footnoteRef/>
      </w:r>
      <w:r>
        <w:t xml:space="preserve"> </w:t>
      </w:r>
      <w:proofErr w:type="spellStart"/>
      <w:r>
        <w:t>Stronkhurst</w:t>
      </w:r>
      <w:proofErr w:type="spellEnd"/>
      <w:r>
        <w:t xml:space="preserve">, R. 2005. Learning Outcomes of International Mobility at Two Dutch Institutions of Higher Education. </w:t>
      </w:r>
      <w:r>
        <w:rPr>
          <w:i/>
        </w:rPr>
        <w:t xml:space="preserve">Journal of Studies in International Education </w:t>
      </w:r>
      <w:r>
        <w:t>9:292-315 at 292</w:t>
      </w:r>
    </w:p>
  </w:footnote>
  <w:footnote w:id="30">
    <w:p w14:paraId="0027411F" w14:textId="77777777" w:rsidR="00A633AD" w:rsidRPr="00CF7E1F" w:rsidRDefault="00A633AD">
      <w:pPr>
        <w:pStyle w:val="FootnoteText"/>
        <w:rPr>
          <w:lang w:val="en-US"/>
        </w:rPr>
      </w:pPr>
      <w:r>
        <w:rPr>
          <w:rStyle w:val="FootnoteReference"/>
        </w:rPr>
        <w:footnoteRef/>
      </w:r>
      <w:r>
        <w:t xml:space="preserve"> </w:t>
      </w:r>
      <w:proofErr w:type="spellStart"/>
      <w:proofErr w:type="gramStart"/>
      <w:r>
        <w:rPr>
          <w:lang w:val="en-US"/>
        </w:rPr>
        <w:t>Seube</w:t>
      </w:r>
      <w:proofErr w:type="spellEnd"/>
      <w:r>
        <w:rPr>
          <w:lang w:val="en-US"/>
        </w:rPr>
        <w:t>, N and others.</w:t>
      </w:r>
      <w:proofErr w:type="gramEnd"/>
      <w:r>
        <w:rPr>
          <w:lang w:val="en-US"/>
        </w:rPr>
        <w:t xml:space="preserve"> 2012. The European Union Erasmus Intensive Program in Hydrography and </w:t>
      </w:r>
      <w:proofErr w:type="spellStart"/>
      <w:r>
        <w:rPr>
          <w:lang w:val="en-US"/>
        </w:rPr>
        <w:t>Geomatics</w:t>
      </w:r>
      <w:proofErr w:type="spellEnd"/>
      <w:r>
        <w:rPr>
          <w:lang w:val="en-US"/>
        </w:rPr>
        <w:t xml:space="preserve">: Survey training at the international level. </w:t>
      </w:r>
      <w:proofErr w:type="gramStart"/>
      <w:r>
        <w:rPr>
          <w:i/>
          <w:lang w:val="en-US"/>
        </w:rPr>
        <w:t>Canadian Hydrographic Conference, Proceedings.</w:t>
      </w:r>
      <w:proofErr w:type="gramEnd"/>
      <w:r>
        <w:rPr>
          <w:i/>
          <w:lang w:val="en-US"/>
        </w:rPr>
        <w:t xml:space="preserve"> </w:t>
      </w:r>
      <w:r>
        <w:rPr>
          <w:lang w:val="en-US"/>
        </w:rPr>
        <w:t xml:space="preserve">Available at </w:t>
      </w:r>
      <w:hyperlink r:id="rId8" w:history="1">
        <w:r w:rsidRPr="00497595">
          <w:rPr>
            <w:rStyle w:val="Hyperlink"/>
            <w:lang w:val="en-US"/>
          </w:rPr>
          <w:t>http://hdl.handle.net/1854/LU-2112335</w:t>
        </w:r>
      </w:hyperlink>
      <w:r>
        <w:rPr>
          <w:lang w:val="en-US"/>
        </w:rPr>
        <w:t xml:space="preserve"> Accessed 29/10/12</w:t>
      </w:r>
    </w:p>
  </w:footnote>
  <w:footnote w:id="31">
    <w:p w14:paraId="7CF9FC2E" w14:textId="77777777" w:rsidR="00A633AD" w:rsidRPr="00D841FA" w:rsidRDefault="00A633AD">
      <w:pPr>
        <w:pStyle w:val="FootnoteText"/>
        <w:rPr>
          <w:lang w:val="en-US"/>
        </w:rPr>
      </w:pPr>
      <w:r>
        <w:rPr>
          <w:rStyle w:val="FootnoteReference"/>
        </w:rPr>
        <w:footnoteRef/>
      </w:r>
      <w:r>
        <w:t xml:space="preserve"> </w:t>
      </w:r>
      <w:proofErr w:type="spellStart"/>
      <w:r>
        <w:rPr>
          <w:lang w:val="en-US"/>
        </w:rPr>
        <w:t>Civzele</w:t>
      </w:r>
      <w:proofErr w:type="spellEnd"/>
      <w:r>
        <w:rPr>
          <w:lang w:val="en-US"/>
        </w:rPr>
        <w:t xml:space="preserve">, O and </w:t>
      </w:r>
      <w:proofErr w:type="spellStart"/>
      <w:r>
        <w:rPr>
          <w:lang w:val="en-US"/>
        </w:rPr>
        <w:t>Turusheva</w:t>
      </w:r>
      <w:proofErr w:type="spellEnd"/>
      <w:r>
        <w:rPr>
          <w:lang w:val="en-US"/>
        </w:rPr>
        <w:t xml:space="preserve">, L. 2012. Intensive </w:t>
      </w:r>
      <w:proofErr w:type="spellStart"/>
      <w:r>
        <w:rPr>
          <w:lang w:val="en-US"/>
        </w:rPr>
        <w:t>Programmes</w:t>
      </w:r>
      <w:proofErr w:type="spellEnd"/>
      <w:r>
        <w:rPr>
          <w:lang w:val="en-US"/>
        </w:rPr>
        <w:t xml:space="preserve"> as a means of multinational collaboration and development of students’ skills.  INTED2012 proceedings, 1608-1615 Available at http://li</w:t>
      </w:r>
      <w:r w:rsidRPr="00D841FA">
        <w:rPr>
          <w:lang w:val="en-US"/>
        </w:rPr>
        <w:t>brary.iated.org/view/CIVZELE2012INT</w:t>
      </w:r>
      <w:r>
        <w:rPr>
          <w:lang w:val="en-US"/>
        </w:rPr>
        <w:t xml:space="preserve"> Accessed 25/10/12</w:t>
      </w:r>
    </w:p>
  </w:footnote>
  <w:footnote w:id="32">
    <w:p w14:paraId="1D4C5A37" w14:textId="77777777" w:rsidR="00A633AD" w:rsidRPr="00B511D0" w:rsidRDefault="00A633AD">
      <w:pPr>
        <w:pStyle w:val="FootnoteText"/>
        <w:rPr>
          <w:lang w:val="en-US"/>
        </w:rPr>
      </w:pPr>
      <w:r>
        <w:rPr>
          <w:rStyle w:val="FootnoteReference"/>
        </w:rPr>
        <w:footnoteRef/>
      </w:r>
      <w:r>
        <w:t xml:space="preserve"> </w:t>
      </w:r>
      <w:r>
        <w:rPr>
          <w:lang w:val="en-US"/>
        </w:rPr>
        <w:t>Written comments and evaluations from students participating in the IP are with the author.</w:t>
      </w:r>
    </w:p>
  </w:footnote>
  <w:footnote w:id="33">
    <w:p w14:paraId="152DA841" w14:textId="77777777" w:rsidR="00A633AD" w:rsidRPr="009F5BC2" w:rsidRDefault="00A633AD">
      <w:pPr>
        <w:pStyle w:val="FootnoteText"/>
        <w:rPr>
          <w:lang w:val="en-US"/>
        </w:rPr>
      </w:pPr>
      <w:r>
        <w:rPr>
          <w:rStyle w:val="FootnoteReference"/>
        </w:rPr>
        <w:footnoteRef/>
      </w:r>
      <w:r>
        <w:t xml:space="preserve"> </w:t>
      </w:r>
      <w:r>
        <w:rPr>
          <w:i/>
          <w:lang w:val="en-US"/>
        </w:rPr>
        <w:t xml:space="preserve">Supra, </w:t>
      </w:r>
      <w:r>
        <w:rPr>
          <w:lang w:val="en-US"/>
        </w:rPr>
        <w:t>n2 at paragraph 137</w:t>
      </w:r>
    </w:p>
  </w:footnote>
  <w:footnote w:id="34">
    <w:p w14:paraId="139C88E7" w14:textId="77777777" w:rsidR="00A633AD" w:rsidRPr="005D7033" w:rsidRDefault="00A633AD">
      <w:pPr>
        <w:pStyle w:val="FootnoteText"/>
        <w:rPr>
          <w:lang w:val="en-US"/>
        </w:rPr>
      </w:pPr>
      <w:r>
        <w:rPr>
          <w:rStyle w:val="FootnoteReference"/>
        </w:rPr>
        <w:footnoteRef/>
      </w:r>
      <w:r>
        <w:t xml:space="preserve"> </w:t>
      </w:r>
      <w:proofErr w:type="spellStart"/>
      <w:proofErr w:type="gramStart"/>
      <w:r>
        <w:rPr>
          <w:lang w:val="en-US"/>
        </w:rPr>
        <w:t>Bracht</w:t>
      </w:r>
      <w:proofErr w:type="spellEnd"/>
      <w:r>
        <w:rPr>
          <w:lang w:val="en-US"/>
        </w:rPr>
        <w:t xml:space="preserve">, O, Engel, C, </w:t>
      </w:r>
      <w:proofErr w:type="spellStart"/>
      <w:r>
        <w:rPr>
          <w:lang w:val="en-US"/>
        </w:rPr>
        <w:t>Janson</w:t>
      </w:r>
      <w:proofErr w:type="spellEnd"/>
      <w:r>
        <w:rPr>
          <w:lang w:val="en-US"/>
        </w:rPr>
        <w:t xml:space="preserve">, K, Over, A, </w:t>
      </w:r>
      <w:proofErr w:type="spellStart"/>
      <w:r>
        <w:rPr>
          <w:lang w:val="en-US"/>
        </w:rPr>
        <w:t>Schomburg</w:t>
      </w:r>
      <w:proofErr w:type="spellEnd"/>
      <w:r>
        <w:rPr>
          <w:lang w:val="en-US"/>
        </w:rPr>
        <w:t xml:space="preserve">, H and </w:t>
      </w:r>
      <w:proofErr w:type="spellStart"/>
      <w:r>
        <w:rPr>
          <w:lang w:val="en-US"/>
        </w:rPr>
        <w:t>Teichler</w:t>
      </w:r>
      <w:proofErr w:type="spellEnd"/>
      <w:r>
        <w:rPr>
          <w:lang w:val="en-US"/>
        </w:rPr>
        <w:t>, U.</w:t>
      </w:r>
      <w:proofErr w:type="gramEnd"/>
      <w:r>
        <w:rPr>
          <w:lang w:val="en-US"/>
        </w:rPr>
        <w:t xml:space="preserve"> </w:t>
      </w:r>
      <w:proofErr w:type="gramStart"/>
      <w:r>
        <w:rPr>
          <w:lang w:val="en-US"/>
        </w:rPr>
        <w:t>The Professional Value of ERASMUS mobility.</w:t>
      </w:r>
      <w:proofErr w:type="gramEnd"/>
      <w:r>
        <w:rPr>
          <w:lang w:val="en-US"/>
        </w:rPr>
        <w:t xml:space="preserve"> </w:t>
      </w:r>
      <w:proofErr w:type="gramStart"/>
      <w:r>
        <w:rPr>
          <w:lang w:val="en-US"/>
        </w:rPr>
        <w:t>International Centre for Higher Education Research, Kassel, Germany.</w:t>
      </w:r>
      <w:proofErr w:type="gramEnd"/>
      <w:r>
        <w:rPr>
          <w:lang w:val="en-US"/>
        </w:rPr>
        <w:t xml:space="preserve"> Nov 2006. Available from </w:t>
      </w:r>
      <w:r w:rsidRPr="005D7033">
        <w:t xml:space="preserve"> </w:t>
      </w:r>
      <w:r>
        <w:t xml:space="preserve"> </w:t>
      </w:r>
      <w:r w:rsidRPr="005D7033">
        <w:rPr>
          <w:lang w:val="en-US"/>
        </w:rPr>
        <w:t>http://ec.europa.eu/education/erasmus/doc/publ/evalcareer.pdf</w:t>
      </w:r>
      <w:r>
        <w:rPr>
          <w:lang w:val="en-US"/>
        </w:rPr>
        <w:t xml:space="preserve"> Accessed 25/10/12   </w:t>
      </w:r>
    </w:p>
  </w:footnote>
  <w:footnote w:id="35">
    <w:p w14:paraId="773CBDBD" w14:textId="77777777" w:rsidR="00A633AD" w:rsidRPr="00D20C0A" w:rsidRDefault="00A633AD">
      <w:pPr>
        <w:pStyle w:val="FootnoteText"/>
        <w:rPr>
          <w:lang w:val="en-US"/>
        </w:rPr>
      </w:pPr>
      <w:r>
        <w:rPr>
          <w:rStyle w:val="FootnoteReference"/>
        </w:rPr>
        <w:footnoteRef/>
      </w:r>
      <w:r>
        <w:t xml:space="preserve"> </w:t>
      </w:r>
      <w:proofErr w:type="spellStart"/>
      <w:r>
        <w:rPr>
          <w:lang w:val="en-US"/>
        </w:rPr>
        <w:t>Teichler</w:t>
      </w:r>
      <w:proofErr w:type="spellEnd"/>
      <w:r>
        <w:rPr>
          <w:lang w:val="en-US"/>
        </w:rPr>
        <w:t xml:space="preserve">, U and </w:t>
      </w:r>
      <w:proofErr w:type="spellStart"/>
      <w:r>
        <w:rPr>
          <w:lang w:val="en-US"/>
        </w:rPr>
        <w:t>Janson</w:t>
      </w:r>
      <w:proofErr w:type="spellEnd"/>
      <w:r>
        <w:rPr>
          <w:lang w:val="en-US"/>
        </w:rPr>
        <w:t xml:space="preserve">, K. 2007. The Professional Value of Temporary Study in Another European Country: Employment and Work of Former ERASMUS students. </w:t>
      </w:r>
      <w:proofErr w:type="gramStart"/>
      <w:r>
        <w:rPr>
          <w:i/>
          <w:lang w:val="en-US"/>
        </w:rPr>
        <w:t>Journal of Studies in International Education.</w:t>
      </w:r>
      <w:proofErr w:type="gramEnd"/>
      <w:r>
        <w:rPr>
          <w:i/>
          <w:lang w:val="en-US"/>
        </w:rPr>
        <w:t xml:space="preserve"> </w:t>
      </w:r>
      <w:r>
        <w:rPr>
          <w:lang w:val="en-US"/>
        </w:rPr>
        <w:t xml:space="preserve">11:486 at 492-3 </w:t>
      </w:r>
    </w:p>
  </w:footnote>
  <w:footnote w:id="36">
    <w:p w14:paraId="7047E1DC" w14:textId="77777777" w:rsidR="00A633AD" w:rsidRPr="001649C9" w:rsidRDefault="00A633AD">
      <w:pPr>
        <w:pStyle w:val="FootnoteText"/>
        <w:rPr>
          <w:lang w:val="en-US"/>
        </w:rPr>
      </w:pPr>
      <w:r>
        <w:rPr>
          <w:rStyle w:val="FootnoteReference"/>
        </w:rPr>
        <w:footnoteRef/>
      </w:r>
      <w:r>
        <w:t xml:space="preserve"> </w:t>
      </w:r>
      <w:proofErr w:type="spellStart"/>
      <w:proofErr w:type="gramStart"/>
      <w:r>
        <w:rPr>
          <w:lang w:val="en-US"/>
        </w:rPr>
        <w:t>Kammerer-Rutten</w:t>
      </w:r>
      <w:proofErr w:type="spellEnd"/>
      <w:r>
        <w:rPr>
          <w:lang w:val="en-US"/>
        </w:rPr>
        <w:t>, U and Schulze, U. 2011.</w:t>
      </w:r>
      <w:proofErr w:type="gramEnd"/>
      <w:r>
        <w:rPr>
          <w:lang w:val="en-US"/>
        </w:rPr>
        <w:t xml:space="preserve"> International education and the cross-cultural setting: Learning and teaching in international settings. In </w:t>
      </w:r>
      <w:proofErr w:type="spellStart"/>
      <w:r>
        <w:rPr>
          <w:lang w:val="en-US"/>
        </w:rPr>
        <w:t>Hatakka</w:t>
      </w:r>
      <w:proofErr w:type="spellEnd"/>
      <w:r>
        <w:rPr>
          <w:lang w:val="en-US"/>
        </w:rPr>
        <w:t>, H (</w:t>
      </w:r>
      <w:proofErr w:type="spellStart"/>
      <w:r>
        <w:rPr>
          <w:lang w:val="en-US"/>
        </w:rPr>
        <w:t>ed</w:t>
      </w:r>
      <w:proofErr w:type="spellEnd"/>
      <w:r>
        <w:rPr>
          <w:lang w:val="en-US"/>
        </w:rPr>
        <w:t xml:space="preserve">) </w:t>
      </w:r>
      <w:proofErr w:type="spellStart"/>
      <w:r>
        <w:rPr>
          <w:i/>
          <w:lang w:val="en-US"/>
        </w:rPr>
        <w:t>Interprofessional</w:t>
      </w:r>
      <w:proofErr w:type="spellEnd"/>
      <w:r>
        <w:rPr>
          <w:i/>
          <w:lang w:val="en-US"/>
        </w:rPr>
        <w:t xml:space="preserve"> and international learning experiences in social and health care higher education in Lahti University of Applied Sciences. </w:t>
      </w:r>
      <w:r>
        <w:rPr>
          <w:lang w:val="en-US"/>
        </w:rPr>
        <w:t xml:space="preserve">Lahti University of Applied Sciences, Finland, p58, quotation from p67. Available from </w:t>
      </w:r>
      <w:hyperlink r:id="rId9" w:anchor="page=56" w:history="1">
        <w:r w:rsidRPr="00047050">
          <w:rPr>
            <w:rStyle w:val="Hyperlink"/>
            <w:lang w:val="en-US"/>
          </w:rPr>
          <w:t>http://theseus17-kk.lib.helsinki.fi/bitstream/handle/10024/39980/Hatakka_Helena_Lamk_2011.pdf?sequence=1#page=56</w:t>
        </w:r>
      </w:hyperlink>
      <w:r>
        <w:rPr>
          <w:lang w:val="en-US"/>
        </w:rPr>
        <w:t xml:space="preserve"> Accessed 24/10/12</w:t>
      </w:r>
    </w:p>
  </w:footnote>
  <w:footnote w:id="37">
    <w:p w14:paraId="10B0ABD6" w14:textId="77777777" w:rsidR="00A633AD" w:rsidRPr="00064F7D" w:rsidRDefault="00A633AD">
      <w:pPr>
        <w:pStyle w:val="FootnoteText"/>
        <w:rPr>
          <w:lang w:val="en-US"/>
        </w:rPr>
      </w:pPr>
      <w:r>
        <w:rPr>
          <w:rStyle w:val="FootnoteReference"/>
        </w:rPr>
        <w:footnoteRef/>
      </w:r>
      <w:r>
        <w:t xml:space="preserve"> </w:t>
      </w:r>
      <w:proofErr w:type="spellStart"/>
      <w:r>
        <w:rPr>
          <w:lang w:val="en-US"/>
        </w:rPr>
        <w:t>Precey</w:t>
      </w:r>
      <w:proofErr w:type="spellEnd"/>
      <w:r>
        <w:rPr>
          <w:lang w:val="en-US"/>
        </w:rPr>
        <w:t xml:space="preserve">, R and Rodriguez </w:t>
      </w:r>
      <w:proofErr w:type="spellStart"/>
      <w:r>
        <w:rPr>
          <w:lang w:val="en-US"/>
        </w:rPr>
        <w:t>Entrena</w:t>
      </w:r>
      <w:proofErr w:type="spellEnd"/>
      <w:r>
        <w:rPr>
          <w:lang w:val="en-US"/>
        </w:rPr>
        <w:t xml:space="preserve">, MJ. 2011. Developing the Leaders We Want to Follow: lessons from an International Leadership Development </w:t>
      </w:r>
      <w:proofErr w:type="spellStart"/>
      <w:r>
        <w:rPr>
          <w:lang w:val="en-US"/>
        </w:rPr>
        <w:t>programme</w:t>
      </w:r>
      <w:proofErr w:type="spellEnd"/>
      <w:r>
        <w:rPr>
          <w:lang w:val="en-US"/>
        </w:rPr>
        <w:t>.  Available at</w:t>
      </w:r>
      <w:r w:rsidRPr="00064F7D">
        <w:t xml:space="preserve"> </w:t>
      </w:r>
      <w:hyperlink r:id="rId10" w:history="1">
        <w:r w:rsidRPr="00047050">
          <w:rPr>
            <w:rStyle w:val="Hyperlink"/>
            <w:lang w:val="en-US"/>
          </w:rPr>
          <w:t>http://www.icsei.net/icsei2011/Full%20Papers/0009.pdf</w:t>
        </w:r>
      </w:hyperlink>
      <w:r>
        <w:rPr>
          <w:lang w:val="en-US"/>
        </w:rPr>
        <w:t xml:space="preserve"> Accessed 29/10/12  </w:t>
      </w:r>
    </w:p>
  </w:footnote>
  <w:footnote w:id="38">
    <w:p w14:paraId="64BCEE68" w14:textId="6AC249C4" w:rsidR="00A633AD" w:rsidRPr="00A1222C" w:rsidRDefault="00A633AD">
      <w:pPr>
        <w:pStyle w:val="FootnoteText"/>
        <w:rPr>
          <w:lang w:val="en-US"/>
        </w:rPr>
      </w:pPr>
      <w:r>
        <w:rPr>
          <w:rStyle w:val="FootnoteReference"/>
        </w:rPr>
        <w:footnoteRef/>
      </w:r>
      <w:r>
        <w:t xml:space="preserve"> </w:t>
      </w:r>
      <w:r>
        <w:rPr>
          <w:lang w:val="en-US"/>
        </w:rPr>
        <w:t xml:space="preserve">See, for example, </w:t>
      </w:r>
      <w:r>
        <w:rPr>
          <w:i/>
          <w:lang w:val="en-US"/>
        </w:rPr>
        <w:t>supra</w:t>
      </w:r>
      <w:r w:rsidR="00EA6518">
        <w:rPr>
          <w:lang w:val="en-US"/>
        </w:rPr>
        <w:t xml:space="preserve"> n23</w:t>
      </w:r>
    </w:p>
  </w:footnote>
  <w:footnote w:id="39">
    <w:p w14:paraId="3F12F86D" w14:textId="45B98697" w:rsidR="00A633AD" w:rsidRPr="00682E17" w:rsidRDefault="00A633AD" w:rsidP="00EA715F">
      <w:pPr>
        <w:pStyle w:val="FootnoteText"/>
      </w:pPr>
      <w:r>
        <w:rPr>
          <w:rStyle w:val="FootnoteReference"/>
        </w:rPr>
        <w:footnoteRef/>
      </w:r>
      <w:r w:rsidR="00120D18">
        <w:t xml:space="preserve"> </w:t>
      </w:r>
      <w:proofErr w:type="spellStart"/>
      <w:r w:rsidR="00120D18">
        <w:t>Stronkhurst</w:t>
      </w:r>
      <w:proofErr w:type="spellEnd"/>
      <w:r w:rsidR="00120D18">
        <w:t>, supra n29</w:t>
      </w:r>
      <w:bookmarkStart w:id="0" w:name="_GoBack"/>
      <w:bookmarkEnd w:id="0"/>
      <w:r>
        <w:rPr>
          <w:i/>
        </w:rPr>
        <w:t xml:space="preserve"> </w:t>
      </w:r>
      <w:r>
        <w:t>at 295 and passim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23A0"/>
    <w:multiLevelType w:val="hybridMultilevel"/>
    <w:tmpl w:val="F228A21A"/>
    <w:lvl w:ilvl="0" w:tplc="08090001">
      <w:start w:val="1"/>
      <w:numFmt w:val="bullet"/>
      <w:lvlText w:val=""/>
      <w:lvlJc w:val="left"/>
      <w:pPr>
        <w:ind w:left="957" w:hanging="360"/>
      </w:pPr>
      <w:rPr>
        <w:rFonts w:ascii="Symbol" w:hAnsi="Symbol" w:hint="default"/>
      </w:rPr>
    </w:lvl>
    <w:lvl w:ilvl="1" w:tplc="08090003" w:tentative="1">
      <w:start w:val="1"/>
      <w:numFmt w:val="bullet"/>
      <w:lvlText w:val="o"/>
      <w:lvlJc w:val="left"/>
      <w:pPr>
        <w:ind w:left="1677" w:hanging="360"/>
      </w:pPr>
      <w:rPr>
        <w:rFonts w:ascii="Courier New" w:hAnsi="Courier New" w:cs="Courier New" w:hint="default"/>
      </w:rPr>
    </w:lvl>
    <w:lvl w:ilvl="2" w:tplc="08090005" w:tentative="1">
      <w:start w:val="1"/>
      <w:numFmt w:val="bullet"/>
      <w:lvlText w:val=""/>
      <w:lvlJc w:val="left"/>
      <w:pPr>
        <w:ind w:left="2397" w:hanging="360"/>
      </w:pPr>
      <w:rPr>
        <w:rFonts w:ascii="Wingdings" w:hAnsi="Wingdings" w:hint="default"/>
      </w:rPr>
    </w:lvl>
    <w:lvl w:ilvl="3" w:tplc="08090001" w:tentative="1">
      <w:start w:val="1"/>
      <w:numFmt w:val="bullet"/>
      <w:lvlText w:val=""/>
      <w:lvlJc w:val="left"/>
      <w:pPr>
        <w:ind w:left="3117" w:hanging="360"/>
      </w:pPr>
      <w:rPr>
        <w:rFonts w:ascii="Symbol" w:hAnsi="Symbol" w:hint="default"/>
      </w:rPr>
    </w:lvl>
    <w:lvl w:ilvl="4" w:tplc="08090003" w:tentative="1">
      <w:start w:val="1"/>
      <w:numFmt w:val="bullet"/>
      <w:lvlText w:val="o"/>
      <w:lvlJc w:val="left"/>
      <w:pPr>
        <w:ind w:left="3837" w:hanging="360"/>
      </w:pPr>
      <w:rPr>
        <w:rFonts w:ascii="Courier New" w:hAnsi="Courier New" w:cs="Courier New" w:hint="default"/>
      </w:rPr>
    </w:lvl>
    <w:lvl w:ilvl="5" w:tplc="08090005" w:tentative="1">
      <w:start w:val="1"/>
      <w:numFmt w:val="bullet"/>
      <w:lvlText w:val=""/>
      <w:lvlJc w:val="left"/>
      <w:pPr>
        <w:ind w:left="4557" w:hanging="360"/>
      </w:pPr>
      <w:rPr>
        <w:rFonts w:ascii="Wingdings" w:hAnsi="Wingdings" w:hint="default"/>
      </w:rPr>
    </w:lvl>
    <w:lvl w:ilvl="6" w:tplc="08090001" w:tentative="1">
      <w:start w:val="1"/>
      <w:numFmt w:val="bullet"/>
      <w:lvlText w:val=""/>
      <w:lvlJc w:val="left"/>
      <w:pPr>
        <w:ind w:left="5277" w:hanging="360"/>
      </w:pPr>
      <w:rPr>
        <w:rFonts w:ascii="Symbol" w:hAnsi="Symbol" w:hint="default"/>
      </w:rPr>
    </w:lvl>
    <w:lvl w:ilvl="7" w:tplc="08090003" w:tentative="1">
      <w:start w:val="1"/>
      <w:numFmt w:val="bullet"/>
      <w:lvlText w:val="o"/>
      <w:lvlJc w:val="left"/>
      <w:pPr>
        <w:ind w:left="5997" w:hanging="360"/>
      </w:pPr>
      <w:rPr>
        <w:rFonts w:ascii="Courier New" w:hAnsi="Courier New" w:cs="Courier New" w:hint="default"/>
      </w:rPr>
    </w:lvl>
    <w:lvl w:ilvl="8" w:tplc="08090005" w:tentative="1">
      <w:start w:val="1"/>
      <w:numFmt w:val="bullet"/>
      <w:lvlText w:val=""/>
      <w:lvlJc w:val="left"/>
      <w:pPr>
        <w:ind w:left="6717" w:hanging="360"/>
      </w:pPr>
      <w:rPr>
        <w:rFonts w:ascii="Wingdings" w:hAnsi="Wingdings" w:hint="default"/>
      </w:rPr>
    </w:lvl>
  </w:abstractNum>
  <w:abstractNum w:abstractNumId="1">
    <w:nsid w:val="0CD863EF"/>
    <w:multiLevelType w:val="hybridMultilevel"/>
    <w:tmpl w:val="78F49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34B6A"/>
    <w:multiLevelType w:val="multilevel"/>
    <w:tmpl w:val="DEA4EC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87A62"/>
    <w:multiLevelType w:val="hybridMultilevel"/>
    <w:tmpl w:val="C6C2A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6A"/>
    <w:rsid w:val="0000404A"/>
    <w:rsid w:val="00015476"/>
    <w:rsid w:val="00022DF2"/>
    <w:rsid w:val="00032C56"/>
    <w:rsid w:val="000350B0"/>
    <w:rsid w:val="00054CEE"/>
    <w:rsid w:val="00064F7D"/>
    <w:rsid w:val="0008007A"/>
    <w:rsid w:val="0008052D"/>
    <w:rsid w:val="00081EA6"/>
    <w:rsid w:val="000A18B6"/>
    <w:rsid w:val="000A1E4D"/>
    <w:rsid w:val="000B7069"/>
    <w:rsid w:val="000C4148"/>
    <w:rsid w:val="000D0214"/>
    <w:rsid w:val="000E474E"/>
    <w:rsid w:val="000E7A8D"/>
    <w:rsid w:val="001056B2"/>
    <w:rsid w:val="0011379A"/>
    <w:rsid w:val="0012014B"/>
    <w:rsid w:val="00120D18"/>
    <w:rsid w:val="0012146B"/>
    <w:rsid w:val="00121CF7"/>
    <w:rsid w:val="001222E7"/>
    <w:rsid w:val="00147900"/>
    <w:rsid w:val="00153C30"/>
    <w:rsid w:val="00162C6F"/>
    <w:rsid w:val="001649C9"/>
    <w:rsid w:val="00174761"/>
    <w:rsid w:val="001760DF"/>
    <w:rsid w:val="0018031D"/>
    <w:rsid w:val="00185841"/>
    <w:rsid w:val="00185CCE"/>
    <w:rsid w:val="00197E9E"/>
    <w:rsid w:val="001A0CA7"/>
    <w:rsid w:val="001A37CF"/>
    <w:rsid w:val="001A5B6D"/>
    <w:rsid w:val="001B1BC6"/>
    <w:rsid w:val="001B325E"/>
    <w:rsid w:val="001C0E9E"/>
    <w:rsid w:val="001C2CC9"/>
    <w:rsid w:val="001C37D9"/>
    <w:rsid w:val="001D0B23"/>
    <w:rsid w:val="001D31FC"/>
    <w:rsid w:val="001E340F"/>
    <w:rsid w:val="001E6880"/>
    <w:rsid w:val="001F02EA"/>
    <w:rsid w:val="001F2818"/>
    <w:rsid w:val="00202FDF"/>
    <w:rsid w:val="002128B2"/>
    <w:rsid w:val="00224D0B"/>
    <w:rsid w:val="00226081"/>
    <w:rsid w:val="00242064"/>
    <w:rsid w:val="00243792"/>
    <w:rsid w:val="00252D8F"/>
    <w:rsid w:val="002545F0"/>
    <w:rsid w:val="002564E6"/>
    <w:rsid w:val="00257FA2"/>
    <w:rsid w:val="00261787"/>
    <w:rsid w:val="002714D1"/>
    <w:rsid w:val="00273F15"/>
    <w:rsid w:val="00276B41"/>
    <w:rsid w:val="002924F2"/>
    <w:rsid w:val="002A4C74"/>
    <w:rsid w:val="002A50A5"/>
    <w:rsid w:val="002A7DF0"/>
    <w:rsid w:val="002B0CC0"/>
    <w:rsid w:val="002B161D"/>
    <w:rsid w:val="002B540D"/>
    <w:rsid w:val="002D7DD7"/>
    <w:rsid w:val="002E45C9"/>
    <w:rsid w:val="002F166E"/>
    <w:rsid w:val="002F17FF"/>
    <w:rsid w:val="002F3A37"/>
    <w:rsid w:val="00301749"/>
    <w:rsid w:val="00303AD1"/>
    <w:rsid w:val="0030409D"/>
    <w:rsid w:val="00330D4F"/>
    <w:rsid w:val="00337BCA"/>
    <w:rsid w:val="0035047A"/>
    <w:rsid w:val="00355C8A"/>
    <w:rsid w:val="00355ECC"/>
    <w:rsid w:val="00357695"/>
    <w:rsid w:val="00370F49"/>
    <w:rsid w:val="003717FC"/>
    <w:rsid w:val="00381EE6"/>
    <w:rsid w:val="003828A9"/>
    <w:rsid w:val="003864BD"/>
    <w:rsid w:val="00391D6C"/>
    <w:rsid w:val="0039584F"/>
    <w:rsid w:val="00395E85"/>
    <w:rsid w:val="003A0852"/>
    <w:rsid w:val="003B326F"/>
    <w:rsid w:val="003B6843"/>
    <w:rsid w:val="003C2992"/>
    <w:rsid w:val="003C732A"/>
    <w:rsid w:val="003E15D6"/>
    <w:rsid w:val="003F0365"/>
    <w:rsid w:val="003F1262"/>
    <w:rsid w:val="00402C47"/>
    <w:rsid w:val="004031DD"/>
    <w:rsid w:val="00406CD4"/>
    <w:rsid w:val="00416172"/>
    <w:rsid w:val="00416529"/>
    <w:rsid w:val="004300C5"/>
    <w:rsid w:val="00434A95"/>
    <w:rsid w:val="00455408"/>
    <w:rsid w:val="0046099F"/>
    <w:rsid w:val="00460F71"/>
    <w:rsid w:val="00465B6A"/>
    <w:rsid w:val="00466101"/>
    <w:rsid w:val="004740AE"/>
    <w:rsid w:val="0047747A"/>
    <w:rsid w:val="00490731"/>
    <w:rsid w:val="00490AB0"/>
    <w:rsid w:val="00492FE0"/>
    <w:rsid w:val="004A0026"/>
    <w:rsid w:val="004A3BF8"/>
    <w:rsid w:val="004A5967"/>
    <w:rsid w:val="004A5A3E"/>
    <w:rsid w:val="004B7BE4"/>
    <w:rsid w:val="004C1DB2"/>
    <w:rsid w:val="004C6A20"/>
    <w:rsid w:val="004D4D10"/>
    <w:rsid w:val="004D78BA"/>
    <w:rsid w:val="004E2638"/>
    <w:rsid w:val="004F7A1B"/>
    <w:rsid w:val="005062DA"/>
    <w:rsid w:val="0051089F"/>
    <w:rsid w:val="005164FC"/>
    <w:rsid w:val="00531CCA"/>
    <w:rsid w:val="00542FAD"/>
    <w:rsid w:val="00544BD3"/>
    <w:rsid w:val="00545D43"/>
    <w:rsid w:val="00546453"/>
    <w:rsid w:val="0058035C"/>
    <w:rsid w:val="00587E30"/>
    <w:rsid w:val="00592A71"/>
    <w:rsid w:val="0059519F"/>
    <w:rsid w:val="005A4D86"/>
    <w:rsid w:val="005B072A"/>
    <w:rsid w:val="005B1283"/>
    <w:rsid w:val="005B714D"/>
    <w:rsid w:val="005C39A5"/>
    <w:rsid w:val="005D3A18"/>
    <w:rsid w:val="005D7033"/>
    <w:rsid w:val="005D7283"/>
    <w:rsid w:val="005F38BC"/>
    <w:rsid w:val="005F4CAA"/>
    <w:rsid w:val="006079E8"/>
    <w:rsid w:val="006108A8"/>
    <w:rsid w:val="00615859"/>
    <w:rsid w:val="00625761"/>
    <w:rsid w:val="00626457"/>
    <w:rsid w:val="00630C54"/>
    <w:rsid w:val="00632D88"/>
    <w:rsid w:val="006521BA"/>
    <w:rsid w:val="00662902"/>
    <w:rsid w:val="00682E17"/>
    <w:rsid w:val="00684262"/>
    <w:rsid w:val="00685E45"/>
    <w:rsid w:val="006961AB"/>
    <w:rsid w:val="006978B5"/>
    <w:rsid w:val="006B26D5"/>
    <w:rsid w:val="006B4E46"/>
    <w:rsid w:val="006C3073"/>
    <w:rsid w:val="006C3467"/>
    <w:rsid w:val="006D0F52"/>
    <w:rsid w:val="006E532C"/>
    <w:rsid w:val="0071284D"/>
    <w:rsid w:val="00726192"/>
    <w:rsid w:val="007305EA"/>
    <w:rsid w:val="0073064B"/>
    <w:rsid w:val="0073292B"/>
    <w:rsid w:val="00735274"/>
    <w:rsid w:val="00744B0A"/>
    <w:rsid w:val="0074584A"/>
    <w:rsid w:val="00750422"/>
    <w:rsid w:val="00756132"/>
    <w:rsid w:val="007628B3"/>
    <w:rsid w:val="00765954"/>
    <w:rsid w:val="00776820"/>
    <w:rsid w:val="00781BA5"/>
    <w:rsid w:val="00782F42"/>
    <w:rsid w:val="00793183"/>
    <w:rsid w:val="007B012D"/>
    <w:rsid w:val="007B3696"/>
    <w:rsid w:val="007D6FC1"/>
    <w:rsid w:val="008023B1"/>
    <w:rsid w:val="008164A2"/>
    <w:rsid w:val="00821E79"/>
    <w:rsid w:val="0082371A"/>
    <w:rsid w:val="00824757"/>
    <w:rsid w:val="00837A04"/>
    <w:rsid w:val="00841A68"/>
    <w:rsid w:val="00844B7A"/>
    <w:rsid w:val="00846981"/>
    <w:rsid w:val="00850052"/>
    <w:rsid w:val="00863999"/>
    <w:rsid w:val="00870639"/>
    <w:rsid w:val="0088220C"/>
    <w:rsid w:val="008A15B0"/>
    <w:rsid w:val="008A1BC0"/>
    <w:rsid w:val="008C16EE"/>
    <w:rsid w:val="008E486F"/>
    <w:rsid w:val="008F011E"/>
    <w:rsid w:val="009014CA"/>
    <w:rsid w:val="009030F9"/>
    <w:rsid w:val="009052E6"/>
    <w:rsid w:val="00914A19"/>
    <w:rsid w:val="00915065"/>
    <w:rsid w:val="009172B1"/>
    <w:rsid w:val="00932F66"/>
    <w:rsid w:val="009346D9"/>
    <w:rsid w:val="0094709B"/>
    <w:rsid w:val="00952C92"/>
    <w:rsid w:val="00954CB1"/>
    <w:rsid w:val="00956EDC"/>
    <w:rsid w:val="00956F32"/>
    <w:rsid w:val="00963C2F"/>
    <w:rsid w:val="00970AF1"/>
    <w:rsid w:val="00974313"/>
    <w:rsid w:val="009810AB"/>
    <w:rsid w:val="0099746C"/>
    <w:rsid w:val="009B2722"/>
    <w:rsid w:val="009C22A3"/>
    <w:rsid w:val="009C7016"/>
    <w:rsid w:val="009E6A99"/>
    <w:rsid w:val="009E73BF"/>
    <w:rsid w:val="009F5B99"/>
    <w:rsid w:val="009F5BC2"/>
    <w:rsid w:val="00A02AA7"/>
    <w:rsid w:val="00A04EB9"/>
    <w:rsid w:val="00A1222C"/>
    <w:rsid w:val="00A129AE"/>
    <w:rsid w:val="00A1736A"/>
    <w:rsid w:val="00A22FFE"/>
    <w:rsid w:val="00A321D4"/>
    <w:rsid w:val="00A326A8"/>
    <w:rsid w:val="00A32E15"/>
    <w:rsid w:val="00A5010C"/>
    <w:rsid w:val="00A633AD"/>
    <w:rsid w:val="00A753F3"/>
    <w:rsid w:val="00A7555B"/>
    <w:rsid w:val="00A75AD4"/>
    <w:rsid w:val="00A80076"/>
    <w:rsid w:val="00A81A60"/>
    <w:rsid w:val="00A87824"/>
    <w:rsid w:val="00A9609A"/>
    <w:rsid w:val="00A97A31"/>
    <w:rsid w:val="00AA39B0"/>
    <w:rsid w:val="00AA6821"/>
    <w:rsid w:val="00AB08E7"/>
    <w:rsid w:val="00AB425E"/>
    <w:rsid w:val="00AC066B"/>
    <w:rsid w:val="00AC1940"/>
    <w:rsid w:val="00AC1D67"/>
    <w:rsid w:val="00AD46A8"/>
    <w:rsid w:val="00AD5AAB"/>
    <w:rsid w:val="00AF1F1E"/>
    <w:rsid w:val="00B12A0C"/>
    <w:rsid w:val="00B1495A"/>
    <w:rsid w:val="00B211B9"/>
    <w:rsid w:val="00B309CA"/>
    <w:rsid w:val="00B32259"/>
    <w:rsid w:val="00B41D94"/>
    <w:rsid w:val="00B437D2"/>
    <w:rsid w:val="00B511D0"/>
    <w:rsid w:val="00B52538"/>
    <w:rsid w:val="00B5322E"/>
    <w:rsid w:val="00B6600C"/>
    <w:rsid w:val="00B71AF6"/>
    <w:rsid w:val="00B73B7F"/>
    <w:rsid w:val="00B77642"/>
    <w:rsid w:val="00B77B58"/>
    <w:rsid w:val="00B833C9"/>
    <w:rsid w:val="00B86011"/>
    <w:rsid w:val="00B8611B"/>
    <w:rsid w:val="00B90497"/>
    <w:rsid w:val="00B91C8E"/>
    <w:rsid w:val="00B9246D"/>
    <w:rsid w:val="00B95334"/>
    <w:rsid w:val="00BA5DF9"/>
    <w:rsid w:val="00BA720B"/>
    <w:rsid w:val="00BB1DE9"/>
    <w:rsid w:val="00BB35EC"/>
    <w:rsid w:val="00BD51FE"/>
    <w:rsid w:val="00BE2367"/>
    <w:rsid w:val="00BE3159"/>
    <w:rsid w:val="00C1555E"/>
    <w:rsid w:val="00C20BD9"/>
    <w:rsid w:val="00C23688"/>
    <w:rsid w:val="00C423F4"/>
    <w:rsid w:val="00C45EB6"/>
    <w:rsid w:val="00C47AEB"/>
    <w:rsid w:val="00C6165D"/>
    <w:rsid w:val="00C86E4E"/>
    <w:rsid w:val="00C91745"/>
    <w:rsid w:val="00CA5FD9"/>
    <w:rsid w:val="00CB28A3"/>
    <w:rsid w:val="00CF13ED"/>
    <w:rsid w:val="00CF4D0F"/>
    <w:rsid w:val="00CF7E1F"/>
    <w:rsid w:val="00D00037"/>
    <w:rsid w:val="00D1229C"/>
    <w:rsid w:val="00D12FC0"/>
    <w:rsid w:val="00D1442E"/>
    <w:rsid w:val="00D20AF4"/>
    <w:rsid w:val="00D20C0A"/>
    <w:rsid w:val="00D326A4"/>
    <w:rsid w:val="00D40BBB"/>
    <w:rsid w:val="00D4403D"/>
    <w:rsid w:val="00D4638E"/>
    <w:rsid w:val="00D511E0"/>
    <w:rsid w:val="00D56D10"/>
    <w:rsid w:val="00D66681"/>
    <w:rsid w:val="00D841FA"/>
    <w:rsid w:val="00D9055D"/>
    <w:rsid w:val="00D92D7F"/>
    <w:rsid w:val="00D940A5"/>
    <w:rsid w:val="00D9738C"/>
    <w:rsid w:val="00D97DFF"/>
    <w:rsid w:val="00DA2DD6"/>
    <w:rsid w:val="00DA4B26"/>
    <w:rsid w:val="00DA587C"/>
    <w:rsid w:val="00DA5AE2"/>
    <w:rsid w:val="00DC0E25"/>
    <w:rsid w:val="00DC6083"/>
    <w:rsid w:val="00DC68C7"/>
    <w:rsid w:val="00DE680D"/>
    <w:rsid w:val="00DF0516"/>
    <w:rsid w:val="00E056E3"/>
    <w:rsid w:val="00E0659C"/>
    <w:rsid w:val="00E12494"/>
    <w:rsid w:val="00E17646"/>
    <w:rsid w:val="00E27D28"/>
    <w:rsid w:val="00E31A59"/>
    <w:rsid w:val="00E34FCD"/>
    <w:rsid w:val="00E37ADA"/>
    <w:rsid w:val="00E41AEA"/>
    <w:rsid w:val="00E43DC2"/>
    <w:rsid w:val="00E462A7"/>
    <w:rsid w:val="00E46A4E"/>
    <w:rsid w:val="00E57139"/>
    <w:rsid w:val="00E715AE"/>
    <w:rsid w:val="00E73E49"/>
    <w:rsid w:val="00E74315"/>
    <w:rsid w:val="00E822F6"/>
    <w:rsid w:val="00E90EAA"/>
    <w:rsid w:val="00E913DB"/>
    <w:rsid w:val="00EA6075"/>
    <w:rsid w:val="00EA6518"/>
    <w:rsid w:val="00EA715F"/>
    <w:rsid w:val="00EB5C38"/>
    <w:rsid w:val="00EB705A"/>
    <w:rsid w:val="00EC3083"/>
    <w:rsid w:val="00ED1B5B"/>
    <w:rsid w:val="00ED681D"/>
    <w:rsid w:val="00ED7949"/>
    <w:rsid w:val="00EE05AB"/>
    <w:rsid w:val="00EE1E18"/>
    <w:rsid w:val="00EF034D"/>
    <w:rsid w:val="00F05EA0"/>
    <w:rsid w:val="00F10BE7"/>
    <w:rsid w:val="00F122CB"/>
    <w:rsid w:val="00F124BD"/>
    <w:rsid w:val="00F201C1"/>
    <w:rsid w:val="00F24FC5"/>
    <w:rsid w:val="00F26A4F"/>
    <w:rsid w:val="00F326F1"/>
    <w:rsid w:val="00F40B6D"/>
    <w:rsid w:val="00F418E8"/>
    <w:rsid w:val="00F4264C"/>
    <w:rsid w:val="00F54F0B"/>
    <w:rsid w:val="00F57817"/>
    <w:rsid w:val="00F74E33"/>
    <w:rsid w:val="00F75467"/>
    <w:rsid w:val="00F9751F"/>
    <w:rsid w:val="00F97A47"/>
    <w:rsid w:val="00FA37F8"/>
    <w:rsid w:val="00FB0A03"/>
    <w:rsid w:val="00FC2090"/>
    <w:rsid w:val="00FC6281"/>
    <w:rsid w:val="00FD368B"/>
    <w:rsid w:val="00FD7141"/>
    <w:rsid w:val="00FD7A8F"/>
    <w:rsid w:val="00FE6FFA"/>
    <w:rsid w:val="00FF3515"/>
    <w:rsid w:val="00FF45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CF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B6A"/>
    <w:rPr>
      <w:color w:val="0000FF"/>
      <w:u w:val="single"/>
    </w:rPr>
  </w:style>
  <w:style w:type="paragraph" w:styleId="NormalWeb">
    <w:name w:val="Normal (Web)"/>
    <w:basedOn w:val="Normal"/>
    <w:uiPriority w:val="99"/>
    <w:semiHidden/>
    <w:unhideWhenUsed/>
    <w:rsid w:val="00465B6A"/>
    <w:pPr>
      <w:spacing w:before="32" w:after="253" w:line="240" w:lineRule="auto"/>
    </w:pPr>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unhideWhenUsed/>
    <w:rsid w:val="00465B6A"/>
    <w:pPr>
      <w:spacing w:after="0" w:line="240" w:lineRule="auto"/>
    </w:pPr>
    <w:rPr>
      <w:sz w:val="20"/>
      <w:szCs w:val="20"/>
    </w:rPr>
  </w:style>
  <w:style w:type="character" w:customStyle="1" w:styleId="FootnoteTextChar">
    <w:name w:val="Footnote Text Char"/>
    <w:basedOn w:val="DefaultParagraphFont"/>
    <w:link w:val="FootnoteText"/>
    <w:uiPriority w:val="99"/>
    <w:rsid w:val="00465B6A"/>
    <w:rPr>
      <w:sz w:val="20"/>
      <w:szCs w:val="20"/>
    </w:rPr>
  </w:style>
  <w:style w:type="character" w:styleId="FootnoteReference">
    <w:name w:val="footnote reference"/>
    <w:basedOn w:val="DefaultParagraphFont"/>
    <w:uiPriority w:val="99"/>
    <w:unhideWhenUsed/>
    <w:rsid w:val="00465B6A"/>
    <w:rPr>
      <w:vertAlign w:val="superscript"/>
    </w:rPr>
  </w:style>
  <w:style w:type="paragraph" w:styleId="ListParagraph">
    <w:name w:val="List Paragraph"/>
    <w:basedOn w:val="Normal"/>
    <w:uiPriority w:val="34"/>
    <w:qFormat/>
    <w:rsid w:val="00E12494"/>
    <w:pPr>
      <w:ind w:left="720"/>
      <w:contextualSpacing/>
    </w:pPr>
  </w:style>
  <w:style w:type="paragraph" w:styleId="BalloonText">
    <w:name w:val="Balloon Text"/>
    <w:basedOn w:val="Normal"/>
    <w:link w:val="BalloonTextChar"/>
    <w:uiPriority w:val="99"/>
    <w:semiHidden/>
    <w:unhideWhenUsed/>
    <w:rsid w:val="0085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052"/>
    <w:rPr>
      <w:rFonts w:ascii="Tahoma" w:hAnsi="Tahoma" w:cs="Tahoma"/>
      <w:sz w:val="16"/>
      <w:szCs w:val="16"/>
    </w:rPr>
  </w:style>
  <w:style w:type="paragraph" w:styleId="Footer">
    <w:name w:val="footer"/>
    <w:basedOn w:val="Normal"/>
    <w:link w:val="FooterChar"/>
    <w:uiPriority w:val="99"/>
    <w:unhideWhenUsed/>
    <w:rsid w:val="009810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10AB"/>
  </w:style>
  <w:style w:type="character" w:styleId="PageNumber">
    <w:name w:val="page number"/>
    <w:basedOn w:val="DefaultParagraphFont"/>
    <w:uiPriority w:val="99"/>
    <w:semiHidden/>
    <w:unhideWhenUsed/>
    <w:rsid w:val="009810AB"/>
  </w:style>
  <w:style w:type="character" w:styleId="FollowedHyperlink">
    <w:name w:val="FollowedHyperlink"/>
    <w:basedOn w:val="DefaultParagraphFont"/>
    <w:uiPriority w:val="99"/>
    <w:semiHidden/>
    <w:unhideWhenUsed/>
    <w:rsid w:val="0030174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B6A"/>
    <w:rPr>
      <w:color w:val="0000FF"/>
      <w:u w:val="single"/>
    </w:rPr>
  </w:style>
  <w:style w:type="paragraph" w:styleId="NormalWeb">
    <w:name w:val="Normal (Web)"/>
    <w:basedOn w:val="Normal"/>
    <w:uiPriority w:val="99"/>
    <w:semiHidden/>
    <w:unhideWhenUsed/>
    <w:rsid w:val="00465B6A"/>
    <w:pPr>
      <w:spacing w:before="32" w:after="253" w:line="240" w:lineRule="auto"/>
    </w:pPr>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unhideWhenUsed/>
    <w:rsid w:val="00465B6A"/>
    <w:pPr>
      <w:spacing w:after="0" w:line="240" w:lineRule="auto"/>
    </w:pPr>
    <w:rPr>
      <w:sz w:val="20"/>
      <w:szCs w:val="20"/>
    </w:rPr>
  </w:style>
  <w:style w:type="character" w:customStyle="1" w:styleId="FootnoteTextChar">
    <w:name w:val="Footnote Text Char"/>
    <w:basedOn w:val="DefaultParagraphFont"/>
    <w:link w:val="FootnoteText"/>
    <w:uiPriority w:val="99"/>
    <w:rsid w:val="00465B6A"/>
    <w:rPr>
      <w:sz w:val="20"/>
      <w:szCs w:val="20"/>
    </w:rPr>
  </w:style>
  <w:style w:type="character" w:styleId="FootnoteReference">
    <w:name w:val="footnote reference"/>
    <w:basedOn w:val="DefaultParagraphFont"/>
    <w:uiPriority w:val="99"/>
    <w:unhideWhenUsed/>
    <w:rsid w:val="00465B6A"/>
    <w:rPr>
      <w:vertAlign w:val="superscript"/>
    </w:rPr>
  </w:style>
  <w:style w:type="paragraph" w:styleId="ListParagraph">
    <w:name w:val="List Paragraph"/>
    <w:basedOn w:val="Normal"/>
    <w:uiPriority w:val="34"/>
    <w:qFormat/>
    <w:rsid w:val="00E12494"/>
    <w:pPr>
      <w:ind w:left="720"/>
      <w:contextualSpacing/>
    </w:pPr>
  </w:style>
  <w:style w:type="paragraph" w:styleId="BalloonText">
    <w:name w:val="Balloon Text"/>
    <w:basedOn w:val="Normal"/>
    <w:link w:val="BalloonTextChar"/>
    <w:uiPriority w:val="99"/>
    <w:semiHidden/>
    <w:unhideWhenUsed/>
    <w:rsid w:val="0085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052"/>
    <w:rPr>
      <w:rFonts w:ascii="Tahoma" w:hAnsi="Tahoma" w:cs="Tahoma"/>
      <w:sz w:val="16"/>
      <w:szCs w:val="16"/>
    </w:rPr>
  </w:style>
  <w:style w:type="paragraph" w:styleId="Footer">
    <w:name w:val="footer"/>
    <w:basedOn w:val="Normal"/>
    <w:link w:val="FooterChar"/>
    <w:uiPriority w:val="99"/>
    <w:unhideWhenUsed/>
    <w:rsid w:val="009810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10AB"/>
  </w:style>
  <w:style w:type="character" w:styleId="PageNumber">
    <w:name w:val="page number"/>
    <w:basedOn w:val="DefaultParagraphFont"/>
    <w:uiPriority w:val="99"/>
    <w:semiHidden/>
    <w:unhideWhenUsed/>
    <w:rsid w:val="009810AB"/>
  </w:style>
  <w:style w:type="character" w:styleId="FollowedHyperlink">
    <w:name w:val="FollowedHyperlink"/>
    <w:basedOn w:val="DefaultParagraphFont"/>
    <w:uiPriority w:val="99"/>
    <w:semiHidden/>
    <w:unhideWhenUsed/>
    <w:rsid w:val="00301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8781">
      <w:bodyDiv w:val="1"/>
      <w:marLeft w:val="0"/>
      <w:marRight w:val="0"/>
      <w:marTop w:val="0"/>
      <w:marBottom w:val="0"/>
      <w:divBdr>
        <w:top w:val="none" w:sz="0" w:space="0" w:color="auto"/>
        <w:left w:val="none" w:sz="0" w:space="0" w:color="auto"/>
        <w:bottom w:val="none" w:sz="0" w:space="0" w:color="auto"/>
        <w:right w:val="none" w:sz="0" w:space="0" w:color="auto"/>
      </w:divBdr>
      <w:divsChild>
        <w:div w:id="1037199517">
          <w:marLeft w:val="0"/>
          <w:marRight w:val="0"/>
          <w:marTop w:val="0"/>
          <w:marBottom w:val="0"/>
          <w:divBdr>
            <w:top w:val="none" w:sz="0" w:space="0" w:color="auto"/>
            <w:left w:val="none" w:sz="0" w:space="0" w:color="auto"/>
            <w:bottom w:val="none" w:sz="0" w:space="0" w:color="auto"/>
            <w:right w:val="none" w:sz="0" w:space="0" w:color="auto"/>
          </w:divBdr>
          <w:divsChild>
            <w:div w:id="6882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60161">
      <w:bodyDiv w:val="1"/>
      <w:marLeft w:val="0"/>
      <w:marRight w:val="0"/>
      <w:marTop w:val="0"/>
      <w:marBottom w:val="0"/>
      <w:divBdr>
        <w:top w:val="none" w:sz="0" w:space="0" w:color="auto"/>
        <w:left w:val="none" w:sz="0" w:space="0" w:color="auto"/>
        <w:bottom w:val="none" w:sz="0" w:space="0" w:color="auto"/>
        <w:right w:val="none" w:sz="0" w:space="0" w:color="auto"/>
      </w:divBdr>
      <w:divsChild>
        <w:div w:id="1960640843">
          <w:marLeft w:val="0"/>
          <w:marRight w:val="0"/>
          <w:marTop w:val="0"/>
          <w:marBottom w:val="0"/>
          <w:divBdr>
            <w:top w:val="none" w:sz="0" w:space="0" w:color="auto"/>
            <w:left w:val="none" w:sz="0" w:space="0" w:color="auto"/>
            <w:bottom w:val="none" w:sz="0" w:space="0" w:color="auto"/>
            <w:right w:val="none" w:sz="0" w:space="0" w:color="auto"/>
          </w:divBdr>
          <w:divsChild>
            <w:div w:id="1961033948">
              <w:marLeft w:val="0"/>
              <w:marRight w:val="0"/>
              <w:marTop w:val="0"/>
              <w:marBottom w:val="0"/>
              <w:divBdr>
                <w:top w:val="none" w:sz="0" w:space="0" w:color="auto"/>
                <w:left w:val="none" w:sz="0" w:space="0" w:color="auto"/>
                <w:bottom w:val="none" w:sz="0" w:space="0" w:color="auto"/>
                <w:right w:val="none" w:sz="0" w:space="0" w:color="auto"/>
              </w:divBdr>
              <w:divsChild>
                <w:div w:id="10663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lifelong-learning-policy/doc30_en.htm" TargetMode="External"/><Relationship Id="rId4" Type="http://schemas.openxmlformats.org/officeDocument/2006/relationships/hyperlink" Target="http://ec.europa.eu/education/lifelong-learning-programme/doc80_en.htm" TargetMode="External"/><Relationship Id="rId5" Type="http://schemas.openxmlformats.org/officeDocument/2006/relationships/hyperlink" Target="http://portal.unesco.org/education/en/files/53904/11858759925Changing_role_student_mobility.pdf/Changing_role_student_mobility.pdf" TargetMode="External"/><Relationship Id="rId6" Type="http://schemas.openxmlformats.org/officeDocument/2006/relationships/hyperlink" Target="http://ec.europa.eu/education/erasmus/doc900_en.htm" TargetMode="External"/><Relationship Id="rId7" Type="http://schemas.openxmlformats.org/officeDocument/2006/relationships/hyperlink" Target="http://eprints.uwe.ac.uk/12926/2/Clough2010Testingtheimpact.pdf" TargetMode="External"/><Relationship Id="rId8" Type="http://schemas.openxmlformats.org/officeDocument/2006/relationships/hyperlink" Target="http://hdl.handle.net/1854/LU-2112335" TargetMode="External"/><Relationship Id="rId9" Type="http://schemas.openxmlformats.org/officeDocument/2006/relationships/hyperlink" Target="http://theseus17-kk.lib.helsinki.fi/bitstream/handle/10024/39980/Hatakka_Helena_Lamk_2011.pdf?sequence=1" TargetMode="External"/><Relationship Id="rId10" Type="http://schemas.openxmlformats.org/officeDocument/2006/relationships/hyperlink" Target="http://www.icsei.net/icsei2011/Full%20Papers/0009.pdf" TargetMode="External"/><Relationship Id="rId1" Type="http://schemas.openxmlformats.org/officeDocument/2006/relationships/hyperlink" Target="http://www.britishcouncil.org/hefce_bc_report2010.pdf" TargetMode="External"/><Relationship Id="rId2" Type="http://schemas.openxmlformats.org/officeDocument/2006/relationships/hyperlink" Target="http://www.publications.parliament.uk/pa/ld201012/ldselect/ldeucom/275/275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D6573-F866-CB4C-A6A1-FC4A5384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27</Pages>
  <Words>7874</Words>
  <Characters>44886</Characters>
  <Application>Microsoft Macintosh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Cherry James</cp:lastModifiedBy>
  <cp:revision>15</cp:revision>
  <cp:lastPrinted>2011-07-24T18:02:00Z</cp:lastPrinted>
  <dcterms:created xsi:type="dcterms:W3CDTF">2012-11-09T22:22:00Z</dcterms:created>
  <dcterms:modified xsi:type="dcterms:W3CDTF">2012-11-11T15:09:00Z</dcterms:modified>
</cp:coreProperties>
</file>