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78AA17" w14:textId="49E50EF0" w:rsidR="008D45A3" w:rsidRPr="0040194E" w:rsidRDefault="00271D3B" w:rsidP="0040194E">
      <w:pPr>
        <w:spacing w:line="480" w:lineRule="auto"/>
        <w:jc w:val="center"/>
        <w:rPr>
          <w:rFonts w:ascii="Times New Roman" w:hAnsi="Times New Roman" w:cs="Times New Roman"/>
          <w:b/>
        </w:rPr>
      </w:pPr>
      <w:r w:rsidRPr="0040194E">
        <w:rPr>
          <w:rFonts w:ascii="Times New Roman" w:hAnsi="Times New Roman" w:cs="Times New Roman"/>
          <w:b/>
        </w:rPr>
        <w:t xml:space="preserve">‘Real-world’ </w:t>
      </w:r>
      <w:r w:rsidR="00BD2897" w:rsidRPr="0040194E">
        <w:rPr>
          <w:rFonts w:ascii="Times New Roman" w:hAnsi="Times New Roman" w:cs="Times New Roman"/>
          <w:b/>
        </w:rPr>
        <w:t xml:space="preserve">compensatory behaviour with </w:t>
      </w:r>
      <w:r w:rsidR="000D4C42" w:rsidRPr="0040194E">
        <w:rPr>
          <w:rFonts w:ascii="Times New Roman" w:hAnsi="Times New Roman" w:cs="Times New Roman"/>
          <w:b/>
        </w:rPr>
        <w:t>low nicotine concentration</w:t>
      </w:r>
      <w:r w:rsidR="007F2ACE" w:rsidRPr="0040194E">
        <w:rPr>
          <w:rFonts w:ascii="Times New Roman" w:hAnsi="Times New Roman" w:cs="Times New Roman"/>
          <w:b/>
        </w:rPr>
        <w:t xml:space="preserve"> e-liquid: subjective effects </w:t>
      </w:r>
      <w:r w:rsidR="00C77991" w:rsidRPr="0040194E">
        <w:rPr>
          <w:rFonts w:ascii="Times New Roman" w:hAnsi="Times New Roman" w:cs="Times New Roman"/>
          <w:b/>
        </w:rPr>
        <w:t>and</w:t>
      </w:r>
      <w:r w:rsidR="00E2148E">
        <w:rPr>
          <w:rFonts w:ascii="Times New Roman" w:hAnsi="Times New Roman" w:cs="Times New Roman"/>
          <w:b/>
        </w:rPr>
        <w:t xml:space="preserve"> nicotine, </w:t>
      </w:r>
      <w:proofErr w:type="spellStart"/>
      <w:r w:rsidR="00E2148E">
        <w:rPr>
          <w:rFonts w:ascii="Times New Roman" w:hAnsi="Times New Roman" w:cs="Times New Roman"/>
          <w:b/>
        </w:rPr>
        <w:t>acrolei</w:t>
      </w:r>
      <w:r w:rsidR="007F2ACE" w:rsidRPr="0040194E">
        <w:rPr>
          <w:rFonts w:ascii="Times New Roman" w:hAnsi="Times New Roman" w:cs="Times New Roman"/>
          <w:b/>
        </w:rPr>
        <w:t>n</w:t>
      </w:r>
      <w:proofErr w:type="spellEnd"/>
      <w:r w:rsidR="007F2ACE" w:rsidRPr="0040194E">
        <w:rPr>
          <w:rFonts w:ascii="Times New Roman" w:hAnsi="Times New Roman" w:cs="Times New Roman"/>
          <w:b/>
        </w:rPr>
        <w:t xml:space="preserve"> and formaldehyde</w:t>
      </w:r>
      <w:r w:rsidR="00FE44EC" w:rsidRPr="0040194E">
        <w:rPr>
          <w:rFonts w:ascii="Times New Roman" w:hAnsi="Times New Roman" w:cs="Times New Roman"/>
          <w:b/>
        </w:rPr>
        <w:t xml:space="preserve"> </w:t>
      </w:r>
      <w:r w:rsidR="004C40AD" w:rsidRPr="0040194E">
        <w:rPr>
          <w:rFonts w:ascii="Times New Roman" w:hAnsi="Times New Roman" w:cs="Times New Roman"/>
          <w:b/>
        </w:rPr>
        <w:t>exposure</w:t>
      </w:r>
    </w:p>
    <w:p w14:paraId="64220859" w14:textId="77777777" w:rsidR="008D45A3" w:rsidRPr="00842993" w:rsidRDefault="008D45A3" w:rsidP="00842993">
      <w:pPr>
        <w:spacing w:line="480" w:lineRule="auto"/>
        <w:jc w:val="center"/>
        <w:rPr>
          <w:rFonts w:ascii="Times New Roman" w:hAnsi="Times New Roman" w:cs="Times New Roman"/>
          <w:b/>
          <w:sz w:val="22"/>
          <w:szCs w:val="22"/>
        </w:rPr>
      </w:pPr>
    </w:p>
    <w:p w14:paraId="624D23B8" w14:textId="3B048F03" w:rsidR="00562132" w:rsidRPr="00842993" w:rsidRDefault="00562132" w:rsidP="0040194E">
      <w:pPr>
        <w:spacing w:line="480" w:lineRule="auto"/>
        <w:jc w:val="center"/>
        <w:rPr>
          <w:rFonts w:ascii="Times New Roman" w:hAnsi="Times New Roman" w:cs="Times New Roman"/>
          <w:sz w:val="22"/>
          <w:szCs w:val="22"/>
        </w:rPr>
      </w:pPr>
      <w:proofErr w:type="spellStart"/>
      <w:r w:rsidRPr="00842993">
        <w:rPr>
          <w:rFonts w:ascii="Times New Roman" w:hAnsi="Times New Roman" w:cs="Times New Roman"/>
          <w:sz w:val="22"/>
          <w:szCs w:val="22"/>
        </w:rPr>
        <w:t>Dr.</w:t>
      </w:r>
      <w:proofErr w:type="spellEnd"/>
      <w:r w:rsidRPr="00842993">
        <w:rPr>
          <w:rFonts w:ascii="Times New Roman" w:hAnsi="Times New Roman" w:cs="Times New Roman"/>
          <w:sz w:val="22"/>
          <w:szCs w:val="22"/>
        </w:rPr>
        <w:t xml:space="preserve"> Lynne Dawkins</w:t>
      </w:r>
      <w:r w:rsidR="0015085D" w:rsidRPr="00842993">
        <w:rPr>
          <w:rFonts w:ascii="Times New Roman" w:hAnsi="Times New Roman" w:cs="Times New Roman"/>
          <w:sz w:val="22"/>
          <w:szCs w:val="22"/>
          <w:vertAlign w:val="superscript"/>
        </w:rPr>
        <w:t>1</w:t>
      </w:r>
      <w:proofErr w:type="gramStart"/>
      <w:r w:rsidR="0040194E">
        <w:rPr>
          <w:rFonts w:ascii="Times New Roman" w:hAnsi="Times New Roman" w:cs="Times New Roman"/>
          <w:sz w:val="22"/>
          <w:szCs w:val="22"/>
        </w:rPr>
        <w:t xml:space="preserve">, </w:t>
      </w:r>
      <w:r w:rsidR="0040194E">
        <w:rPr>
          <w:rFonts w:ascii="Times New Roman" w:hAnsi="Times New Roman" w:cs="Times New Roman"/>
          <w:sz w:val="22"/>
          <w:szCs w:val="22"/>
          <w:vertAlign w:val="superscript"/>
        </w:rPr>
        <w:t xml:space="preserve"> </w:t>
      </w:r>
      <w:proofErr w:type="spellStart"/>
      <w:r w:rsidR="008D45A3" w:rsidRPr="00842993">
        <w:rPr>
          <w:rFonts w:ascii="Times New Roman" w:hAnsi="Times New Roman" w:cs="Times New Roman"/>
          <w:sz w:val="22"/>
          <w:szCs w:val="22"/>
        </w:rPr>
        <w:t>Dr</w:t>
      </w:r>
      <w:proofErr w:type="gramEnd"/>
      <w:r w:rsidR="008D45A3" w:rsidRPr="00842993">
        <w:rPr>
          <w:rFonts w:ascii="Times New Roman" w:hAnsi="Times New Roman" w:cs="Times New Roman"/>
          <w:sz w:val="22"/>
          <w:szCs w:val="22"/>
        </w:rPr>
        <w:t>.</w:t>
      </w:r>
      <w:proofErr w:type="spellEnd"/>
      <w:r w:rsidR="008D45A3" w:rsidRPr="00842993">
        <w:rPr>
          <w:rFonts w:ascii="Times New Roman" w:hAnsi="Times New Roman" w:cs="Times New Roman"/>
          <w:sz w:val="22"/>
          <w:szCs w:val="22"/>
        </w:rPr>
        <w:t xml:space="preserve"> Sharon Cox</w:t>
      </w:r>
      <w:r w:rsidR="008D45A3" w:rsidRPr="00842993">
        <w:rPr>
          <w:rFonts w:ascii="Times New Roman" w:hAnsi="Times New Roman" w:cs="Times New Roman"/>
          <w:sz w:val="22"/>
          <w:szCs w:val="22"/>
          <w:vertAlign w:val="superscript"/>
        </w:rPr>
        <w:t>1</w:t>
      </w:r>
      <w:r w:rsidR="0040194E">
        <w:rPr>
          <w:rFonts w:ascii="Times New Roman" w:hAnsi="Times New Roman" w:cs="Times New Roman"/>
          <w:sz w:val="22"/>
          <w:szCs w:val="22"/>
        </w:rPr>
        <w:t xml:space="preserve">, </w:t>
      </w:r>
      <w:r w:rsidRPr="00842993">
        <w:rPr>
          <w:rFonts w:ascii="Times New Roman" w:hAnsi="Times New Roman" w:cs="Times New Roman"/>
          <w:sz w:val="22"/>
          <w:szCs w:val="22"/>
          <w:lang w:val="pl-PL"/>
        </w:rPr>
        <w:t>Dr. Maciej Goniewicz</w:t>
      </w:r>
      <w:r w:rsidR="0015085D" w:rsidRPr="00842993">
        <w:rPr>
          <w:rFonts w:ascii="Times New Roman" w:hAnsi="Times New Roman" w:cs="Times New Roman"/>
          <w:sz w:val="22"/>
          <w:szCs w:val="22"/>
          <w:vertAlign w:val="superscript"/>
          <w:lang w:val="pl-PL"/>
        </w:rPr>
        <w:t>2</w:t>
      </w:r>
      <w:r w:rsidR="0040194E">
        <w:rPr>
          <w:rFonts w:ascii="Times New Roman" w:hAnsi="Times New Roman" w:cs="Times New Roman"/>
          <w:sz w:val="22"/>
          <w:szCs w:val="22"/>
        </w:rPr>
        <w:t xml:space="preserve">, </w:t>
      </w:r>
      <w:r w:rsidR="008D45A3" w:rsidRPr="00842993">
        <w:rPr>
          <w:rFonts w:ascii="Times New Roman" w:hAnsi="Times New Roman" w:cs="Times New Roman"/>
          <w:sz w:val="22"/>
          <w:szCs w:val="22"/>
          <w:lang w:val="pl-PL"/>
        </w:rPr>
        <w:t>Professor. Hayden McRobbie</w:t>
      </w:r>
      <w:r w:rsidR="00B62BB9">
        <w:rPr>
          <w:rFonts w:ascii="Times New Roman" w:hAnsi="Times New Roman" w:cs="Times New Roman"/>
          <w:sz w:val="22"/>
          <w:szCs w:val="22"/>
          <w:vertAlign w:val="superscript"/>
          <w:lang w:val="pl-PL"/>
        </w:rPr>
        <w:t>3</w:t>
      </w:r>
      <w:r w:rsidR="0040194E">
        <w:rPr>
          <w:rFonts w:ascii="Times New Roman" w:hAnsi="Times New Roman" w:cs="Times New Roman"/>
          <w:sz w:val="22"/>
          <w:szCs w:val="22"/>
        </w:rPr>
        <w:t xml:space="preserve">, </w:t>
      </w:r>
      <w:r w:rsidR="008D45A3" w:rsidRPr="00842993">
        <w:rPr>
          <w:rFonts w:ascii="Times New Roman" w:hAnsi="Times New Roman" w:cs="Times New Roman"/>
          <w:sz w:val="22"/>
          <w:szCs w:val="22"/>
        </w:rPr>
        <w:t>Catherine Kimber</w:t>
      </w:r>
      <w:r w:rsidR="00B62BB9">
        <w:rPr>
          <w:rFonts w:ascii="Times New Roman" w:hAnsi="Times New Roman" w:cs="Times New Roman"/>
          <w:sz w:val="22"/>
          <w:szCs w:val="22"/>
          <w:vertAlign w:val="superscript"/>
        </w:rPr>
        <w:t>4</w:t>
      </w:r>
      <w:r w:rsidR="0040194E">
        <w:rPr>
          <w:rFonts w:ascii="Times New Roman" w:hAnsi="Times New Roman" w:cs="Times New Roman"/>
          <w:sz w:val="22"/>
          <w:szCs w:val="22"/>
        </w:rPr>
        <w:t xml:space="preserve">, </w:t>
      </w:r>
      <w:proofErr w:type="spellStart"/>
      <w:r w:rsidR="008D45A3" w:rsidRPr="00842993">
        <w:rPr>
          <w:rFonts w:ascii="Times New Roman" w:hAnsi="Times New Roman" w:cs="Times New Roman"/>
          <w:sz w:val="22"/>
          <w:szCs w:val="22"/>
        </w:rPr>
        <w:t>Dr.</w:t>
      </w:r>
      <w:proofErr w:type="spellEnd"/>
      <w:r w:rsidR="008D45A3" w:rsidRPr="00842993">
        <w:rPr>
          <w:rFonts w:ascii="Times New Roman" w:hAnsi="Times New Roman" w:cs="Times New Roman"/>
          <w:sz w:val="22"/>
          <w:szCs w:val="22"/>
        </w:rPr>
        <w:t xml:space="preserve"> Mira Doig</w:t>
      </w:r>
      <w:r w:rsidR="00B62BB9">
        <w:rPr>
          <w:rFonts w:ascii="Times New Roman" w:hAnsi="Times New Roman" w:cs="Times New Roman"/>
          <w:sz w:val="22"/>
          <w:szCs w:val="22"/>
          <w:vertAlign w:val="superscript"/>
        </w:rPr>
        <w:t>5</w:t>
      </w:r>
      <w:r w:rsidR="0040194E">
        <w:rPr>
          <w:rFonts w:ascii="Times New Roman" w:hAnsi="Times New Roman" w:cs="Times New Roman"/>
          <w:sz w:val="22"/>
          <w:szCs w:val="22"/>
        </w:rPr>
        <w:t xml:space="preserve">, </w:t>
      </w:r>
      <w:proofErr w:type="spellStart"/>
      <w:r w:rsidRPr="00842993">
        <w:rPr>
          <w:rFonts w:ascii="Times New Roman" w:hAnsi="Times New Roman" w:cs="Times New Roman"/>
          <w:sz w:val="22"/>
          <w:szCs w:val="22"/>
        </w:rPr>
        <w:t>Dr.</w:t>
      </w:r>
      <w:proofErr w:type="spellEnd"/>
      <w:r w:rsidRPr="00842993">
        <w:rPr>
          <w:rFonts w:ascii="Times New Roman" w:hAnsi="Times New Roman" w:cs="Times New Roman"/>
          <w:sz w:val="22"/>
          <w:szCs w:val="22"/>
        </w:rPr>
        <w:t xml:space="preserve"> Leon </w:t>
      </w:r>
      <w:r w:rsidR="0015085D" w:rsidRPr="00842993">
        <w:rPr>
          <w:rFonts w:ascii="Times New Roman" w:hAnsi="Times New Roman" w:cs="Times New Roman"/>
          <w:sz w:val="22"/>
          <w:szCs w:val="22"/>
        </w:rPr>
        <w:t>Kośmider</w:t>
      </w:r>
      <w:r w:rsidR="00B62BB9">
        <w:rPr>
          <w:rFonts w:ascii="Times New Roman" w:hAnsi="Times New Roman" w:cs="Times New Roman"/>
          <w:sz w:val="22"/>
          <w:szCs w:val="22"/>
          <w:vertAlign w:val="superscript"/>
        </w:rPr>
        <w:t>6</w:t>
      </w:r>
    </w:p>
    <w:p w14:paraId="6739E6B3" w14:textId="77777777" w:rsidR="00B62BB9" w:rsidRDefault="00B62BB9" w:rsidP="00B62BB9">
      <w:pPr>
        <w:spacing w:line="480" w:lineRule="auto"/>
        <w:jc w:val="both"/>
        <w:rPr>
          <w:rFonts w:ascii="Arial" w:hAnsi="Arial" w:cs="Arial"/>
          <w:vertAlign w:val="superscript"/>
        </w:rPr>
      </w:pPr>
    </w:p>
    <w:p w14:paraId="606069CB" w14:textId="1B1603A7" w:rsidR="00B62BB9" w:rsidRPr="0019487E" w:rsidRDefault="00B62BB9" w:rsidP="00AA5826">
      <w:pPr>
        <w:spacing w:line="480" w:lineRule="auto"/>
        <w:jc w:val="both"/>
        <w:rPr>
          <w:rFonts w:ascii="Times New Roman" w:eastAsiaTheme="minorEastAsia" w:hAnsi="Times New Roman" w:cs="Times New Roman"/>
          <w:sz w:val="22"/>
          <w:szCs w:val="22"/>
          <w:lang w:eastAsia="en-GB"/>
        </w:rPr>
      </w:pPr>
      <w:r w:rsidRPr="00B62BB9">
        <w:rPr>
          <w:rFonts w:ascii="Times New Roman" w:hAnsi="Times New Roman" w:cs="Times New Roman"/>
          <w:sz w:val="22"/>
          <w:szCs w:val="22"/>
          <w:vertAlign w:val="superscript"/>
        </w:rPr>
        <w:t xml:space="preserve">1 </w:t>
      </w:r>
      <w:r w:rsidRPr="00B62BB9">
        <w:rPr>
          <w:rFonts w:ascii="Times New Roman" w:hAnsi="Times New Roman" w:cs="Times New Roman"/>
          <w:sz w:val="22"/>
          <w:szCs w:val="22"/>
        </w:rPr>
        <w:t xml:space="preserve">LD Corresponding author: </w:t>
      </w:r>
      <w:r w:rsidR="00AA5826" w:rsidRPr="00CF136A">
        <w:rPr>
          <w:rFonts w:ascii="Times New Roman" w:hAnsi="Times New Roman" w:cs="Times New Roman"/>
          <w:sz w:val="22"/>
          <w:szCs w:val="22"/>
        </w:rPr>
        <w:t>Centre for Addictive Behaviours Research,</w:t>
      </w:r>
      <w:r w:rsidR="00AA5826">
        <w:rPr>
          <w:rFonts w:ascii="Times New Roman" w:hAnsi="Times New Roman" w:cs="Times New Roman"/>
          <w:sz w:val="22"/>
          <w:szCs w:val="22"/>
        </w:rPr>
        <w:t xml:space="preserve"> School of Applied Sciences, </w:t>
      </w:r>
      <w:r w:rsidRPr="00B62BB9">
        <w:rPr>
          <w:rFonts w:ascii="Times New Roman" w:hAnsi="Times New Roman" w:cs="Times New Roman"/>
          <w:sz w:val="22"/>
          <w:szCs w:val="22"/>
        </w:rPr>
        <w:t xml:space="preserve">London South Bank University, </w:t>
      </w:r>
      <w:r w:rsidRPr="00B62BB9">
        <w:rPr>
          <w:rFonts w:ascii="Times New Roman" w:eastAsiaTheme="minorEastAsia" w:hAnsi="Times New Roman" w:cs="Times New Roman"/>
          <w:sz w:val="22"/>
          <w:szCs w:val="22"/>
          <w:lang w:eastAsia="en-GB"/>
        </w:rPr>
        <w:t xml:space="preserve">103 Borough Rd. London, UK. </w:t>
      </w:r>
      <w:hyperlink r:id="rId8" w:history="1">
        <w:r w:rsidRPr="00B62BB9">
          <w:rPr>
            <w:rStyle w:val="Hyperlink"/>
            <w:rFonts w:ascii="Times New Roman" w:eastAsiaTheme="minorEastAsia" w:hAnsi="Times New Roman" w:cs="Times New Roman"/>
            <w:sz w:val="22"/>
            <w:szCs w:val="22"/>
            <w:lang w:eastAsia="en-GB"/>
          </w:rPr>
          <w:t>dawkinl3@lsbu.ac.uk</w:t>
        </w:r>
      </w:hyperlink>
      <w:r w:rsidR="0019487E">
        <w:rPr>
          <w:rStyle w:val="Hyperlink"/>
          <w:rFonts w:ascii="Times New Roman" w:eastAsiaTheme="minorEastAsia" w:hAnsi="Times New Roman" w:cs="Times New Roman"/>
          <w:sz w:val="22"/>
          <w:szCs w:val="22"/>
          <w:lang w:eastAsia="en-GB"/>
        </w:rPr>
        <w:t xml:space="preserve">; </w:t>
      </w:r>
      <w:r w:rsidR="0019487E" w:rsidRPr="0019487E">
        <w:rPr>
          <w:rFonts w:ascii="Times New Roman" w:hAnsi="Times New Roman" w:cs="Times New Roman"/>
          <w:sz w:val="22"/>
          <w:szCs w:val="22"/>
          <w:shd w:val="clear" w:color="auto" w:fill="FFFFFF"/>
        </w:rPr>
        <w:t>orcid.org/0000-0003-1236-009X</w:t>
      </w:r>
    </w:p>
    <w:p w14:paraId="2D2131D1" w14:textId="1ED35DC3" w:rsidR="00B62BB9" w:rsidRPr="00B62BB9" w:rsidRDefault="00B62BB9" w:rsidP="00AA5826">
      <w:pPr>
        <w:spacing w:line="480" w:lineRule="auto"/>
        <w:jc w:val="both"/>
        <w:rPr>
          <w:rFonts w:ascii="Times New Roman" w:hAnsi="Times New Roman" w:cs="Times New Roman"/>
          <w:sz w:val="22"/>
          <w:szCs w:val="22"/>
        </w:rPr>
      </w:pPr>
      <w:r w:rsidRPr="00B62BB9">
        <w:rPr>
          <w:rFonts w:ascii="Times New Roman" w:eastAsiaTheme="minorEastAsia" w:hAnsi="Times New Roman" w:cs="Times New Roman"/>
          <w:sz w:val="22"/>
          <w:szCs w:val="22"/>
          <w:vertAlign w:val="superscript"/>
          <w:lang w:eastAsia="en-GB"/>
        </w:rPr>
        <w:t>2</w:t>
      </w:r>
      <w:r w:rsidRPr="00B62BB9">
        <w:rPr>
          <w:rFonts w:ascii="Times New Roman" w:eastAsiaTheme="minorEastAsia" w:hAnsi="Times New Roman" w:cs="Times New Roman"/>
          <w:sz w:val="22"/>
          <w:szCs w:val="22"/>
          <w:lang w:eastAsia="en-GB"/>
        </w:rPr>
        <w:t xml:space="preserve"> </w:t>
      </w:r>
      <w:r w:rsidRPr="00B62BB9">
        <w:rPr>
          <w:rFonts w:ascii="Times New Roman" w:hAnsi="Times New Roman" w:cs="Times New Roman"/>
          <w:sz w:val="22"/>
          <w:szCs w:val="22"/>
        </w:rPr>
        <w:t xml:space="preserve">Roswell Park Cancer Institute, Department of Health </w:t>
      </w:r>
      <w:proofErr w:type="spellStart"/>
      <w:r w:rsidRPr="00B62BB9">
        <w:rPr>
          <w:rFonts w:ascii="Times New Roman" w:hAnsi="Times New Roman" w:cs="Times New Roman"/>
          <w:sz w:val="22"/>
          <w:szCs w:val="22"/>
        </w:rPr>
        <w:t>Behavior</w:t>
      </w:r>
      <w:proofErr w:type="spellEnd"/>
      <w:r w:rsidRPr="00B62BB9">
        <w:rPr>
          <w:rFonts w:ascii="Times New Roman" w:hAnsi="Times New Roman" w:cs="Times New Roman"/>
          <w:sz w:val="22"/>
          <w:szCs w:val="22"/>
        </w:rPr>
        <w:t xml:space="preserve">, Elm and Carlton Streets, Buffalo, NY 14263, USA. </w:t>
      </w:r>
    </w:p>
    <w:p w14:paraId="11B511B3" w14:textId="3E3BFFDC" w:rsidR="00B62BB9" w:rsidRPr="00B62BB9" w:rsidRDefault="00B62BB9" w:rsidP="00AA5826">
      <w:pPr>
        <w:spacing w:line="480" w:lineRule="auto"/>
        <w:jc w:val="both"/>
        <w:rPr>
          <w:rFonts w:ascii="Times New Roman" w:hAnsi="Times New Roman" w:cs="Times New Roman"/>
          <w:sz w:val="22"/>
          <w:szCs w:val="22"/>
        </w:rPr>
      </w:pPr>
      <w:r w:rsidRPr="00B62BB9">
        <w:rPr>
          <w:rFonts w:ascii="Times New Roman" w:hAnsi="Times New Roman" w:cs="Times New Roman"/>
          <w:sz w:val="22"/>
          <w:szCs w:val="22"/>
          <w:vertAlign w:val="superscript"/>
        </w:rPr>
        <w:t>3</w:t>
      </w:r>
      <w:r w:rsidRPr="00B62BB9">
        <w:rPr>
          <w:rFonts w:ascii="Times New Roman" w:hAnsi="Times New Roman" w:cs="Times New Roman"/>
          <w:sz w:val="22"/>
          <w:szCs w:val="22"/>
        </w:rPr>
        <w:t xml:space="preserve">Queen Mary University of London, Wolfson Institute of Preventive Medicine, </w:t>
      </w:r>
      <w:proofErr w:type="spellStart"/>
      <w:r w:rsidRPr="00B62BB9">
        <w:rPr>
          <w:rFonts w:ascii="Times New Roman" w:hAnsi="Times New Roman" w:cs="Times New Roman"/>
          <w:sz w:val="22"/>
          <w:szCs w:val="22"/>
        </w:rPr>
        <w:t>Barts</w:t>
      </w:r>
      <w:proofErr w:type="spellEnd"/>
      <w:r w:rsidRPr="00B62BB9">
        <w:rPr>
          <w:rFonts w:ascii="Times New Roman" w:hAnsi="Times New Roman" w:cs="Times New Roman"/>
          <w:sz w:val="22"/>
          <w:szCs w:val="22"/>
        </w:rPr>
        <w:t xml:space="preserve"> and The London School of Medicine and Dentistry, Charterhouse Square, London, UK. </w:t>
      </w:r>
    </w:p>
    <w:p w14:paraId="4C9F012F" w14:textId="307A83D2" w:rsidR="00F93810" w:rsidRPr="00F93810" w:rsidRDefault="00B62BB9" w:rsidP="00F93810">
      <w:pPr>
        <w:spacing w:line="480" w:lineRule="auto"/>
        <w:jc w:val="both"/>
        <w:rPr>
          <w:rFonts w:ascii="Times New Roman" w:hAnsi="Times New Roman" w:cs="Times New Roman"/>
          <w:sz w:val="22"/>
          <w:szCs w:val="22"/>
        </w:rPr>
      </w:pPr>
      <w:r w:rsidRPr="00B62BB9">
        <w:rPr>
          <w:rFonts w:ascii="Times New Roman" w:hAnsi="Times New Roman" w:cs="Times New Roman"/>
          <w:sz w:val="22"/>
          <w:szCs w:val="22"/>
          <w:vertAlign w:val="superscript"/>
        </w:rPr>
        <w:t>4</w:t>
      </w:r>
      <w:r w:rsidRPr="00B62BB9">
        <w:rPr>
          <w:rFonts w:ascii="Times New Roman" w:hAnsi="Times New Roman" w:cs="Times New Roman"/>
          <w:sz w:val="22"/>
          <w:szCs w:val="22"/>
        </w:rPr>
        <w:t xml:space="preserve">University of East London, School of Psychology, </w:t>
      </w:r>
      <w:r w:rsidR="00F93810" w:rsidRPr="00CF136A">
        <w:rPr>
          <w:rFonts w:ascii="Times New Roman" w:hAnsi="Times New Roman" w:cs="Times New Roman"/>
          <w:sz w:val="22"/>
          <w:szCs w:val="22"/>
        </w:rPr>
        <w:t>College of Applied Health and Communities,</w:t>
      </w:r>
    </w:p>
    <w:p w14:paraId="1BE0A239" w14:textId="36E65AF3" w:rsidR="00B62BB9" w:rsidRPr="00B62BB9" w:rsidRDefault="00B62BB9" w:rsidP="00AA5826">
      <w:pPr>
        <w:spacing w:line="480" w:lineRule="auto"/>
        <w:jc w:val="both"/>
        <w:rPr>
          <w:rFonts w:ascii="Times New Roman" w:hAnsi="Times New Roman" w:cs="Times New Roman"/>
          <w:sz w:val="22"/>
          <w:szCs w:val="22"/>
        </w:rPr>
      </w:pPr>
      <w:r w:rsidRPr="00B62BB9">
        <w:rPr>
          <w:rFonts w:ascii="Times New Roman" w:hAnsi="Times New Roman" w:cs="Times New Roman"/>
          <w:sz w:val="22"/>
          <w:szCs w:val="22"/>
        </w:rPr>
        <w:t xml:space="preserve">Waters Lane, London, UK.  </w:t>
      </w:r>
    </w:p>
    <w:p w14:paraId="0323DA65" w14:textId="13527B91" w:rsidR="00B62BB9" w:rsidRPr="00B62BB9" w:rsidRDefault="00B62BB9" w:rsidP="00AA5826">
      <w:pPr>
        <w:pStyle w:val="PlainText"/>
        <w:spacing w:line="480" w:lineRule="auto"/>
        <w:jc w:val="both"/>
        <w:rPr>
          <w:rFonts w:ascii="Times New Roman" w:hAnsi="Times New Roman" w:cs="Times New Roman"/>
          <w:szCs w:val="22"/>
        </w:rPr>
      </w:pPr>
      <w:r w:rsidRPr="00B62BB9">
        <w:rPr>
          <w:rFonts w:ascii="Times New Roman" w:hAnsi="Times New Roman" w:cs="Times New Roman"/>
          <w:szCs w:val="22"/>
          <w:vertAlign w:val="superscript"/>
        </w:rPr>
        <w:t>5</w:t>
      </w:r>
      <w:r w:rsidRPr="00B62BB9">
        <w:rPr>
          <w:rFonts w:ascii="Times New Roman" w:hAnsi="Times New Roman" w:cs="Times New Roman"/>
          <w:szCs w:val="22"/>
        </w:rPr>
        <w:t xml:space="preserve">ABS Laboratories Ltd, </w:t>
      </w:r>
      <w:proofErr w:type="spellStart"/>
      <w:r w:rsidRPr="00B62BB9">
        <w:rPr>
          <w:rFonts w:ascii="Times New Roman" w:hAnsi="Times New Roman" w:cs="Times New Roman"/>
          <w:szCs w:val="22"/>
        </w:rPr>
        <w:t>BioPark</w:t>
      </w:r>
      <w:proofErr w:type="spellEnd"/>
      <w:r w:rsidRPr="00B62BB9">
        <w:rPr>
          <w:rFonts w:ascii="Times New Roman" w:hAnsi="Times New Roman" w:cs="Times New Roman"/>
          <w:szCs w:val="22"/>
        </w:rPr>
        <w:t xml:space="preserve">, </w:t>
      </w:r>
      <w:proofErr w:type="spellStart"/>
      <w:r w:rsidRPr="00B62BB9">
        <w:rPr>
          <w:rFonts w:ascii="Times New Roman" w:hAnsi="Times New Roman" w:cs="Times New Roman"/>
          <w:szCs w:val="22"/>
        </w:rPr>
        <w:t>Broadwater</w:t>
      </w:r>
      <w:proofErr w:type="spellEnd"/>
      <w:r w:rsidRPr="00B62BB9">
        <w:rPr>
          <w:rFonts w:ascii="Times New Roman" w:hAnsi="Times New Roman" w:cs="Times New Roman"/>
          <w:szCs w:val="22"/>
        </w:rPr>
        <w:t xml:space="preserve"> Road, Welwyn Garden City, Hertfor</w:t>
      </w:r>
      <w:r w:rsidR="00AD127E">
        <w:rPr>
          <w:rFonts w:ascii="Times New Roman" w:hAnsi="Times New Roman" w:cs="Times New Roman"/>
          <w:szCs w:val="22"/>
        </w:rPr>
        <w:t>d</w:t>
      </w:r>
      <w:r w:rsidRPr="00B62BB9">
        <w:rPr>
          <w:rFonts w:ascii="Times New Roman" w:hAnsi="Times New Roman" w:cs="Times New Roman"/>
          <w:szCs w:val="22"/>
        </w:rPr>
        <w:t xml:space="preserve">shire, AL7 3AX UK. </w:t>
      </w:r>
    </w:p>
    <w:p w14:paraId="6F4861F3" w14:textId="4B7F01D4" w:rsidR="00AA5826" w:rsidRPr="00CF136A" w:rsidRDefault="00B62BB9" w:rsidP="00AA5826">
      <w:pPr>
        <w:spacing w:line="480" w:lineRule="auto"/>
        <w:jc w:val="both"/>
        <w:rPr>
          <w:rFonts w:ascii="Times New Roman" w:hAnsi="Times New Roman" w:cs="Times New Roman"/>
          <w:color w:val="000000"/>
          <w:sz w:val="22"/>
          <w:szCs w:val="22"/>
        </w:rPr>
      </w:pPr>
      <w:r w:rsidRPr="00CF136A">
        <w:rPr>
          <w:rFonts w:ascii="Times New Roman" w:eastAsiaTheme="minorEastAsia" w:hAnsi="Times New Roman" w:cs="Times New Roman"/>
          <w:sz w:val="22"/>
          <w:szCs w:val="22"/>
          <w:vertAlign w:val="superscript"/>
          <w:lang w:eastAsia="en-GB"/>
        </w:rPr>
        <w:t xml:space="preserve">6 </w:t>
      </w:r>
      <w:r w:rsidR="00AA5826" w:rsidRPr="00CF136A">
        <w:rPr>
          <w:rFonts w:ascii="Times New Roman" w:hAnsi="Times New Roman" w:cs="Times New Roman"/>
          <w:color w:val="000000"/>
          <w:sz w:val="22"/>
          <w:szCs w:val="22"/>
        </w:rPr>
        <w:t xml:space="preserve">Department of Pharmaceutics, School of Pharmacy, affiliated with the </w:t>
      </w:r>
      <w:proofErr w:type="spellStart"/>
      <w:r w:rsidR="00AA5826" w:rsidRPr="00CF136A">
        <w:rPr>
          <w:rFonts w:ascii="Times New Roman" w:hAnsi="Times New Roman" w:cs="Times New Roman"/>
          <w:color w:val="000000"/>
          <w:sz w:val="22"/>
          <w:szCs w:val="22"/>
        </w:rPr>
        <w:t>Center</w:t>
      </w:r>
      <w:proofErr w:type="spellEnd"/>
      <w:r w:rsidR="00AA5826" w:rsidRPr="00CF136A">
        <w:rPr>
          <w:rFonts w:ascii="Times New Roman" w:hAnsi="Times New Roman" w:cs="Times New Roman"/>
          <w:color w:val="000000"/>
          <w:sz w:val="22"/>
          <w:szCs w:val="22"/>
        </w:rPr>
        <w:t xml:space="preserve"> for the Study of Tobacco Products, Virginia Commonwealth University, 410N 12th Street</w:t>
      </w:r>
      <w:r w:rsidR="005328CD" w:rsidRPr="00CF136A">
        <w:rPr>
          <w:rFonts w:ascii="Times New Roman" w:hAnsi="Times New Roman" w:cs="Times New Roman"/>
          <w:color w:val="000000"/>
          <w:sz w:val="22"/>
          <w:szCs w:val="22"/>
        </w:rPr>
        <w:t xml:space="preserve">, </w:t>
      </w:r>
      <w:r w:rsidR="00AA5826" w:rsidRPr="00CF136A">
        <w:rPr>
          <w:rFonts w:ascii="Times New Roman" w:hAnsi="Times New Roman" w:cs="Times New Roman"/>
          <w:color w:val="000000"/>
          <w:sz w:val="22"/>
          <w:szCs w:val="22"/>
        </w:rPr>
        <w:t>Box 980533, Richmond, VA 23298-0533, USA.</w:t>
      </w:r>
    </w:p>
    <w:p w14:paraId="4485B7C6" w14:textId="24258881" w:rsidR="008D45A3" w:rsidRDefault="008D45A3" w:rsidP="00B63778">
      <w:pPr>
        <w:spacing w:line="480" w:lineRule="auto"/>
        <w:rPr>
          <w:rFonts w:ascii="Times New Roman" w:hAnsi="Times New Roman" w:cs="Times New Roman"/>
          <w:b/>
          <w:sz w:val="22"/>
          <w:szCs w:val="22"/>
        </w:rPr>
      </w:pPr>
    </w:p>
    <w:p w14:paraId="1D67CF77" w14:textId="51D1FF58" w:rsidR="00FA27A8" w:rsidRPr="00FA27A8" w:rsidRDefault="00FA27A8" w:rsidP="0040194E">
      <w:pPr>
        <w:spacing w:line="480" w:lineRule="auto"/>
        <w:rPr>
          <w:rFonts w:ascii="Times New Roman" w:hAnsi="Times New Roman" w:cs="Times New Roman"/>
          <w:sz w:val="22"/>
          <w:szCs w:val="22"/>
        </w:rPr>
      </w:pPr>
      <w:r>
        <w:rPr>
          <w:rFonts w:ascii="Times New Roman" w:hAnsi="Times New Roman" w:cs="Times New Roman"/>
          <w:b/>
          <w:sz w:val="22"/>
          <w:szCs w:val="22"/>
        </w:rPr>
        <w:t xml:space="preserve">Running head: </w:t>
      </w:r>
      <w:r>
        <w:rPr>
          <w:rFonts w:ascii="Times New Roman" w:hAnsi="Times New Roman" w:cs="Times New Roman"/>
          <w:sz w:val="22"/>
          <w:szCs w:val="22"/>
        </w:rPr>
        <w:t>Real-world compensatory e-cigarette behaviour</w:t>
      </w:r>
    </w:p>
    <w:p w14:paraId="18F1B39F" w14:textId="398279F5" w:rsidR="008D45A3" w:rsidRPr="00842993" w:rsidRDefault="008D45A3" w:rsidP="0040194E">
      <w:pPr>
        <w:spacing w:line="480" w:lineRule="auto"/>
        <w:rPr>
          <w:rFonts w:ascii="Times New Roman" w:hAnsi="Times New Roman" w:cs="Times New Roman"/>
          <w:b/>
          <w:sz w:val="22"/>
          <w:szCs w:val="22"/>
        </w:rPr>
      </w:pPr>
      <w:r w:rsidRPr="00842993">
        <w:rPr>
          <w:rFonts w:ascii="Times New Roman" w:hAnsi="Times New Roman" w:cs="Times New Roman"/>
          <w:b/>
          <w:sz w:val="22"/>
          <w:szCs w:val="22"/>
        </w:rPr>
        <w:t>Word count</w:t>
      </w:r>
      <w:r w:rsidR="0040194E">
        <w:rPr>
          <w:rFonts w:ascii="Times New Roman" w:hAnsi="Times New Roman" w:cs="Times New Roman"/>
          <w:b/>
          <w:sz w:val="22"/>
          <w:szCs w:val="22"/>
        </w:rPr>
        <w:t>:</w:t>
      </w:r>
      <w:r w:rsidR="005E33A4">
        <w:rPr>
          <w:rFonts w:ascii="Times New Roman" w:hAnsi="Times New Roman" w:cs="Times New Roman"/>
          <w:sz w:val="22"/>
          <w:szCs w:val="22"/>
        </w:rPr>
        <w:t xml:space="preserve"> </w:t>
      </w:r>
      <w:r w:rsidR="00C8775E" w:rsidRPr="00724A78">
        <w:rPr>
          <w:rFonts w:ascii="Times New Roman" w:hAnsi="Times New Roman" w:cs="Times New Roman"/>
          <w:sz w:val="22"/>
          <w:szCs w:val="22"/>
        </w:rPr>
        <w:t>3999</w:t>
      </w:r>
    </w:p>
    <w:p w14:paraId="5D6BBF2B" w14:textId="172C5BFF" w:rsidR="0040194E" w:rsidRPr="0040194E" w:rsidRDefault="008D45A3" w:rsidP="0040194E">
      <w:pPr>
        <w:spacing w:line="480" w:lineRule="auto"/>
        <w:rPr>
          <w:rFonts w:ascii="Times New Roman" w:hAnsi="Times New Roman" w:cs="Times New Roman"/>
          <w:iCs/>
          <w:color w:val="000000"/>
        </w:rPr>
      </w:pPr>
      <w:r w:rsidRPr="00842993">
        <w:rPr>
          <w:rFonts w:ascii="Times New Roman" w:hAnsi="Times New Roman" w:cs="Times New Roman"/>
          <w:b/>
          <w:sz w:val="22"/>
          <w:szCs w:val="22"/>
        </w:rPr>
        <w:t xml:space="preserve">Declarations of competing interest: </w:t>
      </w:r>
      <w:r w:rsidR="00C56D77" w:rsidRPr="0040194E">
        <w:rPr>
          <w:rFonts w:ascii="Times New Roman" w:hAnsi="Times New Roman" w:cs="Times New Roman"/>
          <w:sz w:val="22"/>
          <w:szCs w:val="22"/>
        </w:rPr>
        <w:t xml:space="preserve">This study was </w:t>
      </w:r>
      <w:r w:rsidR="0040194E" w:rsidRPr="0040194E">
        <w:rPr>
          <w:rFonts w:ascii="Times New Roman" w:hAnsi="Times New Roman" w:cs="Times New Roman"/>
          <w:sz w:val="22"/>
          <w:szCs w:val="22"/>
        </w:rPr>
        <w:t xml:space="preserve">support by grant C50878/A21130 from </w:t>
      </w:r>
      <w:r w:rsidR="0040194E">
        <w:rPr>
          <w:rFonts w:ascii="Times New Roman" w:hAnsi="Times New Roman" w:cs="Times New Roman"/>
          <w:sz w:val="22"/>
          <w:szCs w:val="22"/>
        </w:rPr>
        <w:t xml:space="preserve">Cancer Research UK.  </w:t>
      </w:r>
      <w:r w:rsidR="0040194E">
        <w:rPr>
          <w:rFonts w:ascii="Times New Roman" w:hAnsi="Times New Roman" w:cs="Times New Roman"/>
          <w:sz w:val="22"/>
          <w:szCs w:val="22"/>
          <w:lang w:val="en-US"/>
        </w:rPr>
        <w:t>L</w:t>
      </w:r>
      <w:r w:rsidR="0040194E" w:rsidRPr="0040194E">
        <w:rPr>
          <w:rFonts w:ascii="Times New Roman" w:hAnsi="Times New Roman" w:cs="Times New Roman"/>
          <w:sz w:val="22"/>
          <w:szCs w:val="22"/>
          <w:lang w:val="en-US"/>
        </w:rPr>
        <w:t xml:space="preserve">D has conducted research for independent electronic cigarette companies.  These companies had no input into the design, conduct or write up of the projects.  She has also acted as a consultant for the pharmaceutical industry and as an expert witness in a patent infringement case </w:t>
      </w:r>
      <w:r w:rsidR="0040194E" w:rsidRPr="0040194E">
        <w:rPr>
          <w:rFonts w:ascii="Times New Roman" w:hAnsi="Times New Roman" w:cs="Times New Roman"/>
          <w:sz w:val="22"/>
          <w:szCs w:val="22"/>
          <w:lang w:val="en-US"/>
        </w:rPr>
        <w:lastRenderedPageBreak/>
        <w:t>(2015).</w:t>
      </w:r>
      <w:r w:rsidR="0040194E" w:rsidRPr="0040194E">
        <w:rPr>
          <w:rFonts w:ascii="Times New Roman" w:hAnsi="Times New Roman" w:cs="Times New Roman"/>
          <w:b/>
          <w:sz w:val="22"/>
          <w:szCs w:val="22"/>
        </w:rPr>
        <w:t xml:space="preserve"> </w:t>
      </w:r>
      <w:r w:rsidR="0040194E">
        <w:rPr>
          <w:rFonts w:ascii="Times New Roman" w:hAnsi="Times New Roman" w:cs="Times New Roman"/>
          <w:sz w:val="22"/>
          <w:szCs w:val="22"/>
        </w:rPr>
        <w:t xml:space="preserve">MG received a research grant from Pfizer and serves on an advisory board to Johnson &amp; Johnson, manufacturers of smoking cessation medications.  </w:t>
      </w:r>
      <w:r w:rsidR="00AE5FB5" w:rsidRPr="0040194E">
        <w:rPr>
          <w:rFonts w:ascii="Times New Roman" w:hAnsi="Times New Roman" w:cs="Times New Roman"/>
          <w:iCs/>
          <w:color w:val="000000"/>
        </w:rPr>
        <w:t>HM has received honoraria for speaking at research symposia and received benefits in kind and travel support from, and has provided consultancy to, the manufacturers of smoking cessation medications</w:t>
      </w:r>
      <w:r w:rsidR="0040194E">
        <w:rPr>
          <w:rFonts w:ascii="Times New Roman" w:hAnsi="Times New Roman" w:cs="Times New Roman"/>
          <w:iCs/>
          <w:color w:val="000000"/>
        </w:rPr>
        <w:t xml:space="preserve">. </w:t>
      </w:r>
      <w:r w:rsidR="00FB25F6" w:rsidRPr="00724A78">
        <w:rPr>
          <w:rFonts w:ascii="Times New Roman" w:hAnsi="Times New Roman" w:cs="Times New Roman"/>
          <w:iCs/>
          <w:color w:val="000000"/>
        </w:rPr>
        <w:t xml:space="preserve">LK is supported by the National Institute on Drug Abuse of the National Institutes of Health under Award Number P50DA036105 and the </w:t>
      </w:r>
      <w:proofErr w:type="spellStart"/>
      <w:r w:rsidR="00FB25F6" w:rsidRPr="00724A78">
        <w:rPr>
          <w:rFonts w:ascii="Times New Roman" w:hAnsi="Times New Roman" w:cs="Times New Roman"/>
          <w:iCs/>
          <w:color w:val="000000"/>
        </w:rPr>
        <w:t>Center</w:t>
      </w:r>
      <w:proofErr w:type="spellEnd"/>
      <w:r w:rsidR="00FB25F6" w:rsidRPr="00724A78">
        <w:rPr>
          <w:rFonts w:ascii="Times New Roman" w:hAnsi="Times New Roman" w:cs="Times New Roman"/>
          <w:iCs/>
          <w:color w:val="000000"/>
        </w:rPr>
        <w:t xml:space="preserve"> for Tobacco Products of the U.S. Food and Drug Administration. The content is solely the responsibility of the authors and does not necessarily represent the views of the NIH or the FDA. </w:t>
      </w:r>
      <w:r w:rsidR="0040194E" w:rsidRPr="0040194E">
        <w:rPr>
          <w:rFonts w:ascii="Times New Roman" w:hAnsi="Times New Roman" w:cs="Times New Roman"/>
          <w:iCs/>
          <w:color w:val="000000"/>
        </w:rPr>
        <w:t>LK was also an employee of the Institute of Occupational Medicine and</w:t>
      </w:r>
      <w:r w:rsidR="00FB25F6">
        <w:rPr>
          <w:rFonts w:ascii="Times New Roman" w:hAnsi="Times New Roman" w:cs="Times New Roman"/>
          <w:iCs/>
          <w:color w:val="000000"/>
        </w:rPr>
        <w:t xml:space="preserve"> </w:t>
      </w:r>
      <w:r w:rsidR="0040194E" w:rsidRPr="0040194E">
        <w:rPr>
          <w:rFonts w:ascii="Times New Roman" w:hAnsi="Times New Roman" w:cs="Times New Roman"/>
          <w:iCs/>
          <w:color w:val="000000"/>
        </w:rPr>
        <w:t>Environmental Health. One of the institute’s objectives is outsourcing for the industrial sector,</w:t>
      </w:r>
      <w:r w:rsidR="00CD27FB">
        <w:rPr>
          <w:rFonts w:ascii="Times New Roman" w:hAnsi="Times New Roman" w:cs="Times New Roman"/>
          <w:iCs/>
          <w:color w:val="000000"/>
        </w:rPr>
        <w:t xml:space="preserve"> </w:t>
      </w:r>
      <w:r w:rsidR="0040194E" w:rsidRPr="0040194E">
        <w:rPr>
          <w:rFonts w:ascii="Times New Roman" w:hAnsi="Times New Roman" w:cs="Times New Roman"/>
          <w:iCs/>
          <w:color w:val="000000"/>
        </w:rPr>
        <w:t>including manufacturers of e-cigarettes.</w:t>
      </w:r>
      <w:r w:rsidR="00CD27FB">
        <w:rPr>
          <w:rFonts w:ascii="Times New Roman" w:hAnsi="Times New Roman" w:cs="Times New Roman"/>
          <w:iCs/>
          <w:color w:val="000000"/>
        </w:rPr>
        <w:t xml:space="preserve">  SC, CK &amp; MD have no conflicts of interest to declare.  </w:t>
      </w:r>
    </w:p>
    <w:p w14:paraId="6ABD759A" w14:textId="6747A276" w:rsidR="00960D14" w:rsidRPr="00842993" w:rsidRDefault="00EA2112" w:rsidP="00250471">
      <w:pPr>
        <w:rPr>
          <w:rFonts w:ascii="Times New Roman" w:hAnsi="Times New Roman" w:cs="Times New Roman"/>
          <w:sz w:val="22"/>
          <w:szCs w:val="22"/>
        </w:rPr>
      </w:pPr>
      <w:r>
        <w:rPr>
          <w:rFonts w:ascii="Times New Roman" w:hAnsi="Times New Roman" w:cs="Times New Roman"/>
          <w:sz w:val="22"/>
          <w:szCs w:val="22"/>
        </w:rPr>
        <w:br w:type="page"/>
      </w:r>
    </w:p>
    <w:p w14:paraId="446681CC" w14:textId="7C741603" w:rsidR="008D45A3" w:rsidRPr="00B86C17" w:rsidRDefault="008D45A3" w:rsidP="003546B3">
      <w:pPr>
        <w:spacing w:line="480" w:lineRule="auto"/>
        <w:jc w:val="center"/>
        <w:rPr>
          <w:rFonts w:ascii="Times New Roman" w:hAnsi="Times New Roman" w:cs="Times New Roman"/>
          <w:b/>
          <w:sz w:val="22"/>
          <w:szCs w:val="22"/>
        </w:rPr>
      </w:pPr>
      <w:r w:rsidRPr="00B86C17">
        <w:rPr>
          <w:rFonts w:ascii="Times New Roman" w:hAnsi="Times New Roman" w:cs="Times New Roman"/>
          <w:b/>
          <w:sz w:val="22"/>
          <w:szCs w:val="22"/>
        </w:rPr>
        <w:lastRenderedPageBreak/>
        <w:t>Abstract</w:t>
      </w:r>
      <w:r w:rsidR="009559A5" w:rsidRPr="00B86C17">
        <w:rPr>
          <w:rFonts w:ascii="Times New Roman" w:hAnsi="Times New Roman" w:cs="Times New Roman"/>
          <w:b/>
          <w:sz w:val="22"/>
          <w:szCs w:val="22"/>
        </w:rPr>
        <w:t xml:space="preserve"> </w:t>
      </w:r>
    </w:p>
    <w:p w14:paraId="2B8E3DC9" w14:textId="77777777" w:rsidR="008D45A3" w:rsidRPr="00724A78" w:rsidRDefault="008D45A3" w:rsidP="00842993">
      <w:pPr>
        <w:spacing w:line="480" w:lineRule="auto"/>
        <w:jc w:val="both"/>
        <w:rPr>
          <w:rFonts w:ascii="Times New Roman" w:hAnsi="Times New Roman" w:cs="Times New Roman"/>
          <w:sz w:val="22"/>
          <w:szCs w:val="22"/>
        </w:rPr>
      </w:pPr>
    </w:p>
    <w:p w14:paraId="037E060D" w14:textId="77777777" w:rsidR="00724A78" w:rsidRPr="00724A78" w:rsidRDefault="00724A78" w:rsidP="00724A78">
      <w:pPr>
        <w:spacing w:line="480" w:lineRule="auto"/>
        <w:jc w:val="both"/>
        <w:rPr>
          <w:rFonts w:ascii="Times New Roman" w:hAnsi="Times New Roman" w:cs="Times New Roman"/>
          <w:sz w:val="22"/>
          <w:szCs w:val="22"/>
        </w:rPr>
      </w:pPr>
      <w:r w:rsidRPr="00724A78">
        <w:rPr>
          <w:rFonts w:ascii="Times New Roman" w:hAnsi="Times New Roman" w:cs="Times New Roman"/>
          <w:b/>
          <w:bCs/>
          <w:sz w:val="22"/>
          <w:szCs w:val="22"/>
        </w:rPr>
        <w:t>Aims</w:t>
      </w:r>
      <w:r w:rsidRPr="00724A78">
        <w:rPr>
          <w:rFonts w:ascii="Times New Roman" w:hAnsi="Times New Roman" w:cs="Times New Roman"/>
          <w:b/>
          <w:sz w:val="22"/>
          <w:szCs w:val="22"/>
        </w:rPr>
        <w:t>:</w:t>
      </w:r>
      <w:r w:rsidRPr="00724A78">
        <w:rPr>
          <w:rFonts w:ascii="Times New Roman" w:hAnsi="Times New Roman" w:cs="Times New Roman"/>
          <w:sz w:val="22"/>
          <w:szCs w:val="22"/>
        </w:rPr>
        <w:t xml:space="preserve">  To compare the effects of i) high versus low nicotine concentration e-liquid, ii) fixed versus adjustable power and iii) the interaction between the two on: a) vaping behaviour, b) subjective effects, c) nicotine intake, and d) exposure to </w:t>
      </w:r>
      <w:proofErr w:type="spellStart"/>
      <w:r w:rsidRPr="00724A78">
        <w:rPr>
          <w:rFonts w:ascii="Times New Roman" w:hAnsi="Times New Roman" w:cs="Times New Roman"/>
          <w:sz w:val="22"/>
          <w:szCs w:val="22"/>
        </w:rPr>
        <w:t>acrolein</w:t>
      </w:r>
      <w:proofErr w:type="spellEnd"/>
      <w:r w:rsidRPr="00724A78">
        <w:rPr>
          <w:rFonts w:ascii="Times New Roman" w:hAnsi="Times New Roman" w:cs="Times New Roman"/>
          <w:sz w:val="22"/>
          <w:szCs w:val="22"/>
        </w:rPr>
        <w:t xml:space="preserve"> and formaldehyde in e-cigarette users vaping in their everyday setting.  </w:t>
      </w:r>
    </w:p>
    <w:p w14:paraId="14BADB05" w14:textId="77777777" w:rsidR="00724A78" w:rsidRPr="00724A78" w:rsidRDefault="00724A78" w:rsidP="00724A78">
      <w:pPr>
        <w:spacing w:line="480" w:lineRule="auto"/>
        <w:jc w:val="both"/>
        <w:rPr>
          <w:rFonts w:ascii="Times New Roman" w:hAnsi="Times New Roman" w:cs="Times New Roman"/>
          <w:sz w:val="22"/>
          <w:szCs w:val="22"/>
        </w:rPr>
      </w:pPr>
      <w:r w:rsidRPr="00724A78">
        <w:rPr>
          <w:rFonts w:ascii="Times New Roman" w:hAnsi="Times New Roman" w:cs="Times New Roman"/>
          <w:b/>
          <w:bCs/>
          <w:sz w:val="22"/>
          <w:szCs w:val="22"/>
        </w:rPr>
        <w:t>Design</w:t>
      </w:r>
      <w:r w:rsidRPr="00724A78">
        <w:rPr>
          <w:rFonts w:ascii="Times New Roman" w:hAnsi="Times New Roman" w:cs="Times New Roman"/>
          <w:sz w:val="22"/>
          <w:szCs w:val="22"/>
        </w:rPr>
        <w:t xml:space="preserve">: Counterbalanced, repeated measures with four conditions: i) low nicotine (6 mg/mL)/fixed power; ii) low nicotine/adjustable power; iii) high nicotine (18 mg/mL)/fixed power; </w:t>
      </w:r>
      <w:proofErr w:type="gramStart"/>
      <w:r w:rsidRPr="00724A78">
        <w:rPr>
          <w:rFonts w:ascii="Times New Roman" w:hAnsi="Times New Roman" w:cs="Times New Roman"/>
          <w:sz w:val="22"/>
          <w:szCs w:val="22"/>
        </w:rPr>
        <w:t>iv) high</w:t>
      </w:r>
      <w:proofErr w:type="gramEnd"/>
      <w:r w:rsidRPr="00724A78">
        <w:rPr>
          <w:rFonts w:ascii="Times New Roman" w:hAnsi="Times New Roman" w:cs="Times New Roman"/>
          <w:sz w:val="22"/>
          <w:szCs w:val="22"/>
        </w:rPr>
        <w:t xml:space="preserve"> nicotine/adjustable power. </w:t>
      </w:r>
    </w:p>
    <w:p w14:paraId="5F710E6E" w14:textId="77777777" w:rsidR="00724A78" w:rsidRPr="00724A78" w:rsidRDefault="00724A78" w:rsidP="00724A78">
      <w:pPr>
        <w:spacing w:line="480" w:lineRule="auto"/>
        <w:jc w:val="both"/>
        <w:rPr>
          <w:rFonts w:ascii="Times New Roman" w:hAnsi="Times New Roman" w:cs="Times New Roman"/>
          <w:sz w:val="22"/>
          <w:szCs w:val="22"/>
        </w:rPr>
      </w:pPr>
      <w:r w:rsidRPr="00724A78">
        <w:rPr>
          <w:rFonts w:ascii="Times New Roman" w:hAnsi="Times New Roman" w:cs="Times New Roman"/>
          <w:bCs/>
          <w:sz w:val="22"/>
          <w:szCs w:val="22"/>
        </w:rPr>
        <w:t>Setting</w:t>
      </w:r>
      <w:r w:rsidRPr="00724A78">
        <w:rPr>
          <w:rFonts w:ascii="Times New Roman" w:hAnsi="Times New Roman" w:cs="Times New Roman"/>
          <w:sz w:val="22"/>
          <w:szCs w:val="22"/>
        </w:rPr>
        <w:t xml:space="preserve">: London and the South East, England.  </w:t>
      </w:r>
    </w:p>
    <w:p w14:paraId="0F4373F8" w14:textId="77777777" w:rsidR="00724A78" w:rsidRPr="00724A78" w:rsidRDefault="00724A78" w:rsidP="00724A78">
      <w:pPr>
        <w:spacing w:line="480" w:lineRule="auto"/>
        <w:jc w:val="both"/>
        <w:rPr>
          <w:rFonts w:ascii="Times New Roman" w:hAnsi="Times New Roman" w:cs="Times New Roman"/>
          <w:sz w:val="22"/>
          <w:szCs w:val="22"/>
        </w:rPr>
      </w:pPr>
      <w:r w:rsidRPr="00724A78">
        <w:rPr>
          <w:rFonts w:ascii="Times New Roman" w:hAnsi="Times New Roman" w:cs="Times New Roman"/>
          <w:bCs/>
          <w:sz w:val="22"/>
          <w:szCs w:val="22"/>
        </w:rPr>
        <w:t>Participants</w:t>
      </w:r>
      <w:r w:rsidRPr="00724A78">
        <w:rPr>
          <w:rFonts w:ascii="Times New Roman" w:hAnsi="Times New Roman" w:cs="Times New Roman"/>
          <w:sz w:val="22"/>
          <w:szCs w:val="22"/>
        </w:rPr>
        <w:t xml:space="preserve">: Twenty experienced e-cigarette users (recruited between September 2016 and February 2017) vaped ad libitum using an </w:t>
      </w:r>
      <w:proofErr w:type="spellStart"/>
      <w:r w:rsidRPr="00724A78">
        <w:rPr>
          <w:rFonts w:ascii="Times New Roman" w:hAnsi="Times New Roman" w:cs="Times New Roman"/>
          <w:sz w:val="22"/>
          <w:szCs w:val="22"/>
        </w:rPr>
        <w:t>eVic</w:t>
      </w:r>
      <w:proofErr w:type="spellEnd"/>
      <w:r w:rsidRPr="00724A78">
        <w:rPr>
          <w:rFonts w:ascii="Times New Roman" w:hAnsi="Times New Roman" w:cs="Times New Roman"/>
          <w:sz w:val="22"/>
          <w:szCs w:val="22"/>
        </w:rPr>
        <w:t xml:space="preserve"> Supreme™ with a ‘Nautilus Aspire’ tank over four weeks (one week per condition).  </w:t>
      </w:r>
    </w:p>
    <w:p w14:paraId="29C4BB0D" w14:textId="77777777" w:rsidR="00724A78" w:rsidRPr="00724A78" w:rsidRDefault="00724A78" w:rsidP="00724A78">
      <w:pPr>
        <w:spacing w:line="480" w:lineRule="auto"/>
        <w:jc w:val="both"/>
        <w:rPr>
          <w:rFonts w:ascii="Times New Roman" w:hAnsi="Times New Roman" w:cs="Times New Roman"/>
          <w:sz w:val="22"/>
          <w:szCs w:val="22"/>
        </w:rPr>
      </w:pPr>
      <w:r w:rsidRPr="00724A78">
        <w:rPr>
          <w:rFonts w:ascii="Times New Roman" w:hAnsi="Times New Roman" w:cs="Times New Roman"/>
          <w:b/>
          <w:bCs/>
          <w:sz w:val="22"/>
          <w:szCs w:val="22"/>
        </w:rPr>
        <w:t>Measurements</w:t>
      </w:r>
      <w:r w:rsidRPr="00724A78">
        <w:rPr>
          <w:rFonts w:ascii="Times New Roman" w:hAnsi="Times New Roman" w:cs="Times New Roman"/>
          <w:b/>
          <w:sz w:val="22"/>
          <w:szCs w:val="22"/>
        </w:rPr>
        <w:t>:</w:t>
      </w:r>
      <w:r w:rsidRPr="00724A78">
        <w:rPr>
          <w:rFonts w:ascii="Times New Roman" w:hAnsi="Times New Roman" w:cs="Times New Roman"/>
          <w:sz w:val="22"/>
          <w:szCs w:val="22"/>
        </w:rPr>
        <w:t xml:space="preserve"> Puffing patterns (daily puff number [PN], puff duration [PD], inter-puff interval [IPI]), mL of e-liquid consumed, changes to power (where permitted), and subjective effects (urge to vape, nicotine withdrawal symptoms) were measured in each condition.  Nicotine intake was measured via salivary cotinine.  3-hydroxypropylmercapturic acid (3-HPMA), a metabolite of the toxicant </w:t>
      </w:r>
      <w:proofErr w:type="spellStart"/>
      <w:r w:rsidRPr="00724A78">
        <w:rPr>
          <w:rFonts w:ascii="Times New Roman" w:hAnsi="Times New Roman" w:cs="Times New Roman"/>
          <w:sz w:val="22"/>
          <w:szCs w:val="22"/>
        </w:rPr>
        <w:t>acrolein</w:t>
      </w:r>
      <w:proofErr w:type="spellEnd"/>
      <w:r w:rsidRPr="00724A78">
        <w:rPr>
          <w:rFonts w:ascii="Times New Roman" w:hAnsi="Times New Roman" w:cs="Times New Roman"/>
          <w:sz w:val="22"/>
          <w:szCs w:val="22"/>
        </w:rPr>
        <w:t xml:space="preserve">, and </w:t>
      </w:r>
      <w:proofErr w:type="spellStart"/>
      <w:r w:rsidRPr="00724A78">
        <w:rPr>
          <w:rFonts w:ascii="Times New Roman" w:hAnsi="Times New Roman" w:cs="Times New Roman"/>
          <w:sz w:val="22"/>
          <w:szCs w:val="22"/>
        </w:rPr>
        <w:t>formate</w:t>
      </w:r>
      <w:proofErr w:type="spellEnd"/>
      <w:r w:rsidRPr="00724A78">
        <w:rPr>
          <w:rFonts w:ascii="Times New Roman" w:hAnsi="Times New Roman" w:cs="Times New Roman"/>
          <w:sz w:val="22"/>
          <w:szCs w:val="22"/>
        </w:rPr>
        <w:t>, a metabolite of the carcinogen formaldehyde, were measured in urine.</w:t>
      </w:r>
    </w:p>
    <w:p w14:paraId="7B489FE9" w14:textId="77777777" w:rsidR="00724A78" w:rsidRPr="00724A78" w:rsidRDefault="00724A78" w:rsidP="00724A78">
      <w:pPr>
        <w:spacing w:line="480" w:lineRule="auto"/>
        <w:jc w:val="both"/>
        <w:rPr>
          <w:rFonts w:ascii="Times New Roman" w:hAnsi="Times New Roman" w:cs="Times New Roman"/>
          <w:sz w:val="22"/>
          <w:szCs w:val="22"/>
        </w:rPr>
      </w:pPr>
      <w:r w:rsidRPr="00724A78">
        <w:rPr>
          <w:rFonts w:ascii="Times New Roman" w:hAnsi="Times New Roman" w:cs="Times New Roman"/>
          <w:b/>
          <w:bCs/>
          <w:sz w:val="22"/>
          <w:szCs w:val="22"/>
        </w:rPr>
        <w:t>Findings</w:t>
      </w:r>
      <w:r w:rsidRPr="00724A78">
        <w:rPr>
          <w:rFonts w:ascii="Times New Roman" w:hAnsi="Times New Roman" w:cs="Times New Roman"/>
          <w:b/>
          <w:sz w:val="22"/>
          <w:szCs w:val="22"/>
        </w:rPr>
        <w:t>:</w:t>
      </w:r>
      <w:r w:rsidRPr="00724A78">
        <w:rPr>
          <w:rFonts w:ascii="Times New Roman" w:hAnsi="Times New Roman" w:cs="Times New Roman"/>
          <w:sz w:val="22"/>
          <w:szCs w:val="22"/>
        </w:rPr>
        <w:t xml:space="preserve">  There was a significant nicotine concentration x power interaction for PD (p&lt;0.01). PD was longer with low nicotine/fixed power compared with i) high nicotine/fixed power (p&lt; 0.001 and ii) low nicotine/adjustable power (p&lt; 0.01).  PN and liquid consumed were higher in the low versus high nicotine condition (main effect of nicotine, p&lt;0.05).  Urge to vape and withdrawal symptoms were lower, and nicotine intake was higher, in the high nicotine condition (main effects of nicotine: p&lt;0.01).  Whilst </w:t>
      </w:r>
      <w:proofErr w:type="spellStart"/>
      <w:r w:rsidRPr="00724A78">
        <w:rPr>
          <w:rFonts w:ascii="Times New Roman" w:hAnsi="Times New Roman" w:cs="Times New Roman"/>
          <w:sz w:val="22"/>
          <w:szCs w:val="22"/>
        </w:rPr>
        <w:t>acrolein</w:t>
      </w:r>
      <w:proofErr w:type="spellEnd"/>
      <w:r w:rsidRPr="00724A78">
        <w:rPr>
          <w:rFonts w:ascii="Times New Roman" w:hAnsi="Times New Roman" w:cs="Times New Roman"/>
          <w:sz w:val="22"/>
          <w:szCs w:val="22"/>
        </w:rPr>
        <w:t xml:space="preserve"> levels did not differ, there was a significant nicotine x power interaction for formaldehyde (p&lt;0.05).</w:t>
      </w:r>
    </w:p>
    <w:p w14:paraId="2C2BA4B5" w14:textId="77777777" w:rsidR="00724A78" w:rsidRPr="00724A78" w:rsidRDefault="00724A78" w:rsidP="00724A78">
      <w:pPr>
        <w:spacing w:line="480" w:lineRule="auto"/>
        <w:jc w:val="both"/>
        <w:rPr>
          <w:rFonts w:ascii="Times New Roman" w:hAnsi="Times New Roman" w:cs="Times New Roman"/>
          <w:sz w:val="22"/>
          <w:szCs w:val="22"/>
        </w:rPr>
      </w:pPr>
      <w:r w:rsidRPr="00724A78">
        <w:rPr>
          <w:rFonts w:ascii="Times New Roman" w:hAnsi="Times New Roman" w:cs="Times New Roman"/>
          <w:b/>
          <w:bCs/>
          <w:sz w:val="22"/>
          <w:szCs w:val="22"/>
        </w:rPr>
        <w:t>Conclusions</w:t>
      </w:r>
      <w:r w:rsidRPr="00724A78">
        <w:rPr>
          <w:rFonts w:ascii="Times New Roman" w:hAnsi="Times New Roman" w:cs="Times New Roman"/>
          <w:b/>
          <w:sz w:val="22"/>
          <w:szCs w:val="22"/>
        </w:rPr>
        <w:t>:</w:t>
      </w:r>
      <w:r w:rsidRPr="00724A78">
        <w:rPr>
          <w:rFonts w:ascii="Times New Roman" w:hAnsi="Times New Roman" w:cs="Times New Roman"/>
          <w:sz w:val="22"/>
          <w:szCs w:val="22"/>
        </w:rPr>
        <w:t xml:space="preserve"> Use of a lower nicotine concentration e-liquid was may be associated with compensatory behaviour (e.g., higher number and duration of puffs) and increases in negative affect, urge to vape, and formaldehyde exposure.</w:t>
      </w:r>
    </w:p>
    <w:p w14:paraId="731A481A" w14:textId="77777777" w:rsidR="008D45A3" w:rsidRPr="00842993" w:rsidRDefault="008D45A3" w:rsidP="00842993">
      <w:pPr>
        <w:spacing w:line="480" w:lineRule="auto"/>
        <w:jc w:val="both"/>
        <w:rPr>
          <w:rFonts w:ascii="Times New Roman" w:hAnsi="Times New Roman" w:cs="Times New Roman"/>
          <w:sz w:val="22"/>
          <w:szCs w:val="22"/>
        </w:rPr>
      </w:pPr>
    </w:p>
    <w:p w14:paraId="442813B7" w14:textId="414E521C" w:rsidR="00BD4579" w:rsidRDefault="004360CA" w:rsidP="00842993">
      <w:pPr>
        <w:spacing w:line="480" w:lineRule="auto"/>
        <w:jc w:val="both"/>
        <w:rPr>
          <w:rFonts w:ascii="Times New Roman" w:hAnsi="Times New Roman" w:cs="Times New Roman"/>
          <w:sz w:val="22"/>
          <w:szCs w:val="22"/>
        </w:rPr>
      </w:pPr>
      <w:r>
        <w:rPr>
          <w:rFonts w:ascii="Times New Roman" w:hAnsi="Times New Roman" w:cs="Times New Roman"/>
          <w:sz w:val="22"/>
          <w:szCs w:val="22"/>
        </w:rPr>
        <w:t>Keywords: E-cigarette,</w:t>
      </w:r>
      <w:r w:rsidR="008D45A3" w:rsidRPr="00842993">
        <w:rPr>
          <w:rFonts w:ascii="Times New Roman" w:hAnsi="Times New Roman" w:cs="Times New Roman"/>
          <w:sz w:val="22"/>
          <w:szCs w:val="22"/>
        </w:rPr>
        <w:t xml:space="preserve"> </w:t>
      </w:r>
      <w:r w:rsidR="00144BEF">
        <w:rPr>
          <w:rFonts w:ascii="Times New Roman" w:hAnsi="Times New Roman" w:cs="Times New Roman"/>
          <w:sz w:val="22"/>
          <w:szCs w:val="22"/>
        </w:rPr>
        <w:t xml:space="preserve">puffing patterns, </w:t>
      </w:r>
      <w:r>
        <w:rPr>
          <w:rFonts w:ascii="Times New Roman" w:hAnsi="Times New Roman" w:cs="Times New Roman"/>
          <w:sz w:val="22"/>
          <w:szCs w:val="22"/>
        </w:rPr>
        <w:t xml:space="preserve">compensatory behaviour, </w:t>
      </w:r>
      <w:r w:rsidR="00144BEF">
        <w:rPr>
          <w:rFonts w:ascii="Times New Roman" w:hAnsi="Times New Roman" w:cs="Times New Roman"/>
          <w:sz w:val="22"/>
          <w:szCs w:val="22"/>
        </w:rPr>
        <w:t xml:space="preserve">subjective effects, nicotine, </w:t>
      </w:r>
      <w:proofErr w:type="spellStart"/>
      <w:r w:rsidR="00144BEF">
        <w:rPr>
          <w:rFonts w:ascii="Times New Roman" w:hAnsi="Times New Roman" w:cs="Times New Roman"/>
          <w:sz w:val="22"/>
          <w:szCs w:val="22"/>
        </w:rPr>
        <w:t>acrolein</w:t>
      </w:r>
      <w:proofErr w:type="spellEnd"/>
      <w:r w:rsidR="00144BEF">
        <w:rPr>
          <w:rFonts w:ascii="Times New Roman" w:hAnsi="Times New Roman" w:cs="Times New Roman"/>
          <w:sz w:val="22"/>
          <w:szCs w:val="22"/>
        </w:rPr>
        <w:t>, formaldehyde</w:t>
      </w:r>
    </w:p>
    <w:p w14:paraId="74B0E0DF" w14:textId="77777777" w:rsidR="007D4E79" w:rsidRPr="00250471" w:rsidRDefault="007D4E79" w:rsidP="00842993">
      <w:pPr>
        <w:spacing w:line="480" w:lineRule="auto"/>
        <w:jc w:val="both"/>
        <w:rPr>
          <w:rFonts w:ascii="Times New Roman" w:hAnsi="Times New Roman" w:cs="Times New Roman"/>
          <w:sz w:val="22"/>
          <w:szCs w:val="22"/>
        </w:rPr>
      </w:pPr>
    </w:p>
    <w:p w14:paraId="1966F739" w14:textId="6C6E6EF5" w:rsidR="00E6477B" w:rsidRPr="00E6477B" w:rsidRDefault="00E6477B" w:rsidP="00842993">
      <w:pPr>
        <w:spacing w:line="480" w:lineRule="auto"/>
        <w:jc w:val="both"/>
        <w:rPr>
          <w:rFonts w:ascii="Times New Roman" w:hAnsi="Times New Roman" w:cs="Times New Roman"/>
          <w:sz w:val="22"/>
          <w:szCs w:val="22"/>
          <w:u w:val="single"/>
        </w:rPr>
      </w:pPr>
      <w:r w:rsidRPr="00E6477B">
        <w:rPr>
          <w:rFonts w:ascii="Times New Roman" w:hAnsi="Times New Roman" w:cs="Times New Roman"/>
          <w:b/>
          <w:sz w:val="22"/>
          <w:szCs w:val="22"/>
          <w:u w:val="single"/>
        </w:rPr>
        <w:t>Introduction</w:t>
      </w:r>
    </w:p>
    <w:p w14:paraId="2F51C501" w14:textId="168DE0E3" w:rsidR="004E2A2F" w:rsidRDefault="0068233D" w:rsidP="00842993">
      <w:pPr>
        <w:spacing w:line="480" w:lineRule="auto"/>
        <w:jc w:val="both"/>
        <w:rPr>
          <w:rFonts w:ascii="Times New Roman" w:hAnsi="Times New Roman" w:cs="Times New Roman"/>
          <w:sz w:val="22"/>
          <w:szCs w:val="22"/>
        </w:rPr>
      </w:pPr>
      <w:r w:rsidRPr="00724A78">
        <w:rPr>
          <w:rFonts w:ascii="Times New Roman" w:hAnsi="Times New Roman" w:cs="Times New Roman"/>
          <w:sz w:val="22"/>
          <w:szCs w:val="22"/>
        </w:rPr>
        <w:t xml:space="preserve">Awareness and use of </w:t>
      </w:r>
      <w:r w:rsidR="003445BB" w:rsidRPr="00724A78">
        <w:rPr>
          <w:rFonts w:ascii="Times New Roman" w:hAnsi="Times New Roman" w:cs="Times New Roman"/>
          <w:sz w:val="22"/>
          <w:szCs w:val="22"/>
        </w:rPr>
        <w:t>electronic cigarettes (</w:t>
      </w:r>
      <w:r w:rsidRPr="00724A78">
        <w:rPr>
          <w:rFonts w:ascii="Times New Roman" w:hAnsi="Times New Roman" w:cs="Times New Roman"/>
          <w:sz w:val="22"/>
          <w:szCs w:val="22"/>
        </w:rPr>
        <w:t>e-cigarettes</w:t>
      </w:r>
      <w:r w:rsidR="003445BB" w:rsidRPr="00724A78">
        <w:rPr>
          <w:rFonts w:ascii="Times New Roman" w:hAnsi="Times New Roman" w:cs="Times New Roman"/>
          <w:sz w:val="22"/>
          <w:szCs w:val="22"/>
        </w:rPr>
        <w:t>)</w:t>
      </w:r>
      <w:r w:rsidRPr="00724A78">
        <w:rPr>
          <w:rFonts w:ascii="Times New Roman" w:hAnsi="Times New Roman" w:cs="Times New Roman"/>
          <w:sz w:val="22"/>
          <w:szCs w:val="22"/>
        </w:rPr>
        <w:t xml:space="preserve"> has rapidly increased over recent years, with an estimated 23.1 million smokers in the EU reporting ever trying an e-cigarette in 2012 [1] and </w:t>
      </w:r>
      <w:r w:rsidR="00725D07" w:rsidRPr="00724A78">
        <w:rPr>
          <w:rFonts w:ascii="Times New Roman" w:hAnsi="Times New Roman" w:cs="Times New Roman"/>
          <w:sz w:val="22"/>
          <w:szCs w:val="22"/>
        </w:rPr>
        <w:t xml:space="preserve">12.9 million </w:t>
      </w:r>
      <w:r w:rsidRPr="00724A78">
        <w:rPr>
          <w:rFonts w:ascii="Times New Roman" w:hAnsi="Times New Roman" w:cs="Times New Roman"/>
          <w:sz w:val="22"/>
          <w:szCs w:val="22"/>
        </w:rPr>
        <w:t xml:space="preserve">people using </w:t>
      </w:r>
      <w:r w:rsidR="00725D07" w:rsidRPr="00724A78">
        <w:rPr>
          <w:rFonts w:ascii="Times New Roman" w:hAnsi="Times New Roman" w:cs="Times New Roman"/>
          <w:sz w:val="22"/>
          <w:szCs w:val="22"/>
        </w:rPr>
        <w:t>e-cigarette</w:t>
      </w:r>
      <w:r w:rsidRPr="00724A78">
        <w:rPr>
          <w:rFonts w:ascii="Times New Roman" w:hAnsi="Times New Roman" w:cs="Times New Roman"/>
          <w:sz w:val="22"/>
          <w:szCs w:val="22"/>
        </w:rPr>
        <w:t>s</w:t>
      </w:r>
      <w:r w:rsidR="00725D07" w:rsidRPr="00724A78">
        <w:rPr>
          <w:rFonts w:ascii="Times New Roman" w:hAnsi="Times New Roman" w:cs="Times New Roman"/>
          <w:sz w:val="22"/>
          <w:szCs w:val="22"/>
        </w:rPr>
        <w:t xml:space="preserve"> in the US</w:t>
      </w:r>
      <w:r w:rsidRPr="00724A78">
        <w:rPr>
          <w:rFonts w:ascii="Times New Roman" w:hAnsi="Times New Roman" w:cs="Times New Roman"/>
          <w:sz w:val="22"/>
          <w:szCs w:val="22"/>
        </w:rPr>
        <w:t xml:space="preserve"> in 2014.</w:t>
      </w:r>
      <w:r w:rsidR="00D70FAE" w:rsidRPr="00724A78">
        <w:rPr>
          <w:rFonts w:ascii="Times New Roman" w:hAnsi="Times New Roman" w:cs="Times New Roman"/>
          <w:sz w:val="22"/>
          <w:szCs w:val="22"/>
        </w:rPr>
        <w:t xml:space="preserve"> </w:t>
      </w:r>
      <w:r w:rsidR="00080772" w:rsidRPr="00724A78">
        <w:rPr>
          <w:rFonts w:ascii="Times New Roman" w:hAnsi="Times New Roman" w:cs="Times New Roman"/>
          <w:sz w:val="22"/>
          <w:szCs w:val="22"/>
        </w:rPr>
        <w:t xml:space="preserve"> [</w:t>
      </w:r>
      <w:r w:rsidR="00CD13CA" w:rsidRPr="00724A78">
        <w:rPr>
          <w:rFonts w:ascii="Times New Roman" w:hAnsi="Times New Roman" w:cs="Times New Roman"/>
          <w:sz w:val="22"/>
          <w:szCs w:val="22"/>
        </w:rPr>
        <w:t>2</w:t>
      </w:r>
      <w:r w:rsidR="00AC78D0" w:rsidRPr="00724A78">
        <w:rPr>
          <w:rFonts w:ascii="Times New Roman" w:hAnsi="Times New Roman" w:cs="Times New Roman"/>
          <w:sz w:val="22"/>
          <w:szCs w:val="22"/>
        </w:rPr>
        <w:t>]</w:t>
      </w:r>
      <w:r w:rsidR="00D70FAE" w:rsidRPr="00724A78">
        <w:rPr>
          <w:rFonts w:ascii="Times New Roman" w:hAnsi="Times New Roman" w:cs="Times New Roman"/>
          <w:sz w:val="22"/>
          <w:szCs w:val="22"/>
        </w:rPr>
        <w:t xml:space="preserve">.   </w:t>
      </w:r>
      <w:r w:rsidR="007A206E" w:rsidRPr="00724A78">
        <w:rPr>
          <w:rFonts w:ascii="Times New Roman" w:hAnsi="Times New Roman" w:cs="Times New Roman"/>
          <w:sz w:val="22"/>
          <w:szCs w:val="22"/>
        </w:rPr>
        <w:t>I</w:t>
      </w:r>
      <w:r w:rsidR="00080772" w:rsidRPr="00724A78">
        <w:rPr>
          <w:rFonts w:ascii="Times New Roman" w:hAnsi="Times New Roman" w:cs="Times New Roman"/>
          <w:sz w:val="22"/>
          <w:szCs w:val="22"/>
        </w:rPr>
        <w:t xml:space="preserve">n the UK, </w:t>
      </w:r>
      <w:r w:rsidR="00CD74A9" w:rsidRPr="00724A78">
        <w:rPr>
          <w:rFonts w:ascii="Times New Roman" w:hAnsi="Times New Roman" w:cs="Times New Roman"/>
          <w:sz w:val="22"/>
          <w:szCs w:val="22"/>
        </w:rPr>
        <w:t xml:space="preserve">an </w:t>
      </w:r>
      <w:r w:rsidR="003445BB" w:rsidRPr="00724A78">
        <w:rPr>
          <w:rFonts w:ascii="Times New Roman" w:hAnsi="Times New Roman" w:cs="Times New Roman"/>
          <w:sz w:val="22"/>
          <w:szCs w:val="22"/>
        </w:rPr>
        <w:t>e</w:t>
      </w:r>
      <w:r w:rsidR="007A206E" w:rsidRPr="00724A78">
        <w:rPr>
          <w:rFonts w:ascii="Times New Roman" w:hAnsi="Times New Roman" w:cs="Times New Roman"/>
          <w:sz w:val="22"/>
          <w:szCs w:val="22"/>
        </w:rPr>
        <w:t>stimate</w:t>
      </w:r>
      <w:r w:rsidR="003445BB" w:rsidRPr="00724A78">
        <w:rPr>
          <w:rFonts w:ascii="Times New Roman" w:hAnsi="Times New Roman" w:cs="Times New Roman"/>
          <w:sz w:val="22"/>
          <w:szCs w:val="22"/>
        </w:rPr>
        <w:t xml:space="preserve">d </w:t>
      </w:r>
      <w:r w:rsidR="00C42E8A" w:rsidRPr="00724A78">
        <w:rPr>
          <w:rFonts w:ascii="Times New Roman" w:hAnsi="Times New Roman" w:cs="Times New Roman"/>
          <w:sz w:val="22"/>
          <w:szCs w:val="22"/>
        </w:rPr>
        <w:t>2.9</w:t>
      </w:r>
      <w:r w:rsidR="007D4E79" w:rsidRPr="00724A78">
        <w:rPr>
          <w:rFonts w:ascii="Times New Roman" w:hAnsi="Times New Roman" w:cs="Times New Roman"/>
          <w:sz w:val="22"/>
          <w:szCs w:val="22"/>
        </w:rPr>
        <w:t xml:space="preserve"> million</w:t>
      </w:r>
      <w:r w:rsidR="00C42E8A" w:rsidRPr="00724A78">
        <w:rPr>
          <w:rFonts w:ascii="Times New Roman" w:hAnsi="Times New Roman" w:cs="Times New Roman"/>
          <w:sz w:val="22"/>
          <w:szCs w:val="22"/>
        </w:rPr>
        <w:t xml:space="preserve"> people currently</w:t>
      </w:r>
      <w:r w:rsidR="000D1C88" w:rsidRPr="00724A78">
        <w:rPr>
          <w:rFonts w:ascii="Times New Roman" w:hAnsi="Times New Roman" w:cs="Times New Roman"/>
          <w:sz w:val="22"/>
          <w:szCs w:val="22"/>
        </w:rPr>
        <w:t xml:space="preserve"> </w:t>
      </w:r>
      <w:r w:rsidR="003445BB" w:rsidRPr="00724A78">
        <w:rPr>
          <w:rFonts w:ascii="Times New Roman" w:hAnsi="Times New Roman" w:cs="Times New Roman"/>
          <w:sz w:val="22"/>
          <w:szCs w:val="22"/>
        </w:rPr>
        <w:t xml:space="preserve">use e-cigarettes </w:t>
      </w:r>
      <w:r w:rsidR="000D1C88" w:rsidRPr="00724A78">
        <w:rPr>
          <w:rFonts w:ascii="Times New Roman" w:hAnsi="Times New Roman" w:cs="Times New Roman"/>
          <w:sz w:val="22"/>
          <w:szCs w:val="22"/>
        </w:rPr>
        <w:t>and for the first time in 2017, there are more ex-smokers using</w:t>
      </w:r>
      <w:r w:rsidR="00C35467" w:rsidRPr="00724A78">
        <w:rPr>
          <w:rFonts w:ascii="Times New Roman" w:hAnsi="Times New Roman" w:cs="Times New Roman"/>
          <w:sz w:val="22"/>
          <w:szCs w:val="22"/>
        </w:rPr>
        <w:t xml:space="preserve"> e-cigarettes</w:t>
      </w:r>
      <w:r w:rsidR="00942AD0" w:rsidRPr="00724A78">
        <w:rPr>
          <w:rFonts w:ascii="Times New Roman" w:hAnsi="Times New Roman" w:cs="Times New Roman"/>
          <w:sz w:val="22"/>
          <w:szCs w:val="22"/>
        </w:rPr>
        <w:t xml:space="preserve"> (52%) than dual users (45</w:t>
      </w:r>
      <w:r w:rsidR="000D1C88" w:rsidRPr="00724A78">
        <w:rPr>
          <w:rFonts w:ascii="Times New Roman" w:hAnsi="Times New Roman" w:cs="Times New Roman"/>
          <w:sz w:val="22"/>
          <w:szCs w:val="22"/>
        </w:rPr>
        <w:t>%</w:t>
      </w:r>
      <w:r w:rsidR="00E61076" w:rsidRPr="00724A78">
        <w:rPr>
          <w:rFonts w:ascii="Times New Roman" w:hAnsi="Times New Roman" w:cs="Times New Roman"/>
          <w:sz w:val="22"/>
          <w:szCs w:val="22"/>
        </w:rPr>
        <w:t xml:space="preserve"> [</w:t>
      </w:r>
      <w:r w:rsidR="00CD13CA" w:rsidRPr="00724A78">
        <w:rPr>
          <w:rFonts w:ascii="Times New Roman" w:hAnsi="Times New Roman" w:cs="Times New Roman"/>
          <w:sz w:val="22"/>
          <w:szCs w:val="22"/>
        </w:rPr>
        <w:t>3</w:t>
      </w:r>
      <w:r w:rsidR="00E61076" w:rsidRPr="00724A78">
        <w:rPr>
          <w:rFonts w:ascii="Times New Roman" w:hAnsi="Times New Roman" w:cs="Times New Roman"/>
          <w:sz w:val="22"/>
          <w:szCs w:val="22"/>
        </w:rPr>
        <w:t>]</w:t>
      </w:r>
      <w:r w:rsidR="000D1C88" w:rsidRPr="00724A78">
        <w:rPr>
          <w:rFonts w:ascii="Times New Roman" w:hAnsi="Times New Roman" w:cs="Times New Roman"/>
          <w:sz w:val="22"/>
          <w:szCs w:val="22"/>
        </w:rPr>
        <w:t xml:space="preserve">).  The </w:t>
      </w:r>
      <w:r w:rsidR="00C35467" w:rsidRPr="00724A78">
        <w:rPr>
          <w:rFonts w:ascii="Times New Roman" w:hAnsi="Times New Roman" w:cs="Times New Roman"/>
          <w:sz w:val="22"/>
          <w:szCs w:val="22"/>
        </w:rPr>
        <w:t>most commonly cited reason for</w:t>
      </w:r>
      <w:r w:rsidR="000D1C88" w:rsidRPr="00724A78">
        <w:rPr>
          <w:rFonts w:ascii="Times New Roman" w:hAnsi="Times New Roman" w:cs="Times New Roman"/>
          <w:sz w:val="22"/>
          <w:szCs w:val="22"/>
        </w:rPr>
        <w:t xml:space="preserve"> use is to quit smoking and</w:t>
      </w:r>
      <w:r w:rsidR="007D4E79" w:rsidRPr="00724A78">
        <w:rPr>
          <w:rFonts w:ascii="Times New Roman" w:hAnsi="Times New Roman" w:cs="Times New Roman"/>
          <w:sz w:val="22"/>
          <w:szCs w:val="22"/>
        </w:rPr>
        <w:t xml:space="preserve"> increasing</w:t>
      </w:r>
      <w:r w:rsidR="00EE648A" w:rsidRPr="00724A78">
        <w:rPr>
          <w:rFonts w:ascii="Times New Roman" w:hAnsi="Times New Roman" w:cs="Times New Roman"/>
          <w:sz w:val="22"/>
          <w:szCs w:val="22"/>
        </w:rPr>
        <w:t xml:space="preserve"> evidence suggests that e</w:t>
      </w:r>
      <w:r w:rsidR="00FB615A" w:rsidRPr="00724A78">
        <w:rPr>
          <w:rFonts w:ascii="Times New Roman" w:hAnsi="Times New Roman" w:cs="Times New Roman"/>
          <w:sz w:val="22"/>
          <w:szCs w:val="22"/>
        </w:rPr>
        <w:t xml:space="preserve">-cigarette </w:t>
      </w:r>
      <w:r w:rsidR="001A24A6" w:rsidRPr="00724A78">
        <w:rPr>
          <w:rFonts w:ascii="Times New Roman" w:hAnsi="Times New Roman" w:cs="Times New Roman"/>
          <w:sz w:val="22"/>
          <w:szCs w:val="22"/>
        </w:rPr>
        <w:t xml:space="preserve">use </w:t>
      </w:r>
      <w:r w:rsidR="00EE648A" w:rsidRPr="00724A78">
        <w:rPr>
          <w:rFonts w:ascii="Times New Roman" w:hAnsi="Times New Roman" w:cs="Times New Roman"/>
          <w:sz w:val="22"/>
          <w:szCs w:val="22"/>
        </w:rPr>
        <w:t xml:space="preserve">may be </w:t>
      </w:r>
      <w:r w:rsidR="001A24A6" w:rsidRPr="00724A78">
        <w:rPr>
          <w:rFonts w:ascii="Times New Roman" w:hAnsi="Times New Roman" w:cs="Times New Roman"/>
          <w:sz w:val="22"/>
          <w:szCs w:val="22"/>
        </w:rPr>
        <w:t xml:space="preserve">an effective </w:t>
      </w:r>
      <w:r w:rsidR="0085639F" w:rsidRPr="00724A78">
        <w:rPr>
          <w:rFonts w:ascii="Times New Roman" w:hAnsi="Times New Roman" w:cs="Times New Roman"/>
          <w:sz w:val="22"/>
          <w:szCs w:val="22"/>
        </w:rPr>
        <w:t xml:space="preserve">tool for this </w:t>
      </w:r>
      <w:r w:rsidR="004F29CD" w:rsidRPr="00724A78">
        <w:rPr>
          <w:rFonts w:ascii="Times New Roman" w:hAnsi="Times New Roman" w:cs="Times New Roman"/>
          <w:sz w:val="22"/>
          <w:szCs w:val="22"/>
        </w:rPr>
        <w:t>[</w:t>
      </w:r>
      <w:r w:rsidR="00E61076" w:rsidRPr="00724A78">
        <w:rPr>
          <w:rFonts w:ascii="Times New Roman" w:hAnsi="Times New Roman" w:cs="Times New Roman"/>
          <w:sz w:val="22"/>
          <w:szCs w:val="22"/>
        </w:rPr>
        <w:t>4</w:t>
      </w:r>
      <w:r w:rsidR="00CD13CA" w:rsidRPr="00724A78">
        <w:rPr>
          <w:rFonts w:ascii="Times New Roman" w:hAnsi="Times New Roman" w:cs="Times New Roman"/>
          <w:sz w:val="22"/>
          <w:szCs w:val="22"/>
        </w:rPr>
        <w:t>-6</w:t>
      </w:r>
      <w:r w:rsidR="00E61076" w:rsidRPr="00724A78">
        <w:rPr>
          <w:rFonts w:ascii="Times New Roman" w:hAnsi="Times New Roman" w:cs="Times New Roman"/>
          <w:sz w:val="22"/>
          <w:szCs w:val="22"/>
        </w:rPr>
        <w:t>].</w:t>
      </w:r>
      <w:r w:rsidR="00B74825" w:rsidRPr="00842993">
        <w:rPr>
          <w:rFonts w:ascii="Times New Roman" w:hAnsi="Times New Roman" w:cs="Times New Roman"/>
          <w:sz w:val="22"/>
          <w:szCs w:val="22"/>
        </w:rPr>
        <w:t xml:space="preserve"> </w:t>
      </w:r>
    </w:p>
    <w:p w14:paraId="4C3A3632" w14:textId="77777777" w:rsidR="008F4CA2" w:rsidRPr="00842993" w:rsidRDefault="008F4CA2" w:rsidP="00842993">
      <w:pPr>
        <w:spacing w:line="480" w:lineRule="auto"/>
        <w:jc w:val="both"/>
        <w:rPr>
          <w:rFonts w:ascii="Times New Roman" w:hAnsi="Times New Roman" w:cs="Times New Roman"/>
          <w:sz w:val="22"/>
          <w:szCs w:val="22"/>
        </w:rPr>
      </w:pPr>
    </w:p>
    <w:p w14:paraId="6EFF7986" w14:textId="5BF934DD" w:rsidR="00B74825" w:rsidRDefault="0050311D" w:rsidP="00842993">
      <w:pPr>
        <w:spacing w:line="480" w:lineRule="auto"/>
        <w:jc w:val="both"/>
        <w:rPr>
          <w:rFonts w:ascii="Times New Roman" w:hAnsi="Times New Roman" w:cs="Times New Roman"/>
          <w:sz w:val="22"/>
          <w:szCs w:val="22"/>
        </w:rPr>
      </w:pPr>
      <w:r w:rsidRPr="00842993">
        <w:rPr>
          <w:rFonts w:ascii="Times New Roman" w:hAnsi="Times New Roman" w:cs="Times New Roman"/>
          <w:sz w:val="22"/>
          <w:szCs w:val="22"/>
        </w:rPr>
        <w:t>N</w:t>
      </w:r>
      <w:r w:rsidR="001A24A6" w:rsidRPr="00842993">
        <w:rPr>
          <w:rFonts w:ascii="Times New Roman" w:hAnsi="Times New Roman" w:cs="Times New Roman"/>
          <w:sz w:val="22"/>
          <w:szCs w:val="22"/>
        </w:rPr>
        <w:t>icotine delivery</w:t>
      </w:r>
      <w:r w:rsidRPr="00842993">
        <w:rPr>
          <w:rFonts w:ascii="Times New Roman" w:hAnsi="Times New Roman" w:cs="Times New Roman"/>
          <w:sz w:val="22"/>
          <w:szCs w:val="22"/>
        </w:rPr>
        <w:t xml:space="preserve"> from e-cigarettes</w:t>
      </w:r>
      <w:r w:rsidR="001A24A6" w:rsidRPr="00842993">
        <w:rPr>
          <w:rFonts w:ascii="Times New Roman" w:hAnsi="Times New Roman" w:cs="Times New Roman"/>
          <w:sz w:val="22"/>
          <w:szCs w:val="22"/>
        </w:rPr>
        <w:t xml:space="preserve"> varies considerably and </w:t>
      </w:r>
      <w:r w:rsidR="008A2736">
        <w:rPr>
          <w:rFonts w:ascii="Times New Roman" w:hAnsi="Times New Roman" w:cs="Times New Roman"/>
          <w:sz w:val="22"/>
          <w:szCs w:val="22"/>
        </w:rPr>
        <w:t>depends</w:t>
      </w:r>
      <w:r w:rsidR="001A24A6" w:rsidRPr="00842993">
        <w:rPr>
          <w:rFonts w:ascii="Times New Roman" w:hAnsi="Times New Roman" w:cs="Times New Roman"/>
          <w:sz w:val="22"/>
          <w:szCs w:val="22"/>
        </w:rPr>
        <w:t xml:space="preserve"> on</w:t>
      </w:r>
      <w:r w:rsidR="00D271E3" w:rsidRPr="00842993">
        <w:rPr>
          <w:rFonts w:ascii="Times New Roman" w:hAnsi="Times New Roman" w:cs="Times New Roman"/>
          <w:sz w:val="22"/>
          <w:szCs w:val="22"/>
        </w:rPr>
        <w:t xml:space="preserve"> </w:t>
      </w:r>
      <w:r w:rsidR="008A2736">
        <w:rPr>
          <w:rFonts w:ascii="Times New Roman" w:hAnsi="Times New Roman" w:cs="Times New Roman"/>
          <w:sz w:val="22"/>
          <w:szCs w:val="22"/>
        </w:rPr>
        <w:t xml:space="preserve">a variety of factors: </w:t>
      </w:r>
      <w:r w:rsidRPr="00842993">
        <w:rPr>
          <w:rFonts w:ascii="Times New Roman" w:hAnsi="Times New Roman" w:cs="Times New Roman"/>
          <w:sz w:val="22"/>
          <w:szCs w:val="22"/>
        </w:rPr>
        <w:t>the nicotine concentration in the</w:t>
      </w:r>
      <w:r w:rsidR="00EF7035">
        <w:rPr>
          <w:rFonts w:ascii="Times New Roman" w:hAnsi="Times New Roman" w:cs="Times New Roman"/>
          <w:sz w:val="22"/>
          <w:szCs w:val="22"/>
        </w:rPr>
        <w:t xml:space="preserve"> e-</w:t>
      </w:r>
      <w:r w:rsidRPr="00842993">
        <w:rPr>
          <w:rFonts w:ascii="Times New Roman" w:hAnsi="Times New Roman" w:cs="Times New Roman"/>
          <w:sz w:val="22"/>
          <w:szCs w:val="22"/>
        </w:rPr>
        <w:t xml:space="preserve">liquid </w:t>
      </w:r>
      <w:r w:rsidR="00E61076">
        <w:rPr>
          <w:rFonts w:ascii="Times New Roman" w:hAnsi="Times New Roman" w:cs="Times New Roman"/>
          <w:sz w:val="22"/>
          <w:szCs w:val="22"/>
        </w:rPr>
        <w:t>[</w:t>
      </w:r>
      <w:r w:rsidR="00C52905">
        <w:rPr>
          <w:rFonts w:ascii="Times New Roman" w:hAnsi="Times New Roman" w:cs="Times New Roman"/>
          <w:sz w:val="22"/>
          <w:szCs w:val="22"/>
        </w:rPr>
        <w:t>7</w:t>
      </w:r>
      <w:r w:rsidR="00E61076">
        <w:rPr>
          <w:rFonts w:ascii="Times New Roman" w:hAnsi="Times New Roman" w:cs="Times New Roman"/>
          <w:sz w:val="22"/>
          <w:szCs w:val="22"/>
        </w:rPr>
        <w:t>]</w:t>
      </w:r>
      <w:r w:rsidRPr="00842993">
        <w:rPr>
          <w:rFonts w:ascii="Times New Roman" w:hAnsi="Times New Roman" w:cs="Times New Roman"/>
          <w:sz w:val="22"/>
          <w:szCs w:val="22"/>
        </w:rPr>
        <w:t xml:space="preserve">, </w:t>
      </w:r>
      <w:r w:rsidR="00D271E3" w:rsidRPr="00842993">
        <w:rPr>
          <w:rFonts w:ascii="Times New Roman" w:hAnsi="Times New Roman" w:cs="Times New Roman"/>
          <w:sz w:val="22"/>
          <w:szCs w:val="22"/>
        </w:rPr>
        <w:t xml:space="preserve">the </w:t>
      </w:r>
      <w:r w:rsidRPr="00842993">
        <w:rPr>
          <w:rFonts w:ascii="Times New Roman" w:hAnsi="Times New Roman" w:cs="Times New Roman"/>
          <w:sz w:val="22"/>
          <w:szCs w:val="22"/>
        </w:rPr>
        <w:t xml:space="preserve">type and </w:t>
      </w:r>
      <w:r w:rsidR="00D271E3" w:rsidRPr="00842993">
        <w:rPr>
          <w:rFonts w:ascii="Times New Roman" w:hAnsi="Times New Roman" w:cs="Times New Roman"/>
          <w:sz w:val="22"/>
          <w:szCs w:val="22"/>
        </w:rPr>
        <w:t>power of the</w:t>
      </w:r>
      <w:r w:rsidR="00E61076">
        <w:rPr>
          <w:rFonts w:ascii="Times New Roman" w:hAnsi="Times New Roman" w:cs="Times New Roman"/>
          <w:sz w:val="22"/>
          <w:szCs w:val="22"/>
        </w:rPr>
        <w:t xml:space="preserve"> device and settings [</w:t>
      </w:r>
      <w:r w:rsidR="00C52905">
        <w:rPr>
          <w:rFonts w:ascii="Times New Roman" w:hAnsi="Times New Roman" w:cs="Times New Roman"/>
          <w:sz w:val="22"/>
          <w:szCs w:val="22"/>
        </w:rPr>
        <w:t>8-10</w:t>
      </w:r>
      <w:r w:rsidR="00E61076">
        <w:rPr>
          <w:rFonts w:ascii="Times New Roman" w:hAnsi="Times New Roman" w:cs="Times New Roman"/>
          <w:sz w:val="22"/>
          <w:szCs w:val="22"/>
        </w:rPr>
        <w:t>]</w:t>
      </w:r>
      <w:r w:rsidRPr="00842993">
        <w:rPr>
          <w:rFonts w:ascii="Times New Roman" w:hAnsi="Times New Roman" w:cs="Times New Roman"/>
          <w:sz w:val="22"/>
          <w:szCs w:val="22"/>
        </w:rPr>
        <w:t xml:space="preserve"> as well as user characteristics including puffing patterns </w:t>
      </w:r>
      <w:r w:rsidR="000B7E35">
        <w:rPr>
          <w:rFonts w:ascii="Times New Roman" w:hAnsi="Times New Roman" w:cs="Times New Roman"/>
          <w:sz w:val="22"/>
          <w:szCs w:val="22"/>
        </w:rPr>
        <w:t>[</w:t>
      </w:r>
      <w:r w:rsidR="00C52905">
        <w:rPr>
          <w:rFonts w:ascii="Times New Roman" w:hAnsi="Times New Roman" w:cs="Times New Roman"/>
          <w:sz w:val="22"/>
          <w:szCs w:val="22"/>
        </w:rPr>
        <w:t>9,11,12</w:t>
      </w:r>
      <w:r w:rsidR="00E61076">
        <w:rPr>
          <w:rFonts w:ascii="Times New Roman" w:hAnsi="Times New Roman" w:cs="Times New Roman"/>
          <w:sz w:val="22"/>
          <w:szCs w:val="22"/>
        </w:rPr>
        <w:t>]</w:t>
      </w:r>
      <w:r w:rsidR="001A24A6" w:rsidRPr="00842993">
        <w:rPr>
          <w:rFonts w:ascii="Times New Roman" w:hAnsi="Times New Roman" w:cs="Times New Roman"/>
          <w:sz w:val="22"/>
          <w:szCs w:val="22"/>
        </w:rPr>
        <w:t xml:space="preserve">. </w:t>
      </w:r>
      <w:r w:rsidR="00470873" w:rsidRPr="00842993" w:rsidDel="00470873">
        <w:rPr>
          <w:rFonts w:ascii="Times New Roman" w:hAnsi="Times New Roman" w:cs="Times New Roman"/>
          <w:sz w:val="22"/>
          <w:szCs w:val="22"/>
        </w:rPr>
        <w:t xml:space="preserve"> </w:t>
      </w:r>
      <w:r w:rsidR="008A2736">
        <w:rPr>
          <w:rFonts w:ascii="Times New Roman" w:hAnsi="Times New Roman" w:cs="Times New Roman"/>
          <w:sz w:val="22"/>
          <w:szCs w:val="22"/>
        </w:rPr>
        <w:t>O</w:t>
      </w:r>
      <w:r w:rsidR="0021633F" w:rsidRPr="00842993">
        <w:rPr>
          <w:rFonts w:ascii="Times New Roman" w:hAnsi="Times New Roman" w:cs="Times New Roman"/>
          <w:sz w:val="22"/>
          <w:szCs w:val="22"/>
        </w:rPr>
        <w:t>ver-time</w:t>
      </w:r>
      <w:r w:rsidR="00EA5961">
        <w:rPr>
          <w:rFonts w:ascii="Times New Roman" w:hAnsi="Times New Roman" w:cs="Times New Roman"/>
          <w:sz w:val="22"/>
          <w:szCs w:val="22"/>
        </w:rPr>
        <w:t>,</w:t>
      </w:r>
      <w:r w:rsidR="0021633F" w:rsidRPr="00842993">
        <w:rPr>
          <w:rFonts w:ascii="Times New Roman" w:hAnsi="Times New Roman" w:cs="Times New Roman"/>
          <w:sz w:val="22"/>
          <w:szCs w:val="22"/>
        </w:rPr>
        <w:t xml:space="preserve"> </w:t>
      </w:r>
      <w:r w:rsidR="00294223">
        <w:rPr>
          <w:rFonts w:ascii="Times New Roman" w:hAnsi="Times New Roman" w:cs="Times New Roman"/>
          <w:sz w:val="22"/>
          <w:szCs w:val="22"/>
        </w:rPr>
        <w:t>e-cigarette users (</w:t>
      </w:r>
      <w:r w:rsidR="0021633F" w:rsidRPr="00842993">
        <w:rPr>
          <w:rFonts w:ascii="Times New Roman" w:hAnsi="Times New Roman" w:cs="Times New Roman"/>
          <w:sz w:val="22"/>
          <w:szCs w:val="22"/>
        </w:rPr>
        <w:t>vapers</w:t>
      </w:r>
      <w:r w:rsidR="00294223">
        <w:rPr>
          <w:rFonts w:ascii="Times New Roman" w:hAnsi="Times New Roman" w:cs="Times New Roman"/>
          <w:sz w:val="22"/>
          <w:szCs w:val="22"/>
        </w:rPr>
        <w:t>)</w:t>
      </w:r>
      <w:r w:rsidR="00470873" w:rsidRPr="00842993">
        <w:rPr>
          <w:rFonts w:ascii="Times New Roman" w:hAnsi="Times New Roman" w:cs="Times New Roman"/>
          <w:sz w:val="22"/>
          <w:szCs w:val="22"/>
        </w:rPr>
        <w:t xml:space="preserve"> </w:t>
      </w:r>
      <w:r w:rsidR="008A2736">
        <w:rPr>
          <w:rFonts w:ascii="Times New Roman" w:hAnsi="Times New Roman" w:cs="Times New Roman"/>
          <w:sz w:val="22"/>
          <w:szCs w:val="22"/>
        </w:rPr>
        <w:t xml:space="preserve">tend to </w:t>
      </w:r>
      <w:r w:rsidR="001A24A6" w:rsidRPr="00842993">
        <w:rPr>
          <w:rFonts w:ascii="Times New Roman" w:hAnsi="Times New Roman" w:cs="Times New Roman"/>
          <w:sz w:val="22"/>
          <w:szCs w:val="22"/>
        </w:rPr>
        <w:t xml:space="preserve">lower </w:t>
      </w:r>
      <w:r w:rsidR="0021633F" w:rsidRPr="00842993">
        <w:rPr>
          <w:rFonts w:ascii="Times New Roman" w:hAnsi="Times New Roman" w:cs="Times New Roman"/>
          <w:sz w:val="22"/>
          <w:szCs w:val="22"/>
        </w:rPr>
        <w:t xml:space="preserve">the nicotine </w:t>
      </w:r>
      <w:r w:rsidR="00470873" w:rsidRPr="00842993">
        <w:rPr>
          <w:rFonts w:ascii="Times New Roman" w:hAnsi="Times New Roman" w:cs="Times New Roman"/>
          <w:sz w:val="22"/>
          <w:szCs w:val="22"/>
        </w:rPr>
        <w:t>concentration in their e-liquid</w:t>
      </w:r>
      <w:r w:rsidR="00341672">
        <w:rPr>
          <w:rFonts w:ascii="Times New Roman" w:hAnsi="Times New Roman" w:cs="Times New Roman"/>
          <w:sz w:val="22"/>
          <w:szCs w:val="22"/>
        </w:rPr>
        <w:t xml:space="preserve"> [</w:t>
      </w:r>
      <w:r w:rsidR="00C52905">
        <w:rPr>
          <w:rFonts w:ascii="Times New Roman" w:hAnsi="Times New Roman" w:cs="Times New Roman"/>
          <w:sz w:val="22"/>
          <w:szCs w:val="22"/>
        </w:rPr>
        <w:t>13,14</w:t>
      </w:r>
      <w:r w:rsidR="00E61076">
        <w:rPr>
          <w:rFonts w:ascii="Times New Roman" w:hAnsi="Times New Roman" w:cs="Times New Roman"/>
          <w:sz w:val="22"/>
          <w:szCs w:val="22"/>
        </w:rPr>
        <w:t>]</w:t>
      </w:r>
      <w:r w:rsidR="0021633F" w:rsidRPr="00842993">
        <w:rPr>
          <w:rFonts w:ascii="Times New Roman" w:hAnsi="Times New Roman" w:cs="Times New Roman"/>
          <w:sz w:val="22"/>
          <w:szCs w:val="22"/>
        </w:rPr>
        <w:t>.</w:t>
      </w:r>
      <w:r w:rsidR="001A24A6" w:rsidRPr="00842993">
        <w:rPr>
          <w:rFonts w:ascii="Times New Roman" w:hAnsi="Times New Roman" w:cs="Times New Roman"/>
          <w:sz w:val="22"/>
          <w:szCs w:val="22"/>
        </w:rPr>
        <w:t xml:space="preserve"> </w:t>
      </w:r>
      <w:r w:rsidR="008A2736">
        <w:rPr>
          <w:rFonts w:ascii="Times New Roman" w:hAnsi="Times New Roman" w:cs="Times New Roman"/>
          <w:sz w:val="22"/>
          <w:szCs w:val="22"/>
        </w:rPr>
        <w:t xml:space="preserve"> </w:t>
      </w:r>
      <w:r w:rsidR="00FB615A">
        <w:rPr>
          <w:rFonts w:ascii="Times New Roman" w:hAnsi="Times New Roman" w:cs="Times New Roman"/>
          <w:sz w:val="22"/>
          <w:szCs w:val="22"/>
        </w:rPr>
        <w:t>This may be due to</w:t>
      </w:r>
      <w:r w:rsidR="00032997">
        <w:rPr>
          <w:rFonts w:ascii="Times New Roman" w:hAnsi="Times New Roman" w:cs="Times New Roman"/>
          <w:sz w:val="22"/>
          <w:szCs w:val="22"/>
        </w:rPr>
        <w:t>:</w:t>
      </w:r>
      <w:r w:rsidR="004108B3" w:rsidRPr="00842993">
        <w:rPr>
          <w:rFonts w:ascii="Times New Roman" w:hAnsi="Times New Roman" w:cs="Times New Roman"/>
          <w:sz w:val="22"/>
          <w:szCs w:val="22"/>
        </w:rPr>
        <w:t xml:space="preserve"> </w:t>
      </w:r>
      <w:r w:rsidR="00B74825" w:rsidRPr="00842993">
        <w:rPr>
          <w:rFonts w:ascii="Times New Roman" w:hAnsi="Times New Roman" w:cs="Times New Roman"/>
          <w:sz w:val="22"/>
          <w:szCs w:val="22"/>
        </w:rPr>
        <w:t xml:space="preserve">the belief </w:t>
      </w:r>
      <w:r w:rsidR="00EA5961">
        <w:rPr>
          <w:rFonts w:ascii="Times New Roman" w:hAnsi="Times New Roman" w:cs="Times New Roman"/>
          <w:sz w:val="22"/>
          <w:szCs w:val="22"/>
        </w:rPr>
        <w:t xml:space="preserve">that </w:t>
      </w:r>
      <w:r w:rsidR="00B74825" w:rsidRPr="00842993">
        <w:rPr>
          <w:rFonts w:ascii="Times New Roman" w:hAnsi="Times New Roman" w:cs="Times New Roman"/>
          <w:sz w:val="22"/>
          <w:szCs w:val="22"/>
        </w:rPr>
        <w:t>it is healthier</w:t>
      </w:r>
      <w:r w:rsidR="00032997">
        <w:rPr>
          <w:rFonts w:ascii="Times New Roman" w:hAnsi="Times New Roman" w:cs="Times New Roman"/>
          <w:sz w:val="22"/>
          <w:szCs w:val="22"/>
        </w:rPr>
        <w:t>; to allow</w:t>
      </w:r>
      <w:r w:rsidR="0021633F" w:rsidRPr="00842993">
        <w:rPr>
          <w:rFonts w:ascii="Times New Roman" w:hAnsi="Times New Roman" w:cs="Times New Roman"/>
          <w:sz w:val="22"/>
          <w:szCs w:val="22"/>
        </w:rPr>
        <w:t xml:space="preserve"> </w:t>
      </w:r>
      <w:r w:rsidR="00C91370" w:rsidRPr="00842993">
        <w:rPr>
          <w:rFonts w:ascii="Times New Roman" w:hAnsi="Times New Roman" w:cs="Times New Roman"/>
          <w:sz w:val="22"/>
          <w:szCs w:val="22"/>
        </w:rPr>
        <w:t>changes</w:t>
      </w:r>
      <w:r w:rsidR="004108B3" w:rsidRPr="00842993">
        <w:rPr>
          <w:rFonts w:ascii="Times New Roman" w:hAnsi="Times New Roman" w:cs="Times New Roman"/>
          <w:sz w:val="22"/>
          <w:szCs w:val="22"/>
        </w:rPr>
        <w:t xml:space="preserve"> to </w:t>
      </w:r>
      <w:r w:rsidR="00032997">
        <w:rPr>
          <w:rFonts w:ascii="Times New Roman" w:hAnsi="Times New Roman" w:cs="Times New Roman"/>
          <w:sz w:val="22"/>
          <w:szCs w:val="22"/>
        </w:rPr>
        <w:t xml:space="preserve">the </w:t>
      </w:r>
      <w:r w:rsidR="004108B3" w:rsidRPr="00842993">
        <w:rPr>
          <w:rFonts w:ascii="Times New Roman" w:hAnsi="Times New Roman" w:cs="Times New Roman"/>
          <w:sz w:val="22"/>
          <w:szCs w:val="22"/>
        </w:rPr>
        <w:t>device</w:t>
      </w:r>
      <w:r w:rsidR="00C91370" w:rsidRPr="00842993">
        <w:rPr>
          <w:rFonts w:ascii="Times New Roman" w:hAnsi="Times New Roman" w:cs="Times New Roman"/>
          <w:sz w:val="22"/>
          <w:szCs w:val="22"/>
        </w:rPr>
        <w:t>/ta</w:t>
      </w:r>
      <w:r w:rsidR="00C56D77" w:rsidRPr="00842993">
        <w:rPr>
          <w:rFonts w:ascii="Times New Roman" w:hAnsi="Times New Roman" w:cs="Times New Roman"/>
          <w:sz w:val="22"/>
          <w:szCs w:val="22"/>
        </w:rPr>
        <w:t>nk</w:t>
      </w:r>
      <w:r w:rsidR="004108B3" w:rsidRPr="00842993">
        <w:rPr>
          <w:rFonts w:ascii="Times New Roman" w:hAnsi="Times New Roman" w:cs="Times New Roman"/>
          <w:sz w:val="22"/>
          <w:szCs w:val="22"/>
        </w:rPr>
        <w:t xml:space="preserve"> (</w:t>
      </w:r>
      <w:r w:rsidR="00470873" w:rsidRPr="00842993">
        <w:rPr>
          <w:rFonts w:ascii="Times New Roman" w:hAnsi="Times New Roman" w:cs="Times New Roman"/>
          <w:sz w:val="22"/>
          <w:szCs w:val="22"/>
        </w:rPr>
        <w:t xml:space="preserve">e.g. </w:t>
      </w:r>
      <w:r w:rsidR="004108B3" w:rsidRPr="00842993">
        <w:rPr>
          <w:rFonts w:ascii="Times New Roman" w:hAnsi="Times New Roman" w:cs="Times New Roman"/>
          <w:sz w:val="22"/>
          <w:szCs w:val="22"/>
        </w:rPr>
        <w:t>sub-</w:t>
      </w:r>
      <w:proofErr w:type="spellStart"/>
      <w:r w:rsidR="004108B3" w:rsidRPr="00842993">
        <w:rPr>
          <w:rFonts w:ascii="Times New Roman" w:hAnsi="Times New Roman" w:cs="Times New Roman"/>
          <w:sz w:val="22"/>
          <w:szCs w:val="22"/>
        </w:rPr>
        <w:t>ohm</w:t>
      </w:r>
      <w:r w:rsidR="00470873" w:rsidRPr="00842993">
        <w:rPr>
          <w:rFonts w:ascii="Times New Roman" w:hAnsi="Times New Roman" w:cs="Times New Roman"/>
          <w:sz w:val="22"/>
          <w:szCs w:val="22"/>
        </w:rPr>
        <w:t>ing</w:t>
      </w:r>
      <w:proofErr w:type="spellEnd"/>
      <w:r w:rsidR="00BE6A4C">
        <w:rPr>
          <w:rFonts w:ascii="Times New Roman" w:hAnsi="Times New Roman" w:cs="Times New Roman"/>
          <w:sz w:val="22"/>
          <w:szCs w:val="22"/>
        </w:rPr>
        <w:t xml:space="preserve"> - </w:t>
      </w:r>
      <w:r w:rsidR="00BE6A4C" w:rsidRPr="00BE6A4C">
        <w:rPr>
          <w:rFonts w:ascii="Times New Roman" w:hAnsi="Times New Roman" w:cs="Times New Roman"/>
          <w:sz w:val="22"/>
          <w:szCs w:val="22"/>
        </w:rPr>
        <w:t>using an atomiser</w:t>
      </w:r>
      <w:r w:rsidR="009119B6">
        <w:rPr>
          <w:rFonts w:ascii="Times New Roman" w:hAnsi="Times New Roman" w:cs="Times New Roman"/>
          <w:sz w:val="22"/>
          <w:szCs w:val="22"/>
        </w:rPr>
        <w:t xml:space="preserve"> coil with a resistance of &lt; 1 O</w:t>
      </w:r>
      <w:r w:rsidR="00BE6A4C" w:rsidRPr="00BE6A4C">
        <w:rPr>
          <w:rFonts w:ascii="Times New Roman" w:hAnsi="Times New Roman" w:cs="Times New Roman"/>
          <w:sz w:val="22"/>
          <w:szCs w:val="22"/>
        </w:rPr>
        <w:t>hm</w:t>
      </w:r>
      <w:r w:rsidR="00BE6A4C">
        <w:rPr>
          <w:rFonts w:ascii="Times New Roman" w:hAnsi="Times New Roman" w:cs="Times New Roman"/>
          <w:sz w:val="22"/>
          <w:szCs w:val="22"/>
        </w:rPr>
        <w:t xml:space="preserve"> with increased power</w:t>
      </w:r>
      <w:r w:rsidR="004108B3" w:rsidRPr="00842993">
        <w:rPr>
          <w:rFonts w:ascii="Times New Roman" w:hAnsi="Times New Roman" w:cs="Times New Roman"/>
          <w:sz w:val="22"/>
          <w:szCs w:val="22"/>
        </w:rPr>
        <w:t>)</w:t>
      </w:r>
      <w:r w:rsidR="0061225E">
        <w:rPr>
          <w:rFonts w:ascii="Times New Roman" w:hAnsi="Times New Roman" w:cs="Times New Roman"/>
          <w:sz w:val="22"/>
          <w:szCs w:val="22"/>
        </w:rPr>
        <w:t>;</w:t>
      </w:r>
      <w:r w:rsidR="00B74825" w:rsidRPr="00842993">
        <w:rPr>
          <w:rFonts w:ascii="Times New Roman" w:hAnsi="Times New Roman" w:cs="Times New Roman"/>
          <w:sz w:val="22"/>
          <w:szCs w:val="22"/>
        </w:rPr>
        <w:t xml:space="preserve"> </w:t>
      </w:r>
      <w:r w:rsidR="002D4E4E" w:rsidRPr="00842993">
        <w:rPr>
          <w:rFonts w:ascii="Times New Roman" w:hAnsi="Times New Roman" w:cs="Times New Roman"/>
          <w:sz w:val="22"/>
          <w:szCs w:val="22"/>
        </w:rPr>
        <w:t xml:space="preserve">or </w:t>
      </w:r>
      <w:r w:rsidR="0021633F" w:rsidRPr="00842993">
        <w:rPr>
          <w:rFonts w:ascii="Times New Roman" w:hAnsi="Times New Roman" w:cs="Times New Roman"/>
          <w:sz w:val="22"/>
          <w:szCs w:val="22"/>
        </w:rPr>
        <w:t xml:space="preserve">to </w:t>
      </w:r>
      <w:r w:rsidR="00B74825" w:rsidRPr="00842993">
        <w:rPr>
          <w:rFonts w:ascii="Times New Roman" w:hAnsi="Times New Roman" w:cs="Times New Roman"/>
          <w:sz w:val="22"/>
          <w:szCs w:val="22"/>
        </w:rPr>
        <w:t>wean off e-cigarette</w:t>
      </w:r>
      <w:r w:rsidR="008A2736">
        <w:rPr>
          <w:rFonts w:ascii="Times New Roman" w:hAnsi="Times New Roman" w:cs="Times New Roman"/>
          <w:sz w:val="22"/>
          <w:szCs w:val="22"/>
        </w:rPr>
        <w:t>/</w:t>
      </w:r>
      <w:r w:rsidR="00470873" w:rsidRPr="00842993">
        <w:rPr>
          <w:rFonts w:ascii="Times New Roman" w:hAnsi="Times New Roman" w:cs="Times New Roman"/>
          <w:sz w:val="22"/>
          <w:szCs w:val="22"/>
        </w:rPr>
        <w:t>nicotine</w:t>
      </w:r>
      <w:r w:rsidR="00B74825" w:rsidRPr="00842993">
        <w:rPr>
          <w:rFonts w:ascii="Times New Roman" w:hAnsi="Times New Roman" w:cs="Times New Roman"/>
          <w:sz w:val="22"/>
          <w:szCs w:val="22"/>
        </w:rPr>
        <w:t xml:space="preserve"> use</w:t>
      </w:r>
      <w:r w:rsidR="00470873" w:rsidRPr="00842993">
        <w:rPr>
          <w:rFonts w:ascii="Times New Roman" w:hAnsi="Times New Roman" w:cs="Times New Roman"/>
          <w:sz w:val="22"/>
          <w:szCs w:val="22"/>
        </w:rPr>
        <w:t xml:space="preserve"> entirely</w:t>
      </w:r>
      <w:r w:rsidR="00B74825" w:rsidRPr="00842993">
        <w:rPr>
          <w:rFonts w:ascii="Times New Roman" w:hAnsi="Times New Roman" w:cs="Times New Roman"/>
          <w:sz w:val="22"/>
          <w:szCs w:val="22"/>
        </w:rPr>
        <w:t>.</w:t>
      </w:r>
      <w:r w:rsidR="0021633F" w:rsidRPr="00842993">
        <w:rPr>
          <w:rFonts w:ascii="Times New Roman" w:hAnsi="Times New Roman" w:cs="Times New Roman"/>
          <w:sz w:val="22"/>
          <w:szCs w:val="22"/>
        </w:rPr>
        <w:t xml:space="preserve"> </w:t>
      </w:r>
      <w:r w:rsidR="00B74825" w:rsidRPr="00842993">
        <w:rPr>
          <w:rFonts w:ascii="Times New Roman" w:hAnsi="Times New Roman" w:cs="Times New Roman"/>
          <w:sz w:val="22"/>
          <w:szCs w:val="22"/>
        </w:rPr>
        <w:t xml:space="preserve"> </w:t>
      </w:r>
      <w:r w:rsidR="00F91466">
        <w:rPr>
          <w:rFonts w:ascii="Times New Roman" w:hAnsi="Times New Roman" w:cs="Times New Roman"/>
          <w:sz w:val="22"/>
          <w:szCs w:val="22"/>
        </w:rPr>
        <w:t>However,</w:t>
      </w:r>
      <w:r w:rsidR="008A2736">
        <w:rPr>
          <w:rFonts w:ascii="Times New Roman" w:hAnsi="Times New Roman" w:cs="Times New Roman"/>
          <w:sz w:val="22"/>
          <w:szCs w:val="22"/>
        </w:rPr>
        <w:t xml:space="preserve"> a reduction in nicotine intake may not actually follow a reduction in nicotine </w:t>
      </w:r>
      <w:r w:rsidR="00B35887">
        <w:rPr>
          <w:rFonts w:ascii="Times New Roman" w:hAnsi="Times New Roman" w:cs="Times New Roman"/>
          <w:sz w:val="22"/>
          <w:szCs w:val="22"/>
        </w:rPr>
        <w:t xml:space="preserve">e-liquid concentration </w:t>
      </w:r>
      <w:r w:rsidR="00E60A7A" w:rsidRPr="00842993">
        <w:rPr>
          <w:rFonts w:ascii="Times New Roman" w:hAnsi="Times New Roman" w:cs="Times New Roman"/>
          <w:sz w:val="22"/>
          <w:szCs w:val="22"/>
        </w:rPr>
        <w:t xml:space="preserve">if </w:t>
      </w:r>
      <w:r w:rsidR="00B35887">
        <w:rPr>
          <w:rFonts w:ascii="Times New Roman" w:hAnsi="Times New Roman" w:cs="Times New Roman"/>
          <w:sz w:val="22"/>
          <w:szCs w:val="22"/>
        </w:rPr>
        <w:t>users</w:t>
      </w:r>
      <w:r w:rsidR="00E60A7A" w:rsidRPr="00842993">
        <w:rPr>
          <w:rFonts w:ascii="Times New Roman" w:hAnsi="Times New Roman" w:cs="Times New Roman"/>
          <w:sz w:val="22"/>
          <w:szCs w:val="22"/>
        </w:rPr>
        <w:t xml:space="preserve"> engage in compensatory puffing </w:t>
      </w:r>
      <w:r w:rsidR="00470873" w:rsidRPr="00842993">
        <w:rPr>
          <w:rFonts w:ascii="Times New Roman" w:hAnsi="Times New Roman" w:cs="Times New Roman"/>
          <w:sz w:val="22"/>
          <w:szCs w:val="22"/>
        </w:rPr>
        <w:t>such as</w:t>
      </w:r>
      <w:r w:rsidR="00E60A7A" w:rsidRPr="00842993">
        <w:rPr>
          <w:rFonts w:ascii="Times New Roman" w:hAnsi="Times New Roman" w:cs="Times New Roman"/>
          <w:sz w:val="22"/>
          <w:szCs w:val="22"/>
        </w:rPr>
        <w:t xml:space="preserve"> increasing </w:t>
      </w:r>
      <w:r w:rsidR="00470873" w:rsidRPr="00842993">
        <w:rPr>
          <w:rFonts w:ascii="Times New Roman" w:hAnsi="Times New Roman" w:cs="Times New Roman"/>
          <w:sz w:val="22"/>
          <w:szCs w:val="22"/>
        </w:rPr>
        <w:t xml:space="preserve">the total </w:t>
      </w:r>
      <w:r w:rsidR="00E60A7A" w:rsidRPr="00842993">
        <w:rPr>
          <w:rFonts w:ascii="Times New Roman" w:hAnsi="Times New Roman" w:cs="Times New Roman"/>
          <w:sz w:val="22"/>
          <w:szCs w:val="22"/>
        </w:rPr>
        <w:t>puff number</w:t>
      </w:r>
      <w:r w:rsidR="00691A7A" w:rsidRPr="00842993">
        <w:rPr>
          <w:rFonts w:ascii="Times New Roman" w:hAnsi="Times New Roman" w:cs="Times New Roman"/>
          <w:sz w:val="22"/>
          <w:szCs w:val="22"/>
        </w:rPr>
        <w:t xml:space="preserve">, </w:t>
      </w:r>
      <w:r w:rsidR="00470873" w:rsidRPr="00842993">
        <w:rPr>
          <w:rFonts w:ascii="Times New Roman" w:hAnsi="Times New Roman" w:cs="Times New Roman"/>
          <w:sz w:val="22"/>
          <w:szCs w:val="22"/>
        </w:rPr>
        <w:t xml:space="preserve">or taking </w:t>
      </w:r>
      <w:r w:rsidR="00E60A7A" w:rsidRPr="00842993">
        <w:rPr>
          <w:rFonts w:ascii="Times New Roman" w:hAnsi="Times New Roman" w:cs="Times New Roman"/>
          <w:sz w:val="22"/>
          <w:szCs w:val="22"/>
        </w:rPr>
        <w:t>longer puffs</w:t>
      </w:r>
      <w:r w:rsidR="00FB5567">
        <w:rPr>
          <w:rFonts w:ascii="Times New Roman" w:hAnsi="Times New Roman" w:cs="Times New Roman"/>
          <w:sz w:val="22"/>
          <w:szCs w:val="22"/>
        </w:rPr>
        <w:t xml:space="preserve"> </w:t>
      </w:r>
      <w:r w:rsidR="00341672">
        <w:rPr>
          <w:rFonts w:ascii="Times New Roman" w:hAnsi="Times New Roman" w:cs="Times New Roman"/>
          <w:sz w:val="22"/>
          <w:szCs w:val="22"/>
        </w:rPr>
        <w:t>[</w:t>
      </w:r>
      <w:r w:rsidR="00C52905">
        <w:rPr>
          <w:rFonts w:ascii="Times New Roman" w:hAnsi="Times New Roman" w:cs="Times New Roman"/>
          <w:sz w:val="22"/>
          <w:szCs w:val="22"/>
        </w:rPr>
        <w:t>12,15</w:t>
      </w:r>
      <w:r w:rsidR="00E61076">
        <w:rPr>
          <w:rFonts w:ascii="Times New Roman" w:hAnsi="Times New Roman" w:cs="Times New Roman"/>
          <w:sz w:val="22"/>
          <w:szCs w:val="22"/>
        </w:rPr>
        <w:t>]</w:t>
      </w:r>
      <w:r w:rsidR="00E60A7A" w:rsidRPr="00842993">
        <w:rPr>
          <w:rFonts w:ascii="Times New Roman" w:hAnsi="Times New Roman" w:cs="Times New Roman"/>
          <w:sz w:val="22"/>
          <w:szCs w:val="22"/>
        </w:rPr>
        <w:t>.</w:t>
      </w:r>
      <w:r w:rsidR="0021633F" w:rsidRPr="00842993">
        <w:rPr>
          <w:rFonts w:ascii="Times New Roman" w:hAnsi="Times New Roman" w:cs="Times New Roman"/>
          <w:sz w:val="22"/>
          <w:szCs w:val="22"/>
        </w:rPr>
        <w:t xml:space="preserve"> </w:t>
      </w:r>
      <w:r w:rsidR="00470873" w:rsidRPr="00842993">
        <w:rPr>
          <w:rFonts w:ascii="Times New Roman" w:hAnsi="Times New Roman" w:cs="Times New Roman"/>
          <w:sz w:val="22"/>
          <w:szCs w:val="22"/>
        </w:rPr>
        <w:t>In fact, in 98 vapers tested at baseline and 8 months later</w:t>
      </w:r>
      <w:r w:rsidR="00C16B7E" w:rsidRPr="00842993">
        <w:rPr>
          <w:rFonts w:ascii="Times New Roman" w:hAnsi="Times New Roman" w:cs="Times New Roman"/>
          <w:sz w:val="22"/>
          <w:szCs w:val="22"/>
        </w:rPr>
        <w:t>,</w:t>
      </w:r>
      <w:r w:rsidR="00470873" w:rsidRPr="00842993">
        <w:rPr>
          <w:rFonts w:ascii="Times New Roman" w:hAnsi="Times New Roman" w:cs="Times New Roman"/>
          <w:sz w:val="22"/>
          <w:szCs w:val="22"/>
        </w:rPr>
        <w:t xml:space="preserve"> whilst average nicotine concentration in</w:t>
      </w:r>
      <w:r w:rsidR="009119B6">
        <w:rPr>
          <w:rFonts w:ascii="Times New Roman" w:hAnsi="Times New Roman" w:cs="Times New Roman"/>
          <w:sz w:val="22"/>
          <w:szCs w:val="22"/>
        </w:rPr>
        <w:t xml:space="preserve"> e-liquid decreased from 11 to 6</w:t>
      </w:r>
      <w:r w:rsidR="00470873" w:rsidRPr="00842993">
        <w:rPr>
          <w:rFonts w:ascii="Times New Roman" w:hAnsi="Times New Roman" w:cs="Times New Roman"/>
          <w:sz w:val="22"/>
          <w:szCs w:val="22"/>
        </w:rPr>
        <w:t xml:space="preserve"> mg/mL, salivary cotinine levels remained stable</w:t>
      </w:r>
      <w:r w:rsidR="00341672">
        <w:rPr>
          <w:rFonts w:ascii="Times New Roman" w:hAnsi="Times New Roman" w:cs="Times New Roman"/>
          <w:sz w:val="22"/>
          <w:szCs w:val="22"/>
        </w:rPr>
        <w:t xml:space="preserve"> [</w:t>
      </w:r>
      <w:r w:rsidR="00C52905">
        <w:rPr>
          <w:rFonts w:ascii="Times New Roman" w:hAnsi="Times New Roman" w:cs="Times New Roman"/>
          <w:sz w:val="22"/>
          <w:szCs w:val="22"/>
        </w:rPr>
        <w:t>13</w:t>
      </w:r>
      <w:r w:rsidR="00341672">
        <w:rPr>
          <w:rFonts w:ascii="Times New Roman" w:hAnsi="Times New Roman" w:cs="Times New Roman"/>
          <w:sz w:val="22"/>
          <w:szCs w:val="22"/>
        </w:rPr>
        <w:t>]</w:t>
      </w:r>
      <w:r w:rsidR="00470873" w:rsidRPr="00842993">
        <w:rPr>
          <w:rFonts w:ascii="Times New Roman" w:hAnsi="Times New Roman" w:cs="Times New Roman"/>
          <w:sz w:val="22"/>
          <w:szCs w:val="22"/>
        </w:rPr>
        <w:t>.</w:t>
      </w:r>
      <w:r w:rsidR="0030194C" w:rsidRPr="00842993">
        <w:rPr>
          <w:rFonts w:ascii="Times New Roman" w:hAnsi="Times New Roman" w:cs="Times New Roman"/>
          <w:sz w:val="22"/>
          <w:szCs w:val="22"/>
        </w:rPr>
        <w:t xml:space="preserve">  Hence, vapers</w:t>
      </w:r>
      <w:r w:rsidR="0015085D" w:rsidRPr="00842993">
        <w:rPr>
          <w:rFonts w:ascii="Times New Roman" w:hAnsi="Times New Roman" w:cs="Times New Roman"/>
          <w:sz w:val="22"/>
          <w:szCs w:val="22"/>
        </w:rPr>
        <w:t>’</w:t>
      </w:r>
      <w:r w:rsidR="0030194C" w:rsidRPr="00842993">
        <w:rPr>
          <w:rFonts w:ascii="Times New Roman" w:hAnsi="Times New Roman" w:cs="Times New Roman"/>
          <w:sz w:val="22"/>
          <w:szCs w:val="22"/>
        </w:rPr>
        <w:t xml:space="preserve"> may self-titrate to a level of satisfaction which is optimal to their needs</w:t>
      </w:r>
      <w:r w:rsidR="0030194C" w:rsidRPr="00842993" w:rsidDel="0030194C">
        <w:rPr>
          <w:rFonts w:ascii="Times New Roman" w:hAnsi="Times New Roman" w:cs="Times New Roman"/>
          <w:sz w:val="22"/>
          <w:szCs w:val="22"/>
        </w:rPr>
        <w:t xml:space="preserve"> </w:t>
      </w:r>
      <w:r w:rsidR="00C16B7E" w:rsidRPr="00842993">
        <w:rPr>
          <w:rFonts w:ascii="Times New Roman" w:hAnsi="Times New Roman" w:cs="Times New Roman"/>
          <w:sz w:val="22"/>
          <w:szCs w:val="22"/>
        </w:rPr>
        <w:t xml:space="preserve">when </w:t>
      </w:r>
      <w:r w:rsidR="00CA41E4" w:rsidRPr="00842993">
        <w:rPr>
          <w:rFonts w:ascii="Times New Roman" w:hAnsi="Times New Roman" w:cs="Times New Roman"/>
          <w:sz w:val="22"/>
          <w:szCs w:val="22"/>
        </w:rPr>
        <w:t>adjust</w:t>
      </w:r>
      <w:r w:rsidR="00C16B7E" w:rsidRPr="00842993">
        <w:rPr>
          <w:rFonts w:ascii="Times New Roman" w:hAnsi="Times New Roman" w:cs="Times New Roman"/>
          <w:sz w:val="22"/>
          <w:szCs w:val="22"/>
        </w:rPr>
        <w:t>ing</w:t>
      </w:r>
      <w:r w:rsidR="00691A7A" w:rsidRPr="00842993">
        <w:rPr>
          <w:rFonts w:ascii="Times New Roman" w:hAnsi="Times New Roman" w:cs="Times New Roman"/>
          <w:sz w:val="22"/>
          <w:szCs w:val="22"/>
        </w:rPr>
        <w:t xml:space="preserve"> to a lower nicotine</w:t>
      </w:r>
      <w:r w:rsidR="0030194C" w:rsidRPr="00842993">
        <w:rPr>
          <w:rFonts w:ascii="Times New Roman" w:hAnsi="Times New Roman" w:cs="Times New Roman"/>
          <w:sz w:val="22"/>
          <w:szCs w:val="22"/>
        </w:rPr>
        <w:t xml:space="preserve"> concentration e-liquid.</w:t>
      </w:r>
    </w:p>
    <w:p w14:paraId="0C5CF73A" w14:textId="77777777" w:rsidR="008F4CA2" w:rsidRPr="00842993" w:rsidRDefault="008F4CA2" w:rsidP="00842993">
      <w:pPr>
        <w:spacing w:line="480" w:lineRule="auto"/>
        <w:jc w:val="both"/>
        <w:rPr>
          <w:rFonts w:ascii="Times New Roman" w:hAnsi="Times New Roman" w:cs="Times New Roman"/>
          <w:sz w:val="22"/>
          <w:szCs w:val="22"/>
        </w:rPr>
      </w:pPr>
    </w:p>
    <w:p w14:paraId="3C7B5490" w14:textId="4360A186" w:rsidR="00B35887" w:rsidRDefault="00E60A7A" w:rsidP="00842993">
      <w:pPr>
        <w:spacing w:line="480" w:lineRule="auto"/>
        <w:jc w:val="both"/>
        <w:rPr>
          <w:rFonts w:ascii="Times New Roman" w:hAnsi="Times New Roman" w:cs="Times New Roman"/>
          <w:sz w:val="22"/>
          <w:szCs w:val="22"/>
        </w:rPr>
      </w:pPr>
      <w:r w:rsidRPr="00842993">
        <w:rPr>
          <w:rFonts w:ascii="Times New Roman" w:hAnsi="Times New Roman" w:cs="Times New Roman"/>
          <w:sz w:val="22"/>
          <w:szCs w:val="22"/>
        </w:rPr>
        <w:t xml:space="preserve">Compensatory puffing behaviour is </w:t>
      </w:r>
      <w:r w:rsidR="0038366E">
        <w:rPr>
          <w:rFonts w:ascii="Times New Roman" w:hAnsi="Times New Roman" w:cs="Times New Roman"/>
          <w:sz w:val="22"/>
          <w:szCs w:val="22"/>
        </w:rPr>
        <w:t>seen</w:t>
      </w:r>
      <w:r w:rsidRPr="00842993">
        <w:rPr>
          <w:rFonts w:ascii="Times New Roman" w:hAnsi="Times New Roman" w:cs="Times New Roman"/>
          <w:sz w:val="22"/>
          <w:szCs w:val="22"/>
        </w:rPr>
        <w:t xml:space="preserve"> in tobacco</w:t>
      </w:r>
      <w:r w:rsidR="00503D89" w:rsidRPr="00842993">
        <w:rPr>
          <w:rFonts w:ascii="Times New Roman" w:hAnsi="Times New Roman" w:cs="Times New Roman"/>
          <w:sz w:val="22"/>
          <w:szCs w:val="22"/>
        </w:rPr>
        <w:t xml:space="preserve"> smoking</w:t>
      </w:r>
      <w:r w:rsidRPr="00842993">
        <w:rPr>
          <w:rFonts w:ascii="Times New Roman" w:hAnsi="Times New Roman" w:cs="Times New Roman"/>
          <w:sz w:val="22"/>
          <w:szCs w:val="22"/>
        </w:rPr>
        <w:t xml:space="preserve"> </w:t>
      </w:r>
      <w:r w:rsidR="00815D91">
        <w:rPr>
          <w:rFonts w:ascii="Times New Roman" w:hAnsi="Times New Roman" w:cs="Times New Roman"/>
          <w:sz w:val="22"/>
          <w:szCs w:val="22"/>
        </w:rPr>
        <w:t>[</w:t>
      </w:r>
      <w:r w:rsidR="00FE783D">
        <w:rPr>
          <w:rFonts w:ascii="Times New Roman" w:hAnsi="Times New Roman" w:cs="Times New Roman"/>
          <w:sz w:val="22"/>
          <w:szCs w:val="22"/>
        </w:rPr>
        <w:t>16-</w:t>
      </w:r>
      <w:r w:rsidR="00C52905">
        <w:rPr>
          <w:rFonts w:ascii="Times New Roman" w:hAnsi="Times New Roman" w:cs="Times New Roman"/>
          <w:sz w:val="22"/>
          <w:szCs w:val="22"/>
        </w:rPr>
        <w:t>19</w:t>
      </w:r>
      <w:r w:rsidR="00E61076">
        <w:rPr>
          <w:rFonts w:ascii="Times New Roman" w:hAnsi="Times New Roman" w:cs="Times New Roman"/>
          <w:sz w:val="22"/>
          <w:szCs w:val="22"/>
        </w:rPr>
        <w:t xml:space="preserve">], </w:t>
      </w:r>
      <w:r w:rsidRPr="00842993">
        <w:rPr>
          <w:rFonts w:ascii="Times New Roman" w:hAnsi="Times New Roman" w:cs="Times New Roman"/>
          <w:sz w:val="22"/>
          <w:szCs w:val="22"/>
        </w:rPr>
        <w:t xml:space="preserve">with </w:t>
      </w:r>
      <w:r w:rsidR="004656BA" w:rsidRPr="00842993">
        <w:rPr>
          <w:rFonts w:ascii="Times New Roman" w:hAnsi="Times New Roman" w:cs="Times New Roman"/>
          <w:sz w:val="22"/>
          <w:szCs w:val="22"/>
        </w:rPr>
        <w:t xml:space="preserve">smokers achieving </w:t>
      </w:r>
      <w:r w:rsidR="008F0863" w:rsidRPr="00842993">
        <w:rPr>
          <w:rFonts w:ascii="Times New Roman" w:hAnsi="Times New Roman" w:cs="Times New Roman"/>
          <w:sz w:val="22"/>
          <w:szCs w:val="22"/>
        </w:rPr>
        <w:t>60-80% of their optimal nicotine levels by engaging in this practice</w:t>
      </w:r>
      <w:r w:rsidR="00503D89" w:rsidRPr="00842993">
        <w:rPr>
          <w:rFonts w:ascii="Times New Roman" w:hAnsi="Times New Roman" w:cs="Times New Roman"/>
          <w:sz w:val="22"/>
          <w:szCs w:val="22"/>
        </w:rPr>
        <w:t xml:space="preserve"> (i.e. by taking longer, </w:t>
      </w:r>
      <w:r w:rsidR="0038366E">
        <w:rPr>
          <w:rFonts w:ascii="Times New Roman" w:hAnsi="Times New Roman" w:cs="Times New Roman"/>
          <w:sz w:val="22"/>
          <w:szCs w:val="22"/>
        </w:rPr>
        <w:t>larger volume</w:t>
      </w:r>
      <w:r w:rsidR="00503D89" w:rsidRPr="00842993">
        <w:rPr>
          <w:rFonts w:ascii="Times New Roman" w:hAnsi="Times New Roman" w:cs="Times New Roman"/>
          <w:sz w:val="22"/>
          <w:szCs w:val="22"/>
        </w:rPr>
        <w:t xml:space="preserve"> and more frequent puffs) when switching to lower nicotine yield cigarettes</w:t>
      </w:r>
      <w:r w:rsidR="008F0863" w:rsidRPr="00842993">
        <w:rPr>
          <w:rFonts w:ascii="Times New Roman" w:hAnsi="Times New Roman" w:cs="Times New Roman"/>
          <w:sz w:val="22"/>
          <w:szCs w:val="22"/>
        </w:rPr>
        <w:t xml:space="preserve"> </w:t>
      </w:r>
      <w:r w:rsidR="00815D91">
        <w:rPr>
          <w:rFonts w:ascii="Times New Roman" w:hAnsi="Times New Roman" w:cs="Times New Roman"/>
          <w:sz w:val="22"/>
          <w:szCs w:val="22"/>
        </w:rPr>
        <w:t>[</w:t>
      </w:r>
      <w:r w:rsidR="00D37CE4">
        <w:rPr>
          <w:rFonts w:ascii="Times New Roman" w:hAnsi="Times New Roman" w:cs="Times New Roman"/>
          <w:sz w:val="22"/>
          <w:szCs w:val="22"/>
        </w:rPr>
        <w:t>20</w:t>
      </w:r>
      <w:r w:rsidR="00E61076">
        <w:rPr>
          <w:rFonts w:ascii="Times New Roman" w:hAnsi="Times New Roman" w:cs="Times New Roman"/>
          <w:sz w:val="22"/>
          <w:szCs w:val="22"/>
        </w:rPr>
        <w:t>]</w:t>
      </w:r>
      <w:r w:rsidR="008F0863" w:rsidRPr="00842993">
        <w:rPr>
          <w:rFonts w:ascii="Times New Roman" w:hAnsi="Times New Roman" w:cs="Times New Roman"/>
          <w:sz w:val="22"/>
          <w:szCs w:val="22"/>
        </w:rPr>
        <w:t>.</w:t>
      </w:r>
      <w:r w:rsidR="0021633F" w:rsidRPr="00842993">
        <w:rPr>
          <w:rFonts w:ascii="Times New Roman" w:hAnsi="Times New Roman" w:cs="Times New Roman"/>
          <w:sz w:val="22"/>
          <w:szCs w:val="22"/>
        </w:rPr>
        <w:t xml:space="preserve"> </w:t>
      </w:r>
      <w:r w:rsidR="00FB615A">
        <w:rPr>
          <w:rFonts w:ascii="Times New Roman" w:hAnsi="Times New Roman" w:cs="Times New Roman"/>
          <w:sz w:val="22"/>
          <w:szCs w:val="22"/>
        </w:rPr>
        <w:t xml:space="preserve"> </w:t>
      </w:r>
      <w:r w:rsidR="008F0863" w:rsidRPr="00842993">
        <w:rPr>
          <w:rFonts w:ascii="Times New Roman" w:hAnsi="Times New Roman" w:cs="Times New Roman"/>
          <w:sz w:val="22"/>
          <w:szCs w:val="22"/>
        </w:rPr>
        <w:t xml:space="preserve">To date, there are only a </w:t>
      </w:r>
      <w:r w:rsidR="008F0863" w:rsidRPr="00842993">
        <w:rPr>
          <w:rFonts w:ascii="Times New Roman" w:hAnsi="Times New Roman" w:cs="Times New Roman"/>
          <w:sz w:val="22"/>
          <w:szCs w:val="22"/>
        </w:rPr>
        <w:lastRenderedPageBreak/>
        <w:t>few studies on compensatory puffing in e-cigarette use.</w:t>
      </w:r>
      <w:r w:rsidR="00290523" w:rsidRPr="00842993">
        <w:rPr>
          <w:rFonts w:ascii="Times New Roman" w:hAnsi="Times New Roman" w:cs="Times New Roman"/>
          <w:sz w:val="22"/>
          <w:szCs w:val="22"/>
        </w:rPr>
        <w:t xml:space="preserve">  </w:t>
      </w:r>
      <w:proofErr w:type="spellStart"/>
      <w:r w:rsidR="00290523" w:rsidRPr="00842993">
        <w:rPr>
          <w:rFonts w:ascii="Times New Roman" w:hAnsi="Times New Roman" w:cs="Times New Roman"/>
          <w:sz w:val="22"/>
          <w:szCs w:val="22"/>
        </w:rPr>
        <w:t>Ra</w:t>
      </w:r>
      <w:r w:rsidR="002A411E" w:rsidRPr="00842993">
        <w:rPr>
          <w:rFonts w:ascii="Times New Roman" w:hAnsi="Times New Roman" w:cs="Times New Roman"/>
          <w:sz w:val="22"/>
          <w:szCs w:val="22"/>
        </w:rPr>
        <w:t>moa</w:t>
      </w:r>
      <w:proofErr w:type="spellEnd"/>
      <w:r w:rsidR="002A411E" w:rsidRPr="00842993">
        <w:rPr>
          <w:rFonts w:ascii="Times New Roman" w:hAnsi="Times New Roman" w:cs="Times New Roman"/>
          <w:sz w:val="22"/>
          <w:szCs w:val="22"/>
        </w:rPr>
        <w:t xml:space="preserve"> et al.,</w:t>
      </w:r>
      <w:r w:rsidR="002D4E4E" w:rsidRPr="00842993">
        <w:rPr>
          <w:rFonts w:ascii="Times New Roman" w:hAnsi="Times New Roman" w:cs="Times New Roman"/>
          <w:sz w:val="22"/>
          <w:szCs w:val="22"/>
        </w:rPr>
        <w:t xml:space="preserve"> </w:t>
      </w:r>
      <w:r w:rsidR="00E61076">
        <w:rPr>
          <w:rFonts w:ascii="Times New Roman" w:hAnsi="Times New Roman" w:cs="Times New Roman"/>
          <w:sz w:val="22"/>
          <w:szCs w:val="22"/>
        </w:rPr>
        <w:t>[</w:t>
      </w:r>
      <w:r w:rsidR="00D37CE4">
        <w:rPr>
          <w:rFonts w:ascii="Times New Roman" w:hAnsi="Times New Roman" w:cs="Times New Roman"/>
          <w:sz w:val="22"/>
          <w:szCs w:val="22"/>
        </w:rPr>
        <w:t>15</w:t>
      </w:r>
      <w:r w:rsidR="00E61076">
        <w:rPr>
          <w:rFonts w:ascii="Times New Roman" w:hAnsi="Times New Roman" w:cs="Times New Roman"/>
          <w:sz w:val="22"/>
          <w:szCs w:val="22"/>
        </w:rPr>
        <w:t>]</w:t>
      </w:r>
      <w:r w:rsidR="002A411E" w:rsidRPr="00842993">
        <w:rPr>
          <w:rFonts w:ascii="Times New Roman" w:hAnsi="Times New Roman" w:cs="Times New Roman"/>
          <w:sz w:val="22"/>
          <w:szCs w:val="22"/>
        </w:rPr>
        <w:t xml:space="preserve"> </w:t>
      </w:r>
      <w:r w:rsidR="00FB615A">
        <w:rPr>
          <w:rFonts w:ascii="Times New Roman" w:hAnsi="Times New Roman" w:cs="Times New Roman"/>
          <w:sz w:val="22"/>
          <w:szCs w:val="22"/>
        </w:rPr>
        <w:t>report</w:t>
      </w:r>
      <w:r w:rsidR="001131E8">
        <w:rPr>
          <w:rFonts w:ascii="Times New Roman" w:hAnsi="Times New Roman" w:cs="Times New Roman"/>
          <w:sz w:val="22"/>
          <w:szCs w:val="22"/>
        </w:rPr>
        <w:t>ed</w:t>
      </w:r>
      <w:r w:rsidR="00FB615A">
        <w:rPr>
          <w:rFonts w:ascii="Times New Roman" w:hAnsi="Times New Roman" w:cs="Times New Roman"/>
          <w:sz w:val="22"/>
          <w:szCs w:val="22"/>
        </w:rPr>
        <w:t xml:space="preserve"> </w:t>
      </w:r>
      <w:r w:rsidR="00FB615A" w:rsidRPr="00842993">
        <w:rPr>
          <w:rFonts w:ascii="Times New Roman" w:hAnsi="Times New Roman" w:cs="Times New Roman"/>
          <w:sz w:val="22"/>
          <w:szCs w:val="22"/>
        </w:rPr>
        <w:t>longer and deeper</w:t>
      </w:r>
      <w:r w:rsidR="00FB5567">
        <w:rPr>
          <w:rFonts w:ascii="Times New Roman" w:hAnsi="Times New Roman" w:cs="Times New Roman"/>
          <w:sz w:val="22"/>
          <w:szCs w:val="22"/>
        </w:rPr>
        <w:t xml:space="preserve"> puffs</w:t>
      </w:r>
      <w:r w:rsidR="00FB615A" w:rsidRPr="00842993">
        <w:rPr>
          <w:rFonts w:ascii="Times New Roman" w:hAnsi="Times New Roman" w:cs="Times New Roman"/>
          <w:sz w:val="22"/>
          <w:szCs w:val="22"/>
        </w:rPr>
        <w:t xml:space="preserve"> </w:t>
      </w:r>
      <w:r w:rsidR="00FB615A">
        <w:rPr>
          <w:rFonts w:ascii="Times New Roman" w:hAnsi="Times New Roman" w:cs="Times New Roman"/>
          <w:sz w:val="22"/>
          <w:szCs w:val="22"/>
        </w:rPr>
        <w:t>in vapers using a 0</w:t>
      </w:r>
      <w:r w:rsidR="00FB615A" w:rsidRPr="00842993">
        <w:rPr>
          <w:rFonts w:ascii="Times New Roman" w:hAnsi="Times New Roman" w:cs="Times New Roman"/>
          <w:sz w:val="22"/>
          <w:szCs w:val="22"/>
        </w:rPr>
        <w:t xml:space="preserve"> </w:t>
      </w:r>
      <w:r w:rsidR="00FB615A">
        <w:rPr>
          <w:rFonts w:ascii="Times New Roman" w:hAnsi="Times New Roman" w:cs="Times New Roman"/>
          <w:sz w:val="22"/>
          <w:szCs w:val="22"/>
        </w:rPr>
        <w:t>compared with a 36</w:t>
      </w:r>
      <w:r w:rsidR="006D29CB">
        <w:rPr>
          <w:rFonts w:ascii="Times New Roman" w:hAnsi="Times New Roman" w:cs="Times New Roman"/>
          <w:sz w:val="22"/>
          <w:szCs w:val="22"/>
        </w:rPr>
        <w:t xml:space="preserve"> </w:t>
      </w:r>
      <w:r w:rsidR="00FB615A">
        <w:rPr>
          <w:rFonts w:ascii="Times New Roman" w:hAnsi="Times New Roman" w:cs="Times New Roman"/>
          <w:sz w:val="22"/>
          <w:szCs w:val="22"/>
        </w:rPr>
        <w:t xml:space="preserve">mg/mL </w:t>
      </w:r>
      <w:r w:rsidR="00FB615A" w:rsidRPr="00842993">
        <w:rPr>
          <w:rFonts w:ascii="Times New Roman" w:hAnsi="Times New Roman" w:cs="Times New Roman"/>
          <w:sz w:val="22"/>
          <w:szCs w:val="22"/>
        </w:rPr>
        <w:t xml:space="preserve">nicotine </w:t>
      </w:r>
      <w:r w:rsidR="00FB615A">
        <w:rPr>
          <w:rFonts w:ascii="Times New Roman" w:hAnsi="Times New Roman" w:cs="Times New Roman"/>
          <w:sz w:val="22"/>
          <w:szCs w:val="22"/>
        </w:rPr>
        <w:t>e-</w:t>
      </w:r>
      <w:r w:rsidR="00FB615A" w:rsidRPr="00842993">
        <w:rPr>
          <w:rFonts w:ascii="Times New Roman" w:hAnsi="Times New Roman" w:cs="Times New Roman"/>
          <w:sz w:val="22"/>
          <w:szCs w:val="22"/>
        </w:rPr>
        <w:t>liquid</w:t>
      </w:r>
      <w:r w:rsidR="00FB615A">
        <w:rPr>
          <w:rFonts w:ascii="Times New Roman" w:hAnsi="Times New Roman" w:cs="Times New Roman"/>
          <w:sz w:val="22"/>
          <w:szCs w:val="22"/>
        </w:rPr>
        <w:t xml:space="preserve"> and</w:t>
      </w:r>
      <w:r w:rsidR="00CE14CE">
        <w:rPr>
          <w:rFonts w:ascii="Times New Roman" w:hAnsi="Times New Roman" w:cs="Times New Roman"/>
          <w:sz w:val="22"/>
          <w:szCs w:val="22"/>
        </w:rPr>
        <w:t>,</w:t>
      </w:r>
      <w:r w:rsidR="00AC32D7" w:rsidRPr="00842993">
        <w:rPr>
          <w:rFonts w:ascii="Times New Roman" w:hAnsi="Times New Roman" w:cs="Times New Roman"/>
          <w:sz w:val="22"/>
          <w:szCs w:val="22"/>
        </w:rPr>
        <w:t xml:space="preserve"> in a small laboratory based study (</w:t>
      </w:r>
      <w:r w:rsidR="00AC32D7" w:rsidRPr="00842993">
        <w:rPr>
          <w:rFonts w:ascii="Times New Roman" w:hAnsi="Times New Roman" w:cs="Times New Roman"/>
          <w:i/>
          <w:sz w:val="22"/>
          <w:szCs w:val="22"/>
        </w:rPr>
        <w:t>N</w:t>
      </w:r>
      <w:r w:rsidR="00AC32D7" w:rsidRPr="00842993">
        <w:rPr>
          <w:rFonts w:ascii="Times New Roman" w:hAnsi="Times New Roman" w:cs="Times New Roman"/>
          <w:sz w:val="22"/>
          <w:szCs w:val="22"/>
        </w:rPr>
        <w:t xml:space="preserve">=11), </w:t>
      </w:r>
      <w:r w:rsidR="002A411E" w:rsidRPr="00842993">
        <w:rPr>
          <w:rFonts w:ascii="Times New Roman" w:hAnsi="Times New Roman" w:cs="Times New Roman"/>
          <w:sz w:val="22"/>
          <w:szCs w:val="22"/>
        </w:rPr>
        <w:t>Dawkins et al.,</w:t>
      </w:r>
      <w:r w:rsidR="002D4E4E" w:rsidRPr="00842993">
        <w:rPr>
          <w:rFonts w:ascii="Times New Roman" w:hAnsi="Times New Roman" w:cs="Times New Roman"/>
          <w:sz w:val="22"/>
          <w:szCs w:val="22"/>
        </w:rPr>
        <w:t xml:space="preserve"> </w:t>
      </w:r>
      <w:r w:rsidR="00E61076">
        <w:rPr>
          <w:rFonts w:ascii="Times New Roman" w:hAnsi="Times New Roman" w:cs="Times New Roman"/>
          <w:sz w:val="22"/>
          <w:szCs w:val="22"/>
        </w:rPr>
        <w:t>[</w:t>
      </w:r>
      <w:r w:rsidR="00D37CE4">
        <w:rPr>
          <w:rFonts w:ascii="Times New Roman" w:hAnsi="Times New Roman" w:cs="Times New Roman"/>
          <w:sz w:val="22"/>
          <w:szCs w:val="22"/>
        </w:rPr>
        <w:t>12</w:t>
      </w:r>
      <w:r w:rsidR="00E61076">
        <w:rPr>
          <w:rFonts w:ascii="Times New Roman" w:hAnsi="Times New Roman" w:cs="Times New Roman"/>
          <w:sz w:val="22"/>
          <w:szCs w:val="22"/>
        </w:rPr>
        <w:t>]</w:t>
      </w:r>
      <w:r w:rsidR="00C5442F">
        <w:rPr>
          <w:rFonts w:ascii="Times New Roman" w:hAnsi="Times New Roman" w:cs="Times New Roman"/>
          <w:sz w:val="22"/>
          <w:szCs w:val="22"/>
        </w:rPr>
        <w:t xml:space="preserve"> </w:t>
      </w:r>
      <w:r w:rsidR="001131E8">
        <w:rPr>
          <w:rFonts w:ascii="Times New Roman" w:hAnsi="Times New Roman" w:cs="Times New Roman"/>
          <w:sz w:val="22"/>
          <w:szCs w:val="22"/>
        </w:rPr>
        <w:t xml:space="preserve">observed </w:t>
      </w:r>
      <w:r w:rsidR="001131E8" w:rsidRPr="00842993">
        <w:rPr>
          <w:rFonts w:ascii="Times New Roman" w:hAnsi="Times New Roman" w:cs="Times New Roman"/>
          <w:sz w:val="22"/>
          <w:szCs w:val="22"/>
        </w:rPr>
        <w:t>compensat</w:t>
      </w:r>
      <w:r w:rsidR="001131E8">
        <w:rPr>
          <w:rFonts w:ascii="Times New Roman" w:hAnsi="Times New Roman" w:cs="Times New Roman"/>
          <w:sz w:val="22"/>
          <w:szCs w:val="22"/>
        </w:rPr>
        <w:t>ory behaviour in vapers using 6</w:t>
      </w:r>
      <w:r w:rsidR="006D29CB">
        <w:rPr>
          <w:rFonts w:ascii="Times New Roman" w:hAnsi="Times New Roman" w:cs="Times New Roman"/>
          <w:sz w:val="22"/>
          <w:szCs w:val="22"/>
        </w:rPr>
        <w:t xml:space="preserve"> </w:t>
      </w:r>
      <w:r w:rsidR="001131E8">
        <w:rPr>
          <w:rFonts w:ascii="Times New Roman" w:hAnsi="Times New Roman" w:cs="Times New Roman"/>
          <w:sz w:val="22"/>
          <w:szCs w:val="22"/>
        </w:rPr>
        <w:t>mg/mL</w:t>
      </w:r>
      <w:r w:rsidR="002A411E" w:rsidRPr="00842993">
        <w:rPr>
          <w:rFonts w:ascii="Times New Roman" w:hAnsi="Times New Roman" w:cs="Times New Roman"/>
          <w:sz w:val="22"/>
          <w:szCs w:val="22"/>
        </w:rPr>
        <w:t xml:space="preserve"> </w:t>
      </w:r>
      <w:r w:rsidR="00C5442F" w:rsidRPr="00724A78">
        <w:rPr>
          <w:rFonts w:ascii="Times New Roman" w:hAnsi="Times New Roman" w:cs="Times New Roman"/>
          <w:sz w:val="22"/>
          <w:szCs w:val="22"/>
        </w:rPr>
        <w:t>compared with 24</w:t>
      </w:r>
      <w:r w:rsidR="006D29CB" w:rsidRPr="00724A78">
        <w:rPr>
          <w:rFonts w:ascii="Times New Roman" w:hAnsi="Times New Roman" w:cs="Times New Roman"/>
          <w:sz w:val="22"/>
          <w:szCs w:val="22"/>
        </w:rPr>
        <w:t xml:space="preserve"> </w:t>
      </w:r>
      <w:r w:rsidR="00C5442F" w:rsidRPr="00724A78">
        <w:rPr>
          <w:rFonts w:ascii="Times New Roman" w:hAnsi="Times New Roman" w:cs="Times New Roman"/>
          <w:sz w:val="22"/>
          <w:szCs w:val="22"/>
        </w:rPr>
        <w:t>mg</w:t>
      </w:r>
      <w:r w:rsidR="001131E8" w:rsidRPr="00724A78">
        <w:rPr>
          <w:rFonts w:ascii="Times New Roman" w:hAnsi="Times New Roman" w:cs="Times New Roman"/>
          <w:sz w:val="22"/>
          <w:szCs w:val="22"/>
        </w:rPr>
        <w:t xml:space="preserve">/mL </w:t>
      </w:r>
      <w:r w:rsidR="00EF7035" w:rsidRPr="00724A78">
        <w:rPr>
          <w:rFonts w:ascii="Times New Roman" w:hAnsi="Times New Roman" w:cs="Times New Roman"/>
          <w:sz w:val="22"/>
          <w:szCs w:val="22"/>
        </w:rPr>
        <w:t>e-</w:t>
      </w:r>
      <w:r w:rsidR="001131E8" w:rsidRPr="00724A78">
        <w:rPr>
          <w:rFonts w:ascii="Times New Roman" w:hAnsi="Times New Roman" w:cs="Times New Roman"/>
          <w:sz w:val="22"/>
          <w:szCs w:val="22"/>
        </w:rPr>
        <w:t xml:space="preserve">liquid via </w:t>
      </w:r>
      <w:r w:rsidR="002A411E" w:rsidRPr="00724A78">
        <w:rPr>
          <w:rFonts w:ascii="Times New Roman" w:hAnsi="Times New Roman" w:cs="Times New Roman"/>
          <w:sz w:val="22"/>
          <w:szCs w:val="22"/>
        </w:rPr>
        <w:t xml:space="preserve">more frequent and longer puffs </w:t>
      </w:r>
      <w:r w:rsidR="00AC32D7" w:rsidRPr="00724A78">
        <w:rPr>
          <w:rFonts w:ascii="Times New Roman" w:hAnsi="Times New Roman" w:cs="Times New Roman"/>
          <w:sz w:val="22"/>
          <w:szCs w:val="22"/>
        </w:rPr>
        <w:t xml:space="preserve">resulting in a doubling of </w:t>
      </w:r>
      <w:r w:rsidR="00EF7035" w:rsidRPr="00724A78">
        <w:rPr>
          <w:rFonts w:ascii="Times New Roman" w:hAnsi="Times New Roman" w:cs="Times New Roman"/>
          <w:sz w:val="22"/>
          <w:szCs w:val="22"/>
        </w:rPr>
        <w:t>e-</w:t>
      </w:r>
      <w:r w:rsidR="002A411E" w:rsidRPr="00724A78">
        <w:rPr>
          <w:rFonts w:ascii="Times New Roman" w:hAnsi="Times New Roman" w:cs="Times New Roman"/>
          <w:sz w:val="22"/>
          <w:szCs w:val="22"/>
        </w:rPr>
        <w:t xml:space="preserve">liquid consumed. </w:t>
      </w:r>
      <w:r w:rsidR="00480BCD" w:rsidRPr="00724A78">
        <w:rPr>
          <w:rFonts w:ascii="Times New Roman" w:hAnsi="Times New Roman" w:cs="Times New Roman"/>
          <w:sz w:val="22"/>
          <w:szCs w:val="22"/>
        </w:rPr>
        <w:t>In a very recent report,</w:t>
      </w:r>
      <w:r w:rsidR="00E742F6" w:rsidRPr="00724A78">
        <w:rPr>
          <w:rFonts w:ascii="Times New Roman" w:hAnsi="Times New Roman" w:cs="Times New Roman"/>
          <w:sz w:val="22"/>
          <w:szCs w:val="22"/>
        </w:rPr>
        <w:t xml:space="preserve"> compensatory puffing (increased puff number and puff duration) was also observed when </w:t>
      </w:r>
      <w:r w:rsidR="00480BCD" w:rsidRPr="00724A78">
        <w:rPr>
          <w:rFonts w:ascii="Times New Roman" w:hAnsi="Times New Roman" w:cs="Times New Roman"/>
          <w:sz w:val="22"/>
          <w:szCs w:val="22"/>
        </w:rPr>
        <w:t>device power</w:t>
      </w:r>
      <w:r w:rsidR="00CD74A9" w:rsidRPr="00724A78">
        <w:rPr>
          <w:rFonts w:ascii="Times New Roman" w:hAnsi="Times New Roman" w:cs="Times New Roman"/>
          <w:sz w:val="22"/>
          <w:szCs w:val="22"/>
        </w:rPr>
        <w:t xml:space="preserve"> was set at 6</w:t>
      </w:r>
      <w:r w:rsidR="00E742F6" w:rsidRPr="00724A78">
        <w:rPr>
          <w:rFonts w:ascii="Times New Roman" w:hAnsi="Times New Roman" w:cs="Times New Roman"/>
          <w:sz w:val="22"/>
          <w:szCs w:val="22"/>
        </w:rPr>
        <w:t>W compared with 10</w:t>
      </w:r>
      <w:r w:rsidR="00480BCD" w:rsidRPr="00724A78">
        <w:rPr>
          <w:rFonts w:ascii="Times New Roman" w:hAnsi="Times New Roman" w:cs="Times New Roman"/>
          <w:sz w:val="22"/>
          <w:szCs w:val="22"/>
        </w:rPr>
        <w:t>W</w:t>
      </w:r>
      <w:r w:rsidR="00CD74A9" w:rsidRPr="00724A78">
        <w:rPr>
          <w:rFonts w:ascii="Times New Roman" w:hAnsi="Times New Roman" w:cs="Times New Roman"/>
          <w:sz w:val="22"/>
          <w:szCs w:val="22"/>
        </w:rPr>
        <w:t xml:space="preserve"> [</w:t>
      </w:r>
      <w:r w:rsidR="00D37CE4" w:rsidRPr="00724A78">
        <w:rPr>
          <w:rFonts w:ascii="Times New Roman" w:hAnsi="Times New Roman" w:cs="Times New Roman"/>
          <w:sz w:val="22"/>
          <w:szCs w:val="22"/>
        </w:rPr>
        <w:t>21</w:t>
      </w:r>
      <w:r w:rsidR="00CD74A9" w:rsidRPr="00724A78">
        <w:rPr>
          <w:rFonts w:ascii="Times New Roman" w:hAnsi="Times New Roman" w:cs="Times New Roman"/>
          <w:sz w:val="22"/>
          <w:szCs w:val="22"/>
        </w:rPr>
        <w:t>]</w:t>
      </w:r>
      <w:r w:rsidR="00480BCD" w:rsidRPr="00724A78">
        <w:rPr>
          <w:rFonts w:ascii="Times New Roman" w:hAnsi="Times New Roman" w:cs="Times New Roman"/>
          <w:sz w:val="22"/>
          <w:szCs w:val="22"/>
        </w:rPr>
        <w:t xml:space="preserve">. </w:t>
      </w:r>
      <w:r w:rsidR="00294223" w:rsidRPr="00724A78">
        <w:rPr>
          <w:rFonts w:ascii="Times New Roman" w:hAnsi="Times New Roman" w:cs="Times New Roman"/>
          <w:sz w:val="22"/>
          <w:szCs w:val="22"/>
        </w:rPr>
        <w:t xml:space="preserve"> </w:t>
      </w:r>
      <w:r w:rsidR="00565B66" w:rsidRPr="00724A78">
        <w:rPr>
          <w:rFonts w:ascii="Times New Roman" w:hAnsi="Times New Roman" w:cs="Times New Roman"/>
          <w:sz w:val="22"/>
          <w:szCs w:val="22"/>
        </w:rPr>
        <w:t>Aside from puffing</w:t>
      </w:r>
      <w:r w:rsidR="00565B66">
        <w:rPr>
          <w:rFonts w:ascii="Times New Roman" w:hAnsi="Times New Roman" w:cs="Times New Roman"/>
          <w:sz w:val="22"/>
          <w:szCs w:val="22"/>
        </w:rPr>
        <w:t xml:space="preserve"> behaviour, </w:t>
      </w:r>
      <w:r w:rsidR="00294223">
        <w:rPr>
          <w:rFonts w:ascii="Times New Roman" w:hAnsi="Times New Roman" w:cs="Times New Roman"/>
          <w:sz w:val="22"/>
          <w:szCs w:val="22"/>
        </w:rPr>
        <w:t xml:space="preserve">vapers may engage in other </w:t>
      </w:r>
      <w:r w:rsidR="00056390">
        <w:rPr>
          <w:rFonts w:ascii="Times New Roman" w:hAnsi="Times New Roman" w:cs="Times New Roman"/>
          <w:sz w:val="22"/>
          <w:szCs w:val="22"/>
        </w:rPr>
        <w:t>forms of compensatory behaviour</w:t>
      </w:r>
      <w:r w:rsidR="00B54B6D">
        <w:rPr>
          <w:rFonts w:ascii="Times New Roman" w:hAnsi="Times New Roman" w:cs="Times New Roman"/>
          <w:sz w:val="22"/>
          <w:szCs w:val="22"/>
        </w:rPr>
        <w:t xml:space="preserve"> by adjusting the settings on the device itself</w:t>
      </w:r>
      <w:r w:rsidR="00323BE7">
        <w:rPr>
          <w:rFonts w:ascii="Times New Roman" w:hAnsi="Times New Roman" w:cs="Times New Roman"/>
          <w:sz w:val="22"/>
          <w:szCs w:val="22"/>
        </w:rPr>
        <w:t xml:space="preserve">.  Newer generation devices now commonly house a control head </w:t>
      </w:r>
      <w:r w:rsidR="003B6C75">
        <w:rPr>
          <w:rFonts w:ascii="Times New Roman" w:hAnsi="Times New Roman" w:cs="Times New Roman"/>
          <w:sz w:val="22"/>
          <w:szCs w:val="22"/>
        </w:rPr>
        <w:t xml:space="preserve">allowing </w:t>
      </w:r>
      <w:r w:rsidR="00B54B6D">
        <w:rPr>
          <w:rFonts w:ascii="Times New Roman" w:hAnsi="Times New Roman" w:cs="Times New Roman"/>
          <w:sz w:val="22"/>
          <w:szCs w:val="22"/>
        </w:rPr>
        <w:t xml:space="preserve">air-flow, </w:t>
      </w:r>
      <w:r w:rsidR="00323BE7">
        <w:rPr>
          <w:rFonts w:ascii="Times New Roman" w:hAnsi="Times New Roman" w:cs="Times New Roman"/>
          <w:sz w:val="22"/>
          <w:szCs w:val="22"/>
        </w:rPr>
        <w:t>voltage</w:t>
      </w:r>
      <w:r w:rsidR="00B54B6D">
        <w:rPr>
          <w:rFonts w:ascii="Times New Roman" w:hAnsi="Times New Roman" w:cs="Times New Roman"/>
          <w:sz w:val="22"/>
          <w:szCs w:val="22"/>
        </w:rPr>
        <w:t xml:space="preserve"> or wattage</w:t>
      </w:r>
      <w:r w:rsidR="003B6C75">
        <w:rPr>
          <w:rFonts w:ascii="Times New Roman" w:hAnsi="Times New Roman" w:cs="Times New Roman"/>
          <w:sz w:val="22"/>
          <w:szCs w:val="22"/>
        </w:rPr>
        <w:t xml:space="preserve"> to be adjusted</w:t>
      </w:r>
      <w:r w:rsidR="00323BE7">
        <w:rPr>
          <w:rFonts w:ascii="Times New Roman" w:hAnsi="Times New Roman" w:cs="Times New Roman"/>
          <w:sz w:val="22"/>
          <w:szCs w:val="22"/>
        </w:rPr>
        <w:t>.</w:t>
      </w:r>
      <w:r w:rsidR="00B54B6D">
        <w:rPr>
          <w:rFonts w:ascii="Times New Roman" w:hAnsi="Times New Roman" w:cs="Times New Roman"/>
          <w:sz w:val="22"/>
          <w:szCs w:val="22"/>
        </w:rPr>
        <w:t xml:space="preserve">  Anecdotal reports suggest that use of lower nicotine concentration e-liquids is accompanied by a lower atomiser resistance </w:t>
      </w:r>
      <w:r w:rsidR="003B6C75">
        <w:rPr>
          <w:rFonts w:ascii="Times New Roman" w:hAnsi="Times New Roman" w:cs="Times New Roman"/>
          <w:sz w:val="22"/>
          <w:szCs w:val="22"/>
        </w:rPr>
        <w:t xml:space="preserve">and </w:t>
      </w:r>
      <w:r w:rsidR="00B54B6D">
        <w:rPr>
          <w:rFonts w:ascii="Times New Roman" w:hAnsi="Times New Roman" w:cs="Times New Roman"/>
          <w:sz w:val="22"/>
          <w:szCs w:val="22"/>
        </w:rPr>
        <w:t>upward voltage</w:t>
      </w:r>
      <w:r w:rsidR="00480BCD">
        <w:rPr>
          <w:rFonts w:ascii="Times New Roman" w:hAnsi="Times New Roman" w:cs="Times New Roman"/>
          <w:sz w:val="22"/>
          <w:szCs w:val="22"/>
        </w:rPr>
        <w:t xml:space="preserve"> or wattage</w:t>
      </w:r>
      <w:r w:rsidR="00B54B6D">
        <w:rPr>
          <w:rFonts w:ascii="Times New Roman" w:hAnsi="Times New Roman" w:cs="Times New Roman"/>
          <w:sz w:val="22"/>
          <w:szCs w:val="22"/>
        </w:rPr>
        <w:t xml:space="preserve"> adjustment.  This increases the overall power output of the device</w:t>
      </w:r>
      <w:r w:rsidR="003B6C75">
        <w:rPr>
          <w:rFonts w:ascii="Times New Roman" w:hAnsi="Times New Roman" w:cs="Times New Roman"/>
          <w:sz w:val="22"/>
          <w:szCs w:val="22"/>
        </w:rPr>
        <w:t xml:space="preserve"> which in turn increases</w:t>
      </w:r>
      <w:r w:rsidR="00294223">
        <w:rPr>
          <w:rFonts w:ascii="Times New Roman" w:hAnsi="Times New Roman" w:cs="Times New Roman"/>
          <w:sz w:val="22"/>
          <w:szCs w:val="22"/>
        </w:rPr>
        <w:t xml:space="preserve"> aerosol production. </w:t>
      </w:r>
      <w:r w:rsidR="003B6C75">
        <w:rPr>
          <w:rFonts w:ascii="Times New Roman" w:hAnsi="Times New Roman" w:cs="Times New Roman"/>
          <w:sz w:val="22"/>
          <w:szCs w:val="22"/>
        </w:rPr>
        <w:t xml:space="preserve">This form of behaviour compensation however, has received no attention in </w:t>
      </w:r>
      <w:r w:rsidR="00480BCD">
        <w:rPr>
          <w:rFonts w:ascii="Times New Roman" w:hAnsi="Times New Roman" w:cs="Times New Roman"/>
          <w:sz w:val="22"/>
          <w:szCs w:val="22"/>
        </w:rPr>
        <w:t>the extant empirical literature.</w:t>
      </w:r>
    </w:p>
    <w:p w14:paraId="56F9D869" w14:textId="77777777" w:rsidR="00B54B6D" w:rsidRDefault="00B54B6D" w:rsidP="00842993">
      <w:pPr>
        <w:spacing w:line="480" w:lineRule="auto"/>
        <w:jc w:val="both"/>
        <w:rPr>
          <w:rFonts w:ascii="Times New Roman" w:hAnsi="Times New Roman" w:cs="Times New Roman"/>
          <w:sz w:val="22"/>
          <w:szCs w:val="22"/>
        </w:rPr>
      </w:pPr>
    </w:p>
    <w:p w14:paraId="1631C459" w14:textId="483DF274" w:rsidR="008F4CA2" w:rsidRDefault="002C4D01" w:rsidP="008F4CA2">
      <w:pPr>
        <w:spacing w:line="480" w:lineRule="auto"/>
        <w:jc w:val="both"/>
        <w:rPr>
          <w:rFonts w:ascii="Times New Roman" w:hAnsi="Times New Roman" w:cs="Times New Roman"/>
          <w:color w:val="101010"/>
          <w:sz w:val="22"/>
          <w:szCs w:val="22"/>
        </w:rPr>
      </w:pPr>
      <w:r>
        <w:rPr>
          <w:rFonts w:ascii="Times New Roman" w:hAnsi="Times New Roman" w:cs="Times New Roman"/>
          <w:sz w:val="22"/>
          <w:szCs w:val="22"/>
        </w:rPr>
        <w:t xml:space="preserve">Compensatory behaviour including more </w:t>
      </w:r>
      <w:r w:rsidR="00776429" w:rsidRPr="00842993">
        <w:rPr>
          <w:rFonts w:ascii="Times New Roman" w:hAnsi="Times New Roman" w:cs="Times New Roman"/>
          <w:sz w:val="22"/>
          <w:szCs w:val="22"/>
        </w:rPr>
        <w:t>frequent and longer puffs</w:t>
      </w:r>
      <w:r w:rsidR="00776429" w:rsidRPr="00842993">
        <w:rPr>
          <w:rFonts w:ascii="Times New Roman" w:hAnsi="Times New Roman" w:cs="Times New Roman"/>
          <w:color w:val="101010"/>
          <w:sz w:val="22"/>
          <w:szCs w:val="22"/>
        </w:rPr>
        <w:t xml:space="preserve"> </w:t>
      </w:r>
      <w:r>
        <w:rPr>
          <w:rFonts w:ascii="Times New Roman" w:hAnsi="Times New Roman" w:cs="Times New Roman"/>
          <w:color w:val="101010"/>
          <w:sz w:val="22"/>
          <w:szCs w:val="22"/>
        </w:rPr>
        <w:t>and increasing power can increase the</w:t>
      </w:r>
      <w:r w:rsidR="00056390">
        <w:rPr>
          <w:rFonts w:ascii="Times New Roman" w:hAnsi="Times New Roman" w:cs="Times New Roman"/>
          <w:color w:val="101010"/>
          <w:sz w:val="22"/>
          <w:szCs w:val="22"/>
        </w:rPr>
        <w:t xml:space="preserve"> temperature</w:t>
      </w:r>
      <w:r>
        <w:rPr>
          <w:rFonts w:ascii="Times New Roman" w:hAnsi="Times New Roman" w:cs="Times New Roman"/>
          <w:color w:val="101010"/>
          <w:sz w:val="22"/>
          <w:szCs w:val="22"/>
        </w:rPr>
        <w:t xml:space="preserve"> of the coil at which</w:t>
      </w:r>
      <w:r w:rsidR="005E5D44" w:rsidRPr="00842993">
        <w:rPr>
          <w:rFonts w:ascii="Times New Roman" w:hAnsi="Times New Roman" w:cs="Times New Roman"/>
          <w:color w:val="101010"/>
          <w:sz w:val="22"/>
          <w:szCs w:val="22"/>
        </w:rPr>
        <w:t xml:space="preserve"> glycerine and propy</w:t>
      </w:r>
      <w:r w:rsidR="00776429" w:rsidRPr="00842993">
        <w:rPr>
          <w:rFonts w:ascii="Times New Roman" w:hAnsi="Times New Roman" w:cs="Times New Roman"/>
          <w:color w:val="101010"/>
          <w:sz w:val="22"/>
          <w:szCs w:val="22"/>
        </w:rPr>
        <w:t>lene glycol (solvents used in e-liquids)</w:t>
      </w:r>
      <w:r w:rsidR="005E5D44" w:rsidRPr="00842993">
        <w:rPr>
          <w:rFonts w:ascii="Times New Roman" w:hAnsi="Times New Roman" w:cs="Times New Roman"/>
          <w:color w:val="101010"/>
          <w:sz w:val="22"/>
          <w:szCs w:val="22"/>
        </w:rPr>
        <w:t xml:space="preserve"> undergo decomposition to carbonyl compounds</w:t>
      </w:r>
      <w:r w:rsidR="00DA0C60">
        <w:rPr>
          <w:rFonts w:ascii="Times New Roman" w:hAnsi="Times New Roman" w:cs="Times New Roman"/>
          <w:color w:val="101010"/>
          <w:sz w:val="22"/>
          <w:szCs w:val="22"/>
        </w:rPr>
        <w:t xml:space="preserve"> [</w:t>
      </w:r>
      <w:r w:rsidR="00D37CE4">
        <w:rPr>
          <w:rFonts w:ascii="Times New Roman" w:hAnsi="Times New Roman" w:cs="Times New Roman"/>
          <w:color w:val="101010"/>
          <w:sz w:val="22"/>
          <w:szCs w:val="22"/>
        </w:rPr>
        <w:t>22</w:t>
      </w:r>
      <w:r w:rsidR="00D012BC">
        <w:rPr>
          <w:rFonts w:ascii="Times New Roman" w:hAnsi="Times New Roman" w:cs="Times New Roman"/>
          <w:color w:val="101010"/>
          <w:sz w:val="22"/>
          <w:szCs w:val="22"/>
        </w:rPr>
        <w:t>]</w:t>
      </w:r>
      <w:r>
        <w:rPr>
          <w:rFonts w:ascii="Times New Roman" w:hAnsi="Times New Roman" w:cs="Times New Roman"/>
          <w:color w:val="101010"/>
          <w:sz w:val="22"/>
          <w:szCs w:val="22"/>
        </w:rPr>
        <w:t>.  This in turn</w:t>
      </w:r>
      <w:r w:rsidR="001131E8">
        <w:rPr>
          <w:rFonts w:ascii="Times New Roman" w:hAnsi="Times New Roman" w:cs="Times New Roman"/>
          <w:color w:val="101010"/>
          <w:sz w:val="22"/>
          <w:szCs w:val="22"/>
        </w:rPr>
        <w:t xml:space="preserve"> may increase</w:t>
      </w:r>
      <w:r w:rsidR="00776429" w:rsidRPr="00842993">
        <w:rPr>
          <w:rFonts w:ascii="Times New Roman" w:hAnsi="Times New Roman" w:cs="Times New Roman"/>
          <w:color w:val="101010"/>
          <w:sz w:val="22"/>
          <w:szCs w:val="22"/>
        </w:rPr>
        <w:t xml:space="preserve"> exposure to</w:t>
      </w:r>
      <w:r w:rsidR="009C61B3" w:rsidRPr="00842993">
        <w:rPr>
          <w:rFonts w:ascii="Times New Roman" w:hAnsi="Times New Roman" w:cs="Times New Roman"/>
          <w:color w:val="101010"/>
          <w:sz w:val="22"/>
          <w:szCs w:val="22"/>
        </w:rPr>
        <w:t xml:space="preserve"> carcinogens </w:t>
      </w:r>
      <w:r w:rsidR="004931B7">
        <w:rPr>
          <w:rFonts w:ascii="Times New Roman" w:hAnsi="Times New Roman" w:cs="Times New Roman"/>
          <w:color w:val="101010"/>
          <w:sz w:val="22"/>
          <w:szCs w:val="22"/>
        </w:rPr>
        <w:t xml:space="preserve">such as </w:t>
      </w:r>
      <w:r w:rsidR="009C61B3" w:rsidRPr="00842993">
        <w:rPr>
          <w:rFonts w:ascii="Times New Roman" w:hAnsi="Times New Roman" w:cs="Times New Roman"/>
          <w:color w:val="101010"/>
          <w:sz w:val="22"/>
          <w:szCs w:val="22"/>
        </w:rPr>
        <w:t>formal</w:t>
      </w:r>
      <w:r w:rsidR="005E5D44" w:rsidRPr="00842993">
        <w:rPr>
          <w:rFonts w:ascii="Times New Roman" w:hAnsi="Times New Roman" w:cs="Times New Roman"/>
          <w:color w:val="101010"/>
          <w:sz w:val="22"/>
          <w:szCs w:val="22"/>
        </w:rPr>
        <w:t>dehyde</w:t>
      </w:r>
      <w:r w:rsidR="004931B7">
        <w:rPr>
          <w:rFonts w:ascii="Times New Roman" w:hAnsi="Times New Roman" w:cs="Times New Roman"/>
          <w:color w:val="101010"/>
          <w:sz w:val="22"/>
          <w:szCs w:val="22"/>
        </w:rPr>
        <w:t xml:space="preserve">, </w:t>
      </w:r>
      <w:r w:rsidR="005E5D44" w:rsidRPr="00842993">
        <w:rPr>
          <w:rFonts w:ascii="Times New Roman" w:hAnsi="Times New Roman" w:cs="Times New Roman"/>
          <w:color w:val="101010"/>
          <w:sz w:val="22"/>
          <w:szCs w:val="22"/>
        </w:rPr>
        <w:t>acetaldehyde</w:t>
      </w:r>
      <w:r w:rsidR="004931B7">
        <w:rPr>
          <w:rFonts w:ascii="Times New Roman" w:hAnsi="Times New Roman" w:cs="Times New Roman"/>
          <w:color w:val="101010"/>
          <w:sz w:val="22"/>
          <w:szCs w:val="22"/>
        </w:rPr>
        <w:t xml:space="preserve"> and </w:t>
      </w:r>
      <w:proofErr w:type="spellStart"/>
      <w:r w:rsidR="004931B7">
        <w:rPr>
          <w:rFonts w:ascii="Times New Roman" w:hAnsi="Times New Roman" w:cs="Times New Roman"/>
          <w:color w:val="101010"/>
          <w:sz w:val="22"/>
          <w:szCs w:val="22"/>
        </w:rPr>
        <w:t>acrolein</w:t>
      </w:r>
      <w:proofErr w:type="spellEnd"/>
      <w:r w:rsidR="005E5D44" w:rsidRPr="00842993">
        <w:rPr>
          <w:rFonts w:ascii="Times New Roman" w:hAnsi="Times New Roman" w:cs="Times New Roman"/>
          <w:color w:val="101010"/>
          <w:sz w:val="22"/>
          <w:szCs w:val="22"/>
        </w:rPr>
        <w:t>.</w:t>
      </w:r>
      <w:r w:rsidR="00B35887">
        <w:rPr>
          <w:rFonts w:ascii="Times New Roman" w:hAnsi="Times New Roman" w:cs="Times New Roman"/>
          <w:color w:val="101010"/>
          <w:sz w:val="22"/>
          <w:szCs w:val="22"/>
        </w:rPr>
        <w:t xml:space="preserve">  </w:t>
      </w:r>
      <w:r w:rsidR="00FE47E0">
        <w:rPr>
          <w:rFonts w:ascii="Times New Roman" w:hAnsi="Times New Roman" w:cs="Times New Roman"/>
          <w:color w:val="101010"/>
          <w:sz w:val="22"/>
          <w:szCs w:val="22"/>
        </w:rPr>
        <w:t>Four studies have explored biomarker levels in human vaper’s saliva or urine and have reported a more favourable toxicity profile than</w:t>
      </w:r>
      <w:r w:rsidR="00B35887">
        <w:rPr>
          <w:rFonts w:ascii="Times New Roman" w:hAnsi="Times New Roman" w:cs="Times New Roman"/>
          <w:color w:val="101010"/>
          <w:sz w:val="22"/>
          <w:szCs w:val="22"/>
        </w:rPr>
        <w:t xml:space="preserve"> for</w:t>
      </w:r>
      <w:r w:rsidR="00FE47E0">
        <w:rPr>
          <w:rFonts w:ascii="Times New Roman" w:hAnsi="Times New Roman" w:cs="Times New Roman"/>
          <w:color w:val="101010"/>
          <w:sz w:val="22"/>
          <w:szCs w:val="22"/>
        </w:rPr>
        <w:t xml:space="preserve"> tobacco smokers </w:t>
      </w:r>
      <w:r w:rsidR="00942AD0">
        <w:rPr>
          <w:rFonts w:ascii="Times New Roman" w:hAnsi="Times New Roman" w:cs="Times New Roman"/>
          <w:color w:val="101010"/>
          <w:sz w:val="22"/>
          <w:szCs w:val="22"/>
        </w:rPr>
        <w:t xml:space="preserve">under normal usage conditions </w:t>
      </w:r>
      <w:r w:rsidR="00FE47E0">
        <w:rPr>
          <w:rFonts w:ascii="Times New Roman" w:hAnsi="Times New Roman" w:cs="Times New Roman"/>
          <w:color w:val="101010"/>
          <w:sz w:val="22"/>
          <w:szCs w:val="22"/>
        </w:rPr>
        <w:t>for polycyclic aromatic hydrocarbons (PAH</w:t>
      </w:r>
      <w:r w:rsidR="00CE1FCA">
        <w:rPr>
          <w:rFonts w:ascii="Times New Roman" w:hAnsi="Times New Roman" w:cs="Times New Roman"/>
          <w:color w:val="101010"/>
          <w:sz w:val="22"/>
          <w:szCs w:val="22"/>
        </w:rPr>
        <w:t>s</w:t>
      </w:r>
      <w:r w:rsidR="00FE47E0">
        <w:rPr>
          <w:rFonts w:ascii="Times New Roman" w:hAnsi="Times New Roman" w:cs="Times New Roman"/>
          <w:color w:val="101010"/>
          <w:sz w:val="22"/>
          <w:szCs w:val="22"/>
        </w:rPr>
        <w:t>), tobacco specific nitrosamines (TSNA</w:t>
      </w:r>
      <w:r w:rsidR="00846CBF">
        <w:rPr>
          <w:rFonts w:ascii="Times New Roman" w:hAnsi="Times New Roman" w:cs="Times New Roman"/>
          <w:color w:val="101010"/>
          <w:sz w:val="22"/>
          <w:szCs w:val="22"/>
        </w:rPr>
        <w:t>s</w:t>
      </w:r>
      <w:r w:rsidR="00FE47E0">
        <w:rPr>
          <w:rFonts w:ascii="Times New Roman" w:hAnsi="Times New Roman" w:cs="Times New Roman"/>
          <w:color w:val="101010"/>
          <w:sz w:val="22"/>
          <w:szCs w:val="22"/>
        </w:rPr>
        <w:t xml:space="preserve">) and other carcinogens </w:t>
      </w:r>
      <w:r w:rsidR="00846CBF">
        <w:rPr>
          <w:rFonts w:ascii="Times New Roman" w:hAnsi="Times New Roman" w:cs="Times New Roman"/>
          <w:color w:val="101010"/>
          <w:sz w:val="22"/>
          <w:szCs w:val="22"/>
        </w:rPr>
        <w:t xml:space="preserve">including </w:t>
      </w:r>
      <w:proofErr w:type="spellStart"/>
      <w:r w:rsidR="00846CBF">
        <w:rPr>
          <w:rFonts w:ascii="Times New Roman" w:hAnsi="Times New Roman" w:cs="Times New Roman"/>
          <w:color w:val="101010"/>
          <w:sz w:val="22"/>
          <w:szCs w:val="22"/>
        </w:rPr>
        <w:t>acrolein</w:t>
      </w:r>
      <w:proofErr w:type="spellEnd"/>
      <w:r w:rsidR="00FE47E0">
        <w:rPr>
          <w:rFonts w:ascii="Times New Roman" w:hAnsi="Times New Roman" w:cs="Times New Roman"/>
          <w:color w:val="101010"/>
          <w:sz w:val="22"/>
          <w:szCs w:val="22"/>
        </w:rPr>
        <w:t xml:space="preserve"> </w:t>
      </w:r>
      <w:r w:rsidR="0084202C">
        <w:rPr>
          <w:rFonts w:ascii="Times New Roman" w:hAnsi="Times New Roman" w:cs="Times New Roman"/>
          <w:color w:val="101010"/>
          <w:sz w:val="22"/>
          <w:szCs w:val="22"/>
        </w:rPr>
        <w:t>[</w:t>
      </w:r>
      <w:r w:rsidR="00D75F07">
        <w:rPr>
          <w:rFonts w:ascii="Times New Roman" w:hAnsi="Times New Roman" w:cs="Times New Roman"/>
          <w:color w:val="101010"/>
          <w:sz w:val="22"/>
          <w:szCs w:val="22"/>
        </w:rPr>
        <w:t>23</w:t>
      </w:r>
      <w:r w:rsidR="00D012BC">
        <w:rPr>
          <w:rFonts w:ascii="Times New Roman" w:hAnsi="Times New Roman" w:cs="Times New Roman"/>
          <w:color w:val="101010"/>
          <w:sz w:val="22"/>
          <w:szCs w:val="22"/>
        </w:rPr>
        <w:t>]</w:t>
      </w:r>
      <w:r w:rsidR="00FE47E0">
        <w:rPr>
          <w:rFonts w:ascii="Times New Roman" w:hAnsi="Times New Roman" w:cs="Times New Roman"/>
          <w:color w:val="101010"/>
          <w:sz w:val="22"/>
          <w:szCs w:val="22"/>
        </w:rPr>
        <w:t xml:space="preserve">.  </w:t>
      </w:r>
      <w:r w:rsidR="00846CBF">
        <w:rPr>
          <w:rFonts w:ascii="Times New Roman" w:hAnsi="Times New Roman" w:cs="Times New Roman"/>
          <w:color w:val="101010"/>
          <w:sz w:val="22"/>
          <w:szCs w:val="22"/>
        </w:rPr>
        <w:t>Reduced TSNA</w:t>
      </w:r>
      <w:r w:rsidR="00CE1FCA">
        <w:rPr>
          <w:rFonts w:ascii="Times New Roman" w:hAnsi="Times New Roman" w:cs="Times New Roman"/>
          <w:color w:val="101010"/>
          <w:sz w:val="22"/>
          <w:szCs w:val="22"/>
        </w:rPr>
        <w:t>s</w:t>
      </w:r>
      <w:r w:rsidR="00846CBF">
        <w:rPr>
          <w:rFonts w:ascii="Times New Roman" w:hAnsi="Times New Roman" w:cs="Times New Roman"/>
          <w:color w:val="101010"/>
          <w:sz w:val="22"/>
          <w:szCs w:val="22"/>
        </w:rPr>
        <w:t>, PAH</w:t>
      </w:r>
      <w:r w:rsidR="00CE1FCA">
        <w:rPr>
          <w:rFonts w:ascii="Times New Roman" w:hAnsi="Times New Roman" w:cs="Times New Roman"/>
          <w:color w:val="101010"/>
          <w:sz w:val="22"/>
          <w:szCs w:val="22"/>
        </w:rPr>
        <w:t>s</w:t>
      </w:r>
      <w:r w:rsidR="00846CBF">
        <w:rPr>
          <w:rFonts w:ascii="Times New Roman" w:hAnsi="Times New Roman" w:cs="Times New Roman"/>
          <w:color w:val="101010"/>
          <w:sz w:val="22"/>
          <w:szCs w:val="22"/>
        </w:rPr>
        <w:t xml:space="preserve"> and volatile organic compounds (VOC</w:t>
      </w:r>
      <w:r w:rsidR="00CE1FCA">
        <w:rPr>
          <w:rFonts w:ascii="Times New Roman" w:hAnsi="Times New Roman" w:cs="Times New Roman"/>
          <w:color w:val="101010"/>
          <w:sz w:val="22"/>
          <w:szCs w:val="22"/>
        </w:rPr>
        <w:t>s</w:t>
      </w:r>
      <w:r w:rsidR="00846CBF">
        <w:rPr>
          <w:rFonts w:ascii="Times New Roman" w:hAnsi="Times New Roman" w:cs="Times New Roman"/>
          <w:color w:val="101010"/>
          <w:sz w:val="22"/>
          <w:szCs w:val="22"/>
        </w:rPr>
        <w:t xml:space="preserve">) </w:t>
      </w:r>
      <w:r w:rsidR="00FE47E0">
        <w:rPr>
          <w:rFonts w:ascii="Times New Roman" w:hAnsi="Times New Roman" w:cs="Times New Roman"/>
          <w:color w:val="101010"/>
          <w:sz w:val="22"/>
          <w:szCs w:val="22"/>
        </w:rPr>
        <w:t>have also been found in smokers who switched to vaping over a 2-4 week period compared</w:t>
      </w:r>
      <w:r w:rsidR="00846CBF">
        <w:rPr>
          <w:rFonts w:ascii="Times New Roman" w:hAnsi="Times New Roman" w:cs="Times New Roman"/>
          <w:color w:val="101010"/>
          <w:sz w:val="22"/>
          <w:szCs w:val="22"/>
        </w:rPr>
        <w:t xml:space="preserve"> to those who continued smoking whilst nicoti</w:t>
      </w:r>
      <w:r w:rsidR="00D012BC">
        <w:rPr>
          <w:rFonts w:ascii="Times New Roman" w:hAnsi="Times New Roman" w:cs="Times New Roman"/>
          <w:color w:val="101010"/>
          <w:sz w:val="22"/>
          <w:szCs w:val="22"/>
        </w:rPr>
        <w:t>ne</w:t>
      </w:r>
      <w:r w:rsidR="0084202C">
        <w:rPr>
          <w:rFonts w:ascii="Times New Roman" w:hAnsi="Times New Roman" w:cs="Times New Roman"/>
          <w:color w:val="101010"/>
          <w:sz w:val="22"/>
          <w:szCs w:val="22"/>
        </w:rPr>
        <w:t xml:space="preserve"> exposure remained unchanged [</w:t>
      </w:r>
      <w:r w:rsidR="00454176">
        <w:rPr>
          <w:rFonts w:ascii="Times New Roman" w:hAnsi="Times New Roman" w:cs="Times New Roman"/>
          <w:color w:val="101010"/>
          <w:sz w:val="22"/>
          <w:szCs w:val="22"/>
        </w:rPr>
        <w:t>24,25</w:t>
      </w:r>
      <w:r w:rsidR="00D012BC">
        <w:rPr>
          <w:rFonts w:ascii="Times New Roman" w:hAnsi="Times New Roman" w:cs="Times New Roman"/>
          <w:color w:val="101010"/>
          <w:sz w:val="22"/>
          <w:szCs w:val="22"/>
        </w:rPr>
        <w:t>]</w:t>
      </w:r>
      <w:r w:rsidR="00846CBF">
        <w:rPr>
          <w:rFonts w:ascii="Times New Roman" w:hAnsi="Times New Roman" w:cs="Times New Roman"/>
          <w:color w:val="101010"/>
          <w:sz w:val="22"/>
          <w:szCs w:val="22"/>
        </w:rPr>
        <w:t xml:space="preserve">. </w:t>
      </w:r>
      <w:r w:rsidR="00CE14CE">
        <w:rPr>
          <w:rFonts w:ascii="Times New Roman" w:hAnsi="Times New Roman" w:cs="Times New Roman"/>
          <w:color w:val="101010"/>
          <w:sz w:val="22"/>
          <w:szCs w:val="22"/>
        </w:rPr>
        <w:t xml:space="preserve"> </w:t>
      </w:r>
      <w:r w:rsidR="00846CBF">
        <w:rPr>
          <w:rFonts w:ascii="Times New Roman" w:hAnsi="Times New Roman" w:cs="Times New Roman"/>
          <w:color w:val="101010"/>
          <w:sz w:val="22"/>
          <w:szCs w:val="22"/>
        </w:rPr>
        <w:t>In a recent study comparing tobacco smokers with e-cigarette-only and nicotine replacement therapy (NRT)-only users, carcinogens and toxicants (TSNAs, VOC) were lower in both e-cigarette and NRT users compared with tobacco smokers</w:t>
      </w:r>
      <w:r w:rsidR="0084202C">
        <w:rPr>
          <w:rFonts w:ascii="Times New Roman" w:hAnsi="Times New Roman" w:cs="Times New Roman"/>
          <w:color w:val="101010"/>
          <w:sz w:val="22"/>
          <w:szCs w:val="22"/>
        </w:rPr>
        <w:t xml:space="preserve"> [</w:t>
      </w:r>
      <w:r w:rsidR="00454176">
        <w:rPr>
          <w:rFonts w:ascii="Times New Roman" w:hAnsi="Times New Roman" w:cs="Times New Roman"/>
          <w:color w:val="101010"/>
          <w:sz w:val="22"/>
          <w:szCs w:val="22"/>
        </w:rPr>
        <w:t>26</w:t>
      </w:r>
      <w:r w:rsidR="00D012BC">
        <w:rPr>
          <w:rFonts w:ascii="Times New Roman" w:hAnsi="Times New Roman" w:cs="Times New Roman"/>
          <w:color w:val="101010"/>
          <w:sz w:val="22"/>
          <w:szCs w:val="22"/>
        </w:rPr>
        <w:t>]</w:t>
      </w:r>
      <w:r w:rsidR="00846CBF">
        <w:rPr>
          <w:rFonts w:ascii="Times New Roman" w:hAnsi="Times New Roman" w:cs="Times New Roman"/>
          <w:color w:val="101010"/>
          <w:sz w:val="22"/>
          <w:szCs w:val="22"/>
        </w:rPr>
        <w:t xml:space="preserve">.  </w:t>
      </w:r>
      <w:r w:rsidR="007B78B5">
        <w:rPr>
          <w:rFonts w:ascii="Times New Roman" w:hAnsi="Times New Roman" w:cs="Times New Roman"/>
          <w:color w:val="101010"/>
          <w:sz w:val="22"/>
          <w:szCs w:val="22"/>
        </w:rPr>
        <w:t>To date, no studies have explored biomarkers of exposure to the known human carcinogen formaldehy</w:t>
      </w:r>
      <w:r w:rsidR="00CE1FCA">
        <w:rPr>
          <w:rFonts w:ascii="Times New Roman" w:hAnsi="Times New Roman" w:cs="Times New Roman"/>
          <w:color w:val="101010"/>
          <w:sz w:val="22"/>
          <w:szCs w:val="22"/>
        </w:rPr>
        <w:t>d</w:t>
      </w:r>
      <w:r w:rsidR="007B78B5">
        <w:rPr>
          <w:rFonts w:ascii="Times New Roman" w:hAnsi="Times New Roman" w:cs="Times New Roman"/>
          <w:color w:val="101010"/>
          <w:sz w:val="22"/>
          <w:szCs w:val="22"/>
        </w:rPr>
        <w:t xml:space="preserve">e or explored the effect of compensatory </w:t>
      </w:r>
      <w:r w:rsidR="00295008">
        <w:rPr>
          <w:rFonts w:ascii="Times New Roman" w:hAnsi="Times New Roman" w:cs="Times New Roman"/>
          <w:color w:val="101010"/>
          <w:sz w:val="22"/>
          <w:szCs w:val="22"/>
        </w:rPr>
        <w:t xml:space="preserve">behaviour </w:t>
      </w:r>
      <w:r w:rsidR="007B78B5">
        <w:rPr>
          <w:rFonts w:ascii="Times New Roman" w:hAnsi="Times New Roman" w:cs="Times New Roman"/>
          <w:color w:val="101010"/>
          <w:sz w:val="22"/>
          <w:szCs w:val="22"/>
        </w:rPr>
        <w:t xml:space="preserve">on carcinogen exposure.  </w:t>
      </w:r>
    </w:p>
    <w:p w14:paraId="0B21022C" w14:textId="77777777" w:rsidR="008F4CA2" w:rsidRDefault="008F4CA2" w:rsidP="00B35887">
      <w:pPr>
        <w:spacing w:line="480" w:lineRule="auto"/>
        <w:ind w:firstLine="720"/>
        <w:jc w:val="both"/>
        <w:rPr>
          <w:rFonts w:ascii="Times New Roman" w:hAnsi="Times New Roman" w:cs="Times New Roman"/>
          <w:color w:val="101010"/>
          <w:sz w:val="22"/>
          <w:szCs w:val="22"/>
        </w:rPr>
      </w:pPr>
    </w:p>
    <w:p w14:paraId="3DC12FDF" w14:textId="1513D4A7" w:rsidR="002E1472" w:rsidRPr="00724A78" w:rsidRDefault="007B78B5" w:rsidP="002E1472">
      <w:pPr>
        <w:spacing w:line="480" w:lineRule="auto"/>
        <w:jc w:val="both"/>
        <w:rPr>
          <w:rFonts w:ascii="Times New Roman" w:hAnsi="Times New Roman" w:cs="Times New Roman"/>
          <w:sz w:val="22"/>
          <w:szCs w:val="22"/>
        </w:rPr>
      </w:pPr>
      <w:r>
        <w:rPr>
          <w:rFonts w:ascii="Times New Roman" w:hAnsi="Times New Roman" w:cs="Times New Roman"/>
          <w:color w:val="101010"/>
          <w:sz w:val="22"/>
          <w:szCs w:val="22"/>
        </w:rPr>
        <w:lastRenderedPageBreak/>
        <w:t>T</w:t>
      </w:r>
      <w:r w:rsidR="007D6518" w:rsidRPr="00842993">
        <w:rPr>
          <w:rFonts w:ascii="Times New Roman" w:hAnsi="Times New Roman" w:cs="Times New Roman"/>
          <w:sz w:val="22"/>
          <w:szCs w:val="22"/>
        </w:rPr>
        <w:t>he paucity of research on compensatory</w:t>
      </w:r>
      <w:r w:rsidR="00295008">
        <w:rPr>
          <w:rFonts w:ascii="Times New Roman" w:hAnsi="Times New Roman" w:cs="Times New Roman"/>
          <w:sz w:val="22"/>
          <w:szCs w:val="22"/>
        </w:rPr>
        <w:t xml:space="preserve"> behaviour</w:t>
      </w:r>
      <w:r w:rsidR="007D6518" w:rsidRPr="00842993">
        <w:rPr>
          <w:rFonts w:ascii="Times New Roman" w:hAnsi="Times New Roman" w:cs="Times New Roman"/>
          <w:sz w:val="22"/>
          <w:szCs w:val="22"/>
        </w:rPr>
        <w:t xml:space="preserve"> in e-cigarette use makes </w:t>
      </w:r>
      <w:r>
        <w:rPr>
          <w:rFonts w:ascii="Times New Roman" w:hAnsi="Times New Roman" w:cs="Times New Roman"/>
          <w:sz w:val="22"/>
          <w:szCs w:val="22"/>
        </w:rPr>
        <w:t xml:space="preserve">it </w:t>
      </w:r>
      <w:r w:rsidR="007D6518" w:rsidRPr="00842993">
        <w:rPr>
          <w:rFonts w:ascii="Times New Roman" w:hAnsi="Times New Roman" w:cs="Times New Roman"/>
          <w:sz w:val="22"/>
          <w:szCs w:val="22"/>
        </w:rPr>
        <w:t xml:space="preserve">difficult </w:t>
      </w:r>
      <w:r>
        <w:rPr>
          <w:rFonts w:ascii="Times New Roman" w:hAnsi="Times New Roman" w:cs="Times New Roman"/>
          <w:sz w:val="22"/>
          <w:szCs w:val="22"/>
        </w:rPr>
        <w:t xml:space="preserve">to generate </w:t>
      </w:r>
      <w:r w:rsidR="007D6518" w:rsidRPr="00842993">
        <w:rPr>
          <w:rFonts w:ascii="Times New Roman" w:hAnsi="Times New Roman" w:cs="Times New Roman"/>
          <w:sz w:val="22"/>
          <w:szCs w:val="22"/>
        </w:rPr>
        <w:t xml:space="preserve">clear evidenced-based health messages which can inform the public on the possible </w:t>
      </w:r>
      <w:r w:rsidR="00C676D4" w:rsidRPr="00842993">
        <w:rPr>
          <w:rFonts w:ascii="Times New Roman" w:hAnsi="Times New Roman" w:cs="Times New Roman"/>
          <w:sz w:val="22"/>
          <w:szCs w:val="22"/>
        </w:rPr>
        <w:t>subjective, biological</w:t>
      </w:r>
      <w:r w:rsidR="007D6518" w:rsidRPr="00842993">
        <w:rPr>
          <w:rFonts w:ascii="Times New Roman" w:hAnsi="Times New Roman" w:cs="Times New Roman"/>
          <w:sz w:val="22"/>
          <w:szCs w:val="22"/>
        </w:rPr>
        <w:t xml:space="preserve"> </w:t>
      </w:r>
      <w:r w:rsidR="00C16B7E" w:rsidRPr="00842993">
        <w:rPr>
          <w:rFonts w:ascii="Times New Roman" w:hAnsi="Times New Roman" w:cs="Times New Roman"/>
          <w:sz w:val="22"/>
          <w:szCs w:val="22"/>
        </w:rPr>
        <w:t xml:space="preserve">and toxicant </w:t>
      </w:r>
      <w:r w:rsidR="007D6518" w:rsidRPr="00842993">
        <w:rPr>
          <w:rFonts w:ascii="Times New Roman" w:hAnsi="Times New Roman" w:cs="Times New Roman"/>
          <w:sz w:val="22"/>
          <w:szCs w:val="22"/>
        </w:rPr>
        <w:t xml:space="preserve">effects of increased usage.  </w:t>
      </w:r>
      <w:r w:rsidR="005E5D44" w:rsidRPr="00842993">
        <w:rPr>
          <w:rFonts w:ascii="Times New Roman" w:hAnsi="Times New Roman" w:cs="Times New Roman"/>
          <w:sz w:val="22"/>
          <w:szCs w:val="22"/>
        </w:rPr>
        <w:t xml:space="preserve">Currently, the laboratory based studies provide </w:t>
      </w:r>
      <w:r w:rsidR="00AA5FF1" w:rsidRPr="00842993">
        <w:rPr>
          <w:rFonts w:ascii="Times New Roman" w:hAnsi="Times New Roman" w:cs="Times New Roman"/>
          <w:sz w:val="22"/>
          <w:szCs w:val="22"/>
        </w:rPr>
        <w:t xml:space="preserve">some evidence </w:t>
      </w:r>
      <w:r w:rsidR="005E5D44" w:rsidRPr="00842993">
        <w:rPr>
          <w:rFonts w:ascii="Times New Roman" w:hAnsi="Times New Roman" w:cs="Times New Roman"/>
          <w:sz w:val="22"/>
          <w:szCs w:val="22"/>
        </w:rPr>
        <w:t xml:space="preserve">of compensatory </w:t>
      </w:r>
      <w:r w:rsidR="003C2670" w:rsidRPr="00842993">
        <w:rPr>
          <w:rFonts w:ascii="Times New Roman" w:hAnsi="Times New Roman" w:cs="Times New Roman"/>
          <w:sz w:val="22"/>
          <w:szCs w:val="22"/>
        </w:rPr>
        <w:t>puffing but</w:t>
      </w:r>
      <w:r w:rsidR="00AA5FF1" w:rsidRPr="00842993">
        <w:rPr>
          <w:rFonts w:ascii="Times New Roman" w:hAnsi="Times New Roman" w:cs="Times New Roman"/>
          <w:sz w:val="22"/>
          <w:szCs w:val="22"/>
        </w:rPr>
        <w:t xml:space="preserve"> these have used </w:t>
      </w:r>
      <w:r w:rsidR="00AA0BB5" w:rsidRPr="00842993">
        <w:rPr>
          <w:rFonts w:ascii="Times New Roman" w:hAnsi="Times New Roman" w:cs="Times New Roman"/>
          <w:sz w:val="22"/>
          <w:szCs w:val="22"/>
        </w:rPr>
        <w:t>restrictive behavioural parameters which may not reflect true user behaviour</w:t>
      </w:r>
      <w:r w:rsidR="005E5D44" w:rsidRPr="00842993">
        <w:rPr>
          <w:rFonts w:ascii="Times New Roman" w:hAnsi="Times New Roman" w:cs="Times New Roman"/>
          <w:sz w:val="22"/>
          <w:szCs w:val="22"/>
        </w:rPr>
        <w:t>.</w:t>
      </w:r>
      <w:r w:rsidR="00CE14CE">
        <w:rPr>
          <w:rFonts w:ascii="Times New Roman" w:hAnsi="Times New Roman" w:cs="Times New Roman"/>
          <w:sz w:val="22"/>
          <w:szCs w:val="22"/>
        </w:rPr>
        <w:t xml:space="preserve"> </w:t>
      </w:r>
      <w:r w:rsidR="005E5D44" w:rsidRPr="00842993">
        <w:rPr>
          <w:rFonts w:ascii="Times New Roman" w:hAnsi="Times New Roman" w:cs="Times New Roman"/>
          <w:sz w:val="22"/>
          <w:szCs w:val="22"/>
        </w:rPr>
        <w:t xml:space="preserve"> </w:t>
      </w:r>
      <w:r w:rsidR="00AA0BB5" w:rsidRPr="00842993">
        <w:rPr>
          <w:rFonts w:ascii="Times New Roman" w:hAnsi="Times New Roman" w:cs="Times New Roman"/>
          <w:sz w:val="22"/>
          <w:szCs w:val="22"/>
        </w:rPr>
        <w:t>In reality, vapers</w:t>
      </w:r>
      <w:r w:rsidR="005E5D44" w:rsidRPr="00842993">
        <w:rPr>
          <w:rFonts w:ascii="Times New Roman" w:hAnsi="Times New Roman" w:cs="Times New Roman"/>
          <w:sz w:val="22"/>
          <w:szCs w:val="22"/>
        </w:rPr>
        <w:t xml:space="preserve"> are likely to </w:t>
      </w:r>
      <w:r w:rsidR="00295008">
        <w:rPr>
          <w:rFonts w:ascii="Times New Roman" w:hAnsi="Times New Roman" w:cs="Times New Roman"/>
          <w:sz w:val="22"/>
          <w:szCs w:val="22"/>
        </w:rPr>
        <w:t xml:space="preserve">adjust the power </w:t>
      </w:r>
      <w:r w:rsidR="002E1472" w:rsidRPr="00724A78">
        <w:rPr>
          <w:rFonts w:ascii="Times New Roman" w:hAnsi="Times New Roman" w:cs="Times New Roman"/>
          <w:sz w:val="22"/>
          <w:szCs w:val="22"/>
        </w:rPr>
        <w:t xml:space="preserve">(wattage) </w:t>
      </w:r>
      <w:r w:rsidR="00295008" w:rsidRPr="00724A78">
        <w:rPr>
          <w:rFonts w:ascii="Times New Roman" w:hAnsi="Times New Roman" w:cs="Times New Roman"/>
          <w:sz w:val="22"/>
          <w:szCs w:val="22"/>
        </w:rPr>
        <w:t>on their devices</w:t>
      </w:r>
      <w:r w:rsidR="00290523" w:rsidRPr="00724A78">
        <w:rPr>
          <w:rFonts w:ascii="Times New Roman" w:hAnsi="Times New Roman" w:cs="Times New Roman"/>
          <w:sz w:val="22"/>
          <w:szCs w:val="22"/>
        </w:rPr>
        <w:t xml:space="preserve"> </w:t>
      </w:r>
      <w:r w:rsidR="00B35887" w:rsidRPr="00724A78">
        <w:rPr>
          <w:rFonts w:ascii="Times New Roman" w:hAnsi="Times New Roman" w:cs="Times New Roman"/>
          <w:sz w:val="22"/>
          <w:szCs w:val="22"/>
        </w:rPr>
        <w:t xml:space="preserve">(where device type allows) </w:t>
      </w:r>
      <w:r w:rsidR="00AA5FF1" w:rsidRPr="00724A78">
        <w:rPr>
          <w:rFonts w:ascii="Times New Roman" w:hAnsi="Times New Roman" w:cs="Times New Roman"/>
          <w:sz w:val="22"/>
          <w:szCs w:val="22"/>
        </w:rPr>
        <w:t>when switching to lower nicotine concentration e-liquids</w:t>
      </w:r>
      <w:r w:rsidR="00290523" w:rsidRPr="00724A78">
        <w:rPr>
          <w:rFonts w:ascii="Times New Roman" w:hAnsi="Times New Roman" w:cs="Times New Roman"/>
          <w:sz w:val="22"/>
          <w:szCs w:val="22"/>
        </w:rPr>
        <w:t xml:space="preserve"> </w:t>
      </w:r>
      <w:r w:rsidR="00C676D4" w:rsidRPr="00724A78">
        <w:rPr>
          <w:rFonts w:ascii="Times New Roman" w:hAnsi="Times New Roman" w:cs="Times New Roman"/>
          <w:sz w:val="22"/>
          <w:szCs w:val="22"/>
        </w:rPr>
        <w:t>according to</w:t>
      </w:r>
      <w:r w:rsidR="00AA0BB5" w:rsidRPr="00724A78">
        <w:rPr>
          <w:rFonts w:ascii="Times New Roman" w:hAnsi="Times New Roman" w:cs="Times New Roman"/>
          <w:sz w:val="22"/>
          <w:szCs w:val="22"/>
        </w:rPr>
        <w:t xml:space="preserve"> persona</w:t>
      </w:r>
      <w:r w:rsidR="002E1472" w:rsidRPr="00724A78">
        <w:rPr>
          <w:rFonts w:ascii="Times New Roman" w:hAnsi="Times New Roman" w:cs="Times New Roman"/>
          <w:sz w:val="22"/>
          <w:szCs w:val="22"/>
        </w:rPr>
        <w:t xml:space="preserve">l preference and current needs.  </w:t>
      </w:r>
      <w:r w:rsidR="002E1472" w:rsidRPr="00724A78">
        <w:rPr>
          <w:rFonts w:ascii="Times New Roman" w:hAnsi="Times New Roman" w:cs="Times New Roman"/>
          <w:sz w:val="22"/>
          <w:szCs w:val="22"/>
          <w:lang w:val="en-US"/>
        </w:rPr>
        <w:t>Vapers can adjust the power either by increasing battery output voltage or replacing the atomizer with a heating element of lower resistance (for example in ‘sub-</w:t>
      </w:r>
      <w:proofErr w:type="spellStart"/>
      <w:r w:rsidR="002E1472" w:rsidRPr="00724A78">
        <w:rPr>
          <w:rFonts w:ascii="Times New Roman" w:hAnsi="Times New Roman" w:cs="Times New Roman"/>
          <w:sz w:val="22"/>
          <w:szCs w:val="22"/>
          <w:lang w:val="en-US"/>
        </w:rPr>
        <w:t>ohming</w:t>
      </w:r>
      <w:proofErr w:type="spellEnd"/>
      <w:r w:rsidR="002E1472" w:rsidRPr="00724A78">
        <w:rPr>
          <w:rFonts w:ascii="Times New Roman" w:hAnsi="Times New Roman" w:cs="Times New Roman"/>
          <w:sz w:val="22"/>
          <w:szCs w:val="22"/>
          <w:lang w:val="en-US"/>
        </w:rPr>
        <w:t>’).  In m</w:t>
      </w:r>
      <w:r w:rsidR="008E171E" w:rsidRPr="00724A78">
        <w:rPr>
          <w:rFonts w:ascii="Times New Roman" w:hAnsi="Times New Roman" w:cs="Times New Roman"/>
          <w:sz w:val="22"/>
          <w:szCs w:val="22"/>
          <w:lang w:val="en-US"/>
        </w:rPr>
        <w:t>ost cases, given that the atomiz</w:t>
      </w:r>
      <w:r w:rsidR="002E1472" w:rsidRPr="00724A78">
        <w:rPr>
          <w:rFonts w:ascii="Times New Roman" w:hAnsi="Times New Roman" w:cs="Times New Roman"/>
          <w:sz w:val="22"/>
          <w:szCs w:val="22"/>
          <w:lang w:val="en-US"/>
        </w:rPr>
        <w:t xml:space="preserve">er resistance stays the same, by increasing voltage, </w:t>
      </w:r>
      <w:proofErr w:type="spellStart"/>
      <w:r w:rsidR="002E1472" w:rsidRPr="00724A78">
        <w:rPr>
          <w:rFonts w:ascii="Times New Roman" w:hAnsi="Times New Roman" w:cs="Times New Roman"/>
          <w:sz w:val="22"/>
          <w:szCs w:val="22"/>
          <w:lang w:val="en-US"/>
        </w:rPr>
        <w:t>vapers</w:t>
      </w:r>
      <w:proofErr w:type="spellEnd"/>
      <w:r w:rsidR="002E1472" w:rsidRPr="00724A78">
        <w:rPr>
          <w:rFonts w:ascii="Times New Roman" w:hAnsi="Times New Roman" w:cs="Times New Roman"/>
          <w:sz w:val="22"/>
          <w:szCs w:val="22"/>
          <w:lang w:val="en-US"/>
        </w:rPr>
        <w:t xml:space="preserve"> are increasing the overall power (wattage) of the device.  </w:t>
      </w:r>
    </w:p>
    <w:p w14:paraId="0AE8037A" w14:textId="3D08C210" w:rsidR="002E1472" w:rsidRPr="00724A78" w:rsidRDefault="002E1472" w:rsidP="00842993">
      <w:pPr>
        <w:spacing w:line="480" w:lineRule="auto"/>
        <w:jc w:val="both"/>
        <w:rPr>
          <w:rFonts w:ascii="Times New Roman" w:hAnsi="Times New Roman" w:cs="Times New Roman"/>
          <w:sz w:val="22"/>
          <w:szCs w:val="22"/>
        </w:rPr>
      </w:pPr>
    </w:p>
    <w:p w14:paraId="6B52327D" w14:textId="3B846B00" w:rsidR="00B93305" w:rsidRDefault="007D4E79" w:rsidP="00842993">
      <w:pPr>
        <w:spacing w:line="480" w:lineRule="auto"/>
        <w:jc w:val="both"/>
        <w:rPr>
          <w:rFonts w:ascii="Times New Roman" w:hAnsi="Times New Roman" w:cs="Times New Roman"/>
          <w:sz w:val="22"/>
          <w:szCs w:val="22"/>
        </w:rPr>
      </w:pPr>
      <w:r w:rsidRPr="00724A78">
        <w:rPr>
          <w:rFonts w:ascii="Times New Roman" w:hAnsi="Times New Roman" w:cs="Times New Roman"/>
          <w:sz w:val="22"/>
          <w:szCs w:val="22"/>
        </w:rPr>
        <w:t xml:space="preserve">In the present study, participants vaped </w:t>
      </w:r>
      <w:r w:rsidRPr="00724A78">
        <w:rPr>
          <w:rFonts w:ascii="Times New Roman" w:hAnsi="Times New Roman" w:cs="Times New Roman"/>
          <w:i/>
          <w:sz w:val="22"/>
          <w:szCs w:val="22"/>
        </w:rPr>
        <w:t>ad libitum</w:t>
      </w:r>
      <w:r w:rsidRPr="00724A78">
        <w:rPr>
          <w:rFonts w:ascii="Times New Roman" w:hAnsi="Times New Roman" w:cs="Times New Roman"/>
          <w:sz w:val="22"/>
          <w:szCs w:val="22"/>
        </w:rPr>
        <w:t xml:space="preserve"> using an </w:t>
      </w:r>
      <w:proofErr w:type="spellStart"/>
      <w:r w:rsidRPr="00724A78">
        <w:rPr>
          <w:rFonts w:ascii="Times New Roman" w:hAnsi="Times New Roman" w:cs="Times New Roman"/>
          <w:sz w:val="22"/>
          <w:szCs w:val="22"/>
        </w:rPr>
        <w:t>eVic</w:t>
      </w:r>
      <w:proofErr w:type="spellEnd"/>
      <w:r w:rsidRPr="00724A78">
        <w:rPr>
          <w:rFonts w:ascii="Times New Roman" w:hAnsi="Times New Roman" w:cs="Times New Roman"/>
          <w:sz w:val="22"/>
          <w:szCs w:val="22"/>
        </w:rPr>
        <w:t xml:space="preserve"> Supreme™ with a ‘Nautilus Aspire’ tank over four weeks (one week per conditions): i) low nicotine (6 mg/mL)/fixed power; ii) low nicotine/adjustable power; iii) high nicotine (18 mg/mL)/fixed power; iv) high nicotine/adjustable power. </w:t>
      </w:r>
      <w:r w:rsidR="002E1472" w:rsidRPr="00724A78">
        <w:rPr>
          <w:rFonts w:ascii="Times New Roman" w:hAnsi="Times New Roman" w:cs="Times New Roman"/>
          <w:sz w:val="22"/>
          <w:szCs w:val="22"/>
        </w:rPr>
        <w:t xml:space="preserve"> </w:t>
      </w:r>
      <w:r w:rsidR="002A53AE" w:rsidRPr="00724A78">
        <w:rPr>
          <w:rFonts w:ascii="Times New Roman" w:hAnsi="Times New Roman" w:cs="Times New Roman"/>
          <w:sz w:val="22"/>
          <w:szCs w:val="22"/>
        </w:rPr>
        <w:t>A</w:t>
      </w:r>
      <w:r w:rsidR="002E1472" w:rsidRPr="00724A78">
        <w:rPr>
          <w:rFonts w:ascii="Times New Roman" w:hAnsi="Times New Roman" w:cs="Times New Roman"/>
          <w:sz w:val="22"/>
          <w:szCs w:val="22"/>
        </w:rPr>
        <w:t>lthough it was the voltage rather than the wattage that participants adjusted, given that the atomiser resistance remained the same, increasing voltage results in an overall power increase, hence we refer to changes to power throughout</w:t>
      </w:r>
      <w:r w:rsidR="00931D21" w:rsidRPr="00724A78">
        <w:rPr>
          <w:rFonts w:ascii="Times New Roman" w:hAnsi="Times New Roman" w:cs="Times New Roman"/>
          <w:sz w:val="22"/>
          <w:szCs w:val="22"/>
        </w:rPr>
        <w:t xml:space="preserve">.  </w:t>
      </w:r>
      <w:r w:rsidRPr="00724A78">
        <w:rPr>
          <w:rFonts w:ascii="Times New Roman" w:hAnsi="Times New Roman" w:cs="Times New Roman"/>
          <w:sz w:val="22"/>
          <w:szCs w:val="22"/>
        </w:rPr>
        <w:t xml:space="preserve">The aims were: </w:t>
      </w:r>
      <w:r w:rsidR="00403A82" w:rsidRPr="00724A78">
        <w:rPr>
          <w:rFonts w:ascii="Times New Roman" w:hAnsi="Times New Roman" w:cs="Times New Roman"/>
          <w:sz w:val="22"/>
          <w:szCs w:val="22"/>
        </w:rPr>
        <w:t>1</w:t>
      </w:r>
      <w:r w:rsidRPr="00724A78">
        <w:rPr>
          <w:rFonts w:ascii="Times New Roman" w:hAnsi="Times New Roman" w:cs="Times New Roman"/>
          <w:sz w:val="22"/>
          <w:szCs w:val="22"/>
        </w:rPr>
        <w:t xml:space="preserve">) to compare the effects of nicotine </w:t>
      </w:r>
      <w:r w:rsidR="001A594C" w:rsidRPr="00724A78">
        <w:rPr>
          <w:rFonts w:ascii="Times New Roman" w:hAnsi="Times New Roman" w:cs="Times New Roman"/>
          <w:sz w:val="22"/>
          <w:szCs w:val="22"/>
        </w:rPr>
        <w:t>concentration</w:t>
      </w:r>
      <w:r w:rsidRPr="00724A78">
        <w:rPr>
          <w:rFonts w:ascii="Times New Roman" w:hAnsi="Times New Roman" w:cs="Times New Roman"/>
          <w:sz w:val="22"/>
          <w:szCs w:val="22"/>
        </w:rPr>
        <w:t xml:space="preserve"> and power </w:t>
      </w:r>
      <w:r w:rsidR="00403A82" w:rsidRPr="00724A78">
        <w:rPr>
          <w:rFonts w:ascii="Times New Roman" w:hAnsi="Times New Roman" w:cs="Times New Roman"/>
          <w:sz w:val="22"/>
          <w:szCs w:val="22"/>
        </w:rPr>
        <w:t>setting</w:t>
      </w:r>
      <w:r w:rsidRPr="00724A78">
        <w:rPr>
          <w:rFonts w:ascii="Times New Roman" w:hAnsi="Times New Roman" w:cs="Times New Roman"/>
          <w:sz w:val="22"/>
          <w:szCs w:val="22"/>
        </w:rPr>
        <w:t xml:space="preserve"> on: a)</w:t>
      </w:r>
      <w:r w:rsidR="00403A82" w:rsidRPr="00724A78">
        <w:rPr>
          <w:rFonts w:ascii="Times New Roman" w:hAnsi="Times New Roman" w:cs="Times New Roman"/>
          <w:sz w:val="22"/>
          <w:szCs w:val="22"/>
        </w:rPr>
        <w:t xml:space="preserve"> puffing</w:t>
      </w:r>
      <w:r w:rsidRPr="00724A78">
        <w:rPr>
          <w:rFonts w:ascii="Times New Roman" w:hAnsi="Times New Roman" w:cs="Times New Roman"/>
          <w:sz w:val="22"/>
          <w:szCs w:val="22"/>
        </w:rPr>
        <w:t xml:space="preserve"> behaviour (puff number, puff duration,</w:t>
      </w:r>
      <w:r w:rsidR="00403A82" w:rsidRPr="00724A78">
        <w:rPr>
          <w:rFonts w:ascii="Times New Roman" w:hAnsi="Times New Roman" w:cs="Times New Roman"/>
          <w:sz w:val="22"/>
          <w:szCs w:val="22"/>
        </w:rPr>
        <w:t xml:space="preserve"> inter-puff interval [</w:t>
      </w:r>
      <w:r w:rsidRPr="00724A78">
        <w:rPr>
          <w:rFonts w:ascii="Times New Roman" w:hAnsi="Times New Roman" w:cs="Times New Roman"/>
          <w:sz w:val="22"/>
          <w:szCs w:val="22"/>
        </w:rPr>
        <w:t>IPI</w:t>
      </w:r>
      <w:r w:rsidR="00403A82" w:rsidRPr="00724A78">
        <w:rPr>
          <w:rFonts w:ascii="Times New Roman" w:hAnsi="Times New Roman" w:cs="Times New Roman"/>
          <w:sz w:val="22"/>
          <w:szCs w:val="22"/>
        </w:rPr>
        <w:t>]</w:t>
      </w:r>
      <w:r w:rsidRPr="00724A78">
        <w:rPr>
          <w:rFonts w:ascii="Times New Roman" w:hAnsi="Times New Roman" w:cs="Times New Roman"/>
          <w:sz w:val="22"/>
          <w:szCs w:val="22"/>
        </w:rPr>
        <w:t>)</w:t>
      </w:r>
      <w:r w:rsidR="00403A82" w:rsidRPr="00724A78">
        <w:rPr>
          <w:rFonts w:ascii="Times New Roman" w:hAnsi="Times New Roman" w:cs="Times New Roman"/>
          <w:sz w:val="22"/>
          <w:szCs w:val="22"/>
        </w:rPr>
        <w:t>; 2) product use (</w:t>
      </w:r>
      <w:r w:rsidRPr="00724A78">
        <w:rPr>
          <w:rFonts w:ascii="Times New Roman" w:hAnsi="Times New Roman" w:cs="Times New Roman"/>
          <w:sz w:val="22"/>
          <w:szCs w:val="22"/>
        </w:rPr>
        <w:t>e-liquid consumed</w:t>
      </w:r>
      <w:r w:rsidR="00403A82" w:rsidRPr="00724A78">
        <w:rPr>
          <w:rFonts w:ascii="Times New Roman" w:hAnsi="Times New Roman" w:cs="Times New Roman"/>
          <w:sz w:val="22"/>
          <w:szCs w:val="22"/>
        </w:rPr>
        <w:t xml:space="preserve"> and voltage adjustment</w:t>
      </w:r>
      <w:r w:rsidRPr="00724A78">
        <w:rPr>
          <w:rFonts w:ascii="Times New Roman" w:hAnsi="Times New Roman" w:cs="Times New Roman"/>
          <w:sz w:val="22"/>
          <w:szCs w:val="22"/>
        </w:rPr>
        <w:t xml:space="preserve">); b) subjective effects (urge to vape, nicotine withdrawal symptoms, and </w:t>
      </w:r>
      <w:r w:rsidR="005A14FA" w:rsidRPr="00724A78">
        <w:rPr>
          <w:rFonts w:ascii="Times New Roman" w:hAnsi="Times New Roman" w:cs="Times New Roman"/>
          <w:sz w:val="22"/>
          <w:szCs w:val="22"/>
        </w:rPr>
        <w:t xml:space="preserve">positive and negative effects); </w:t>
      </w:r>
      <w:r w:rsidRPr="00724A78">
        <w:rPr>
          <w:rFonts w:ascii="Times New Roman" w:hAnsi="Times New Roman" w:cs="Times New Roman"/>
          <w:sz w:val="22"/>
          <w:szCs w:val="22"/>
        </w:rPr>
        <w:t xml:space="preserve">and c) nicotine delivery, </w:t>
      </w:r>
      <w:proofErr w:type="spellStart"/>
      <w:r w:rsidRPr="00724A78">
        <w:rPr>
          <w:rFonts w:ascii="Times New Roman" w:hAnsi="Times New Roman" w:cs="Times New Roman"/>
          <w:sz w:val="22"/>
          <w:szCs w:val="22"/>
        </w:rPr>
        <w:t>acrolein</w:t>
      </w:r>
      <w:proofErr w:type="spellEnd"/>
      <w:r w:rsidRPr="00724A78">
        <w:rPr>
          <w:rFonts w:ascii="Times New Roman" w:hAnsi="Times New Roman" w:cs="Times New Roman"/>
          <w:sz w:val="22"/>
          <w:szCs w:val="22"/>
        </w:rPr>
        <w:t xml:space="preserve"> and formaldehyde exposure.  We hypothesise</w:t>
      </w:r>
      <w:r w:rsidR="00403A82" w:rsidRPr="00724A78">
        <w:rPr>
          <w:rFonts w:ascii="Times New Roman" w:hAnsi="Times New Roman" w:cs="Times New Roman"/>
          <w:sz w:val="22"/>
          <w:szCs w:val="22"/>
        </w:rPr>
        <w:t>d</w:t>
      </w:r>
      <w:r w:rsidRPr="00724A78">
        <w:rPr>
          <w:rFonts w:ascii="Times New Roman" w:hAnsi="Times New Roman" w:cs="Times New Roman"/>
          <w:sz w:val="22"/>
          <w:szCs w:val="22"/>
        </w:rPr>
        <w:t xml:space="preserve"> significant nicotine </w:t>
      </w:r>
      <w:r w:rsidR="001A594C" w:rsidRPr="00724A78">
        <w:rPr>
          <w:rFonts w:ascii="Times New Roman" w:hAnsi="Times New Roman" w:cs="Times New Roman"/>
          <w:sz w:val="22"/>
          <w:szCs w:val="22"/>
        </w:rPr>
        <w:t>concentration</w:t>
      </w:r>
      <w:r w:rsidRPr="00724A78">
        <w:rPr>
          <w:rFonts w:ascii="Times New Roman" w:hAnsi="Times New Roman" w:cs="Times New Roman"/>
          <w:sz w:val="22"/>
          <w:szCs w:val="22"/>
        </w:rPr>
        <w:t xml:space="preserve"> x power interactions; i.e. the lower nicotine</w:t>
      </w:r>
      <w:r w:rsidR="00403A82" w:rsidRPr="00724A78">
        <w:rPr>
          <w:rFonts w:ascii="Times New Roman" w:hAnsi="Times New Roman" w:cs="Times New Roman"/>
          <w:sz w:val="22"/>
          <w:szCs w:val="22"/>
        </w:rPr>
        <w:t xml:space="preserve"> </w:t>
      </w:r>
      <w:r w:rsidR="001A594C" w:rsidRPr="00724A78">
        <w:rPr>
          <w:rFonts w:ascii="Times New Roman" w:hAnsi="Times New Roman" w:cs="Times New Roman"/>
          <w:sz w:val="22"/>
          <w:szCs w:val="22"/>
        </w:rPr>
        <w:t>concentration</w:t>
      </w:r>
      <w:r w:rsidRPr="00724A78">
        <w:rPr>
          <w:rFonts w:ascii="Times New Roman" w:hAnsi="Times New Roman" w:cs="Times New Roman"/>
          <w:sz w:val="22"/>
          <w:szCs w:val="22"/>
        </w:rPr>
        <w:t xml:space="preserve"> e-liquid, especially in combina</w:t>
      </w:r>
      <w:r w:rsidR="00403A82" w:rsidRPr="00724A78">
        <w:rPr>
          <w:rFonts w:ascii="Times New Roman" w:hAnsi="Times New Roman" w:cs="Times New Roman"/>
          <w:sz w:val="22"/>
          <w:szCs w:val="22"/>
        </w:rPr>
        <w:t>tion with adjustable power, would</w:t>
      </w:r>
      <w:r w:rsidRPr="00724A78">
        <w:rPr>
          <w:rFonts w:ascii="Times New Roman" w:hAnsi="Times New Roman" w:cs="Times New Roman"/>
          <w:sz w:val="22"/>
          <w:szCs w:val="22"/>
        </w:rPr>
        <w:t xml:space="preserve"> be associated with compensatory behaviour (increased puff number, longer puff duration and higher voltage [where changes to power are permitted]), reduced positive subjective effects, and increased toxicant exposure.</w:t>
      </w:r>
      <w:r w:rsidR="005A14FA">
        <w:rPr>
          <w:rFonts w:ascii="Times New Roman" w:hAnsi="Times New Roman" w:cs="Times New Roman"/>
          <w:sz w:val="22"/>
          <w:szCs w:val="22"/>
        </w:rPr>
        <w:t xml:space="preserve"> </w:t>
      </w:r>
    </w:p>
    <w:p w14:paraId="147074FB" w14:textId="77777777" w:rsidR="00400DA4" w:rsidRPr="00842993" w:rsidRDefault="00400DA4" w:rsidP="00842993">
      <w:pPr>
        <w:spacing w:line="480" w:lineRule="auto"/>
        <w:jc w:val="both"/>
        <w:rPr>
          <w:rFonts w:ascii="Times New Roman" w:hAnsi="Times New Roman" w:cs="Times New Roman"/>
          <w:sz w:val="22"/>
          <w:szCs w:val="22"/>
        </w:rPr>
      </w:pPr>
    </w:p>
    <w:p w14:paraId="51C47DA8" w14:textId="0BBF24A3" w:rsidR="00C56D77" w:rsidRPr="00942AD0" w:rsidRDefault="00C56D77" w:rsidP="00942AD0">
      <w:pPr>
        <w:spacing w:after="200" w:line="480" w:lineRule="auto"/>
        <w:ind w:left="405"/>
        <w:jc w:val="both"/>
        <w:rPr>
          <w:rFonts w:ascii="Times New Roman" w:hAnsi="Times New Roman" w:cs="Times New Roman"/>
          <w:b/>
          <w:u w:val="single"/>
        </w:rPr>
      </w:pPr>
      <w:r w:rsidRPr="00EC0B53">
        <w:rPr>
          <w:rFonts w:ascii="Times New Roman" w:hAnsi="Times New Roman" w:cs="Times New Roman"/>
          <w:b/>
          <w:u w:val="single"/>
        </w:rPr>
        <w:t>Methods</w:t>
      </w:r>
    </w:p>
    <w:p w14:paraId="7A157377" w14:textId="77777777" w:rsidR="00C56D77" w:rsidRPr="00E6477B" w:rsidRDefault="00C56D77" w:rsidP="00842993">
      <w:pPr>
        <w:keepNext/>
        <w:spacing w:line="480" w:lineRule="auto"/>
        <w:jc w:val="both"/>
        <w:rPr>
          <w:rFonts w:ascii="Times New Roman" w:hAnsi="Times New Roman" w:cs="Times New Roman"/>
          <w:b/>
          <w:sz w:val="22"/>
          <w:szCs w:val="22"/>
        </w:rPr>
      </w:pPr>
      <w:r w:rsidRPr="00E6477B">
        <w:rPr>
          <w:rFonts w:ascii="Times New Roman" w:hAnsi="Times New Roman" w:cs="Times New Roman"/>
          <w:b/>
          <w:sz w:val="22"/>
          <w:szCs w:val="22"/>
        </w:rPr>
        <w:lastRenderedPageBreak/>
        <w:t>Design and ethical approval</w:t>
      </w:r>
    </w:p>
    <w:p w14:paraId="5F52144A" w14:textId="399B7D4D" w:rsidR="007D4E79" w:rsidRPr="009F4703" w:rsidRDefault="00C56D77" w:rsidP="007D4E79">
      <w:pPr>
        <w:spacing w:line="480" w:lineRule="auto"/>
        <w:jc w:val="both"/>
        <w:rPr>
          <w:rFonts w:ascii="Times New Roman" w:hAnsi="Times New Roman" w:cs="Times New Roman"/>
          <w:sz w:val="22"/>
          <w:szCs w:val="22"/>
        </w:rPr>
      </w:pPr>
      <w:r w:rsidRPr="00842993">
        <w:rPr>
          <w:rFonts w:ascii="Times New Roman" w:hAnsi="Times New Roman" w:cs="Times New Roman"/>
          <w:sz w:val="22"/>
          <w:szCs w:val="22"/>
        </w:rPr>
        <w:t xml:space="preserve">The study </w:t>
      </w:r>
      <w:r w:rsidR="008A65AD">
        <w:rPr>
          <w:rFonts w:ascii="Times New Roman" w:hAnsi="Times New Roman" w:cs="Times New Roman"/>
          <w:sz w:val="22"/>
          <w:szCs w:val="22"/>
        </w:rPr>
        <w:t xml:space="preserve">was </w:t>
      </w:r>
      <w:r w:rsidR="00F850AE" w:rsidRPr="00842993">
        <w:rPr>
          <w:rFonts w:ascii="Times New Roman" w:hAnsi="Times New Roman" w:cs="Times New Roman"/>
          <w:sz w:val="22"/>
          <w:szCs w:val="22"/>
        </w:rPr>
        <w:t>approv</w:t>
      </w:r>
      <w:r w:rsidR="00F850AE">
        <w:rPr>
          <w:rFonts w:ascii="Times New Roman" w:hAnsi="Times New Roman" w:cs="Times New Roman"/>
          <w:sz w:val="22"/>
          <w:szCs w:val="22"/>
        </w:rPr>
        <w:t>ed</w:t>
      </w:r>
      <w:r w:rsidR="00F850AE" w:rsidRPr="00842993">
        <w:rPr>
          <w:rFonts w:ascii="Times New Roman" w:hAnsi="Times New Roman" w:cs="Times New Roman"/>
          <w:sz w:val="22"/>
          <w:szCs w:val="22"/>
        </w:rPr>
        <w:t xml:space="preserve"> </w:t>
      </w:r>
      <w:r w:rsidR="008A65AD">
        <w:rPr>
          <w:rFonts w:ascii="Times New Roman" w:hAnsi="Times New Roman" w:cs="Times New Roman"/>
          <w:sz w:val="22"/>
          <w:szCs w:val="22"/>
        </w:rPr>
        <w:t xml:space="preserve">by </w:t>
      </w:r>
      <w:r w:rsidRPr="00842993">
        <w:rPr>
          <w:rFonts w:ascii="Times New Roman" w:hAnsi="Times New Roman" w:cs="Times New Roman"/>
          <w:sz w:val="22"/>
          <w:szCs w:val="22"/>
        </w:rPr>
        <w:t>London South Bank University ethics committee (</w:t>
      </w:r>
      <w:r w:rsidR="008962B2" w:rsidRPr="00842993">
        <w:rPr>
          <w:rFonts w:ascii="Times New Roman" w:hAnsi="Times New Roman" w:cs="Times New Roman"/>
          <w:sz w:val="22"/>
          <w:szCs w:val="22"/>
        </w:rPr>
        <w:t>UREC 1604</w:t>
      </w:r>
      <w:r w:rsidRPr="00842993">
        <w:rPr>
          <w:rFonts w:ascii="Times New Roman" w:hAnsi="Times New Roman" w:cs="Times New Roman"/>
          <w:sz w:val="22"/>
          <w:szCs w:val="22"/>
        </w:rPr>
        <w:t>) and conducted in accordance with the ethical standards</w:t>
      </w:r>
      <w:r w:rsidR="00BB089F">
        <w:rPr>
          <w:rFonts w:ascii="Times New Roman" w:hAnsi="Times New Roman" w:cs="Times New Roman"/>
          <w:sz w:val="22"/>
          <w:szCs w:val="22"/>
        </w:rPr>
        <w:t xml:space="preserve"> of the</w:t>
      </w:r>
      <w:r w:rsidRPr="00842993">
        <w:rPr>
          <w:rFonts w:ascii="Times New Roman" w:hAnsi="Times New Roman" w:cs="Times New Roman"/>
          <w:sz w:val="22"/>
          <w:szCs w:val="22"/>
        </w:rPr>
        <w:t xml:space="preserve"> 1964 Declaration of Helsinki. </w:t>
      </w:r>
      <w:r w:rsidR="00BB089F">
        <w:rPr>
          <w:rFonts w:ascii="Times New Roman" w:hAnsi="Times New Roman" w:cs="Times New Roman"/>
          <w:sz w:val="22"/>
          <w:szCs w:val="22"/>
        </w:rPr>
        <w:t>P</w:t>
      </w:r>
      <w:r w:rsidRPr="00842993">
        <w:rPr>
          <w:rFonts w:ascii="Times New Roman" w:hAnsi="Times New Roman" w:cs="Times New Roman"/>
          <w:sz w:val="22"/>
          <w:szCs w:val="22"/>
        </w:rPr>
        <w:t>articipants provided written informed consent to take part and for the study to be written up for publication.</w:t>
      </w:r>
      <w:r w:rsidR="00F4584E">
        <w:rPr>
          <w:rFonts w:ascii="Times New Roman" w:hAnsi="Times New Roman" w:cs="Times New Roman"/>
          <w:sz w:val="22"/>
          <w:szCs w:val="22"/>
        </w:rPr>
        <w:t xml:space="preserve">  </w:t>
      </w:r>
      <w:r w:rsidR="0016533E" w:rsidRPr="00842993">
        <w:rPr>
          <w:rFonts w:ascii="Times New Roman" w:hAnsi="Times New Roman" w:cs="Times New Roman"/>
          <w:sz w:val="22"/>
          <w:szCs w:val="22"/>
        </w:rPr>
        <w:t xml:space="preserve">A randomised, within-participants counterbalanced design with 4 conditions (low </w:t>
      </w:r>
      <w:r w:rsidR="001A594C">
        <w:rPr>
          <w:rFonts w:ascii="Times New Roman" w:hAnsi="Times New Roman" w:cs="Times New Roman"/>
          <w:sz w:val="22"/>
          <w:szCs w:val="22"/>
        </w:rPr>
        <w:t>nicotine</w:t>
      </w:r>
      <w:r w:rsidR="005A14FA">
        <w:rPr>
          <w:rFonts w:ascii="Times New Roman" w:hAnsi="Times New Roman" w:cs="Times New Roman"/>
          <w:sz w:val="22"/>
          <w:szCs w:val="22"/>
        </w:rPr>
        <w:t>/</w:t>
      </w:r>
      <w:r w:rsidR="0016533E" w:rsidRPr="00842993">
        <w:rPr>
          <w:rFonts w:ascii="Times New Roman" w:hAnsi="Times New Roman" w:cs="Times New Roman"/>
          <w:sz w:val="22"/>
          <w:szCs w:val="22"/>
        </w:rPr>
        <w:t>fixed</w:t>
      </w:r>
      <w:r w:rsidR="00875B1D">
        <w:rPr>
          <w:rFonts w:ascii="Times New Roman" w:hAnsi="Times New Roman" w:cs="Times New Roman"/>
          <w:sz w:val="22"/>
          <w:szCs w:val="22"/>
        </w:rPr>
        <w:t xml:space="preserve"> power</w:t>
      </w:r>
      <w:r w:rsidR="00B35887">
        <w:rPr>
          <w:rFonts w:ascii="Times New Roman" w:hAnsi="Times New Roman" w:cs="Times New Roman"/>
          <w:sz w:val="22"/>
          <w:szCs w:val="22"/>
        </w:rPr>
        <w:t xml:space="preserve">; high </w:t>
      </w:r>
      <w:r w:rsidR="001A594C">
        <w:rPr>
          <w:rFonts w:ascii="Times New Roman" w:hAnsi="Times New Roman" w:cs="Times New Roman"/>
          <w:sz w:val="22"/>
          <w:szCs w:val="22"/>
        </w:rPr>
        <w:t>nicotine</w:t>
      </w:r>
      <w:r w:rsidR="005A14FA">
        <w:rPr>
          <w:rFonts w:ascii="Times New Roman" w:hAnsi="Times New Roman" w:cs="Times New Roman"/>
          <w:sz w:val="22"/>
          <w:szCs w:val="22"/>
        </w:rPr>
        <w:t>/</w:t>
      </w:r>
      <w:r w:rsidR="0016533E" w:rsidRPr="00842993">
        <w:rPr>
          <w:rFonts w:ascii="Times New Roman" w:hAnsi="Times New Roman" w:cs="Times New Roman"/>
          <w:sz w:val="22"/>
          <w:szCs w:val="22"/>
        </w:rPr>
        <w:t>fixed</w:t>
      </w:r>
      <w:r w:rsidR="00875B1D">
        <w:rPr>
          <w:rFonts w:ascii="Times New Roman" w:hAnsi="Times New Roman" w:cs="Times New Roman"/>
          <w:sz w:val="22"/>
          <w:szCs w:val="22"/>
        </w:rPr>
        <w:t xml:space="preserve"> power</w:t>
      </w:r>
      <w:r w:rsidR="0016533E" w:rsidRPr="00842993">
        <w:rPr>
          <w:rFonts w:ascii="Times New Roman" w:hAnsi="Times New Roman" w:cs="Times New Roman"/>
          <w:sz w:val="22"/>
          <w:szCs w:val="22"/>
        </w:rPr>
        <w:t xml:space="preserve">; low </w:t>
      </w:r>
      <w:r w:rsidR="001A594C">
        <w:rPr>
          <w:rFonts w:ascii="Times New Roman" w:hAnsi="Times New Roman" w:cs="Times New Roman"/>
          <w:sz w:val="22"/>
          <w:szCs w:val="22"/>
        </w:rPr>
        <w:t>nicotine</w:t>
      </w:r>
      <w:r w:rsidR="005A14FA">
        <w:rPr>
          <w:rFonts w:ascii="Times New Roman" w:hAnsi="Times New Roman" w:cs="Times New Roman"/>
          <w:sz w:val="22"/>
          <w:szCs w:val="22"/>
        </w:rPr>
        <w:t>/</w:t>
      </w:r>
      <w:r w:rsidR="00875B1D">
        <w:rPr>
          <w:rFonts w:ascii="Times New Roman" w:hAnsi="Times New Roman" w:cs="Times New Roman"/>
          <w:sz w:val="22"/>
          <w:szCs w:val="22"/>
        </w:rPr>
        <w:t>adjustable power</w:t>
      </w:r>
      <w:r w:rsidR="0016533E" w:rsidRPr="00842993">
        <w:rPr>
          <w:rFonts w:ascii="Times New Roman" w:hAnsi="Times New Roman" w:cs="Times New Roman"/>
          <w:sz w:val="22"/>
          <w:szCs w:val="22"/>
        </w:rPr>
        <w:t xml:space="preserve">; high </w:t>
      </w:r>
      <w:r w:rsidR="001A594C">
        <w:rPr>
          <w:rFonts w:ascii="Times New Roman" w:hAnsi="Times New Roman" w:cs="Times New Roman"/>
          <w:sz w:val="22"/>
          <w:szCs w:val="22"/>
        </w:rPr>
        <w:t>nicotine</w:t>
      </w:r>
      <w:r w:rsidR="005A14FA">
        <w:rPr>
          <w:rFonts w:ascii="Times New Roman" w:hAnsi="Times New Roman" w:cs="Times New Roman"/>
          <w:sz w:val="22"/>
          <w:szCs w:val="22"/>
        </w:rPr>
        <w:t>/</w:t>
      </w:r>
      <w:r w:rsidR="00875B1D">
        <w:rPr>
          <w:rFonts w:ascii="Times New Roman" w:hAnsi="Times New Roman" w:cs="Times New Roman"/>
          <w:sz w:val="22"/>
          <w:szCs w:val="22"/>
        </w:rPr>
        <w:t>adjustable power</w:t>
      </w:r>
      <w:r w:rsidR="0016533E" w:rsidRPr="00842993">
        <w:rPr>
          <w:rFonts w:ascii="Times New Roman" w:hAnsi="Times New Roman" w:cs="Times New Roman"/>
          <w:sz w:val="22"/>
          <w:szCs w:val="22"/>
        </w:rPr>
        <w:t xml:space="preserve">) was used. </w:t>
      </w:r>
      <w:r w:rsidR="008A65AD" w:rsidRPr="00724A78">
        <w:rPr>
          <w:rFonts w:ascii="Times New Roman" w:hAnsi="Times New Roman" w:cs="Times New Roman"/>
          <w:sz w:val="22"/>
          <w:szCs w:val="22"/>
        </w:rPr>
        <w:t>Twenty</w:t>
      </w:r>
      <w:r w:rsidR="00D70543" w:rsidRPr="00724A78">
        <w:rPr>
          <w:rFonts w:ascii="Times New Roman" w:hAnsi="Times New Roman" w:cs="Times New Roman"/>
          <w:sz w:val="22"/>
          <w:szCs w:val="22"/>
        </w:rPr>
        <w:t>-two</w:t>
      </w:r>
      <w:r w:rsidR="008A65AD" w:rsidRPr="00724A78">
        <w:rPr>
          <w:rFonts w:ascii="Times New Roman" w:hAnsi="Times New Roman" w:cs="Times New Roman"/>
          <w:sz w:val="22"/>
          <w:szCs w:val="22"/>
        </w:rPr>
        <w:t xml:space="preserve"> p</w:t>
      </w:r>
      <w:r w:rsidR="002648F5" w:rsidRPr="00724A78">
        <w:rPr>
          <w:rFonts w:ascii="Times New Roman" w:hAnsi="Times New Roman" w:cs="Times New Roman"/>
          <w:sz w:val="22"/>
          <w:szCs w:val="22"/>
        </w:rPr>
        <w:t>articipants were recruited via social m</w:t>
      </w:r>
      <w:r w:rsidR="007D4E79" w:rsidRPr="00724A78">
        <w:rPr>
          <w:rFonts w:ascii="Times New Roman" w:hAnsi="Times New Roman" w:cs="Times New Roman"/>
          <w:sz w:val="22"/>
          <w:szCs w:val="22"/>
        </w:rPr>
        <w:t>edia and University advertising</w:t>
      </w:r>
      <w:r w:rsidR="005A14FA" w:rsidRPr="00724A78">
        <w:rPr>
          <w:rFonts w:ascii="Times New Roman" w:hAnsi="Times New Roman" w:cs="Times New Roman"/>
          <w:sz w:val="22"/>
          <w:szCs w:val="22"/>
        </w:rPr>
        <w:t xml:space="preserve"> between September 2016 and February 2017</w:t>
      </w:r>
      <w:r w:rsidR="00D70543" w:rsidRPr="00724A78">
        <w:rPr>
          <w:rFonts w:ascii="Times New Roman" w:hAnsi="Times New Roman" w:cs="Times New Roman"/>
          <w:sz w:val="22"/>
          <w:szCs w:val="22"/>
        </w:rPr>
        <w:t>.</w:t>
      </w:r>
      <w:r w:rsidR="005A14FA" w:rsidRPr="00724A78">
        <w:rPr>
          <w:rFonts w:ascii="Times New Roman" w:hAnsi="Times New Roman" w:cs="Times New Roman"/>
          <w:sz w:val="22"/>
          <w:szCs w:val="22"/>
        </w:rPr>
        <w:t xml:space="preserve"> </w:t>
      </w:r>
      <w:r w:rsidR="00D70543" w:rsidRPr="00724A78">
        <w:rPr>
          <w:rFonts w:ascii="Times New Roman" w:hAnsi="Times New Roman" w:cs="Times New Roman"/>
          <w:sz w:val="22"/>
          <w:szCs w:val="22"/>
        </w:rPr>
        <w:t xml:space="preserve"> Two withdraw during week 1 </w:t>
      </w:r>
      <w:r w:rsidR="00FE4DB5" w:rsidRPr="00724A78">
        <w:rPr>
          <w:rFonts w:ascii="Times New Roman" w:hAnsi="Times New Roman" w:cs="Times New Roman"/>
          <w:sz w:val="22"/>
          <w:szCs w:val="22"/>
        </w:rPr>
        <w:t>but as per protocol [</w:t>
      </w:r>
      <w:r w:rsidR="00454176" w:rsidRPr="00724A78">
        <w:rPr>
          <w:rFonts w:ascii="Times New Roman" w:hAnsi="Times New Roman" w:cs="Times New Roman"/>
          <w:sz w:val="22"/>
          <w:szCs w:val="22"/>
        </w:rPr>
        <w:t>27</w:t>
      </w:r>
      <w:r w:rsidR="00FE4DB5" w:rsidRPr="00724A78">
        <w:rPr>
          <w:rFonts w:ascii="Times New Roman" w:hAnsi="Times New Roman" w:cs="Times New Roman"/>
          <w:sz w:val="22"/>
          <w:szCs w:val="22"/>
        </w:rPr>
        <w:t xml:space="preserve">] we continued to recruit until 20 participants had completed all four conditions.  Participants </w:t>
      </w:r>
      <w:r w:rsidR="005A14FA" w:rsidRPr="00724A78">
        <w:rPr>
          <w:rFonts w:ascii="Times New Roman" w:hAnsi="Times New Roman" w:cs="Times New Roman"/>
          <w:sz w:val="22"/>
          <w:szCs w:val="22"/>
        </w:rPr>
        <w:t>were asked to vape</w:t>
      </w:r>
      <w:r w:rsidR="007D4E79" w:rsidRPr="00724A78">
        <w:rPr>
          <w:rFonts w:ascii="Times New Roman" w:hAnsi="Times New Roman" w:cs="Times New Roman"/>
          <w:sz w:val="22"/>
          <w:szCs w:val="22"/>
        </w:rPr>
        <w:t xml:space="preserve"> </w:t>
      </w:r>
      <w:r w:rsidR="007D4E79" w:rsidRPr="00724A78">
        <w:rPr>
          <w:rFonts w:ascii="Times New Roman" w:hAnsi="Times New Roman" w:cs="Times New Roman"/>
          <w:i/>
          <w:sz w:val="22"/>
          <w:szCs w:val="22"/>
        </w:rPr>
        <w:t>ad libitum</w:t>
      </w:r>
      <w:r w:rsidR="007D4E79" w:rsidRPr="00724A78">
        <w:rPr>
          <w:rFonts w:ascii="Times New Roman" w:hAnsi="Times New Roman" w:cs="Times New Roman"/>
          <w:sz w:val="22"/>
          <w:szCs w:val="22"/>
        </w:rPr>
        <w:t xml:space="preserve"> using an </w:t>
      </w:r>
      <w:proofErr w:type="spellStart"/>
      <w:r w:rsidR="007D4E79" w:rsidRPr="00724A78">
        <w:rPr>
          <w:rFonts w:ascii="Times New Roman" w:hAnsi="Times New Roman" w:cs="Times New Roman"/>
          <w:sz w:val="22"/>
          <w:szCs w:val="22"/>
        </w:rPr>
        <w:t>eVic</w:t>
      </w:r>
      <w:proofErr w:type="spellEnd"/>
      <w:r w:rsidR="007D4E79" w:rsidRPr="00724A78">
        <w:rPr>
          <w:rFonts w:ascii="Times New Roman" w:hAnsi="Times New Roman" w:cs="Times New Roman"/>
          <w:sz w:val="22"/>
          <w:szCs w:val="22"/>
        </w:rPr>
        <w:t xml:space="preserve"> Supreme™ with a ‘Nautilus Aspire’ tank over fou</w:t>
      </w:r>
      <w:r w:rsidR="005A14FA" w:rsidRPr="00724A78">
        <w:rPr>
          <w:rFonts w:ascii="Times New Roman" w:hAnsi="Times New Roman" w:cs="Times New Roman"/>
          <w:sz w:val="22"/>
          <w:szCs w:val="22"/>
        </w:rPr>
        <w:t>r weeks (one week per condition</w:t>
      </w:r>
      <w:r w:rsidR="007D4E79" w:rsidRPr="00724A78">
        <w:rPr>
          <w:rFonts w:ascii="Times New Roman" w:hAnsi="Times New Roman" w:cs="Times New Roman"/>
          <w:sz w:val="22"/>
          <w:szCs w:val="22"/>
        </w:rPr>
        <w:t>).   The sample size was based on puff number and puff duration results from our pilot study and from Dawkins et al. [</w:t>
      </w:r>
      <w:r w:rsidR="00454176" w:rsidRPr="00724A78">
        <w:rPr>
          <w:rFonts w:ascii="Times New Roman" w:hAnsi="Times New Roman" w:cs="Times New Roman"/>
          <w:sz w:val="22"/>
          <w:szCs w:val="22"/>
        </w:rPr>
        <w:t>12</w:t>
      </w:r>
      <w:r w:rsidR="007D4E79" w:rsidRPr="00724A78">
        <w:rPr>
          <w:rFonts w:ascii="Times New Roman" w:hAnsi="Times New Roman" w:cs="Times New Roman"/>
          <w:sz w:val="22"/>
          <w:szCs w:val="22"/>
        </w:rPr>
        <w:t>] where effect sizes of between d=0.74 and d=0.79 were found for puff number and between d=0.84 and d=1.09 for puff d</w:t>
      </w:r>
      <w:r w:rsidR="00CD74A9" w:rsidRPr="00724A78">
        <w:rPr>
          <w:rFonts w:ascii="Times New Roman" w:hAnsi="Times New Roman" w:cs="Times New Roman"/>
          <w:sz w:val="22"/>
          <w:szCs w:val="22"/>
        </w:rPr>
        <w:t>uration.  A sample of between N=</w:t>
      </w:r>
      <w:r w:rsidR="007D4E79" w:rsidRPr="00724A78">
        <w:rPr>
          <w:rFonts w:ascii="Times New Roman" w:hAnsi="Times New Roman" w:cs="Times New Roman"/>
          <w:sz w:val="22"/>
          <w:szCs w:val="22"/>
        </w:rPr>
        <w:t>14 to 19 for puff number and between N=11 to 17 for puff duration would a</w:t>
      </w:r>
      <w:r w:rsidR="00CD74A9" w:rsidRPr="00724A78">
        <w:rPr>
          <w:rFonts w:ascii="Times New Roman" w:hAnsi="Times New Roman" w:cs="Times New Roman"/>
          <w:sz w:val="22"/>
          <w:szCs w:val="22"/>
        </w:rPr>
        <w:t>llow us to detect effects at p&lt;</w:t>
      </w:r>
      <w:r w:rsidR="007D4E79" w:rsidRPr="00724A78">
        <w:rPr>
          <w:rFonts w:ascii="Times New Roman" w:hAnsi="Times New Roman" w:cs="Times New Roman"/>
          <w:sz w:val="22"/>
          <w:szCs w:val="22"/>
        </w:rPr>
        <w:t>0.05 with more than 90% power.</w:t>
      </w:r>
      <w:r w:rsidR="007D4E79">
        <w:rPr>
          <w:rFonts w:ascii="Times New Roman" w:hAnsi="Times New Roman" w:cs="Times New Roman"/>
          <w:sz w:val="22"/>
          <w:szCs w:val="22"/>
        </w:rPr>
        <w:t xml:space="preserve"> </w:t>
      </w:r>
    </w:p>
    <w:p w14:paraId="4A9FB112" w14:textId="5D71518A" w:rsidR="00F4584E" w:rsidRPr="00842993" w:rsidRDefault="00F4584E" w:rsidP="00842993">
      <w:pPr>
        <w:spacing w:line="480" w:lineRule="auto"/>
        <w:jc w:val="both"/>
        <w:rPr>
          <w:rFonts w:ascii="Times New Roman" w:hAnsi="Times New Roman" w:cs="Times New Roman"/>
          <w:sz w:val="22"/>
          <w:szCs w:val="22"/>
        </w:rPr>
      </w:pPr>
    </w:p>
    <w:p w14:paraId="01BAB516" w14:textId="4CDA2823" w:rsidR="002648F5" w:rsidRPr="00F4584E" w:rsidRDefault="005C202A" w:rsidP="00842993">
      <w:pPr>
        <w:spacing w:line="480" w:lineRule="auto"/>
        <w:jc w:val="both"/>
        <w:rPr>
          <w:rFonts w:ascii="Times New Roman" w:hAnsi="Times New Roman" w:cs="Times New Roman"/>
          <w:sz w:val="22"/>
          <w:szCs w:val="22"/>
        </w:rPr>
      </w:pPr>
      <w:r w:rsidRPr="00842993">
        <w:rPr>
          <w:rFonts w:ascii="Times New Roman" w:hAnsi="Times New Roman" w:cs="Times New Roman"/>
          <w:b/>
          <w:sz w:val="22"/>
          <w:szCs w:val="22"/>
        </w:rPr>
        <w:t>Procedure</w:t>
      </w:r>
    </w:p>
    <w:p w14:paraId="5381B835" w14:textId="5833481A" w:rsidR="00291B7E" w:rsidRDefault="009601DB" w:rsidP="00842993">
      <w:pPr>
        <w:spacing w:line="480" w:lineRule="auto"/>
        <w:jc w:val="both"/>
        <w:rPr>
          <w:rFonts w:ascii="Times New Roman" w:hAnsi="Times New Roman" w:cs="Times New Roman"/>
          <w:sz w:val="22"/>
          <w:szCs w:val="22"/>
        </w:rPr>
      </w:pPr>
      <w:r>
        <w:rPr>
          <w:rFonts w:ascii="Times New Roman" w:hAnsi="Times New Roman" w:cs="Times New Roman"/>
          <w:sz w:val="22"/>
          <w:szCs w:val="22"/>
        </w:rPr>
        <w:t xml:space="preserve">The published protocol describes the procedure and measures in detail </w:t>
      </w:r>
      <w:r w:rsidR="00061398">
        <w:rPr>
          <w:rFonts w:ascii="Times New Roman" w:hAnsi="Times New Roman" w:cs="Times New Roman"/>
          <w:sz w:val="22"/>
          <w:szCs w:val="22"/>
        </w:rPr>
        <w:t>[</w:t>
      </w:r>
      <w:r w:rsidR="00454176">
        <w:rPr>
          <w:rFonts w:ascii="Times New Roman" w:hAnsi="Times New Roman" w:cs="Times New Roman"/>
          <w:sz w:val="22"/>
          <w:szCs w:val="22"/>
        </w:rPr>
        <w:t>27</w:t>
      </w:r>
      <w:r w:rsidR="00EE230C">
        <w:rPr>
          <w:rFonts w:ascii="Times New Roman" w:hAnsi="Times New Roman" w:cs="Times New Roman"/>
          <w:sz w:val="22"/>
          <w:szCs w:val="22"/>
        </w:rPr>
        <w:t>]</w:t>
      </w:r>
      <w:r w:rsidR="00187AD5">
        <w:rPr>
          <w:rFonts w:ascii="Times New Roman" w:hAnsi="Times New Roman" w:cs="Times New Roman"/>
          <w:sz w:val="22"/>
          <w:szCs w:val="22"/>
        </w:rPr>
        <w:t>.  P</w:t>
      </w:r>
      <w:r w:rsidR="00477189">
        <w:rPr>
          <w:rFonts w:ascii="Times New Roman" w:hAnsi="Times New Roman" w:cs="Times New Roman"/>
          <w:sz w:val="22"/>
          <w:szCs w:val="22"/>
        </w:rPr>
        <w:t xml:space="preserve">articipants were eligible to participate if they were: </w:t>
      </w:r>
      <w:r w:rsidR="00477189" w:rsidRPr="00842993">
        <w:rPr>
          <w:rFonts w:ascii="Times New Roman" w:hAnsi="Times New Roman" w:cs="Times New Roman"/>
          <w:sz w:val="22"/>
          <w:szCs w:val="22"/>
        </w:rPr>
        <w:t xml:space="preserve">aged 18+; experienced and exclusive daily e-cigarette user (daily use for &gt; 3 months); currently using a second or third generation e-cigarette; using </w:t>
      </w:r>
      <w:r w:rsidR="00224F97" w:rsidRPr="00724A78">
        <w:rPr>
          <w:rFonts w:ascii="Times New Roman" w:hAnsi="Times New Roman" w:cs="Times New Roman"/>
          <w:sz w:val="22"/>
          <w:szCs w:val="22"/>
        </w:rPr>
        <w:t>≥</w:t>
      </w:r>
      <w:r w:rsidR="00477189" w:rsidRPr="00842993">
        <w:rPr>
          <w:rFonts w:ascii="Times New Roman" w:hAnsi="Times New Roman" w:cs="Times New Roman"/>
          <w:sz w:val="22"/>
          <w:szCs w:val="22"/>
        </w:rPr>
        <w:t>12</w:t>
      </w:r>
      <w:r w:rsidR="006D29CB">
        <w:rPr>
          <w:rFonts w:ascii="Times New Roman" w:hAnsi="Times New Roman" w:cs="Times New Roman"/>
          <w:sz w:val="22"/>
          <w:szCs w:val="22"/>
        </w:rPr>
        <w:t xml:space="preserve"> </w:t>
      </w:r>
      <w:r w:rsidR="00477189" w:rsidRPr="00842993">
        <w:rPr>
          <w:rFonts w:ascii="Times New Roman" w:hAnsi="Times New Roman" w:cs="Times New Roman"/>
          <w:sz w:val="22"/>
          <w:szCs w:val="22"/>
        </w:rPr>
        <w:t>mg/mL</w:t>
      </w:r>
      <w:r w:rsidR="00477189">
        <w:rPr>
          <w:rFonts w:ascii="Times New Roman" w:hAnsi="Times New Roman" w:cs="Times New Roman"/>
          <w:sz w:val="22"/>
          <w:szCs w:val="22"/>
        </w:rPr>
        <w:t xml:space="preserve"> nicotine </w:t>
      </w:r>
      <w:r w:rsidR="00477189" w:rsidRPr="00724A78">
        <w:rPr>
          <w:rFonts w:ascii="Times New Roman" w:hAnsi="Times New Roman" w:cs="Times New Roman"/>
          <w:sz w:val="22"/>
          <w:szCs w:val="22"/>
        </w:rPr>
        <w:t xml:space="preserve">concentration e-liquid </w:t>
      </w:r>
      <w:r w:rsidR="002B2FDF" w:rsidRPr="00724A78">
        <w:rPr>
          <w:rFonts w:ascii="Times New Roman" w:hAnsi="Times New Roman" w:cs="Times New Roman"/>
          <w:sz w:val="22"/>
          <w:szCs w:val="22"/>
        </w:rPr>
        <w:t xml:space="preserve">(to ensure participants were familiar with higher levels of nicotine) </w:t>
      </w:r>
      <w:r w:rsidR="00477189" w:rsidRPr="00724A78">
        <w:rPr>
          <w:rFonts w:ascii="Times New Roman" w:hAnsi="Times New Roman" w:cs="Times New Roman"/>
          <w:sz w:val="22"/>
          <w:szCs w:val="22"/>
        </w:rPr>
        <w:t>or sub-</w:t>
      </w:r>
      <w:proofErr w:type="spellStart"/>
      <w:r w:rsidR="00477189" w:rsidRPr="00724A78">
        <w:rPr>
          <w:rFonts w:ascii="Times New Roman" w:hAnsi="Times New Roman" w:cs="Times New Roman"/>
          <w:sz w:val="22"/>
          <w:szCs w:val="22"/>
        </w:rPr>
        <w:t>ohming</w:t>
      </w:r>
      <w:proofErr w:type="spellEnd"/>
      <w:r w:rsidR="002B2FDF" w:rsidRPr="00724A78">
        <w:rPr>
          <w:rFonts w:ascii="Times New Roman" w:hAnsi="Times New Roman" w:cs="Times New Roman"/>
          <w:sz w:val="22"/>
          <w:szCs w:val="22"/>
        </w:rPr>
        <w:t xml:space="preserve"> (any nicotine level)</w:t>
      </w:r>
      <w:r w:rsidR="00224F97" w:rsidRPr="00724A78">
        <w:rPr>
          <w:rFonts w:ascii="Times New Roman" w:hAnsi="Times New Roman" w:cs="Times New Roman"/>
          <w:sz w:val="22"/>
          <w:szCs w:val="22"/>
        </w:rPr>
        <w:t>;</w:t>
      </w:r>
      <w:r w:rsidR="00477189" w:rsidRPr="00724A78">
        <w:rPr>
          <w:rFonts w:ascii="Times New Roman" w:hAnsi="Times New Roman" w:cs="Times New Roman"/>
          <w:sz w:val="22"/>
          <w:szCs w:val="22"/>
        </w:rPr>
        <w:t xml:space="preserve"> non-smoker as confirmed by </w:t>
      </w:r>
      <w:r w:rsidR="00864C95" w:rsidRPr="00724A78">
        <w:rPr>
          <w:rFonts w:ascii="Times New Roman" w:hAnsi="Times New Roman" w:cs="Times New Roman"/>
          <w:sz w:val="22"/>
          <w:szCs w:val="22"/>
        </w:rPr>
        <w:t>carbon monoxide (</w:t>
      </w:r>
      <w:r w:rsidR="00477189" w:rsidRPr="00724A78">
        <w:rPr>
          <w:rFonts w:ascii="Times New Roman" w:hAnsi="Times New Roman" w:cs="Times New Roman"/>
          <w:sz w:val="22"/>
          <w:szCs w:val="22"/>
        </w:rPr>
        <w:t>CO</w:t>
      </w:r>
      <w:r w:rsidR="00864C95" w:rsidRPr="00724A78">
        <w:rPr>
          <w:rFonts w:ascii="Times New Roman" w:hAnsi="Times New Roman" w:cs="Times New Roman"/>
          <w:sz w:val="22"/>
          <w:szCs w:val="22"/>
        </w:rPr>
        <w:t>)</w:t>
      </w:r>
      <w:r w:rsidR="00477189" w:rsidRPr="00724A78">
        <w:rPr>
          <w:rFonts w:ascii="Times New Roman" w:hAnsi="Times New Roman" w:cs="Times New Roman"/>
          <w:sz w:val="22"/>
          <w:szCs w:val="22"/>
        </w:rPr>
        <w:t xml:space="preserve"> levels</w:t>
      </w:r>
      <w:r w:rsidR="00864C95" w:rsidRPr="00724A78">
        <w:rPr>
          <w:rFonts w:ascii="Times New Roman" w:hAnsi="Times New Roman" w:cs="Times New Roman"/>
          <w:sz w:val="22"/>
          <w:szCs w:val="22"/>
        </w:rPr>
        <w:t xml:space="preserve"> in expired breath of</w:t>
      </w:r>
      <w:r w:rsidR="00477189" w:rsidRPr="00724A78">
        <w:rPr>
          <w:rFonts w:ascii="Times New Roman" w:hAnsi="Times New Roman" w:cs="Times New Roman"/>
          <w:sz w:val="22"/>
          <w:szCs w:val="22"/>
        </w:rPr>
        <w:t xml:space="preserve"> ≤ 10</w:t>
      </w:r>
      <w:r w:rsidR="00CD2F2D" w:rsidRPr="00724A78">
        <w:rPr>
          <w:rFonts w:ascii="Times New Roman" w:hAnsi="Times New Roman" w:cs="Times New Roman"/>
          <w:sz w:val="22"/>
          <w:szCs w:val="22"/>
        </w:rPr>
        <w:t xml:space="preserve"> ppm</w:t>
      </w:r>
      <w:r w:rsidR="00477189" w:rsidRPr="00724A78">
        <w:rPr>
          <w:rFonts w:ascii="Times New Roman" w:hAnsi="Times New Roman" w:cs="Times New Roman"/>
          <w:sz w:val="22"/>
          <w:szCs w:val="22"/>
        </w:rPr>
        <w:t>.  We excluded pregnant or lactating females, current smokers or users of marijuana or other illicit drugs and those with a serious medical condition</w:t>
      </w:r>
      <w:r w:rsidR="00FB5567" w:rsidRPr="00724A78">
        <w:rPr>
          <w:rFonts w:ascii="Times New Roman" w:hAnsi="Times New Roman" w:cs="Times New Roman"/>
          <w:sz w:val="22"/>
          <w:szCs w:val="22"/>
        </w:rPr>
        <w:t xml:space="preserve"> (self-reported)</w:t>
      </w:r>
      <w:r w:rsidR="00477189" w:rsidRPr="00724A78">
        <w:rPr>
          <w:rFonts w:ascii="Times New Roman" w:hAnsi="Times New Roman" w:cs="Times New Roman"/>
          <w:sz w:val="22"/>
          <w:szCs w:val="22"/>
        </w:rPr>
        <w:t xml:space="preserve">. </w:t>
      </w:r>
      <w:r w:rsidR="00F4584E" w:rsidRPr="00724A78">
        <w:rPr>
          <w:rFonts w:ascii="Times New Roman" w:hAnsi="Times New Roman" w:cs="Times New Roman"/>
          <w:sz w:val="22"/>
          <w:szCs w:val="22"/>
        </w:rPr>
        <w:t xml:space="preserve"> </w:t>
      </w:r>
      <w:r w:rsidR="00477189" w:rsidRPr="00724A78">
        <w:rPr>
          <w:rFonts w:ascii="Times New Roman" w:hAnsi="Times New Roman" w:cs="Times New Roman"/>
          <w:sz w:val="22"/>
          <w:szCs w:val="22"/>
        </w:rPr>
        <w:t>P</w:t>
      </w:r>
      <w:r w:rsidR="0016533E" w:rsidRPr="00724A78">
        <w:rPr>
          <w:rFonts w:ascii="Times New Roman" w:hAnsi="Times New Roman" w:cs="Times New Roman"/>
          <w:sz w:val="22"/>
          <w:szCs w:val="22"/>
        </w:rPr>
        <w:t>articipants met with the research</w:t>
      </w:r>
      <w:r w:rsidR="00187AD5" w:rsidRPr="00724A78">
        <w:rPr>
          <w:rFonts w:ascii="Times New Roman" w:hAnsi="Times New Roman" w:cs="Times New Roman"/>
          <w:sz w:val="22"/>
          <w:szCs w:val="22"/>
        </w:rPr>
        <w:t xml:space="preserve">er on five separate occasions (at </w:t>
      </w:r>
      <w:r w:rsidR="008962B2" w:rsidRPr="00724A78">
        <w:rPr>
          <w:rFonts w:ascii="Times New Roman" w:hAnsi="Times New Roman" w:cs="Times New Roman"/>
          <w:sz w:val="22"/>
          <w:szCs w:val="22"/>
        </w:rPr>
        <w:t xml:space="preserve">baseline and </w:t>
      </w:r>
      <w:r w:rsidR="005A14FA" w:rsidRPr="00724A78">
        <w:rPr>
          <w:rFonts w:ascii="Times New Roman" w:hAnsi="Times New Roman" w:cs="Times New Roman"/>
          <w:sz w:val="22"/>
          <w:szCs w:val="22"/>
        </w:rPr>
        <w:t xml:space="preserve">the end of each of the </w:t>
      </w:r>
      <w:r w:rsidR="0016533E" w:rsidRPr="00724A78">
        <w:rPr>
          <w:rFonts w:ascii="Times New Roman" w:hAnsi="Times New Roman" w:cs="Times New Roman"/>
          <w:sz w:val="22"/>
          <w:szCs w:val="22"/>
        </w:rPr>
        <w:t>4 experimental</w:t>
      </w:r>
      <w:r w:rsidR="005A14FA" w:rsidRPr="00724A78">
        <w:rPr>
          <w:rFonts w:ascii="Times New Roman" w:hAnsi="Times New Roman" w:cs="Times New Roman"/>
          <w:sz w:val="22"/>
          <w:szCs w:val="22"/>
        </w:rPr>
        <w:t xml:space="preserve"> conditions</w:t>
      </w:r>
      <w:r w:rsidRPr="00724A78">
        <w:rPr>
          <w:rFonts w:ascii="Times New Roman" w:hAnsi="Times New Roman" w:cs="Times New Roman"/>
          <w:sz w:val="22"/>
          <w:szCs w:val="22"/>
        </w:rPr>
        <w:t>)</w:t>
      </w:r>
      <w:r w:rsidR="0016533E" w:rsidRPr="00724A78">
        <w:rPr>
          <w:rFonts w:ascii="Times New Roman" w:hAnsi="Times New Roman" w:cs="Times New Roman"/>
          <w:sz w:val="22"/>
          <w:szCs w:val="22"/>
        </w:rPr>
        <w:t xml:space="preserve">. </w:t>
      </w:r>
      <w:r w:rsidR="00555270" w:rsidRPr="00724A78">
        <w:rPr>
          <w:rFonts w:ascii="Times New Roman" w:hAnsi="Times New Roman" w:cs="Times New Roman"/>
          <w:sz w:val="22"/>
          <w:szCs w:val="22"/>
        </w:rPr>
        <w:t xml:space="preserve">At baseline participants </w:t>
      </w:r>
      <w:r w:rsidR="00302C19" w:rsidRPr="00724A78">
        <w:rPr>
          <w:rFonts w:ascii="Times New Roman" w:hAnsi="Times New Roman" w:cs="Times New Roman"/>
          <w:sz w:val="22"/>
          <w:szCs w:val="22"/>
        </w:rPr>
        <w:t>provide</w:t>
      </w:r>
      <w:r w:rsidR="002E4190" w:rsidRPr="00724A78">
        <w:rPr>
          <w:rFonts w:ascii="Times New Roman" w:hAnsi="Times New Roman" w:cs="Times New Roman"/>
          <w:sz w:val="22"/>
          <w:szCs w:val="22"/>
        </w:rPr>
        <w:t>d</w:t>
      </w:r>
      <w:r w:rsidR="00302C19" w:rsidRPr="00724A78">
        <w:rPr>
          <w:rFonts w:ascii="Times New Roman" w:hAnsi="Times New Roman" w:cs="Times New Roman"/>
          <w:sz w:val="22"/>
          <w:szCs w:val="22"/>
        </w:rPr>
        <w:t xml:space="preserve"> written informed consent, demographic characteristics</w:t>
      </w:r>
      <w:r w:rsidR="008073C1">
        <w:rPr>
          <w:rFonts w:ascii="Times New Roman" w:hAnsi="Times New Roman" w:cs="Times New Roman"/>
          <w:sz w:val="22"/>
          <w:szCs w:val="22"/>
        </w:rPr>
        <w:t xml:space="preserve"> and </w:t>
      </w:r>
      <w:r w:rsidR="00453540">
        <w:rPr>
          <w:rFonts w:ascii="Times New Roman" w:hAnsi="Times New Roman" w:cs="Times New Roman"/>
          <w:sz w:val="22"/>
          <w:szCs w:val="22"/>
        </w:rPr>
        <w:t>smoking/</w:t>
      </w:r>
      <w:r w:rsidR="00C72889">
        <w:rPr>
          <w:rFonts w:ascii="Times New Roman" w:hAnsi="Times New Roman" w:cs="Times New Roman"/>
          <w:sz w:val="22"/>
          <w:szCs w:val="22"/>
        </w:rPr>
        <w:t>vaping his</w:t>
      </w:r>
      <w:r w:rsidR="008073C1">
        <w:rPr>
          <w:rFonts w:ascii="Times New Roman" w:hAnsi="Times New Roman" w:cs="Times New Roman"/>
          <w:sz w:val="22"/>
          <w:szCs w:val="22"/>
        </w:rPr>
        <w:t>tory</w:t>
      </w:r>
      <w:r>
        <w:rPr>
          <w:rFonts w:ascii="Times New Roman" w:hAnsi="Times New Roman" w:cs="Times New Roman"/>
          <w:sz w:val="22"/>
          <w:szCs w:val="22"/>
        </w:rPr>
        <w:t xml:space="preserve"> then </w:t>
      </w:r>
      <w:r w:rsidR="00555270" w:rsidRPr="00842993">
        <w:rPr>
          <w:rFonts w:ascii="Times New Roman" w:hAnsi="Times New Roman" w:cs="Times New Roman"/>
          <w:sz w:val="22"/>
          <w:szCs w:val="22"/>
        </w:rPr>
        <w:t>sample</w:t>
      </w:r>
      <w:r w:rsidR="00C72889">
        <w:rPr>
          <w:rFonts w:ascii="Times New Roman" w:hAnsi="Times New Roman" w:cs="Times New Roman"/>
          <w:sz w:val="22"/>
          <w:szCs w:val="22"/>
        </w:rPr>
        <w:t>d</w:t>
      </w:r>
      <w:r>
        <w:rPr>
          <w:rFonts w:ascii="Times New Roman" w:hAnsi="Times New Roman" w:cs="Times New Roman"/>
          <w:sz w:val="22"/>
          <w:szCs w:val="22"/>
        </w:rPr>
        <w:t xml:space="preserve"> four e-liquids</w:t>
      </w:r>
      <w:r w:rsidR="00555270" w:rsidRPr="00842993">
        <w:rPr>
          <w:rFonts w:ascii="Times New Roman" w:hAnsi="Times New Roman" w:cs="Times New Roman"/>
          <w:sz w:val="22"/>
          <w:szCs w:val="22"/>
        </w:rPr>
        <w:t xml:space="preserve"> (tobacco, fruit, bakery and menthol) select</w:t>
      </w:r>
      <w:r w:rsidR="002E4190" w:rsidRPr="00842993">
        <w:rPr>
          <w:rFonts w:ascii="Times New Roman" w:hAnsi="Times New Roman" w:cs="Times New Roman"/>
          <w:sz w:val="22"/>
          <w:szCs w:val="22"/>
        </w:rPr>
        <w:t>ing</w:t>
      </w:r>
      <w:r w:rsidR="00555270" w:rsidRPr="00842993">
        <w:rPr>
          <w:rFonts w:ascii="Times New Roman" w:hAnsi="Times New Roman" w:cs="Times New Roman"/>
          <w:sz w:val="22"/>
          <w:szCs w:val="22"/>
        </w:rPr>
        <w:t xml:space="preserve"> one to </w:t>
      </w:r>
      <w:r w:rsidR="002E4190" w:rsidRPr="00842993">
        <w:rPr>
          <w:rFonts w:ascii="Times New Roman" w:hAnsi="Times New Roman" w:cs="Times New Roman"/>
          <w:sz w:val="22"/>
          <w:szCs w:val="22"/>
        </w:rPr>
        <w:t xml:space="preserve">be </w:t>
      </w:r>
      <w:r w:rsidR="00555270" w:rsidRPr="00842993">
        <w:rPr>
          <w:rFonts w:ascii="Times New Roman" w:hAnsi="Times New Roman" w:cs="Times New Roman"/>
          <w:sz w:val="22"/>
          <w:szCs w:val="22"/>
        </w:rPr>
        <w:t>use</w:t>
      </w:r>
      <w:r w:rsidR="002E4190" w:rsidRPr="00842993">
        <w:rPr>
          <w:rFonts w:ascii="Times New Roman" w:hAnsi="Times New Roman" w:cs="Times New Roman"/>
          <w:sz w:val="22"/>
          <w:szCs w:val="22"/>
        </w:rPr>
        <w:t>d</w:t>
      </w:r>
      <w:r w:rsidR="00555270" w:rsidRPr="00842993">
        <w:rPr>
          <w:rFonts w:ascii="Times New Roman" w:hAnsi="Times New Roman" w:cs="Times New Roman"/>
          <w:sz w:val="22"/>
          <w:szCs w:val="22"/>
        </w:rPr>
        <w:t xml:space="preserve"> for the </w:t>
      </w:r>
      <w:r w:rsidR="00C676D4" w:rsidRPr="00842993">
        <w:rPr>
          <w:rFonts w:ascii="Times New Roman" w:hAnsi="Times New Roman" w:cs="Times New Roman"/>
          <w:sz w:val="22"/>
          <w:szCs w:val="22"/>
        </w:rPr>
        <w:t xml:space="preserve">next </w:t>
      </w:r>
      <w:r w:rsidR="00555270" w:rsidRPr="00842993">
        <w:rPr>
          <w:rFonts w:ascii="Times New Roman" w:hAnsi="Times New Roman" w:cs="Times New Roman"/>
          <w:sz w:val="22"/>
          <w:szCs w:val="22"/>
        </w:rPr>
        <w:t>4 week</w:t>
      </w:r>
      <w:r w:rsidR="00C676D4" w:rsidRPr="00842993">
        <w:rPr>
          <w:rFonts w:ascii="Times New Roman" w:hAnsi="Times New Roman" w:cs="Times New Roman"/>
          <w:sz w:val="22"/>
          <w:szCs w:val="22"/>
        </w:rPr>
        <w:t>s</w:t>
      </w:r>
      <w:r w:rsidR="00555270" w:rsidRPr="00842993">
        <w:rPr>
          <w:rFonts w:ascii="Times New Roman" w:hAnsi="Times New Roman" w:cs="Times New Roman"/>
          <w:sz w:val="22"/>
          <w:szCs w:val="22"/>
        </w:rPr>
        <w:t>.</w:t>
      </w:r>
      <w:r w:rsidR="00D61225">
        <w:rPr>
          <w:rFonts w:ascii="Times New Roman" w:hAnsi="Times New Roman" w:cs="Times New Roman"/>
          <w:sz w:val="22"/>
          <w:szCs w:val="22"/>
        </w:rPr>
        <w:t xml:space="preserve"> </w:t>
      </w:r>
      <w:r w:rsidR="00555270" w:rsidRPr="00842993">
        <w:rPr>
          <w:rFonts w:ascii="Times New Roman" w:hAnsi="Times New Roman" w:cs="Times New Roman"/>
          <w:sz w:val="22"/>
          <w:szCs w:val="22"/>
        </w:rPr>
        <w:t xml:space="preserve"> Participants were provided with an </w:t>
      </w:r>
      <w:proofErr w:type="spellStart"/>
      <w:r w:rsidR="00555270" w:rsidRPr="00842993">
        <w:rPr>
          <w:rFonts w:ascii="Times New Roman" w:hAnsi="Times New Roman" w:cs="Times New Roman"/>
          <w:sz w:val="22"/>
          <w:szCs w:val="22"/>
        </w:rPr>
        <w:t>eVic</w:t>
      </w:r>
      <w:proofErr w:type="spellEnd"/>
      <w:r w:rsidR="00555270" w:rsidRPr="00842993">
        <w:rPr>
          <w:rFonts w:ascii="Times New Roman" w:hAnsi="Times New Roman" w:cs="Times New Roman"/>
          <w:sz w:val="22"/>
          <w:szCs w:val="22"/>
        </w:rPr>
        <w:t xml:space="preserve"> Supreme™ by </w:t>
      </w:r>
      <w:proofErr w:type="spellStart"/>
      <w:r w:rsidR="00555270" w:rsidRPr="00842993">
        <w:rPr>
          <w:rFonts w:ascii="Times New Roman" w:hAnsi="Times New Roman" w:cs="Times New Roman"/>
          <w:sz w:val="22"/>
          <w:szCs w:val="22"/>
        </w:rPr>
        <w:t>Joytech</w:t>
      </w:r>
      <w:proofErr w:type="spellEnd"/>
      <w:r w:rsidR="00124DB4">
        <w:rPr>
          <w:rFonts w:ascii="Times New Roman" w:hAnsi="Times New Roman" w:cs="Times New Roman"/>
          <w:sz w:val="22"/>
          <w:szCs w:val="22"/>
        </w:rPr>
        <w:t xml:space="preserve"> </w:t>
      </w:r>
      <w:r w:rsidR="00124DB4">
        <w:rPr>
          <w:rFonts w:ascii="Times New Roman" w:hAnsi="Times New Roman" w:cs="Times New Roman"/>
          <w:sz w:val="22"/>
          <w:szCs w:val="22"/>
        </w:rPr>
        <w:lastRenderedPageBreak/>
        <w:t>fitted with a</w:t>
      </w:r>
      <w:r w:rsidR="00555270" w:rsidRPr="00842993">
        <w:rPr>
          <w:rFonts w:ascii="Times New Roman" w:hAnsi="Times New Roman" w:cs="Times New Roman"/>
          <w:sz w:val="22"/>
          <w:szCs w:val="22"/>
        </w:rPr>
        <w:t xml:space="preserve"> ‘Nautilus Aspire’ tank</w:t>
      </w:r>
      <w:r w:rsidR="0063317F">
        <w:rPr>
          <w:rFonts w:ascii="Times New Roman" w:hAnsi="Times New Roman" w:cs="Times New Roman"/>
          <w:sz w:val="22"/>
          <w:szCs w:val="22"/>
        </w:rPr>
        <w:t xml:space="preserve"> </w:t>
      </w:r>
      <w:r w:rsidR="00BF41CE">
        <w:rPr>
          <w:rFonts w:ascii="Times New Roman" w:hAnsi="Times New Roman" w:cs="Times New Roman"/>
          <w:sz w:val="22"/>
          <w:szCs w:val="22"/>
        </w:rPr>
        <w:t>housing a BVC atomizer (1.6</w:t>
      </w:r>
      <w:r w:rsidR="006D29CB">
        <w:rPr>
          <w:rFonts w:ascii="Times New Roman" w:hAnsi="Times New Roman" w:cs="Times New Roman"/>
          <w:sz w:val="22"/>
          <w:szCs w:val="22"/>
        </w:rPr>
        <w:t xml:space="preserve"> O</w:t>
      </w:r>
      <w:r w:rsidR="00BF41CE">
        <w:rPr>
          <w:rFonts w:ascii="Times New Roman" w:hAnsi="Times New Roman" w:cs="Times New Roman"/>
          <w:sz w:val="22"/>
          <w:szCs w:val="22"/>
        </w:rPr>
        <w:t xml:space="preserve">hm) </w:t>
      </w:r>
      <w:r w:rsidR="0063317F">
        <w:rPr>
          <w:rFonts w:ascii="Times New Roman" w:hAnsi="Times New Roman" w:cs="Times New Roman"/>
          <w:sz w:val="22"/>
          <w:szCs w:val="22"/>
        </w:rPr>
        <w:t xml:space="preserve">and </w:t>
      </w:r>
      <w:r w:rsidR="008E02DB">
        <w:rPr>
          <w:rFonts w:ascii="Times New Roman" w:hAnsi="Times New Roman" w:cs="Times New Roman"/>
          <w:sz w:val="22"/>
          <w:szCs w:val="22"/>
        </w:rPr>
        <w:t xml:space="preserve">seven </w:t>
      </w:r>
      <w:r w:rsidR="0063317F">
        <w:rPr>
          <w:rFonts w:ascii="Times New Roman" w:hAnsi="Times New Roman" w:cs="Times New Roman"/>
          <w:sz w:val="22"/>
          <w:szCs w:val="22"/>
        </w:rPr>
        <w:t>10ml bottles of e-liquid for the week (6</w:t>
      </w:r>
      <w:r w:rsidR="006D29CB">
        <w:rPr>
          <w:rFonts w:ascii="Times New Roman" w:hAnsi="Times New Roman" w:cs="Times New Roman"/>
          <w:sz w:val="22"/>
          <w:szCs w:val="22"/>
        </w:rPr>
        <w:t xml:space="preserve"> mg/mL</w:t>
      </w:r>
      <w:r w:rsidR="0063317F">
        <w:rPr>
          <w:rFonts w:ascii="Times New Roman" w:hAnsi="Times New Roman" w:cs="Times New Roman"/>
          <w:sz w:val="22"/>
          <w:szCs w:val="22"/>
        </w:rPr>
        <w:t xml:space="preserve"> or 18</w:t>
      </w:r>
      <w:r w:rsidR="006D29CB">
        <w:rPr>
          <w:rFonts w:ascii="Times New Roman" w:hAnsi="Times New Roman" w:cs="Times New Roman"/>
          <w:sz w:val="22"/>
          <w:szCs w:val="22"/>
        </w:rPr>
        <w:t xml:space="preserve"> mg/mL</w:t>
      </w:r>
      <w:r w:rsidR="0063317F">
        <w:rPr>
          <w:rFonts w:ascii="Times New Roman" w:hAnsi="Times New Roman" w:cs="Times New Roman"/>
          <w:sz w:val="22"/>
          <w:szCs w:val="22"/>
        </w:rPr>
        <w:t xml:space="preserve"> according to condition)</w:t>
      </w:r>
      <w:r w:rsidR="00555270" w:rsidRPr="00842993">
        <w:rPr>
          <w:rFonts w:ascii="Times New Roman" w:hAnsi="Times New Roman" w:cs="Times New Roman"/>
          <w:sz w:val="22"/>
          <w:szCs w:val="22"/>
        </w:rPr>
        <w:t>.</w:t>
      </w:r>
      <w:r w:rsidR="0063317F">
        <w:rPr>
          <w:rFonts w:ascii="Times New Roman" w:hAnsi="Times New Roman" w:cs="Times New Roman"/>
          <w:sz w:val="22"/>
          <w:szCs w:val="22"/>
        </w:rPr>
        <w:t xml:space="preserve"> </w:t>
      </w:r>
      <w:r w:rsidR="00D865A1">
        <w:rPr>
          <w:rFonts w:ascii="Times New Roman" w:hAnsi="Times New Roman" w:cs="Times New Roman"/>
          <w:sz w:val="22"/>
          <w:szCs w:val="22"/>
        </w:rPr>
        <w:t xml:space="preserve"> </w:t>
      </w:r>
    </w:p>
    <w:p w14:paraId="295154C6" w14:textId="77777777" w:rsidR="00291B7E" w:rsidRDefault="00291B7E" w:rsidP="00842993">
      <w:pPr>
        <w:spacing w:line="480" w:lineRule="auto"/>
        <w:jc w:val="both"/>
        <w:rPr>
          <w:rFonts w:ascii="Times New Roman" w:hAnsi="Times New Roman" w:cs="Times New Roman"/>
          <w:sz w:val="22"/>
          <w:szCs w:val="22"/>
        </w:rPr>
      </w:pPr>
    </w:p>
    <w:p w14:paraId="5CD4EA93" w14:textId="603F7A46" w:rsidR="00555270" w:rsidRPr="00842993" w:rsidRDefault="00F31B3E" w:rsidP="00842993">
      <w:pPr>
        <w:spacing w:line="480" w:lineRule="auto"/>
        <w:jc w:val="both"/>
        <w:rPr>
          <w:rFonts w:ascii="Times New Roman" w:hAnsi="Times New Roman" w:cs="Times New Roman"/>
          <w:sz w:val="22"/>
          <w:szCs w:val="22"/>
        </w:rPr>
      </w:pPr>
      <w:r>
        <w:rPr>
          <w:rFonts w:ascii="Times New Roman" w:hAnsi="Times New Roman" w:cs="Times New Roman"/>
          <w:sz w:val="22"/>
          <w:szCs w:val="22"/>
        </w:rPr>
        <w:t>For each puff, t</w:t>
      </w:r>
      <w:r w:rsidR="002C2B96">
        <w:rPr>
          <w:rFonts w:ascii="Times New Roman" w:hAnsi="Times New Roman" w:cs="Times New Roman"/>
          <w:sz w:val="22"/>
          <w:szCs w:val="22"/>
        </w:rPr>
        <w:t>he</w:t>
      </w:r>
      <w:r w:rsidR="006D024D">
        <w:rPr>
          <w:rFonts w:ascii="Times New Roman" w:hAnsi="Times New Roman" w:cs="Times New Roman"/>
          <w:sz w:val="22"/>
          <w:szCs w:val="22"/>
        </w:rPr>
        <w:t xml:space="preserve"> </w:t>
      </w:r>
      <w:proofErr w:type="spellStart"/>
      <w:r w:rsidR="006D024D">
        <w:rPr>
          <w:rFonts w:ascii="Times New Roman" w:hAnsi="Times New Roman" w:cs="Times New Roman"/>
          <w:sz w:val="22"/>
          <w:szCs w:val="22"/>
        </w:rPr>
        <w:t>eVic</w:t>
      </w:r>
      <w:proofErr w:type="spellEnd"/>
      <w:r w:rsidR="002C2B96">
        <w:rPr>
          <w:rFonts w:ascii="Times New Roman" w:hAnsi="Times New Roman" w:cs="Times New Roman"/>
          <w:sz w:val="22"/>
          <w:szCs w:val="22"/>
        </w:rPr>
        <w:t xml:space="preserve"> records</w:t>
      </w:r>
      <w:r w:rsidR="00453540">
        <w:rPr>
          <w:rFonts w:ascii="Times New Roman" w:hAnsi="Times New Roman" w:cs="Times New Roman"/>
          <w:sz w:val="22"/>
          <w:szCs w:val="22"/>
        </w:rPr>
        <w:t xml:space="preserve">: </w:t>
      </w:r>
      <w:r>
        <w:rPr>
          <w:rFonts w:ascii="Times New Roman" w:hAnsi="Times New Roman" w:cs="Times New Roman"/>
          <w:sz w:val="22"/>
          <w:szCs w:val="22"/>
        </w:rPr>
        <w:t>time of the puff, puff length</w:t>
      </w:r>
      <w:r w:rsidR="00F850AE">
        <w:rPr>
          <w:rFonts w:ascii="Times New Roman" w:hAnsi="Times New Roman" w:cs="Times New Roman"/>
          <w:sz w:val="22"/>
          <w:szCs w:val="22"/>
        </w:rPr>
        <w:t xml:space="preserve"> (in seconds)</w:t>
      </w:r>
      <w:r>
        <w:rPr>
          <w:rFonts w:ascii="Times New Roman" w:hAnsi="Times New Roman" w:cs="Times New Roman"/>
          <w:sz w:val="22"/>
          <w:szCs w:val="22"/>
        </w:rPr>
        <w:t>, atomiser re</w:t>
      </w:r>
      <w:r w:rsidR="006D024D">
        <w:rPr>
          <w:rFonts w:ascii="Times New Roman" w:hAnsi="Times New Roman" w:cs="Times New Roman"/>
          <w:sz w:val="22"/>
          <w:szCs w:val="22"/>
        </w:rPr>
        <w:t>sistance, v</w:t>
      </w:r>
      <w:r>
        <w:rPr>
          <w:rFonts w:ascii="Times New Roman" w:hAnsi="Times New Roman" w:cs="Times New Roman"/>
          <w:sz w:val="22"/>
          <w:szCs w:val="22"/>
        </w:rPr>
        <w:t xml:space="preserve">oltage and wattage.  </w:t>
      </w:r>
      <w:r w:rsidR="00254BCC" w:rsidRPr="00842993">
        <w:rPr>
          <w:rFonts w:ascii="Times New Roman" w:hAnsi="Times New Roman" w:cs="Times New Roman"/>
          <w:sz w:val="22"/>
          <w:szCs w:val="22"/>
        </w:rPr>
        <w:t>To ensure device familiarity before changes were permitted</w:t>
      </w:r>
      <w:r w:rsidR="00555270" w:rsidRPr="00842993">
        <w:rPr>
          <w:rFonts w:ascii="Times New Roman" w:hAnsi="Times New Roman" w:cs="Times New Roman"/>
          <w:sz w:val="22"/>
          <w:szCs w:val="22"/>
        </w:rPr>
        <w:t>,</w:t>
      </w:r>
      <w:r w:rsidR="00254BCC" w:rsidRPr="00842993">
        <w:rPr>
          <w:rFonts w:ascii="Times New Roman" w:hAnsi="Times New Roman" w:cs="Times New Roman"/>
          <w:sz w:val="22"/>
          <w:szCs w:val="22"/>
        </w:rPr>
        <w:t xml:space="preserve"> </w:t>
      </w:r>
      <w:r w:rsidR="00F535FB" w:rsidRPr="00842993">
        <w:rPr>
          <w:rFonts w:ascii="Times New Roman" w:hAnsi="Times New Roman" w:cs="Times New Roman"/>
          <w:sz w:val="22"/>
          <w:szCs w:val="22"/>
        </w:rPr>
        <w:t>the first two weeks</w:t>
      </w:r>
      <w:r w:rsidR="00C72889">
        <w:rPr>
          <w:rFonts w:ascii="Times New Roman" w:hAnsi="Times New Roman" w:cs="Times New Roman"/>
          <w:sz w:val="22"/>
          <w:szCs w:val="22"/>
        </w:rPr>
        <w:t xml:space="preserve"> were always</w:t>
      </w:r>
      <w:r w:rsidR="00F535FB" w:rsidRPr="00842993">
        <w:rPr>
          <w:rFonts w:ascii="Times New Roman" w:hAnsi="Times New Roman" w:cs="Times New Roman"/>
          <w:sz w:val="22"/>
          <w:szCs w:val="22"/>
        </w:rPr>
        <w:t xml:space="preserve"> </w:t>
      </w:r>
      <w:r w:rsidR="00291B7E">
        <w:rPr>
          <w:rFonts w:ascii="Times New Roman" w:hAnsi="Times New Roman" w:cs="Times New Roman"/>
          <w:sz w:val="22"/>
          <w:szCs w:val="22"/>
        </w:rPr>
        <w:t xml:space="preserve">fixed at </w:t>
      </w:r>
      <w:r w:rsidR="00BF41CE">
        <w:rPr>
          <w:rFonts w:ascii="Times New Roman" w:hAnsi="Times New Roman" w:cs="Times New Roman"/>
          <w:sz w:val="22"/>
          <w:szCs w:val="22"/>
        </w:rPr>
        <w:t xml:space="preserve">4.0V </w:t>
      </w:r>
      <w:r w:rsidR="00291B7E">
        <w:rPr>
          <w:rFonts w:ascii="Times New Roman" w:hAnsi="Times New Roman" w:cs="Times New Roman"/>
          <w:sz w:val="22"/>
          <w:szCs w:val="22"/>
        </w:rPr>
        <w:t>(</w:t>
      </w:r>
      <w:r w:rsidR="00BF41CE">
        <w:rPr>
          <w:rFonts w:ascii="Times New Roman" w:hAnsi="Times New Roman" w:cs="Times New Roman"/>
          <w:sz w:val="22"/>
          <w:szCs w:val="22"/>
        </w:rPr>
        <w:t>10</w:t>
      </w:r>
      <w:r w:rsidR="00F535FB" w:rsidRPr="00842993">
        <w:rPr>
          <w:rFonts w:ascii="Times New Roman" w:hAnsi="Times New Roman" w:cs="Times New Roman"/>
          <w:sz w:val="22"/>
          <w:szCs w:val="22"/>
        </w:rPr>
        <w:t>W</w:t>
      </w:r>
      <w:r w:rsidR="00291B7E">
        <w:rPr>
          <w:rFonts w:ascii="Times New Roman" w:hAnsi="Times New Roman" w:cs="Times New Roman"/>
          <w:sz w:val="22"/>
          <w:szCs w:val="22"/>
        </w:rPr>
        <w:t>) with the</w:t>
      </w:r>
      <w:r w:rsidR="004355F8">
        <w:rPr>
          <w:rFonts w:ascii="Times New Roman" w:hAnsi="Times New Roman" w:cs="Times New Roman"/>
          <w:sz w:val="22"/>
          <w:szCs w:val="22"/>
        </w:rPr>
        <w:t xml:space="preserve"> widest air-flow</w:t>
      </w:r>
      <w:r w:rsidR="00F535FB" w:rsidRPr="00842993">
        <w:rPr>
          <w:rFonts w:ascii="Times New Roman" w:hAnsi="Times New Roman" w:cs="Times New Roman"/>
          <w:sz w:val="22"/>
          <w:szCs w:val="22"/>
        </w:rPr>
        <w:t xml:space="preserve"> </w:t>
      </w:r>
      <w:r w:rsidR="00F535FB">
        <w:rPr>
          <w:rFonts w:ascii="Times New Roman" w:hAnsi="Times New Roman" w:cs="Times New Roman"/>
          <w:sz w:val="22"/>
          <w:szCs w:val="22"/>
        </w:rPr>
        <w:t xml:space="preserve">setting </w:t>
      </w:r>
      <w:r w:rsidR="00291B7E">
        <w:rPr>
          <w:rFonts w:ascii="Times New Roman" w:hAnsi="Times New Roman" w:cs="Times New Roman"/>
          <w:sz w:val="22"/>
          <w:szCs w:val="22"/>
        </w:rPr>
        <w:t>on the tank.  C</w:t>
      </w:r>
      <w:r w:rsidR="00555270" w:rsidRPr="00842993">
        <w:rPr>
          <w:rFonts w:ascii="Times New Roman" w:hAnsi="Times New Roman" w:cs="Times New Roman"/>
          <w:sz w:val="22"/>
          <w:szCs w:val="22"/>
        </w:rPr>
        <w:t xml:space="preserve">hanges to </w:t>
      </w:r>
      <w:r w:rsidR="00F535FB">
        <w:rPr>
          <w:rFonts w:ascii="Times New Roman" w:hAnsi="Times New Roman" w:cs="Times New Roman"/>
          <w:sz w:val="22"/>
          <w:szCs w:val="22"/>
        </w:rPr>
        <w:t>voltage</w:t>
      </w:r>
      <w:r w:rsidR="00942AD0">
        <w:rPr>
          <w:rFonts w:ascii="Times New Roman" w:hAnsi="Times New Roman" w:cs="Times New Roman"/>
          <w:sz w:val="22"/>
          <w:szCs w:val="22"/>
        </w:rPr>
        <w:t xml:space="preserve"> and airflow</w:t>
      </w:r>
      <w:r w:rsidR="00555270" w:rsidRPr="00842993">
        <w:rPr>
          <w:rFonts w:ascii="Times New Roman" w:hAnsi="Times New Roman" w:cs="Times New Roman"/>
          <w:sz w:val="22"/>
          <w:szCs w:val="22"/>
        </w:rPr>
        <w:t xml:space="preserve"> </w:t>
      </w:r>
      <w:r w:rsidR="00291B7E">
        <w:rPr>
          <w:rFonts w:ascii="Times New Roman" w:hAnsi="Times New Roman" w:cs="Times New Roman"/>
          <w:sz w:val="22"/>
          <w:szCs w:val="22"/>
        </w:rPr>
        <w:t xml:space="preserve">were permitted </w:t>
      </w:r>
      <w:r w:rsidR="00F535FB">
        <w:rPr>
          <w:rFonts w:ascii="Times New Roman" w:hAnsi="Times New Roman" w:cs="Times New Roman"/>
          <w:sz w:val="22"/>
          <w:szCs w:val="22"/>
        </w:rPr>
        <w:t xml:space="preserve">during </w:t>
      </w:r>
      <w:r w:rsidR="00555270" w:rsidRPr="00842993">
        <w:rPr>
          <w:rFonts w:ascii="Times New Roman" w:hAnsi="Times New Roman" w:cs="Times New Roman"/>
          <w:sz w:val="22"/>
          <w:szCs w:val="22"/>
        </w:rPr>
        <w:t xml:space="preserve">the last two weeks. </w:t>
      </w:r>
      <w:r w:rsidR="00291B7E">
        <w:rPr>
          <w:rFonts w:ascii="Times New Roman" w:hAnsi="Times New Roman" w:cs="Times New Roman"/>
          <w:sz w:val="22"/>
          <w:szCs w:val="22"/>
        </w:rPr>
        <w:t>Participants could adjust the airflow by turning a horizontal dial on the tank.  However, no changes to airflow were made so this is not reported further.  Voltage could be adjusted (between 3.0 and 6.0V) by turning a dial under the display unit on the</w:t>
      </w:r>
      <w:r w:rsidR="006D024D">
        <w:rPr>
          <w:rFonts w:ascii="Times New Roman" w:hAnsi="Times New Roman" w:cs="Times New Roman"/>
          <w:sz w:val="22"/>
          <w:szCs w:val="22"/>
        </w:rPr>
        <w:t xml:space="preserve"> </w:t>
      </w:r>
      <w:proofErr w:type="spellStart"/>
      <w:r w:rsidR="006D024D">
        <w:rPr>
          <w:rFonts w:ascii="Times New Roman" w:hAnsi="Times New Roman" w:cs="Times New Roman"/>
          <w:sz w:val="22"/>
          <w:szCs w:val="22"/>
        </w:rPr>
        <w:t>eVic</w:t>
      </w:r>
      <w:proofErr w:type="spellEnd"/>
      <w:r w:rsidR="00291B7E">
        <w:rPr>
          <w:rFonts w:ascii="Times New Roman" w:hAnsi="Times New Roman" w:cs="Times New Roman"/>
          <w:sz w:val="22"/>
          <w:szCs w:val="22"/>
        </w:rPr>
        <w:t>.  Given that the atomiser resistance was fixed at 1.6</w:t>
      </w:r>
      <w:r w:rsidR="009119B6">
        <w:rPr>
          <w:rFonts w:ascii="Times New Roman" w:hAnsi="Times New Roman" w:cs="Times New Roman"/>
          <w:sz w:val="22"/>
          <w:szCs w:val="22"/>
        </w:rPr>
        <w:t xml:space="preserve"> O</w:t>
      </w:r>
      <w:r w:rsidR="00291B7E">
        <w:rPr>
          <w:rFonts w:ascii="Times New Roman" w:hAnsi="Times New Roman" w:cs="Times New Roman"/>
          <w:sz w:val="22"/>
          <w:szCs w:val="22"/>
        </w:rPr>
        <w:t xml:space="preserve">hm, adjusting the voltage upwards results in increased wattage (overall power output).  </w:t>
      </w:r>
      <w:r w:rsidR="00555270" w:rsidRPr="00842993">
        <w:rPr>
          <w:rFonts w:ascii="Times New Roman" w:hAnsi="Times New Roman" w:cs="Times New Roman"/>
          <w:sz w:val="22"/>
          <w:szCs w:val="22"/>
        </w:rPr>
        <w:t>Participants were randomly assigned to start on either 6</w:t>
      </w:r>
      <w:r w:rsidR="006D29CB">
        <w:rPr>
          <w:rFonts w:ascii="Times New Roman" w:hAnsi="Times New Roman" w:cs="Times New Roman"/>
          <w:sz w:val="22"/>
          <w:szCs w:val="22"/>
        </w:rPr>
        <w:t xml:space="preserve"> </w:t>
      </w:r>
      <w:r w:rsidR="00555270" w:rsidRPr="00842993">
        <w:rPr>
          <w:rFonts w:ascii="Times New Roman" w:hAnsi="Times New Roman" w:cs="Times New Roman"/>
          <w:sz w:val="22"/>
          <w:szCs w:val="22"/>
        </w:rPr>
        <w:t>mg</w:t>
      </w:r>
      <w:r w:rsidR="006D024D">
        <w:rPr>
          <w:rFonts w:ascii="Times New Roman" w:hAnsi="Times New Roman" w:cs="Times New Roman"/>
          <w:sz w:val="22"/>
          <w:szCs w:val="22"/>
        </w:rPr>
        <w:t>/mL</w:t>
      </w:r>
      <w:r w:rsidR="00555270" w:rsidRPr="00842993">
        <w:rPr>
          <w:rFonts w:ascii="Times New Roman" w:hAnsi="Times New Roman" w:cs="Times New Roman"/>
          <w:sz w:val="22"/>
          <w:szCs w:val="22"/>
        </w:rPr>
        <w:t xml:space="preserve"> or 18</w:t>
      </w:r>
      <w:r w:rsidR="006D29CB">
        <w:rPr>
          <w:rFonts w:ascii="Times New Roman" w:hAnsi="Times New Roman" w:cs="Times New Roman"/>
          <w:sz w:val="22"/>
          <w:szCs w:val="22"/>
        </w:rPr>
        <w:t xml:space="preserve"> </w:t>
      </w:r>
      <w:r w:rsidR="00555270" w:rsidRPr="00842993">
        <w:rPr>
          <w:rFonts w:ascii="Times New Roman" w:hAnsi="Times New Roman" w:cs="Times New Roman"/>
          <w:sz w:val="22"/>
          <w:szCs w:val="22"/>
        </w:rPr>
        <w:t>mg</w:t>
      </w:r>
      <w:r w:rsidR="006D024D">
        <w:rPr>
          <w:rFonts w:ascii="Times New Roman" w:hAnsi="Times New Roman" w:cs="Times New Roman"/>
          <w:sz w:val="22"/>
          <w:szCs w:val="22"/>
        </w:rPr>
        <w:t>/mL</w:t>
      </w:r>
      <w:r w:rsidR="00555270" w:rsidRPr="00842993">
        <w:rPr>
          <w:rFonts w:ascii="Times New Roman" w:hAnsi="Times New Roman" w:cs="Times New Roman"/>
          <w:sz w:val="22"/>
          <w:szCs w:val="22"/>
        </w:rPr>
        <w:t xml:space="preserve"> nicotine </w:t>
      </w:r>
      <w:r w:rsidR="001A594C">
        <w:rPr>
          <w:rFonts w:ascii="Times New Roman" w:hAnsi="Times New Roman" w:cs="Times New Roman"/>
          <w:sz w:val="22"/>
          <w:szCs w:val="22"/>
        </w:rPr>
        <w:t>concentration</w:t>
      </w:r>
      <w:r w:rsidR="00555270" w:rsidRPr="00842993">
        <w:rPr>
          <w:rFonts w:ascii="Times New Roman" w:hAnsi="Times New Roman" w:cs="Times New Roman"/>
          <w:sz w:val="22"/>
          <w:szCs w:val="22"/>
        </w:rPr>
        <w:t xml:space="preserve"> e-liquid</w:t>
      </w:r>
      <w:r w:rsidR="00C72889">
        <w:rPr>
          <w:rFonts w:ascii="Times New Roman" w:hAnsi="Times New Roman" w:cs="Times New Roman"/>
          <w:sz w:val="22"/>
          <w:szCs w:val="22"/>
        </w:rPr>
        <w:t xml:space="preserve"> giving rise to four possible orders.</w:t>
      </w:r>
      <w:r w:rsidR="00555270" w:rsidRPr="00842993">
        <w:rPr>
          <w:rFonts w:ascii="Times New Roman" w:hAnsi="Times New Roman" w:cs="Times New Roman"/>
          <w:sz w:val="22"/>
          <w:szCs w:val="22"/>
        </w:rPr>
        <w:t xml:space="preserve"> </w:t>
      </w:r>
      <w:r w:rsidR="002E4190" w:rsidRPr="00842993">
        <w:rPr>
          <w:rFonts w:ascii="Times New Roman" w:hAnsi="Times New Roman" w:cs="Times New Roman"/>
          <w:sz w:val="22"/>
          <w:szCs w:val="22"/>
        </w:rPr>
        <w:t xml:space="preserve">Participants were instructed to refrain from using their own devices and e-liquids for the duration of the study. </w:t>
      </w:r>
    </w:p>
    <w:p w14:paraId="34FEE845" w14:textId="77777777" w:rsidR="006D024D" w:rsidRDefault="006D024D" w:rsidP="006D024D">
      <w:pPr>
        <w:spacing w:after="200" w:line="480" w:lineRule="auto"/>
        <w:ind w:right="237"/>
        <w:jc w:val="both"/>
        <w:rPr>
          <w:rFonts w:ascii="Times New Roman" w:hAnsi="Times New Roman" w:cs="Times New Roman"/>
          <w:sz w:val="22"/>
          <w:szCs w:val="22"/>
        </w:rPr>
      </w:pPr>
    </w:p>
    <w:p w14:paraId="1467AC3B" w14:textId="4FC7B3B1" w:rsidR="00C676D4" w:rsidRDefault="00C72889" w:rsidP="00CA24A9">
      <w:pPr>
        <w:spacing w:line="480" w:lineRule="auto"/>
        <w:ind w:right="238"/>
        <w:jc w:val="both"/>
        <w:rPr>
          <w:rFonts w:ascii="Times New Roman" w:eastAsiaTheme="minorEastAsia" w:hAnsi="Times New Roman" w:cs="Times New Roman"/>
          <w:sz w:val="22"/>
          <w:szCs w:val="22"/>
          <w:lang w:eastAsia="en-GB"/>
        </w:rPr>
      </w:pPr>
      <w:r>
        <w:rPr>
          <w:rFonts w:ascii="Times New Roman" w:hAnsi="Times New Roman" w:cs="Times New Roman"/>
          <w:sz w:val="22"/>
          <w:szCs w:val="22"/>
        </w:rPr>
        <w:t>At baseline and each follow up time point</w:t>
      </w:r>
      <w:r w:rsidR="0016533E" w:rsidRPr="00842993">
        <w:rPr>
          <w:rFonts w:ascii="Times New Roman" w:hAnsi="Times New Roman" w:cs="Times New Roman"/>
          <w:sz w:val="22"/>
          <w:szCs w:val="22"/>
        </w:rPr>
        <w:t xml:space="preserve">, </w:t>
      </w:r>
      <w:r w:rsidR="00D865A1">
        <w:rPr>
          <w:rFonts w:ascii="Times New Roman" w:hAnsi="Times New Roman" w:cs="Times New Roman"/>
          <w:sz w:val="22"/>
          <w:szCs w:val="22"/>
        </w:rPr>
        <w:t xml:space="preserve">breath CO samples were taken </w:t>
      </w:r>
      <w:r w:rsidR="006D024D">
        <w:rPr>
          <w:rFonts w:ascii="Times New Roman" w:hAnsi="Times New Roman" w:cs="Times New Roman"/>
          <w:sz w:val="22"/>
          <w:szCs w:val="22"/>
        </w:rPr>
        <w:t>(</w:t>
      </w:r>
      <w:r w:rsidR="00D865A1">
        <w:rPr>
          <w:rFonts w:ascii="Times New Roman" w:hAnsi="Times New Roman" w:cs="Times New Roman"/>
          <w:sz w:val="22"/>
          <w:szCs w:val="22"/>
        </w:rPr>
        <w:t>to confirm that parti</w:t>
      </w:r>
      <w:r w:rsidR="006D024D">
        <w:rPr>
          <w:rFonts w:ascii="Times New Roman" w:hAnsi="Times New Roman" w:cs="Times New Roman"/>
          <w:sz w:val="22"/>
          <w:szCs w:val="22"/>
        </w:rPr>
        <w:t>cipants had not recently smoked) and s</w:t>
      </w:r>
      <w:r w:rsidR="0016533E" w:rsidRPr="00842993">
        <w:rPr>
          <w:rFonts w:ascii="Times New Roman" w:hAnsi="Times New Roman" w:cs="Times New Roman"/>
          <w:sz w:val="22"/>
          <w:szCs w:val="22"/>
        </w:rPr>
        <w:t xml:space="preserve">aliva and urine were </w:t>
      </w:r>
      <w:r w:rsidR="002E4190" w:rsidRPr="00842993">
        <w:rPr>
          <w:rFonts w:ascii="Times New Roman" w:hAnsi="Times New Roman" w:cs="Times New Roman"/>
          <w:sz w:val="22"/>
          <w:szCs w:val="22"/>
        </w:rPr>
        <w:t>provided</w:t>
      </w:r>
      <w:r w:rsidR="006D024D">
        <w:rPr>
          <w:rFonts w:ascii="Times New Roman" w:hAnsi="Times New Roman" w:cs="Times New Roman"/>
          <w:sz w:val="22"/>
          <w:szCs w:val="22"/>
        </w:rPr>
        <w:t xml:space="preserve"> </w:t>
      </w:r>
      <w:r w:rsidR="00555270" w:rsidRPr="00842993">
        <w:rPr>
          <w:rFonts w:ascii="Times New Roman" w:hAnsi="Times New Roman" w:cs="Times New Roman"/>
          <w:sz w:val="22"/>
          <w:szCs w:val="22"/>
        </w:rPr>
        <w:t>and sent to Advanced Bioanalytical Service (ABS) Laboratories Ltd</w:t>
      </w:r>
      <w:r w:rsidR="00C676D4" w:rsidRPr="00842993">
        <w:rPr>
          <w:rFonts w:ascii="Times New Roman" w:hAnsi="Times New Roman" w:cs="Times New Roman"/>
          <w:sz w:val="22"/>
          <w:szCs w:val="22"/>
        </w:rPr>
        <w:t>,</w:t>
      </w:r>
      <w:r w:rsidR="00F4584E">
        <w:rPr>
          <w:rFonts w:ascii="Times New Roman" w:hAnsi="Times New Roman" w:cs="Times New Roman"/>
          <w:sz w:val="22"/>
          <w:szCs w:val="22"/>
        </w:rPr>
        <w:t xml:space="preserve"> where they were</w:t>
      </w:r>
      <w:r w:rsidR="00C676D4" w:rsidRPr="00842993">
        <w:rPr>
          <w:rFonts w:ascii="Times New Roman" w:eastAsiaTheme="minorEastAsia" w:hAnsi="Times New Roman" w:cs="Times New Roman"/>
          <w:sz w:val="22"/>
          <w:szCs w:val="22"/>
          <w:lang w:eastAsia="en-GB"/>
        </w:rPr>
        <w:t xml:space="preserve"> frozen at -20°</w:t>
      </w:r>
      <w:r w:rsidR="00C778EA">
        <w:rPr>
          <w:rFonts w:ascii="Times New Roman" w:eastAsiaTheme="minorEastAsia" w:hAnsi="Times New Roman" w:cs="Times New Roman"/>
          <w:sz w:val="22"/>
          <w:szCs w:val="22"/>
          <w:lang w:eastAsia="en-GB"/>
        </w:rPr>
        <w:t xml:space="preserve"> until assayed</w:t>
      </w:r>
      <w:r w:rsidR="00C676D4" w:rsidRPr="00842993">
        <w:rPr>
          <w:rFonts w:ascii="Times New Roman" w:eastAsiaTheme="minorEastAsia" w:hAnsi="Times New Roman" w:cs="Times New Roman"/>
          <w:sz w:val="22"/>
          <w:szCs w:val="22"/>
          <w:lang w:eastAsia="en-GB"/>
        </w:rPr>
        <w:t>.  Saliva was assayed for cotinine</w:t>
      </w:r>
      <w:r w:rsidR="00061398">
        <w:rPr>
          <w:rFonts w:ascii="Times New Roman" w:eastAsiaTheme="minorEastAsia" w:hAnsi="Times New Roman" w:cs="Times New Roman"/>
          <w:sz w:val="22"/>
          <w:szCs w:val="22"/>
          <w:lang w:eastAsia="en-GB"/>
        </w:rPr>
        <w:t xml:space="preserve"> [</w:t>
      </w:r>
      <w:r w:rsidR="003E0AD3">
        <w:rPr>
          <w:rFonts w:ascii="Times New Roman" w:eastAsiaTheme="minorEastAsia" w:hAnsi="Times New Roman" w:cs="Times New Roman"/>
          <w:sz w:val="22"/>
          <w:szCs w:val="22"/>
          <w:lang w:eastAsia="en-GB"/>
        </w:rPr>
        <w:t>2</w:t>
      </w:r>
      <w:r w:rsidR="00005B67">
        <w:rPr>
          <w:rFonts w:ascii="Times New Roman" w:eastAsiaTheme="minorEastAsia" w:hAnsi="Times New Roman" w:cs="Times New Roman"/>
          <w:sz w:val="22"/>
          <w:szCs w:val="22"/>
          <w:lang w:eastAsia="en-GB"/>
        </w:rPr>
        <w:t>8</w:t>
      </w:r>
      <w:r w:rsidR="009119B6">
        <w:rPr>
          <w:rFonts w:ascii="Times New Roman" w:eastAsiaTheme="minorEastAsia" w:hAnsi="Times New Roman" w:cs="Times New Roman"/>
          <w:sz w:val="22"/>
          <w:szCs w:val="22"/>
          <w:lang w:eastAsia="en-GB"/>
        </w:rPr>
        <w:t>]</w:t>
      </w:r>
      <w:r w:rsidR="00C778EA">
        <w:rPr>
          <w:rFonts w:ascii="Times New Roman" w:eastAsiaTheme="minorEastAsia" w:hAnsi="Times New Roman" w:cs="Times New Roman"/>
          <w:sz w:val="22"/>
          <w:szCs w:val="22"/>
          <w:lang w:eastAsia="en-GB"/>
        </w:rPr>
        <w:t>,</w:t>
      </w:r>
      <w:r w:rsidR="00C676D4" w:rsidRPr="00842993">
        <w:rPr>
          <w:rFonts w:ascii="Times New Roman" w:hAnsi="Times New Roman" w:cs="Times New Roman"/>
          <w:sz w:val="22"/>
          <w:szCs w:val="22"/>
        </w:rPr>
        <w:t xml:space="preserve"> </w:t>
      </w:r>
      <w:r w:rsidR="00C676D4" w:rsidRPr="00842993">
        <w:rPr>
          <w:rFonts w:ascii="Times New Roman" w:eastAsiaTheme="minorEastAsia" w:hAnsi="Times New Roman" w:cs="Times New Roman"/>
          <w:sz w:val="22"/>
          <w:szCs w:val="22"/>
          <w:lang w:eastAsia="en-GB"/>
        </w:rPr>
        <w:t>to determine nicotine intake</w:t>
      </w:r>
      <w:r w:rsidR="00453540">
        <w:rPr>
          <w:rFonts w:ascii="Times New Roman" w:eastAsiaTheme="minorEastAsia" w:hAnsi="Times New Roman" w:cs="Times New Roman"/>
          <w:sz w:val="22"/>
          <w:szCs w:val="22"/>
          <w:lang w:eastAsia="en-GB"/>
        </w:rPr>
        <w:t>.</w:t>
      </w:r>
      <w:r w:rsidR="006D024D">
        <w:rPr>
          <w:rFonts w:ascii="Times New Roman" w:eastAsiaTheme="minorEastAsia" w:hAnsi="Times New Roman" w:cs="Times New Roman"/>
          <w:sz w:val="22"/>
          <w:szCs w:val="22"/>
          <w:lang w:eastAsia="en-GB"/>
        </w:rPr>
        <w:t xml:space="preserve"> </w:t>
      </w:r>
      <w:r w:rsidR="00453540">
        <w:rPr>
          <w:rFonts w:ascii="Times New Roman" w:eastAsiaTheme="minorEastAsia" w:hAnsi="Times New Roman" w:cs="Times New Roman"/>
          <w:sz w:val="22"/>
          <w:szCs w:val="22"/>
          <w:lang w:eastAsia="en-GB"/>
        </w:rPr>
        <w:t xml:space="preserve"> </w:t>
      </w:r>
      <w:r w:rsidR="00C676D4" w:rsidRPr="00842993">
        <w:rPr>
          <w:rFonts w:ascii="Times New Roman" w:eastAsiaTheme="minorEastAsia" w:hAnsi="Times New Roman" w:cs="Times New Roman"/>
          <w:sz w:val="22"/>
          <w:szCs w:val="22"/>
          <w:lang w:eastAsia="en-GB"/>
        </w:rPr>
        <w:t xml:space="preserve">Urine was </w:t>
      </w:r>
      <w:r w:rsidR="00C676D4" w:rsidRPr="00842993">
        <w:rPr>
          <w:rFonts w:ascii="Times New Roman" w:eastAsiaTheme="minorEastAsia" w:hAnsi="Times New Roman" w:cs="Times New Roman"/>
          <w:noProof/>
          <w:sz w:val="22"/>
          <w:szCs w:val="22"/>
          <w:lang w:eastAsia="en-GB"/>
        </w:rPr>
        <w:t xml:space="preserve">assayed </w:t>
      </w:r>
      <w:r w:rsidR="00C778EA">
        <w:rPr>
          <w:rFonts w:ascii="Times New Roman" w:eastAsiaTheme="minorEastAsia" w:hAnsi="Times New Roman" w:cs="Times New Roman"/>
          <w:sz w:val="22"/>
          <w:szCs w:val="22"/>
          <w:lang w:eastAsia="en-GB"/>
        </w:rPr>
        <w:t>for 3-HPMA to estimate</w:t>
      </w:r>
      <w:r w:rsidR="00C676D4" w:rsidRPr="00842993">
        <w:rPr>
          <w:rFonts w:ascii="Times New Roman" w:eastAsiaTheme="minorEastAsia" w:hAnsi="Times New Roman" w:cs="Times New Roman"/>
          <w:sz w:val="22"/>
          <w:szCs w:val="22"/>
          <w:lang w:eastAsia="en-GB"/>
        </w:rPr>
        <w:t xml:space="preserve"> </w:t>
      </w:r>
      <w:proofErr w:type="spellStart"/>
      <w:r w:rsidR="00124DB4">
        <w:rPr>
          <w:rFonts w:ascii="Times New Roman" w:eastAsiaTheme="minorEastAsia" w:hAnsi="Times New Roman" w:cs="Times New Roman"/>
          <w:sz w:val="22"/>
          <w:szCs w:val="22"/>
          <w:lang w:eastAsia="en-GB"/>
        </w:rPr>
        <w:t>acrolein</w:t>
      </w:r>
      <w:proofErr w:type="spellEnd"/>
      <w:r w:rsidR="00124DB4">
        <w:rPr>
          <w:rFonts w:ascii="Times New Roman" w:eastAsiaTheme="minorEastAsia" w:hAnsi="Times New Roman" w:cs="Times New Roman"/>
          <w:sz w:val="22"/>
          <w:szCs w:val="22"/>
          <w:lang w:eastAsia="en-GB"/>
        </w:rPr>
        <w:t xml:space="preserve"> exposure</w:t>
      </w:r>
      <w:r w:rsidR="00061398">
        <w:rPr>
          <w:rFonts w:ascii="Times New Roman" w:eastAsiaTheme="minorEastAsia" w:hAnsi="Times New Roman" w:cs="Times New Roman"/>
          <w:sz w:val="22"/>
          <w:szCs w:val="22"/>
          <w:lang w:eastAsia="en-GB"/>
        </w:rPr>
        <w:t xml:space="preserve"> [</w:t>
      </w:r>
      <w:r w:rsidR="003E0AD3">
        <w:rPr>
          <w:rFonts w:ascii="Times New Roman" w:eastAsiaTheme="minorEastAsia" w:hAnsi="Times New Roman" w:cs="Times New Roman"/>
          <w:sz w:val="22"/>
          <w:szCs w:val="22"/>
          <w:lang w:eastAsia="en-GB"/>
        </w:rPr>
        <w:t>24</w:t>
      </w:r>
      <w:r w:rsidR="00061398">
        <w:rPr>
          <w:rFonts w:ascii="Times New Roman" w:eastAsiaTheme="minorEastAsia" w:hAnsi="Times New Roman" w:cs="Times New Roman"/>
          <w:sz w:val="22"/>
          <w:szCs w:val="22"/>
          <w:lang w:eastAsia="en-GB"/>
        </w:rPr>
        <w:t>]</w:t>
      </w:r>
      <w:r w:rsidR="00EF5EF4">
        <w:rPr>
          <w:rFonts w:ascii="Times New Roman" w:eastAsiaTheme="minorEastAsia" w:hAnsi="Times New Roman" w:cs="Times New Roman"/>
          <w:sz w:val="22"/>
          <w:szCs w:val="22"/>
          <w:lang w:eastAsia="en-GB"/>
        </w:rPr>
        <w:t xml:space="preserve"> and </w:t>
      </w:r>
      <w:proofErr w:type="spellStart"/>
      <w:r w:rsidR="00EF5EF4">
        <w:rPr>
          <w:rFonts w:ascii="Times New Roman" w:eastAsiaTheme="minorEastAsia" w:hAnsi="Times New Roman" w:cs="Times New Roman"/>
          <w:sz w:val="22"/>
          <w:szCs w:val="22"/>
          <w:lang w:eastAsia="en-GB"/>
        </w:rPr>
        <w:t>formate</w:t>
      </w:r>
      <w:proofErr w:type="spellEnd"/>
      <w:r w:rsidR="00124DB4">
        <w:rPr>
          <w:rFonts w:ascii="Times New Roman" w:eastAsiaTheme="minorEastAsia" w:hAnsi="Times New Roman" w:cs="Times New Roman"/>
          <w:sz w:val="22"/>
          <w:szCs w:val="22"/>
          <w:lang w:eastAsia="en-GB"/>
        </w:rPr>
        <w:t xml:space="preserve"> </w:t>
      </w:r>
      <w:r w:rsidR="00F4584E">
        <w:rPr>
          <w:rFonts w:ascii="Times New Roman" w:eastAsiaTheme="minorEastAsia" w:hAnsi="Times New Roman" w:cs="Times New Roman"/>
          <w:sz w:val="22"/>
          <w:szCs w:val="22"/>
          <w:lang w:eastAsia="en-GB"/>
        </w:rPr>
        <w:t xml:space="preserve">for </w:t>
      </w:r>
      <w:r w:rsidR="00124DB4">
        <w:rPr>
          <w:rFonts w:ascii="Times New Roman" w:eastAsiaTheme="minorEastAsia" w:hAnsi="Times New Roman" w:cs="Times New Roman"/>
          <w:sz w:val="22"/>
          <w:szCs w:val="22"/>
          <w:lang w:eastAsia="en-GB"/>
        </w:rPr>
        <w:t>formaldehy</w:t>
      </w:r>
      <w:r w:rsidR="007406B9">
        <w:rPr>
          <w:rFonts w:ascii="Times New Roman" w:eastAsiaTheme="minorEastAsia" w:hAnsi="Times New Roman" w:cs="Times New Roman"/>
          <w:sz w:val="22"/>
          <w:szCs w:val="22"/>
          <w:lang w:eastAsia="en-GB"/>
        </w:rPr>
        <w:t>d</w:t>
      </w:r>
      <w:r w:rsidR="00124DB4">
        <w:rPr>
          <w:rFonts w:ascii="Times New Roman" w:eastAsiaTheme="minorEastAsia" w:hAnsi="Times New Roman" w:cs="Times New Roman"/>
          <w:sz w:val="22"/>
          <w:szCs w:val="22"/>
          <w:lang w:eastAsia="en-GB"/>
        </w:rPr>
        <w:t>e exposure</w:t>
      </w:r>
      <w:r w:rsidR="00061398">
        <w:rPr>
          <w:rFonts w:ascii="Times New Roman" w:eastAsiaTheme="minorEastAsia" w:hAnsi="Times New Roman" w:cs="Times New Roman"/>
          <w:sz w:val="22"/>
          <w:szCs w:val="22"/>
          <w:lang w:eastAsia="en-GB"/>
        </w:rPr>
        <w:t xml:space="preserve"> [</w:t>
      </w:r>
      <w:r w:rsidR="005C77DB">
        <w:rPr>
          <w:rFonts w:ascii="Times New Roman" w:eastAsiaTheme="minorEastAsia" w:hAnsi="Times New Roman" w:cs="Times New Roman"/>
          <w:sz w:val="22"/>
          <w:szCs w:val="22"/>
          <w:lang w:eastAsia="en-GB"/>
        </w:rPr>
        <w:t>29</w:t>
      </w:r>
      <w:r w:rsidR="00B565F7">
        <w:rPr>
          <w:rFonts w:ascii="Times New Roman" w:eastAsiaTheme="minorEastAsia" w:hAnsi="Times New Roman" w:cs="Times New Roman"/>
          <w:sz w:val="22"/>
          <w:szCs w:val="22"/>
          <w:lang w:eastAsia="en-GB"/>
        </w:rPr>
        <w:t>]</w:t>
      </w:r>
      <w:r w:rsidR="00124DB4">
        <w:rPr>
          <w:rFonts w:ascii="Times New Roman" w:eastAsiaTheme="minorEastAsia" w:hAnsi="Times New Roman" w:cs="Times New Roman"/>
          <w:sz w:val="22"/>
          <w:szCs w:val="22"/>
          <w:lang w:eastAsia="en-GB"/>
        </w:rPr>
        <w:t>.</w:t>
      </w:r>
      <w:r w:rsidR="001555E3">
        <w:rPr>
          <w:rFonts w:ascii="Times New Roman" w:eastAsiaTheme="minorEastAsia" w:hAnsi="Times New Roman" w:cs="Times New Roman"/>
          <w:sz w:val="22"/>
          <w:szCs w:val="22"/>
          <w:lang w:eastAsia="en-GB"/>
        </w:rPr>
        <w:t xml:space="preserve"> Both were </w:t>
      </w:r>
      <w:r w:rsidR="00B7420D">
        <w:rPr>
          <w:rFonts w:ascii="Times New Roman" w:eastAsiaTheme="minorEastAsia" w:hAnsi="Times New Roman" w:cs="Times New Roman"/>
          <w:sz w:val="22"/>
          <w:szCs w:val="22"/>
          <w:lang w:eastAsia="en-GB"/>
        </w:rPr>
        <w:t>adjusted for creatinine concentration</w:t>
      </w:r>
      <w:r w:rsidR="001555E3">
        <w:rPr>
          <w:rFonts w:ascii="Times New Roman" w:eastAsiaTheme="minorEastAsia" w:hAnsi="Times New Roman" w:cs="Times New Roman"/>
          <w:sz w:val="22"/>
          <w:szCs w:val="22"/>
          <w:lang w:eastAsia="en-GB"/>
        </w:rPr>
        <w:t>.</w:t>
      </w:r>
      <w:r w:rsidR="00124DB4">
        <w:rPr>
          <w:rFonts w:ascii="Times New Roman" w:eastAsiaTheme="minorEastAsia" w:hAnsi="Times New Roman" w:cs="Times New Roman"/>
          <w:sz w:val="22"/>
          <w:szCs w:val="22"/>
          <w:lang w:eastAsia="en-GB"/>
        </w:rPr>
        <w:t xml:space="preserve"> </w:t>
      </w:r>
      <w:r w:rsidR="00C676D4" w:rsidRPr="00842993">
        <w:rPr>
          <w:rFonts w:ascii="Times New Roman" w:eastAsiaTheme="minorEastAsia" w:hAnsi="Times New Roman" w:cs="Times New Roman"/>
          <w:sz w:val="22"/>
          <w:szCs w:val="22"/>
          <w:lang w:eastAsia="en-GB"/>
        </w:rPr>
        <w:t xml:space="preserve"> </w:t>
      </w:r>
    </w:p>
    <w:p w14:paraId="09FA2977" w14:textId="77777777" w:rsidR="00CA24A9" w:rsidRPr="00842993" w:rsidRDefault="00CA24A9" w:rsidP="00CA24A9">
      <w:pPr>
        <w:spacing w:line="480" w:lineRule="auto"/>
        <w:ind w:right="238"/>
        <w:jc w:val="both"/>
        <w:rPr>
          <w:rFonts w:ascii="Times New Roman" w:eastAsiaTheme="minorEastAsia" w:hAnsi="Times New Roman" w:cs="Times New Roman"/>
          <w:sz w:val="22"/>
          <w:szCs w:val="22"/>
          <w:lang w:eastAsia="en-GB"/>
        </w:rPr>
      </w:pPr>
    </w:p>
    <w:p w14:paraId="40081E10" w14:textId="2C4A9D02" w:rsidR="007D4E79" w:rsidRDefault="007D4E79" w:rsidP="00842993">
      <w:pPr>
        <w:spacing w:line="480" w:lineRule="auto"/>
        <w:jc w:val="both"/>
        <w:rPr>
          <w:rFonts w:ascii="Times New Roman" w:hAnsi="Times New Roman" w:cs="Times New Roman"/>
          <w:sz w:val="22"/>
          <w:szCs w:val="22"/>
        </w:rPr>
      </w:pPr>
      <w:r w:rsidRPr="00842993">
        <w:rPr>
          <w:rFonts w:ascii="Times New Roman" w:hAnsi="Times New Roman" w:cs="Times New Roman"/>
          <w:sz w:val="22"/>
          <w:szCs w:val="22"/>
        </w:rPr>
        <w:t>At all five visits,</w:t>
      </w:r>
      <w:r>
        <w:rPr>
          <w:rFonts w:ascii="Times New Roman" w:hAnsi="Times New Roman" w:cs="Times New Roman"/>
          <w:sz w:val="22"/>
          <w:szCs w:val="22"/>
        </w:rPr>
        <w:t xml:space="preserve"> participants reported their urge to vape, withdrawal symptoms and positive and negative effects over the last week.</w:t>
      </w:r>
      <w:r w:rsidRPr="00842993">
        <w:rPr>
          <w:rFonts w:ascii="Times New Roman" w:hAnsi="Times New Roman" w:cs="Times New Roman"/>
          <w:sz w:val="22"/>
          <w:szCs w:val="22"/>
        </w:rPr>
        <w:t xml:space="preserve"> </w:t>
      </w:r>
      <w:r w:rsidR="00291BE0" w:rsidRPr="00842993">
        <w:rPr>
          <w:rFonts w:ascii="Times New Roman" w:hAnsi="Times New Roman" w:cs="Times New Roman"/>
          <w:sz w:val="22"/>
          <w:szCs w:val="22"/>
        </w:rPr>
        <w:t>At the end of</w:t>
      </w:r>
      <w:r w:rsidR="00475EE3">
        <w:rPr>
          <w:rFonts w:ascii="Times New Roman" w:hAnsi="Times New Roman" w:cs="Times New Roman"/>
          <w:sz w:val="22"/>
          <w:szCs w:val="22"/>
        </w:rPr>
        <w:t xml:space="preserve"> each</w:t>
      </w:r>
      <w:r w:rsidR="00291BE0" w:rsidRPr="00842993">
        <w:rPr>
          <w:rFonts w:ascii="Times New Roman" w:hAnsi="Times New Roman" w:cs="Times New Roman"/>
          <w:sz w:val="22"/>
          <w:szCs w:val="22"/>
        </w:rPr>
        <w:t xml:space="preserve"> </w:t>
      </w:r>
      <w:r w:rsidR="00475EE3">
        <w:rPr>
          <w:rFonts w:ascii="Times New Roman" w:hAnsi="Times New Roman" w:cs="Times New Roman"/>
          <w:sz w:val="22"/>
          <w:szCs w:val="22"/>
        </w:rPr>
        <w:t xml:space="preserve">condition, </w:t>
      </w:r>
      <w:r w:rsidR="00D54115">
        <w:rPr>
          <w:rFonts w:ascii="Times New Roman" w:hAnsi="Times New Roman" w:cs="Times New Roman"/>
          <w:sz w:val="22"/>
          <w:szCs w:val="22"/>
        </w:rPr>
        <w:t xml:space="preserve">puffing and </w:t>
      </w:r>
      <w:r w:rsidR="00453540">
        <w:rPr>
          <w:rFonts w:ascii="Times New Roman" w:hAnsi="Times New Roman" w:cs="Times New Roman"/>
          <w:sz w:val="22"/>
          <w:szCs w:val="22"/>
        </w:rPr>
        <w:t xml:space="preserve">power </w:t>
      </w:r>
      <w:r w:rsidR="0016533E" w:rsidRPr="00842993">
        <w:rPr>
          <w:rFonts w:ascii="Times New Roman" w:hAnsi="Times New Roman" w:cs="Times New Roman"/>
          <w:sz w:val="22"/>
          <w:szCs w:val="22"/>
        </w:rPr>
        <w:t>data</w:t>
      </w:r>
      <w:r w:rsidR="008962B2" w:rsidRPr="00842993">
        <w:rPr>
          <w:rFonts w:ascii="Times New Roman" w:hAnsi="Times New Roman" w:cs="Times New Roman"/>
          <w:sz w:val="22"/>
          <w:szCs w:val="22"/>
        </w:rPr>
        <w:t xml:space="preserve"> was</w:t>
      </w:r>
      <w:r w:rsidR="0016533E" w:rsidRPr="00842993">
        <w:rPr>
          <w:rFonts w:ascii="Times New Roman" w:hAnsi="Times New Roman" w:cs="Times New Roman"/>
          <w:sz w:val="22"/>
          <w:szCs w:val="22"/>
        </w:rPr>
        <w:t xml:space="preserve"> downloaded</w:t>
      </w:r>
      <w:r w:rsidR="008962B2" w:rsidRPr="00842993">
        <w:rPr>
          <w:rFonts w:ascii="Times New Roman" w:hAnsi="Times New Roman" w:cs="Times New Roman"/>
          <w:sz w:val="22"/>
          <w:szCs w:val="22"/>
        </w:rPr>
        <w:t xml:space="preserve"> from </w:t>
      </w:r>
      <w:r w:rsidR="002E4190" w:rsidRPr="00842993">
        <w:rPr>
          <w:rFonts w:ascii="Times New Roman" w:hAnsi="Times New Roman" w:cs="Times New Roman"/>
          <w:sz w:val="22"/>
          <w:szCs w:val="22"/>
        </w:rPr>
        <w:t xml:space="preserve">the </w:t>
      </w:r>
      <w:r w:rsidR="00291BE0" w:rsidRPr="00842993">
        <w:rPr>
          <w:rFonts w:ascii="Times New Roman" w:hAnsi="Times New Roman" w:cs="Times New Roman"/>
          <w:sz w:val="22"/>
          <w:szCs w:val="22"/>
        </w:rPr>
        <w:t>device</w:t>
      </w:r>
      <w:r w:rsidR="008962B2" w:rsidRPr="00842993">
        <w:rPr>
          <w:rFonts w:ascii="Times New Roman" w:hAnsi="Times New Roman" w:cs="Times New Roman"/>
          <w:sz w:val="22"/>
          <w:szCs w:val="22"/>
        </w:rPr>
        <w:t xml:space="preserve"> using </w:t>
      </w:r>
      <w:proofErr w:type="spellStart"/>
      <w:r w:rsidR="008962B2" w:rsidRPr="00842993">
        <w:rPr>
          <w:rFonts w:ascii="Times New Roman" w:hAnsi="Times New Roman" w:cs="Times New Roman"/>
          <w:sz w:val="22"/>
          <w:szCs w:val="22"/>
        </w:rPr>
        <w:t>myVapor</w:t>
      </w:r>
      <w:proofErr w:type="spellEnd"/>
      <w:r w:rsidR="00291BE0" w:rsidRPr="00842993">
        <w:rPr>
          <w:rFonts w:ascii="Times New Roman" w:hAnsi="Times New Roman" w:cs="Times New Roman"/>
          <w:sz w:val="22"/>
          <w:szCs w:val="22"/>
        </w:rPr>
        <w:t>™</w:t>
      </w:r>
      <w:r w:rsidR="008962B2" w:rsidRPr="00842993">
        <w:rPr>
          <w:rFonts w:ascii="Times New Roman" w:hAnsi="Times New Roman" w:cs="Times New Roman"/>
          <w:sz w:val="22"/>
          <w:szCs w:val="22"/>
        </w:rPr>
        <w:t xml:space="preserve"> software</w:t>
      </w:r>
      <w:r w:rsidR="0016533E" w:rsidRPr="00842993">
        <w:rPr>
          <w:rFonts w:ascii="Times New Roman" w:hAnsi="Times New Roman" w:cs="Times New Roman"/>
          <w:sz w:val="22"/>
          <w:szCs w:val="22"/>
        </w:rPr>
        <w:t xml:space="preserve">. </w:t>
      </w:r>
      <w:r w:rsidR="00807B6A" w:rsidRPr="00842993">
        <w:rPr>
          <w:rFonts w:ascii="Times New Roman" w:hAnsi="Times New Roman" w:cs="Times New Roman"/>
          <w:sz w:val="22"/>
          <w:szCs w:val="22"/>
        </w:rPr>
        <w:t xml:space="preserve">Volume of e-liquid used was </w:t>
      </w:r>
      <w:r w:rsidR="0063317F">
        <w:rPr>
          <w:rFonts w:ascii="Times New Roman" w:hAnsi="Times New Roman" w:cs="Times New Roman"/>
          <w:sz w:val="22"/>
          <w:szCs w:val="22"/>
        </w:rPr>
        <w:t>recorded based on participant self-report</w:t>
      </w:r>
      <w:r w:rsidR="00D865A1">
        <w:rPr>
          <w:rFonts w:ascii="Times New Roman" w:hAnsi="Times New Roman" w:cs="Times New Roman"/>
          <w:sz w:val="22"/>
          <w:szCs w:val="22"/>
        </w:rPr>
        <w:t xml:space="preserve">.  </w:t>
      </w:r>
      <w:r w:rsidR="003C7AF6" w:rsidRPr="00842993">
        <w:rPr>
          <w:rFonts w:ascii="Times New Roman" w:hAnsi="Times New Roman" w:cs="Times New Roman"/>
          <w:sz w:val="22"/>
          <w:szCs w:val="22"/>
        </w:rPr>
        <w:t>At the end of the study participants were debriefed, thanked for their participation and compensated £60 for their time</w:t>
      </w:r>
      <w:r w:rsidR="00D865A1">
        <w:rPr>
          <w:rFonts w:ascii="Times New Roman" w:hAnsi="Times New Roman" w:cs="Times New Roman"/>
          <w:sz w:val="22"/>
          <w:szCs w:val="22"/>
        </w:rPr>
        <w:t xml:space="preserve"> and travel</w:t>
      </w:r>
      <w:r w:rsidR="00224F97">
        <w:rPr>
          <w:rFonts w:ascii="Times New Roman" w:hAnsi="Times New Roman" w:cs="Times New Roman"/>
          <w:sz w:val="22"/>
          <w:szCs w:val="22"/>
        </w:rPr>
        <w:t>.</w:t>
      </w:r>
    </w:p>
    <w:p w14:paraId="45760E4C" w14:textId="77777777" w:rsidR="00224F97" w:rsidRDefault="00224F97" w:rsidP="00842993">
      <w:pPr>
        <w:spacing w:line="480" w:lineRule="auto"/>
        <w:jc w:val="both"/>
        <w:rPr>
          <w:rFonts w:ascii="Times New Roman" w:hAnsi="Times New Roman" w:cs="Times New Roman"/>
          <w:sz w:val="22"/>
          <w:szCs w:val="22"/>
        </w:rPr>
      </w:pPr>
    </w:p>
    <w:p w14:paraId="4026AD55" w14:textId="77777777" w:rsidR="007D4E79" w:rsidRPr="00724A78" w:rsidRDefault="007D4E79" w:rsidP="007D4E79">
      <w:pPr>
        <w:spacing w:line="480" w:lineRule="auto"/>
        <w:jc w:val="both"/>
        <w:rPr>
          <w:rFonts w:ascii="Times New Roman" w:hAnsi="Times New Roman" w:cs="Times New Roman"/>
          <w:b/>
          <w:sz w:val="22"/>
          <w:szCs w:val="22"/>
        </w:rPr>
      </w:pPr>
      <w:r w:rsidRPr="00724A78">
        <w:rPr>
          <w:rFonts w:ascii="Times New Roman" w:hAnsi="Times New Roman" w:cs="Times New Roman"/>
          <w:b/>
          <w:sz w:val="22"/>
          <w:szCs w:val="22"/>
        </w:rPr>
        <w:lastRenderedPageBreak/>
        <w:t>Measures</w:t>
      </w:r>
    </w:p>
    <w:p w14:paraId="26D461B5" w14:textId="6FD4E2BF" w:rsidR="007D4E79" w:rsidRPr="00724A78" w:rsidRDefault="007D4E79" w:rsidP="007D4E79">
      <w:pPr>
        <w:spacing w:line="480" w:lineRule="auto"/>
        <w:jc w:val="both"/>
        <w:rPr>
          <w:rFonts w:ascii="Times New Roman" w:hAnsi="Times New Roman" w:cs="Times New Roman"/>
          <w:sz w:val="22"/>
          <w:szCs w:val="22"/>
        </w:rPr>
      </w:pPr>
      <w:r w:rsidRPr="00724A78">
        <w:rPr>
          <w:rFonts w:ascii="Times New Roman" w:hAnsi="Times New Roman" w:cs="Times New Roman"/>
          <w:sz w:val="22"/>
          <w:szCs w:val="22"/>
        </w:rPr>
        <w:t>Demographic and smoking and vaping related information were collected at baseline including: length of time since quitting smoking; e-cigarette device used; estimated daily volume of e-liquid consumed; nicotine</w:t>
      </w:r>
      <w:r w:rsidR="00187AD5" w:rsidRPr="00724A78">
        <w:rPr>
          <w:rFonts w:ascii="Times New Roman" w:hAnsi="Times New Roman" w:cs="Times New Roman"/>
          <w:sz w:val="22"/>
          <w:szCs w:val="22"/>
        </w:rPr>
        <w:t xml:space="preserve"> </w:t>
      </w:r>
      <w:r w:rsidR="001A594C" w:rsidRPr="00724A78">
        <w:rPr>
          <w:rFonts w:ascii="Times New Roman" w:hAnsi="Times New Roman" w:cs="Times New Roman"/>
          <w:sz w:val="22"/>
          <w:szCs w:val="22"/>
        </w:rPr>
        <w:t>concentration</w:t>
      </w:r>
      <w:r w:rsidR="00187AD5" w:rsidRPr="00724A78">
        <w:rPr>
          <w:rFonts w:ascii="Times New Roman" w:hAnsi="Times New Roman" w:cs="Times New Roman"/>
          <w:sz w:val="22"/>
          <w:szCs w:val="22"/>
        </w:rPr>
        <w:t>s</w:t>
      </w:r>
      <w:r w:rsidRPr="00724A78">
        <w:rPr>
          <w:rFonts w:ascii="Times New Roman" w:hAnsi="Times New Roman" w:cs="Times New Roman"/>
          <w:sz w:val="22"/>
          <w:szCs w:val="22"/>
        </w:rPr>
        <w:t xml:space="preserve"> used; self-rated add</w:t>
      </w:r>
      <w:r w:rsidR="00187AD5" w:rsidRPr="00724A78">
        <w:rPr>
          <w:rFonts w:ascii="Times New Roman" w:hAnsi="Times New Roman" w:cs="Times New Roman"/>
          <w:sz w:val="22"/>
          <w:szCs w:val="22"/>
        </w:rPr>
        <w:t>iction to e-cigarettes (0-100%); and</w:t>
      </w:r>
      <w:r w:rsidRPr="00724A78">
        <w:rPr>
          <w:rFonts w:ascii="Times New Roman" w:hAnsi="Times New Roman" w:cs="Times New Roman"/>
          <w:sz w:val="22"/>
          <w:szCs w:val="22"/>
        </w:rPr>
        <w:t xml:space="preserve"> E-cigarette dependence </w:t>
      </w:r>
      <w:r w:rsidR="00187AD5" w:rsidRPr="00724A78">
        <w:rPr>
          <w:rFonts w:ascii="Times New Roman" w:hAnsi="Times New Roman" w:cs="Times New Roman"/>
          <w:sz w:val="22"/>
          <w:szCs w:val="22"/>
        </w:rPr>
        <w:t>(</w:t>
      </w:r>
      <w:r w:rsidR="00224F97" w:rsidRPr="00724A78">
        <w:rPr>
          <w:rFonts w:ascii="Times New Roman" w:hAnsi="Times New Roman" w:cs="Times New Roman"/>
          <w:sz w:val="22"/>
          <w:szCs w:val="22"/>
        </w:rPr>
        <w:t>measured</w:t>
      </w:r>
      <w:r w:rsidRPr="00724A78">
        <w:rPr>
          <w:rFonts w:ascii="Times New Roman" w:hAnsi="Times New Roman" w:cs="Times New Roman"/>
          <w:sz w:val="22"/>
          <w:szCs w:val="22"/>
        </w:rPr>
        <w:t xml:space="preserve"> using the Penn State E-cigarette dependence index</w:t>
      </w:r>
      <w:r w:rsidR="00187AD5" w:rsidRPr="00724A78">
        <w:rPr>
          <w:rFonts w:ascii="Times New Roman" w:hAnsi="Times New Roman" w:cs="Times New Roman"/>
          <w:sz w:val="22"/>
          <w:szCs w:val="22"/>
        </w:rPr>
        <w:t>)</w:t>
      </w:r>
      <w:r w:rsidR="005C77DB" w:rsidRPr="00724A78">
        <w:rPr>
          <w:rFonts w:ascii="Times New Roman" w:hAnsi="Times New Roman" w:cs="Times New Roman"/>
          <w:sz w:val="22"/>
          <w:szCs w:val="22"/>
        </w:rPr>
        <w:t>[30]</w:t>
      </w:r>
      <w:r w:rsidRPr="00724A78">
        <w:rPr>
          <w:rFonts w:ascii="Times New Roman" w:hAnsi="Times New Roman" w:cs="Times New Roman"/>
          <w:sz w:val="22"/>
          <w:szCs w:val="22"/>
        </w:rPr>
        <w:t xml:space="preserve">. </w:t>
      </w:r>
    </w:p>
    <w:p w14:paraId="3CB52FB3" w14:textId="77777777" w:rsidR="007D4E79" w:rsidRPr="00724A78" w:rsidRDefault="007D4E79" w:rsidP="007D4E79">
      <w:pPr>
        <w:spacing w:line="480" w:lineRule="auto"/>
        <w:jc w:val="both"/>
        <w:rPr>
          <w:rFonts w:ascii="Times New Roman" w:hAnsi="Times New Roman" w:cs="Times New Roman"/>
          <w:sz w:val="22"/>
          <w:szCs w:val="22"/>
        </w:rPr>
      </w:pPr>
    </w:p>
    <w:p w14:paraId="0DF3C2CB" w14:textId="368B77B0" w:rsidR="007D4E79" w:rsidRPr="004E1F55" w:rsidRDefault="007D4E79" w:rsidP="007D4E79">
      <w:pPr>
        <w:spacing w:line="480" w:lineRule="auto"/>
        <w:jc w:val="both"/>
        <w:rPr>
          <w:rFonts w:ascii="Times New Roman" w:hAnsi="Times New Roman" w:cs="Times New Roman"/>
          <w:sz w:val="22"/>
          <w:szCs w:val="22"/>
        </w:rPr>
      </w:pPr>
      <w:r w:rsidRPr="00724A78">
        <w:rPr>
          <w:rFonts w:ascii="Times New Roman" w:hAnsi="Times New Roman" w:cs="Times New Roman"/>
          <w:sz w:val="22"/>
          <w:szCs w:val="22"/>
        </w:rPr>
        <w:t>At all five visits,</w:t>
      </w:r>
      <w:r w:rsidR="00F409B5" w:rsidRPr="00724A78">
        <w:rPr>
          <w:rFonts w:ascii="Times New Roman" w:hAnsi="Times New Roman" w:cs="Times New Roman"/>
          <w:sz w:val="22"/>
          <w:szCs w:val="22"/>
        </w:rPr>
        <w:t xml:space="preserve"> participants completed a modified version of the Mood and Physical Symptoms Scale [</w:t>
      </w:r>
      <w:r w:rsidR="0018418D" w:rsidRPr="00724A78">
        <w:rPr>
          <w:rFonts w:ascii="Times New Roman" w:hAnsi="Times New Roman" w:cs="Times New Roman"/>
          <w:sz w:val="22"/>
          <w:szCs w:val="22"/>
        </w:rPr>
        <w:t>31</w:t>
      </w:r>
      <w:r w:rsidR="00F409B5" w:rsidRPr="00724A78">
        <w:rPr>
          <w:rFonts w:ascii="Times New Roman" w:hAnsi="Times New Roman" w:cs="Times New Roman"/>
          <w:sz w:val="22"/>
          <w:szCs w:val="22"/>
        </w:rPr>
        <w:t>] for urge to vape and nicotine withdrawal symptoms.  Time spent with urges over the past week was rated from 0</w:t>
      </w:r>
      <w:r w:rsidRPr="00724A78">
        <w:rPr>
          <w:rFonts w:ascii="Times New Roman" w:hAnsi="Times New Roman" w:cs="Times New Roman"/>
          <w:sz w:val="22"/>
          <w:szCs w:val="22"/>
        </w:rPr>
        <w:t>=no</w:t>
      </w:r>
      <w:r w:rsidR="00F409B5" w:rsidRPr="00724A78">
        <w:rPr>
          <w:rFonts w:ascii="Times New Roman" w:hAnsi="Times New Roman" w:cs="Times New Roman"/>
          <w:sz w:val="22"/>
          <w:szCs w:val="22"/>
        </w:rPr>
        <w:t>t at all to 5</w:t>
      </w:r>
      <w:r w:rsidR="005A14FA" w:rsidRPr="00724A78">
        <w:rPr>
          <w:rFonts w:ascii="Times New Roman" w:hAnsi="Times New Roman" w:cs="Times New Roman"/>
          <w:sz w:val="22"/>
          <w:szCs w:val="22"/>
        </w:rPr>
        <w:t>=</w:t>
      </w:r>
      <w:r w:rsidR="00F409B5" w:rsidRPr="00724A78">
        <w:rPr>
          <w:rFonts w:ascii="Times New Roman" w:hAnsi="Times New Roman" w:cs="Times New Roman"/>
          <w:sz w:val="22"/>
          <w:szCs w:val="22"/>
        </w:rPr>
        <w:t>all the time</w:t>
      </w:r>
      <w:r w:rsidR="005A14FA" w:rsidRPr="00724A78">
        <w:rPr>
          <w:rFonts w:ascii="Times New Roman" w:hAnsi="Times New Roman" w:cs="Times New Roman"/>
          <w:sz w:val="22"/>
          <w:szCs w:val="22"/>
        </w:rPr>
        <w:t xml:space="preserve">, strength of urges </w:t>
      </w:r>
      <w:r w:rsidR="00F409B5" w:rsidRPr="00724A78">
        <w:rPr>
          <w:rFonts w:ascii="Times New Roman" w:hAnsi="Times New Roman" w:cs="Times New Roman"/>
          <w:sz w:val="22"/>
          <w:szCs w:val="22"/>
        </w:rPr>
        <w:t xml:space="preserve">were rated from 0=no urges to 5=extremely strong, and </w:t>
      </w:r>
      <w:r w:rsidRPr="00724A78">
        <w:rPr>
          <w:rFonts w:ascii="Times New Roman" w:hAnsi="Times New Roman" w:cs="Times New Roman"/>
          <w:sz w:val="22"/>
          <w:szCs w:val="22"/>
        </w:rPr>
        <w:t xml:space="preserve">withdrawal symptoms </w:t>
      </w:r>
      <w:r w:rsidR="00F409B5" w:rsidRPr="00724A78">
        <w:rPr>
          <w:rFonts w:ascii="Times New Roman" w:hAnsi="Times New Roman" w:cs="Times New Roman"/>
          <w:sz w:val="22"/>
          <w:szCs w:val="22"/>
        </w:rPr>
        <w:t>were rated from 1=not at all to 5</w:t>
      </w:r>
      <w:r w:rsidR="00187AD5" w:rsidRPr="00724A78">
        <w:rPr>
          <w:rFonts w:ascii="Times New Roman" w:hAnsi="Times New Roman" w:cs="Times New Roman"/>
          <w:sz w:val="22"/>
          <w:szCs w:val="22"/>
        </w:rPr>
        <w:t>=extremely</w:t>
      </w:r>
      <w:r w:rsidR="00F409B5" w:rsidRPr="00724A78">
        <w:rPr>
          <w:rFonts w:ascii="Times New Roman" w:hAnsi="Times New Roman" w:cs="Times New Roman"/>
          <w:sz w:val="22"/>
          <w:szCs w:val="22"/>
        </w:rPr>
        <w:t>.</w:t>
      </w:r>
      <w:r w:rsidRPr="00724A78">
        <w:rPr>
          <w:rFonts w:ascii="Times New Roman" w:hAnsi="Times New Roman" w:cs="Times New Roman"/>
          <w:sz w:val="22"/>
          <w:szCs w:val="22"/>
        </w:rPr>
        <w:t xml:space="preserve"> Positive (e.g. hit, satisfaction) and negative (nausea, headache) effects were rated on visual analogue scales (VAS) ranging from 0-100%; [</w:t>
      </w:r>
      <w:r w:rsidR="0018418D" w:rsidRPr="00724A78">
        <w:rPr>
          <w:rFonts w:ascii="Times New Roman" w:hAnsi="Times New Roman" w:cs="Times New Roman"/>
          <w:sz w:val="22"/>
          <w:szCs w:val="22"/>
        </w:rPr>
        <w:t>11</w:t>
      </w:r>
      <w:r w:rsidRPr="00724A78">
        <w:rPr>
          <w:rFonts w:ascii="Times New Roman" w:hAnsi="Times New Roman" w:cs="Times New Roman"/>
          <w:sz w:val="22"/>
          <w:szCs w:val="22"/>
        </w:rPr>
        <w:t xml:space="preserve">].  </w:t>
      </w:r>
    </w:p>
    <w:p w14:paraId="207866CF" w14:textId="5CF36F9A" w:rsidR="00B565F7" w:rsidRDefault="00B565F7" w:rsidP="00842993">
      <w:pPr>
        <w:spacing w:line="480" w:lineRule="auto"/>
        <w:jc w:val="both"/>
        <w:rPr>
          <w:rFonts w:ascii="Times New Roman" w:hAnsi="Times New Roman" w:cs="Times New Roman"/>
          <w:sz w:val="22"/>
          <w:szCs w:val="22"/>
        </w:rPr>
      </w:pPr>
    </w:p>
    <w:p w14:paraId="38F9DB21" w14:textId="3131DDC4" w:rsidR="00F535FB" w:rsidRDefault="00F535FB" w:rsidP="00842993">
      <w:pPr>
        <w:spacing w:line="480" w:lineRule="auto"/>
        <w:jc w:val="both"/>
        <w:rPr>
          <w:rFonts w:ascii="Times New Roman" w:hAnsi="Times New Roman" w:cs="Times New Roman"/>
          <w:b/>
          <w:sz w:val="22"/>
          <w:szCs w:val="22"/>
        </w:rPr>
      </w:pPr>
      <w:r w:rsidRPr="00E6477B">
        <w:rPr>
          <w:rFonts w:ascii="Times New Roman" w:hAnsi="Times New Roman" w:cs="Times New Roman"/>
          <w:b/>
          <w:sz w:val="22"/>
          <w:szCs w:val="22"/>
        </w:rPr>
        <w:t>Data Analysis</w:t>
      </w:r>
    </w:p>
    <w:p w14:paraId="44E84AD2" w14:textId="77777777" w:rsidR="00D54115" w:rsidRPr="000068A0" w:rsidRDefault="00D54115" w:rsidP="00D54115">
      <w:pPr>
        <w:spacing w:line="480" w:lineRule="auto"/>
        <w:ind w:left="60"/>
        <w:jc w:val="both"/>
        <w:rPr>
          <w:rFonts w:ascii="Times New Roman" w:hAnsi="Times New Roman" w:cs="Times New Roman"/>
          <w:b/>
          <w:sz w:val="22"/>
          <w:szCs w:val="22"/>
        </w:rPr>
      </w:pPr>
      <w:r w:rsidRPr="000068A0">
        <w:rPr>
          <w:rFonts w:ascii="Times New Roman" w:hAnsi="Times New Roman" w:cs="Times New Roman"/>
          <w:b/>
          <w:color w:val="000000"/>
          <w:sz w:val="22"/>
          <w:szCs w:val="22"/>
        </w:rPr>
        <w:t xml:space="preserve">Puffing Topography and User Behaviour </w:t>
      </w:r>
    </w:p>
    <w:p w14:paraId="685CA30E" w14:textId="5759BADA" w:rsidR="00D54115" w:rsidRPr="00095B95" w:rsidRDefault="00D54115" w:rsidP="00DF05FD">
      <w:pPr>
        <w:widowControl w:val="0"/>
        <w:autoSpaceDE w:val="0"/>
        <w:autoSpaceDN w:val="0"/>
        <w:adjustRightInd w:val="0"/>
        <w:spacing w:after="240" w:line="480" w:lineRule="auto"/>
        <w:ind w:left="60"/>
        <w:jc w:val="both"/>
        <w:rPr>
          <w:rFonts w:ascii="Times New Roman" w:hAnsi="Times New Roman" w:cs="Times New Roman"/>
          <w:color w:val="000000"/>
          <w:sz w:val="22"/>
          <w:szCs w:val="22"/>
        </w:rPr>
      </w:pPr>
      <w:r>
        <w:rPr>
          <w:rFonts w:ascii="Times New Roman" w:hAnsi="Times New Roman" w:cs="Times New Roman"/>
          <w:color w:val="000000"/>
          <w:sz w:val="22"/>
          <w:szCs w:val="22"/>
        </w:rPr>
        <w:t>Data from the first/last day of each condition was excluded from analysis as a) user behaviour on the first day is likely to reflect familiarity and adjustment to the device; and b) these represented condition change-over days.  Puffing data was screened and a</w:t>
      </w:r>
      <w:r w:rsidRPr="00842993">
        <w:rPr>
          <w:rFonts w:ascii="Times New Roman" w:hAnsi="Times New Roman" w:cs="Times New Roman"/>
          <w:color w:val="000000"/>
          <w:sz w:val="22"/>
          <w:szCs w:val="22"/>
        </w:rPr>
        <w:t xml:space="preserve">ll button presses &lt;1 second </w:t>
      </w:r>
      <w:r>
        <w:rPr>
          <w:rFonts w:ascii="Times New Roman" w:hAnsi="Times New Roman" w:cs="Times New Roman"/>
          <w:color w:val="000000"/>
          <w:sz w:val="22"/>
          <w:szCs w:val="22"/>
        </w:rPr>
        <w:t xml:space="preserve">(false button presses or non-starts) </w:t>
      </w:r>
      <w:r w:rsidRPr="00842993">
        <w:rPr>
          <w:rFonts w:ascii="Times New Roman" w:hAnsi="Times New Roman" w:cs="Times New Roman"/>
          <w:color w:val="000000"/>
          <w:sz w:val="22"/>
          <w:szCs w:val="22"/>
        </w:rPr>
        <w:t>were deleted.</w:t>
      </w:r>
      <w:r>
        <w:rPr>
          <w:rFonts w:ascii="Times New Roman" w:hAnsi="Times New Roman" w:cs="Times New Roman"/>
          <w:color w:val="000000"/>
          <w:sz w:val="22"/>
          <w:szCs w:val="22"/>
        </w:rPr>
        <w:t xml:space="preserve">  Puffing data from one participant was lost due to a problem with the device.  </w:t>
      </w:r>
      <w:r>
        <w:rPr>
          <w:rStyle w:val="CommentReference"/>
        </w:rPr>
        <w:t xml:space="preserve"> </w:t>
      </w:r>
      <w:r>
        <w:rPr>
          <w:rFonts w:ascii="Times New Roman" w:hAnsi="Times New Roman" w:cs="Times New Roman"/>
          <w:color w:val="000000"/>
          <w:sz w:val="22"/>
          <w:szCs w:val="22"/>
        </w:rPr>
        <w:t xml:space="preserve">The mean number of days per condition was 6 but due to appointment re-arrangements, occasional use of own device, or days of non-use (due to flights, hospital admission), this ranged from 4 to 13.  Averages (mean for voltage, daily puff number, puff duration and liquid consumption and median for IPI) for each condition were computed by summing the data points for that variable and dividing by </w:t>
      </w:r>
      <w:r w:rsidRPr="00095B95">
        <w:rPr>
          <w:rFonts w:ascii="Times New Roman" w:hAnsi="Times New Roman" w:cs="Times New Roman"/>
          <w:color w:val="000000"/>
          <w:sz w:val="22"/>
          <w:szCs w:val="22"/>
        </w:rPr>
        <w:t xml:space="preserve">the number of compliant days in that condition. </w:t>
      </w:r>
    </w:p>
    <w:p w14:paraId="4FC8C926" w14:textId="3DAFB9C7" w:rsidR="001317EE" w:rsidRDefault="00E71AC7" w:rsidP="00842993">
      <w:pPr>
        <w:spacing w:line="480" w:lineRule="auto"/>
        <w:jc w:val="both"/>
        <w:rPr>
          <w:rFonts w:ascii="Times New Roman" w:hAnsi="Times New Roman" w:cs="Times New Roman"/>
          <w:sz w:val="22"/>
          <w:szCs w:val="22"/>
        </w:rPr>
      </w:pPr>
      <w:r w:rsidRPr="00095B95">
        <w:rPr>
          <w:rFonts w:ascii="Times New Roman" w:hAnsi="Times New Roman" w:cs="Times New Roman"/>
          <w:sz w:val="22"/>
          <w:szCs w:val="22"/>
        </w:rPr>
        <w:t>Data were</w:t>
      </w:r>
      <w:r w:rsidR="001425E8" w:rsidRPr="00095B95">
        <w:rPr>
          <w:rFonts w:ascii="Times New Roman" w:hAnsi="Times New Roman" w:cs="Times New Roman"/>
          <w:sz w:val="22"/>
          <w:szCs w:val="22"/>
        </w:rPr>
        <w:t xml:space="preserve"> analysed using SPSS v.</w:t>
      </w:r>
      <w:r w:rsidR="002711DF" w:rsidRPr="00095B95">
        <w:rPr>
          <w:rFonts w:ascii="Times New Roman" w:hAnsi="Times New Roman" w:cs="Times New Roman"/>
          <w:sz w:val="22"/>
          <w:szCs w:val="22"/>
        </w:rPr>
        <w:t xml:space="preserve">21. </w:t>
      </w:r>
      <w:r w:rsidR="005D0110" w:rsidRPr="00095B95">
        <w:rPr>
          <w:rFonts w:ascii="Times New Roman" w:hAnsi="Times New Roman" w:cs="Times New Roman"/>
          <w:sz w:val="22"/>
          <w:szCs w:val="22"/>
        </w:rPr>
        <w:t xml:space="preserve">Distributions for most variables were normal although withdrawal symptoms, negative effects, 3-HPMA and </w:t>
      </w:r>
      <w:proofErr w:type="spellStart"/>
      <w:r w:rsidR="005D0110" w:rsidRPr="00095B95">
        <w:rPr>
          <w:rFonts w:ascii="Times New Roman" w:hAnsi="Times New Roman" w:cs="Times New Roman"/>
          <w:sz w:val="22"/>
          <w:szCs w:val="22"/>
        </w:rPr>
        <w:t>formate</w:t>
      </w:r>
      <w:proofErr w:type="spellEnd"/>
      <w:r w:rsidR="005D0110" w:rsidRPr="00095B95">
        <w:rPr>
          <w:rFonts w:ascii="Times New Roman" w:hAnsi="Times New Roman" w:cs="Times New Roman"/>
          <w:sz w:val="22"/>
          <w:szCs w:val="22"/>
        </w:rPr>
        <w:t xml:space="preserve"> were positively skewed. </w:t>
      </w:r>
      <w:r w:rsidR="00F535FB" w:rsidRPr="00095B95">
        <w:rPr>
          <w:rFonts w:ascii="Times New Roman" w:hAnsi="Times New Roman" w:cs="Times New Roman"/>
          <w:sz w:val="22"/>
          <w:szCs w:val="22"/>
        </w:rPr>
        <w:t>Repeated measures</w:t>
      </w:r>
      <w:r w:rsidR="00F535FB">
        <w:rPr>
          <w:rFonts w:ascii="Times New Roman" w:hAnsi="Times New Roman" w:cs="Times New Roman"/>
          <w:sz w:val="22"/>
          <w:szCs w:val="22"/>
        </w:rPr>
        <w:t xml:space="preserve"> Analysis of Varianc</w:t>
      </w:r>
      <w:r w:rsidR="009B090A">
        <w:rPr>
          <w:rFonts w:ascii="Times New Roman" w:hAnsi="Times New Roman" w:cs="Times New Roman"/>
          <w:sz w:val="22"/>
          <w:szCs w:val="22"/>
        </w:rPr>
        <w:t xml:space="preserve">e with nicotine </w:t>
      </w:r>
      <w:r w:rsidR="001A594C">
        <w:rPr>
          <w:rFonts w:ascii="Times New Roman" w:hAnsi="Times New Roman" w:cs="Times New Roman"/>
          <w:sz w:val="22"/>
          <w:szCs w:val="22"/>
        </w:rPr>
        <w:t>concentration</w:t>
      </w:r>
      <w:r w:rsidR="009B090A">
        <w:rPr>
          <w:rFonts w:ascii="Times New Roman" w:hAnsi="Times New Roman" w:cs="Times New Roman"/>
          <w:sz w:val="22"/>
          <w:szCs w:val="22"/>
        </w:rPr>
        <w:t xml:space="preserve"> (6 vs. 18</w:t>
      </w:r>
      <w:r w:rsidR="006D29CB">
        <w:rPr>
          <w:rFonts w:ascii="Times New Roman" w:hAnsi="Times New Roman" w:cs="Times New Roman"/>
          <w:sz w:val="22"/>
          <w:szCs w:val="22"/>
        </w:rPr>
        <w:t xml:space="preserve"> </w:t>
      </w:r>
      <w:r w:rsidR="009B090A">
        <w:rPr>
          <w:rFonts w:ascii="Times New Roman" w:hAnsi="Times New Roman" w:cs="Times New Roman"/>
          <w:sz w:val="22"/>
          <w:szCs w:val="22"/>
        </w:rPr>
        <w:t>mg/mL)</w:t>
      </w:r>
      <w:r w:rsidR="00F535FB">
        <w:rPr>
          <w:rFonts w:ascii="Times New Roman" w:hAnsi="Times New Roman" w:cs="Times New Roman"/>
          <w:sz w:val="22"/>
          <w:szCs w:val="22"/>
        </w:rPr>
        <w:t xml:space="preserve"> and</w:t>
      </w:r>
      <w:r w:rsidR="00D54115">
        <w:rPr>
          <w:rFonts w:ascii="Times New Roman" w:hAnsi="Times New Roman" w:cs="Times New Roman"/>
          <w:sz w:val="22"/>
          <w:szCs w:val="22"/>
        </w:rPr>
        <w:t xml:space="preserve"> power</w:t>
      </w:r>
      <w:r w:rsidR="00F535FB">
        <w:rPr>
          <w:rFonts w:ascii="Times New Roman" w:hAnsi="Times New Roman" w:cs="Times New Roman"/>
          <w:sz w:val="22"/>
          <w:szCs w:val="22"/>
        </w:rPr>
        <w:t xml:space="preserve"> type (fixed </w:t>
      </w:r>
      <w:r w:rsidR="00DD3C6F">
        <w:rPr>
          <w:rFonts w:ascii="Times New Roman" w:hAnsi="Times New Roman" w:cs="Times New Roman"/>
          <w:sz w:val="22"/>
          <w:szCs w:val="22"/>
        </w:rPr>
        <w:t xml:space="preserve">[F] </w:t>
      </w:r>
      <w:r w:rsidR="00D54115">
        <w:rPr>
          <w:rFonts w:ascii="Times New Roman" w:hAnsi="Times New Roman" w:cs="Times New Roman"/>
          <w:sz w:val="22"/>
          <w:szCs w:val="22"/>
        </w:rPr>
        <w:t xml:space="preserve">vs. </w:t>
      </w:r>
      <w:r w:rsidR="00D54115">
        <w:rPr>
          <w:rFonts w:ascii="Times New Roman" w:hAnsi="Times New Roman" w:cs="Times New Roman"/>
          <w:sz w:val="22"/>
          <w:szCs w:val="22"/>
        </w:rPr>
        <w:lastRenderedPageBreak/>
        <w:t>adjustable [A</w:t>
      </w:r>
      <w:r w:rsidR="00DD3C6F">
        <w:rPr>
          <w:rFonts w:ascii="Times New Roman" w:hAnsi="Times New Roman" w:cs="Times New Roman"/>
          <w:sz w:val="22"/>
          <w:szCs w:val="22"/>
        </w:rPr>
        <w:t>]</w:t>
      </w:r>
      <w:r w:rsidR="00F535FB">
        <w:rPr>
          <w:rFonts w:ascii="Times New Roman" w:hAnsi="Times New Roman" w:cs="Times New Roman"/>
          <w:sz w:val="22"/>
          <w:szCs w:val="22"/>
        </w:rPr>
        <w:t>) were conducted for each variable</w:t>
      </w:r>
      <w:r w:rsidR="00DB618D">
        <w:rPr>
          <w:rFonts w:ascii="Times New Roman" w:hAnsi="Times New Roman" w:cs="Times New Roman"/>
          <w:sz w:val="22"/>
          <w:szCs w:val="22"/>
        </w:rPr>
        <w:t xml:space="preserve"> (except voltage which was fixed in 2/4 conditions)</w:t>
      </w:r>
      <w:r w:rsidR="00F535FB">
        <w:rPr>
          <w:rFonts w:ascii="Times New Roman" w:hAnsi="Times New Roman" w:cs="Times New Roman"/>
          <w:sz w:val="22"/>
          <w:szCs w:val="22"/>
        </w:rPr>
        <w:t xml:space="preserve">. </w:t>
      </w:r>
      <w:r w:rsidR="002711DF">
        <w:rPr>
          <w:rFonts w:ascii="Times New Roman" w:hAnsi="Times New Roman" w:cs="Times New Roman"/>
          <w:sz w:val="22"/>
          <w:szCs w:val="22"/>
        </w:rPr>
        <w:t xml:space="preserve"> </w:t>
      </w:r>
      <w:r w:rsidRPr="00095B95">
        <w:rPr>
          <w:rFonts w:ascii="Times New Roman" w:hAnsi="Times New Roman" w:cs="Times New Roman"/>
          <w:sz w:val="22"/>
          <w:szCs w:val="22"/>
        </w:rPr>
        <w:t xml:space="preserve">Order of testing was added as an additional between-subjects variable but is only mentioned where a significant main effect or interaction was found.  </w:t>
      </w:r>
      <w:r w:rsidR="002711DF" w:rsidRPr="00095B95">
        <w:rPr>
          <w:rFonts w:ascii="Times New Roman" w:hAnsi="Times New Roman" w:cs="Times New Roman"/>
          <w:sz w:val="22"/>
          <w:szCs w:val="22"/>
        </w:rPr>
        <w:t>The accepted alpha level was p&lt;0.05.</w:t>
      </w:r>
      <w:r w:rsidR="00F535FB" w:rsidRPr="00095B95">
        <w:rPr>
          <w:rFonts w:ascii="Times New Roman" w:hAnsi="Times New Roman" w:cs="Times New Roman"/>
          <w:sz w:val="22"/>
          <w:szCs w:val="22"/>
        </w:rPr>
        <w:t xml:space="preserve"> </w:t>
      </w:r>
      <w:r w:rsidR="00864833" w:rsidRPr="00095B95">
        <w:rPr>
          <w:rFonts w:ascii="Times New Roman" w:hAnsi="Times New Roman" w:cs="Times New Roman"/>
          <w:sz w:val="22"/>
          <w:szCs w:val="22"/>
        </w:rPr>
        <w:t xml:space="preserve"> </w:t>
      </w:r>
      <w:r w:rsidR="002711DF" w:rsidRPr="00095B95">
        <w:rPr>
          <w:rFonts w:ascii="Times New Roman" w:hAnsi="Times New Roman" w:cs="Times New Roman"/>
          <w:sz w:val="22"/>
          <w:szCs w:val="22"/>
        </w:rPr>
        <w:t xml:space="preserve"> </w:t>
      </w:r>
      <w:r w:rsidR="00864833" w:rsidRPr="00095B95">
        <w:rPr>
          <w:rFonts w:ascii="Times New Roman" w:hAnsi="Times New Roman" w:cs="Times New Roman"/>
          <w:sz w:val="22"/>
          <w:szCs w:val="22"/>
        </w:rPr>
        <w:t>Where significant</w:t>
      </w:r>
      <w:r w:rsidR="00F535FB" w:rsidRPr="00095B95">
        <w:rPr>
          <w:rFonts w:ascii="Times New Roman" w:hAnsi="Times New Roman" w:cs="Times New Roman"/>
          <w:sz w:val="22"/>
          <w:szCs w:val="22"/>
        </w:rPr>
        <w:t xml:space="preserve"> </w:t>
      </w:r>
      <w:r w:rsidR="004E2A2F" w:rsidRPr="00095B95">
        <w:rPr>
          <w:rFonts w:ascii="Times New Roman" w:hAnsi="Times New Roman" w:cs="Times New Roman"/>
          <w:sz w:val="22"/>
          <w:szCs w:val="22"/>
        </w:rPr>
        <w:t>nicotine x</w:t>
      </w:r>
      <w:r w:rsidR="00D54115" w:rsidRPr="00095B95">
        <w:rPr>
          <w:rFonts w:ascii="Times New Roman" w:hAnsi="Times New Roman" w:cs="Times New Roman"/>
          <w:sz w:val="22"/>
          <w:szCs w:val="22"/>
        </w:rPr>
        <w:t xml:space="preserve"> power</w:t>
      </w:r>
      <w:r w:rsidR="004E2A2F" w:rsidRPr="00095B95">
        <w:rPr>
          <w:rFonts w:ascii="Times New Roman" w:hAnsi="Times New Roman" w:cs="Times New Roman"/>
          <w:sz w:val="22"/>
          <w:szCs w:val="22"/>
        </w:rPr>
        <w:t xml:space="preserve"> </w:t>
      </w:r>
      <w:r w:rsidR="00F535FB" w:rsidRPr="00095B95">
        <w:rPr>
          <w:rFonts w:ascii="Times New Roman" w:hAnsi="Times New Roman" w:cs="Times New Roman"/>
          <w:sz w:val="22"/>
          <w:szCs w:val="22"/>
        </w:rPr>
        <w:t>interactions were found, post-hoc paired sample t-tests were conducted</w:t>
      </w:r>
      <w:r w:rsidR="00D54115" w:rsidRPr="00095B95">
        <w:rPr>
          <w:rFonts w:ascii="Times New Roman" w:hAnsi="Times New Roman" w:cs="Times New Roman"/>
          <w:sz w:val="22"/>
          <w:szCs w:val="22"/>
        </w:rPr>
        <w:t xml:space="preserve"> (for 6F vs. 6A; 18F vs. 18A; 6F vs. 18A and 6A vs. 18A</w:t>
      </w:r>
      <w:r w:rsidR="00D6753B" w:rsidRPr="00095B95">
        <w:rPr>
          <w:rFonts w:ascii="Times New Roman" w:hAnsi="Times New Roman" w:cs="Times New Roman"/>
          <w:sz w:val="22"/>
          <w:szCs w:val="22"/>
        </w:rPr>
        <w:t xml:space="preserve"> as appropriate</w:t>
      </w:r>
      <w:r w:rsidR="00DD3C6F" w:rsidRPr="00095B95">
        <w:rPr>
          <w:rFonts w:ascii="Times New Roman" w:hAnsi="Times New Roman" w:cs="Times New Roman"/>
          <w:sz w:val="22"/>
          <w:szCs w:val="22"/>
        </w:rPr>
        <w:t>)</w:t>
      </w:r>
      <w:r w:rsidR="00F535FB" w:rsidRPr="00095B95">
        <w:rPr>
          <w:rFonts w:ascii="Times New Roman" w:hAnsi="Times New Roman" w:cs="Times New Roman"/>
          <w:sz w:val="22"/>
          <w:szCs w:val="22"/>
        </w:rPr>
        <w:t>.</w:t>
      </w:r>
      <w:r w:rsidR="002711DF" w:rsidRPr="00095B95">
        <w:rPr>
          <w:rFonts w:ascii="Times New Roman" w:hAnsi="Times New Roman" w:cs="Times New Roman"/>
          <w:sz w:val="22"/>
          <w:szCs w:val="22"/>
        </w:rPr>
        <w:t xml:space="preserve"> The </w:t>
      </w:r>
      <w:r w:rsidR="004E2A2F" w:rsidRPr="00095B95">
        <w:rPr>
          <w:rFonts w:ascii="Times New Roman" w:hAnsi="Times New Roman" w:cs="Times New Roman"/>
          <w:sz w:val="22"/>
          <w:szCs w:val="22"/>
        </w:rPr>
        <w:t xml:space="preserve">alpha level for post-hoc tests was subjected to a </w:t>
      </w:r>
      <w:r w:rsidR="00C357A7" w:rsidRPr="00095B95">
        <w:rPr>
          <w:rFonts w:ascii="Times New Roman" w:hAnsi="Times New Roman" w:cs="Times New Roman"/>
          <w:sz w:val="22"/>
          <w:szCs w:val="22"/>
        </w:rPr>
        <w:t>B</w:t>
      </w:r>
      <w:r w:rsidR="004E2A2F" w:rsidRPr="00095B95">
        <w:rPr>
          <w:rFonts w:ascii="Times New Roman" w:hAnsi="Times New Roman" w:cs="Times New Roman"/>
          <w:sz w:val="22"/>
          <w:szCs w:val="22"/>
        </w:rPr>
        <w:t xml:space="preserve">onferroni adjustment (0.05/4); the accepted </w:t>
      </w:r>
      <w:r w:rsidR="0004512C" w:rsidRPr="00095B95">
        <w:rPr>
          <w:rFonts w:ascii="Times New Roman" w:hAnsi="Times New Roman" w:cs="Times New Roman"/>
          <w:sz w:val="22"/>
          <w:szCs w:val="22"/>
        </w:rPr>
        <w:t>alpha level was therefore 0.01</w:t>
      </w:r>
      <w:r w:rsidR="004E2A2F" w:rsidRPr="00095B95">
        <w:rPr>
          <w:rFonts w:ascii="Times New Roman" w:hAnsi="Times New Roman" w:cs="Times New Roman"/>
          <w:sz w:val="22"/>
          <w:szCs w:val="22"/>
        </w:rPr>
        <w:t xml:space="preserve">. </w:t>
      </w:r>
      <w:r w:rsidR="005D0110" w:rsidRPr="00095B95">
        <w:rPr>
          <w:rFonts w:ascii="Times New Roman" w:hAnsi="Times New Roman" w:cs="Times New Roman"/>
          <w:sz w:val="22"/>
          <w:szCs w:val="22"/>
        </w:rPr>
        <w:t xml:space="preserve">ANOVA results for the interaction and main effects of nicotine </w:t>
      </w:r>
      <w:r w:rsidR="001A594C" w:rsidRPr="00095B95">
        <w:rPr>
          <w:rFonts w:ascii="Times New Roman" w:hAnsi="Times New Roman" w:cs="Times New Roman"/>
          <w:sz w:val="22"/>
          <w:szCs w:val="22"/>
        </w:rPr>
        <w:t>concentration</w:t>
      </w:r>
      <w:r w:rsidR="005D0110" w:rsidRPr="00095B95">
        <w:rPr>
          <w:rFonts w:ascii="Times New Roman" w:hAnsi="Times New Roman" w:cs="Times New Roman"/>
          <w:sz w:val="22"/>
          <w:szCs w:val="22"/>
        </w:rPr>
        <w:t xml:space="preserve"> </w:t>
      </w:r>
      <w:r w:rsidR="00D40F24" w:rsidRPr="00095B95">
        <w:rPr>
          <w:rFonts w:ascii="Times New Roman" w:hAnsi="Times New Roman" w:cs="Times New Roman"/>
          <w:sz w:val="22"/>
          <w:szCs w:val="22"/>
        </w:rPr>
        <w:t xml:space="preserve">and power are </w:t>
      </w:r>
      <w:r w:rsidR="005D0110" w:rsidRPr="00095B95">
        <w:rPr>
          <w:rFonts w:ascii="Times New Roman" w:hAnsi="Times New Roman" w:cs="Times New Roman"/>
          <w:sz w:val="22"/>
          <w:szCs w:val="22"/>
        </w:rPr>
        <w:t>displayed in Table 2.  Post hoc test statistics and any order effects are included in the</w:t>
      </w:r>
      <w:r w:rsidR="00D40F24" w:rsidRPr="00095B95">
        <w:rPr>
          <w:rFonts w:ascii="Times New Roman" w:hAnsi="Times New Roman" w:cs="Times New Roman"/>
          <w:sz w:val="22"/>
          <w:szCs w:val="22"/>
        </w:rPr>
        <w:t xml:space="preserve"> text below.</w:t>
      </w:r>
      <w:r w:rsidR="00D40F24">
        <w:rPr>
          <w:rFonts w:ascii="Times New Roman" w:hAnsi="Times New Roman" w:cs="Times New Roman"/>
          <w:sz w:val="22"/>
          <w:szCs w:val="22"/>
        </w:rPr>
        <w:t xml:space="preserve"> </w:t>
      </w:r>
    </w:p>
    <w:p w14:paraId="3D72E994" w14:textId="5E268758" w:rsidR="00AC78D0" w:rsidRDefault="00AC78D0" w:rsidP="00842993">
      <w:pPr>
        <w:spacing w:line="480" w:lineRule="auto"/>
        <w:jc w:val="both"/>
        <w:rPr>
          <w:rFonts w:ascii="Times New Roman" w:hAnsi="Times New Roman" w:cs="Times New Roman"/>
          <w:sz w:val="22"/>
          <w:szCs w:val="22"/>
        </w:rPr>
      </w:pPr>
    </w:p>
    <w:p w14:paraId="728D848D" w14:textId="77777777" w:rsidR="001425E8" w:rsidRPr="00842993" w:rsidRDefault="001425E8" w:rsidP="00842993">
      <w:pPr>
        <w:spacing w:line="480" w:lineRule="auto"/>
        <w:jc w:val="both"/>
        <w:rPr>
          <w:rFonts w:ascii="Times New Roman" w:hAnsi="Times New Roman" w:cs="Times New Roman"/>
          <w:sz w:val="22"/>
          <w:szCs w:val="22"/>
        </w:rPr>
      </w:pPr>
    </w:p>
    <w:p w14:paraId="5743E972" w14:textId="1F188E2C" w:rsidR="00AB7289" w:rsidRPr="00CF1DC8" w:rsidRDefault="00AB7289" w:rsidP="00842993">
      <w:pPr>
        <w:spacing w:line="480" w:lineRule="auto"/>
        <w:jc w:val="both"/>
        <w:rPr>
          <w:rFonts w:ascii="Times New Roman" w:hAnsi="Times New Roman" w:cs="Times New Roman"/>
          <w:b/>
          <w:sz w:val="22"/>
          <w:szCs w:val="22"/>
          <w:u w:val="single"/>
        </w:rPr>
      </w:pPr>
      <w:r w:rsidRPr="000068A0">
        <w:rPr>
          <w:rFonts w:ascii="Times New Roman" w:hAnsi="Times New Roman" w:cs="Times New Roman"/>
          <w:b/>
          <w:sz w:val="22"/>
          <w:szCs w:val="22"/>
          <w:u w:val="single"/>
        </w:rPr>
        <w:t>Results</w:t>
      </w:r>
    </w:p>
    <w:p w14:paraId="635FA82F" w14:textId="0476C588" w:rsidR="00AB7289" w:rsidRPr="00842993" w:rsidRDefault="00AB7289" w:rsidP="00842993">
      <w:pPr>
        <w:spacing w:line="480" w:lineRule="auto"/>
        <w:jc w:val="both"/>
        <w:rPr>
          <w:rFonts w:ascii="Times New Roman" w:hAnsi="Times New Roman" w:cs="Times New Roman"/>
          <w:sz w:val="22"/>
          <w:szCs w:val="22"/>
        </w:rPr>
      </w:pPr>
      <w:r w:rsidRPr="00842993">
        <w:rPr>
          <w:rFonts w:ascii="Times New Roman" w:hAnsi="Times New Roman" w:cs="Times New Roman"/>
          <w:sz w:val="22"/>
          <w:szCs w:val="22"/>
        </w:rPr>
        <w:t>Participants’ characteristics are shown in Table 1.</w:t>
      </w:r>
      <w:r w:rsidR="00BB54BA">
        <w:rPr>
          <w:rFonts w:ascii="Times New Roman" w:hAnsi="Times New Roman" w:cs="Times New Roman"/>
          <w:sz w:val="22"/>
          <w:szCs w:val="22"/>
        </w:rPr>
        <w:t xml:space="preserve"> On average, participants had quit smoking for 26 months, had a mean score of 12.05 on the Penn State E-cigarette dependence index and used a mean </w:t>
      </w:r>
      <w:r w:rsidR="008C06D0">
        <w:rPr>
          <w:rFonts w:ascii="Times New Roman" w:hAnsi="Times New Roman" w:cs="Times New Roman"/>
          <w:sz w:val="22"/>
          <w:szCs w:val="22"/>
        </w:rPr>
        <w:t>of 6.57 ml of e-liquid a day.  Baseline s</w:t>
      </w:r>
      <w:r w:rsidR="00BB54BA">
        <w:rPr>
          <w:rFonts w:ascii="Times New Roman" w:hAnsi="Times New Roman" w:cs="Times New Roman"/>
          <w:sz w:val="22"/>
          <w:szCs w:val="22"/>
        </w:rPr>
        <w:t>aliva</w:t>
      </w:r>
      <w:r w:rsidR="00EE513E">
        <w:rPr>
          <w:rFonts w:ascii="Times New Roman" w:hAnsi="Times New Roman" w:cs="Times New Roman"/>
          <w:sz w:val="22"/>
          <w:szCs w:val="22"/>
        </w:rPr>
        <w:t>ry cotinine levels ranged from 39 to 719</w:t>
      </w:r>
      <w:r w:rsidR="00D54115">
        <w:rPr>
          <w:rFonts w:ascii="Times New Roman" w:hAnsi="Times New Roman" w:cs="Times New Roman"/>
          <w:sz w:val="22"/>
          <w:szCs w:val="22"/>
        </w:rPr>
        <w:t xml:space="preserve"> ng/</w:t>
      </w:r>
      <w:proofErr w:type="spellStart"/>
      <w:r w:rsidR="00D54115">
        <w:rPr>
          <w:rFonts w:ascii="Times New Roman" w:hAnsi="Times New Roman" w:cs="Times New Roman"/>
          <w:sz w:val="22"/>
          <w:szCs w:val="22"/>
        </w:rPr>
        <w:t>mL</w:t>
      </w:r>
      <w:r w:rsidR="00BB54BA">
        <w:rPr>
          <w:rFonts w:ascii="Times New Roman" w:hAnsi="Times New Roman" w:cs="Times New Roman"/>
          <w:sz w:val="22"/>
          <w:szCs w:val="22"/>
        </w:rPr>
        <w:t>.</w:t>
      </w:r>
      <w:proofErr w:type="spellEnd"/>
      <w:r w:rsidR="00BB54BA">
        <w:rPr>
          <w:rFonts w:ascii="Times New Roman" w:hAnsi="Times New Roman" w:cs="Times New Roman"/>
          <w:sz w:val="22"/>
          <w:szCs w:val="22"/>
        </w:rPr>
        <w:t xml:space="preserve">   </w:t>
      </w:r>
    </w:p>
    <w:p w14:paraId="6FDA4271" w14:textId="5C0AA64C" w:rsidR="00CA24A9" w:rsidRDefault="00CA24A9" w:rsidP="00341293">
      <w:pPr>
        <w:widowControl w:val="0"/>
        <w:autoSpaceDE w:val="0"/>
        <w:autoSpaceDN w:val="0"/>
        <w:adjustRightInd w:val="0"/>
        <w:spacing w:line="480" w:lineRule="auto"/>
        <w:jc w:val="both"/>
        <w:rPr>
          <w:rFonts w:ascii="Times New Roman" w:hAnsi="Times New Roman" w:cs="Times New Roman"/>
          <w:color w:val="000000"/>
          <w:sz w:val="22"/>
          <w:szCs w:val="22"/>
        </w:rPr>
      </w:pPr>
    </w:p>
    <w:p w14:paraId="6AA86E98" w14:textId="1A65304E" w:rsidR="00341293" w:rsidRDefault="00341293" w:rsidP="00CA24A9">
      <w:pPr>
        <w:widowControl w:val="0"/>
        <w:autoSpaceDE w:val="0"/>
        <w:autoSpaceDN w:val="0"/>
        <w:adjustRightInd w:val="0"/>
        <w:spacing w:line="480" w:lineRule="auto"/>
        <w:ind w:left="62"/>
        <w:jc w:val="both"/>
        <w:rPr>
          <w:rFonts w:ascii="Times New Roman" w:hAnsi="Times New Roman" w:cs="Times New Roman"/>
          <w:b/>
          <w:color w:val="000000"/>
          <w:sz w:val="22"/>
          <w:szCs w:val="22"/>
        </w:rPr>
      </w:pPr>
      <w:r>
        <w:rPr>
          <w:rFonts w:ascii="Times New Roman" w:hAnsi="Times New Roman" w:cs="Times New Roman"/>
          <w:b/>
          <w:color w:val="000000"/>
          <w:sz w:val="22"/>
          <w:szCs w:val="22"/>
        </w:rPr>
        <w:t xml:space="preserve">Puffing Topography </w:t>
      </w:r>
    </w:p>
    <w:p w14:paraId="36FAD5E9" w14:textId="1A828FA8" w:rsidR="0017166B" w:rsidRPr="0017166B" w:rsidRDefault="0017166B" w:rsidP="0017166B">
      <w:pPr>
        <w:widowControl w:val="0"/>
        <w:autoSpaceDE w:val="0"/>
        <w:autoSpaceDN w:val="0"/>
        <w:adjustRightInd w:val="0"/>
        <w:spacing w:after="240" w:line="480" w:lineRule="auto"/>
        <w:ind w:left="62"/>
        <w:jc w:val="both"/>
        <w:rPr>
          <w:rFonts w:ascii="Times New Roman" w:hAnsi="Times New Roman" w:cs="Times New Roman"/>
          <w:color w:val="000000"/>
          <w:sz w:val="22"/>
          <w:szCs w:val="22"/>
        </w:rPr>
      </w:pPr>
      <w:r>
        <w:rPr>
          <w:rFonts w:ascii="Times New Roman" w:hAnsi="Times New Roman" w:cs="Times New Roman"/>
          <w:color w:val="000000"/>
          <w:sz w:val="22"/>
          <w:szCs w:val="22"/>
        </w:rPr>
        <w:t>Puffing topography data for each condition are presented in Table 2 (individual puffing patterns are available in the supplementary information).</w:t>
      </w:r>
    </w:p>
    <w:p w14:paraId="6AA7CE2E" w14:textId="1BA935F3" w:rsidR="00CE155E" w:rsidRPr="00341293" w:rsidRDefault="00CE155E" w:rsidP="00CA24A9">
      <w:pPr>
        <w:widowControl w:val="0"/>
        <w:autoSpaceDE w:val="0"/>
        <w:autoSpaceDN w:val="0"/>
        <w:adjustRightInd w:val="0"/>
        <w:spacing w:line="480" w:lineRule="auto"/>
        <w:ind w:left="62"/>
        <w:jc w:val="both"/>
        <w:rPr>
          <w:rFonts w:ascii="Times New Roman" w:hAnsi="Times New Roman" w:cs="Times New Roman"/>
          <w:i/>
          <w:color w:val="000000"/>
          <w:sz w:val="22"/>
          <w:szCs w:val="22"/>
        </w:rPr>
      </w:pPr>
      <w:r w:rsidRPr="00341293">
        <w:rPr>
          <w:rFonts w:ascii="Times New Roman" w:hAnsi="Times New Roman" w:cs="Times New Roman"/>
          <w:i/>
          <w:color w:val="000000"/>
          <w:sz w:val="22"/>
          <w:szCs w:val="22"/>
        </w:rPr>
        <w:t>Puff Number</w:t>
      </w:r>
    </w:p>
    <w:p w14:paraId="570544EA" w14:textId="52881938" w:rsidR="00CA24A9" w:rsidRPr="00095B95" w:rsidRDefault="008267F0" w:rsidP="001317EE">
      <w:pPr>
        <w:widowControl w:val="0"/>
        <w:autoSpaceDE w:val="0"/>
        <w:autoSpaceDN w:val="0"/>
        <w:adjustRightInd w:val="0"/>
        <w:spacing w:after="240" w:line="480" w:lineRule="auto"/>
        <w:ind w:left="62"/>
        <w:jc w:val="both"/>
        <w:rPr>
          <w:rFonts w:ascii="Times New Roman" w:hAnsi="Times New Roman" w:cs="Times New Roman"/>
          <w:color w:val="000000"/>
          <w:sz w:val="22"/>
          <w:szCs w:val="22"/>
        </w:rPr>
      </w:pPr>
      <w:r w:rsidRPr="00095B95">
        <w:rPr>
          <w:rFonts w:ascii="Times New Roman" w:hAnsi="Times New Roman" w:cs="Times New Roman"/>
          <w:color w:val="000000"/>
          <w:sz w:val="22"/>
          <w:szCs w:val="22"/>
        </w:rPr>
        <w:t>T</w:t>
      </w:r>
      <w:r w:rsidR="00B16DC6" w:rsidRPr="00095B95">
        <w:rPr>
          <w:rFonts w:ascii="Times New Roman" w:hAnsi="Times New Roman" w:cs="Times New Roman"/>
          <w:color w:val="000000"/>
          <w:sz w:val="22"/>
          <w:szCs w:val="22"/>
        </w:rPr>
        <w:t xml:space="preserve">he nicotine x power interaction was </w:t>
      </w:r>
      <w:r w:rsidRPr="00095B95">
        <w:rPr>
          <w:rFonts w:ascii="Times New Roman" w:hAnsi="Times New Roman" w:cs="Times New Roman"/>
          <w:color w:val="000000"/>
          <w:sz w:val="22"/>
          <w:szCs w:val="22"/>
        </w:rPr>
        <w:t xml:space="preserve">not </w:t>
      </w:r>
      <w:r w:rsidR="00C70C4F" w:rsidRPr="00095B95">
        <w:rPr>
          <w:rFonts w:ascii="Times New Roman" w:hAnsi="Times New Roman" w:cs="Times New Roman"/>
          <w:color w:val="000000"/>
          <w:sz w:val="22"/>
          <w:szCs w:val="22"/>
        </w:rPr>
        <w:t>statistically significant but</w:t>
      </w:r>
      <w:r w:rsidR="00B16DC6" w:rsidRPr="00095B95">
        <w:rPr>
          <w:rFonts w:ascii="Times New Roman" w:hAnsi="Times New Roman" w:cs="Times New Roman"/>
          <w:color w:val="000000"/>
          <w:sz w:val="22"/>
          <w:szCs w:val="22"/>
        </w:rPr>
        <w:t xml:space="preserve"> </w:t>
      </w:r>
      <w:r w:rsidR="0017166B" w:rsidRPr="00095B95">
        <w:rPr>
          <w:rFonts w:ascii="Times New Roman" w:hAnsi="Times New Roman" w:cs="Times New Roman"/>
          <w:color w:val="000000"/>
          <w:sz w:val="22"/>
          <w:szCs w:val="22"/>
        </w:rPr>
        <w:t xml:space="preserve">there was a main effect of nicotine with a higher </w:t>
      </w:r>
      <w:r w:rsidR="00C70C4F" w:rsidRPr="00095B95">
        <w:rPr>
          <w:rFonts w:ascii="Times New Roman" w:hAnsi="Times New Roman" w:cs="Times New Roman"/>
          <w:color w:val="000000"/>
          <w:sz w:val="22"/>
          <w:szCs w:val="22"/>
        </w:rPr>
        <w:t xml:space="preserve">puff number </w:t>
      </w:r>
      <w:r w:rsidR="00BC5A71" w:rsidRPr="00095B95">
        <w:rPr>
          <w:rFonts w:ascii="Times New Roman" w:hAnsi="Times New Roman" w:cs="Times New Roman"/>
          <w:color w:val="000000"/>
          <w:sz w:val="22"/>
          <w:szCs w:val="22"/>
        </w:rPr>
        <w:t>in the 6</w:t>
      </w:r>
      <w:r w:rsidR="00506359" w:rsidRPr="00095B95">
        <w:rPr>
          <w:rFonts w:ascii="Times New Roman" w:hAnsi="Times New Roman" w:cs="Times New Roman"/>
          <w:color w:val="000000"/>
          <w:sz w:val="22"/>
          <w:szCs w:val="22"/>
        </w:rPr>
        <w:t xml:space="preserve"> vs 18</w:t>
      </w:r>
      <w:r w:rsidR="006D29CB" w:rsidRPr="00095B95">
        <w:rPr>
          <w:rFonts w:ascii="Times New Roman" w:hAnsi="Times New Roman" w:cs="Times New Roman"/>
          <w:color w:val="000000"/>
          <w:sz w:val="22"/>
          <w:szCs w:val="22"/>
        </w:rPr>
        <w:t xml:space="preserve"> mg/mL</w:t>
      </w:r>
      <w:r w:rsidR="00506359" w:rsidRPr="00095B95">
        <w:rPr>
          <w:rFonts w:ascii="Times New Roman" w:hAnsi="Times New Roman" w:cs="Times New Roman"/>
          <w:color w:val="000000"/>
          <w:sz w:val="22"/>
          <w:szCs w:val="22"/>
        </w:rPr>
        <w:t xml:space="preserve"> </w:t>
      </w:r>
      <w:r w:rsidR="00E6477B" w:rsidRPr="00095B95">
        <w:rPr>
          <w:rFonts w:ascii="Times New Roman" w:hAnsi="Times New Roman" w:cs="Times New Roman"/>
          <w:color w:val="000000"/>
          <w:sz w:val="22"/>
          <w:szCs w:val="22"/>
        </w:rPr>
        <w:t xml:space="preserve">nicotine </w:t>
      </w:r>
      <w:r w:rsidR="00C44075" w:rsidRPr="00095B95">
        <w:rPr>
          <w:rFonts w:ascii="Times New Roman" w:hAnsi="Times New Roman" w:cs="Times New Roman"/>
          <w:color w:val="000000"/>
          <w:sz w:val="22"/>
          <w:szCs w:val="22"/>
        </w:rPr>
        <w:t>condition</w:t>
      </w:r>
      <w:r w:rsidR="00C70C4F" w:rsidRPr="00095B95">
        <w:rPr>
          <w:rFonts w:ascii="Times New Roman" w:hAnsi="Times New Roman" w:cs="Times New Roman"/>
          <w:color w:val="000000"/>
          <w:sz w:val="22"/>
          <w:szCs w:val="22"/>
        </w:rPr>
        <w:t>.</w:t>
      </w:r>
      <w:r w:rsidR="00506359" w:rsidRPr="00095B95">
        <w:rPr>
          <w:rFonts w:ascii="Times New Roman" w:hAnsi="Times New Roman" w:cs="Times New Roman"/>
          <w:color w:val="000000"/>
          <w:sz w:val="22"/>
          <w:szCs w:val="22"/>
        </w:rPr>
        <w:t xml:space="preserve"> </w:t>
      </w:r>
    </w:p>
    <w:p w14:paraId="6AD95813" w14:textId="45B779E4" w:rsidR="004E2A2F" w:rsidRPr="00095B95" w:rsidRDefault="004E2A2F" w:rsidP="00CA24A9">
      <w:pPr>
        <w:widowControl w:val="0"/>
        <w:autoSpaceDE w:val="0"/>
        <w:autoSpaceDN w:val="0"/>
        <w:adjustRightInd w:val="0"/>
        <w:spacing w:line="480" w:lineRule="auto"/>
        <w:ind w:left="62"/>
        <w:jc w:val="both"/>
        <w:rPr>
          <w:rFonts w:ascii="Times New Roman" w:hAnsi="Times New Roman" w:cs="Times New Roman"/>
          <w:i/>
          <w:color w:val="000000"/>
          <w:sz w:val="22"/>
          <w:szCs w:val="22"/>
        </w:rPr>
      </w:pPr>
      <w:r w:rsidRPr="00095B95">
        <w:rPr>
          <w:rFonts w:ascii="Times New Roman" w:hAnsi="Times New Roman" w:cs="Times New Roman"/>
          <w:i/>
          <w:color w:val="000000"/>
          <w:sz w:val="22"/>
          <w:szCs w:val="22"/>
        </w:rPr>
        <w:t>Puff Duration</w:t>
      </w:r>
    </w:p>
    <w:p w14:paraId="20482B20" w14:textId="78C55696" w:rsidR="00C44075" w:rsidRDefault="008267F0" w:rsidP="001317EE">
      <w:pPr>
        <w:widowControl w:val="0"/>
        <w:autoSpaceDE w:val="0"/>
        <w:autoSpaceDN w:val="0"/>
        <w:adjustRightInd w:val="0"/>
        <w:spacing w:after="240" w:line="480" w:lineRule="auto"/>
        <w:ind w:left="62"/>
        <w:jc w:val="both"/>
        <w:rPr>
          <w:rFonts w:ascii="Times New Roman" w:hAnsi="Times New Roman" w:cs="Times New Roman"/>
          <w:color w:val="000000"/>
          <w:sz w:val="22"/>
          <w:szCs w:val="22"/>
        </w:rPr>
      </w:pPr>
      <w:r w:rsidRPr="00095B95">
        <w:rPr>
          <w:rFonts w:ascii="Times New Roman" w:hAnsi="Times New Roman" w:cs="Times New Roman"/>
          <w:color w:val="000000"/>
          <w:sz w:val="22"/>
          <w:szCs w:val="22"/>
        </w:rPr>
        <w:t xml:space="preserve">There was </w:t>
      </w:r>
      <w:r w:rsidR="004E2A2F" w:rsidRPr="00095B95">
        <w:rPr>
          <w:rFonts w:ascii="Times New Roman" w:hAnsi="Times New Roman" w:cs="Times New Roman"/>
          <w:color w:val="000000"/>
          <w:sz w:val="22"/>
          <w:szCs w:val="22"/>
        </w:rPr>
        <w:t xml:space="preserve">a significant nicotine </w:t>
      </w:r>
      <w:r w:rsidR="001A594C" w:rsidRPr="00095B95">
        <w:rPr>
          <w:rFonts w:ascii="Times New Roman" w:hAnsi="Times New Roman" w:cs="Times New Roman"/>
          <w:color w:val="000000"/>
          <w:sz w:val="22"/>
          <w:szCs w:val="22"/>
        </w:rPr>
        <w:t>concentration</w:t>
      </w:r>
      <w:r w:rsidR="004E2A2F" w:rsidRPr="00095B95">
        <w:rPr>
          <w:rFonts w:ascii="Times New Roman" w:hAnsi="Times New Roman" w:cs="Times New Roman"/>
          <w:color w:val="000000"/>
          <w:sz w:val="22"/>
          <w:szCs w:val="22"/>
        </w:rPr>
        <w:t xml:space="preserve"> x </w:t>
      </w:r>
      <w:r w:rsidR="009814C8" w:rsidRPr="00095B95">
        <w:rPr>
          <w:rFonts w:ascii="Times New Roman" w:hAnsi="Times New Roman" w:cs="Times New Roman"/>
          <w:color w:val="000000"/>
          <w:sz w:val="22"/>
          <w:szCs w:val="22"/>
        </w:rPr>
        <w:t xml:space="preserve">power </w:t>
      </w:r>
      <w:r w:rsidR="004E2A2F" w:rsidRPr="00095B95">
        <w:rPr>
          <w:rFonts w:ascii="Times New Roman" w:hAnsi="Times New Roman" w:cs="Times New Roman"/>
          <w:color w:val="000000"/>
          <w:sz w:val="22"/>
          <w:szCs w:val="22"/>
        </w:rPr>
        <w:t>interaction</w:t>
      </w:r>
      <w:r w:rsidR="00C70C4F" w:rsidRPr="00095B95">
        <w:rPr>
          <w:rFonts w:ascii="Times New Roman" w:hAnsi="Times New Roman" w:cs="Times New Roman"/>
          <w:color w:val="000000"/>
          <w:sz w:val="22"/>
          <w:szCs w:val="22"/>
        </w:rPr>
        <w:t xml:space="preserve">. </w:t>
      </w:r>
      <w:r w:rsidR="00C44075" w:rsidRPr="00095B95">
        <w:rPr>
          <w:rFonts w:ascii="Times New Roman" w:hAnsi="Times New Roman" w:cs="Times New Roman"/>
          <w:color w:val="000000"/>
          <w:sz w:val="22"/>
          <w:szCs w:val="22"/>
        </w:rPr>
        <w:t>P</w:t>
      </w:r>
      <w:r w:rsidR="000835D2" w:rsidRPr="00095B95">
        <w:rPr>
          <w:rFonts w:ascii="Times New Roman" w:hAnsi="Times New Roman" w:cs="Times New Roman"/>
          <w:color w:val="000000"/>
          <w:sz w:val="22"/>
          <w:szCs w:val="22"/>
        </w:rPr>
        <w:t xml:space="preserve">uff duration was </w:t>
      </w:r>
      <w:r w:rsidR="00B835A8" w:rsidRPr="00095B95">
        <w:rPr>
          <w:rFonts w:ascii="Times New Roman" w:hAnsi="Times New Roman" w:cs="Times New Roman"/>
          <w:color w:val="000000"/>
          <w:sz w:val="22"/>
          <w:szCs w:val="22"/>
        </w:rPr>
        <w:t xml:space="preserve">significantly </w:t>
      </w:r>
      <w:r w:rsidR="000835D2" w:rsidRPr="00095B95">
        <w:rPr>
          <w:rFonts w:ascii="Times New Roman" w:hAnsi="Times New Roman" w:cs="Times New Roman"/>
          <w:color w:val="000000"/>
          <w:sz w:val="22"/>
          <w:szCs w:val="22"/>
        </w:rPr>
        <w:t>longer with 6</w:t>
      </w:r>
      <w:r w:rsidR="009B090A" w:rsidRPr="00095B95">
        <w:rPr>
          <w:rFonts w:ascii="Times New Roman" w:hAnsi="Times New Roman" w:cs="Times New Roman"/>
          <w:color w:val="000000"/>
          <w:sz w:val="22"/>
          <w:szCs w:val="22"/>
        </w:rPr>
        <w:t xml:space="preserve"> compared with 18</w:t>
      </w:r>
      <w:r w:rsidR="006D29CB" w:rsidRPr="00095B95">
        <w:rPr>
          <w:rFonts w:ascii="Times New Roman" w:hAnsi="Times New Roman" w:cs="Times New Roman"/>
          <w:color w:val="000000"/>
          <w:sz w:val="22"/>
          <w:szCs w:val="22"/>
        </w:rPr>
        <w:t xml:space="preserve"> </w:t>
      </w:r>
      <w:r w:rsidR="009B090A" w:rsidRPr="00095B95">
        <w:rPr>
          <w:rFonts w:ascii="Times New Roman" w:hAnsi="Times New Roman" w:cs="Times New Roman"/>
          <w:color w:val="000000"/>
          <w:sz w:val="22"/>
          <w:szCs w:val="22"/>
        </w:rPr>
        <w:t>mg/mL</w:t>
      </w:r>
      <w:r w:rsidR="00084706" w:rsidRPr="00095B95">
        <w:rPr>
          <w:rFonts w:ascii="Times New Roman" w:hAnsi="Times New Roman" w:cs="Times New Roman"/>
          <w:color w:val="000000"/>
          <w:sz w:val="22"/>
          <w:szCs w:val="22"/>
        </w:rPr>
        <w:t xml:space="preserve"> nico</w:t>
      </w:r>
      <w:r w:rsidR="00A1462D" w:rsidRPr="00095B95">
        <w:rPr>
          <w:rFonts w:ascii="Times New Roman" w:hAnsi="Times New Roman" w:cs="Times New Roman"/>
          <w:color w:val="000000"/>
          <w:sz w:val="22"/>
          <w:szCs w:val="22"/>
        </w:rPr>
        <w:t>tine e-liquid</w:t>
      </w:r>
      <w:r w:rsidR="00207609" w:rsidRPr="00095B95">
        <w:rPr>
          <w:rFonts w:ascii="Times New Roman" w:hAnsi="Times New Roman" w:cs="Times New Roman"/>
          <w:color w:val="000000"/>
          <w:sz w:val="22"/>
          <w:szCs w:val="22"/>
        </w:rPr>
        <w:t xml:space="preserve"> in the fixed </w:t>
      </w:r>
      <w:r w:rsidR="009814C8" w:rsidRPr="00095B95">
        <w:rPr>
          <w:rFonts w:ascii="Times New Roman" w:hAnsi="Times New Roman" w:cs="Times New Roman"/>
          <w:color w:val="000000"/>
          <w:sz w:val="22"/>
          <w:szCs w:val="22"/>
        </w:rPr>
        <w:t xml:space="preserve">power </w:t>
      </w:r>
      <w:r w:rsidR="00207609" w:rsidRPr="00095B95">
        <w:rPr>
          <w:rFonts w:ascii="Times New Roman" w:hAnsi="Times New Roman" w:cs="Times New Roman"/>
          <w:color w:val="000000"/>
          <w:sz w:val="22"/>
          <w:szCs w:val="22"/>
        </w:rPr>
        <w:t xml:space="preserve">condition </w:t>
      </w:r>
      <w:r w:rsidR="00A1462D" w:rsidRPr="00095B95">
        <w:rPr>
          <w:rFonts w:ascii="Times New Roman" w:hAnsi="Times New Roman" w:cs="Times New Roman"/>
          <w:color w:val="000000"/>
          <w:sz w:val="22"/>
          <w:szCs w:val="22"/>
        </w:rPr>
        <w:t>(6F vs. 18F: t</w:t>
      </w:r>
      <w:r w:rsidR="00A1462D" w:rsidRPr="00095B95">
        <w:rPr>
          <w:rFonts w:ascii="Times New Roman" w:hAnsi="Times New Roman" w:cs="Times New Roman"/>
          <w:color w:val="000000"/>
          <w:sz w:val="22"/>
          <w:szCs w:val="22"/>
          <w:vertAlign w:val="subscript"/>
        </w:rPr>
        <w:t>18</w:t>
      </w:r>
      <w:r w:rsidR="00B835A8" w:rsidRPr="00095B95">
        <w:rPr>
          <w:rFonts w:ascii="Times New Roman" w:hAnsi="Times New Roman" w:cs="Times New Roman"/>
          <w:color w:val="000000"/>
          <w:sz w:val="22"/>
          <w:szCs w:val="22"/>
        </w:rPr>
        <w:t xml:space="preserve"> = 5.26,</w:t>
      </w:r>
      <w:r w:rsidR="00084706" w:rsidRPr="00095B95">
        <w:rPr>
          <w:rFonts w:ascii="Times New Roman" w:hAnsi="Times New Roman" w:cs="Times New Roman"/>
          <w:color w:val="000000"/>
          <w:sz w:val="22"/>
          <w:szCs w:val="22"/>
        </w:rPr>
        <w:t xml:space="preserve"> p</w:t>
      </w:r>
      <w:r w:rsidR="00A1462D" w:rsidRPr="00095B95">
        <w:rPr>
          <w:rFonts w:ascii="Times New Roman" w:hAnsi="Times New Roman" w:cs="Times New Roman"/>
          <w:color w:val="000000"/>
          <w:sz w:val="22"/>
          <w:szCs w:val="22"/>
        </w:rPr>
        <w:t xml:space="preserve"> </w:t>
      </w:r>
      <w:r w:rsidR="00084706" w:rsidRPr="00095B95">
        <w:rPr>
          <w:rFonts w:ascii="Times New Roman" w:hAnsi="Times New Roman" w:cs="Times New Roman"/>
          <w:color w:val="000000"/>
          <w:sz w:val="22"/>
          <w:szCs w:val="22"/>
        </w:rPr>
        <w:t>=</w:t>
      </w:r>
      <w:r w:rsidR="00A1462D" w:rsidRPr="00095B95">
        <w:rPr>
          <w:rFonts w:ascii="Times New Roman" w:hAnsi="Times New Roman" w:cs="Times New Roman"/>
          <w:color w:val="000000"/>
          <w:sz w:val="22"/>
          <w:szCs w:val="22"/>
        </w:rPr>
        <w:t xml:space="preserve"> </w:t>
      </w:r>
      <w:r w:rsidR="00084706" w:rsidRPr="00095B95">
        <w:rPr>
          <w:rFonts w:ascii="Times New Roman" w:hAnsi="Times New Roman" w:cs="Times New Roman"/>
          <w:color w:val="000000"/>
          <w:sz w:val="22"/>
          <w:szCs w:val="22"/>
        </w:rPr>
        <w:t>0.000</w:t>
      </w:r>
      <w:r w:rsidR="00B4340D" w:rsidRPr="00095B95">
        <w:rPr>
          <w:rFonts w:ascii="Times New Roman" w:hAnsi="Times New Roman" w:cs="Times New Roman"/>
          <w:color w:val="000000"/>
          <w:sz w:val="22"/>
          <w:szCs w:val="22"/>
        </w:rPr>
        <w:t>,</w:t>
      </w:r>
      <w:r w:rsidR="00A1462D" w:rsidRPr="00095B95">
        <w:rPr>
          <w:rFonts w:ascii="Times New Roman" w:hAnsi="Times New Roman" w:cs="Times New Roman"/>
          <w:color w:val="000000"/>
          <w:sz w:val="22"/>
          <w:szCs w:val="22"/>
        </w:rPr>
        <w:t xml:space="preserve"> mean difference = 0.85, 95% CI – 0.51 – 1.19</w:t>
      </w:r>
      <w:r w:rsidR="00084706" w:rsidRPr="00095B95">
        <w:rPr>
          <w:rFonts w:ascii="Times New Roman" w:hAnsi="Times New Roman" w:cs="Times New Roman"/>
          <w:color w:val="000000"/>
          <w:sz w:val="22"/>
          <w:szCs w:val="22"/>
        </w:rPr>
        <w:t xml:space="preserve">) </w:t>
      </w:r>
      <w:r w:rsidR="00C44075" w:rsidRPr="00095B95">
        <w:rPr>
          <w:rFonts w:ascii="Times New Roman" w:hAnsi="Times New Roman" w:cs="Times New Roman"/>
          <w:color w:val="000000"/>
          <w:sz w:val="22"/>
          <w:szCs w:val="22"/>
        </w:rPr>
        <w:t xml:space="preserve">and </w:t>
      </w:r>
      <w:r w:rsidR="00BC5A71" w:rsidRPr="00095B95">
        <w:rPr>
          <w:rFonts w:ascii="Times New Roman" w:hAnsi="Times New Roman" w:cs="Times New Roman"/>
          <w:color w:val="000000"/>
          <w:sz w:val="22"/>
          <w:szCs w:val="22"/>
        </w:rPr>
        <w:t>lon</w:t>
      </w:r>
      <w:r w:rsidR="009814C8" w:rsidRPr="00095B95">
        <w:rPr>
          <w:rFonts w:ascii="Times New Roman" w:hAnsi="Times New Roman" w:cs="Times New Roman"/>
          <w:color w:val="000000"/>
          <w:sz w:val="22"/>
          <w:szCs w:val="22"/>
        </w:rPr>
        <w:t xml:space="preserve">ger </w:t>
      </w:r>
      <w:r w:rsidR="000E5F13" w:rsidRPr="00095B95">
        <w:rPr>
          <w:rFonts w:ascii="Times New Roman" w:hAnsi="Times New Roman" w:cs="Times New Roman"/>
          <w:color w:val="000000"/>
          <w:sz w:val="22"/>
          <w:szCs w:val="22"/>
        </w:rPr>
        <w:t xml:space="preserve">with </w:t>
      </w:r>
      <w:r w:rsidR="009814C8" w:rsidRPr="00095B95">
        <w:rPr>
          <w:rFonts w:ascii="Times New Roman" w:hAnsi="Times New Roman" w:cs="Times New Roman"/>
          <w:color w:val="000000"/>
          <w:sz w:val="22"/>
          <w:szCs w:val="22"/>
        </w:rPr>
        <w:t>6 fixed vs 6 adjustable power</w:t>
      </w:r>
      <w:r w:rsidR="00BC5A71" w:rsidRPr="00095B95">
        <w:rPr>
          <w:rFonts w:ascii="Times New Roman" w:hAnsi="Times New Roman" w:cs="Times New Roman"/>
          <w:color w:val="000000"/>
          <w:sz w:val="22"/>
          <w:szCs w:val="22"/>
        </w:rPr>
        <w:t xml:space="preserve"> (</w:t>
      </w:r>
      <w:r w:rsidR="00B4340D" w:rsidRPr="00095B95">
        <w:rPr>
          <w:rFonts w:ascii="Times New Roman" w:hAnsi="Times New Roman" w:cs="Times New Roman"/>
          <w:color w:val="000000"/>
          <w:sz w:val="22"/>
          <w:szCs w:val="22"/>
        </w:rPr>
        <w:t>t</w:t>
      </w:r>
      <w:r w:rsidR="00B4340D" w:rsidRPr="00095B95">
        <w:rPr>
          <w:rFonts w:ascii="Times New Roman" w:hAnsi="Times New Roman" w:cs="Times New Roman"/>
          <w:color w:val="000000"/>
          <w:sz w:val="22"/>
          <w:szCs w:val="22"/>
          <w:vertAlign w:val="subscript"/>
        </w:rPr>
        <w:t>18</w:t>
      </w:r>
      <w:r w:rsidR="00BC5A71" w:rsidRPr="00095B95">
        <w:rPr>
          <w:rFonts w:ascii="Times New Roman" w:hAnsi="Times New Roman" w:cs="Times New Roman"/>
          <w:color w:val="000000"/>
          <w:sz w:val="22"/>
          <w:szCs w:val="22"/>
        </w:rPr>
        <w:t xml:space="preserve"> = </w:t>
      </w:r>
      <w:r w:rsidR="00B4340D" w:rsidRPr="00095B95">
        <w:rPr>
          <w:rFonts w:ascii="Times New Roman" w:hAnsi="Times New Roman" w:cs="Times New Roman"/>
          <w:color w:val="000000"/>
          <w:sz w:val="22"/>
          <w:szCs w:val="22"/>
        </w:rPr>
        <w:t>3.15</w:t>
      </w:r>
      <w:r w:rsidR="00BC5A71" w:rsidRPr="00095B95">
        <w:rPr>
          <w:rFonts w:ascii="Times New Roman" w:hAnsi="Times New Roman" w:cs="Times New Roman"/>
          <w:color w:val="000000"/>
          <w:sz w:val="22"/>
          <w:szCs w:val="22"/>
        </w:rPr>
        <w:t>, p = 0.006</w:t>
      </w:r>
      <w:r w:rsidR="00B4340D" w:rsidRPr="00095B95">
        <w:rPr>
          <w:rFonts w:ascii="Times New Roman" w:hAnsi="Times New Roman" w:cs="Times New Roman"/>
          <w:color w:val="000000"/>
          <w:sz w:val="22"/>
          <w:szCs w:val="22"/>
        </w:rPr>
        <w:t>, mean difference = 0.66, 95% CI = 0.22 – 1.09)</w:t>
      </w:r>
      <w:r w:rsidR="00C44075" w:rsidRPr="00095B95">
        <w:rPr>
          <w:rFonts w:ascii="Times New Roman" w:hAnsi="Times New Roman" w:cs="Times New Roman"/>
          <w:color w:val="000000"/>
          <w:sz w:val="22"/>
          <w:szCs w:val="22"/>
        </w:rPr>
        <w:t>.</w:t>
      </w:r>
      <w:r w:rsidR="00BC5A71" w:rsidRPr="00095B95">
        <w:rPr>
          <w:rFonts w:ascii="Times New Roman" w:hAnsi="Times New Roman" w:cs="Times New Roman"/>
          <w:color w:val="000000"/>
          <w:sz w:val="22"/>
          <w:szCs w:val="22"/>
        </w:rPr>
        <w:t xml:space="preserve"> </w:t>
      </w:r>
      <w:r w:rsidR="00E71AC7" w:rsidRPr="00095B95">
        <w:rPr>
          <w:rFonts w:ascii="Times New Roman" w:hAnsi="Times New Roman" w:cs="Times New Roman"/>
          <w:color w:val="000000"/>
          <w:sz w:val="22"/>
          <w:szCs w:val="22"/>
        </w:rPr>
        <w:t xml:space="preserve"> There was </w:t>
      </w:r>
      <w:r w:rsidR="00C70C4F" w:rsidRPr="00095B95">
        <w:rPr>
          <w:rFonts w:ascii="Times New Roman" w:hAnsi="Times New Roman" w:cs="Times New Roman"/>
          <w:color w:val="000000"/>
          <w:sz w:val="22"/>
          <w:szCs w:val="22"/>
        </w:rPr>
        <w:t xml:space="preserve">also </w:t>
      </w:r>
      <w:r w:rsidR="00E71AC7" w:rsidRPr="00095B95">
        <w:rPr>
          <w:rFonts w:ascii="Times New Roman" w:hAnsi="Times New Roman" w:cs="Times New Roman"/>
          <w:color w:val="000000"/>
          <w:sz w:val="22"/>
          <w:szCs w:val="22"/>
        </w:rPr>
        <w:t>a significant setting x order interaction (F</w:t>
      </w:r>
      <w:r w:rsidR="00C70C4F" w:rsidRPr="00095B95">
        <w:rPr>
          <w:rFonts w:ascii="Times New Roman" w:hAnsi="Times New Roman" w:cs="Times New Roman"/>
          <w:color w:val="000000"/>
          <w:sz w:val="22"/>
          <w:szCs w:val="22"/>
          <w:vertAlign w:val="subscript"/>
        </w:rPr>
        <w:t>3,15</w:t>
      </w:r>
      <w:r w:rsidR="00E71AC7" w:rsidRPr="00095B95">
        <w:rPr>
          <w:rFonts w:ascii="Times New Roman" w:hAnsi="Times New Roman" w:cs="Times New Roman"/>
          <w:color w:val="000000"/>
          <w:sz w:val="22"/>
          <w:szCs w:val="22"/>
        </w:rPr>
        <w:t xml:space="preserve"> = 4.61, p = 0.02, η</w:t>
      </w:r>
      <w:r w:rsidR="00E71AC7" w:rsidRPr="00095B95">
        <w:rPr>
          <w:rFonts w:ascii="Times New Roman" w:hAnsi="Times New Roman" w:cs="Times New Roman"/>
          <w:color w:val="000000"/>
          <w:sz w:val="22"/>
          <w:szCs w:val="22"/>
          <w:vertAlign w:val="subscript"/>
        </w:rPr>
        <w:t>p</w:t>
      </w:r>
      <w:r w:rsidR="00E71AC7" w:rsidRPr="00095B95">
        <w:rPr>
          <w:rFonts w:ascii="Times New Roman" w:hAnsi="Times New Roman" w:cs="Times New Roman"/>
          <w:color w:val="000000"/>
          <w:sz w:val="22"/>
          <w:szCs w:val="22"/>
          <w:vertAlign w:val="superscript"/>
        </w:rPr>
        <w:t xml:space="preserve">2 </w:t>
      </w:r>
      <w:r w:rsidR="00E71AC7" w:rsidRPr="00095B95">
        <w:rPr>
          <w:rFonts w:ascii="Times New Roman" w:hAnsi="Times New Roman" w:cs="Times New Roman"/>
          <w:color w:val="000000"/>
          <w:sz w:val="22"/>
          <w:szCs w:val="22"/>
        </w:rPr>
        <w:t xml:space="preserve">= 0.48) with those starting and finishing </w:t>
      </w:r>
      <w:r w:rsidR="00E71AC7" w:rsidRPr="00095B95">
        <w:rPr>
          <w:rFonts w:ascii="Times New Roman" w:hAnsi="Times New Roman" w:cs="Times New Roman"/>
          <w:color w:val="000000"/>
          <w:sz w:val="22"/>
          <w:szCs w:val="22"/>
        </w:rPr>
        <w:lastRenderedPageBreak/>
        <w:t>on 6mg/mL demonstrating a shorter puff duration when settings were user-defined.</w:t>
      </w:r>
      <w:r w:rsidR="00D76365">
        <w:rPr>
          <w:rFonts w:ascii="Times New Roman" w:hAnsi="Times New Roman" w:cs="Times New Roman"/>
          <w:color w:val="000000"/>
          <w:sz w:val="22"/>
          <w:szCs w:val="22"/>
        </w:rPr>
        <w:t xml:space="preserve">  </w:t>
      </w:r>
    </w:p>
    <w:p w14:paraId="61B575B6" w14:textId="08FF5FCB" w:rsidR="00BC5A71" w:rsidRPr="00341293" w:rsidRDefault="00BC5A71" w:rsidP="00CA24A9">
      <w:pPr>
        <w:widowControl w:val="0"/>
        <w:autoSpaceDE w:val="0"/>
        <w:autoSpaceDN w:val="0"/>
        <w:adjustRightInd w:val="0"/>
        <w:spacing w:line="480" w:lineRule="auto"/>
        <w:ind w:left="62"/>
        <w:jc w:val="both"/>
        <w:rPr>
          <w:rFonts w:ascii="Times New Roman" w:hAnsi="Times New Roman" w:cs="Times New Roman"/>
          <w:i/>
          <w:color w:val="000000"/>
          <w:sz w:val="22"/>
          <w:szCs w:val="22"/>
        </w:rPr>
      </w:pPr>
      <w:r w:rsidRPr="00341293">
        <w:rPr>
          <w:rFonts w:ascii="Times New Roman" w:hAnsi="Times New Roman" w:cs="Times New Roman"/>
          <w:i/>
          <w:color w:val="000000"/>
          <w:sz w:val="22"/>
          <w:szCs w:val="22"/>
        </w:rPr>
        <w:t>Inter-Puff Interval (IPI)</w:t>
      </w:r>
    </w:p>
    <w:p w14:paraId="1C97A08D" w14:textId="02FC0248" w:rsidR="00E97205" w:rsidRPr="00842993" w:rsidRDefault="00E97205" w:rsidP="006B77F1">
      <w:pPr>
        <w:widowControl w:val="0"/>
        <w:autoSpaceDE w:val="0"/>
        <w:autoSpaceDN w:val="0"/>
        <w:adjustRightInd w:val="0"/>
        <w:spacing w:after="240" w:line="480" w:lineRule="auto"/>
        <w:ind w:left="60"/>
        <w:jc w:val="both"/>
        <w:rPr>
          <w:rFonts w:ascii="Times New Roman" w:hAnsi="Times New Roman" w:cs="Times New Roman"/>
          <w:color w:val="000000"/>
          <w:sz w:val="22"/>
          <w:szCs w:val="22"/>
        </w:rPr>
      </w:pPr>
      <w:r>
        <w:rPr>
          <w:rFonts w:ascii="Times New Roman" w:hAnsi="Times New Roman" w:cs="Times New Roman"/>
          <w:color w:val="000000"/>
          <w:sz w:val="22"/>
          <w:szCs w:val="22"/>
        </w:rPr>
        <w:t>IPI was calculated</w:t>
      </w:r>
      <w:r w:rsidR="006C7F25">
        <w:rPr>
          <w:rFonts w:ascii="Times New Roman" w:hAnsi="Times New Roman" w:cs="Times New Roman"/>
          <w:color w:val="000000"/>
          <w:sz w:val="22"/>
          <w:szCs w:val="22"/>
        </w:rPr>
        <w:t xml:space="preserve"> </w:t>
      </w:r>
      <w:r w:rsidR="006B77F1">
        <w:rPr>
          <w:rFonts w:ascii="Times New Roman" w:hAnsi="Times New Roman" w:cs="Times New Roman"/>
          <w:color w:val="000000"/>
          <w:sz w:val="22"/>
          <w:szCs w:val="22"/>
        </w:rPr>
        <w:t>from information on puff timings</w:t>
      </w:r>
      <w:r w:rsidR="00CE33D6">
        <w:rPr>
          <w:rFonts w:ascii="Times New Roman" w:hAnsi="Times New Roman" w:cs="Times New Roman"/>
          <w:color w:val="000000"/>
          <w:sz w:val="22"/>
          <w:szCs w:val="22"/>
        </w:rPr>
        <w:t xml:space="preserve"> in each condition</w:t>
      </w:r>
      <w:r w:rsidR="006B77F1">
        <w:rPr>
          <w:rFonts w:ascii="Times New Roman" w:hAnsi="Times New Roman" w:cs="Times New Roman"/>
          <w:color w:val="000000"/>
          <w:sz w:val="22"/>
          <w:szCs w:val="22"/>
        </w:rPr>
        <w:t>. The median,</w:t>
      </w:r>
      <w:r w:rsidR="006C7F25">
        <w:rPr>
          <w:rFonts w:ascii="Times New Roman" w:hAnsi="Times New Roman" w:cs="Times New Roman"/>
          <w:color w:val="000000"/>
          <w:sz w:val="22"/>
          <w:szCs w:val="22"/>
        </w:rPr>
        <w:t xml:space="preserve"> rather than mean</w:t>
      </w:r>
      <w:r w:rsidR="006B77F1">
        <w:rPr>
          <w:rFonts w:ascii="Times New Roman" w:hAnsi="Times New Roman" w:cs="Times New Roman"/>
          <w:color w:val="000000"/>
          <w:sz w:val="22"/>
          <w:szCs w:val="22"/>
        </w:rPr>
        <w:t xml:space="preserve">, IPI was taken </w:t>
      </w:r>
      <w:r w:rsidR="006C7F25">
        <w:rPr>
          <w:rFonts w:ascii="Times New Roman" w:hAnsi="Times New Roman" w:cs="Times New Roman"/>
          <w:color w:val="000000"/>
          <w:sz w:val="22"/>
          <w:szCs w:val="22"/>
        </w:rPr>
        <w:t xml:space="preserve">due to </w:t>
      </w:r>
      <w:r w:rsidR="006B77F1">
        <w:rPr>
          <w:rFonts w:ascii="Times New Roman" w:hAnsi="Times New Roman" w:cs="Times New Roman"/>
          <w:color w:val="000000"/>
          <w:sz w:val="22"/>
          <w:szCs w:val="22"/>
        </w:rPr>
        <w:t xml:space="preserve">the </w:t>
      </w:r>
      <w:r w:rsidR="006C7F25">
        <w:rPr>
          <w:rFonts w:ascii="Times New Roman" w:hAnsi="Times New Roman" w:cs="Times New Roman"/>
          <w:color w:val="000000"/>
          <w:sz w:val="22"/>
          <w:szCs w:val="22"/>
        </w:rPr>
        <w:t>high</w:t>
      </w:r>
      <w:r w:rsidR="006B77F1">
        <w:rPr>
          <w:rFonts w:ascii="Times New Roman" w:hAnsi="Times New Roman" w:cs="Times New Roman"/>
          <w:color w:val="000000"/>
          <w:sz w:val="22"/>
          <w:szCs w:val="22"/>
        </w:rPr>
        <w:t>ly</w:t>
      </w:r>
      <w:r w:rsidR="006C7F25">
        <w:rPr>
          <w:rFonts w:ascii="Times New Roman" w:hAnsi="Times New Roman" w:cs="Times New Roman"/>
          <w:color w:val="000000"/>
          <w:sz w:val="22"/>
          <w:szCs w:val="22"/>
        </w:rPr>
        <w:t xml:space="preserve"> skew</w:t>
      </w:r>
      <w:r w:rsidR="006B77F1">
        <w:rPr>
          <w:rFonts w:ascii="Times New Roman" w:hAnsi="Times New Roman" w:cs="Times New Roman"/>
          <w:color w:val="000000"/>
          <w:sz w:val="22"/>
          <w:szCs w:val="22"/>
        </w:rPr>
        <w:t>ed</w:t>
      </w:r>
      <w:r w:rsidR="006C7F25">
        <w:rPr>
          <w:rFonts w:ascii="Times New Roman" w:hAnsi="Times New Roman" w:cs="Times New Roman"/>
          <w:color w:val="000000"/>
          <w:sz w:val="22"/>
          <w:szCs w:val="22"/>
        </w:rPr>
        <w:t xml:space="preserve"> data which included </w:t>
      </w:r>
      <w:r w:rsidR="006B77F1">
        <w:rPr>
          <w:rFonts w:ascii="Times New Roman" w:hAnsi="Times New Roman" w:cs="Times New Roman"/>
          <w:color w:val="000000"/>
          <w:sz w:val="22"/>
          <w:szCs w:val="22"/>
        </w:rPr>
        <w:t xml:space="preserve">long </w:t>
      </w:r>
      <w:r w:rsidR="006C7F25">
        <w:rPr>
          <w:rFonts w:ascii="Times New Roman" w:hAnsi="Times New Roman" w:cs="Times New Roman"/>
          <w:color w:val="000000"/>
          <w:sz w:val="22"/>
          <w:szCs w:val="22"/>
        </w:rPr>
        <w:t>periods of inactivity</w:t>
      </w:r>
      <w:r w:rsidR="006B77F1">
        <w:rPr>
          <w:rFonts w:ascii="Times New Roman" w:hAnsi="Times New Roman" w:cs="Times New Roman"/>
          <w:color w:val="000000"/>
          <w:sz w:val="22"/>
          <w:szCs w:val="22"/>
        </w:rPr>
        <w:t>/</w:t>
      </w:r>
      <w:r w:rsidR="006C7F25">
        <w:rPr>
          <w:rFonts w:ascii="Times New Roman" w:hAnsi="Times New Roman" w:cs="Times New Roman"/>
          <w:color w:val="000000"/>
          <w:sz w:val="22"/>
          <w:szCs w:val="22"/>
        </w:rPr>
        <w:t>non-use (presumably due to sleeping</w:t>
      </w:r>
      <w:r w:rsidR="006B77F1">
        <w:rPr>
          <w:rFonts w:ascii="Times New Roman" w:hAnsi="Times New Roman" w:cs="Times New Roman"/>
          <w:color w:val="000000"/>
          <w:sz w:val="22"/>
          <w:szCs w:val="22"/>
        </w:rPr>
        <w:t xml:space="preserve"> or working where vaping is not permitted</w:t>
      </w:r>
      <w:r w:rsidR="006C7F25">
        <w:rPr>
          <w:rFonts w:ascii="Times New Roman" w:hAnsi="Times New Roman" w:cs="Times New Roman"/>
          <w:color w:val="000000"/>
          <w:sz w:val="22"/>
          <w:szCs w:val="22"/>
        </w:rPr>
        <w:t>)</w:t>
      </w:r>
      <w:r w:rsidR="006B77F1">
        <w:rPr>
          <w:rFonts w:ascii="Times New Roman" w:hAnsi="Times New Roman" w:cs="Times New Roman"/>
          <w:color w:val="000000"/>
          <w:sz w:val="22"/>
          <w:szCs w:val="22"/>
        </w:rPr>
        <w:t>.</w:t>
      </w:r>
      <w:r w:rsidR="006C7F25">
        <w:rPr>
          <w:rFonts w:ascii="Times New Roman" w:hAnsi="Times New Roman" w:cs="Times New Roman"/>
          <w:color w:val="000000"/>
          <w:sz w:val="22"/>
          <w:szCs w:val="22"/>
        </w:rPr>
        <w:t xml:space="preserve"> </w:t>
      </w:r>
      <w:r w:rsidR="006B77F1">
        <w:rPr>
          <w:rFonts w:ascii="Times New Roman" w:hAnsi="Times New Roman" w:cs="Times New Roman"/>
          <w:color w:val="000000"/>
          <w:sz w:val="22"/>
          <w:szCs w:val="22"/>
        </w:rPr>
        <w:t xml:space="preserve"> </w:t>
      </w:r>
      <w:r w:rsidR="00CD29D1">
        <w:rPr>
          <w:rFonts w:ascii="Times New Roman" w:hAnsi="Times New Roman" w:cs="Times New Roman"/>
          <w:color w:val="000000"/>
          <w:sz w:val="22"/>
          <w:szCs w:val="22"/>
        </w:rPr>
        <w:t xml:space="preserve">IPI could not be calculated for some conditions for two participants due to corrupted data files which distorted puff times.  </w:t>
      </w:r>
    </w:p>
    <w:p w14:paraId="2C71DFEB" w14:textId="0197150D" w:rsidR="00520B17" w:rsidRDefault="00C44075" w:rsidP="00CA24A9">
      <w:pPr>
        <w:widowControl w:val="0"/>
        <w:autoSpaceDE w:val="0"/>
        <w:autoSpaceDN w:val="0"/>
        <w:adjustRightInd w:val="0"/>
        <w:spacing w:line="48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T</w:t>
      </w:r>
      <w:r w:rsidR="00DD3C6F">
        <w:rPr>
          <w:rFonts w:ascii="Times New Roman" w:hAnsi="Times New Roman" w:cs="Times New Roman"/>
          <w:color w:val="000000"/>
          <w:sz w:val="22"/>
          <w:szCs w:val="22"/>
        </w:rPr>
        <w:t>he nicotin</w:t>
      </w:r>
      <w:r w:rsidR="00E611F2">
        <w:rPr>
          <w:rFonts w:ascii="Times New Roman" w:hAnsi="Times New Roman" w:cs="Times New Roman"/>
          <w:color w:val="000000"/>
          <w:sz w:val="22"/>
          <w:szCs w:val="22"/>
        </w:rPr>
        <w:t>e x</w:t>
      </w:r>
      <w:r w:rsidR="00CE33D6">
        <w:rPr>
          <w:rFonts w:ascii="Times New Roman" w:hAnsi="Times New Roman" w:cs="Times New Roman"/>
          <w:color w:val="000000"/>
          <w:sz w:val="22"/>
          <w:szCs w:val="22"/>
        </w:rPr>
        <w:t xml:space="preserve"> power</w:t>
      </w:r>
      <w:r w:rsidR="00E611F2">
        <w:rPr>
          <w:rFonts w:ascii="Times New Roman" w:hAnsi="Times New Roman" w:cs="Times New Roman"/>
          <w:color w:val="000000"/>
          <w:sz w:val="22"/>
          <w:szCs w:val="22"/>
        </w:rPr>
        <w:t xml:space="preserve"> interaction was </w:t>
      </w:r>
      <w:r w:rsidR="005A189E">
        <w:rPr>
          <w:rFonts w:ascii="Times New Roman" w:hAnsi="Times New Roman" w:cs="Times New Roman"/>
          <w:color w:val="000000"/>
          <w:sz w:val="22"/>
          <w:szCs w:val="22"/>
        </w:rPr>
        <w:t xml:space="preserve">statistically significant.  </w:t>
      </w:r>
      <w:r w:rsidR="00DD3C6F">
        <w:rPr>
          <w:rFonts w:ascii="Times New Roman" w:hAnsi="Times New Roman" w:cs="Times New Roman"/>
          <w:color w:val="000000"/>
          <w:sz w:val="22"/>
          <w:szCs w:val="22"/>
        </w:rPr>
        <w:t xml:space="preserve">Inspection of </w:t>
      </w:r>
      <w:r w:rsidR="000835D2">
        <w:rPr>
          <w:rFonts w:ascii="Times New Roman" w:hAnsi="Times New Roman" w:cs="Times New Roman"/>
          <w:color w:val="000000"/>
          <w:sz w:val="22"/>
          <w:szCs w:val="22"/>
        </w:rPr>
        <w:t xml:space="preserve">Table 2 </w:t>
      </w:r>
      <w:r w:rsidR="00DD3C6F">
        <w:rPr>
          <w:rFonts w:ascii="Times New Roman" w:hAnsi="Times New Roman" w:cs="Times New Roman"/>
          <w:color w:val="000000"/>
          <w:sz w:val="22"/>
          <w:szCs w:val="22"/>
        </w:rPr>
        <w:t xml:space="preserve">reveals that IPI was shortest under the 6 </w:t>
      </w:r>
      <w:r w:rsidR="001A19C9">
        <w:rPr>
          <w:rFonts w:ascii="Times New Roman" w:hAnsi="Times New Roman" w:cs="Times New Roman"/>
          <w:color w:val="000000"/>
          <w:sz w:val="22"/>
          <w:szCs w:val="22"/>
        </w:rPr>
        <w:t xml:space="preserve">mg/mL </w:t>
      </w:r>
      <w:r w:rsidR="00DD3C6F">
        <w:rPr>
          <w:rFonts w:ascii="Times New Roman" w:hAnsi="Times New Roman" w:cs="Times New Roman"/>
          <w:color w:val="000000"/>
          <w:sz w:val="22"/>
          <w:szCs w:val="22"/>
        </w:rPr>
        <w:t>fixed condition and was similar under all other conditions.  These differences however, fell short of statistical significan</w:t>
      </w:r>
      <w:r>
        <w:rPr>
          <w:rFonts w:ascii="Times New Roman" w:hAnsi="Times New Roman" w:cs="Times New Roman"/>
          <w:color w:val="000000"/>
          <w:sz w:val="22"/>
          <w:szCs w:val="22"/>
        </w:rPr>
        <w:t>ce in post-hoc tests.</w:t>
      </w:r>
    </w:p>
    <w:p w14:paraId="1BE9F4FB" w14:textId="77777777" w:rsidR="00341293" w:rsidRDefault="00341293" w:rsidP="00CA24A9">
      <w:pPr>
        <w:widowControl w:val="0"/>
        <w:autoSpaceDE w:val="0"/>
        <w:autoSpaceDN w:val="0"/>
        <w:adjustRightInd w:val="0"/>
        <w:spacing w:line="480" w:lineRule="auto"/>
        <w:jc w:val="both"/>
        <w:rPr>
          <w:rFonts w:ascii="Times New Roman" w:hAnsi="Times New Roman" w:cs="Times New Roman"/>
          <w:b/>
          <w:color w:val="000000"/>
          <w:sz w:val="22"/>
          <w:szCs w:val="22"/>
        </w:rPr>
      </w:pPr>
    </w:p>
    <w:p w14:paraId="73715DE4" w14:textId="5A0C10B6" w:rsidR="00CA24A9" w:rsidRPr="00341293" w:rsidRDefault="00341293" w:rsidP="00CA24A9">
      <w:pPr>
        <w:widowControl w:val="0"/>
        <w:autoSpaceDE w:val="0"/>
        <w:autoSpaceDN w:val="0"/>
        <w:adjustRightInd w:val="0"/>
        <w:spacing w:line="480" w:lineRule="auto"/>
        <w:jc w:val="both"/>
        <w:rPr>
          <w:rFonts w:ascii="Times New Roman" w:hAnsi="Times New Roman" w:cs="Times New Roman"/>
          <w:b/>
          <w:color w:val="000000"/>
          <w:sz w:val="22"/>
          <w:szCs w:val="22"/>
        </w:rPr>
      </w:pPr>
      <w:r>
        <w:rPr>
          <w:rFonts w:ascii="Times New Roman" w:hAnsi="Times New Roman" w:cs="Times New Roman"/>
          <w:b/>
          <w:color w:val="000000"/>
          <w:sz w:val="22"/>
          <w:szCs w:val="22"/>
        </w:rPr>
        <w:t>Product Use</w:t>
      </w:r>
    </w:p>
    <w:p w14:paraId="71146739" w14:textId="2F9ED6FF" w:rsidR="00520B17" w:rsidRPr="00341293" w:rsidRDefault="00B456EB" w:rsidP="00CA24A9">
      <w:pPr>
        <w:widowControl w:val="0"/>
        <w:autoSpaceDE w:val="0"/>
        <w:autoSpaceDN w:val="0"/>
        <w:adjustRightInd w:val="0"/>
        <w:spacing w:line="480" w:lineRule="auto"/>
        <w:jc w:val="both"/>
        <w:rPr>
          <w:rFonts w:ascii="Times New Roman" w:hAnsi="Times New Roman" w:cs="Times New Roman"/>
          <w:i/>
          <w:color w:val="000000"/>
          <w:sz w:val="22"/>
          <w:szCs w:val="22"/>
        </w:rPr>
      </w:pPr>
      <w:r w:rsidRPr="00341293">
        <w:rPr>
          <w:rFonts w:ascii="Times New Roman" w:hAnsi="Times New Roman" w:cs="Times New Roman"/>
          <w:i/>
          <w:color w:val="000000"/>
          <w:sz w:val="22"/>
          <w:szCs w:val="22"/>
        </w:rPr>
        <w:t>E-</w:t>
      </w:r>
      <w:r w:rsidR="00520B17" w:rsidRPr="00341293">
        <w:rPr>
          <w:rFonts w:ascii="Times New Roman" w:hAnsi="Times New Roman" w:cs="Times New Roman"/>
          <w:i/>
          <w:color w:val="000000"/>
          <w:sz w:val="22"/>
          <w:szCs w:val="22"/>
        </w:rPr>
        <w:t>Liquid Consumption</w:t>
      </w:r>
    </w:p>
    <w:p w14:paraId="6837CFCE" w14:textId="78CA7888" w:rsidR="00341293" w:rsidRDefault="008267F0" w:rsidP="001317EE">
      <w:pPr>
        <w:widowControl w:val="0"/>
        <w:autoSpaceDE w:val="0"/>
        <w:autoSpaceDN w:val="0"/>
        <w:adjustRightInd w:val="0"/>
        <w:spacing w:after="240" w:line="480" w:lineRule="auto"/>
        <w:jc w:val="both"/>
        <w:rPr>
          <w:rFonts w:ascii="Times New Roman" w:hAnsi="Times New Roman" w:cs="Times New Roman"/>
          <w:color w:val="000000"/>
          <w:sz w:val="22"/>
          <w:szCs w:val="22"/>
        </w:rPr>
      </w:pPr>
      <w:r w:rsidRPr="00095B95">
        <w:rPr>
          <w:rFonts w:ascii="Times New Roman" w:hAnsi="Times New Roman" w:cs="Times New Roman"/>
          <w:color w:val="000000"/>
          <w:sz w:val="22"/>
          <w:szCs w:val="22"/>
        </w:rPr>
        <w:t>There was no nicotine x power interaction</w:t>
      </w:r>
      <w:r w:rsidR="004440BE" w:rsidRPr="00095B95">
        <w:rPr>
          <w:rFonts w:ascii="Times New Roman" w:hAnsi="Times New Roman" w:cs="Times New Roman"/>
          <w:color w:val="000000"/>
          <w:sz w:val="22"/>
          <w:szCs w:val="22"/>
        </w:rPr>
        <w:t xml:space="preserve"> although a</w:t>
      </w:r>
      <w:r w:rsidR="000835D2" w:rsidRPr="00095B95">
        <w:rPr>
          <w:rFonts w:ascii="Times New Roman" w:hAnsi="Times New Roman" w:cs="Times New Roman"/>
          <w:color w:val="000000"/>
          <w:sz w:val="22"/>
          <w:szCs w:val="22"/>
        </w:rPr>
        <w:t xml:space="preserve"> s</w:t>
      </w:r>
      <w:r w:rsidR="00520B17" w:rsidRPr="00095B95">
        <w:rPr>
          <w:rFonts w:ascii="Times New Roman" w:hAnsi="Times New Roman" w:cs="Times New Roman"/>
          <w:color w:val="000000"/>
          <w:sz w:val="22"/>
          <w:szCs w:val="22"/>
        </w:rPr>
        <w:t xml:space="preserve">ignificantly greater </w:t>
      </w:r>
      <w:r w:rsidR="000835D2" w:rsidRPr="00095B95">
        <w:rPr>
          <w:rFonts w:ascii="Times New Roman" w:hAnsi="Times New Roman" w:cs="Times New Roman"/>
          <w:color w:val="000000"/>
          <w:sz w:val="22"/>
          <w:szCs w:val="22"/>
        </w:rPr>
        <w:t xml:space="preserve">volume (mL) of </w:t>
      </w:r>
      <w:r w:rsidR="00520B17" w:rsidRPr="00095B95">
        <w:rPr>
          <w:rFonts w:ascii="Times New Roman" w:hAnsi="Times New Roman" w:cs="Times New Roman"/>
          <w:color w:val="000000"/>
          <w:sz w:val="22"/>
          <w:szCs w:val="22"/>
        </w:rPr>
        <w:t xml:space="preserve">e-liquid </w:t>
      </w:r>
      <w:r w:rsidR="00CE33D6" w:rsidRPr="00095B95">
        <w:rPr>
          <w:rFonts w:ascii="Times New Roman" w:hAnsi="Times New Roman" w:cs="Times New Roman"/>
          <w:color w:val="000000"/>
          <w:sz w:val="22"/>
          <w:szCs w:val="22"/>
        </w:rPr>
        <w:t>per</w:t>
      </w:r>
      <w:r w:rsidR="00CE33D6">
        <w:rPr>
          <w:rFonts w:ascii="Times New Roman" w:hAnsi="Times New Roman" w:cs="Times New Roman"/>
          <w:color w:val="000000"/>
          <w:sz w:val="22"/>
          <w:szCs w:val="22"/>
        </w:rPr>
        <w:t xml:space="preserve"> day </w:t>
      </w:r>
      <w:r w:rsidR="00520B17">
        <w:rPr>
          <w:rFonts w:ascii="Times New Roman" w:hAnsi="Times New Roman" w:cs="Times New Roman"/>
          <w:color w:val="000000"/>
          <w:sz w:val="22"/>
          <w:szCs w:val="22"/>
        </w:rPr>
        <w:t>was consumed in the 6 vs 18</w:t>
      </w:r>
      <w:r w:rsidR="006D29CB">
        <w:rPr>
          <w:rFonts w:ascii="Times New Roman" w:hAnsi="Times New Roman" w:cs="Times New Roman"/>
          <w:color w:val="000000"/>
          <w:sz w:val="22"/>
          <w:szCs w:val="22"/>
        </w:rPr>
        <w:t xml:space="preserve"> </w:t>
      </w:r>
      <w:r w:rsidR="009B090A">
        <w:rPr>
          <w:rFonts w:ascii="Times New Roman" w:hAnsi="Times New Roman" w:cs="Times New Roman"/>
          <w:color w:val="000000"/>
          <w:sz w:val="22"/>
          <w:szCs w:val="22"/>
        </w:rPr>
        <w:t>mg/mL</w:t>
      </w:r>
      <w:r w:rsidR="005A189E">
        <w:rPr>
          <w:rFonts w:ascii="Times New Roman" w:hAnsi="Times New Roman" w:cs="Times New Roman"/>
          <w:color w:val="000000"/>
          <w:sz w:val="22"/>
          <w:szCs w:val="22"/>
        </w:rPr>
        <w:t xml:space="preserve"> nicotine condition (</w:t>
      </w:r>
      <w:r w:rsidR="0017166B">
        <w:rPr>
          <w:rFonts w:ascii="Times New Roman" w:hAnsi="Times New Roman" w:cs="Times New Roman"/>
          <w:color w:val="000000"/>
          <w:sz w:val="22"/>
          <w:szCs w:val="22"/>
        </w:rPr>
        <w:t>main effect of nicotine</w:t>
      </w:r>
      <w:r w:rsidR="005A189E">
        <w:rPr>
          <w:rFonts w:ascii="Times New Roman" w:hAnsi="Times New Roman" w:cs="Times New Roman"/>
          <w:color w:val="000000"/>
          <w:sz w:val="22"/>
          <w:szCs w:val="22"/>
        </w:rPr>
        <w:t>)</w:t>
      </w:r>
      <w:r w:rsidR="007E1EEA">
        <w:rPr>
          <w:rFonts w:ascii="Times New Roman" w:hAnsi="Times New Roman" w:cs="Times New Roman"/>
          <w:color w:val="000000"/>
          <w:sz w:val="22"/>
          <w:szCs w:val="22"/>
        </w:rPr>
        <w:t xml:space="preserve">. </w:t>
      </w:r>
    </w:p>
    <w:p w14:paraId="5DD0DA37" w14:textId="77777777" w:rsidR="00341293" w:rsidRPr="00341293" w:rsidRDefault="00341293" w:rsidP="00341293">
      <w:pPr>
        <w:widowControl w:val="0"/>
        <w:autoSpaceDE w:val="0"/>
        <w:autoSpaceDN w:val="0"/>
        <w:adjustRightInd w:val="0"/>
        <w:spacing w:line="480" w:lineRule="auto"/>
        <w:jc w:val="both"/>
        <w:rPr>
          <w:rFonts w:ascii="Times New Roman" w:hAnsi="Times New Roman" w:cs="Times New Roman"/>
          <w:i/>
          <w:color w:val="000000"/>
          <w:sz w:val="22"/>
          <w:szCs w:val="22"/>
        </w:rPr>
      </w:pPr>
      <w:r w:rsidRPr="00341293">
        <w:rPr>
          <w:rFonts w:ascii="Times New Roman" w:hAnsi="Times New Roman" w:cs="Times New Roman"/>
          <w:i/>
          <w:color w:val="000000"/>
          <w:sz w:val="22"/>
          <w:szCs w:val="22"/>
        </w:rPr>
        <w:t>Changes to Power Setting (Voltage)</w:t>
      </w:r>
    </w:p>
    <w:p w14:paraId="3050483F" w14:textId="67F48229" w:rsidR="00341293" w:rsidRDefault="00341293" w:rsidP="00341293">
      <w:pPr>
        <w:widowControl w:val="0"/>
        <w:autoSpaceDE w:val="0"/>
        <w:autoSpaceDN w:val="0"/>
        <w:adjustRightInd w:val="0"/>
        <w:spacing w:line="480" w:lineRule="auto"/>
        <w:ind w:left="62"/>
        <w:jc w:val="both"/>
        <w:rPr>
          <w:rFonts w:ascii="Times New Roman" w:hAnsi="Times New Roman" w:cs="Times New Roman"/>
          <w:color w:val="000000"/>
          <w:sz w:val="22"/>
          <w:szCs w:val="22"/>
        </w:rPr>
      </w:pPr>
      <w:r>
        <w:rPr>
          <w:rFonts w:ascii="Times New Roman" w:hAnsi="Times New Roman" w:cs="Times New Roman"/>
          <w:color w:val="000000"/>
          <w:sz w:val="22"/>
          <w:szCs w:val="22"/>
        </w:rPr>
        <w:t>When participants were permitted to adjust the power</w:t>
      </w:r>
      <w:r w:rsidRPr="00095B95">
        <w:rPr>
          <w:rFonts w:ascii="Times New Roman" w:hAnsi="Times New Roman" w:cs="Times New Roman"/>
          <w:color w:val="000000"/>
          <w:sz w:val="22"/>
          <w:szCs w:val="22"/>
        </w:rPr>
        <w:t>, compared to the fixed 4V (10W) condition</w:t>
      </w:r>
      <w:r>
        <w:rPr>
          <w:rFonts w:ascii="Times New Roman" w:hAnsi="Times New Roman" w:cs="Times New Roman"/>
          <w:color w:val="000000"/>
          <w:sz w:val="22"/>
          <w:szCs w:val="22"/>
        </w:rPr>
        <w:t>, 13 increased the voltage, 2 made no changes and 4 decreased it in the 6 mg/mL nicotine condition.  In the 18 mg/mL nicotine condition, 6 increased the voltage, 5 made no changes and 7 decreased it</w:t>
      </w:r>
      <w:r w:rsidR="001317EE">
        <w:rPr>
          <w:rFonts w:ascii="Times New Roman" w:hAnsi="Times New Roman" w:cs="Times New Roman"/>
          <w:color w:val="000000"/>
          <w:sz w:val="22"/>
          <w:szCs w:val="22"/>
        </w:rPr>
        <w:t>.</w:t>
      </w:r>
      <w:r>
        <w:rPr>
          <w:rFonts w:ascii="Times New Roman" w:hAnsi="Times New Roman" w:cs="Times New Roman"/>
          <w:color w:val="000000"/>
          <w:sz w:val="22"/>
          <w:szCs w:val="22"/>
        </w:rPr>
        <w:t xml:space="preserve">  Overall, mean voltage was higher in the adjustable (Mean = 4.39, SD = 0.75) compared with the fixed (4V) power condition; </w:t>
      </w:r>
      <w:r w:rsidRPr="000068A0">
        <w:rPr>
          <w:rFonts w:ascii="Times New Roman" w:hAnsi="Times New Roman" w:cs="Times New Roman"/>
          <w:color w:val="000000"/>
          <w:sz w:val="22"/>
          <w:szCs w:val="22"/>
        </w:rPr>
        <w:t>participants increased the voltage by a mean of 0.5</w:t>
      </w:r>
      <w:r>
        <w:rPr>
          <w:rFonts w:ascii="Times New Roman" w:hAnsi="Times New Roman" w:cs="Times New Roman"/>
          <w:color w:val="000000"/>
          <w:sz w:val="22"/>
          <w:szCs w:val="22"/>
        </w:rPr>
        <w:t>v (95% CI = 0.17 – 0.84) in the low nicotine condition and 0.3</w:t>
      </w:r>
      <w:r w:rsidRPr="000068A0">
        <w:rPr>
          <w:rFonts w:ascii="Times New Roman" w:hAnsi="Times New Roman" w:cs="Times New Roman"/>
          <w:color w:val="000000"/>
          <w:sz w:val="22"/>
          <w:szCs w:val="22"/>
        </w:rPr>
        <w:t xml:space="preserve">v </w:t>
      </w:r>
      <w:r>
        <w:rPr>
          <w:rFonts w:ascii="Times New Roman" w:hAnsi="Times New Roman" w:cs="Times New Roman"/>
          <w:color w:val="000000"/>
          <w:sz w:val="22"/>
          <w:szCs w:val="22"/>
        </w:rPr>
        <w:t xml:space="preserve">(95% CI = 0.12 – 0.65) </w:t>
      </w:r>
      <w:r w:rsidRPr="000068A0">
        <w:rPr>
          <w:rFonts w:ascii="Times New Roman" w:hAnsi="Times New Roman" w:cs="Times New Roman"/>
          <w:color w:val="000000"/>
          <w:sz w:val="22"/>
          <w:szCs w:val="22"/>
        </w:rPr>
        <w:t xml:space="preserve">in </w:t>
      </w:r>
      <w:r>
        <w:rPr>
          <w:rFonts w:ascii="Times New Roman" w:hAnsi="Times New Roman" w:cs="Times New Roman"/>
          <w:color w:val="000000"/>
          <w:sz w:val="22"/>
          <w:szCs w:val="22"/>
        </w:rPr>
        <w:t>the high</w:t>
      </w:r>
      <w:r w:rsidRPr="000068A0">
        <w:rPr>
          <w:rFonts w:ascii="Times New Roman" w:hAnsi="Times New Roman" w:cs="Times New Roman"/>
          <w:color w:val="000000"/>
          <w:sz w:val="22"/>
          <w:szCs w:val="22"/>
        </w:rPr>
        <w:t xml:space="preserve"> condition.</w:t>
      </w:r>
    </w:p>
    <w:p w14:paraId="4477A614" w14:textId="77777777" w:rsidR="00CA24A9" w:rsidRDefault="00CA24A9" w:rsidP="00BB54BA">
      <w:pPr>
        <w:widowControl w:val="0"/>
        <w:autoSpaceDE w:val="0"/>
        <w:autoSpaceDN w:val="0"/>
        <w:adjustRightInd w:val="0"/>
        <w:spacing w:after="240" w:line="480" w:lineRule="auto"/>
        <w:jc w:val="both"/>
        <w:rPr>
          <w:rFonts w:ascii="Times New Roman" w:hAnsi="Times New Roman" w:cs="Times New Roman"/>
          <w:color w:val="000000"/>
          <w:sz w:val="22"/>
          <w:szCs w:val="22"/>
        </w:rPr>
      </w:pPr>
    </w:p>
    <w:p w14:paraId="531F4CE2" w14:textId="5DBCBF5E" w:rsidR="00DB618D" w:rsidRDefault="00FE7A20" w:rsidP="0005559B">
      <w:pPr>
        <w:widowControl w:val="0"/>
        <w:autoSpaceDE w:val="0"/>
        <w:autoSpaceDN w:val="0"/>
        <w:adjustRightInd w:val="0"/>
        <w:spacing w:line="480" w:lineRule="auto"/>
        <w:ind w:left="62"/>
        <w:jc w:val="both"/>
        <w:rPr>
          <w:rFonts w:ascii="Times New Roman" w:hAnsi="Times New Roman" w:cs="Times New Roman"/>
          <w:b/>
          <w:color w:val="000000"/>
          <w:sz w:val="22"/>
          <w:szCs w:val="22"/>
        </w:rPr>
      </w:pPr>
      <w:r>
        <w:rPr>
          <w:rFonts w:ascii="Times New Roman" w:hAnsi="Times New Roman" w:cs="Times New Roman"/>
          <w:b/>
          <w:color w:val="000000"/>
          <w:sz w:val="22"/>
          <w:szCs w:val="22"/>
        </w:rPr>
        <w:t>Subjective Effects</w:t>
      </w:r>
    </w:p>
    <w:p w14:paraId="2D0668DE" w14:textId="16899C71" w:rsidR="001317EE" w:rsidRPr="001317EE" w:rsidRDefault="001317EE" w:rsidP="00842993">
      <w:pPr>
        <w:widowControl w:val="0"/>
        <w:autoSpaceDE w:val="0"/>
        <w:autoSpaceDN w:val="0"/>
        <w:adjustRightInd w:val="0"/>
        <w:spacing w:after="240" w:line="480" w:lineRule="auto"/>
        <w:ind w:left="60"/>
        <w:jc w:val="both"/>
        <w:rPr>
          <w:rFonts w:ascii="Times New Roman" w:hAnsi="Times New Roman" w:cs="Times New Roman"/>
          <w:color w:val="000000"/>
          <w:sz w:val="22"/>
          <w:szCs w:val="22"/>
        </w:rPr>
      </w:pPr>
      <w:r w:rsidRPr="00095B95">
        <w:rPr>
          <w:rFonts w:ascii="Times New Roman" w:hAnsi="Times New Roman" w:cs="Times New Roman"/>
          <w:color w:val="000000"/>
          <w:sz w:val="22"/>
          <w:szCs w:val="22"/>
        </w:rPr>
        <w:t xml:space="preserve">Mean scores for subjective effects </w:t>
      </w:r>
      <w:r w:rsidR="0005559B" w:rsidRPr="00095B95">
        <w:rPr>
          <w:rFonts w:ascii="Times New Roman" w:hAnsi="Times New Roman" w:cs="Times New Roman"/>
          <w:color w:val="000000"/>
          <w:sz w:val="22"/>
          <w:szCs w:val="22"/>
        </w:rPr>
        <w:t>in each condition</w:t>
      </w:r>
      <w:r w:rsidRPr="00095B95">
        <w:rPr>
          <w:rFonts w:ascii="Times New Roman" w:hAnsi="Times New Roman" w:cs="Times New Roman"/>
          <w:color w:val="000000"/>
          <w:sz w:val="22"/>
          <w:szCs w:val="22"/>
        </w:rPr>
        <w:t xml:space="preserve"> are presented in Table 2.</w:t>
      </w:r>
      <w:r>
        <w:rPr>
          <w:rFonts w:ascii="Times New Roman" w:hAnsi="Times New Roman" w:cs="Times New Roman"/>
          <w:color w:val="000000"/>
          <w:sz w:val="22"/>
          <w:szCs w:val="22"/>
        </w:rPr>
        <w:t xml:space="preserve"> </w:t>
      </w:r>
    </w:p>
    <w:p w14:paraId="05D5C3E6" w14:textId="63CCF3ED" w:rsidR="00B34C8F" w:rsidRPr="00341293" w:rsidRDefault="00B34C8F" w:rsidP="00CA24A9">
      <w:pPr>
        <w:widowControl w:val="0"/>
        <w:autoSpaceDE w:val="0"/>
        <w:autoSpaceDN w:val="0"/>
        <w:adjustRightInd w:val="0"/>
        <w:spacing w:line="480" w:lineRule="auto"/>
        <w:ind w:left="62"/>
        <w:jc w:val="both"/>
        <w:rPr>
          <w:rFonts w:ascii="Times New Roman" w:hAnsi="Times New Roman" w:cs="Times New Roman"/>
          <w:i/>
          <w:color w:val="000000"/>
          <w:sz w:val="22"/>
          <w:szCs w:val="22"/>
        </w:rPr>
      </w:pPr>
      <w:r w:rsidRPr="00341293">
        <w:rPr>
          <w:rFonts w:ascii="Times New Roman" w:hAnsi="Times New Roman" w:cs="Times New Roman"/>
          <w:i/>
          <w:color w:val="000000"/>
          <w:sz w:val="22"/>
          <w:szCs w:val="22"/>
        </w:rPr>
        <w:t>Urge to Vape</w:t>
      </w:r>
    </w:p>
    <w:p w14:paraId="2BE22FD7" w14:textId="6B04D36F" w:rsidR="00C44075" w:rsidRPr="001317EE" w:rsidRDefault="008267F0" w:rsidP="001317EE">
      <w:pPr>
        <w:widowControl w:val="0"/>
        <w:autoSpaceDE w:val="0"/>
        <w:autoSpaceDN w:val="0"/>
        <w:adjustRightInd w:val="0"/>
        <w:spacing w:after="240" w:line="480" w:lineRule="auto"/>
        <w:ind w:left="62"/>
        <w:jc w:val="both"/>
        <w:rPr>
          <w:rFonts w:ascii="Times New Roman" w:hAnsi="Times New Roman" w:cs="Times New Roman"/>
          <w:color w:val="000000"/>
          <w:sz w:val="22"/>
          <w:szCs w:val="22"/>
        </w:rPr>
      </w:pPr>
      <w:r w:rsidRPr="00095B95">
        <w:rPr>
          <w:rFonts w:ascii="Times New Roman" w:hAnsi="Times New Roman" w:cs="Times New Roman"/>
          <w:color w:val="000000"/>
          <w:sz w:val="22"/>
          <w:szCs w:val="22"/>
        </w:rPr>
        <w:lastRenderedPageBreak/>
        <w:t>Although there was no significant nicotine</w:t>
      </w:r>
      <w:r w:rsidR="0017166B" w:rsidRPr="00095B95">
        <w:rPr>
          <w:rFonts w:ascii="Times New Roman" w:hAnsi="Times New Roman" w:cs="Times New Roman"/>
          <w:color w:val="000000"/>
          <w:sz w:val="22"/>
          <w:szCs w:val="22"/>
        </w:rPr>
        <w:t xml:space="preserve"> </w:t>
      </w:r>
      <w:r w:rsidR="001A594C" w:rsidRPr="00095B95">
        <w:rPr>
          <w:rFonts w:ascii="Times New Roman" w:hAnsi="Times New Roman" w:cs="Times New Roman"/>
          <w:color w:val="000000"/>
          <w:sz w:val="22"/>
          <w:szCs w:val="22"/>
        </w:rPr>
        <w:t>concentration</w:t>
      </w:r>
      <w:r w:rsidRPr="00095B95">
        <w:rPr>
          <w:rFonts w:ascii="Times New Roman" w:hAnsi="Times New Roman" w:cs="Times New Roman"/>
          <w:color w:val="000000"/>
          <w:sz w:val="22"/>
          <w:szCs w:val="22"/>
        </w:rPr>
        <w:t xml:space="preserve"> x power interaction for either urge to vape or</w:t>
      </w:r>
      <w:r>
        <w:rPr>
          <w:rFonts w:ascii="Times New Roman" w:hAnsi="Times New Roman" w:cs="Times New Roman"/>
          <w:color w:val="000000"/>
          <w:sz w:val="22"/>
          <w:szCs w:val="22"/>
        </w:rPr>
        <w:t xml:space="preserve"> strength of urges,</w:t>
      </w:r>
      <w:r>
        <w:rPr>
          <w:rFonts w:ascii="Times New Roman" w:hAnsi="Times New Roman" w:cs="Times New Roman"/>
          <w:color w:val="000000"/>
          <w:sz w:val="22"/>
          <w:szCs w:val="22"/>
          <w:vertAlign w:val="subscript"/>
        </w:rPr>
        <w:t xml:space="preserve"> </w:t>
      </w:r>
      <w:r w:rsidR="00B34C8F">
        <w:rPr>
          <w:rFonts w:ascii="Times New Roman" w:hAnsi="Times New Roman" w:cs="Times New Roman"/>
          <w:color w:val="000000"/>
          <w:sz w:val="22"/>
          <w:szCs w:val="22"/>
        </w:rPr>
        <w:t xml:space="preserve">both </w:t>
      </w:r>
      <w:r>
        <w:rPr>
          <w:rFonts w:ascii="Times New Roman" w:hAnsi="Times New Roman" w:cs="Times New Roman"/>
          <w:color w:val="000000"/>
          <w:sz w:val="22"/>
          <w:szCs w:val="22"/>
        </w:rPr>
        <w:t xml:space="preserve">were </w:t>
      </w:r>
      <w:r w:rsidR="00B34C8F">
        <w:rPr>
          <w:rFonts w:ascii="Times New Roman" w:hAnsi="Times New Roman" w:cs="Times New Roman"/>
          <w:color w:val="000000"/>
          <w:sz w:val="22"/>
          <w:szCs w:val="22"/>
        </w:rPr>
        <w:t xml:space="preserve">significantly higher in </w:t>
      </w:r>
      <w:r w:rsidR="006D29CB">
        <w:rPr>
          <w:rFonts w:ascii="Times New Roman" w:hAnsi="Times New Roman" w:cs="Times New Roman"/>
          <w:color w:val="000000"/>
          <w:sz w:val="22"/>
          <w:szCs w:val="22"/>
        </w:rPr>
        <w:t>the 6 compared with the 18 mg/mL</w:t>
      </w:r>
      <w:r w:rsidR="00B34C8F">
        <w:rPr>
          <w:rFonts w:ascii="Times New Roman" w:hAnsi="Times New Roman" w:cs="Times New Roman"/>
          <w:color w:val="000000"/>
          <w:sz w:val="22"/>
          <w:szCs w:val="22"/>
        </w:rPr>
        <w:t xml:space="preserve"> nicotine condition</w:t>
      </w:r>
      <w:r w:rsidR="00461A4E">
        <w:rPr>
          <w:rFonts w:ascii="Times New Roman" w:hAnsi="Times New Roman" w:cs="Times New Roman"/>
          <w:color w:val="000000"/>
          <w:sz w:val="22"/>
          <w:szCs w:val="22"/>
        </w:rPr>
        <w:t xml:space="preserve"> (main effect of nicotine)</w:t>
      </w:r>
      <w:r w:rsidR="001317EE">
        <w:rPr>
          <w:rFonts w:ascii="Times New Roman" w:hAnsi="Times New Roman" w:cs="Times New Roman"/>
          <w:color w:val="000000"/>
          <w:sz w:val="22"/>
          <w:szCs w:val="22"/>
        </w:rPr>
        <w:t>.</w:t>
      </w:r>
    </w:p>
    <w:p w14:paraId="00D36A42" w14:textId="7C248E3B" w:rsidR="00DB618D" w:rsidRPr="00341293" w:rsidRDefault="00B34C8F" w:rsidP="00CA24A9">
      <w:pPr>
        <w:widowControl w:val="0"/>
        <w:autoSpaceDE w:val="0"/>
        <w:autoSpaceDN w:val="0"/>
        <w:adjustRightInd w:val="0"/>
        <w:spacing w:line="480" w:lineRule="auto"/>
        <w:ind w:left="62"/>
        <w:jc w:val="both"/>
        <w:rPr>
          <w:rFonts w:ascii="Times New Roman" w:hAnsi="Times New Roman" w:cs="Times New Roman"/>
          <w:i/>
          <w:color w:val="000000"/>
          <w:sz w:val="22"/>
          <w:szCs w:val="22"/>
        </w:rPr>
      </w:pPr>
      <w:r w:rsidRPr="00341293">
        <w:rPr>
          <w:rFonts w:ascii="Times New Roman" w:hAnsi="Times New Roman" w:cs="Times New Roman"/>
          <w:i/>
          <w:color w:val="000000"/>
          <w:sz w:val="22"/>
          <w:szCs w:val="22"/>
        </w:rPr>
        <w:t>Withdrawal Symptoms</w:t>
      </w:r>
    </w:p>
    <w:p w14:paraId="200F50B1" w14:textId="0009D1DB" w:rsidR="000053AF" w:rsidRDefault="008267F0" w:rsidP="0005559B">
      <w:pPr>
        <w:widowControl w:val="0"/>
        <w:autoSpaceDE w:val="0"/>
        <w:autoSpaceDN w:val="0"/>
        <w:adjustRightInd w:val="0"/>
        <w:spacing w:after="240" w:line="480" w:lineRule="auto"/>
        <w:ind w:left="60"/>
        <w:jc w:val="both"/>
        <w:rPr>
          <w:rFonts w:ascii="Times New Roman" w:hAnsi="Times New Roman" w:cs="Times New Roman"/>
          <w:color w:val="000000"/>
          <w:sz w:val="22"/>
          <w:szCs w:val="22"/>
        </w:rPr>
      </w:pPr>
      <w:r w:rsidRPr="00095B95">
        <w:rPr>
          <w:rFonts w:ascii="Times New Roman" w:hAnsi="Times New Roman" w:cs="Times New Roman"/>
          <w:color w:val="000000"/>
          <w:sz w:val="22"/>
          <w:szCs w:val="22"/>
        </w:rPr>
        <w:t>The nicotine x power interaction was not statistically significant</w:t>
      </w:r>
      <w:r w:rsidR="0005559B" w:rsidRPr="00095B95">
        <w:rPr>
          <w:rFonts w:ascii="Times New Roman" w:hAnsi="Times New Roman" w:cs="Times New Roman"/>
          <w:color w:val="000000"/>
          <w:sz w:val="22"/>
          <w:szCs w:val="22"/>
        </w:rPr>
        <w:t xml:space="preserve"> although n</w:t>
      </w:r>
      <w:r w:rsidR="00B34C8F" w:rsidRPr="00095B95">
        <w:rPr>
          <w:rFonts w:ascii="Times New Roman" w:hAnsi="Times New Roman" w:cs="Times New Roman"/>
          <w:color w:val="000000"/>
          <w:sz w:val="22"/>
          <w:szCs w:val="22"/>
        </w:rPr>
        <w:t>icotine withdrawal</w:t>
      </w:r>
      <w:r w:rsidR="00B34C8F">
        <w:rPr>
          <w:rFonts w:ascii="Times New Roman" w:hAnsi="Times New Roman" w:cs="Times New Roman"/>
          <w:color w:val="000000"/>
          <w:sz w:val="22"/>
          <w:szCs w:val="22"/>
        </w:rPr>
        <w:t xml:space="preserve"> symptoms</w:t>
      </w:r>
      <w:r w:rsidR="0005559B">
        <w:rPr>
          <w:rFonts w:ascii="Times New Roman" w:hAnsi="Times New Roman" w:cs="Times New Roman"/>
          <w:color w:val="000000"/>
          <w:sz w:val="22"/>
          <w:szCs w:val="22"/>
        </w:rPr>
        <w:t xml:space="preserve"> </w:t>
      </w:r>
      <w:r w:rsidR="00B34C8F">
        <w:rPr>
          <w:rFonts w:ascii="Times New Roman" w:hAnsi="Times New Roman" w:cs="Times New Roman"/>
          <w:color w:val="000000"/>
          <w:sz w:val="22"/>
          <w:szCs w:val="22"/>
        </w:rPr>
        <w:t>were higher in the 6</w:t>
      </w:r>
      <w:r w:rsidR="00B93782">
        <w:rPr>
          <w:rFonts w:ascii="Times New Roman" w:hAnsi="Times New Roman" w:cs="Times New Roman"/>
          <w:color w:val="000000"/>
          <w:sz w:val="22"/>
          <w:szCs w:val="22"/>
        </w:rPr>
        <w:t xml:space="preserve"> vs 18</w:t>
      </w:r>
      <w:r w:rsidR="006D29CB">
        <w:rPr>
          <w:rFonts w:ascii="Times New Roman" w:hAnsi="Times New Roman" w:cs="Times New Roman"/>
          <w:color w:val="000000"/>
          <w:sz w:val="22"/>
          <w:szCs w:val="22"/>
        </w:rPr>
        <w:t xml:space="preserve"> </w:t>
      </w:r>
      <w:r w:rsidR="0005559B">
        <w:rPr>
          <w:rFonts w:ascii="Times New Roman" w:hAnsi="Times New Roman" w:cs="Times New Roman"/>
          <w:color w:val="000000"/>
          <w:sz w:val="22"/>
          <w:szCs w:val="22"/>
        </w:rPr>
        <w:t>mg/mL condition (main effect of nicotine)</w:t>
      </w:r>
      <w:r w:rsidR="00B34C8F">
        <w:rPr>
          <w:rFonts w:ascii="Times New Roman" w:hAnsi="Times New Roman" w:cs="Times New Roman"/>
          <w:color w:val="000000"/>
          <w:sz w:val="22"/>
          <w:szCs w:val="22"/>
        </w:rPr>
        <w:t xml:space="preserve"> and in the fixed </w:t>
      </w:r>
      <w:r w:rsidR="00CE33D6">
        <w:rPr>
          <w:rFonts w:ascii="Times New Roman" w:hAnsi="Times New Roman" w:cs="Times New Roman"/>
          <w:color w:val="000000"/>
          <w:sz w:val="22"/>
          <w:szCs w:val="22"/>
        </w:rPr>
        <w:t>vs adjustable power</w:t>
      </w:r>
      <w:r w:rsidR="00B630F4">
        <w:rPr>
          <w:rFonts w:ascii="Times New Roman" w:hAnsi="Times New Roman" w:cs="Times New Roman"/>
          <w:color w:val="000000"/>
          <w:sz w:val="22"/>
          <w:szCs w:val="22"/>
        </w:rPr>
        <w:t xml:space="preserve"> </w:t>
      </w:r>
      <w:r w:rsidR="00B34C8F">
        <w:rPr>
          <w:rFonts w:ascii="Times New Roman" w:hAnsi="Times New Roman" w:cs="Times New Roman"/>
          <w:color w:val="000000"/>
          <w:sz w:val="22"/>
          <w:szCs w:val="22"/>
        </w:rPr>
        <w:t>c</w:t>
      </w:r>
      <w:r w:rsidR="00CE33D6">
        <w:rPr>
          <w:rFonts w:ascii="Times New Roman" w:hAnsi="Times New Roman" w:cs="Times New Roman"/>
          <w:color w:val="000000"/>
          <w:sz w:val="22"/>
          <w:szCs w:val="22"/>
        </w:rPr>
        <w:t>ondition (main effect of power</w:t>
      </w:r>
      <w:r w:rsidR="00F769FF">
        <w:rPr>
          <w:rFonts w:ascii="Times New Roman" w:hAnsi="Times New Roman" w:cs="Times New Roman"/>
          <w:color w:val="000000"/>
          <w:sz w:val="22"/>
          <w:szCs w:val="22"/>
        </w:rPr>
        <w:t>)</w:t>
      </w:r>
      <w:r w:rsidR="00CE33D6">
        <w:rPr>
          <w:rFonts w:ascii="Times New Roman" w:hAnsi="Times New Roman" w:cs="Times New Roman"/>
          <w:color w:val="000000"/>
          <w:sz w:val="22"/>
          <w:szCs w:val="22"/>
        </w:rPr>
        <w:t xml:space="preserve">.  </w:t>
      </w:r>
    </w:p>
    <w:p w14:paraId="48F399F2" w14:textId="4DE53539" w:rsidR="00644B42" w:rsidRPr="00341293" w:rsidRDefault="000053AF" w:rsidP="00CA24A9">
      <w:pPr>
        <w:widowControl w:val="0"/>
        <w:autoSpaceDE w:val="0"/>
        <w:autoSpaceDN w:val="0"/>
        <w:adjustRightInd w:val="0"/>
        <w:spacing w:line="480" w:lineRule="auto"/>
        <w:ind w:left="62"/>
        <w:jc w:val="both"/>
        <w:rPr>
          <w:rFonts w:ascii="Times New Roman" w:hAnsi="Times New Roman" w:cs="Times New Roman"/>
          <w:i/>
          <w:color w:val="000000"/>
          <w:sz w:val="22"/>
          <w:szCs w:val="22"/>
        </w:rPr>
      </w:pPr>
      <w:r w:rsidRPr="00341293">
        <w:rPr>
          <w:rFonts w:ascii="Times New Roman" w:hAnsi="Times New Roman" w:cs="Times New Roman"/>
          <w:i/>
          <w:color w:val="000000"/>
          <w:sz w:val="22"/>
          <w:szCs w:val="22"/>
        </w:rPr>
        <w:t>Positive Effects</w:t>
      </w:r>
    </w:p>
    <w:p w14:paraId="30BA0647" w14:textId="39050F10" w:rsidR="00C60474" w:rsidRDefault="00644B42" w:rsidP="0005559B">
      <w:pPr>
        <w:widowControl w:val="0"/>
        <w:autoSpaceDE w:val="0"/>
        <w:autoSpaceDN w:val="0"/>
        <w:adjustRightInd w:val="0"/>
        <w:spacing w:after="240" w:line="480" w:lineRule="auto"/>
        <w:ind w:left="60"/>
        <w:jc w:val="both"/>
        <w:rPr>
          <w:rFonts w:ascii="Times New Roman" w:hAnsi="Times New Roman" w:cs="Times New Roman"/>
          <w:color w:val="000000"/>
          <w:sz w:val="22"/>
          <w:szCs w:val="22"/>
        </w:rPr>
      </w:pPr>
      <w:r w:rsidRPr="00095B95">
        <w:rPr>
          <w:rFonts w:ascii="Times New Roman" w:hAnsi="Times New Roman" w:cs="Times New Roman"/>
          <w:color w:val="000000"/>
          <w:sz w:val="22"/>
          <w:szCs w:val="22"/>
        </w:rPr>
        <w:t xml:space="preserve">There was </w:t>
      </w:r>
      <w:r w:rsidR="008267F0" w:rsidRPr="00095B95">
        <w:rPr>
          <w:rFonts w:ascii="Times New Roman" w:hAnsi="Times New Roman" w:cs="Times New Roman"/>
          <w:color w:val="000000"/>
          <w:sz w:val="22"/>
          <w:szCs w:val="22"/>
        </w:rPr>
        <w:t xml:space="preserve">a </w:t>
      </w:r>
      <w:r w:rsidRPr="00095B95">
        <w:rPr>
          <w:rFonts w:ascii="Times New Roman" w:hAnsi="Times New Roman" w:cs="Times New Roman"/>
          <w:color w:val="000000"/>
          <w:sz w:val="22"/>
          <w:szCs w:val="22"/>
        </w:rPr>
        <w:t xml:space="preserve">significant nicotine x </w:t>
      </w:r>
      <w:r w:rsidR="00CE33D6" w:rsidRPr="00095B95">
        <w:rPr>
          <w:rFonts w:ascii="Times New Roman" w:hAnsi="Times New Roman" w:cs="Times New Roman"/>
          <w:color w:val="000000"/>
          <w:sz w:val="22"/>
          <w:szCs w:val="22"/>
        </w:rPr>
        <w:t xml:space="preserve">power </w:t>
      </w:r>
      <w:r w:rsidRPr="00095B95">
        <w:rPr>
          <w:rFonts w:ascii="Times New Roman" w:hAnsi="Times New Roman" w:cs="Times New Roman"/>
          <w:color w:val="000000"/>
          <w:sz w:val="22"/>
          <w:szCs w:val="22"/>
        </w:rPr>
        <w:t xml:space="preserve">interaction </w:t>
      </w:r>
      <w:r w:rsidR="008267F0" w:rsidRPr="00095B95">
        <w:rPr>
          <w:rFonts w:ascii="Times New Roman" w:hAnsi="Times New Roman" w:cs="Times New Roman"/>
          <w:color w:val="000000"/>
          <w:sz w:val="22"/>
          <w:szCs w:val="22"/>
        </w:rPr>
        <w:t>for positive effect</w:t>
      </w:r>
      <w:r w:rsidR="0005559B" w:rsidRPr="00095B95">
        <w:rPr>
          <w:rFonts w:ascii="Times New Roman" w:hAnsi="Times New Roman" w:cs="Times New Roman"/>
          <w:color w:val="000000"/>
          <w:sz w:val="22"/>
          <w:szCs w:val="22"/>
        </w:rPr>
        <w:t xml:space="preserve">s.  </w:t>
      </w:r>
      <w:r w:rsidRPr="00095B95">
        <w:rPr>
          <w:rFonts w:ascii="Times New Roman" w:hAnsi="Times New Roman" w:cs="Times New Roman"/>
          <w:color w:val="000000"/>
          <w:sz w:val="22"/>
          <w:szCs w:val="22"/>
        </w:rPr>
        <w:t>Post-hoc tests revealed that</w:t>
      </w:r>
      <w:r>
        <w:rPr>
          <w:rFonts w:ascii="Times New Roman" w:hAnsi="Times New Roman" w:cs="Times New Roman"/>
          <w:color w:val="000000"/>
          <w:sz w:val="22"/>
          <w:szCs w:val="22"/>
        </w:rPr>
        <w:t xml:space="preserve"> positive effects were lower in the 6 vs. the 18</w:t>
      </w:r>
      <w:r w:rsidR="006D29CB">
        <w:rPr>
          <w:rFonts w:ascii="Times New Roman" w:hAnsi="Times New Roman" w:cs="Times New Roman"/>
          <w:color w:val="000000"/>
          <w:sz w:val="22"/>
          <w:szCs w:val="22"/>
        </w:rPr>
        <w:t xml:space="preserve"> </w:t>
      </w:r>
      <w:r>
        <w:rPr>
          <w:rFonts w:ascii="Times New Roman" w:hAnsi="Times New Roman" w:cs="Times New Roman"/>
          <w:color w:val="000000"/>
          <w:sz w:val="22"/>
          <w:szCs w:val="22"/>
        </w:rPr>
        <w:t>mg/mL nicotin</w:t>
      </w:r>
      <w:r w:rsidR="00CE33D6">
        <w:rPr>
          <w:rFonts w:ascii="Times New Roman" w:hAnsi="Times New Roman" w:cs="Times New Roman"/>
          <w:color w:val="000000"/>
          <w:sz w:val="22"/>
          <w:szCs w:val="22"/>
        </w:rPr>
        <w:t>e condition under fixed power</w:t>
      </w:r>
      <w:r>
        <w:rPr>
          <w:rFonts w:ascii="Times New Roman" w:hAnsi="Times New Roman" w:cs="Times New Roman"/>
          <w:color w:val="000000"/>
          <w:sz w:val="22"/>
          <w:szCs w:val="22"/>
        </w:rPr>
        <w:t xml:space="preserve"> (6F vs. 18F: t</w:t>
      </w:r>
      <w:r w:rsidR="00587C0F">
        <w:rPr>
          <w:rFonts w:ascii="Times New Roman" w:hAnsi="Times New Roman" w:cs="Times New Roman"/>
          <w:color w:val="000000"/>
          <w:sz w:val="22"/>
          <w:szCs w:val="22"/>
          <w:vertAlign w:val="subscript"/>
        </w:rPr>
        <w:t>19</w:t>
      </w:r>
      <w:r w:rsidR="00587C0F">
        <w:rPr>
          <w:rFonts w:ascii="Times New Roman" w:hAnsi="Times New Roman" w:cs="Times New Roman"/>
          <w:color w:val="000000"/>
          <w:sz w:val="22"/>
          <w:szCs w:val="22"/>
        </w:rPr>
        <w:t xml:space="preserve"> = -2.96</w:t>
      </w:r>
      <w:r>
        <w:rPr>
          <w:rFonts w:ascii="Times New Roman" w:hAnsi="Times New Roman" w:cs="Times New Roman"/>
          <w:color w:val="000000"/>
          <w:sz w:val="22"/>
          <w:szCs w:val="22"/>
        </w:rPr>
        <w:t>, p = 0.008</w:t>
      </w:r>
      <w:r w:rsidR="00587C0F">
        <w:rPr>
          <w:rFonts w:ascii="Times New Roman" w:hAnsi="Times New Roman" w:cs="Times New Roman"/>
          <w:color w:val="000000"/>
          <w:sz w:val="22"/>
          <w:szCs w:val="22"/>
        </w:rPr>
        <w:t>, mean difference = -11.93, 95% CI = -20.38 – -3.49</w:t>
      </w:r>
      <w:r>
        <w:rPr>
          <w:rFonts w:ascii="Times New Roman" w:hAnsi="Times New Roman" w:cs="Times New Roman"/>
          <w:color w:val="000000"/>
          <w:sz w:val="22"/>
          <w:szCs w:val="22"/>
        </w:rPr>
        <w:t xml:space="preserve">) </w:t>
      </w:r>
      <w:r w:rsidR="00EC4CE2">
        <w:rPr>
          <w:rFonts w:ascii="Times New Roman" w:hAnsi="Times New Roman" w:cs="Times New Roman"/>
          <w:color w:val="000000"/>
          <w:sz w:val="22"/>
          <w:szCs w:val="22"/>
        </w:rPr>
        <w:t xml:space="preserve">and </w:t>
      </w:r>
      <w:r w:rsidR="00CE33D6">
        <w:rPr>
          <w:rFonts w:ascii="Times New Roman" w:hAnsi="Times New Roman" w:cs="Times New Roman"/>
          <w:color w:val="000000"/>
          <w:sz w:val="22"/>
          <w:szCs w:val="22"/>
        </w:rPr>
        <w:t>lower under 6F compared with 6A</w:t>
      </w:r>
      <w:r w:rsidR="0089675F">
        <w:rPr>
          <w:rFonts w:ascii="Times New Roman" w:hAnsi="Times New Roman" w:cs="Times New Roman"/>
          <w:color w:val="000000"/>
          <w:sz w:val="22"/>
          <w:szCs w:val="22"/>
        </w:rPr>
        <w:t xml:space="preserve"> (</w:t>
      </w:r>
      <w:r w:rsidR="00587C0F">
        <w:rPr>
          <w:rFonts w:ascii="Times New Roman" w:hAnsi="Times New Roman" w:cs="Times New Roman"/>
          <w:color w:val="000000"/>
          <w:sz w:val="22"/>
          <w:szCs w:val="22"/>
        </w:rPr>
        <w:t>t</w:t>
      </w:r>
      <w:r w:rsidR="00587C0F">
        <w:rPr>
          <w:rFonts w:ascii="Times New Roman" w:hAnsi="Times New Roman" w:cs="Times New Roman"/>
          <w:color w:val="000000"/>
          <w:sz w:val="22"/>
          <w:szCs w:val="22"/>
          <w:vertAlign w:val="subscript"/>
        </w:rPr>
        <w:t>19</w:t>
      </w:r>
      <w:r w:rsidR="00587C0F">
        <w:rPr>
          <w:rFonts w:ascii="Times New Roman" w:hAnsi="Times New Roman" w:cs="Times New Roman"/>
          <w:color w:val="000000"/>
          <w:sz w:val="22"/>
          <w:szCs w:val="22"/>
        </w:rPr>
        <w:t xml:space="preserve"> = -3.74, p = 0.001, mean difference = -13.14, 95% CI = -20.49 – -5.79</w:t>
      </w:r>
      <w:r w:rsidR="0005559B">
        <w:rPr>
          <w:rFonts w:ascii="Times New Roman" w:hAnsi="Times New Roman" w:cs="Times New Roman"/>
          <w:color w:val="000000"/>
          <w:sz w:val="22"/>
          <w:szCs w:val="22"/>
        </w:rPr>
        <w:t>).</w:t>
      </w:r>
      <w:r w:rsidR="008267F0">
        <w:rPr>
          <w:rFonts w:ascii="Times New Roman" w:hAnsi="Times New Roman" w:cs="Times New Roman"/>
          <w:color w:val="000000"/>
          <w:sz w:val="22"/>
          <w:szCs w:val="22"/>
        </w:rPr>
        <w:t xml:space="preserve"> </w:t>
      </w:r>
    </w:p>
    <w:p w14:paraId="121F9D9A" w14:textId="77777777" w:rsidR="00A42D19" w:rsidRPr="00013ABA" w:rsidRDefault="00A42D19" w:rsidP="0005559B">
      <w:pPr>
        <w:widowControl w:val="0"/>
        <w:autoSpaceDE w:val="0"/>
        <w:autoSpaceDN w:val="0"/>
        <w:adjustRightInd w:val="0"/>
        <w:spacing w:after="240" w:line="480" w:lineRule="auto"/>
        <w:ind w:left="60"/>
        <w:jc w:val="both"/>
        <w:rPr>
          <w:rFonts w:ascii="Times New Roman" w:hAnsi="Times New Roman" w:cs="Times New Roman"/>
          <w:color w:val="000000"/>
          <w:sz w:val="22"/>
          <w:szCs w:val="22"/>
        </w:rPr>
      </w:pPr>
    </w:p>
    <w:p w14:paraId="2B7C24EC" w14:textId="08B229C3" w:rsidR="000053AF" w:rsidRPr="00341293" w:rsidRDefault="000053AF" w:rsidP="00CA24A9">
      <w:pPr>
        <w:widowControl w:val="0"/>
        <w:autoSpaceDE w:val="0"/>
        <w:autoSpaceDN w:val="0"/>
        <w:adjustRightInd w:val="0"/>
        <w:spacing w:line="480" w:lineRule="auto"/>
        <w:ind w:left="62"/>
        <w:jc w:val="both"/>
        <w:rPr>
          <w:rFonts w:ascii="Times New Roman" w:hAnsi="Times New Roman" w:cs="Times New Roman"/>
          <w:i/>
          <w:color w:val="000000"/>
          <w:sz w:val="22"/>
          <w:szCs w:val="22"/>
        </w:rPr>
      </w:pPr>
      <w:r w:rsidRPr="00341293">
        <w:rPr>
          <w:rFonts w:ascii="Times New Roman" w:hAnsi="Times New Roman" w:cs="Times New Roman"/>
          <w:i/>
          <w:color w:val="000000"/>
          <w:sz w:val="22"/>
          <w:szCs w:val="22"/>
        </w:rPr>
        <w:t>Negative Effects</w:t>
      </w:r>
    </w:p>
    <w:p w14:paraId="0E9AA6F6" w14:textId="158B24A7" w:rsidR="00013ABA" w:rsidRDefault="00013ABA" w:rsidP="00CA24A9">
      <w:pPr>
        <w:widowControl w:val="0"/>
        <w:autoSpaceDE w:val="0"/>
        <w:autoSpaceDN w:val="0"/>
        <w:adjustRightInd w:val="0"/>
        <w:spacing w:line="480" w:lineRule="auto"/>
        <w:ind w:left="62"/>
        <w:jc w:val="both"/>
        <w:rPr>
          <w:rFonts w:ascii="Times New Roman" w:hAnsi="Times New Roman" w:cs="Times New Roman"/>
          <w:color w:val="000000"/>
          <w:sz w:val="22"/>
          <w:szCs w:val="22"/>
        </w:rPr>
      </w:pPr>
      <w:r w:rsidRPr="00095B95">
        <w:rPr>
          <w:rFonts w:ascii="Times New Roman" w:hAnsi="Times New Roman" w:cs="Times New Roman"/>
          <w:color w:val="000000"/>
          <w:sz w:val="22"/>
          <w:szCs w:val="22"/>
        </w:rPr>
        <w:t>Self-reported adverse effects were v</w:t>
      </w:r>
      <w:r w:rsidR="0081016B" w:rsidRPr="00095B95">
        <w:rPr>
          <w:rFonts w:ascii="Times New Roman" w:hAnsi="Times New Roman" w:cs="Times New Roman"/>
          <w:color w:val="000000"/>
          <w:sz w:val="22"/>
          <w:szCs w:val="22"/>
        </w:rPr>
        <w:t xml:space="preserve">ery low across conditions </w:t>
      </w:r>
      <w:r w:rsidRPr="00095B95">
        <w:rPr>
          <w:rFonts w:ascii="Times New Roman" w:hAnsi="Times New Roman" w:cs="Times New Roman"/>
          <w:color w:val="000000"/>
          <w:sz w:val="22"/>
          <w:szCs w:val="22"/>
        </w:rPr>
        <w:t xml:space="preserve">and </w:t>
      </w:r>
      <w:r w:rsidR="008267F0" w:rsidRPr="00095B95">
        <w:rPr>
          <w:rFonts w:ascii="Times New Roman" w:hAnsi="Times New Roman" w:cs="Times New Roman"/>
          <w:color w:val="000000"/>
          <w:sz w:val="22"/>
          <w:szCs w:val="22"/>
        </w:rPr>
        <w:t>there was no significant nicotine x power interaction.</w:t>
      </w:r>
      <w:r w:rsidRPr="00095B95">
        <w:rPr>
          <w:rFonts w:ascii="Times New Roman" w:hAnsi="Times New Roman" w:cs="Times New Roman"/>
          <w:color w:val="000000"/>
          <w:sz w:val="22"/>
          <w:szCs w:val="22"/>
        </w:rPr>
        <w:t xml:space="preserve">  There was a si</w:t>
      </w:r>
      <w:r w:rsidR="00C65883" w:rsidRPr="00095B95">
        <w:rPr>
          <w:rFonts w:ascii="Times New Roman" w:hAnsi="Times New Roman" w:cs="Times New Roman"/>
          <w:color w:val="000000"/>
          <w:sz w:val="22"/>
          <w:szCs w:val="22"/>
        </w:rPr>
        <w:t>gnificant main effect of power</w:t>
      </w:r>
      <w:r w:rsidRPr="00095B95">
        <w:rPr>
          <w:rFonts w:ascii="Times New Roman" w:hAnsi="Times New Roman" w:cs="Times New Roman"/>
          <w:color w:val="000000"/>
          <w:sz w:val="22"/>
          <w:szCs w:val="22"/>
        </w:rPr>
        <w:t xml:space="preserve"> with higher ratings of adverse effects</w:t>
      </w:r>
      <w:r>
        <w:rPr>
          <w:rFonts w:ascii="Times New Roman" w:hAnsi="Times New Roman" w:cs="Times New Roman"/>
          <w:color w:val="000000"/>
          <w:sz w:val="22"/>
          <w:szCs w:val="22"/>
        </w:rPr>
        <w:t xml:space="preserve"> in the fixed versus the</w:t>
      </w:r>
      <w:r w:rsidR="00C65883">
        <w:rPr>
          <w:rFonts w:ascii="Times New Roman" w:hAnsi="Times New Roman" w:cs="Times New Roman"/>
          <w:color w:val="000000"/>
          <w:sz w:val="22"/>
          <w:szCs w:val="22"/>
        </w:rPr>
        <w:t xml:space="preserve"> adjustable power</w:t>
      </w:r>
      <w:r>
        <w:rPr>
          <w:rFonts w:ascii="Times New Roman" w:hAnsi="Times New Roman" w:cs="Times New Roman"/>
          <w:color w:val="000000"/>
          <w:sz w:val="22"/>
          <w:szCs w:val="22"/>
        </w:rPr>
        <w:t xml:space="preserve"> condition</w:t>
      </w:r>
      <w:r w:rsidR="008267F0">
        <w:rPr>
          <w:rFonts w:ascii="Times New Roman" w:hAnsi="Times New Roman" w:cs="Times New Roman"/>
          <w:color w:val="000000"/>
          <w:sz w:val="22"/>
          <w:szCs w:val="22"/>
        </w:rPr>
        <w:t>.</w:t>
      </w:r>
    </w:p>
    <w:p w14:paraId="201B0E64" w14:textId="77777777" w:rsidR="000E5F13" w:rsidRPr="003546B3" w:rsidRDefault="000E5F13" w:rsidP="00931795">
      <w:pPr>
        <w:widowControl w:val="0"/>
        <w:autoSpaceDE w:val="0"/>
        <w:autoSpaceDN w:val="0"/>
        <w:adjustRightInd w:val="0"/>
        <w:spacing w:after="240" w:line="480" w:lineRule="auto"/>
        <w:ind w:left="60"/>
        <w:jc w:val="both"/>
        <w:rPr>
          <w:rFonts w:ascii="Times New Roman" w:hAnsi="Times New Roman" w:cs="Times New Roman"/>
          <w:color w:val="000000"/>
          <w:sz w:val="22"/>
          <w:szCs w:val="22"/>
        </w:rPr>
      </w:pPr>
    </w:p>
    <w:p w14:paraId="7129EECE" w14:textId="77777777" w:rsidR="0005559B" w:rsidRDefault="000053AF" w:rsidP="000053AF">
      <w:pPr>
        <w:spacing w:line="480" w:lineRule="auto"/>
        <w:jc w:val="both"/>
        <w:rPr>
          <w:rFonts w:ascii="Times New Roman" w:hAnsi="Times New Roman" w:cs="Times New Roman"/>
          <w:b/>
          <w:i/>
        </w:rPr>
      </w:pPr>
      <w:r w:rsidRPr="0005559B">
        <w:rPr>
          <w:rFonts w:ascii="Times New Roman" w:hAnsi="Times New Roman" w:cs="Times New Roman"/>
          <w:b/>
        </w:rPr>
        <w:t>Biomark</w:t>
      </w:r>
      <w:r w:rsidR="0043117D" w:rsidRPr="0005559B">
        <w:rPr>
          <w:rFonts w:ascii="Times New Roman" w:hAnsi="Times New Roman" w:cs="Times New Roman"/>
          <w:b/>
        </w:rPr>
        <w:t>er</w:t>
      </w:r>
      <w:r w:rsidR="006646A4" w:rsidRPr="0005559B">
        <w:rPr>
          <w:rFonts w:ascii="Times New Roman" w:hAnsi="Times New Roman" w:cs="Times New Roman"/>
          <w:b/>
        </w:rPr>
        <w:t>s</w:t>
      </w:r>
      <w:r w:rsidR="0043117D" w:rsidRPr="0005559B">
        <w:rPr>
          <w:rFonts w:ascii="Times New Roman" w:hAnsi="Times New Roman" w:cs="Times New Roman"/>
          <w:b/>
        </w:rPr>
        <w:t xml:space="preserve"> Analysis</w:t>
      </w:r>
    </w:p>
    <w:p w14:paraId="665FE270" w14:textId="77777777" w:rsidR="0005559B" w:rsidRDefault="0005559B" w:rsidP="0005559B">
      <w:pPr>
        <w:spacing w:after="240" w:line="480" w:lineRule="auto"/>
        <w:jc w:val="both"/>
        <w:rPr>
          <w:rFonts w:ascii="Times New Roman" w:hAnsi="Times New Roman" w:cs="Times New Roman"/>
          <w:color w:val="000000"/>
          <w:sz w:val="22"/>
          <w:szCs w:val="22"/>
        </w:rPr>
      </w:pPr>
      <w:r w:rsidRPr="00095B95">
        <w:rPr>
          <w:rFonts w:ascii="Times New Roman" w:hAnsi="Times New Roman" w:cs="Times New Roman"/>
          <w:color w:val="000000"/>
          <w:sz w:val="22"/>
          <w:szCs w:val="22"/>
        </w:rPr>
        <w:t>Results of the biomarker analyse are presented in Table 2.</w:t>
      </w:r>
      <w:r>
        <w:rPr>
          <w:rFonts w:ascii="Times New Roman" w:hAnsi="Times New Roman" w:cs="Times New Roman"/>
          <w:color w:val="000000"/>
          <w:sz w:val="22"/>
          <w:szCs w:val="22"/>
        </w:rPr>
        <w:t xml:space="preserve"> </w:t>
      </w:r>
    </w:p>
    <w:p w14:paraId="671137AA" w14:textId="56391177" w:rsidR="000053AF" w:rsidRPr="0005559B" w:rsidRDefault="0005559B" w:rsidP="000053AF">
      <w:pPr>
        <w:spacing w:line="480" w:lineRule="auto"/>
        <w:jc w:val="both"/>
        <w:rPr>
          <w:rFonts w:ascii="Times New Roman" w:hAnsi="Times New Roman" w:cs="Times New Roman"/>
          <w:i/>
        </w:rPr>
      </w:pPr>
      <w:r>
        <w:rPr>
          <w:rFonts w:ascii="Times New Roman" w:hAnsi="Times New Roman" w:cs="Times New Roman"/>
          <w:i/>
        </w:rPr>
        <w:t>N</w:t>
      </w:r>
      <w:r w:rsidR="0043117D" w:rsidRPr="0005559B">
        <w:rPr>
          <w:rFonts w:ascii="Times New Roman" w:hAnsi="Times New Roman" w:cs="Times New Roman"/>
          <w:i/>
        </w:rPr>
        <w:t xml:space="preserve">icotine </w:t>
      </w:r>
      <w:r>
        <w:rPr>
          <w:rFonts w:ascii="Times New Roman" w:hAnsi="Times New Roman" w:cs="Times New Roman"/>
          <w:i/>
        </w:rPr>
        <w:t>Delivery (salivary cotinine)</w:t>
      </w:r>
      <w:r w:rsidR="0043117D" w:rsidRPr="0005559B">
        <w:rPr>
          <w:rFonts w:ascii="Times New Roman" w:hAnsi="Times New Roman" w:cs="Times New Roman"/>
          <w:i/>
        </w:rPr>
        <w:t xml:space="preserve"> </w:t>
      </w:r>
    </w:p>
    <w:p w14:paraId="4AF2FE43" w14:textId="42639E97" w:rsidR="000053AF" w:rsidRDefault="004440BE" w:rsidP="005A189E">
      <w:pPr>
        <w:widowControl w:val="0"/>
        <w:autoSpaceDE w:val="0"/>
        <w:autoSpaceDN w:val="0"/>
        <w:adjustRightInd w:val="0"/>
        <w:spacing w:after="240" w:line="480" w:lineRule="auto"/>
        <w:ind w:left="6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The interaction between nicotine </w:t>
      </w:r>
      <w:r w:rsidR="001A594C">
        <w:rPr>
          <w:rFonts w:ascii="Times New Roman" w:hAnsi="Times New Roman" w:cs="Times New Roman"/>
          <w:color w:val="000000"/>
          <w:sz w:val="22"/>
          <w:szCs w:val="22"/>
        </w:rPr>
        <w:t>concentration</w:t>
      </w:r>
      <w:r>
        <w:rPr>
          <w:rFonts w:ascii="Times New Roman" w:hAnsi="Times New Roman" w:cs="Times New Roman"/>
          <w:color w:val="000000"/>
          <w:sz w:val="22"/>
          <w:szCs w:val="22"/>
        </w:rPr>
        <w:t xml:space="preserve"> and power was not statistically significant but there was a main effect of nicotine with </w:t>
      </w:r>
      <w:r w:rsidR="00366D45">
        <w:rPr>
          <w:rFonts w:ascii="Times New Roman" w:hAnsi="Times New Roman" w:cs="Times New Roman"/>
          <w:color w:val="000000"/>
          <w:sz w:val="22"/>
          <w:szCs w:val="22"/>
        </w:rPr>
        <w:t xml:space="preserve">higher </w:t>
      </w:r>
      <w:r>
        <w:rPr>
          <w:rFonts w:ascii="Times New Roman" w:hAnsi="Times New Roman" w:cs="Times New Roman"/>
          <w:color w:val="000000"/>
          <w:sz w:val="22"/>
          <w:szCs w:val="22"/>
        </w:rPr>
        <w:t xml:space="preserve">salivary cotinine levels </w:t>
      </w:r>
      <w:r w:rsidR="00366D45">
        <w:rPr>
          <w:rFonts w:ascii="Times New Roman" w:hAnsi="Times New Roman" w:cs="Times New Roman"/>
          <w:color w:val="000000"/>
          <w:sz w:val="22"/>
          <w:szCs w:val="22"/>
        </w:rPr>
        <w:t>in the 18</w:t>
      </w:r>
      <w:r w:rsidR="006D29CB">
        <w:rPr>
          <w:rFonts w:ascii="Times New Roman" w:hAnsi="Times New Roman" w:cs="Times New Roman"/>
          <w:color w:val="000000"/>
          <w:sz w:val="22"/>
          <w:szCs w:val="22"/>
        </w:rPr>
        <w:t xml:space="preserve"> </w:t>
      </w:r>
      <w:r w:rsidR="00366D45">
        <w:rPr>
          <w:rFonts w:ascii="Times New Roman" w:hAnsi="Times New Roman" w:cs="Times New Roman"/>
          <w:color w:val="000000"/>
          <w:sz w:val="22"/>
          <w:szCs w:val="22"/>
        </w:rPr>
        <w:t xml:space="preserve">mg/mL compared with the </w:t>
      </w:r>
      <w:r w:rsidR="00366D45" w:rsidRPr="00095B95">
        <w:rPr>
          <w:rFonts w:ascii="Times New Roman" w:hAnsi="Times New Roman" w:cs="Times New Roman"/>
          <w:color w:val="000000"/>
          <w:sz w:val="22"/>
          <w:szCs w:val="22"/>
        </w:rPr>
        <w:t>6</w:t>
      </w:r>
      <w:r w:rsidR="006D29CB" w:rsidRPr="00095B95">
        <w:rPr>
          <w:rFonts w:ascii="Times New Roman" w:hAnsi="Times New Roman" w:cs="Times New Roman"/>
          <w:color w:val="000000"/>
          <w:sz w:val="22"/>
          <w:szCs w:val="22"/>
        </w:rPr>
        <w:t xml:space="preserve"> </w:t>
      </w:r>
      <w:r w:rsidR="0005559B" w:rsidRPr="00095B95">
        <w:rPr>
          <w:rFonts w:ascii="Times New Roman" w:hAnsi="Times New Roman" w:cs="Times New Roman"/>
          <w:color w:val="000000"/>
          <w:sz w:val="22"/>
          <w:szCs w:val="22"/>
        </w:rPr>
        <w:t>mg/mL nicotine condition</w:t>
      </w:r>
      <w:r w:rsidR="00B01621" w:rsidRPr="00095B95">
        <w:rPr>
          <w:rFonts w:ascii="Times New Roman" w:hAnsi="Times New Roman" w:cs="Times New Roman"/>
          <w:color w:val="000000"/>
          <w:sz w:val="22"/>
          <w:szCs w:val="22"/>
        </w:rPr>
        <w:t xml:space="preserve">.  </w:t>
      </w:r>
      <w:r w:rsidR="00E71AC7" w:rsidRPr="00095B95">
        <w:rPr>
          <w:rFonts w:ascii="Times New Roman" w:hAnsi="Times New Roman" w:cs="Times New Roman"/>
          <w:color w:val="000000"/>
          <w:sz w:val="22"/>
          <w:szCs w:val="22"/>
        </w:rPr>
        <w:t>There was also a significant main effect of order with those receiving 18mg/mL first achieving higher overall cotinine levels (F</w:t>
      </w:r>
      <w:r w:rsidR="00E71AC7" w:rsidRPr="00095B95">
        <w:rPr>
          <w:rFonts w:ascii="Times New Roman" w:hAnsi="Times New Roman" w:cs="Times New Roman"/>
          <w:color w:val="000000"/>
          <w:sz w:val="22"/>
          <w:szCs w:val="22"/>
          <w:vertAlign w:val="subscript"/>
        </w:rPr>
        <w:t>3,15</w:t>
      </w:r>
      <w:r w:rsidR="00E71AC7" w:rsidRPr="00095B95">
        <w:rPr>
          <w:rFonts w:ascii="Times New Roman" w:hAnsi="Times New Roman" w:cs="Times New Roman"/>
          <w:color w:val="000000"/>
          <w:sz w:val="22"/>
          <w:szCs w:val="22"/>
        </w:rPr>
        <w:t xml:space="preserve"> = 6.54, p = 0.005, η</w:t>
      </w:r>
      <w:r w:rsidR="00E71AC7" w:rsidRPr="00095B95">
        <w:rPr>
          <w:rFonts w:ascii="Times New Roman" w:hAnsi="Times New Roman" w:cs="Times New Roman"/>
          <w:color w:val="000000"/>
          <w:sz w:val="22"/>
          <w:szCs w:val="22"/>
          <w:vertAlign w:val="subscript"/>
        </w:rPr>
        <w:t>p</w:t>
      </w:r>
      <w:r w:rsidR="00E71AC7" w:rsidRPr="00095B95">
        <w:rPr>
          <w:rFonts w:ascii="Times New Roman" w:hAnsi="Times New Roman" w:cs="Times New Roman"/>
          <w:color w:val="000000"/>
          <w:sz w:val="22"/>
          <w:szCs w:val="22"/>
          <w:vertAlign w:val="superscript"/>
        </w:rPr>
        <w:t>2</w:t>
      </w:r>
      <w:r w:rsidR="00E71AC7" w:rsidRPr="00095B95">
        <w:rPr>
          <w:rFonts w:ascii="Times New Roman" w:hAnsi="Times New Roman" w:cs="Times New Roman"/>
          <w:color w:val="000000"/>
          <w:sz w:val="22"/>
          <w:szCs w:val="22"/>
        </w:rPr>
        <w:t xml:space="preserve"> = 0.57).</w:t>
      </w:r>
    </w:p>
    <w:p w14:paraId="3E477448" w14:textId="64E7A546" w:rsidR="0005559B" w:rsidRPr="0005559B" w:rsidRDefault="0005559B" w:rsidP="0005559B">
      <w:pPr>
        <w:widowControl w:val="0"/>
        <w:autoSpaceDE w:val="0"/>
        <w:autoSpaceDN w:val="0"/>
        <w:adjustRightInd w:val="0"/>
        <w:spacing w:line="480" w:lineRule="auto"/>
        <w:ind w:left="62"/>
        <w:jc w:val="both"/>
        <w:rPr>
          <w:rFonts w:ascii="Times New Roman" w:hAnsi="Times New Roman" w:cs="Times New Roman"/>
          <w:color w:val="000000"/>
          <w:sz w:val="22"/>
          <w:szCs w:val="22"/>
        </w:rPr>
      </w:pPr>
      <w:proofErr w:type="spellStart"/>
      <w:r w:rsidRPr="0005559B">
        <w:rPr>
          <w:rFonts w:ascii="Times New Roman" w:hAnsi="Times New Roman" w:cs="Times New Roman"/>
          <w:i/>
        </w:rPr>
        <w:lastRenderedPageBreak/>
        <w:t>Acrolein</w:t>
      </w:r>
      <w:proofErr w:type="spellEnd"/>
      <w:r w:rsidRPr="0005559B">
        <w:rPr>
          <w:rFonts w:ascii="Times New Roman" w:hAnsi="Times New Roman" w:cs="Times New Roman"/>
          <w:i/>
        </w:rPr>
        <w:t xml:space="preserve"> (3-HMPA) and Formaldehyde (</w:t>
      </w:r>
      <w:proofErr w:type="spellStart"/>
      <w:r w:rsidRPr="0005559B">
        <w:rPr>
          <w:rFonts w:ascii="Times New Roman" w:hAnsi="Times New Roman" w:cs="Times New Roman"/>
          <w:i/>
        </w:rPr>
        <w:t>formate</w:t>
      </w:r>
      <w:proofErr w:type="spellEnd"/>
      <w:r w:rsidRPr="0005559B">
        <w:rPr>
          <w:rFonts w:ascii="Times New Roman" w:hAnsi="Times New Roman" w:cs="Times New Roman"/>
          <w:i/>
        </w:rPr>
        <w:t>) exposure</w:t>
      </w:r>
      <w:r w:rsidRPr="0005559B">
        <w:rPr>
          <w:rFonts w:ascii="Times New Roman" w:hAnsi="Times New Roman" w:cs="Times New Roman"/>
          <w:color w:val="000000"/>
          <w:sz w:val="22"/>
          <w:szCs w:val="22"/>
        </w:rPr>
        <w:t xml:space="preserve"> </w:t>
      </w:r>
    </w:p>
    <w:p w14:paraId="48070877" w14:textId="32ADF422" w:rsidR="0043117D" w:rsidRDefault="00CF70E3" w:rsidP="00C60474">
      <w:pPr>
        <w:widowControl w:val="0"/>
        <w:autoSpaceDE w:val="0"/>
        <w:autoSpaceDN w:val="0"/>
        <w:adjustRightInd w:val="0"/>
        <w:spacing w:after="240" w:line="480" w:lineRule="auto"/>
        <w:ind w:left="6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Four </w:t>
      </w:r>
      <w:r w:rsidR="00E71AC7">
        <w:rPr>
          <w:rFonts w:ascii="Times New Roman" w:hAnsi="Times New Roman" w:cs="Times New Roman"/>
          <w:color w:val="000000"/>
          <w:sz w:val="22"/>
          <w:szCs w:val="22"/>
        </w:rPr>
        <w:t xml:space="preserve">urine </w:t>
      </w:r>
      <w:r>
        <w:rPr>
          <w:rFonts w:ascii="Times New Roman" w:hAnsi="Times New Roman" w:cs="Times New Roman"/>
          <w:color w:val="000000"/>
          <w:sz w:val="22"/>
          <w:szCs w:val="22"/>
        </w:rPr>
        <w:t xml:space="preserve">samples were not received for analysis. </w:t>
      </w:r>
      <w:r w:rsidR="0005559B">
        <w:rPr>
          <w:rFonts w:ascii="Times New Roman" w:hAnsi="Times New Roman" w:cs="Times New Roman"/>
          <w:color w:val="000000"/>
          <w:sz w:val="22"/>
          <w:szCs w:val="22"/>
        </w:rPr>
        <w:t xml:space="preserve">For 3-HPMA there was </w:t>
      </w:r>
      <w:r w:rsidR="001A594C">
        <w:rPr>
          <w:rFonts w:ascii="Times New Roman" w:hAnsi="Times New Roman" w:cs="Times New Roman"/>
          <w:color w:val="000000"/>
          <w:sz w:val="22"/>
          <w:szCs w:val="22"/>
        </w:rPr>
        <w:t>no significant nicotine</w:t>
      </w:r>
      <w:r w:rsidR="0005559B">
        <w:rPr>
          <w:rFonts w:ascii="Times New Roman" w:hAnsi="Times New Roman" w:cs="Times New Roman"/>
          <w:color w:val="000000"/>
          <w:sz w:val="22"/>
          <w:szCs w:val="22"/>
        </w:rPr>
        <w:t xml:space="preserve"> x power interaction or main effects.  T</w:t>
      </w:r>
      <w:r w:rsidR="00676E40">
        <w:rPr>
          <w:rFonts w:ascii="Times New Roman" w:hAnsi="Times New Roman" w:cs="Times New Roman"/>
          <w:color w:val="000000"/>
          <w:sz w:val="22"/>
          <w:szCs w:val="22"/>
        </w:rPr>
        <w:t xml:space="preserve">here was a significant nicotine x </w:t>
      </w:r>
      <w:r w:rsidR="00C65883">
        <w:rPr>
          <w:rFonts w:ascii="Times New Roman" w:hAnsi="Times New Roman" w:cs="Times New Roman"/>
          <w:color w:val="000000"/>
          <w:sz w:val="22"/>
          <w:szCs w:val="22"/>
        </w:rPr>
        <w:t xml:space="preserve">power </w:t>
      </w:r>
      <w:r w:rsidR="00676E40">
        <w:rPr>
          <w:rFonts w:ascii="Times New Roman" w:hAnsi="Times New Roman" w:cs="Times New Roman"/>
          <w:color w:val="000000"/>
          <w:sz w:val="22"/>
          <w:szCs w:val="22"/>
        </w:rPr>
        <w:t>interaction</w:t>
      </w:r>
      <w:r w:rsidR="0005559B">
        <w:rPr>
          <w:rFonts w:ascii="Times New Roman" w:hAnsi="Times New Roman" w:cs="Times New Roman"/>
          <w:color w:val="000000"/>
          <w:sz w:val="22"/>
          <w:szCs w:val="22"/>
        </w:rPr>
        <w:t xml:space="preserve"> for </w:t>
      </w:r>
      <w:proofErr w:type="spellStart"/>
      <w:r w:rsidR="0005559B">
        <w:rPr>
          <w:rFonts w:ascii="Times New Roman" w:hAnsi="Times New Roman" w:cs="Times New Roman"/>
          <w:color w:val="000000"/>
          <w:sz w:val="22"/>
          <w:szCs w:val="22"/>
        </w:rPr>
        <w:t>formate</w:t>
      </w:r>
      <w:proofErr w:type="spellEnd"/>
      <w:r w:rsidR="0005559B">
        <w:rPr>
          <w:rFonts w:ascii="Times New Roman" w:hAnsi="Times New Roman" w:cs="Times New Roman"/>
          <w:color w:val="000000"/>
          <w:sz w:val="22"/>
          <w:szCs w:val="22"/>
        </w:rPr>
        <w:t>;</w:t>
      </w:r>
      <w:r w:rsidR="00C65883">
        <w:rPr>
          <w:rFonts w:ascii="Times New Roman" w:hAnsi="Times New Roman" w:cs="Times New Roman"/>
          <w:color w:val="000000"/>
          <w:sz w:val="22"/>
          <w:szCs w:val="22"/>
        </w:rPr>
        <w:t xml:space="preserve"> levels were higher in the 6A</w:t>
      </w:r>
      <w:r w:rsidR="002202DD">
        <w:rPr>
          <w:rFonts w:ascii="Times New Roman" w:hAnsi="Times New Roman" w:cs="Times New Roman"/>
          <w:color w:val="000000"/>
          <w:sz w:val="22"/>
          <w:szCs w:val="22"/>
        </w:rPr>
        <w:t xml:space="preserve"> condition compared with all other conditions although these differences</w:t>
      </w:r>
      <w:r w:rsidR="00CC4F0C">
        <w:rPr>
          <w:rFonts w:ascii="Times New Roman" w:hAnsi="Times New Roman" w:cs="Times New Roman"/>
          <w:color w:val="000000"/>
          <w:sz w:val="22"/>
          <w:szCs w:val="22"/>
        </w:rPr>
        <w:t xml:space="preserve"> were not</w:t>
      </w:r>
      <w:r w:rsidR="002202DD">
        <w:rPr>
          <w:rFonts w:ascii="Times New Roman" w:hAnsi="Times New Roman" w:cs="Times New Roman"/>
          <w:color w:val="000000"/>
          <w:sz w:val="22"/>
          <w:szCs w:val="22"/>
        </w:rPr>
        <w:t xml:space="preserve"> statistical</w:t>
      </w:r>
      <w:r w:rsidR="00CC4F0C">
        <w:rPr>
          <w:rFonts w:ascii="Times New Roman" w:hAnsi="Times New Roman" w:cs="Times New Roman"/>
          <w:color w:val="000000"/>
          <w:sz w:val="22"/>
          <w:szCs w:val="22"/>
        </w:rPr>
        <w:t>ly</w:t>
      </w:r>
      <w:r w:rsidR="002202DD">
        <w:rPr>
          <w:rFonts w:ascii="Times New Roman" w:hAnsi="Times New Roman" w:cs="Times New Roman"/>
          <w:color w:val="000000"/>
          <w:sz w:val="22"/>
          <w:szCs w:val="22"/>
        </w:rPr>
        <w:t xml:space="preserve"> si</w:t>
      </w:r>
      <w:r w:rsidR="00CC4F0C">
        <w:rPr>
          <w:rFonts w:ascii="Times New Roman" w:hAnsi="Times New Roman" w:cs="Times New Roman"/>
          <w:color w:val="000000"/>
          <w:sz w:val="22"/>
          <w:szCs w:val="22"/>
        </w:rPr>
        <w:t>gnifican</w:t>
      </w:r>
      <w:r w:rsidR="00F827B1">
        <w:rPr>
          <w:rFonts w:ascii="Times New Roman" w:hAnsi="Times New Roman" w:cs="Times New Roman"/>
          <w:color w:val="000000"/>
          <w:sz w:val="22"/>
          <w:szCs w:val="22"/>
        </w:rPr>
        <w:t>t</w:t>
      </w:r>
      <w:r w:rsidR="00C60474">
        <w:rPr>
          <w:rFonts w:ascii="Times New Roman" w:hAnsi="Times New Roman" w:cs="Times New Roman"/>
          <w:color w:val="000000"/>
          <w:sz w:val="22"/>
          <w:szCs w:val="22"/>
        </w:rPr>
        <w:t xml:space="preserve"> in post hoc t-tests</w:t>
      </w:r>
      <w:r w:rsidR="00FF71CE">
        <w:rPr>
          <w:rFonts w:ascii="Times New Roman" w:hAnsi="Times New Roman" w:cs="Times New Roman"/>
          <w:color w:val="000000"/>
          <w:sz w:val="22"/>
          <w:szCs w:val="22"/>
        </w:rPr>
        <w:t xml:space="preserve">. </w:t>
      </w:r>
      <w:r w:rsidR="004360CA">
        <w:rPr>
          <w:rFonts w:ascii="Times New Roman" w:hAnsi="Times New Roman" w:cs="Times New Roman"/>
          <w:color w:val="000000"/>
          <w:sz w:val="22"/>
          <w:szCs w:val="22"/>
        </w:rPr>
        <w:t xml:space="preserve"> </w:t>
      </w:r>
      <w:r w:rsidR="005158F9">
        <w:rPr>
          <w:rFonts w:ascii="Times New Roman" w:hAnsi="Times New Roman" w:cs="Times New Roman"/>
          <w:color w:val="000000"/>
          <w:sz w:val="22"/>
          <w:szCs w:val="22"/>
        </w:rPr>
        <w:t xml:space="preserve">As the 3-HPMA and </w:t>
      </w:r>
      <w:proofErr w:type="spellStart"/>
      <w:r w:rsidR="005158F9">
        <w:rPr>
          <w:rFonts w:ascii="Times New Roman" w:hAnsi="Times New Roman" w:cs="Times New Roman"/>
          <w:color w:val="000000"/>
          <w:sz w:val="22"/>
          <w:szCs w:val="22"/>
        </w:rPr>
        <w:t>formate</w:t>
      </w:r>
      <w:proofErr w:type="spellEnd"/>
      <w:r w:rsidR="005158F9">
        <w:rPr>
          <w:rFonts w:ascii="Times New Roman" w:hAnsi="Times New Roman" w:cs="Times New Roman"/>
          <w:color w:val="000000"/>
          <w:sz w:val="22"/>
          <w:szCs w:val="22"/>
        </w:rPr>
        <w:t xml:space="preserve"> variables were positively skewed </w:t>
      </w:r>
      <w:r w:rsidR="00F827B1">
        <w:rPr>
          <w:rFonts w:ascii="Times New Roman" w:hAnsi="Times New Roman" w:cs="Times New Roman"/>
          <w:color w:val="000000"/>
          <w:sz w:val="22"/>
          <w:szCs w:val="22"/>
        </w:rPr>
        <w:t>by</w:t>
      </w:r>
      <w:r w:rsidR="005158F9">
        <w:rPr>
          <w:rFonts w:ascii="Times New Roman" w:hAnsi="Times New Roman" w:cs="Times New Roman"/>
          <w:color w:val="000000"/>
          <w:sz w:val="22"/>
          <w:szCs w:val="22"/>
        </w:rPr>
        <w:t xml:space="preserve"> a few extreme high scores, the analysis was repeated with </w:t>
      </w:r>
      <w:r w:rsidR="00B622EC">
        <w:rPr>
          <w:rFonts w:ascii="Times New Roman" w:hAnsi="Times New Roman" w:cs="Times New Roman"/>
          <w:color w:val="000000"/>
          <w:sz w:val="22"/>
          <w:szCs w:val="22"/>
        </w:rPr>
        <w:t>outliers removed (6 in each case</w:t>
      </w:r>
      <w:r w:rsidR="005158F9">
        <w:rPr>
          <w:rFonts w:ascii="Times New Roman" w:hAnsi="Times New Roman" w:cs="Times New Roman"/>
          <w:color w:val="000000"/>
          <w:sz w:val="22"/>
          <w:szCs w:val="22"/>
        </w:rPr>
        <w:t xml:space="preserve">). </w:t>
      </w:r>
      <w:r w:rsidR="00FF71CE">
        <w:rPr>
          <w:rFonts w:ascii="Times New Roman" w:hAnsi="Times New Roman" w:cs="Times New Roman"/>
          <w:color w:val="000000"/>
          <w:sz w:val="22"/>
          <w:szCs w:val="22"/>
        </w:rPr>
        <w:t xml:space="preserve">The results remained unchanged </w:t>
      </w:r>
      <w:r w:rsidR="00B622EC">
        <w:rPr>
          <w:rFonts w:ascii="Times New Roman" w:hAnsi="Times New Roman" w:cs="Times New Roman"/>
          <w:color w:val="000000"/>
          <w:sz w:val="22"/>
          <w:szCs w:val="22"/>
        </w:rPr>
        <w:t xml:space="preserve">for 3-HPMA.  For </w:t>
      </w:r>
      <w:proofErr w:type="spellStart"/>
      <w:r w:rsidR="00B622EC">
        <w:rPr>
          <w:rFonts w:ascii="Times New Roman" w:hAnsi="Times New Roman" w:cs="Times New Roman"/>
          <w:color w:val="000000"/>
          <w:sz w:val="22"/>
          <w:szCs w:val="22"/>
        </w:rPr>
        <w:t>formate</w:t>
      </w:r>
      <w:proofErr w:type="spellEnd"/>
      <w:r w:rsidR="00B622EC">
        <w:rPr>
          <w:rFonts w:ascii="Times New Roman" w:hAnsi="Times New Roman" w:cs="Times New Roman"/>
          <w:color w:val="000000"/>
          <w:sz w:val="22"/>
          <w:szCs w:val="22"/>
        </w:rPr>
        <w:t xml:space="preserve"> the interaction remained significant (F</w:t>
      </w:r>
      <w:r>
        <w:rPr>
          <w:rFonts w:ascii="Times New Roman" w:hAnsi="Times New Roman" w:cs="Times New Roman"/>
          <w:color w:val="000000"/>
          <w:sz w:val="22"/>
          <w:szCs w:val="22"/>
          <w:vertAlign w:val="subscript"/>
        </w:rPr>
        <w:t>1</w:t>
      </w:r>
      <w:proofErr w:type="gramStart"/>
      <w:r>
        <w:rPr>
          <w:rFonts w:ascii="Times New Roman" w:hAnsi="Times New Roman" w:cs="Times New Roman"/>
          <w:color w:val="000000"/>
          <w:sz w:val="22"/>
          <w:szCs w:val="22"/>
          <w:vertAlign w:val="subscript"/>
        </w:rPr>
        <w:t>,12</w:t>
      </w:r>
      <w:proofErr w:type="gramEnd"/>
      <w:r w:rsidR="00B622EC">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 13.33, </w:t>
      </w:r>
      <w:r w:rsidR="00B622EC">
        <w:rPr>
          <w:rFonts w:ascii="Times New Roman" w:hAnsi="Times New Roman" w:cs="Times New Roman"/>
          <w:color w:val="000000"/>
          <w:sz w:val="22"/>
          <w:szCs w:val="22"/>
        </w:rPr>
        <w:t xml:space="preserve"> p = 0.003</w:t>
      </w:r>
      <w:r>
        <w:rPr>
          <w:rFonts w:ascii="Times New Roman" w:hAnsi="Times New Roman" w:cs="Times New Roman"/>
          <w:color w:val="000000"/>
          <w:sz w:val="22"/>
          <w:szCs w:val="22"/>
        </w:rPr>
        <w:t>, η</w:t>
      </w:r>
      <w:r w:rsidRPr="000161CD">
        <w:rPr>
          <w:rFonts w:ascii="Times New Roman" w:hAnsi="Times New Roman" w:cs="Times New Roman"/>
          <w:color w:val="000000"/>
          <w:sz w:val="22"/>
          <w:szCs w:val="22"/>
          <w:vertAlign w:val="subscript"/>
        </w:rPr>
        <w:t>p</w:t>
      </w:r>
      <w:r>
        <w:rPr>
          <w:rFonts w:ascii="Times New Roman" w:hAnsi="Times New Roman" w:cs="Times New Roman"/>
          <w:color w:val="000000"/>
          <w:sz w:val="22"/>
          <w:szCs w:val="22"/>
          <w:vertAlign w:val="superscript"/>
        </w:rPr>
        <w:t>2</w:t>
      </w:r>
      <w:r>
        <w:rPr>
          <w:rFonts w:ascii="Times New Roman" w:hAnsi="Times New Roman" w:cs="Times New Roman"/>
          <w:color w:val="000000"/>
          <w:sz w:val="22"/>
          <w:szCs w:val="22"/>
        </w:rPr>
        <w:t xml:space="preserve"> = 0.53</w:t>
      </w:r>
      <w:r w:rsidR="00B622EC">
        <w:rPr>
          <w:rFonts w:ascii="Times New Roman" w:hAnsi="Times New Roman" w:cs="Times New Roman"/>
          <w:color w:val="000000"/>
          <w:sz w:val="22"/>
          <w:szCs w:val="22"/>
        </w:rPr>
        <w:t xml:space="preserve">) </w:t>
      </w:r>
      <w:r w:rsidR="00FF71CE">
        <w:rPr>
          <w:rFonts w:ascii="Times New Roman" w:hAnsi="Times New Roman" w:cs="Times New Roman"/>
          <w:color w:val="000000"/>
          <w:sz w:val="22"/>
          <w:szCs w:val="22"/>
        </w:rPr>
        <w:t xml:space="preserve">and post-hoc tests revealed </w:t>
      </w:r>
      <w:r w:rsidR="00CC4F0C">
        <w:rPr>
          <w:rFonts w:ascii="Times New Roman" w:hAnsi="Times New Roman" w:cs="Times New Roman"/>
          <w:color w:val="000000"/>
          <w:sz w:val="22"/>
          <w:szCs w:val="22"/>
        </w:rPr>
        <w:t>a significant difference</w:t>
      </w:r>
      <w:r w:rsidR="00FF71CE">
        <w:rPr>
          <w:rFonts w:ascii="Times New Roman" w:hAnsi="Times New Roman" w:cs="Times New Roman"/>
          <w:color w:val="000000"/>
          <w:sz w:val="22"/>
          <w:szCs w:val="22"/>
        </w:rPr>
        <w:t xml:space="preserve"> between </w:t>
      </w:r>
      <w:r w:rsidR="00CC4F0C">
        <w:rPr>
          <w:rFonts w:ascii="Times New Roman" w:hAnsi="Times New Roman" w:cs="Times New Roman"/>
          <w:color w:val="000000"/>
          <w:sz w:val="22"/>
          <w:szCs w:val="22"/>
        </w:rPr>
        <w:t>6A and 18A (t</w:t>
      </w:r>
      <w:r w:rsidR="00CC4F0C">
        <w:rPr>
          <w:rFonts w:ascii="Times New Roman" w:hAnsi="Times New Roman" w:cs="Times New Roman"/>
          <w:color w:val="000000"/>
          <w:sz w:val="22"/>
          <w:szCs w:val="22"/>
          <w:vertAlign w:val="subscript"/>
        </w:rPr>
        <w:t>12</w:t>
      </w:r>
      <w:r w:rsidR="00CC4F0C">
        <w:rPr>
          <w:rFonts w:ascii="Times New Roman" w:hAnsi="Times New Roman" w:cs="Times New Roman"/>
          <w:color w:val="000000"/>
          <w:sz w:val="22"/>
          <w:szCs w:val="22"/>
        </w:rPr>
        <w:t xml:space="preserve"> = 3.16, p = 0.008, mean difference = 4.93, 95% CI = 1.53 – 8.33) although the 6A vs</w:t>
      </w:r>
      <w:r w:rsidR="00FF71CE">
        <w:rPr>
          <w:rFonts w:ascii="Times New Roman" w:hAnsi="Times New Roman" w:cs="Times New Roman"/>
          <w:color w:val="000000"/>
          <w:sz w:val="22"/>
          <w:szCs w:val="22"/>
        </w:rPr>
        <w:t xml:space="preserve"> 6F </w:t>
      </w:r>
      <w:r w:rsidR="00CC4F0C">
        <w:rPr>
          <w:rFonts w:ascii="Times New Roman" w:hAnsi="Times New Roman" w:cs="Times New Roman"/>
          <w:color w:val="000000"/>
          <w:sz w:val="22"/>
          <w:szCs w:val="22"/>
        </w:rPr>
        <w:t xml:space="preserve">difference fell short of the adjusted level of significance </w:t>
      </w:r>
      <w:r>
        <w:rPr>
          <w:rFonts w:ascii="Times New Roman" w:hAnsi="Times New Roman" w:cs="Times New Roman"/>
          <w:color w:val="000000"/>
          <w:sz w:val="22"/>
          <w:szCs w:val="22"/>
        </w:rPr>
        <w:t>( t</w:t>
      </w:r>
      <w:r>
        <w:rPr>
          <w:rFonts w:ascii="Times New Roman" w:hAnsi="Times New Roman" w:cs="Times New Roman"/>
          <w:color w:val="000000"/>
          <w:sz w:val="22"/>
          <w:szCs w:val="22"/>
          <w:vertAlign w:val="subscript"/>
        </w:rPr>
        <w:t>1</w:t>
      </w:r>
      <w:r w:rsidR="00B77899">
        <w:rPr>
          <w:rFonts w:ascii="Times New Roman" w:hAnsi="Times New Roman" w:cs="Times New Roman"/>
          <w:color w:val="000000"/>
          <w:sz w:val="22"/>
          <w:szCs w:val="22"/>
          <w:vertAlign w:val="subscript"/>
        </w:rPr>
        <w:t>2</w:t>
      </w:r>
      <w:r w:rsidR="00B77899">
        <w:rPr>
          <w:rFonts w:ascii="Times New Roman" w:hAnsi="Times New Roman" w:cs="Times New Roman"/>
          <w:color w:val="000000"/>
          <w:sz w:val="22"/>
          <w:szCs w:val="22"/>
        </w:rPr>
        <w:t xml:space="preserve"> = -2.41, p = 0.03, mean difference = -2.77, 95% CI = -5.27 – -0.27</w:t>
      </w:r>
      <w:r w:rsidR="00CC4F0C">
        <w:rPr>
          <w:rFonts w:ascii="Times New Roman" w:hAnsi="Times New Roman" w:cs="Times New Roman"/>
          <w:color w:val="000000"/>
          <w:sz w:val="22"/>
          <w:szCs w:val="22"/>
        </w:rPr>
        <w:t>).</w:t>
      </w:r>
    </w:p>
    <w:p w14:paraId="4B2D2B6C" w14:textId="39CFDFE8" w:rsidR="00A42D19" w:rsidRDefault="00A42D19" w:rsidP="00461A4E">
      <w:pPr>
        <w:widowControl w:val="0"/>
        <w:autoSpaceDE w:val="0"/>
        <w:autoSpaceDN w:val="0"/>
        <w:adjustRightInd w:val="0"/>
        <w:spacing w:after="240" w:line="480" w:lineRule="auto"/>
        <w:jc w:val="both"/>
        <w:rPr>
          <w:rFonts w:ascii="Times New Roman" w:hAnsi="Times New Roman" w:cs="Times New Roman"/>
          <w:color w:val="000000"/>
          <w:sz w:val="22"/>
          <w:szCs w:val="22"/>
        </w:rPr>
      </w:pPr>
    </w:p>
    <w:p w14:paraId="768965E0" w14:textId="0D019318" w:rsidR="00D4371D" w:rsidRDefault="00E6477B" w:rsidP="00D4371D">
      <w:pPr>
        <w:spacing w:line="480" w:lineRule="auto"/>
        <w:jc w:val="both"/>
        <w:rPr>
          <w:rFonts w:ascii="Times New Roman" w:hAnsi="Times New Roman" w:cs="Times New Roman"/>
          <w:b/>
          <w:u w:val="single"/>
        </w:rPr>
      </w:pPr>
      <w:r>
        <w:rPr>
          <w:rFonts w:ascii="Times New Roman" w:hAnsi="Times New Roman" w:cs="Times New Roman"/>
          <w:b/>
          <w:u w:val="single"/>
        </w:rPr>
        <w:t>Discussion</w:t>
      </w:r>
    </w:p>
    <w:p w14:paraId="5CC57470" w14:textId="56DB570E" w:rsidR="00C129CC" w:rsidRDefault="0098612D" w:rsidP="0098612D">
      <w:pPr>
        <w:tabs>
          <w:tab w:val="left" w:pos="2811"/>
        </w:tabs>
        <w:spacing w:line="480" w:lineRule="auto"/>
        <w:jc w:val="both"/>
        <w:rPr>
          <w:rFonts w:ascii="Times New Roman" w:hAnsi="Times New Roman" w:cs="Times New Roman"/>
          <w:sz w:val="22"/>
          <w:szCs w:val="22"/>
        </w:rPr>
      </w:pPr>
      <w:r>
        <w:rPr>
          <w:rFonts w:ascii="Times New Roman" w:hAnsi="Times New Roman" w:cs="Times New Roman"/>
          <w:sz w:val="22"/>
          <w:szCs w:val="22"/>
        </w:rPr>
        <w:t xml:space="preserve">Our study </w:t>
      </w:r>
      <w:r w:rsidR="00B42E3E">
        <w:rPr>
          <w:rFonts w:ascii="Times New Roman" w:hAnsi="Times New Roman" w:cs="Times New Roman"/>
          <w:sz w:val="22"/>
          <w:szCs w:val="22"/>
        </w:rPr>
        <w:t>is the first to</w:t>
      </w:r>
      <w:r w:rsidR="00C65883">
        <w:rPr>
          <w:rFonts w:ascii="Times New Roman" w:hAnsi="Times New Roman" w:cs="Times New Roman"/>
          <w:sz w:val="22"/>
          <w:szCs w:val="22"/>
        </w:rPr>
        <w:t xml:space="preserve"> document real</w:t>
      </w:r>
      <w:r>
        <w:rPr>
          <w:rFonts w:ascii="Times New Roman" w:hAnsi="Times New Roman" w:cs="Times New Roman"/>
          <w:sz w:val="22"/>
          <w:szCs w:val="22"/>
        </w:rPr>
        <w:t xml:space="preserve"> world</w:t>
      </w:r>
      <w:r w:rsidR="00C65883">
        <w:rPr>
          <w:rFonts w:ascii="Times New Roman" w:hAnsi="Times New Roman" w:cs="Times New Roman"/>
          <w:sz w:val="22"/>
          <w:szCs w:val="22"/>
        </w:rPr>
        <w:t xml:space="preserve"> compensatory behaviour</w:t>
      </w:r>
      <w:r>
        <w:rPr>
          <w:rFonts w:ascii="Times New Roman" w:hAnsi="Times New Roman" w:cs="Times New Roman"/>
          <w:sz w:val="22"/>
          <w:szCs w:val="22"/>
        </w:rPr>
        <w:t xml:space="preserve"> </w:t>
      </w:r>
      <w:r w:rsidR="00C65883">
        <w:rPr>
          <w:rFonts w:ascii="Times New Roman" w:hAnsi="Times New Roman" w:cs="Times New Roman"/>
          <w:sz w:val="22"/>
          <w:szCs w:val="22"/>
        </w:rPr>
        <w:t xml:space="preserve">(puffing patterns and changes to power) </w:t>
      </w:r>
      <w:r>
        <w:rPr>
          <w:rFonts w:ascii="Times New Roman" w:hAnsi="Times New Roman" w:cs="Times New Roman"/>
          <w:sz w:val="22"/>
          <w:szCs w:val="22"/>
        </w:rPr>
        <w:t>with low nicotine</w:t>
      </w:r>
      <w:r w:rsidR="00FB79C4">
        <w:rPr>
          <w:rFonts w:ascii="Times New Roman" w:hAnsi="Times New Roman" w:cs="Times New Roman"/>
          <w:sz w:val="22"/>
          <w:szCs w:val="22"/>
        </w:rPr>
        <w:t xml:space="preserve"> concentration</w:t>
      </w:r>
      <w:r w:rsidR="00C65883">
        <w:rPr>
          <w:rFonts w:ascii="Times New Roman" w:hAnsi="Times New Roman" w:cs="Times New Roman"/>
          <w:sz w:val="22"/>
          <w:szCs w:val="22"/>
        </w:rPr>
        <w:t xml:space="preserve"> e-liquid </w:t>
      </w:r>
      <w:r>
        <w:rPr>
          <w:rFonts w:ascii="Times New Roman" w:hAnsi="Times New Roman" w:cs="Times New Roman"/>
          <w:sz w:val="22"/>
          <w:szCs w:val="22"/>
        </w:rPr>
        <w:t xml:space="preserve">and </w:t>
      </w:r>
      <w:r w:rsidR="00B42E3E">
        <w:rPr>
          <w:rFonts w:ascii="Times New Roman" w:hAnsi="Times New Roman" w:cs="Times New Roman"/>
          <w:sz w:val="22"/>
          <w:szCs w:val="22"/>
        </w:rPr>
        <w:t xml:space="preserve">to explore the </w:t>
      </w:r>
      <w:r>
        <w:rPr>
          <w:rFonts w:ascii="Times New Roman" w:hAnsi="Times New Roman" w:cs="Times New Roman"/>
          <w:sz w:val="22"/>
          <w:szCs w:val="22"/>
        </w:rPr>
        <w:t>effects</w:t>
      </w:r>
      <w:r w:rsidR="009A2AF9">
        <w:rPr>
          <w:rFonts w:ascii="Times New Roman" w:hAnsi="Times New Roman" w:cs="Times New Roman"/>
          <w:sz w:val="22"/>
          <w:szCs w:val="22"/>
        </w:rPr>
        <w:t xml:space="preserve"> </w:t>
      </w:r>
      <w:r>
        <w:rPr>
          <w:rFonts w:ascii="Times New Roman" w:hAnsi="Times New Roman" w:cs="Times New Roman"/>
          <w:sz w:val="22"/>
          <w:szCs w:val="22"/>
        </w:rPr>
        <w:t xml:space="preserve">on nicotine </w:t>
      </w:r>
      <w:r w:rsidR="00B42E3E">
        <w:rPr>
          <w:rFonts w:ascii="Times New Roman" w:hAnsi="Times New Roman" w:cs="Times New Roman"/>
          <w:sz w:val="22"/>
          <w:szCs w:val="22"/>
        </w:rPr>
        <w:t xml:space="preserve">intake </w:t>
      </w:r>
      <w:r>
        <w:rPr>
          <w:rFonts w:ascii="Times New Roman" w:hAnsi="Times New Roman" w:cs="Times New Roman"/>
          <w:sz w:val="22"/>
          <w:szCs w:val="22"/>
        </w:rPr>
        <w:t xml:space="preserve">and toxicant/carcinogen exposure. Consistent with our </w:t>
      </w:r>
      <w:r w:rsidR="009A2AF9">
        <w:rPr>
          <w:rFonts w:ascii="Times New Roman" w:hAnsi="Times New Roman" w:cs="Times New Roman"/>
          <w:sz w:val="22"/>
          <w:szCs w:val="22"/>
        </w:rPr>
        <w:t xml:space="preserve">hypothesis and </w:t>
      </w:r>
      <w:r>
        <w:rPr>
          <w:rFonts w:ascii="Times New Roman" w:hAnsi="Times New Roman" w:cs="Times New Roman"/>
          <w:sz w:val="22"/>
          <w:szCs w:val="22"/>
        </w:rPr>
        <w:t>earlier laboratory study</w:t>
      </w:r>
      <w:r w:rsidR="000E5F13">
        <w:rPr>
          <w:rFonts w:ascii="Times New Roman" w:hAnsi="Times New Roman" w:cs="Times New Roman"/>
          <w:sz w:val="22"/>
          <w:szCs w:val="22"/>
        </w:rPr>
        <w:t xml:space="preserve"> [</w:t>
      </w:r>
      <w:r w:rsidR="0018418D">
        <w:rPr>
          <w:rFonts w:ascii="Times New Roman" w:hAnsi="Times New Roman" w:cs="Times New Roman"/>
          <w:sz w:val="22"/>
          <w:szCs w:val="22"/>
        </w:rPr>
        <w:t>12</w:t>
      </w:r>
      <w:r w:rsidR="000E5F13">
        <w:rPr>
          <w:rFonts w:ascii="Times New Roman" w:hAnsi="Times New Roman" w:cs="Times New Roman"/>
          <w:sz w:val="22"/>
          <w:szCs w:val="22"/>
        </w:rPr>
        <w:t>]</w:t>
      </w:r>
      <w:r>
        <w:rPr>
          <w:rFonts w:ascii="Times New Roman" w:hAnsi="Times New Roman" w:cs="Times New Roman"/>
          <w:sz w:val="22"/>
          <w:szCs w:val="22"/>
        </w:rPr>
        <w:t>, participants increased thei</w:t>
      </w:r>
      <w:r w:rsidR="00B42E3E">
        <w:rPr>
          <w:rFonts w:ascii="Times New Roman" w:hAnsi="Times New Roman" w:cs="Times New Roman"/>
          <w:sz w:val="22"/>
          <w:szCs w:val="22"/>
        </w:rPr>
        <w:t xml:space="preserve">r puff number and puff duration, </w:t>
      </w:r>
      <w:r>
        <w:rPr>
          <w:rFonts w:ascii="Times New Roman" w:hAnsi="Times New Roman" w:cs="Times New Roman"/>
          <w:sz w:val="22"/>
          <w:szCs w:val="22"/>
        </w:rPr>
        <w:t xml:space="preserve">decreased their IPI </w:t>
      </w:r>
      <w:r w:rsidR="00B42E3E">
        <w:rPr>
          <w:rFonts w:ascii="Times New Roman" w:hAnsi="Times New Roman" w:cs="Times New Roman"/>
          <w:sz w:val="22"/>
          <w:szCs w:val="22"/>
        </w:rPr>
        <w:t xml:space="preserve">and consumed more </w:t>
      </w:r>
      <w:r w:rsidR="00B456EB">
        <w:rPr>
          <w:rFonts w:ascii="Times New Roman" w:hAnsi="Times New Roman" w:cs="Times New Roman"/>
          <w:sz w:val="22"/>
          <w:szCs w:val="22"/>
        </w:rPr>
        <w:t>e-</w:t>
      </w:r>
      <w:r w:rsidR="00B42E3E">
        <w:rPr>
          <w:rFonts w:ascii="Times New Roman" w:hAnsi="Times New Roman" w:cs="Times New Roman"/>
          <w:sz w:val="22"/>
          <w:szCs w:val="22"/>
        </w:rPr>
        <w:t xml:space="preserve">liquid </w:t>
      </w:r>
      <w:r>
        <w:rPr>
          <w:rFonts w:ascii="Times New Roman" w:hAnsi="Times New Roman" w:cs="Times New Roman"/>
          <w:sz w:val="22"/>
          <w:szCs w:val="22"/>
        </w:rPr>
        <w:t>in the low (6</w:t>
      </w:r>
      <w:r w:rsidR="006D29CB">
        <w:rPr>
          <w:rFonts w:ascii="Times New Roman" w:hAnsi="Times New Roman" w:cs="Times New Roman"/>
          <w:sz w:val="22"/>
          <w:szCs w:val="22"/>
        </w:rPr>
        <w:t xml:space="preserve"> </w:t>
      </w:r>
      <w:r>
        <w:rPr>
          <w:rFonts w:ascii="Times New Roman" w:hAnsi="Times New Roman" w:cs="Times New Roman"/>
          <w:sz w:val="22"/>
          <w:szCs w:val="22"/>
        </w:rPr>
        <w:t>mg/mL) compared with the high (18</w:t>
      </w:r>
      <w:r w:rsidR="006D29CB">
        <w:rPr>
          <w:rFonts w:ascii="Times New Roman" w:hAnsi="Times New Roman" w:cs="Times New Roman"/>
          <w:sz w:val="22"/>
          <w:szCs w:val="22"/>
        </w:rPr>
        <w:t xml:space="preserve"> </w:t>
      </w:r>
      <w:r>
        <w:rPr>
          <w:rFonts w:ascii="Times New Roman" w:hAnsi="Times New Roman" w:cs="Times New Roman"/>
          <w:sz w:val="22"/>
          <w:szCs w:val="22"/>
        </w:rPr>
        <w:t>mg/mL) nicotine condition</w:t>
      </w:r>
      <w:r w:rsidR="00B42E3E">
        <w:rPr>
          <w:rFonts w:ascii="Times New Roman" w:hAnsi="Times New Roman" w:cs="Times New Roman"/>
          <w:sz w:val="22"/>
          <w:szCs w:val="22"/>
        </w:rPr>
        <w:t xml:space="preserve">. </w:t>
      </w:r>
      <w:r w:rsidR="00A61D9A">
        <w:rPr>
          <w:rFonts w:ascii="Times New Roman" w:hAnsi="Times New Roman" w:cs="Times New Roman"/>
          <w:sz w:val="22"/>
          <w:szCs w:val="22"/>
        </w:rPr>
        <w:t>The effect of nicotine on puff duration was more pronounced when</w:t>
      </w:r>
      <w:r w:rsidR="00C65883">
        <w:rPr>
          <w:rFonts w:ascii="Times New Roman" w:hAnsi="Times New Roman" w:cs="Times New Roman"/>
          <w:sz w:val="22"/>
          <w:szCs w:val="22"/>
        </w:rPr>
        <w:t xml:space="preserve"> power</w:t>
      </w:r>
      <w:r w:rsidR="009A2AF9">
        <w:rPr>
          <w:rFonts w:ascii="Times New Roman" w:hAnsi="Times New Roman" w:cs="Times New Roman"/>
          <w:sz w:val="22"/>
          <w:szCs w:val="22"/>
        </w:rPr>
        <w:t xml:space="preserve"> </w:t>
      </w:r>
      <w:r w:rsidR="00A61D9A">
        <w:rPr>
          <w:rFonts w:ascii="Times New Roman" w:hAnsi="Times New Roman" w:cs="Times New Roman"/>
          <w:sz w:val="22"/>
          <w:szCs w:val="22"/>
        </w:rPr>
        <w:t xml:space="preserve">settings were fixed.  </w:t>
      </w:r>
      <w:r w:rsidR="00B42E3E">
        <w:rPr>
          <w:rFonts w:ascii="Times New Roman" w:hAnsi="Times New Roman" w:cs="Times New Roman"/>
          <w:sz w:val="22"/>
          <w:szCs w:val="22"/>
        </w:rPr>
        <w:t>Despite this evidence of compensatory</w:t>
      </w:r>
      <w:r w:rsidR="00C65883">
        <w:rPr>
          <w:rFonts w:ascii="Times New Roman" w:hAnsi="Times New Roman" w:cs="Times New Roman"/>
          <w:sz w:val="22"/>
          <w:szCs w:val="22"/>
        </w:rPr>
        <w:t xml:space="preserve"> behaviour</w:t>
      </w:r>
      <w:r w:rsidR="00B42E3E">
        <w:rPr>
          <w:rFonts w:ascii="Times New Roman" w:hAnsi="Times New Roman" w:cs="Times New Roman"/>
          <w:sz w:val="22"/>
          <w:szCs w:val="22"/>
        </w:rPr>
        <w:t xml:space="preserve">, nicotine </w:t>
      </w:r>
      <w:r w:rsidR="00A61D9A">
        <w:rPr>
          <w:rFonts w:ascii="Times New Roman" w:hAnsi="Times New Roman" w:cs="Times New Roman"/>
          <w:sz w:val="22"/>
          <w:szCs w:val="22"/>
        </w:rPr>
        <w:t xml:space="preserve">intake </w:t>
      </w:r>
      <w:r w:rsidR="00B42E3E">
        <w:rPr>
          <w:rFonts w:ascii="Times New Roman" w:hAnsi="Times New Roman" w:cs="Times New Roman"/>
          <w:sz w:val="22"/>
          <w:szCs w:val="22"/>
        </w:rPr>
        <w:t>(measured via salivary cotinine) remained higher in the high nicotine condition</w:t>
      </w:r>
      <w:r w:rsidR="00223181">
        <w:rPr>
          <w:rFonts w:ascii="Times New Roman" w:hAnsi="Times New Roman" w:cs="Times New Roman"/>
          <w:sz w:val="22"/>
          <w:szCs w:val="22"/>
        </w:rPr>
        <w:t>.  Urge to vape and nicotine withdrawal symptoms were higher, and positive effects were lower in the low nicotine condition, particularly when</w:t>
      </w:r>
      <w:r w:rsidR="00C65883">
        <w:rPr>
          <w:rFonts w:ascii="Times New Roman" w:hAnsi="Times New Roman" w:cs="Times New Roman"/>
          <w:sz w:val="22"/>
          <w:szCs w:val="22"/>
        </w:rPr>
        <w:t xml:space="preserve"> </w:t>
      </w:r>
      <w:r w:rsidR="00F83E3F">
        <w:rPr>
          <w:rFonts w:ascii="Times New Roman" w:hAnsi="Times New Roman" w:cs="Times New Roman"/>
          <w:sz w:val="22"/>
          <w:szCs w:val="22"/>
        </w:rPr>
        <w:t xml:space="preserve">the </w:t>
      </w:r>
      <w:r w:rsidR="00C65883">
        <w:rPr>
          <w:rFonts w:ascii="Times New Roman" w:hAnsi="Times New Roman" w:cs="Times New Roman"/>
          <w:sz w:val="22"/>
          <w:szCs w:val="22"/>
        </w:rPr>
        <w:t>power</w:t>
      </w:r>
      <w:r w:rsidR="00BB089F">
        <w:rPr>
          <w:rFonts w:ascii="Times New Roman" w:hAnsi="Times New Roman" w:cs="Times New Roman"/>
          <w:sz w:val="22"/>
          <w:szCs w:val="22"/>
        </w:rPr>
        <w:t xml:space="preserve"> was</w:t>
      </w:r>
      <w:r w:rsidR="00223181">
        <w:rPr>
          <w:rFonts w:ascii="Times New Roman" w:hAnsi="Times New Roman" w:cs="Times New Roman"/>
          <w:sz w:val="22"/>
          <w:szCs w:val="22"/>
        </w:rPr>
        <w:t xml:space="preserve"> fixed</w:t>
      </w:r>
      <w:r w:rsidR="00B42E3E">
        <w:rPr>
          <w:rFonts w:ascii="Times New Roman" w:hAnsi="Times New Roman" w:cs="Times New Roman"/>
          <w:sz w:val="22"/>
          <w:szCs w:val="22"/>
        </w:rPr>
        <w:t xml:space="preserve">.  When </w:t>
      </w:r>
      <w:r w:rsidR="00A61D9A">
        <w:rPr>
          <w:rFonts w:ascii="Times New Roman" w:hAnsi="Times New Roman" w:cs="Times New Roman"/>
          <w:sz w:val="22"/>
          <w:szCs w:val="22"/>
        </w:rPr>
        <w:t xml:space="preserve">changes </w:t>
      </w:r>
      <w:r w:rsidR="00A61D9A" w:rsidRPr="00095B95">
        <w:rPr>
          <w:rFonts w:ascii="Times New Roman" w:hAnsi="Times New Roman" w:cs="Times New Roman"/>
          <w:sz w:val="22"/>
          <w:szCs w:val="22"/>
        </w:rPr>
        <w:t>to</w:t>
      </w:r>
      <w:r w:rsidR="005E1726" w:rsidRPr="00095B95">
        <w:rPr>
          <w:rFonts w:ascii="Times New Roman" w:hAnsi="Times New Roman" w:cs="Times New Roman"/>
          <w:sz w:val="22"/>
          <w:szCs w:val="22"/>
        </w:rPr>
        <w:t xml:space="preserve"> power</w:t>
      </w:r>
      <w:r w:rsidR="00A61D9A" w:rsidRPr="00095B95">
        <w:rPr>
          <w:rFonts w:ascii="Times New Roman" w:hAnsi="Times New Roman" w:cs="Times New Roman"/>
          <w:sz w:val="22"/>
          <w:szCs w:val="22"/>
        </w:rPr>
        <w:t xml:space="preserve"> settings were permitted, participants increased the voltage </w:t>
      </w:r>
      <w:r w:rsidR="00D07026" w:rsidRPr="00095B95">
        <w:rPr>
          <w:rFonts w:ascii="Times New Roman" w:hAnsi="Times New Roman" w:cs="Times New Roman"/>
          <w:sz w:val="22"/>
          <w:szCs w:val="22"/>
        </w:rPr>
        <w:t xml:space="preserve">to a greater extent in the low </w:t>
      </w:r>
      <w:r w:rsidR="005D7BDC" w:rsidRPr="00095B95">
        <w:rPr>
          <w:rFonts w:ascii="Times New Roman" w:hAnsi="Times New Roman" w:cs="Times New Roman"/>
          <w:sz w:val="22"/>
          <w:szCs w:val="22"/>
        </w:rPr>
        <w:t xml:space="preserve">compared with the high nicotine </w:t>
      </w:r>
      <w:r w:rsidR="000E4BA2" w:rsidRPr="00095B95">
        <w:rPr>
          <w:rFonts w:ascii="Times New Roman" w:hAnsi="Times New Roman" w:cs="Times New Roman"/>
          <w:sz w:val="22"/>
          <w:szCs w:val="22"/>
        </w:rPr>
        <w:t>condition</w:t>
      </w:r>
      <w:r w:rsidR="005D7BDC" w:rsidRPr="00095B95">
        <w:rPr>
          <w:rFonts w:ascii="Times New Roman" w:hAnsi="Times New Roman" w:cs="Times New Roman"/>
          <w:sz w:val="22"/>
          <w:szCs w:val="22"/>
        </w:rPr>
        <w:t>.</w:t>
      </w:r>
      <w:r w:rsidR="00C129CC" w:rsidRPr="00095B95">
        <w:rPr>
          <w:rFonts w:ascii="Times New Roman" w:hAnsi="Times New Roman" w:cs="Times New Roman"/>
          <w:sz w:val="22"/>
          <w:szCs w:val="22"/>
        </w:rPr>
        <w:t xml:space="preserve"> Whilst </w:t>
      </w:r>
      <w:proofErr w:type="spellStart"/>
      <w:r w:rsidR="00C129CC" w:rsidRPr="00095B95">
        <w:rPr>
          <w:rFonts w:ascii="Times New Roman" w:hAnsi="Times New Roman" w:cs="Times New Roman"/>
          <w:sz w:val="22"/>
          <w:szCs w:val="22"/>
        </w:rPr>
        <w:t>acrolein</w:t>
      </w:r>
      <w:proofErr w:type="spellEnd"/>
      <w:r w:rsidR="00C129CC" w:rsidRPr="00095B95">
        <w:rPr>
          <w:rFonts w:ascii="Times New Roman" w:hAnsi="Times New Roman" w:cs="Times New Roman"/>
          <w:sz w:val="22"/>
          <w:szCs w:val="22"/>
        </w:rPr>
        <w:t xml:space="preserve"> levels did not differ across conditions,</w:t>
      </w:r>
      <w:r w:rsidR="00C129CC">
        <w:rPr>
          <w:rFonts w:ascii="Times New Roman" w:hAnsi="Times New Roman" w:cs="Times New Roman"/>
          <w:sz w:val="22"/>
          <w:szCs w:val="22"/>
        </w:rPr>
        <w:t xml:space="preserve"> </w:t>
      </w:r>
      <w:r w:rsidR="00943650">
        <w:rPr>
          <w:rFonts w:ascii="Times New Roman" w:hAnsi="Times New Roman" w:cs="Times New Roman"/>
          <w:sz w:val="22"/>
          <w:szCs w:val="22"/>
        </w:rPr>
        <w:t>formaldehyde</w:t>
      </w:r>
      <w:r w:rsidR="00C129CC">
        <w:rPr>
          <w:rFonts w:ascii="Times New Roman" w:hAnsi="Times New Roman" w:cs="Times New Roman"/>
          <w:sz w:val="22"/>
          <w:szCs w:val="22"/>
        </w:rPr>
        <w:t xml:space="preserve"> exposure </w:t>
      </w:r>
      <w:r w:rsidR="005E1726">
        <w:rPr>
          <w:rFonts w:ascii="Times New Roman" w:hAnsi="Times New Roman" w:cs="Times New Roman"/>
          <w:sz w:val="22"/>
          <w:szCs w:val="22"/>
        </w:rPr>
        <w:t xml:space="preserve">was higher in the </w:t>
      </w:r>
      <w:r w:rsidR="00C129CC">
        <w:rPr>
          <w:rFonts w:ascii="Times New Roman" w:hAnsi="Times New Roman" w:cs="Times New Roman"/>
          <w:sz w:val="22"/>
          <w:szCs w:val="22"/>
        </w:rPr>
        <w:t>low nicotine</w:t>
      </w:r>
      <w:r w:rsidR="005E1726">
        <w:rPr>
          <w:rFonts w:ascii="Times New Roman" w:hAnsi="Times New Roman" w:cs="Times New Roman"/>
          <w:sz w:val="22"/>
          <w:szCs w:val="22"/>
        </w:rPr>
        <w:t>, adjustable power</w:t>
      </w:r>
      <w:r w:rsidR="00BB089F">
        <w:rPr>
          <w:rFonts w:ascii="Times New Roman" w:hAnsi="Times New Roman" w:cs="Times New Roman"/>
          <w:sz w:val="22"/>
          <w:szCs w:val="22"/>
        </w:rPr>
        <w:t xml:space="preserve"> condition</w:t>
      </w:r>
      <w:r w:rsidR="00973499">
        <w:rPr>
          <w:rFonts w:ascii="Times New Roman" w:hAnsi="Times New Roman" w:cs="Times New Roman"/>
          <w:sz w:val="22"/>
          <w:szCs w:val="22"/>
        </w:rPr>
        <w:t>.</w:t>
      </w:r>
      <w:r w:rsidR="00C129CC">
        <w:rPr>
          <w:rFonts w:ascii="Times New Roman" w:hAnsi="Times New Roman" w:cs="Times New Roman"/>
          <w:sz w:val="22"/>
          <w:szCs w:val="22"/>
        </w:rPr>
        <w:t xml:space="preserve">  </w:t>
      </w:r>
      <w:r w:rsidR="008945AA">
        <w:rPr>
          <w:rFonts w:ascii="Times New Roman" w:hAnsi="Times New Roman" w:cs="Times New Roman"/>
          <w:sz w:val="22"/>
          <w:szCs w:val="22"/>
        </w:rPr>
        <w:t xml:space="preserve">Overall our </w:t>
      </w:r>
      <w:r w:rsidR="008945AA">
        <w:rPr>
          <w:rFonts w:ascii="Times New Roman" w:hAnsi="Times New Roman" w:cs="Times New Roman"/>
          <w:sz w:val="22"/>
          <w:szCs w:val="22"/>
        </w:rPr>
        <w:lastRenderedPageBreak/>
        <w:t>findings add to the evidence base supporting compensatory</w:t>
      </w:r>
      <w:r w:rsidR="005E1726">
        <w:rPr>
          <w:rFonts w:ascii="Times New Roman" w:hAnsi="Times New Roman" w:cs="Times New Roman"/>
          <w:sz w:val="22"/>
          <w:szCs w:val="22"/>
        </w:rPr>
        <w:t xml:space="preserve"> behaviour</w:t>
      </w:r>
      <w:r w:rsidR="008945AA">
        <w:rPr>
          <w:rFonts w:ascii="Times New Roman" w:hAnsi="Times New Roman" w:cs="Times New Roman"/>
          <w:sz w:val="22"/>
          <w:szCs w:val="22"/>
        </w:rPr>
        <w:t xml:space="preserve"> with lower nicotine</w:t>
      </w:r>
      <w:r w:rsidR="00187AD5">
        <w:rPr>
          <w:rFonts w:ascii="Times New Roman" w:hAnsi="Times New Roman" w:cs="Times New Roman"/>
          <w:sz w:val="22"/>
          <w:szCs w:val="22"/>
        </w:rPr>
        <w:t xml:space="preserve"> </w:t>
      </w:r>
      <w:r w:rsidR="00FB79C4">
        <w:rPr>
          <w:rFonts w:ascii="Times New Roman" w:hAnsi="Times New Roman" w:cs="Times New Roman"/>
          <w:sz w:val="22"/>
          <w:szCs w:val="22"/>
        </w:rPr>
        <w:t xml:space="preserve">concentration </w:t>
      </w:r>
      <w:r w:rsidR="008945AA">
        <w:rPr>
          <w:rFonts w:ascii="Times New Roman" w:hAnsi="Times New Roman" w:cs="Times New Roman"/>
          <w:sz w:val="22"/>
          <w:szCs w:val="22"/>
        </w:rPr>
        <w:t xml:space="preserve">e-liquid which results in reduced positive subjective effects and may increase </w:t>
      </w:r>
      <w:r w:rsidR="00943650">
        <w:rPr>
          <w:rFonts w:ascii="Times New Roman" w:hAnsi="Times New Roman" w:cs="Times New Roman"/>
          <w:sz w:val="22"/>
          <w:szCs w:val="22"/>
        </w:rPr>
        <w:t>formaldehyde</w:t>
      </w:r>
      <w:r w:rsidR="008945AA">
        <w:rPr>
          <w:rFonts w:ascii="Times New Roman" w:hAnsi="Times New Roman" w:cs="Times New Roman"/>
          <w:sz w:val="22"/>
          <w:szCs w:val="22"/>
        </w:rPr>
        <w:t xml:space="preserve"> exposure. </w:t>
      </w:r>
    </w:p>
    <w:p w14:paraId="1C411A32" w14:textId="77777777" w:rsidR="00C129CC" w:rsidRDefault="00C129CC" w:rsidP="0098612D">
      <w:pPr>
        <w:tabs>
          <w:tab w:val="left" w:pos="2811"/>
        </w:tabs>
        <w:spacing w:line="480" w:lineRule="auto"/>
        <w:jc w:val="both"/>
        <w:rPr>
          <w:rFonts w:ascii="Times New Roman" w:hAnsi="Times New Roman" w:cs="Times New Roman"/>
          <w:sz w:val="22"/>
          <w:szCs w:val="22"/>
        </w:rPr>
      </w:pPr>
    </w:p>
    <w:p w14:paraId="0896B82D" w14:textId="68997469" w:rsidR="00C129CC" w:rsidRDefault="00C129CC" w:rsidP="0098612D">
      <w:pPr>
        <w:tabs>
          <w:tab w:val="left" w:pos="2811"/>
        </w:tabs>
        <w:spacing w:line="480" w:lineRule="auto"/>
        <w:jc w:val="both"/>
        <w:rPr>
          <w:rFonts w:ascii="Times New Roman" w:hAnsi="Times New Roman" w:cs="Times New Roman"/>
          <w:sz w:val="22"/>
          <w:szCs w:val="22"/>
        </w:rPr>
      </w:pPr>
      <w:r>
        <w:rPr>
          <w:rFonts w:ascii="Times New Roman" w:hAnsi="Times New Roman" w:cs="Times New Roman"/>
          <w:sz w:val="22"/>
          <w:szCs w:val="22"/>
        </w:rPr>
        <w:t>Our puffing topography findings are consistent with our earlier lab-based study which also found increased puff number and puff duration with a lower nicotine</w:t>
      </w:r>
      <w:r w:rsidR="00FB79C4">
        <w:rPr>
          <w:rFonts w:ascii="Times New Roman" w:hAnsi="Times New Roman" w:cs="Times New Roman"/>
          <w:sz w:val="22"/>
          <w:szCs w:val="22"/>
        </w:rPr>
        <w:t xml:space="preserve"> concentration</w:t>
      </w:r>
      <w:r>
        <w:rPr>
          <w:rFonts w:ascii="Times New Roman" w:hAnsi="Times New Roman" w:cs="Times New Roman"/>
          <w:sz w:val="22"/>
          <w:szCs w:val="22"/>
        </w:rPr>
        <w:t xml:space="preserve"> e-liquid </w:t>
      </w:r>
      <w:r w:rsidR="00943650">
        <w:rPr>
          <w:rFonts w:ascii="Times New Roman" w:hAnsi="Times New Roman" w:cs="Times New Roman"/>
          <w:sz w:val="22"/>
          <w:szCs w:val="22"/>
        </w:rPr>
        <w:t>[</w:t>
      </w:r>
      <w:r w:rsidR="00807D9F">
        <w:rPr>
          <w:rFonts w:ascii="Times New Roman" w:hAnsi="Times New Roman" w:cs="Times New Roman"/>
          <w:sz w:val="22"/>
          <w:szCs w:val="22"/>
        </w:rPr>
        <w:t>12</w:t>
      </w:r>
      <w:r w:rsidR="00943650">
        <w:rPr>
          <w:rFonts w:ascii="Times New Roman" w:hAnsi="Times New Roman" w:cs="Times New Roman"/>
          <w:sz w:val="22"/>
          <w:szCs w:val="22"/>
        </w:rPr>
        <w:t>]</w:t>
      </w:r>
      <w:r>
        <w:rPr>
          <w:rFonts w:ascii="Times New Roman" w:hAnsi="Times New Roman" w:cs="Times New Roman"/>
          <w:sz w:val="22"/>
          <w:szCs w:val="22"/>
        </w:rPr>
        <w:t xml:space="preserve"> supporting the notion that, as with tobacco smokers, vapers engage in compensatory puffing in an attempt to self-titrate with a lower nicotine</w:t>
      </w:r>
      <w:r w:rsidR="00187AD5">
        <w:rPr>
          <w:rFonts w:ascii="Times New Roman" w:hAnsi="Times New Roman" w:cs="Times New Roman"/>
          <w:sz w:val="22"/>
          <w:szCs w:val="22"/>
        </w:rPr>
        <w:t xml:space="preserve"> </w:t>
      </w:r>
      <w:r w:rsidR="001A594C">
        <w:rPr>
          <w:rFonts w:ascii="Times New Roman" w:hAnsi="Times New Roman" w:cs="Times New Roman"/>
          <w:sz w:val="22"/>
          <w:szCs w:val="22"/>
        </w:rPr>
        <w:t>concentration</w:t>
      </w:r>
      <w:r>
        <w:rPr>
          <w:rFonts w:ascii="Times New Roman" w:hAnsi="Times New Roman" w:cs="Times New Roman"/>
          <w:sz w:val="22"/>
          <w:szCs w:val="22"/>
        </w:rPr>
        <w:t xml:space="preserve"> e-liquid.  </w:t>
      </w:r>
      <w:r w:rsidR="00655B80">
        <w:rPr>
          <w:rFonts w:ascii="Times New Roman" w:hAnsi="Times New Roman" w:cs="Times New Roman"/>
          <w:sz w:val="22"/>
          <w:szCs w:val="22"/>
        </w:rPr>
        <w:t>W</w:t>
      </w:r>
      <w:r>
        <w:rPr>
          <w:rFonts w:ascii="Times New Roman" w:hAnsi="Times New Roman" w:cs="Times New Roman"/>
          <w:sz w:val="22"/>
          <w:szCs w:val="22"/>
        </w:rPr>
        <w:t xml:space="preserve">e also </w:t>
      </w:r>
      <w:r w:rsidR="00E31DD0">
        <w:rPr>
          <w:rFonts w:ascii="Times New Roman" w:hAnsi="Times New Roman" w:cs="Times New Roman"/>
          <w:sz w:val="22"/>
          <w:szCs w:val="22"/>
        </w:rPr>
        <w:t>permitted changes to</w:t>
      </w:r>
      <w:r w:rsidR="005E1726">
        <w:rPr>
          <w:rFonts w:ascii="Times New Roman" w:hAnsi="Times New Roman" w:cs="Times New Roman"/>
          <w:sz w:val="22"/>
          <w:szCs w:val="22"/>
        </w:rPr>
        <w:t xml:space="preserve"> power</w:t>
      </w:r>
      <w:r w:rsidR="00E31DD0">
        <w:rPr>
          <w:rFonts w:ascii="Times New Roman" w:hAnsi="Times New Roman" w:cs="Times New Roman"/>
          <w:sz w:val="22"/>
          <w:szCs w:val="22"/>
        </w:rPr>
        <w:t xml:space="preserve"> settings to reflect how experienced</w:t>
      </w:r>
      <w:r w:rsidR="00BB089F">
        <w:rPr>
          <w:rFonts w:ascii="Times New Roman" w:hAnsi="Times New Roman" w:cs="Times New Roman"/>
          <w:sz w:val="22"/>
          <w:szCs w:val="22"/>
        </w:rPr>
        <w:t xml:space="preserve"> vapers using newer-generation</w:t>
      </w:r>
      <w:r w:rsidR="00E31DD0">
        <w:rPr>
          <w:rFonts w:ascii="Times New Roman" w:hAnsi="Times New Roman" w:cs="Times New Roman"/>
          <w:sz w:val="22"/>
          <w:szCs w:val="22"/>
        </w:rPr>
        <w:t xml:space="preserve"> devices behave in real-world conditions.  Participants were more likely to increase the power in the low nicotine condition resulting in a shorter puff duration</w:t>
      </w:r>
      <w:r w:rsidR="00516C7F">
        <w:rPr>
          <w:rFonts w:ascii="Times New Roman" w:hAnsi="Times New Roman" w:cs="Times New Roman"/>
          <w:sz w:val="22"/>
          <w:szCs w:val="22"/>
        </w:rPr>
        <w:t xml:space="preserve"> (but no change to puff number)</w:t>
      </w:r>
      <w:r w:rsidR="00E31DD0">
        <w:rPr>
          <w:rFonts w:ascii="Times New Roman" w:hAnsi="Times New Roman" w:cs="Times New Roman"/>
          <w:sz w:val="22"/>
          <w:szCs w:val="22"/>
        </w:rPr>
        <w:t xml:space="preserve"> compared with fixed </w:t>
      </w:r>
      <w:r w:rsidR="005E1726">
        <w:rPr>
          <w:rFonts w:ascii="Times New Roman" w:hAnsi="Times New Roman" w:cs="Times New Roman"/>
          <w:sz w:val="22"/>
          <w:szCs w:val="22"/>
        </w:rPr>
        <w:t xml:space="preserve">power </w:t>
      </w:r>
      <w:r w:rsidR="00E31DD0">
        <w:rPr>
          <w:rFonts w:ascii="Times New Roman" w:hAnsi="Times New Roman" w:cs="Times New Roman"/>
          <w:sz w:val="22"/>
          <w:szCs w:val="22"/>
        </w:rPr>
        <w:t xml:space="preserve">settings.  Nevertheless, nicotine intake remained higher in the high nicotine condition regardless of whether </w:t>
      </w:r>
      <w:r w:rsidR="005E1726">
        <w:rPr>
          <w:rFonts w:ascii="Times New Roman" w:hAnsi="Times New Roman" w:cs="Times New Roman"/>
          <w:sz w:val="22"/>
          <w:szCs w:val="22"/>
        </w:rPr>
        <w:t>power was</w:t>
      </w:r>
      <w:r w:rsidR="00E31DD0">
        <w:rPr>
          <w:rFonts w:ascii="Times New Roman" w:hAnsi="Times New Roman" w:cs="Times New Roman"/>
          <w:sz w:val="22"/>
          <w:szCs w:val="22"/>
        </w:rPr>
        <w:t xml:space="preserve"> fixed or not, suggesting that compensatory puffing and changes to power were </w:t>
      </w:r>
      <w:r w:rsidR="00516C7F">
        <w:rPr>
          <w:rFonts w:ascii="Times New Roman" w:hAnsi="Times New Roman" w:cs="Times New Roman"/>
          <w:sz w:val="22"/>
          <w:szCs w:val="22"/>
        </w:rPr>
        <w:t>not adequate to raise nicotine intake to the level achieved via a high (18</w:t>
      </w:r>
      <w:r w:rsidR="006D29CB">
        <w:rPr>
          <w:rFonts w:ascii="Times New Roman" w:hAnsi="Times New Roman" w:cs="Times New Roman"/>
          <w:sz w:val="22"/>
          <w:szCs w:val="22"/>
        </w:rPr>
        <w:t xml:space="preserve"> </w:t>
      </w:r>
      <w:r w:rsidR="00516C7F">
        <w:rPr>
          <w:rFonts w:ascii="Times New Roman" w:hAnsi="Times New Roman" w:cs="Times New Roman"/>
          <w:sz w:val="22"/>
          <w:szCs w:val="22"/>
        </w:rPr>
        <w:t>mg/mL) nicotine e-liquid</w:t>
      </w:r>
      <w:r w:rsidR="00E015C1">
        <w:rPr>
          <w:rFonts w:ascii="Times New Roman" w:hAnsi="Times New Roman" w:cs="Times New Roman"/>
          <w:sz w:val="22"/>
          <w:szCs w:val="22"/>
        </w:rPr>
        <w:t xml:space="preserve"> </w:t>
      </w:r>
      <w:r w:rsidR="00FB79C4">
        <w:rPr>
          <w:rFonts w:ascii="Times New Roman" w:hAnsi="Times New Roman" w:cs="Times New Roman"/>
          <w:sz w:val="22"/>
          <w:szCs w:val="22"/>
        </w:rPr>
        <w:t>concentration</w:t>
      </w:r>
      <w:r w:rsidR="00516C7F">
        <w:rPr>
          <w:rFonts w:ascii="Times New Roman" w:hAnsi="Times New Roman" w:cs="Times New Roman"/>
          <w:sz w:val="22"/>
          <w:szCs w:val="22"/>
        </w:rPr>
        <w:t>. In fact, baseline salivary cotinine levels fell roughly mid-point between the levels achieved in the high and low nicotine c</w:t>
      </w:r>
      <w:r w:rsidR="0055096A">
        <w:rPr>
          <w:rFonts w:ascii="Times New Roman" w:hAnsi="Times New Roman" w:cs="Times New Roman"/>
          <w:sz w:val="22"/>
          <w:szCs w:val="22"/>
        </w:rPr>
        <w:t>onditions suggesting that, as with tobacco smoking and with vapers in</w:t>
      </w:r>
      <w:r w:rsidR="00516C7F">
        <w:rPr>
          <w:rFonts w:ascii="Times New Roman" w:hAnsi="Times New Roman" w:cs="Times New Roman"/>
          <w:sz w:val="22"/>
          <w:szCs w:val="22"/>
        </w:rPr>
        <w:t xml:space="preserve"> our earlier study, </w:t>
      </w:r>
      <w:r w:rsidR="002C54D8">
        <w:rPr>
          <w:rFonts w:ascii="Times New Roman" w:hAnsi="Times New Roman" w:cs="Times New Roman"/>
          <w:sz w:val="22"/>
          <w:szCs w:val="22"/>
        </w:rPr>
        <w:t xml:space="preserve">upwards and downwards self-titration is incomplete </w:t>
      </w:r>
      <w:r w:rsidR="00C91FEC">
        <w:rPr>
          <w:rFonts w:ascii="Times New Roman" w:hAnsi="Times New Roman" w:cs="Times New Roman"/>
          <w:sz w:val="22"/>
          <w:szCs w:val="22"/>
        </w:rPr>
        <w:t>[</w:t>
      </w:r>
      <w:r w:rsidR="00807D9F">
        <w:rPr>
          <w:rFonts w:ascii="Times New Roman" w:hAnsi="Times New Roman" w:cs="Times New Roman"/>
          <w:sz w:val="22"/>
          <w:szCs w:val="22"/>
        </w:rPr>
        <w:t>12</w:t>
      </w:r>
      <w:r w:rsidR="00C91FEC">
        <w:rPr>
          <w:rFonts w:ascii="Times New Roman" w:hAnsi="Times New Roman" w:cs="Times New Roman"/>
          <w:sz w:val="22"/>
          <w:szCs w:val="22"/>
        </w:rPr>
        <w:t>,</w:t>
      </w:r>
      <w:r w:rsidR="00807D9F">
        <w:rPr>
          <w:rFonts w:ascii="Times New Roman" w:hAnsi="Times New Roman" w:cs="Times New Roman"/>
          <w:sz w:val="22"/>
          <w:szCs w:val="22"/>
        </w:rPr>
        <w:t>16</w:t>
      </w:r>
      <w:r w:rsidR="00943650">
        <w:rPr>
          <w:rFonts w:ascii="Times New Roman" w:hAnsi="Times New Roman" w:cs="Times New Roman"/>
          <w:sz w:val="22"/>
          <w:szCs w:val="22"/>
        </w:rPr>
        <w:t>,</w:t>
      </w:r>
      <w:r w:rsidR="002C54D8" w:rsidRPr="002C54D8">
        <w:rPr>
          <w:rFonts w:ascii="Times New Roman" w:hAnsi="Times New Roman" w:cs="Times New Roman"/>
          <w:sz w:val="22"/>
          <w:szCs w:val="22"/>
        </w:rPr>
        <w:t xml:space="preserve"> </w:t>
      </w:r>
      <w:r w:rsidR="00807D9F">
        <w:rPr>
          <w:rFonts w:ascii="Times New Roman" w:hAnsi="Times New Roman" w:cs="Times New Roman"/>
          <w:sz w:val="22"/>
          <w:szCs w:val="22"/>
        </w:rPr>
        <w:t>32</w:t>
      </w:r>
      <w:r w:rsidR="00943650">
        <w:rPr>
          <w:rFonts w:ascii="Times New Roman" w:hAnsi="Times New Roman" w:cs="Times New Roman"/>
          <w:sz w:val="22"/>
          <w:szCs w:val="22"/>
        </w:rPr>
        <w:t>].</w:t>
      </w:r>
    </w:p>
    <w:p w14:paraId="59CDFEFE" w14:textId="77777777" w:rsidR="0089316A" w:rsidRDefault="0089316A" w:rsidP="0098612D">
      <w:pPr>
        <w:tabs>
          <w:tab w:val="left" w:pos="2811"/>
        </w:tabs>
        <w:spacing w:line="480" w:lineRule="auto"/>
        <w:jc w:val="both"/>
        <w:rPr>
          <w:rFonts w:ascii="Times New Roman" w:hAnsi="Times New Roman" w:cs="Times New Roman"/>
          <w:sz w:val="22"/>
          <w:szCs w:val="22"/>
        </w:rPr>
      </w:pPr>
    </w:p>
    <w:p w14:paraId="0FCC449C" w14:textId="72DE65AC" w:rsidR="00A77009" w:rsidRDefault="00A77009" w:rsidP="0089316A">
      <w:pPr>
        <w:tabs>
          <w:tab w:val="left" w:pos="2811"/>
        </w:tabs>
        <w:spacing w:line="480" w:lineRule="auto"/>
        <w:jc w:val="both"/>
        <w:rPr>
          <w:rFonts w:ascii="Times New Roman" w:hAnsi="Times New Roman" w:cs="Times New Roman"/>
          <w:sz w:val="22"/>
          <w:szCs w:val="22"/>
        </w:rPr>
      </w:pPr>
      <w:r>
        <w:rPr>
          <w:rFonts w:ascii="Times New Roman" w:hAnsi="Times New Roman" w:cs="Times New Roman"/>
          <w:sz w:val="22"/>
          <w:szCs w:val="22"/>
        </w:rPr>
        <w:t xml:space="preserve">In relation to subjective effects, </w:t>
      </w:r>
      <w:r w:rsidR="0089316A">
        <w:rPr>
          <w:rFonts w:ascii="Times New Roman" w:hAnsi="Times New Roman" w:cs="Times New Roman"/>
          <w:sz w:val="22"/>
          <w:szCs w:val="22"/>
        </w:rPr>
        <w:t>u</w:t>
      </w:r>
      <w:r>
        <w:rPr>
          <w:rFonts w:ascii="Times New Roman" w:hAnsi="Times New Roman" w:cs="Times New Roman"/>
          <w:sz w:val="22"/>
          <w:szCs w:val="22"/>
        </w:rPr>
        <w:t xml:space="preserve">rge to vape, </w:t>
      </w:r>
      <w:r w:rsidR="0089316A" w:rsidRPr="0089316A">
        <w:rPr>
          <w:rFonts w:ascii="Times New Roman" w:hAnsi="Times New Roman" w:cs="Times New Roman"/>
          <w:sz w:val="22"/>
          <w:szCs w:val="22"/>
        </w:rPr>
        <w:t>strength of urge</w:t>
      </w:r>
      <w:r w:rsidR="0089316A">
        <w:rPr>
          <w:rFonts w:ascii="Times New Roman" w:hAnsi="Times New Roman" w:cs="Times New Roman"/>
          <w:sz w:val="22"/>
          <w:szCs w:val="22"/>
        </w:rPr>
        <w:t xml:space="preserve">s </w:t>
      </w:r>
      <w:r>
        <w:rPr>
          <w:rFonts w:ascii="Times New Roman" w:hAnsi="Times New Roman" w:cs="Times New Roman"/>
          <w:sz w:val="22"/>
          <w:szCs w:val="22"/>
        </w:rPr>
        <w:t xml:space="preserve">and withdrawal symptoms </w:t>
      </w:r>
      <w:r w:rsidR="0089316A">
        <w:rPr>
          <w:rFonts w:ascii="Times New Roman" w:hAnsi="Times New Roman" w:cs="Times New Roman"/>
          <w:sz w:val="22"/>
          <w:szCs w:val="22"/>
        </w:rPr>
        <w:t>were higher</w:t>
      </w:r>
      <w:r>
        <w:rPr>
          <w:rFonts w:ascii="Times New Roman" w:hAnsi="Times New Roman" w:cs="Times New Roman"/>
          <w:sz w:val="22"/>
          <w:szCs w:val="22"/>
        </w:rPr>
        <w:t>,</w:t>
      </w:r>
      <w:r w:rsidR="0089316A">
        <w:rPr>
          <w:rFonts w:ascii="Times New Roman" w:hAnsi="Times New Roman" w:cs="Times New Roman"/>
          <w:sz w:val="22"/>
          <w:szCs w:val="22"/>
        </w:rPr>
        <w:t xml:space="preserve"> </w:t>
      </w:r>
      <w:r>
        <w:rPr>
          <w:rFonts w:ascii="Times New Roman" w:hAnsi="Times New Roman" w:cs="Times New Roman"/>
          <w:sz w:val="22"/>
          <w:szCs w:val="22"/>
        </w:rPr>
        <w:t xml:space="preserve">and positive effects were lower, </w:t>
      </w:r>
      <w:r w:rsidR="0089316A">
        <w:rPr>
          <w:rFonts w:ascii="Times New Roman" w:hAnsi="Times New Roman" w:cs="Times New Roman"/>
          <w:sz w:val="22"/>
          <w:szCs w:val="22"/>
        </w:rPr>
        <w:t xml:space="preserve">in the low </w:t>
      </w:r>
      <w:r w:rsidR="0089316A" w:rsidRPr="0089316A">
        <w:rPr>
          <w:rFonts w:ascii="Times New Roman" w:hAnsi="Times New Roman" w:cs="Times New Roman"/>
          <w:sz w:val="22"/>
          <w:szCs w:val="22"/>
        </w:rPr>
        <w:t>nicotine condition</w:t>
      </w:r>
      <w:r>
        <w:rPr>
          <w:rFonts w:ascii="Times New Roman" w:hAnsi="Times New Roman" w:cs="Times New Roman"/>
          <w:sz w:val="22"/>
          <w:szCs w:val="22"/>
        </w:rPr>
        <w:t>.  Although urge to vape was unaffected by changes to power-settings, withdrawal symptoms and positive effects were improved suggesting that increasing the power to the battery can improve the subjective experience when using a lower nicotine</w:t>
      </w:r>
      <w:r w:rsidR="00E015C1">
        <w:rPr>
          <w:rFonts w:ascii="Times New Roman" w:hAnsi="Times New Roman" w:cs="Times New Roman"/>
          <w:sz w:val="22"/>
          <w:szCs w:val="22"/>
        </w:rPr>
        <w:t xml:space="preserve"> </w:t>
      </w:r>
      <w:r w:rsidR="00FB79C4">
        <w:rPr>
          <w:rFonts w:ascii="Times New Roman" w:hAnsi="Times New Roman" w:cs="Times New Roman"/>
          <w:sz w:val="22"/>
          <w:szCs w:val="22"/>
        </w:rPr>
        <w:t>concentration</w:t>
      </w:r>
      <w:r w:rsidR="00E015C1">
        <w:rPr>
          <w:rFonts w:ascii="Times New Roman" w:hAnsi="Times New Roman" w:cs="Times New Roman"/>
          <w:sz w:val="22"/>
          <w:szCs w:val="22"/>
        </w:rPr>
        <w:t xml:space="preserve"> </w:t>
      </w:r>
      <w:r>
        <w:rPr>
          <w:rFonts w:ascii="Times New Roman" w:hAnsi="Times New Roman" w:cs="Times New Roman"/>
          <w:sz w:val="22"/>
          <w:szCs w:val="22"/>
        </w:rPr>
        <w:t xml:space="preserve"> e-liquid.  </w:t>
      </w:r>
      <w:r w:rsidR="009578AE">
        <w:rPr>
          <w:rFonts w:ascii="Times New Roman" w:hAnsi="Times New Roman" w:cs="Times New Roman"/>
          <w:sz w:val="22"/>
          <w:szCs w:val="22"/>
        </w:rPr>
        <w:t xml:space="preserve">Nevertheless, although the device used here, as with many newer generation devices, allows adjustment to the power, many standard </w:t>
      </w:r>
      <w:proofErr w:type="spellStart"/>
      <w:r w:rsidR="009578AE">
        <w:rPr>
          <w:rFonts w:ascii="Times New Roman" w:hAnsi="Times New Roman" w:cs="Times New Roman"/>
          <w:sz w:val="22"/>
          <w:szCs w:val="22"/>
        </w:rPr>
        <w:t>cigalike</w:t>
      </w:r>
      <w:proofErr w:type="spellEnd"/>
      <w:r w:rsidR="009578AE">
        <w:rPr>
          <w:rFonts w:ascii="Times New Roman" w:hAnsi="Times New Roman" w:cs="Times New Roman"/>
          <w:sz w:val="22"/>
          <w:szCs w:val="22"/>
        </w:rPr>
        <w:t xml:space="preserve"> and second generation devices do not.  Our sample were experienced vapers, many of whom (40%</w:t>
      </w:r>
      <w:r w:rsidR="0019487E">
        <w:rPr>
          <w:rFonts w:ascii="Times New Roman" w:hAnsi="Times New Roman" w:cs="Times New Roman"/>
          <w:sz w:val="22"/>
          <w:szCs w:val="22"/>
        </w:rPr>
        <w:t>; 8/20</w:t>
      </w:r>
      <w:r w:rsidR="009578AE">
        <w:rPr>
          <w:rFonts w:ascii="Times New Roman" w:hAnsi="Times New Roman" w:cs="Times New Roman"/>
          <w:sz w:val="22"/>
          <w:szCs w:val="22"/>
        </w:rPr>
        <w:t>) reported sub-</w:t>
      </w:r>
      <w:proofErr w:type="spellStart"/>
      <w:r w:rsidR="009578AE">
        <w:rPr>
          <w:rFonts w:ascii="Times New Roman" w:hAnsi="Times New Roman" w:cs="Times New Roman"/>
          <w:sz w:val="22"/>
          <w:szCs w:val="22"/>
        </w:rPr>
        <w:t>ohming</w:t>
      </w:r>
      <w:proofErr w:type="spellEnd"/>
      <w:r w:rsidR="009578AE">
        <w:rPr>
          <w:rFonts w:ascii="Times New Roman" w:hAnsi="Times New Roman" w:cs="Times New Roman"/>
          <w:sz w:val="22"/>
          <w:szCs w:val="22"/>
        </w:rPr>
        <w:t xml:space="preserve"> and were therefore familiar with changing device</w:t>
      </w:r>
      <w:r w:rsidR="00342D4D">
        <w:rPr>
          <w:rFonts w:ascii="Times New Roman" w:hAnsi="Times New Roman" w:cs="Times New Roman"/>
          <w:sz w:val="22"/>
          <w:szCs w:val="22"/>
        </w:rPr>
        <w:t xml:space="preserve"> settings</w:t>
      </w:r>
      <w:r w:rsidR="009578AE">
        <w:rPr>
          <w:rFonts w:ascii="Times New Roman" w:hAnsi="Times New Roman" w:cs="Times New Roman"/>
          <w:sz w:val="22"/>
          <w:szCs w:val="22"/>
        </w:rPr>
        <w:t>. In the absence of knowledge or mechanisms to adjust power, our findings suggest tha</w:t>
      </w:r>
      <w:r w:rsidR="00E015C1">
        <w:rPr>
          <w:rFonts w:ascii="Times New Roman" w:hAnsi="Times New Roman" w:cs="Times New Roman"/>
          <w:sz w:val="22"/>
          <w:szCs w:val="22"/>
        </w:rPr>
        <w:t xml:space="preserve">t a lower nicotine </w:t>
      </w:r>
      <w:r w:rsidR="00FB79C4">
        <w:rPr>
          <w:rFonts w:ascii="Times New Roman" w:hAnsi="Times New Roman" w:cs="Times New Roman"/>
          <w:sz w:val="22"/>
          <w:szCs w:val="22"/>
        </w:rPr>
        <w:t>concentration</w:t>
      </w:r>
      <w:r w:rsidR="009578AE">
        <w:rPr>
          <w:rFonts w:ascii="Times New Roman" w:hAnsi="Times New Roman" w:cs="Times New Roman"/>
          <w:sz w:val="22"/>
          <w:szCs w:val="22"/>
        </w:rPr>
        <w:t xml:space="preserve"> e-liquid is associated with higher urges and withdrawal symptoms and </w:t>
      </w:r>
      <w:r w:rsidR="000D6E7B">
        <w:rPr>
          <w:rFonts w:ascii="Times New Roman" w:hAnsi="Times New Roman" w:cs="Times New Roman"/>
          <w:sz w:val="22"/>
          <w:szCs w:val="22"/>
        </w:rPr>
        <w:t xml:space="preserve">reduced overall satisfaction.  </w:t>
      </w:r>
    </w:p>
    <w:p w14:paraId="67F3D211" w14:textId="77777777" w:rsidR="000D6E7B" w:rsidRDefault="000D6E7B" w:rsidP="0089316A">
      <w:pPr>
        <w:tabs>
          <w:tab w:val="left" w:pos="2811"/>
        </w:tabs>
        <w:spacing w:line="480" w:lineRule="auto"/>
        <w:jc w:val="both"/>
        <w:rPr>
          <w:rFonts w:ascii="Times New Roman" w:hAnsi="Times New Roman" w:cs="Times New Roman"/>
          <w:sz w:val="22"/>
          <w:szCs w:val="22"/>
        </w:rPr>
      </w:pPr>
    </w:p>
    <w:p w14:paraId="391AF915" w14:textId="45427FA1" w:rsidR="009C3CC0" w:rsidRDefault="009B7DBC" w:rsidP="00293D7D">
      <w:pPr>
        <w:tabs>
          <w:tab w:val="left" w:pos="2811"/>
        </w:tabs>
        <w:spacing w:line="480" w:lineRule="auto"/>
        <w:jc w:val="both"/>
        <w:rPr>
          <w:rFonts w:ascii="Times New Roman" w:hAnsi="Times New Roman" w:cs="Times New Roman"/>
          <w:sz w:val="22"/>
          <w:szCs w:val="22"/>
        </w:rPr>
      </w:pPr>
      <w:r>
        <w:rPr>
          <w:rFonts w:ascii="Times New Roman" w:hAnsi="Times New Roman" w:cs="Times New Roman"/>
          <w:sz w:val="22"/>
          <w:szCs w:val="22"/>
        </w:rPr>
        <w:lastRenderedPageBreak/>
        <w:t xml:space="preserve">Levels of 3-HPMA did not differ across nicotine or </w:t>
      </w:r>
      <w:r w:rsidR="005E1726">
        <w:rPr>
          <w:rFonts w:ascii="Times New Roman" w:hAnsi="Times New Roman" w:cs="Times New Roman"/>
          <w:sz w:val="22"/>
          <w:szCs w:val="22"/>
        </w:rPr>
        <w:t xml:space="preserve">power </w:t>
      </w:r>
      <w:r>
        <w:rPr>
          <w:rFonts w:ascii="Times New Roman" w:hAnsi="Times New Roman" w:cs="Times New Roman"/>
          <w:sz w:val="22"/>
          <w:szCs w:val="22"/>
        </w:rPr>
        <w:t>conditions and were within the range found in exclusive e-cigarette users in other studies</w:t>
      </w:r>
      <w:r w:rsidR="00C91FEC">
        <w:rPr>
          <w:rFonts w:ascii="Times New Roman" w:hAnsi="Times New Roman" w:cs="Times New Roman"/>
          <w:sz w:val="22"/>
          <w:szCs w:val="22"/>
        </w:rPr>
        <w:t xml:space="preserve"> [</w:t>
      </w:r>
      <w:r w:rsidR="00F51523">
        <w:rPr>
          <w:rFonts w:ascii="Times New Roman" w:hAnsi="Times New Roman" w:cs="Times New Roman"/>
          <w:sz w:val="22"/>
          <w:szCs w:val="22"/>
        </w:rPr>
        <w:t>23</w:t>
      </w:r>
      <w:r w:rsidR="00C91FEC">
        <w:rPr>
          <w:rFonts w:ascii="Times New Roman" w:hAnsi="Times New Roman" w:cs="Times New Roman"/>
          <w:sz w:val="22"/>
          <w:szCs w:val="22"/>
        </w:rPr>
        <w:t xml:space="preserve">, </w:t>
      </w:r>
      <w:r w:rsidR="00F51523">
        <w:rPr>
          <w:rFonts w:ascii="Times New Roman" w:hAnsi="Times New Roman" w:cs="Times New Roman"/>
          <w:sz w:val="22"/>
          <w:szCs w:val="22"/>
        </w:rPr>
        <w:t>25</w:t>
      </w:r>
      <w:r w:rsidR="00943650">
        <w:rPr>
          <w:rFonts w:ascii="Times New Roman" w:hAnsi="Times New Roman" w:cs="Times New Roman"/>
          <w:sz w:val="22"/>
          <w:szCs w:val="22"/>
        </w:rPr>
        <w:t>]</w:t>
      </w:r>
      <w:r>
        <w:rPr>
          <w:rFonts w:ascii="Times New Roman" w:hAnsi="Times New Roman" w:cs="Times New Roman"/>
          <w:sz w:val="22"/>
          <w:szCs w:val="22"/>
        </w:rPr>
        <w:t xml:space="preserve"> although slightly higher than those reported by Shahab et al.</w:t>
      </w:r>
      <w:r w:rsidR="00C91FEC">
        <w:rPr>
          <w:rFonts w:ascii="Times New Roman" w:hAnsi="Times New Roman" w:cs="Times New Roman"/>
          <w:sz w:val="22"/>
          <w:szCs w:val="22"/>
        </w:rPr>
        <w:t xml:space="preserve"> [</w:t>
      </w:r>
      <w:r w:rsidR="00F51523">
        <w:rPr>
          <w:rFonts w:ascii="Times New Roman" w:hAnsi="Times New Roman" w:cs="Times New Roman"/>
          <w:sz w:val="22"/>
          <w:szCs w:val="22"/>
        </w:rPr>
        <w:t>26</w:t>
      </w:r>
      <w:r w:rsidR="00943650">
        <w:rPr>
          <w:rFonts w:ascii="Times New Roman" w:hAnsi="Times New Roman" w:cs="Times New Roman"/>
          <w:sz w:val="22"/>
          <w:szCs w:val="22"/>
        </w:rPr>
        <w:t>]</w:t>
      </w:r>
      <w:r>
        <w:rPr>
          <w:rFonts w:ascii="Times New Roman" w:hAnsi="Times New Roman" w:cs="Times New Roman"/>
          <w:sz w:val="22"/>
          <w:szCs w:val="22"/>
        </w:rPr>
        <w:t xml:space="preserve">.   To our knowledge, we are the first to measure </w:t>
      </w:r>
      <w:proofErr w:type="spellStart"/>
      <w:r>
        <w:rPr>
          <w:rFonts w:ascii="Times New Roman" w:hAnsi="Times New Roman" w:cs="Times New Roman"/>
          <w:sz w:val="22"/>
          <w:szCs w:val="22"/>
        </w:rPr>
        <w:t>formate</w:t>
      </w:r>
      <w:proofErr w:type="spellEnd"/>
      <w:r>
        <w:rPr>
          <w:rFonts w:ascii="Times New Roman" w:hAnsi="Times New Roman" w:cs="Times New Roman"/>
          <w:sz w:val="22"/>
          <w:szCs w:val="22"/>
        </w:rPr>
        <w:t xml:space="preserve"> as </w:t>
      </w:r>
      <w:r w:rsidR="001555E3">
        <w:rPr>
          <w:rFonts w:ascii="Times New Roman" w:hAnsi="Times New Roman" w:cs="Times New Roman"/>
          <w:sz w:val="22"/>
          <w:szCs w:val="22"/>
        </w:rPr>
        <w:t xml:space="preserve">an estimate of formaldehyde exposure, a known human carcinogen </w:t>
      </w:r>
      <w:r w:rsidR="00F60386">
        <w:rPr>
          <w:rFonts w:ascii="Times New Roman" w:hAnsi="Times New Roman" w:cs="Times New Roman"/>
          <w:sz w:val="22"/>
          <w:szCs w:val="22"/>
        </w:rPr>
        <w:t>[</w:t>
      </w:r>
      <w:r w:rsidR="00F51523">
        <w:rPr>
          <w:rFonts w:ascii="Times New Roman" w:hAnsi="Times New Roman" w:cs="Times New Roman"/>
          <w:sz w:val="22"/>
          <w:szCs w:val="22"/>
        </w:rPr>
        <w:t>33</w:t>
      </w:r>
      <w:r w:rsidR="00943650">
        <w:rPr>
          <w:rFonts w:ascii="Times New Roman" w:hAnsi="Times New Roman" w:cs="Times New Roman"/>
          <w:sz w:val="22"/>
          <w:szCs w:val="22"/>
        </w:rPr>
        <w:t>]</w:t>
      </w:r>
      <w:r w:rsidR="0080400B">
        <w:rPr>
          <w:rFonts w:ascii="Times New Roman" w:hAnsi="Times New Roman" w:cs="Times New Roman"/>
          <w:sz w:val="22"/>
          <w:szCs w:val="22"/>
        </w:rPr>
        <w:t xml:space="preserve"> in e-cigarette users</w:t>
      </w:r>
      <w:r w:rsidR="001555E3">
        <w:rPr>
          <w:rFonts w:ascii="Times New Roman" w:hAnsi="Times New Roman" w:cs="Times New Roman"/>
          <w:sz w:val="22"/>
          <w:szCs w:val="22"/>
        </w:rPr>
        <w:t xml:space="preserve">.  Levels </w:t>
      </w:r>
      <w:r w:rsidR="00EB6639">
        <w:rPr>
          <w:rFonts w:ascii="Times New Roman" w:hAnsi="Times New Roman" w:cs="Times New Roman"/>
          <w:sz w:val="22"/>
          <w:szCs w:val="22"/>
        </w:rPr>
        <w:t xml:space="preserve">of </w:t>
      </w:r>
      <w:proofErr w:type="spellStart"/>
      <w:r w:rsidR="00EB6639">
        <w:rPr>
          <w:rFonts w:ascii="Times New Roman" w:hAnsi="Times New Roman" w:cs="Times New Roman"/>
          <w:sz w:val="22"/>
          <w:szCs w:val="22"/>
        </w:rPr>
        <w:t>formate</w:t>
      </w:r>
      <w:proofErr w:type="spellEnd"/>
      <w:r w:rsidR="00EB6639">
        <w:rPr>
          <w:rFonts w:ascii="Times New Roman" w:hAnsi="Times New Roman" w:cs="Times New Roman"/>
          <w:sz w:val="22"/>
          <w:szCs w:val="22"/>
        </w:rPr>
        <w:t xml:space="preserve"> </w:t>
      </w:r>
      <w:r w:rsidR="001555E3">
        <w:rPr>
          <w:rFonts w:ascii="Times New Roman" w:hAnsi="Times New Roman" w:cs="Times New Roman"/>
          <w:sz w:val="22"/>
          <w:szCs w:val="22"/>
        </w:rPr>
        <w:t xml:space="preserve">were higher in the low versus the high nicotine condition, particularly when users were </w:t>
      </w:r>
      <w:r w:rsidR="005E1726">
        <w:rPr>
          <w:rFonts w:ascii="Times New Roman" w:hAnsi="Times New Roman" w:cs="Times New Roman"/>
          <w:sz w:val="22"/>
          <w:szCs w:val="22"/>
        </w:rPr>
        <w:t>permitted to adjust the power</w:t>
      </w:r>
      <w:r w:rsidR="001555E3">
        <w:rPr>
          <w:rFonts w:ascii="Times New Roman" w:hAnsi="Times New Roman" w:cs="Times New Roman"/>
          <w:sz w:val="22"/>
          <w:szCs w:val="22"/>
        </w:rPr>
        <w:t xml:space="preserve">.  </w:t>
      </w:r>
      <w:r w:rsidR="00293D7D">
        <w:rPr>
          <w:rFonts w:ascii="Times New Roman" w:hAnsi="Times New Roman" w:cs="Times New Roman"/>
          <w:sz w:val="22"/>
          <w:szCs w:val="22"/>
        </w:rPr>
        <w:t>These findings are consistent with our previous report of increased formaldehyde in e-cigarette aerosol generated using a more intensive puffing regimen</w:t>
      </w:r>
      <w:r w:rsidR="00F60386">
        <w:rPr>
          <w:rFonts w:ascii="Times New Roman" w:hAnsi="Times New Roman" w:cs="Times New Roman"/>
          <w:sz w:val="22"/>
          <w:szCs w:val="22"/>
        </w:rPr>
        <w:t xml:space="preserve"> [</w:t>
      </w:r>
      <w:r w:rsidR="00F51523">
        <w:rPr>
          <w:rFonts w:ascii="Times New Roman" w:hAnsi="Times New Roman" w:cs="Times New Roman"/>
          <w:sz w:val="22"/>
          <w:szCs w:val="22"/>
        </w:rPr>
        <w:t>34</w:t>
      </w:r>
      <w:r w:rsidR="00F60386">
        <w:rPr>
          <w:rFonts w:ascii="Times New Roman" w:hAnsi="Times New Roman" w:cs="Times New Roman"/>
          <w:sz w:val="22"/>
          <w:szCs w:val="22"/>
        </w:rPr>
        <w:t>]</w:t>
      </w:r>
      <w:r w:rsidR="00236AEF">
        <w:rPr>
          <w:rFonts w:ascii="Times New Roman" w:hAnsi="Times New Roman" w:cs="Times New Roman"/>
          <w:sz w:val="22"/>
          <w:szCs w:val="22"/>
        </w:rPr>
        <w:t>.</w:t>
      </w:r>
      <w:r w:rsidR="00502A88">
        <w:rPr>
          <w:rFonts w:ascii="Times New Roman" w:hAnsi="Times New Roman" w:cs="Times New Roman"/>
          <w:sz w:val="22"/>
          <w:szCs w:val="22"/>
        </w:rPr>
        <w:t xml:space="preserve">  </w:t>
      </w:r>
      <w:r w:rsidR="009C3CC0">
        <w:rPr>
          <w:rFonts w:ascii="Times New Roman" w:hAnsi="Times New Roman" w:cs="Times New Roman"/>
          <w:sz w:val="22"/>
          <w:szCs w:val="22"/>
        </w:rPr>
        <w:t>Although these results are suggestive of an effect of compensatory</w:t>
      </w:r>
      <w:r w:rsidR="001D1127">
        <w:rPr>
          <w:rFonts w:ascii="Times New Roman" w:hAnsi="Times New Roman" w:cs="Times New Roman"/>
          <w:sz w:val="22"/>
          <w:szCs w:val="22"/>
        </w:rPr>
        <w:t xml:space="preserve"> behaviour</w:t>
      </w:r>
      <w:r w:rsidR="009C3CC0">
        <w:rPr>
          <w:rFonts w:ascii="Times New Roman" w:hAnsi="Times New Roman" w:cs="Times New Roman"/>
          <w:sz w:val="22"/>
          <w:szCs w:val="22"/>
        </w:rPr>
        <w:t xml:space="preserve"> on formaldehy</w:t>
      </w:r>
      <w:r w:rsidR="00EB6639">
        <w:rPr>
          <w:rFonts w:ascii="Times New Roman" w:hAnsi="Times New Roman" w:cs="Times New Roman"/>
          <w:sz w:val="22"/>
          <w:szCs w:val="22"/>
        </w:rPr>
        <w:t>d</w:t>
      </w:r>
      <w:r w:rsidR="009C3CC0">
        <w:rPr>
          <w:rFonts w:ascii="Times New Roman" w:hAnsi="Times New Roman" w:cs="Times New Roman"/>
          <w:sz w:val="22"/>
          <w:szCs w:val="22"/>
        </w:rPr>
        <w:t xml:space="preserve">e exposure, they are </w:t>
      </w:r>
      <w:r w:rsidR="00502A88">
        <w:rPr>
          <w:rFonts w:ascii="Times New Roman" w:hAnsi="Times New Roman" w:cs="Times New Roman"/>
          <w:sz w:val="22"/>
          <w:szCs w:val="22"/>
        </w:rPr>
        <w:t xml:space="preserve">by </w:t>
      </w:r>
      <w:r w:rsidR="009C3CC0">
        <w:rPr>
          <w:rFonts w:ascii="Times New Roman" w:hAnsi="Times New Roman" w:cs="Times New Roman"/>
          <w:sz w:val="22"/>
          <w:szCs w:val="22"/>
        </w:rPr>
        <w:t>no means conclusive</w:t>
      </w:r>
      <w:r w:rsidR="00CF70E3">
        <w:rPr>
          <w:rFonts w:ascii="Times New Roman" w:hAnsi="Times New Roman" w:cs="Times New Roman"/>
          <w:sz w:val="22"/>
          <w:szCs w:val="22"/>
        </w:rPr>
        <w:t xml:space="preserve">; the sample size was small </w:t>
      </w:r>
      <w:r w:rsidR="009C3CC0">
        <w:rPr>
          <w:rFonts w:ascii="Times New Roman" w:hAnsi="Times New Roman" w:cs="Times New Roman"/>
          <w:sz w:val="22"/>
          <w:szCs w:val="22"/>
        </w:rPr>
        <w:t xml:space="preserve">and </w:t>
      </w:r>
      <w:r w:rsidR="00502A88">
        <w:rPr>
          <w:rFonts w:ascii="Times New Roman" w:hAnsi="Times New Roman" w:cs="Times New Roman"/>
          <w:sz w:val="22"/>
          <w:szCs w:val="22"/>
        </w:rPr>
        <w:t xml:space="preserve">the influence of other </w:t>
      </w:r>
      <w:r w:rsidR="009C3CC0">
        <w:rPr>
          <w:rFonts w:ascii="Times New Roman" w:hAnsi="Times New Roman" w:cs="Times New Roman"/>
          <w:sz w:val="22"/>
          <w:szCs w:val="22"/>
        </w:rPr>
        <w:t>foods and drugs (not measured here) known to in</w:t>
      </w:r>
      <w:r w:rsidR="00502A88">
        <w:rPr>
          <w:rFonts w:ascii="Times New Roman" w:hAnsi="Times New Roman" w:cs="Times New Roman"/>
          <w:sz w:val="22"/>
          <w:szCs w:val="22"/>
        </w:rPr>
        <w:t>fluence formaldehyde exposure cannot be ruled out.</w:t>
      </w:r>
    </w:p>
    <w:p w14:paraId="31E5134C" w14:textId="77777777" w:rsidR="00293D7D" w:rsidRDefault="00293D7D" w:rsidP="00293D7D">
      <w:pPr>
        <w:tabs>
          <w:tab w:val="left" w:pos="2811"/>
        </w:tabs>
        <w:spacing w:line="480" w:lineRule="auto"/>
        <w:jc w:val="both"/>
        <w:rPr>
          <w:rFonts w:ascii="Times New Roman" w:hAnsi="Times New Roman" w:cs="Times New Roman"/>
          <w:sz w:val="22"/>
          <w:szCs w:val="22"/>
        </w:rPr>
      </w:pPr>
    </w:p>
    <w:p w14:paraId="5748CF96" w14:textId="55BC1C2D" w:rsidR="00D15A88" w:rsidRDefault="00D15A88" w:rsidP="0089316A">
      <w:pPr>
        <w:tabs>
          <w:tab w:val="left" w:pos="2811"/>
        </w:tabs>
        <w:spacing w:line="480" w:lineRule="auto"/>
        <w:jc w:val="both"/>
        <w:rPr>
          <w:rFonts w:ascii="Times New Roman" w:hAnsi="Times New Roman" w:cs="Times New Roman"/>
          <w:sz w:val="22"/>
          <w:szCs w:val="22"/>
        </w:rPr>
      </w:pPr>
      <w:r>
        <w:rPr>
          <w:rFonts w:ascii="Times New Roman" w:hAnsi="Times New Roman" w:cs="Times New Roman"/>
          <w:sz w:val="22"/>
          <w:szCs w:val="22"/>
        </w:rPr>
        <w:t xml:space="preserve">There are several limitations of our study.  Although participants were not aware of the study aims, they were </w:t>
      </w:r>
      <w:r w:rsidR="00EB6639">
        <w:rPr>
          <w:rFonts w:ascii="Times New Roman" w:hAnsi="Times New Roman" w:cs="Times New Roman"/>
          <w:sz w:val="22"/>
          <w:szCs w:val="22"/>
        </w:rPr>
        <w:t xml:space="preserve">not blinded to </w:t>
      </w:r>
      <w:r>
        <w:rPr>
          <w:rFonts w:ascii="Times New Roman" w:hAnsi="Times New Roman" w:cs="Times New Roman"/>
          <w:sz w:val="22"/>
          <w:szCs w:val="22"/>
        </w:rPr>
        <w:t xml:space="preserve">the nicotine </w:t>
      </w:r>
      <w:r w:rsidR="000716A5">
        <w:rPr>
          <w:rFonts w:ascii="Times New Roman" w:hAnsi="Times New Roman" w:cs="Times New Roman"/>
          <w:sz w:val="22"/>
          <w:szCs w:val="22"/>
        </w:rPr>
        <w:t>e-liquid</w:t>
      </w:r>
      <w:r w:rsidR="00E015C1">
        <w:rPr>
          <w:rFonts w:ascii="Times New Roman" w:hAnsi="Times New Roman" w:cs="Times New Roman"/>
          <w:sz w:val="22"/>
          <w:szCs w:val="22"/>
        </w:rPr>
        <w:t xml:space="preserve"> </w:t>
      </w:r>
      <w:r w:rsidR="00FB79C4">
        <w:rPr>
          <w:rFonts w:ascii="Times New Roman" w:hAnsi="Times New Roman" w:cs="Times New Roman"/>
          <w:sz w:val="22"/>
          <w:szCs w:val="22"/>
        </w:rPr>
        <w:t>concentration</w:t>
      </w:r>
      <w:r>
        <w:rPr>
          <w:rFonts w:ascii="Times New Roman" w:hAnsi="Times New Roman" w:cs="Times New Roman"/>
          <w:sz w:val="22"/>
          <w:szCs w:val="22"/>
        </w:rPr>
        <w:t xml:space="preserve"> which may have influenced their puffing patterns and subjective reporting.  </w:t>
      </w:r>
      <w:r w:rsidR="00E74F47">
        <w:rPr>
          <w:rFonts w:ascii="Times New Roman" w:hAnsi="Times New Roman" w:cs="Times New Roman"/>
          <w:sz w:val="22"/>
          <w:szCs w:val="22"/>
        </w:rPr>
        <w:t xml:space="preserve">In terms of compliance, reports of using non-study devices was reported occasionally and days of non-use occurred (e.g. during a flight or hospital admission).  Although these </w:t>
      </w:r>
      <w:r w:rsidR="00E74F47" w:rsidRPr="00095B95">
        <w:rPr>
          <w:rFonts w:ascii="Times New Roman" w:hAnsi="Times New Roman" w:cs="Times New Roman"/>
          <w:sz w:val="22"/>
          <w:szCs w:val="22"/>
        </w:rPr>
        <w:t>days were removed from the puffing analysis, this could have influenced the biomarkers analysis.  Occasional smoking</w:t>
      </w:r>
      <w:r w:rsidR="0017166B" w:rsidRPr="00095B95">
        <w:rPr>
          <w:rFonts w:ascii="Times New Roman" w:hAnsi="Times New Roman" w:cs="Times New Roman"/>
          <w:sz w:val="22"/>
          <w:szCs w:val="22"/>
        </w:rPr>
        <w:t xml:space="preserve"> (including marijuana or hookah use)</w:t>
      </w:r>
      <w:r w:rsidR="00E74F47" w:rsidRPr="00095B95">
        <w:rPr>
          <w:rFonts w:ascii="Times New Roman" w:hAnsi="Times New Roman" w:cs="Times New Roman"/>
          <w:sz w:val="22"/>
          <w:szCs w:val="22"/>
        </w:rPr>
        <w:t xml:space="preserve"> </w:t>
      </w:r>
      <w:r w:rsidR="0021598F" w:rsidRPr="00095B95">
        <w:rPr>
          <w:rFonts w:ascii="Times New Roman" w:hAnsi="Times New Roman" w:cs="Times New Roman"/>
          <w:sz w:val="22"/>
          <w:szCs w:val="22"/>
        </w:rPr>
        <w:t>may also have occurred; a</w:t>
      </w:r>
      <w:r w:rsidR="00430746" w:rsidRPr="00095B95">
        <w:rPr>
          <w:rFonts w:ascii="Times New Roman" w:hAnsi="Times New Roman" w:cs="Times New Roman"/>
          <w:sz w:val="22"/>
          <w:szCs w:val="22"/>
        </w:rPr>
        <w:t xml:space="preserve">lthough CO levels were all below 10ppm, several were between 6 and 9 </w:t>
      </w:r>
      <w:r w:rsidR="00EB6639" w:rsidRPr="00095B95">
        <w:rPr>
          <w:rFonts w:ascii="Times New Roman" w:hAnsi="Times New Roman" w:cs="Times New Roman"/>
          <w:sz w:val="22"/>
          <w:szCs w:val="22"/>
        </w:rPr>
        <w:t>ppm</w:t>
      </w:r>
      <w:r w:rsidR="0017166B" w:rsidRPr="00095B95">
        <w:rPr>
          <w:rFonts w:ascii="Times New Roman" w:hAnsi="Times New Roman" w:cs="Times New Roman"/>
          <w:sz w:val="22"/>
          <w:szCs w:val="22"/>
        </w:rPr>
        <w:t xml:space="preserve"> and we did not have the resources to biochemically confirm lack of marijuana use</w:t>
      </w:r>
      <w:r w:rsidR="0021598F" w:rsidRPr="00095B95">
        <w:rPr>
          <w:rFonts w:ascii="Times New Roman" w:hAnsi="Times New Roman" w:cs="Times New Roman"/>
          <w:sz w:val="22"/>
          <w:szCs w:val="22"/>
        </w:rPr>
        <w:t xml:space="preserve">.  However, cross-referencing these higher CO values against nicotine, 3-HPMA and </w:t>
      </w:r>
      <w:proofErr w:type="spellStart"/>
      <w:r w:rsidR="0021598F" w:rsidRPr="00095B95">
        <w:rPr>
          <w:rFonts w:ascii="Times New Roman" w:hAnsi="Times New Roman" w:cs="Times New Roman"/>
          <w:sz w:val="22"/>
          <w:szCs w:val="22"/>
        </w:rPr>
        <w:t>formate</w:t>
      </w:r>
      <w:proofErr w:type="spellEnd"/>
      <w:r w:rsidR="0021598F" w:rsidRPr="00095B95">
        <w:rPr>
          <w:rFonts w:ascii="Times New Roman" w:hAnsi="Times New Roman" w:cs="Times New Roman"/>
          <w:sz w:val="22"/>
          <w:szCs w:val="22"/>
        </w:rPr>
        <w:t xml:space="preserve"> results did not reveal higher levels compar</w:t>
      </w:r>
      <w:r w:rsidR="00331BA9" w:rsidRPr="00095B95">
        <w:rPr>
          <w:rFonts w:ascii="Times New Roman" w:hAnsi="Times New Roman" w:cs="Times New Roman"/>
          <w:sz w:val="22"/>
          <w:szCs w:val="22"/>
        </w:rPr>
        <w:t>ed with the rest of</w:t>
      </w:r>
      <w:r w:rsidR="00331BA9">
        <w:rPr>
          <w:rFonts w:ascii="Times New Roman" w:hAnsi="Times New Roman" w:cs="Times New Roman"/>
          <w:sz w:val="22"/>
          <w:szCs w:val="22"/>
        </w:rPr>
        <w:t xml:space="preserve"> the sample.</w:t>
      </w:r>
      <w:r w:rsidR="0021598F">
        <w:rPr>
          <w:rFonts w:ascii="Times New Roman" w:hAnsi="Times New Roman" w:cs="Times New Roman"/>
          <w:sz w:val="22"/>
          <w:szCs w:val="22"/>
        </w:rPr>
        <w:t xml:space="preserve"> </w:t>
      </w:r>
      <w:r w:rsidR="00DC5BEA">
        <w:rPr>
          <w:rFonts w:ascii="Times New Roman" w:hAnsi="Times New Roman" w:cs="Times New Roman"/>
          <w:sz w:val="22"/>
          <w:szCs w:val="22"/>
        </w:rPr>
        <w:t xml:space="preserve"> Our participants were al</w:t>
      </w:r>
      <w:r w:rsidR="00342D4D">
        <w:rPr>
          <w:rFonts w:ascii="Times New Roman" w:hAnsi="Times New Roman" w:cs="Times New Roman"/>
          <w:sz w:val="22"/>
          <w:szCs w:val="22"/>
        </w:rPr>
        <w:t xml:space="preserve">l experienced e-cigarette users, </w:t>
      </w:r>
      <w:r w:rsidR="00DC5BEA">
        <w:rPr>
          <w:rFonts w:ascii="Times New Roman" w:hAnsi="Times New Roman" w:cs="Times New Roman"/>
          <w:sz w:val="22"/>
          <w:szCs w:val="22"/>
        </w:rPr>
        <w:t xml:space="preserve">had vaped on average for two years </w:t>
      </w:r>
      <w:r w:rsidR="00342D4D">
        <w:rPr>
          <w:rFonts w:ascii="Times New Roman" w:hAnsi="Times New Roman" w:cs="Times New Roman"/>
          <w:sz w:val="22"/>
          <w:szCs w:val="22"/>
        </w:rPr>
        <w:t>and 40% reported sub-</w:t>
      </w:r>
      <w:proofErr w:type="spellStart"/>
      <w:r w:rsidR="00342D4D">
        <w:rPr>
          <w:rFonts w:ascii="Times New Roman" w:hAnsi="Times New Roman" w:cs="Times New Roman"/>
          <w:sz w:val="22"/>
          <w:szCs w:val="22"/>
        </w:rPr>
        <w:t>ohming</w:t>
      </w:r>
      <w:proofErr w:type="spellEnd"/>
      <w:r w:rsidR="00342D4D">
        <w:rPr>
          <w:rFonts w:ascii="Times New Roman" w:hAnsi="Times New Roman" w:cs="Times New Roman"/>
          <w:sz w:val="22"/>
          <w:szCs w:val="22"/>
        </w:rPr>
        <w:t>.  The puffing patterns and behaviour of these users may not therefore reflect the typical vaper or smokers who have recently transitioned to vaping.  Finally, vapers are unlikely to transition directly from a very high (18</w:t>
      </w:r>
      <w:r w:rsidR="006D29CB">
        <w:rPr>
          <w:rFonts w:ascii="Times New Roman" w:hAnsi="Times New Roman" w:cs="Times New Roman"/>
          <w:sz w:val="22"/>
          <w:szCs w:val="22"/>
        </w:rPr>
        <w:t xml:space="preserve"> </w:t>
      </w:r>
      <w:r w:rsidR="00342D4D">
        <w:rPr>
          <w:rFonts w:ascii="Times New Roman" w:hAnsi="Times New Roman" w:cs="Times New Roman"/>
          <w:sz w:val="22"/>
          <w:szCs w:val="22"/>
        </w:rPr>
        <w:t>mg/mL) to a very low (6</w:t>
      </w:r>
      <w:r w:rsidR="006D29CB">
        <w:rPr>
          <w:rFonts w:ascii="Times New Roman" w:hAnsi="Times New Roman" w:cs="Times New Roman"/>
          <w:sz w:val="22"/>
          <w:szCs w:val="22"/>
        </w:rPr>
        <w:t xml:space="preserve"> </w:t>
      </w:r>
      <w:r w:rsidR="00342D4D">
        <w:rPr>
          <w:rFonts w:ascii="Times New Roman" w:hAnsi="Times New Roman" w:cs="Times New Roman"/>
          <w:sz w:val="22"/>
          <w:szCs w:val="22"/>
        </w:rPr>
        <w:t>mg/mL) nicotine</w:t>
      </w:r>
      <w:r w:rsidR="00E015C1">
        <w:rPr>
          <w:rFonts w:ascii="Times New Roman" w:hAnsi="Times New Roman" w:cs="Times New Roman"/>
          <w:sz w:val="22"/>
          <w:szCs w:val="22"/>
        </w:rPr>
        <w:t xml:space="preserve"> </w:t>
      </w:r>
      <w:proofErr w:type="gramStart"/>
      <w:r w:rsidR="00FB79C4">
        <w:rPr>
          <w:rFonts w:ascii="Times New Roman" w:hAnsi="Times New Roman" w:cs="Times New Roman"/>
          <w:sz w:val="22"/>
          <w:szCs w:val="22"/>
        </w:rPr>
        <w:t>concentration</w:t>
      </w:r>
      <w:r w:rsidR="00E015C1">
        <w:rPr>
          <w:rFonts w:ascii="Times New Roman" w:hAnsi="Times New Roman" w:cs="Times New Roman"/>
          <w:sz w:val="22"/>
          <w:szCs w:val="22"/>
        </w:rPr>
        <w:t xml:space="preserve"> </w:t>
      </w:r>
      <w:r w:rsidR="00342D4D">
        <w:rPr>
          <w:rFonts w:ascii="Times New Roman" w:hAnsi="Times New Roman" w:cs="Times New Roman"/>
          <w:sz w:val="22"/>
          <w:szCs w:val="22"/>
        </w:rPr>
        <w:t xml:space="preserve"> and</w:t>
      </w:r>
      <w:proofErr w:type="gramEnd"/>
      <w:r w:rsidR="00342D4D">
        <w:rPr>
          <w:rFonts w:ascii="Times New Roman" w:hAnsi="Times New Roman" w:cs="Times New Roman"/>
          <w:sz w:val="22"/>
          <w:szCs w:val="22"/>
        </w:rPr>
        <w:t xml:space="preserve"> in practice may move through an intermediate stage (12</w:t>
      </w:r>
      <w:r w:rsidR="006D29CB">
        <w:rPr>
          <w:rFonts w:ascii="Times New Roman" w:hAnsi="Times New Roman" w:cs="Times New Roman"/>
          <w:sz w:val="22"/>
          <w:szCs w:val="22"/>
        </w:rPr>
        <w:t xml:space="preserve"> </w:t>
      </w:r>
      <w:r w:rsidR="00342D4D">
        <w:rPr>
          <w:rFonts w:ascii="Times New Roman" w:hAnsi="Times New Roman" w:cs="Times New Roman"/>
          <w:sz w:val="22"/>
          <w:szCs w:val="22"/>
        </w:rPr>
        <w:t xml:space="preserve">mg/mL). Whether smaller changes in nicotine concentrations are associated with changes to puffing topography and subjective effects is unknown.  </w:t>
      </w:r>
    </w:p>
    <w:p w14:paraId="2C06BBBA" w14:textId="77777777" w:rsidR="001555E3" w:rsidRDefault="001555E3" w:rsidP="0089316A">
      <w:pPr>
        <w:tabs>
          <w:tab w:val="left" w:pos="2811"/>
        </w:tabs>
        <w:spacing w:line="480" w:lineRule="auto"/>
        <w:jc w:val="both"/>
        <w:rPr>
          <w:rFonts w:ascii="Times New Roman" w:hAnsi="Times New Roman" w:cs="Times New Roman"/>
          <w:sz w:val="22"/>
          <w:szCs w:val="22"/>
        </w:rPr>
      </w:pPr>
    </w:p>
    <w:p w14:paraId="4EFA72CF" w14:textId="29AA90F5" w:rsidR="00000F2A" w:rsidRPr="0040691F" w:rsidRDefault="00342D4D" w:rsidP="003470E5">
      <w:pPr>
        <w:tabs>
          <w:tab w:val="left" w:pos="2811"/>
        </w:tabs>
        <w:spacing w:line="480" w:lineRule="auto"/>
        <w:jc w:val="both"/>
        <w:rPr>
          <w:rFonts w:ascii="Times New Roman" w:hAnsi="Times New Roman" w:cs="Times New Roman"/>
          <w:sz w:val="22"/>
          <w:szCs w:val="22"/>
        </w:rPr>
      </w:pPr>
      <w:r>
        <w:rPr>
          <w:rFonts w:ascii="Times New Roman" w:hAnsi="Times New Roman" w:cs="Times New Roman"/>
          <w:sz w:val="22"/>
          <w:szCs w:val="22"/>
        </w:rPr>
        <w:lastRenderedPageBreak/>
        <w:t>In conclusion, use of a lower nicotine</w:t>
      </w:r>
      <w:r w:rsidR="00E015C1">
        <w:rPr>
          <w:rFonts w:ascii="Times New Roman" w:hAnsi="Times New Roman" w:cs="Times New Roman"/>
          <w:sz w:val="22"/>
          <w:szCs w:val="22"/>
        </w:rPr>
        <w:t xml:space="preserve"> </w:t>
      </w:r>
      <w:r w:rsidR="00FB79C4">
        <w:rPr>
          <w:rFonts w:ascii="Times New Roman" w:hAnsi="Times New Roman" w:cs="Times New Roman"/>
          <w:sz w:val="22"/>
          <w:szCs w:val="22"/>
        </w:rPr>
        <w:t>concentration</w:t>
      </w:r>
      <w:r>
        <w:rPr>
          <w:rFonts w:ascii="Times New Roman" w:hAnsi="Times New Roman" w:cs="Times New Roman"/>
          <w:sz w:val="22"/>
          <w:szCs w:val="22"/>
        </w:rPr>
        <w:t xml:space="preserve"> e-liquid is associated with compensatory</w:t>
      </w:r>
      <w:r w:rsidR="0021598F">
        <w:rPr>
          <w:rFonts w:ascii="Times New Roman" w:hAnsi="Times New Roman" w:cs="Times New Roman"/>
          <w:sz w:val="22"/>
          <w:szCs w:val="22"/>
        </w:rPr>
        <w:t xml:space="preserve"> puffing</w:t>
      </w:r>
      <w:r>
        <w:rPr>
          <w:rFonts w:ascii="Times New Roman" w:hAnsi="Times New Roman" w:cs="Times New Roman"/>
          <w:sz w:val="22"/>
          <w:szCs w:val="22"/>
        </w:rPr>
        <w:t xml:space="preserve">, reduced subjective effects and where permitted, </w:t>
      </w:r>
      <w:r w:rsidR="0021598F">
        <w:rPr>
          <w:rFonts w:ascii="Times New Roman" w:hAnsi="Times New Roman" w:cs="Times New Roman"/>
          <w:sz w:val="22"/>
          <w:szCs w:val="22"/>
        </w:rPr>
        <w:t xml:space="preserve">increases </w:t>
      </w:r>
      <w:r>
        <w:rPr>
          <w:rFonts w:ascii="Times New Roman" w:hAnsi="Times New Roman" w:cs="Times New Roman"/>
          <w:sz w:val="22"/>
          <w:szCs w:val="22"/>
        </w:rPr>
        <w:t xml:space="preserve">to the power </w:t>
      </w:r>
      <w:r w:rsidR="00EB6639">
        <w:rPr>
          <w:rFonts w:ascii="Times New Roman" w:hAnsi="Times New Roman" w:cs="Times New Roman"/>
          <w:sz w:val="22"/>
          <w:szCs w:val="22"/>
        </w:rPr>
        <w:t>of</w:t>
      </w:r>
      <w:r>
        <w:rPr>
          <w:rFonts w:ascii="Times New Roman" w:hAnsi="Times New Roman" w:cs="Times New Roman"/>
          <w:sz w:val="22"/>
          <w:szCs w:val="22"/>
        </w:rPr>
        <w:t xml:space="preserve"> the</w:t>
      </w:r>
      <w:r w:rsidR="0021598F">
        <w:rPr>
          <w:rFonts w:ascii="Times New Roman" w:hAnsi="Times New Roman" w:cs="Times New Roman"/>
          <w:sz w:val="22"/>
          <w:szCs w:val="22"/>
        </w:rPr>
        <w:t xml:space="preserve"> device</w:t>
      </w:r>
      <w:r>
        <w:rPr>
          <w:rFonts w:ascii="Times New Roman" w:hAnsi="Times New Roman" w:cs="Times New Roman"/>
          <w:sz w:val="22"/>
          <w:szCs w:val="22"/>
        </w:rPr>
        <w:t xml:space="preserve">.  Our findings suggest that </w:t>
      </w:r>
      <w:r w:rsidR="0021598F">
        <w:rPr>
          <w:rFonts w:ascii="Times New Roman" w:hAnsi="Times New Roman" w:cs="Times New Roman"/>
          <w:sz w:val="22"/>
          <w:szCs w:val="22"/>
        </w:rPr>
        <w:t xml:space="preserve">this </w:t>
      </w:r>
      <w:r>
        <w:rPr>
          <w:rFonts w:ascii="Times New Roman" w:hAnsi="Times New Roman" w:cs="Times New Roman"/>
          <w:sz w:val="22"/>
          <w:szCs w:val="22"/>
        </w:rPr>
        <w:t xml:space="preserve">compensatory </w:t>
      </w:r>
      <w:r w:rsidR="0021598F">
        <w:rPr>
          <w:rFonts w:ascii="Times New Roman" w:hAnsi="Times New Roman" w:cs="Times New Roman"/>
          <w:sz w:val="22"/>
          <w:szCs w:val="22"/>
        </w:rPr>
        <w:t xml:space="preserve">behaviour is </w:t>
      </w:r>
      <w:r>
        <w:rPr>
          <w:rFonts w:ascii="Times New Roman" w:hAnsi="Times New Roman" w:cs="Times New Roman"/>
          <w:sz w:val="22"/>
          <w:szCs w:val="22"/>
        </w:rPr>
        <w:t xml:space="preserve">not sufficient to fully </w:t>
      </w:r>
      <w:r w:rsidR="00EB6639">
        <w:rPr>
          <w:rFonts w:ascii="Times New Roman" w:hAnsi="Times New Roman" w:cs="Times New Roman"/>
          <w:sz w:val="22"/>
          <w:szCs w:val="22"/>
        </w:rPr>
        <w:t xml:space="preserve">compensate for lower nicotine delivery </w:t>
      </w:r>
      <w:r>
        <w:rPr>
          <w:rFonts w:ascii="Times New Roman" w:hAnsi="Times New Roman" w:cs="Times New Roman"/>
          <w:sz w:val="22"/>
          <w:szCs w:val="22"/>
        </w:rPr>
        <w:t xml:space="preserve">and may be associated with increased </w:t>
      </w:r>
      <w:r w:rsidR="00943650">
        <w:rPr>
          <w:rFonts w:ascii="Times New Roman" w:hAnsi="Times New Roman" w:cs="Times New Roman"/>
          <w:sz w:val="22"/>
          <w:szCs w:val="22"/>
        </w:rPr>
        <w:t>formaldehyde</w:t>
      </w:r>
      <w:r>
        <w:rPr>
          <w:rFonts w:ascii="Times New Roman" w:hAnsi="Times New Roman" w:cs="Times New Roman"/>
          <w:sz w:val="22"/>
          <w:szCs w:val="22"/>
        </w:rPr>
        <w:t xml:space="preserve"> exposure.  </w:t>
      </w:r>
      <w:r w:rsidR="003B2402">
        <w:rPr>
          <w:rFonts w:ascii="Times New Roman" w:hAnsi="Times New Roman" w:cs="Times New Roman"/>
          <w:sz w:val="22"/>
          <w:szCs w:val="22"/>
        </w:rPr>
        <w:t>Switching to a lower nicotine</w:t>
      </w:r>
      <w:r w:rsidR="00E015C1">
        <w:rPr>
          <w:rFonts w:ascii="Times New Roman" w:hAnsi="Times New Roman" w:cs="Times New Roman"/>
          <w:sz w:val="22"/>
          <w:szCs w:val="22"/>
        </w:rPr>
        <w:t xml:space="preserve"> </w:t>
      </w:r>
      <w:r w:rsidR="00FB79C4">
        <w:rPr>
          <w:rFonts w:ascii="Times New Roman" w:hAnsi="Times New Roman" w:cs="Times New Roman"/>
          <w:sz w:val="22"/>
          <w:szCs w:val="22"/>
        </w:rPr>
        <w:t>concentration</w:t>
      </w:r>
      <w:r w:rsidR="003B2402">
        <w:rPr>
          <w:rFonts w:ascii="Times New Roman" w:hAnsi="Times New Roman" w:cs="Times New Roman"/>
          <w:sz w:val="22"/>
          <w:szCs w:val="22"/>
        </w:rPr>
        <w:t xml:space="preserve"> e-liquid may therefore be unsatisfying, triggering compensatory behaviour which increases e-liquid consumption and may increase health risks.  Although our </w:t>
      </w:r>
      <w:r w:rsidR="00943650">
        <w:rPr>
          <w:rFonts w:ascii="Times New Roman" w:hAnsi="Times New Roman" w:cs="Times New Roman"/>
          <w:sz w:val="22"/>
          <w:szCs w:val="22"/>
        </w:rPr>
        <w:t>formaldehyde</w:t>
      </w:r>
      <w:r w:rsidR="003B2402">
        <w:rPr>
          <w:rFonts w:ascii="Times New Roman" w:hAnsi="Times New Roman" w:cs="Times New Roman"/>
          <w:sz w:val="22"/>
          <w:szCs w:val="22"/>
        </w:rPr>
        <w:t xml:space="preserve"> findings </w:t>
      </w:r>
      <w:r w:rsidR="003B2402" w:rsidRPr="00095B95">
        <w:rPr>
          <w:rFonts w:ascii="Times New Roman" w:hAnsi="Times New Roman" w:cs="Times New Roman"/>
          <w:sz w:val="22"/>
          <w:szCs w:val="22"/>
        </w:rPr>
        <w:t>require replication, our data suggest</w:t>
      </w:r>
      <w:r w:rsidR="001B4662" w:rsidRPr="00095B95">
        <w:rPr>
          <w:rFonts w:ascii="Times New Roman" w:hAnsi="Times New Roman" w:cs="Times New Roman"/>
          <w:sz w:val="22"/>
          <w:szCs w:val="22"/>
        </w:rPr>
        <w:t xml:space="preserve"> that vapers should carefully consider switching to </w:t>
      </w:r>
      <w:r w:rsidR="00C53995" w:rsidRPr="00095B95">
        <w:rPr>
          <w:rFonts w:ascii="Times New Roman" w:hAnsi="Times New Roman" w:cs="Times New Roman"/>
          <w:sz w:val="22"/>
          <w:szCs w:val="22"/>
        </w:rPr>
        <w:t>lower n</w:t>
      </w:r>
      <w:r w:rsidR="001B4662" w:rsidRPr="00095B95">
        <w:rPr>
          <w:rFonts w:ascii="Times New Roman" w:hAnsi="Times New Roman" w:cs="Times New Roman"/>
          <w:sz w:val="22"/>
          <w:szCs w:val="22"/>
        </w:rPr>
        <w:t>icotine</w:t>
      </w:r>
      <w:r w:rsidR="00E015C1" w:rsidRPr="00095B95">
        <w:rPr>
          <w:rFonts w:ascii="Times New Roman" w:hAnsi="Times New Roman" w:cs="Times New Roman"/>
          <w:sz w:val="22"/>
          <w:szCs w:val="22"/>
        </w:rPr>
        <w:t xml:space="preserve"> </w:t>
      </w:r>
      <w:r w:rsidR="00FB79C4" w:rsidRPr="00095B95">
        <w:rPr>
          <w:rFonts w:ascii="Times New Roman" w:hAnsi="Times New Roman" w:cs="Times New Roman"/>
          <w:sz w:val="22"/>
          <w:szCs w:val="22"/>
        </w:rPr>
        <w:t>concentration</w:t>
      </w:r>
      <w:r w:rsidR="001B4662" w:rsidRPr="00095B95">
        <w:rPr>
          <w:rFonts w:ascii="Times New Roman" w:hAnsi="Times New Roman" w:cs="Times New Roman"/>
          <w:sz w:val="22"/>
          <w:szCs w:val="22"/>
        </w:rPr>
        <w:t xml:space="preserve"> e-liquids.</w:t>
      </w:r>
    </w:p>
    <w:p w14:paraId="73339E52" w14:textId="77777777" w:rsidR="00000F2A" w:rsidRDefault="00000F2A" w:rsidP="00D4371D">
      <w:pPr>
        <w:spacing w:line="480" w:lineRule="auto"/>
        <w:jc w:val="both"/>
        <w:rPr>
          <w:rFonts w:ascii="Times New Roman" w:hAnsi="Times New Roman" w:cs="Times New Roman"/>
        </w:rPr>
      </w:pPr>
    </w:p>
    <w:p w14:paraId="7C77A4E2" w14:textId="77777777" w:rsidR="00AC78D0" w:rsidRPr="00000F2A" w:rsidRDefault="00AC78D0" w:rsidP="00D4371D">
      <w:pPr>
        <w:spacing w:line="480" w:lineRule="auto"/>
        <w:jc w:val="both"/>
        <w:rPr>
          <w:rFonts w:ascii="Times New Roman" w:hAnsi="Times New Roman" w:cs="Times New Roman"/>
        </w:rPr>
      </w:pPr>
    </w:p>
    <w:p w14:paraId="1074AAA8" w14:textId="27CB3C1C" w:rsidR="00E6477B" w:rsidRDefault="00E6477B" w:rsidP="00D4371D">
      <w:pPr>
        <w:spacing w:line="480" w:lineRule="auto"/>
        <w:jc w:val="both"/>
        <w:rPr>
          <w:rFonts w:ascii="Times New Roman" w:hAnsi="Times New Roman" w:cs="Times New Roman"/>
          <w:b/>
          <w:u w:val="single"/>
        </w:rPr>
      </w:pPr>
      <w:r>
        <w:rPr>
          <w:rFonts w:ascii="Times New Roman" w:hAnsi="Times New Roman" w:cs="Times New Roman"/>
          <w:b/>
          <w:u w:val="single"/>
        </w:rPr>
        <w:t>Acknowledgements</w:t>
      </w:r>
    </w:p>
    <w:p w14:paraId="2A7C329A" w14:textId="38A3E930" w:rsidR="0080400B" w:rsidRDefault="0080400B" w:rsidP="00D4371D">
      <w:pPr>
        <w:spacing w:line="480" w:lineRule="auto"/>
        <w:jc w:val="both"/>
        <w:rPr>
          <w:rFonts w:ascii="Times New Roman" w:hAnsi="Times New Roman" w:cs="Times New Roman"/>
          <w:sz w:val="22"/>
          <w:szCs w:val="22"/>
        </w:rPr>
      </w:pPr>
      <w:r>
        <w:rPr>
          <w:rFonts w:ascii="Times New Roman" w:hAnsi="Times New Roman" w:cs="Times New Roman"/>
          <w:sz w:val="22"/>
          <w:szCs w:val="22"/>
        </w:rPr>
        <w:t>The authors wish to acknowledge the support of Cancer Research UK (</w:t>
      </w:r>
      <w:r w:rsidRPr="0040194E">
        <w:rPr>
          <w:rFonts w:ascii="Times New Roman" w:hAnsi="Times New Roman" w:cs="Times New Roman"/>
          <w:sz w:val="22"/>
          <w:szCs w:val="22"/>
        </w:rPr>
        <w:t>C50878/A21130</w:t>
      </w:r>
      <w:r>
        <w:rPr>
          <w:rFonts w:ascii="Times New Roman" w:hAnsi="Times New Roman" w:cs="Times New Roman"/>
          <w:sz w:val="22"/>
          <w:szCs w:val="22"/>
        </w:rPr>
        <w:t>)</w:t>
      </w:r>
    </w:p>
    <w:p w14:paraId="602F3977" w14:textId="77777777" w:rsidR="0040691F" w:rsidRDefault="0040691F" w:rsidP="00D4371D">
      <w:pPr>
        <w:spacing w:line="480" w:lineRule="auto"/>
        <w:jc w:val="both"/>
        <w:rPr>
          <w:rFonts w:ascii="Times New Roman" w:hAnsi="Times New Roman" w:cs="Times New Roman"/>
          <w:sz w:val="22"/>
          <w:szCs w:val="22"/>
        </w:rPr>
      </w:pPr>
    </w:p>
    <w:p w14:paraId="0EBC8617" w14:textId="77777777" w:rsidR="0040691F" w:rsidRDefault="0040691F" w:rsidP="00D4371D">
      <w:pPr>
        <w:spacing w:line="480" w:lineRule="auto"/>
        <w:jc w:val="both"/>
        <w:rPr>
          <w:rFonts w:ascii="Times New Roman" w:hAnsi="Times New Roman" w:cs="Times New Roman"/>
          <w:sz w:val="22"/>
          <w:szCs w:val="22"/>
        </w:rPr>
      </w:pPr>
    </w:p>
    <w:p w14:paraId="44E9F81B" w14:textId="79AE1097" w:rsidR="00E6477B" w:rsidRDefault="00E6477B" w:rsidP="00D4371D">
      <w:pPr>
        <w:spacing w:line="480" w:lineRule="auto"/>
        <w:jc w:val="both"/>
        <w:rPr>
          <w:rFonts w:ascii="Times New Roman" w:hAnsi="Times New Roman" w:cs="Times New Roman"/>
          <w:b/>
          <w:u w:val="single"/>
        </w:rPr>
      </w:pPr>
      <w:r>
        <w:rPr>
          <w:rFonts w:ascii="Times New Roman" w:hAnsi="Times New Roman" w:cs="Times New Roman"/>
          <w:b/>
          <w:u w:val="single"/>
        </w:rPr>
        <w:t>References</w:t>
      </w:r>
    </w:p>
    <w:p w14:paraId="6521FB23" w14:textId="5835316E" w:rsidR="00CD13CA" w:rsidRPr="00245597" w:rsidRDefault="00CD13CA" w:rsidP="00245597">
      <w:pPr>
        <w:pStyle w:val="ListParagraph"/>
        <w:numPr>
          <w:ilvl w:val="0"/>
          <w:numId w:val="4"/>
        </w:numPr>
        <w:spacing w:after="0" w:line="480" w:lineRule="auto"/>
        <w:ind w:left="426"/>
        <w:jc w:val="both"/>
        <w:rPr>
          <w:color w:val="222222"/>
          <w:shd w:val="clear" w:color="auto" w:fill="FFFFFF"/>
        </w:rPr>
      </w:pPr>
      <w:proofErr w:type="spellStart"/>
      <w:r w:rsidRPr="00245597">
        <w:rPr>
          <w:rFonts w:ascii="Times New Roman" w:eastAsia="Times New Roman" w:hAnsi="Times New Roman" w:cs="Times New Roman"/>
          <w:color w:val="222222"/>
          <w:shd w:val="clear" w:color="auto" w:fill="FFFFFF"/>
          <w:lang w:eastAsia="en-GB"/>
        </w:rPr>
        <w:t>Vardavas</w:t>
      </w:r>
      <w:proofErr w:type="spellEnd"/>
      <w:r w:rsidRPr="00245597">
        <w:rPr>
          <w:rFonts w:ascii="Times New Roman" w:eastAsia="Times New Roman" w:hAnsi="Times New Roman" w:cs="Times New Roman"/>
          <w:color w:val="222222"/>
          <w:shd w:val="clear" w:color="auto" w:fill="FFFFFF"/>
          <w:lang w:eastAsia="en-GB"/>
        </w:rPr>
        <w:t xml:space="preserve">, C. I., </w:t>
      </w:r>
      <w:proofErr w:type="spellStart"/>
      <w:r w:rsidRPr="00245597">
        <w:rPr>
          <w:rFonts w:ascii="Times New Roman" w:eastAsia="Times New Roman" w:hAnsi="Times New Roman" w:cs="Times New Roman"/>
          <w:color w:val="222222"/>
          <w:shd w:val="clear" w:color="auto" w:fill="FFFFFF"/>
          <w:lang w:eastAsia="en-GB"/>
        </w:rPr>
        <w:t>Filippidis</w:t>
      </w:r>
      <w:proofErr w:type="spellEnd"/>
      <w:r w:rsidRPr="00245597">
        <w:rPr>
          <w:rFonts w:ascii="Times New Roman" w:eastAsia="Times New Roman" w:hAnsi="Times New Roman" w:cs="Times New Roman"/>
          <w:color w:val="222222"/>
          <w:shd w:val="clear" w:color="auto" w:fill="FFFFFF"/>
          <w:lang w:eastAsia="en-GB"/>
        </w:rPr>
        <w:t xml:space="preserve">, F. T., &amp; </w:t>
      </w:r>
      <w:proofErr w:type="spellStart"/>
      <w:r w:rsidRPr="00245597">
        <w:rPr>
          <w:rFonts w:ascii="Times New Roman" w:eastAsia="Times New Roman" w:hAnsi="Times New Roman" w:cs="Times New Roman"/>
          <w:color w:val="222222"/>
          <w:shd w:val="clear" w:color="auto" w:fill="FFFFFF"/>
          <w:lang w:eastAsia="en-GB"/>
        </w:rPr>
        <w:t>Agaku</w:t>
      </w:r>
      <w:proofErr w:type="spellEnd"/>
      <w:r w:rsidRPr="00245597">
        <w:rPr>
          <w:rFonts w:ascii="Times New Roman" w:eastAsia="Times New Roman" w:hAnsi="Times New Roman" w:cs="Times New Roman"/>
          <w:color w:val="222222"/>
          <w:shd w:val="clear" w:color="auto" w:fill="FFFFFF"/>
          <w:lang w:eastAsia="en-GB"/>
        </w:rPr>
        <w:t xml:space="preserve">, I. T. Determinants and prevalence of e-cigarette use throughout the European Union: A secondary analysis of 26 566 youth and adults from 27 Countries. </w:t>
      </w:r>
      <w:r w:rsidRPr="00245597">
        <w:rPr>
          <w:rFonts w:ascii="Times New Roman" w:eastAsia="Times New Roman" w:hAnsi="Times New Roman" w:cs="Times New Roman"/>
          <w:i/>
          <w:color w:val="222222"/>
          <w:shd w:val="clear" w:color="auto" w:fill="FFFFFF"/>
          <w:lang w:eastAsia="en-GB"/>
        </w:rPr>
        <w:t>Tobacco Control</w:t>
      </w:r>
      <w:r w:rsidRPr="00245597">
        <w:rPr>
          <w:rFonts w:ascii="Times New Roman" w:eastAsia="Times New Roman" w:hAnsi="Times New Roman" w:cs="Times New Roman"/>
          <w:color w:val="222222"/>
          <w:shd w:val="clear" w:color="auto" w:fill="FFFFFF"/>
          <w:lang w:eastAsia="en-GB"/>
        </w:rPr>
        <w:t xml:space="preserve">. </w:t>
      </w:r>
      <w:r w:rsidR="00057F51">
        <w:rPr>
          <w:rFonts w:ascii="Times New Roman" w:eastAsia="Times New Roman" w:hAnsi="Times New Roman" w:cs="Times New Roman"/>
          <w:color w:val="222222"/>
          <w:shd w:val="clear" w:color="auto" w:fill="FFFFFF"/>
          <w:lang w:eastAsia="en-GB"/>
        </w:rPr>
        <w:t>2015</w:t>
      </w:r>
      <w:r w:rsidR="00AB1FC7">
        <w:rPr>
          <w:rFonts w:ascii="Times New Roman" w:eastAsia="Times New Roman" w:hAnsi="Times New Roman" w:cs="Times New Roman"/>
          <w:color w:val="222222"/>
          <w:shd w:val="clear" w:color="auto" w:fill="FFFFFF"/>
          <w:lang w:eastAsia="en-GB"/>
        </w:rPr>
        <w:t>;</w:t>
      </w:r>
      <w:r w:rsidR="00057F51" w:rsidRPr="00057F51">
        <w:rPr>
          <w:rFonts w:ascii="Times New Roman" w:eastAsia="Times New Roman" w:hAnsi="Times New Roman" w:cs="Times New Roman"/>
          <w:color w:val="222222"/>
          <w:shd w:val="clear" w:color="auto" w:fill="FFFFFF"/>
          <w:lang w:val="en" w:eastAsia="en-GB"/>
        </w:rPr>
        <w:t>24:442-448.</w:t>
      </w:r>
      <w:r w:rsidRPr="00245597">
        <w:rPr>
          <w:rFonts w:ascii="Times New Roman" w:eastAsia="Times New Roman" w:hAnsi="Times New Roman" w:cs="Times New Roman"/>
          <w:color w:val="222222"/>
          <w:shd w:val="clear" w:color="auto" w:fill="FFFFFF"/>
          <w:lang w:eastAsia="en-GB"/>
        </w:rPr>
        <w:t>http://doi.org/10.1136/tobaccocontrol-2013-051394</w:t>
      </w:r>
    </w:p>
    <w:p w14:paraId="124466A1" w14:textId="77777777" w:rsidR="00CD13CA" w:rsidRPr="00F51523" w:rsidRDefault="00CD13CA" w:rsidP="00245597">
      <w:pPr>
        <w:pStyle w:val="ListParagraph"/>
        <w:spacing w:before="100" w:beforeAutospacing="1" w:after="100" w:afterAutospacing="1"/>
        <w:rPr>
          <w:rFonts w:ascii="Times New Roman" w:eastAsia="Times New Roman" w:hAnsi="Times New Roman" w:cs="Times New Roman"/>
          <w:lang w:eastAsia="en-GB"/>
        </w:rPr>
      </w:pPr>
    </w:p>
    <w:p w14:paraId="0BF3F715" w14:textId="4E63C94A" w:rsidR="005C77DB" w:rsidRPr="00245597" w:rsidRDefault="005C77DB" w:rsidP="00245597">
      <w:pPr>
        <w:pStyle w:val="ListParagraph"/>
        <w:numPr>
          <w:ilvl w:val="0"/>
          <w:numId w:val="4"/>
        </w:numPr>
        <w:spacing w:after="0" w:line="480" w:lineRule="auto"/>
        <w:ind w:left="426"/>
        <w:jc w:val="both"/>
        <w:rPr>
          <w:rFonts w:ascii="Times New Roman" w:eastAsia="Times New Roman" w:hAnsi="Times New Roman" w:cs="Times New Roman"/>
          <w:color w:val="222222"/>
          <w:shd w:val="clear" w:color="auto" w:fill="FFFFFF"/>
          <w:lang w:eastAsia="en-GB"/>
        </w:rPr>
      </w:pPr>
      <w:r w:rsidRPr="00245597">
        <w:rPr>
          <w:rFonts w:ascii="Times New Roman" w:eastAsia="Times New Roman" w:hAnsi="Times New Roman" w:cs="Times New Roman"/>
          <w:color w:val="222222"/>
          <w:shd w:val="clear" w:color="auto" w:fill="FFFFFF"/>
          <w:lang w:eastAsia="en-GB"/>
        </w:rPr>
        <w:t xml:space="preserve">Coleman, B. N., </w:t>
      </w:r>
      <w:proofErr w:type="spellStart"/>
      <w:r w:rsidRPr="00245597">
        <w:rPr>
          <w:rFonts w:ascii="Times New Roman" w:eastAsia="Times New Roman" w:hAnsi="Times New Roman" w:cs="Times New Roman"/>
          <w:color w:val="222222"/>
          <w:shd w:val="clear" w:color="auto" w:fill="FFFFFF"/>
          <w:lang w:eastAsia="en-GB"/>
        </w:rPr>
        <w:t>Rostron</w:t>
      </w:r>
      <w:proofErr w:type="spellEnd"/>
      <w:r w:rsidRPr="00245597">
        <w:rPr>
          <w:rFonts w:ascii="Times New Roman" w:eastAsia="Times New Roman" w:hAnsi="Times New Roman" w:cs="Times New Roman"/>
          <w:color w:val="222222"/>
          <w:shd w:val="clear" w:color="auto" w:fill="FFFFFF"/>
          <w:lang w:eastAsia="en-GB"/>
        </w:rPr>
        <w:t xml:space="preserve">, B., Johnson, S. E., Ambrose, B. K., Pearson, J., Stanton, C. </w:t>
      </w:r>
      <w:r w:rsidR="00057F51">
        <w:rPr>
          <w:rFonts w:ascii="Times New Roman" w:eastAsia="Times New Roman" w:hAnsi="Times New Roman" w:cs="Times New Roman"/>
          <w:color w:val="222222"/>
          <w:shd w:val="clear" w:color="auto" w:fill="FFFFFF"/>
          <w:lang w:eastAsia="en-GB"/>
        </w:rPr>
        <w:t>A., … Hyland, A.</w:t>
      </w:r>
      <w:r w:rsidRPr="00245597">
        <w:rPr>
          <w:rFonts w:ascii="Times New Roman" w:eastAsia="Times New Roman" w:hAnsi="Times New Roman" w:cs="Times New Roman"/>
          <w:color w:val="222222"/>
          <w:shd w:val="clear" w:color="auto" w:fill="FFFFFF"/>
          <w:lang w:eastAsia="en-GB"/>
        </w:rPr>
        <w:t xml:space="preserve"> Electronic cigarette use among US adults in the Population Assessment of Tobacco and Health (PATH) Study, 2013–2014. </w:t>
      </w:r>
      <w:r w:rsidRPr="00245597">
        <w:rPr>
          <w:rFonts w:ascii="Times New Roman" w:eastAsia="Times New Roman" w:hAnsi="Times New Roman" w:cs="Times New Roman"/>
          <w:i/>
          <w:color w:val="222222"/>
          <w:shd w:val="clear" w:color="auto" w:fill="FFFFFF"/>
          <w:lang w:eastAsia="en-GB"/>
        </w:rPr>
        <w:t>Tobacco Control</w:t>
      </w:r>
      <w:r w:rsidR="00057F51">
        <w:rPr>
          <w:rFonts w:ascii="Times New Roman" w:eastAsia="Times New Roman" w:hAnsi="Times New Roman" w:cs="Times New Roman"/>
          <w:color w:val="222222"/>
          <w:shd w:val="clear" w:color="auto" w:fill="FFFFFF"/>
          <w:lang w:eastAsia="en-GB"/>
        </w:rPr>
        <w:t xml:space="preserve">. </w:t>
      </w:r>
      <w:r w:rsidR="00057F51" w:rsidRPr="00057F51">
        <w:rPr>
          <w:rFonts w:ascii="Times New Roman" w:eastAsia="Times New Roman" w:hAnsi="Times New Roman" w:cs="Times New Roman"/>
          <w:color w:val="222222"/>
          <w:shd w:val="clear" w:color="auto" w:fill="FFFFFF"/>
          <w:lang w:eastAsia="en-GB"/>
        </w:rPr>
        <w:t>2017</w:t>
      </w:r>
      <w:r w:rsidR="00057F51">
        <w:rPr>
          <w:rFonts w:ascii="Times New Roman" w:eastAsia="Times New Roman" w:hAnsi="Times New Roman" w:cs="Times New Roman"/>
          <w:color w:val="222222"/>
          <w:shd w:val="clear" w:color="auto" w:fill="FFFFFF"/>
          <w:lang w:eastAsia="en-GB"/>
        </w:rPr>
        <w:t xml:space="preserve"> Dec;</w:t>
      </w:r>
      <w:r w:rsidRPr="00245597">
        <w:rPr>
          <w:rFonts w:ascii="Times New Roman" w:eastAsia="Times New Roman" w:hAnsi="Times New Roman" w:cs="Times New Roman"/>
          <w:color w:val="222222"/>
          <w:shd w:val="clear" w:color="auto" w:fill="FFFFFF"/>
          <w:lang w:eastAsia="en-GB"/>
        </w:rPr>
        <w:t xml:space="preserve"> 26(e2), e117 LP-e126. Retrieved from http://tobaccocontrol.bmj.com/content/26/e2/e117.abstract</w:t>
      </w:r>
    </w:p>
    <w:p w14:paraId="360AD634" w14:textId="4B2F5E69" w:rsidR="003470E5" w:rsidRPr="00245597" w:rsidRDefault="003470E5" w:rsidP="00245597">
      <w:pPr>
        <w:pStyle w:val="ListParagraph"/>
        <w:numPr>
          <w:ilvl w:val="0"/>
          <w:numId w:val="4"/>
        </w:numPr>
        <w:spacing w:after="0" w:line="480" w:lineRule="auto"/>
        <w:ind w:left="426"/>
        <w:jc w:val="both"/>
        <w:rPr>
          <w:rFonts w:ascii="Times New Roman" w:eastAsia="Times New Roman" w:hAnsi="Times New Roman" w:cs="Times New Roman"/>
          <w:color w:val="222222"/>
          <w:shd w:val="clear" w:color="auto" w:fill="FFFFFF"/>
          <w:lang w:eastAsia="en-GB"/>
        </w:rPr>
      </w:pPr>
      <w:r w:rsidRPr="00245597">
        <w:rPr>
          <w:rFonts w:ascii="Times New Roman" w:eastAsia="Times New Roman" w:hAnsi="Times New Roman" w:cs="Times New Roman"/>
          <w:color w:val="222222"/>
          <w:shd w:val="clear" w:color="auto" w:fill="FFFFFF"/>
          <w:lang w:eastAsia="en-GB"/>
        </w:rPr>
        <w:t>Action on Smoking and Health (ASH). Use of e-cigarettes (</w:t>
      </w:r>
      <w:proofErr w:type="spellStart"/>
      <w:r w:rsidRPr="00245597">
        <w:rPr>
          <w:rFonts w:ascii="Times New Roman" w:eastAsia="Times New Roman" w:hAnsi="Times New Roman" w:cs="Times New Roman"/>
          <w:color w:val="222222"/>
          <w:shd w:val="clear" w:color="auto" w:fill="FFFFFF"/>
          <w:lang w:eastAsia="en-GB"/>
        </w:rPr>
        <w:t>vapourisers</w:t>
      </w:r>
      <w:proofErr w:type="spellEnd"/>
      <w:r w:rsidRPr="00245597">
        <w:rPr>
          <w:rFonts w:ascii="Times New Roman" w:eastAsia="Times New Roman" w:hAnsi="Times New Roman" w:cs="Times New Roman"/>
          <w:color w:val="222222"/>
          <w:shd w:val="clear" w:color="auto" w:fill="FFFFFF"/>
          <w:lang w:eastAsia="en-GB"/>
        </w:rPr>
        <w:t>) among adults in Great Britain.  London, UK: ASH; 2017.</w:t>
      </w:r>
    </w:p>
    <w:p w14:paraId="17CE90A5" w14:textId="77777777" w:rsidR="003470E5" w:rsidRPr="00245597" w:rsidRDefault="003470E5" w:rsidP="003470E5">
      <w:pPr>
        <w:pStyle w:val="ListParagraph"/>
        <w:numPr>
          <w:ilvl w:val="0"/>
          <w:numId w:val="4"/>
        </w:numPr>
        <w:spacing w:after="0" w:line="480" w:lineRule="auto"/>
        <w:ind w:left="426"/>
        <w:jc w:val="both"/>
        <w:rPr>
          <w:rFonts w:ascii="Times New Roman" w:eastAsia="Times New Roman" w:hAnsi="Times New Roman" w:cs="Times New Roman"/>
          <w:lang w:eastAsia="en-GB"/>
        </w:rPr>
      </w:pPr>
      <w:r w:rsidRPr="00245597">
        <w:rPr>
          <w:rFonts w:ascii="Times New Roman" w:eastAsia="Times New Roman" w:hAnsi="Times New Roman" w:cs="Times New Roman"/>
          <w:color w:val="222222"/>
          <w:shd w:val="clear" w:color="auto" w:fill="FFFFFF"/>
          <w:lang w:eastAsia="en-GB"/>
        </w:rPr>
        <w:lastRenderedPageBreak/>
        <w:t xml:space="preserve">Brown J, Beard E, </w:t>
      </w:r>
      <w:proofErr w:type="spellStart"/>
      <w:r w:rsidRPr="00245597">
        <w:rPr>
          <w:rFonts w:ascii="Times New Roman" w:eastAsia="Times New Roman" w:hAnsi="Times New Roman" w:cs="Times New Roman"/>
          <w:color w:val="222222"/>
          <w:shd w:val="clear" w:color="auto" w:fill="FFFFFF"/>
          <w:lang w:eastAsia="en-GB"/>
        </w:rPr>
        <w:t>Kotz</w:t>
      </w:r>
      <w:proofErr w:type="spellEnd"/>
      <w:r w:rsidRPr="00245597">
        <w:rPr>
          <w:rFonts w:ascii="Times New Roman" w:eastAsia="Times New Roman" w:hAnsi="Times New Roman" w:cs="Times New Roman"/>
          <w:color w:val="222222"/>
          <w:shd w:val="clear" w:color="auto" w:fill="FFFFFF"/>
          <w:lang w:eastAsia="en-GB"/>
        </w:rPr>
        <w:t xml:space="preserve"> D, </w:t>
      </w:r>
      <w:proofErr w:type="spellStart"/>
      <w:r w:rsidRPr="00245597">
        <w:rPr>
          <w:rFonts w:ascii="Times New Roman" w:eastAsia="Times New Roman" w:hAnsi="Times New Roman" w:cs="Times New Roman"/>
          <w:color w:val="222222"/>
          <w:shd w:val="clear" w:color="auto" w:fill="FFFFFF"/>
          <w:lang w:eastAsia="en-GB"/>
        </w:rPr>
        <w:t>Michie</w:t>
      </w:r>
      <w:proofErr w:type="spellEnd"/>
      <w:r w:rsidRPr="00245597">
        <w:rPr>
          <w:rFonts w:ascii="Times New Roman" w:eastAsia="Times New Roman" w:hAnsi="Times New Roman" w:cs="Times New Roman"/>
          <w:color w:val="222222"/>
          <w:shd w:val="clear" w:color="auto" w:fill="FFFFFF"/>
          <w:lang w:eastAsia="en-GB"/>
        </w:rPr>
        <w:t xml:space="preserve"> S, West R. Real</w:t>
      </w:r>
      <w:r w:rsidRPr="00245597">
        <w:rPr>
          <w:rFonts w:ascii="Cambria Math" w:eastAsia="Calibri" w:hAnsi="Cambria Math" w:cs="Cambria Math"/>
          <w:color w:val="222222"/>
          <w:shd w:val="clear" w:color="auto" w:fill="FFFFFF"/>
          <w:lang w:eastAsia="en-GB"/>
        </w:rPr>
        <w:t>‐</w:t>
      </w:r>
      <w:r w:rsidRPr="00245597">
        <w:rPr>
          <w:rFonts w:ascii="Times New Roman" w:eastAsia="Times New Roman" w:hAnsi="Times New Roman" w:cs="Times New Roman"/>
          <w:color w:val="222222"/>
          <w:shd w:val="clear" w:color="auto" w:fill="FFFFFF"/>
          <w:lang w:eastAsia="en-GB"/>
        </w:rPr>
        <w:t>world effectiveness of e</w:t>
      </w:r>
      <w:r w:rsidRPr="00245597">
        <w:rPr>
          <w:rFonts w:ascii="Cambria Math" w:eastAsia="Calibri" w:hAnsi="Cambria Math" w:cs="Cambria Math"/>
          <w:color w:val="222222"/>
          <w:shd w:val="clear" w:color="auto" w:fill="FFFFFF"/>
          <w:lang w:eastAsia="en-GB"/>
        </w:rPr>
        <w:t>‐</w:t>
      </w:r>
      <w:r w:rsidRPr="00245597">
        <w:rPr>
          <w:rFonts w:ascii="Times New Roman" w:eastAsia="Times New Roman" w:hAnsi="Times New Roman" w:cs="Times New Roman"/>
          <w:color w:val="222222"/>
          <w:shd w:val="clear" w:color="auto" w:fill="FFFFFF"/>
          <w:lang w:eastAsia="en-GB"/>
        </w:rPr>
        <w:t>cigarettes when used to aid smoking cessation: a cross</w:t>
      </w:r>
      <w:r w:rsidRPr="00245597">
        <w:rPr>
          <w:rFonts w:ascii="Cambria Math" w:eastAsia="Calibri" w:hAnsi="Cambria Math" w:cs="Cambria Math"/>
          <w:color w:val="222222"/>
          <w:shd w:val="clear" w:color="auto" w:fill="FFFFFF"/>
          <w:lang w:eastAsia="en-GB"/>
        </w:rPr>
        <w:t>‐</w:t>
      </w:r>
      <w:r w:rsidRPr="00245597">
        <w:rPr>
          <w:rFonts w:ascii="Times New Roman" w:eastAsia="Times New Roman" w:hAnsi="Times New Roman" w:cs="Times New Roman"/>
          <w:color w:val="222222"/>
          <w:shd w:val="clear" w:color="auto" w:fill="FFFFFF"/>
          <w:lang w:eastAsia="en-GB"/>
        </w:rPr>
        <w:t xml:space="preserve">sectional population study. </w:t>
      </w:r>
      <w:r w:rsidRPr="00245597">
        <w:rPr>
          <w:rFonts w:ascii="Times New Roman" w:eastAsia="Times New Roman" w:hAnsi="Times New Roman" w:cs="Times New Roman"/>
          <w:i/>
          <w:color w:val="222222"/>
          <w:shd w:val="clear" w:color="auto" w:fill="FFFFFF"/>
          <w:lang w:eastAsia="en-GB"/>
        </w:rPr>
        <w:t>Addiction</w:t>
      </w:r>
      <w:r w:rsidRPr="00245597">
        <w:rPr>
          <w:rFonts w:ascii="Times New Roman" w:eastAsia="Times New Roman" w:hAnsi="Times New Roman" w:cs="Times New Roman"/>
          <w:color w:val="222222"/>
          <w:shd w:val="clear" w:color="auto" w:fill="FFFFFF"/>
          <w:lang w:eastAsia="en-GB"/>
        </w:rPr>
        <w:t>. 2014 Sep 1;109(9):1531-40.</w:t>
      </w:r>
    </w:p>
    <w:p w14:paraId="2BCF1097" w14:textId="77777777" w:rsidR="003470E5" w:rsidRPr="00245597" w:rsidRDefault="003470E5" w:rsidP="003470E5">
      <w:pPr>
        <w:pStyle w:val="ListParagraph"/>
        <w:numPr>
          <w:ilvl w:val="0"/>
          <w:numId w:val="4"/>
        </w:numPr>
        <w:spacing w:after="0" w:line="480" w:lineRule="auto"/>
        <w:ind w:left="426"/>
        <w:rPr>
          <w:rFonts w:ascii="Times New Roman" w:eastAsia="Times New Roman" w:hAnsi="Times New Roman" w:cs="Times New Roman"/>
          <w:lang w:eastAsia="en-GB"/>
        </w:rPr>
      </w:pPr>
      <w:r w:rsidRPr="00245597">
        <w:rPr>
          <w:rFonts w:ascii="Times New Roman" w:eastAsia="Times New Roman" w:hAnsi="Times New Roman" w:cs="Times New Roman"/>
          <w:color w:val="222222"/>
          <w:shd w:val="clear" w:color="auto" w:fill="FFFFFF"/>
          <w:lang w:eastAsia="en-GB"/>
        </w:rPr>
        <w:t xml:space="preserve">Zhu SH, Zhuang YL, Wong S, Cummins SE, </w:t>
      </w:r>
      <w:proofErr w:type="spellStart"/>
      <w:r w:rsidRPr="00245597">
        <w:rPr>
          <w:rFonts w:ascii="Times New Roman" w:eastAsia="Times New Roman" w:hAnsi="Times New Roman" w:cs="Times New Roman"/>
          <w:color w:val="222222"/>
          <w:shd w:val="clear" w:color="auto" w:fill="FFFFFF"/>
          <w:lang w:eastAsia="en-GB"/>
        </w:rPr>
        <w:t>Tedeschi</w:t>
      </w:r>
      <w:proofErr w:type="spellEnd"/>
      <w:r w:rsidRPr="00245597">
        <w:rPr>
          <w:rFonts w:ascii="Times New Roman" w:eastAsia="Times New Roman" w:hAnsi="Times New Roman" w:cs="Times New Roman"/>
          <w:color w:val="222222"/>
          <w:shd w:val="clear" w:color="auto" w:fill="FFFFFF"/>
          <w:lang w:eastAsia="en-GB"/>
        </w:rPr>
        <w:t xml:space="preserve"> GJ. E-cigarette use and associated changes in population smoking cessation: evidence from US </w:t>
      </w:r>
      <w:r w:rsidRPr="00F51523">
        <w:rPr>
          <w:rFonts w:ascii="Times New Roman" w:eastAsia="Times New Roman" w:hAnsi="Times New Roman" w:cs="Times New Roman"/>
          <w:color w:val="222222"/>
          <w:shd w:val="clear" w:color="auto" w:fill="FFFFFF"/>
          <w:lang w:eastAsia="en-GB"/>
        </w:rPr>
        <w:t xml:space="preserve">current population surveys. </w:t>
      </w:r>
      <w:r w:rsidRPr="00F51523">
        <w:rPr>
          <w:rFonts w:ascii="Times New Roman" w:eastAsia="Times New Roman" w:hAnsi="Times New Roman" w:cs="Times New Roman"/>
          <w:i/>
          <w:color w:val="222222"/>
          <w:shd w:val="clear" w:color="auto" w:fill="FFFFFF"/>
          <w:lang w:eastAsia="en-GB"/>
        </w:rPr>
        <w:t>BMJ</w:t>
      </w:r>
      <w:r w:rsidRPr="00245597">
        <w:rPr>
          <w:rFonts w:ascii="Times New Roman" w:eastAsia="Times New Roman" w:hAnsi="Times New Roman" w:cs="Times New Roman"/>
          <w:color w:val="222222"/>
          <w:shd w:val="clear" w:color="auto" w:fill="FFFFFF"/>
          <w:lang w:eastAsia="en-GB"/>
        </w:rPr>
        <w:t>. 2017 Jul 26</w:t>
      </w:r>
      <w:proofErr w:type="gramStart"/>
      <w:r w:rsidRPr="00245597">
        <w:rPr>
          <w:rFonts w:ascii="Times New Roman" w:eastAsia="Times New Roman" w:hAnsi="Times New Roman" w:cs="Times New Roman"/>
          <w:color w:val="222222"/>
          <w:shd w:val="clear" w:color="auto" w:fill="FFFFFF"/>
          <w:lang w:eastAsia="en-GB"/>
        </w:rPr>
        <w:t>;358:j3262</w:t>
      </w:r>
      <w:proofErr w:type="gramEnd"/>
      <w:r w:rsidRPr="00245597">
        <w:rPr>
          <w:rFonts w:ascii="Times New Roman" w:eastAsia="Times New Roman" w:hAnsi="Times New Roman" w:cs="Times New Roman"/>
          <w:color w:val="222222"/>
          <w:shd w:val="clear" w:color="auto" w:fill="FFFFFF"/>
          <w:lang w:eastAsia="en-GB"/>
        </w:rPr>
        <w:t>.</w:t>
      </w:r>
    </w:p>
    <w:p w14:paraId="6D9BF694" w14:textId="77777777" w:rsidR="003470E5" w:rsidRPr="00245597" w:rsidRDefault="003470E5" w:rsidP="003470E5">
      <w:pPr>
        <w:pStyle w:val="ListParagraph"/>
        <w:numPr>
          <w:ilvl w:val="0"/>
          <w:numId w:val="4"/>
        </w:numPr>
        <w:spacing w:after="0" w:line="480" w:lineRule="auto"/>
        <w:ind w:left="426"/>
        <w:jc w:val="both"/>
        <w:rPr>
          <w:rFonts w:ascii="Times New Roman" w:eastAsia="Times New Roman" w:hAnsi="Times New Roman" w:cs="Times New Roman"/>
          <w:lang w:eastAsia="en-GB"/>
        </w:rPr>
      </w:pPr>
      <w:r w:rsidRPr="00245597">
        <w:rPr>
          <w:rFonts w:ascii="Times New Roman" w:eastAsia="Times New Roman" w:hAnsi="Times New Roman" w:cs="Times New Roman"/>
          <w:color w:val="222222"/>
          <w:shd w:val="clear" w:color="auto" w:fill="FFFFFF"/>
          <w:lang w:eastAsia="en-GB"/>
        </w:rPr>
        <w:t>Hartmann</w:t>
      </w:r>
      <w:r w:rsidRPr="00245597">
        <w:rPr>
          <w:rFonts w:ascii="Cambria Math" w:eastAsia="Calibri" w:hAnsi="Cambria Math" w:cs="Cambria Math"/>
          <w:color w:val="222222"/>
          <w:shd w:val="clear" w:color="auto" w:fill="FFFFFF"/>
          <w:lang w:eastAsia="en-GB"/>
        </w:rPr>
        <w:t>‐</w:t>
      </w:r>
      <w:r w:rsidRPr="00245597">
        <w:rPr>
          <w:rFonts w:ascii="Times New Roman" w:eastAsia="Times New Roman" w:hAnsi="Times New Roman" w:cs="Times New Roman"/>
          <w:color w:val="222222"/>
          <w:shd w:val="clear" w:color="auto" w:fill="FFFFFF"/>
          <w:lang w:eastAsia="en-GB"/>
        </w:rPr>
        <w:t xml:space="preserve">Boyce J, McRobbie H, Bullen C, </w:t>
      </w:r>
      <w:proofErr w:type="spellStart"/>
      <w:r w:rsidRPr="00245597">
        <w:rPr>
          <w:rFonts w:ascii="Times New Roman" w:eastAsia="Times New Roman" w:hAnsi="Times New Roman" w:cs="Times New Roman"/>
          <w:color w:val="222222"/>
          <w:shd w:val="clear" w:color="auto" w:fill="FFFFFF"/>
          <w:lang w:eastAsia="en-GB"/>
        </w:rPr>
        <w:t>Begh</w:t>
      </w:r>
      <w:proofErr w:type="spellEnd"/>
      <w:r w:rsidRPr="00245597">
        <w:rPr>
          <w:rFonts w:ascii="Times New Roman" w:eastAsia="Times New Roman" w:hAnsi="Times New Roman" w:cs="Times New Roman"/>
          <w:color w:val="222222"/>
          <w:shd w:val="clear" w:color="auto" w:fill="FFFFFF"/>
          <w:lang w:eastAsia="en-GB"/>
        </w:rPr>
        <w:t xml:space="preserve"> R, Stead LF, Hajek P. Electronic cigarettes for smoking cessation. The Cochrane Library. 2016 Sep 14.</w:t>
      </w:r>
    </w:p>
    <w:p w14:paraId="6AA5DE46" w14:textId="77777777" w:rsidR="003470E5" w:rsidRPr="00245597" w:rsidRDefault="003470E5" w:rsidP="003470E5">
      <w:pPr>
        <w:pStyle w:val="ListParagraph"/>
        <w:numPr>
          <w:ilvl w:val="0"/>
          <w:numId w:val="4"/>
        </w:numPr>
        <w:spacing w:after="0" w:line="480" w:lineRule="auto"/>
        <w:ind w:left="426"/>
        <w:rPr>
          <w:rFonts w:ascii="Times New Roman" w:eastAsia="Times New Roman" w:hAnsi="Times New Roman" w:cs="Times New Roman"/>
          <w:lang w:eastAsia="en-GB"/>
        </w:rPr>
      </w:pPr>
      <w:r w:rsidRPr="00245597">
        <w:rPr>
          <w:rFonts w:ascii="Times New Roman" w:eastAsia="Times New Roman" w:hAnsi="Times New Roman" w:cs="Times New Roman"/>
          <w:color w:val="222222"/>
          <w:shd w:val="clear" w:color="auto" w:fill="FFFFFF"/>
          <w:lang w:eastAsia="en-GB"/>
        </w:rPr>
        <w:t xml:space="preserve">Lopez AA, </w:t>
      </w:r>
      <w:proofErr w:type="spellStart"/>
      <w:r w:rsidRPr="00245597">
        <w:rPr>
          <w:rFonts w:ascii="Times New Roman" w:eastAsia="Times New Roman" w:hAnsi="Times New Roman" w:cs="Times New Roman"/>
          <w:color w:val="222222"/>
          <w:shd w:val="clear" w:color="auto" w:fill="FFFFFF"/>
          <w:lang w:eastAsia="en-GB"/>
        </w:rPr>
        <w:t>Hiler</w:t>
      </w:r>
      <w:proofErr w:type="spellEnd"/>
      <w:r w:rsidRPr="00245597">
        <w:rPr>
          <w:rFonts w:ascii="Times New Roman" w:eastAsia="Times New Roman" w:hAnsi="Times New Roman" w:cs="Times New Roman"/>
          <w:color w:val="222222"/>
          <w:shd w:val="clear" w:color="auto" w:fill="FFFFFF"/>
          <w:lang w:eastAsia="en-GB"/>
        </w:rPr>
        <w:t xml:space="preserve"> MM, Soule EK, </w:t>
      </w:r>
      <w:proofErr w:type="spellStart"/>
      <w:r w:rsidRPr="00245597">
        <w:rPr>
          <w:rFonts w:ascii="Times New Roman" w:eastAsia="Times New Roman" w:hAnsi="Times New Roman" w:cs="Times New Roman"/>
          <w:color w:val="222222"/>
          <w:shd w:val="clear" w:color="auto" w:fill="FFFFFF"/>
          <w:lang w:eastAsia="en-GB"/>
        </w:rPr>
        <w:t>Ramôa</w:t>
      </w:r>
      <w:proofErr w:type="spellEnd"/>
      <w:r w:rsidRPr="00245597">
        <w:rPr>
          <w:rFonts w:ascii="Times New Roman" w:eastAsia="Times New Roman" w:hAnsi="Times New Roman" w:cs="Times New Roman"/>
          <w:color w:val="222222"/>
          <w:shd w:val="clear" w:color="auto" w:fill="FFFFFF"/>
          <w:lang w:eastAsia="en-GB"/>
        </w:rPr>
        <w:t xml:space="preserve"> CP, </w:t>
      </w:r>
      <w:proofErr w:type="spellStart"/>
      <w:r w:rsidRPr="00245597">
        <w:rPr>
          <w:rFonts w:ascii="Times New Roman" w:eastAsia="Times New Roman" w:hAnsi="Times New Roman" w:cs="Times New Roman"/>
          <w:color w:val="222222"/>
          <w:shd w:val="clear" w:color="auto" w:fill="FFFFFF"/>
          <w:lang w:eastAsia="en-GB"/>
        </w:rPr>
        <w:t>Karaoghlanian</w:t>
      </w:r>
      <w:proofErr w:type="spellEnd"/>
      <w:r w:rsidRPr="00245597">
        <w:rPr>
          <w:rFonts w:ascii="Times New Roman" w:eastAsia="Times New Roman" w:hAnsi="Times New Roman" w:cs="Times New Roman"/>
          <w:color w:val="222222"/>
          <w:shd w:val="clear" w:color="auto" w:fill="FFFFFF"/>
          <w:lang w:eastAsia="en-GB"/>
        </w:rPr>
        <w:t xml:space="preserve"> NV, </w:t>
      </w:r>
      <w:proofErr w:type="spellStart"/>
      <w:r w:rsidRPr="00245597">
        <w:rPr>
          <w:rFonts w:ascii="Times New Roman" w:eastAsia="Times New Roman" w:hAnsi="Times New Roman" w:cs="Times New Roman"/>
          <w:color w:val="222222"/>
          <w:shd w:val="clear" w:color="auto" w:fill="FFFFFF"/>
          <w:lang w:eastAsia="en-GB"/>
        </w:rPr>
        <w:t>Lipato</w:t>
      </w:r>
      <w:proofErr w:type="spellEnd"/>
      <w:r w:rsidRPr="00245597">
        <w:rPr>
          <w:rFonts w:ascii="Times New Roman" w:eastAsia="Times New Roman" w:hAnsi="Times New Roman" w:cs="Times New Roman"/>
          <w:color w:val="222222"/>
          <w:shd w:val="clear" w:color="auto" w:fill="FFFFFF"/>
          <w:lang w:eastAsia="en-GB"/>
        </w:rPr>
        <w:t xml:space="preserve"> T, </w:t>
      </w:r>
      <w:proofErr w:type="spellStart"/>
      <w:r w:rsidRPr="00245597">
        <w:rPr>
          <w:rFonts w:ascii="Times New Roman" w:eastAsia="Times New Roman" w:hAnsi="Times New Roman" w:cs="Times New Roman"/>
          <w:color w:val="222222"/>
          <w:shd w:val="clear" w:color="auto" w:fill="FFFFFF"/>
          <w:lang w:eastAsia="en-GB"/>
        </w:rPr>
        <w:t>Breland</w:t>
      </w:r>
      <w:proofErr w:type="spellEnd"/>
      <w:r w:rsidRPr="00245597">
        <w:rPr>
          <w:rFonts w:ascii="Times New Roman" w:eastAsia="Times New Roman" w:hAnsi="Times New Roman" w:cs="Times New Roman"/>
          <w:color w:val="222222"/>
          <w:shd w:val="clear" w:color="auto" w:fill="FFFFFF"/>
          <w:lang w:eastAsia="en-GB"/>
        </w:rPr>
        <w:t xml:space="preserve"> AB, </w:t>
      </w:r>
      <w:proofErr w:type="spellStart"/>
      <w:r w:rsidRPr="00245597">
        <w:rPr>
          <w:rFonts w:ascii="Times New Roman" w:eastAsia="Times New Roman" w:hAnsi="Times New Roman" w:cs="Times New Roman"/>
          <w:color w:val="222222"/>
          <w:shd w:val="clear" w:color="auto" w:fill="FFFFFF"/>
          <w:lang w:eastAsia="en-GB"/>
        </w:rPr>
        <w:t>Shihadeh</w:t>
      </w:r>
      <w:proofErr w:type="spellEnd"/>
      <w:r w:rsidRPr="00245597">
        <w:rPr>
          <w:rFonts w:ascii="Times New Roman" w:eastAsia="Times New Roman" w:hAnsi="Times New Roman" w:cs="Times New Roman"/>
          <w:color w:val="222222"/>
          <w:shd w:val="clear" w:color="auto" w:fill="FFFFFF"/>
          <w:lang w:eastAsia="en-GB"/>
        </w:rPr>
        <w:t xml:space="preserve"> AL, Eissenberg T. Effects of electronic cigarette liquid nicotine concentration on plasma nicotine and puff topography in tobacco cigarette smokers</w:t>
      </w:r>
      <w:r w:rsidRPr="00F51523">
        <w:rPr>
          <w:rFonts w:ascii="Times New Roman" w:eastAsia="Times New Roman" w:hAnsi="Times New Roman" w:cs="Times New Roman"/>
          <w:color w:val="222222"/>
          <w:shd w:val="clear" w:color="auto" w:fill="FFFFFF"/>
          <w:lang w:eastAsia="en-GB"/>
        </w:rPr>
        <w:t xml:space="preserve">: a preliminary report. </w:t>
      </w:r>
      <w:r w:rsidRPr="00F51523">
        <w:rPr>
          <w:rFonts w:ascii="Times New Roman" w:eastAsia="Times New Roman" w:hAnsi="Times New Roman" w:cs="Times New Roman"/>
          <w:i/>
          <w:color w:val="222222"/>
          <w:shd w:val="clear" w:color="auto" w:fill="FFFFFF"/>
          <w:lang w:eastAsia="en-GB"/>
        </w:rPr>
        <w:t xml:space="preserve">Nicotine </w:t>
      </w:r>
      <w:proofErr w:type="spellStart"/>
      <w:r w:rsidRPr="00F51523">
        <w:rPr>
          <w:rFonts w:ascii="Times New Roman" w:eastAsia="Times New Roman" w:hAnsi="Times New Roman" w:cs="Times New Roman"/>
          <w:i/>
          <w:color w:val="222222"/>
          <w:shd w:val="clear" w:color="auto" w:fill="FFFFFF"/>
          <w:lang w:eastAsia="en-GB"/>
        </w:rPr>
        <w:t>Tob</w:t>
      </w:r>
      <w:proofErr w:type="spellEnd"/>
      <w:r w:rsidRPr="00F51523">
        <w:rPr>
          <w:rFonts w:ascii="Times New Roman" w:eastAsia="Times New Roman" w:hAnsi="Times New Roman" w:cs="Times New Roman"/>
          <w:i/>
          <w:color w:val="222222"/>
          <w:shd w:val="clear" w:color="auto" w:fill="FFFFFF"/>
          <w:lang w:eastAsia="en-GB"/>
        </w:rPr>
        <w:t xml:space="preserve"> Res</w:t>
      </w:r>
      <w:r w:rsidRPr="00245597">
        <w:rPr>
          <w:rFonts w:ascii="Times New Roman" w:eastAsia="Times New Roman" w:hAnsi="Times New Roman" w:cs="Times New Roman"/>
          <w:color w:val="222222"/>
          <w:shd w:val="clear" w:color="auto" w:fill="FFFFFF"/>
          <w:lang w:eastAsia="en-GB"/>
        </w:rPr>
        <w:t>. 2015 Sep 16;18(5):720-3.</w:t>
      </w:r>
    </w:p>
    <w:p w14:paraId="401549C7" w14:textId="77777777" w:rsidR="003470E5" w:rsidRPr="00245597" w:rsidRDefault="003470E5" w:rsidP="003470E5">
      <w:pPr>
        <w:pStyle w:val="ListParagraph"/>
        <w:numPr>
          <w:ilvl w:val="0"/>
          <w:numId w:val="4"/>
        </w:numPr>
        <w:spacing w:after="0" w:line="480" w:lineRule="auto"/>
        <w:ind w:left="426"/>
        <w:jc w:val="both"/>
        <w:rPr>
          <w:rFonts w:ascii="Times New Roman" w:eastAsia="Times New Roman" w:hAnsi="Times New Roman" w:cs="Times New Roman"/>
          <w:lang w:eastAsia="en-GB"/>
        </w:rPr>
      </w:pPr>
      <w:r w:rsidRPr="00245597">
        <w:rPr>
          <w:rFonts w:ascii="Times New Roman" w:eastAsia="Times New Roman" w:hAnsi="Times New Roman" w:cs="Times New Roman"/>
          <w:color w:val="222222"/>
          <w:shd w:val="clear" w:color="auto" w:fill="FFFFFF"/>
          <w:lang w:eastAsia="en-GB"/>
        </w:rPr>
        <w:t xml:space="preserve">Hajek P, Przulj D, Phillips A, Anderson R, McRobbie H. Nicotine delivery to users from cigarettes and from different types of e-cigarettes. </w:t>
      </w:r>
      <w:r w:rsidRPr="00245597">
        <w:rPr>
          <w:rFonts w:ascii="Times New Roman" w:eastAsia="Times New Roman" w:hAnsi="Times New Roman" w:cs="Times New Roman"/>
          <w:i/>
          <w:color w:val="222222"/>
          <w:shd w:val="clear" w:color="auto" w:fill="FFFFFF"/>
          <w:lang w:eastAsia="en-GB"/>
        </w:rPr>
        <w:t>Psychopharmacology</w:t>
      </w:r>
      <w:r w:rsidRPr="00245597">
        <w:rPr>
          <w:rFonts w:ascii="Times New Roman" w:eastAsia="Times New Roman" w:hAnsi="Times New Roman" w:cs="Times New Roman"/>
          <w:color w:val="222222"/>
          <w:shd w:val="clear" w:color="auto" w:fill="FFFFFF"/>
          <w:lang w:eastAsia="en-GB"/>
        </w:rPr>
        <w:t>. 2017 Mar 1;234(5):773-9.</w:t>
      </w:r>
    </w:p>
    <w:p w14:paraId="4C8AC479" w14:textId="77777777" w:rsidR="003470E5" w:rsidRPr="00245597" w:rsidRDefault="003470E5" w:rsidP="003470E5">
      <w:pPr>
        <w:pStyle w:val="ListParagraph"/>
        <w:numPr>
          <w:ilvl w:val="0"/>
          <w:numId w:val="4"/>
        </w:numPr>
        <w:spacing w:after="0" w:line="480" w:lineRule="auto"/>
        <w:ind w:left="426"/>
        <w:jc w:val="both"/>
        <w:rPr>
          <w:rFonts w:ascii="Times New Roman" w:eastAsia="Times New Roman" w:hAnsi="Times New Roman" w:cs="Times New Roman"/>
          <w:lang w:eastAsia="en-GB"/>
        </w:rPr>
      </w:pPr>
      <w:proofErr w:type="spellStart"/>
      <w:r w:rsidRPr="00245597">
        <w:rPr>
          <w:rFonts w:ascii="Times New Roman" w:eastAsia="Times New Roman" w:hAnsi="Times New Roman" w:cs="Times New Roman"/>
          <w:color w:val="222222"/>
          <w:shd w:val="clear" w:color="auto" w:fill="FFFFFF"/>
          <w:lang w:eastAsia="en-GB"/>
        </w:rPr>
        <w:t>Talih</w:t>
      </w:r>
      <w:proofErr w:type="spellEnd"/>
      <w:r w:rsidRPr="00245597">
        <w:rPr>
          <w:rFonts w:ascii="Times New Roman" w:eastAsia="Times New Roman" w:hAnsi="Times New Roman" w:cs="Times New Roman"/>
          <w:color w:val="222222"/>
          <w:shd w:val="clear" w:color="auto" w:fill="FFFFFF"/>
          <w:lang w:eastAsia="en-GB"/>
        </w:rPr>
        <w:t xml:space="preserve"> S, </w:t>
      </w:r>
      <w:proofErr w:type="spellStart"/>
      <w:r w:rsidRPr="00245597">
        <w:rPr>
          <w:rFonts w:ascii="Times New Roman" w:eastAsia="Times New Roman" w:hAnsi="Times New Roman" w:cs="Times New Roman"/>
          <w:color w:val="222222"/>
          <w:shd w:val="clear" w:color="auto" w:fill="FFFFFF"/>
          <w:lang w:eastAsia="en-GB"/>
        </w:rPr>
        <w:t>Balhas</w:t>
      </w:r>
      <w:proofErr w:type="spellEnd"/>
      <w:r w:rsidRPr="00245597">
        <w:rPr>
          <w:rFonts w:ascii="Times New Roman" w:eastAsia="Times New Roman" w:hAnsi="Times New Roman" w:cs="Times New Roman"/>
          <w:color w:val="222222"/>
          <w:shd w:val="clear" w:color="auto" w:fill="FFFFFF"/>
          <w:lang w:eastAsia="en-GB"/>
        </w:rPr>
        <w:t xml:space="preserve"> Z, Eissenberg T, Salman R, </w:t>
      </w:r>
      <w:proofErr w:type="spellStart"/>
      <w:r w:rsidRPr="00245597">
        <w:rPr>
          <w:rFonts w:ascii="Times New Roman" w:eastAsia="Times New Roman" w:hAnsi="Times New Roman" w:cs="Times New Roman"/>
          <w:color w:val="222222"/>
          <w:shd w:val="clear" w:color="auto" w:fill="FFFFFF"/>
          <w:lang w:eastAsia="en-GB"/>
        </w:rPr>
        <w:t>Karaoghlanian</w:t>
      </w:r>
      <w:proofErr w:type="spellEnd"/>
      <w:r w:rsidRPr="00245597">
        <w:rPr>
          <w:rFonts w:ascii="Times New Roman" w:eastAsia="Times New Roman" w:hAnsi="Times New Roman" w:cs="Times New Roman"/>
          <w:color w:val="222222"/>
          <w:shd w:val="clear" w:color="auto" w:fill="FFFFFF"/>
          <w:lang w:eastAsia="en-GB"/>
        </w:rPr>
        <w:t xml:space="preserve"> N, El </w:t>
      </w:r>
      <w:proofErr w:type="spellStart"/>
      <w:r w:rsidRPr="00245597">
        <w:rPr>
          <w:rFonts w:ascii="Times New Roman" w:eastAsia="Times New Roman" w:hAnsi="Times New Roman" w:cs="Times New Roman"/>
          <w:color w:val="222222"/>
          <w:shd w:val="clear" w:color="auto" w:fill="FFFFFF"/>
          <w:lang w:eastAsia="en-GB"/>
        </w:rPr>
        <w:t>Hellani</w:t>
      </w:r>
      <w:proofErr w:type="spellEnd"/>
      <w:r w:rsidRPr="00245597">
        <w:rPr>
          <w:rFonts w:ascii="Times New Roman" w:eastAsia="Times New Roman" w:hAnsi="Times New Roman" w:cs="Times New Roman"/>
          <w:color w:val="222222"/>
          <w:shd w:val="clear" w:color="auto" w:fill="FFFFFF"/>
          <w:lang w:eastAsia="en-GB"/>
        </w:rPr>
        <w:t xml:space="preserve"> A, </w:t>
      </w:r>
      <w:proofErr w:type="spellStart"/>
      <w:r w:rsidRPr="00245597">
        <w:rPr>
          <w:rFonts w:ascii="Times New Roman" w:eastAsia="Times New Roman" w:hAnsi="Times New Roman" w:cs="Times New Roman"/>
          <w:color w:val="222222"/>
          <w:shd w:val="clear" w:color="auto" w:fill="FFFFFF"/>
          <w:lang w:eastAsia="en-GB"/>
        </w:rPr>
        <w:t>Baalbaki</w:t>
      </w:r>
      <w:proofErr w:type="spellEnd"/>
      <w:r w:rsidRPr="00245597">
        <w:rPr>
          <w:rFonts w:ascii="Times New Roman" w:eastAsia="Times New Roman" w:hAnsi="Times New Roman" w:cs="Times New Roman"/>
          <w:color w:val="222222"/>
          <w:shd w:val="clear" w:color="auto" w:fill="FFFFFF"/>
          <w:lang w:eastAsia="en-GB"/>
        </w:rPr>
        <w:t xml:space="preserve"> R, </w:t>
      </w:r>
      <w:proofErr w:type="spellStart"/>
      <w:r w:rsidRPr="00245597">
        <w:rPr>
          <w:rFonts w:ascii="Times New Roman" w:eastAsia="Times New Roman" w:hAnsi="Times New Roman" w:cs="Times New Roman"/>
          <w:color w:val="222222"/>
          <w:shd w:val="clear" w:color="auto" w:fill="FFFFFF"/>
          <w:lang w:eastAsia="en-GB"/>
        </w:rPr>
        <w:t>Saliba</w:t>
      </w:r>
      <w:proofErr w:type="spellEnd"/>
      <w:r w:rsidRPr="00245597">
        <w:rPr>
          <w:rFonts w:ascii="Times New Roman" w:eastAsia="Times New Roman" w:hAnsi="Times New Roman" w:cs="Times New Roman"/>
          <w:color w:val="222222"/>
          <w:shd w:val="clear" w:color="auto" w:fill="FFFFFF"/>
          <w:lang w:eastAsia="en-GB"/>
        </w:rPr>
        <w:t xml:space="preserve"> N, </w:t>
      </w:r>
      <w:proofErr w:type="spellStart"/>
      <w:r w:rsidRPr="00245597">
        <w:rPr>
          <w:rFonts w:ascii="Times New Roman" w:eastAsia="Times New Roman" w:hAnsi="Times New Roman" w:cs="Times New Roman"/>
          <w:color w:val="222222"/>
          <w:shd w:val="clear" w:color="auto" w:fill="FFFFFF"/>
          <w:lang w:eastAsia="en-GB"/>
        </w:rPr>
        <w:t>Shihadeh</w:t>
      </w:r>
      <w:proofErr w:type="spellEnd"/>
      <w:r w:rsidRPr="00245597">
        <w:rPr>
          <w:rFonts w:ascii="Times New Roman" w:eastAsia="Times New Roman" w:hAnsi="Times New Roman" w:cs="Times New Roman"/>
          <w:color w:val="222222"/>
          <w:shd w:val="clear" w:color="auto" w:fill="FFFFFF"/>
          <w:lang w:eastAsia="en-GB"/>
        </w:rPr>
        <w:t xml:space="preserve"> A. Effects of user puff topography, device voltage, and liquid nicotine concentration on electronic cigarette nicotine yield: measurements</w:t>
      </w:r>
      <w:r w:rsidRPr="00F51523">
        <w:rPr>
          <w:rFonts w:ascii="Times New Roman" w:eastAsia="Times New Roman" w:hAnsi="Times New Roman" w:cs="Times New Roman"/>
          <w:color w:val="222222"/>
          <w:shd w:val="clear" w:color="auto" w:fill="FFFFFF"/>
          <w:lang w:eastAsia="en-GB"/>
        </w:rPr>
        <w:t xml:space="preserve"> and model predictions. </w:t>
      </w:r>
      <w:r w:rsidRPr="00F51523">
        <w:rPr>
          <w:rFonts w:ascii="Times New Roman" w:eastAsia="Times New Roman" w:hAnsi="Times New Roman" w:cs="Times New Roman"/>
          <w:i/>
          <w:color w:val="222222"/>
          <w:shd w:val="clear" w:color="auto" w:fill="FFFFFF"/>
          <w:lang w:eastAsia="en-GB"/>
        </w:rPr>
        <w:t xml:space="preserve">Nicotine </w:t>
      </w:r>
      <w:proofErr w:type="spellStart"/>
      <w:r w:rsidRPr="00F51523">
        <w:rPr>
          <w:rFonts w:ascii="Times New Roman" w:eastAsia="Times New Roman" w:hAnsi="Times New Roman" w:cs="Times New Roman"/>
          <w:i/>
          <w:color w:val="222222"/>
          <w:shd w:val="clear" w:color="auto" w:fill="FFFFFF"/>
          <w:lang w:eastAsia="en-GB"/>
        </w:rPr>
        <w:t>Tob</w:t>
      </w:r>
      <w:proofErr w:type="spellEnd"/>
      <w:r w:rsidRPr="00F51523">
        <w:rPr>
          <w:rFonts w:ascii="Times New Roman" w:eastAsia="Times New Roman" w:hAnsi="Times New Roman" w:cs="Times New Roman"/>
          <w:i/>
          <w:color w:val="222222"/>
          <w:shd w:val="clear" w:color="auto" w:fill="FFFFFF"/>
          <w:lang w:eastAsia="en-GB"/>
        </w:rPr>
        <w:t xml:space="preserve"> Res</w:t>
      </w:r>
      <w:r w:rsidRPr="00245597">
        <w:rPr>
          <w:rFonts w:ascii="Times New Roman" w:eastAsia="Times New Roman" w:hAnsi="Times New Roman" w:cs="Times New Roman"/>
          <w:color w:val="222222"/>
          <w:shd w:val="clear" w:color="auto" w:fill="FFFFFF"/>
          <w:lang w:eastAsia="en-GB"/>
        </w:rPr>
        <w:t>. 2015 Feb; 3;17(2):150-7.</w:t>
      </w:r>
      <w:r w:rsidRPr="00245597">
        <w:rPr>
          <w:rFonts w:ascii="Times New Roman" w:hAnsi="Times New Roman" w:cs="Times New Roman"/>
        </w:rPr>
        <w:t xml:space="preserve"> </w:t>
      </w:r>
    </w:p>
    <w:p w14:paraId="57422C2D" w14:textId="77777777" w:rsidR="003470E5" w:rsidRPr="00245597" w:rsidRDefault="003470E5" w:rsidP="003470E5">
      <w:pPr>
        <w:pStyle w:val="ListParagraph"/>
        <w:numPr>
          <w:ilvl w:val="0"/>
          <w:numId w:val="4"/>
        </w:numPr>
        <w:spacing w:after="0" w:line="480" w:lineRule="auto"/>
        <w:ind w:left="426"/>
        <w:jc w:val="both"/>
        <w:rPr>
          <w:rFonts w:ascii="Times New Roman" w:eastAsia="Times New Roman" w:hAnsi="Times New Roman" w:cs="Times New Roman"/>
          <w:lang w:eastAsia="en-GB"/>
        </w:rPr>
      </w:pPr>
      <w:r w:rsidRPr="00245597">
        <w:rPr>
          <w:rFonts w:ascii="Times New Roman" w:eastAsia="Times New Roman" w:hAnsi="Times New Roman" w:cs="Times New Roman"/>
          <w:color w:val="222222"/>
          <w:shd w:val="clear" w:color="auto" w:fill="FFFFFF"/>
          <w:lang w:eastAsia="en-GB"/>
        </w:rPr>
        <w:t xml:space="preserve">Farsalinos KE, </w:t>
      </w:r>
      <w:proofErr w:type="spellStart"/>
      <w:r w:rsidRPr="00245597">
        <w:rPr>
          <w:rFonts w:ascii="Times New Roman" w:eastAsia="Times New Roman" w:hAnsi="Times New Roman" w:cs="Times New Roman"/>
          <w:color w:val="222222"/>
          <w:shd w:val="clear" w:color="auto" w:fill="FFFFFF"/>
          <w:lang w:eastAsia="en-GB"/>
        </w:rPr>
        <w:t>Spyrou</w:t>
      </w:r>
      <w:proofErr w:type="spellEnd"/>
      <w:r w:rsidRPr="00245597">
        <w:rPr>
          <w:rFonts w:ascii="Times New Roman" w:eastAsia="Times New Roman" w:hAnsi="Times New Roman" w:cs="Times New Roman"/>
          <w:color w:val="222222"/>
          <w:shd w:val="clear" w:color="auto" w:fill="FFFFFF"/>
          <w:lang w:eastAsia="en-GB"/>
        </w:rPr>
        <w:t xml:space="preserve"> A, </w:t>
      </w:r>
      <w:proofErr w:type="spellStart"/>
      <w:r w:rsidRPr="00245597">
        <w:rPr>
          <w:rFonts w:ascii="Times New Roman" w:eastAsia="Times New Roman" w:hAnsi="Times New Roman" w:cs="Times New Roman"/>
          <w:color w:val="222222"/>
          <w:shd w:val="clear" w:color="auto" w:fill="FFFFFF"/>
          <w:lang w:eastAsia="en-GB"/>
        </w:rPr>
        <w:t>Tsimopoulou</w:t>
      </w:r>
      <w:proofErr w:type="spellEnd"/>
      <w:r w:rsidRPr="00245597">
        <w:rPr>
          <w:rFonts w:ascii="Times New Roman" w:eastAsia="Times New Roman" w:hAnsi="Times New Roman" w:cs="Times New Roman"/>
          <w:color w:val="222222"/>
          <w:shd w:val="clear" w:color="auto" w:fill="FFFFFF"/>
          <w:lang w:eastAsia="en-GB"/>
        </w:rPr>
        <w:t xml:space="preserve"> K, </w:t>
      </w:r>
      <w:proofErr w:type="spellStart"/>
      <w:r w:rsidRPr="00245597">
        <w:rPr>
          <w:rFonts w:ascii="Times New Roman" w:eastAsia="Times New Roman" w:hAnsi="Times New Roman" w:cs="Times New Roman"/>
          <w:color w:val="222222"/>
          <w:shd w:val="clear" w:color="auto" w:fill="FFFFFF"/>
          <w:lang w:eastAsia="en-GB"/>
        </w:rPr>
        <w:t>Stefopoulos</w:t>
      </w:r>
      <w:proofErr w:type="spellEnd"/>
      <w:r w:rsidRPr="00245597">
        <w:rPr>
          <w:rFonts w:ascii="Times New Roman" w:eastAsia="Times New Roman" w:hAnsi="Times New Roman" w:cs="Times New Roman"/>
          <w:color w:val="222222"/>
          <w:shd w:val="clear" w:color="auto" w:fill="FFFFFF"/>
          <w:lang w:eastAsia="en-GB"/>
        </w:rPr>
        <w:t xml:space="preserve"> C, Romagna G, </w:t>
      </w:r>
      <w:proofErr w:type="spellStart"/>
      <w:r w:rsidRPr="00245597">
        <w:rPr>
          <w:rFonts w:ascii="Times New Roman" w:eastAsia="Times New Roman" w:hAnsi="Times New Roman" w:cs="Times New Roman"/>
          <w:color w:val="222222"/>
          <w:shd w:val="clear" w:color="auto" w:fill="FFFFFF"/>
          <w:lang w:eastAsia="en-GB"/>
        </w:rPr>
        <w:t>Voudris</w:t>
      </w:r>
      <w:proofErr w:type="spellEnd"/>
      <w:r w:rsidRPr="00245597">
        <w:rPr>
          <w:rFonts w:ascii="Times New Roman" w:eastAsia="Times New Roman" w:hAnsi="Times New Roman" w:cs="Times New Roman"/>
          <w:color w:val="222222"/>
          <w:shd w:val="clear" w:color="auto" w:fill="FFFFFF"/>
          <w:lang w:eastAsia="en-GB"/>
        </w:rPr>
        <w:t xml:space="preserve"> V. Nicotine absorption from electronic cigarette use: comparison between first and new-generation devices. </w:t>
      </w:r>
      <w:r w:rsidRPr="00F51523">
        <w:rPr>
          <w:rFonts w:ascii="Times New Roman" w:eastAsia="Times New Roman" w:hAnsi="Times New Roman" w:cs="Times New Roman"/>
          <w:i/>
          <w:color w:val="222222"/>
          <w:shd w:val="clear" w:color="auto" w:fill="FFFFFF"/>
          <w:lang w:eastAsia="en-GB"/>
        </w:rPr>
        <w:t>Scientific R</w:t>
      </w:r>
      <w:r w:rsidRPr="00245597">
        <w:rPr>
          <w:rFonts w:ascii="Times New Roman" w:eastAsia="Times New Roman" w:hAnsi="Times New Roman" w:cs="Times New Roman"/>
          <w:i/>
          <w:color w:val="222222"/>
          <w:shd w:val="clear" w:color="auto" w:fill="FFFFFF"/>
          <w:lang w:eastAsia="en-GB"/>
        </w:rPr>
        <w:t>eports</w:t>
      </w:r>
      <w:r w:rsidRPr="00245597">
        <w:rPr>
          <w:rFonts w:ascii="Times New Roman" w:eastAsia="Times New Roman" w:hAnsi="Times New Roman" w:cs="Times New Roman"/>
          <w:color w:val="222222"/>
          <w:shd w:val="clear" w:color="auto" w:fill="FFFFFF"/>
          <w:lang w:eastAsia="en-GB"/>
        </w:rPr>
        <w:t>. 2014 Feb 26;4.</w:t>
      </w:r>
    </w:p>
    <w:p w14:paraId="0C3B5238" w14:textId="77777777" w:rsidR="003470E5" w:rsidRPr="00245597" w:rsidRDefault="003470E5" w:rsidP="003470E5">
      <w:pPr>
        <w:pStyle w:val="ListParagraph"/>
        <w:numPr>
          <w:ilvl w:val="0"/>
          <w:numId w:val="4"/>
        </w:numPr>
        <w:spacing w:after="0" w:line="480" w:lineRule="auto"/>
        <w:ind w:left="426"/>
        <w:jc w:val="both"/>
        <w:rPr>
          <w:rFonts w:ascii="Times New Roman" w:eastAsia="Times New Roman" w:hAnsi="Times New Roman" w:cs="Times New Roman"/>
          <w:lang w:eastAsia="en-GB"/>
        </w:rPr>
      </w:pPr>
      <w:r w:rsidRPr="00245597">
        <w:rPr>
          <w:rFonts w:ascii="Times New Roman" w:eastAsia="Times New Roman" w:hAnsi="Times New Roman" w:cs="Times New Roman"/>
          <w:color w:val="222222"/>
          <w:shd w:val="clear" w:color="auto" w:fill="FFFFFF"/>
          <w:lang w:eastAsia="en-GB"/>
        </w:rPr>
        <w:t xml:space="preserve">Dawkins L, Corcoran O. Acute electronic cigarette use: nicotine delivery and subjective effects in regular users. </w:t>
      </w:r>
      <w:r w:rsidRPr="00245597">
        <w:rPr>
          <w:rFonts w:ascii="Times New Roman" w:eastAsia="Times New Roman" w:hAnsi="Times New Roman" w:cs="Times New Roman"/>
          <w:i/>
          <w:color w:val="222222"/>
          <w:shd w:val="clear" w:color="auto" w:fill="FFFFFF"/>
          <w:lang w:eastAsia="en-GB"/>
        </w:rPr>
        <w:t>Psychopharmacology</w:t>
      </w:r>
      <w:r w:rsidRPr="00245597">
        <w:rPr>
          <w:rFonts w:ascii="Times New Roman" w:eastAsia="Times New Roman" w:hAnsi="Times New Roman" w:cs="Times New Roman"/>
          <w:color w:val="222222"/>
          <w:shd w:val="clear" w:color="auto" w:fill="FFFFFF"/>
          <w:lang w:eastAsia="en-GB"/>
        </w:rPr>
        <w:t>. 2014 Jan 1</w:t>
      </w:r>
      <w:proofErr w:type="gramStart"/>
      <w:r w:rsidRPr="00245597">
        <w:rPr>
          <w:rFonts w:ascii="Times New Roman" w:eastAsia="Times New Roman" w:hAnsi="Times New Roman" w:cs="Times New Roman"/>
          <w:color w:val="222222"/>
          <w:shd w:val="clear" w:color="auto" w:fill="FFFFFF"/>
          <w:lang w:eastAsia="en-GB"/>
        </w:rPr>
        <w:t>;231:401</w:t>
      </w:r>
      <w:proofErr w:type="gramEnd"/>
      <w:r w:rsidRPr="00245597">
        <w:rPr>
          <w:rFonts w:ascii="Times New Roman" w:eastAsia="Times New Roman" w:hAnsi="Times New Roman" w:cs="Times New Roman"/>
          <w:color w:val="222222"/>
          <w:shd w:val="clear" w:color="auto" w:fill="FFFFFF"/>
          <w:lang w:eastAsia="en-GB"/>
        </w:rPr>
        <w:t>-7.</w:t>
      </w:r>
    </w:p>
    <w:p w14:paraId="269C6FA1" w14:textId="77777777" w:rsidR="003470E5" w:rsidRPr="00245597" w:rsidRDefault="003470E5" w:rsidP="003470E5">
      <w:pPr>
        <w:pStyle w:val="ListParagraph"/>
        <w:numPr>
          <w:ilvl w:val="0"/>
          <w:numId w:val="4"/>
        </w:numPr>
        <w:spacing w:after="0" w:line="480" w:lineRule="auto"/>
        <w:ind w:left="426"/>
        <w:jc w:val="both"/>
        <w:rPr>
          <w:rFonts w:ascii="Times New Roman" w:eastAsia="Times New Roman" w:hAnsi="Times New Roman" w:cs="Times New Roman"/>
          <w:lang w:eastAsia="en-GB"/>
        </w:rPr>
      </w:pPr>
      <w:r w:rsidRPr="00245597">
        <w:rPr>
          <w:rFonts w:ascii="Times New Roman" w:eastAsia="Times New Roman" w:hAnsi="Times New Roman" w:cs="Times New Roman"/>
          <w:color w:val="222222"/>
          <w:shd w:val="clear" w:color="auto" w:fill="FFFFFF"/>
          <w:lang w:eastAsia="en-GB"/>
        </w:rPr>
        <w:t xml:space="preserve">Dawkins LE, Kimber CF, </w:t>
      </w:r>
      <w:proofErr w:type="spellStart"/>
      <w:r w:rsidRPr="00245597">
        <w:rPr>
          <w:rFonts w:ascii="Times New Roman" w:eastAsia="Times New Roman" w:hAnsi="Times New Roman" w:cs="Times New Roman"/>
          <w:color w:val="222222"/>
          <w:shd w:val="clear" w:color="auto" w:fill="FFFFFF"/>
          <w:lang w:eastAsia="en-GB"/>
        </w:rPr>
        <w:t>Doig</w:t>
      </w:r>
      <w:proofErr w:type="spellEnd"/>
      <w:r w:rsidRPr="00245597">
        <w:rPr>
          <w:rFonts w:ascii="Times New Roman" w:eastAsia="Times New Roman" w:hAnsi="Times New Roman" w:cs="Times New Roman"/>
          <w:color w:val="222222"/>
          <w:shd w:val="clear" w:color="auto" w:fill="FFFFFF"/>
          <w:lang w:eastAsia="en-GB"/>
        </w:rPr>
        <w:t xml:space="preserve"> M, </w:t>
      </w:r>
      <w:proofErr w:type="spellStart"/>
      <w:r w:rsidRPr="00245597">
        <w:rPr>
          <w:rFonts w:ascii="Times New Roman" w:eastAsia="Times New Roman" w:hAnsi="Times New Roman" w:cs="Times New Roman"/>
          <w:color w:val="222222"/>
          <w:shd w:val="clear" w:color="auto" w:fill="FFFFFF"/>
          <w:lang w:eastAsia="en-GB"/>
        </w:rPr>
        <w:t>Feyerabend</w:t>
      </w:r>
      <w:proofErr w:type="spellEnd"/>
      <w:r w:rsidRPr="00245597">
        <w:rPr>
          <w:rFonts w:ascii="Times New Roman" w:eastAsia="Times New Roman" w:hAnsi="Times New Roman" w:cs="Times New Roman"/>
          <w:color w:val="222222"/>
          <w:shd w:val="clear" w:color="auto" w:fill="FFFFFF"/>
          <w:lang w:eastAsia="en-GB"/>
        </w:rPr>
        <w:t xml:space="preserve"> C, Corcoran O. Self-titration by experienced e-cigarette users: blood nicotine delivery and subjective effects. </w:t>
      </w:r>
      <w:r w:rsidRPr="00245597">
        <w:rPr>
          <w:rFonts w:ascii="Times New Roman" w:eastAsia="Times New Roman" w:hAnsi="Times New Roman" w:cs="Times New Roman"/>
          <w:i/>
          <w:color w:val="222222"/>
          <w:shd w:val="clear" w:color="auto" w:fill="FFFFFF"/>
          <w:lang w:eastAsia="en-GB"/>
        </w:rPr>
        <w:t>Psychopharmacology</w:t>
      </w:r>
      <w:r w:rsidRPr="00245597">
        <w:rPr>
          <w:rFonts w:ascii="Times New Roman" w:eastAsia="Times New Roman" w:hAnsi="Times New Roman" w:cs="Times New Roman"/>
          <w:color w:val="222222"/>
          <w:shd w:val="clear" w:color="auto" w:fill="FFFFFF"/>
          <w:lang w:eastAsia="en-GB"/>
        </w:rPr>
        <w:t>. 2016 Aug 1;233(15-16):2933-41.</w:t>
      </w:r>
    </w:p>
    <w:p w14:paraId="0FBBB71F" w14:textId="77777777" w:rsidR="003470E5" w:rsidRPr="00245597" w:rsidRDefault="003470E5" w:rsidP="003470E5">
      <w:pPr>
        <w:pStyle w:val="ListParagraph"/>
        <w:numPr>
          <w:ilvl w:val="0"/>
          <w:numId w:val="4"/>
        </w:numPr>
        <w:spacing w:after="0" w:line="480" w:lineRule="auto"/>
        <w:ind w:left="426"/>
        <w:jc w:val="both"/>
        <w:rPr>
          <w:rFonts w:ascii="Times New Roman" w:eastAsia="Times New Roman" w:hAnsi="Times New Roman" w:cs="Times New Roman"/>
          <w:lang w:eastAsia="en-GB"/>
        </w:rPr>
      </w:pPr>
      <w:r w:rsidRPr="00245597">
        <w:rPr>
          <w:rFonts w:ascii="Times New Roman" w:eastAsia="Times New Roman" w:hAnsi="Times New Roman" w:cs="Times New Roman"/>
          <w:color w:val="222222"/>
          <w:shd w:val="clear" w:color="auto" w:fill="FFFFFF"/>
          <w:lang w:eastAsia="en-GB"/>
        </w:rPr>
        <w:t>Etter JF. A longitudinal study of cotinine in long-term dai</w:t>
      </w:r>
      <w:r w:rsidRPr="00F51523">
        <w:rPr>
          <w:rFonts w:ascii="Times New Roman" w:eastAsia="Times New Roman" w:hAnsi="Times New Roman" w:cs="Times New Roman"/>
          <w:color w:val="222222"/>
          <w:shd w:val="clear" w:color="auto" w:fill="FFFFFF"/>
          <w:lang w:eastAsia="en-GB"/>
        </w:rPr>
        <w:t xml:space="preserve">ly users of e-cigarettes. </w:t>
      </w:r>
      <w:r w:rsidRPr="00F51523">
        <w:rPr>
          <w:rFonts w:ascii="Times New Roman" w:eastAsia="Times New Roman" w:hAnsi="Times New Roman" w:cs="Times New Roman"/>
          <w:i/>
          <w:color w:val="222222"/>
          <w:shd w:val="clear" w:color="auto" w:fill="FFFFFF"/>
          <w:lang w:eastAsia="en-GB"/>
        </w:rPr>
        <w:t>Drug Alcohol Depend</w:t>
      </w:r>
      <w:r w:rsidRPr="00245597">
        <w:rPr>
          <w:rFonts w:ascii="Times New Roman" w:eastAsia="Times New Roman" w:hAnsi="Times New Roman" w:cs="Times New Roman"/>
          <w:color w:val="222222"/>
          <w:shd w:val="clear" w:color="auto" w:fill="FFFFFF"/>
          <w:lang w:eastAsia="en-GB"/>
        </w:rPr>
        <w:t>. 2016 Mar 1</w:t>
      </w:r>
      <w:proofErr w:type="gramStart"/>
      <w:r w:rsidRPr="00245597">
        <w:rPr>
          <w:rFonts w:ascii="Times New Roman" w:eastAsia="Times New Roman" w:hAnsi="Times New Roman" w:cs="Times New Roman"/>
          <w:color w:val="222222"/>
          <w:shd w:val="clear" w:color="auto" w:fill="FFFFFF"/>
          <w:lang w:eastAsia="en-GB"/>
        </w:rPr>
        <w:t>;160:218</w:t>
      </w:r>
      <w:proofErr w:type="gramEnd"/>
      <w:r w:rsidRPr="00245597">
        <w:rPr>
          <w:rFonts w:ascii="Times New Roman" w:eastAsia="Times New Roman" w:hAnsi="Times New Roman" w:cs="Times New Roman"/>
          <w:color w:val="222222"/>
          <w:shd w:val="clear" w:color="auto" w:fill="FFFFFF"/>
          <w:lang w:eastAsia="en-GB"/>
        </w:rPr>
        <w:t>-21.</w:t>
      </w:r>
    </w:p>
    <w:p w14:paraId="7BC4B9AF" w14:textId="77777777" w:rsidR="003470E5" w:rsidRPr="00245597" w:rsidRDefault="003470E5" w:rsidP="003470E5">
      <w:pPr>
        <w:pStyle w:val="ListParagraph"/>
        <w:numPr>
          <w:ilvl w:val="0"/>
          <w:numId w:val="4"/>
        </w:numPr>
        <w:spacing w:after="0" w:line="480" w:lineRule="auto"/>
        <w:ind w:left="426"/>
        <w:jc w:val="both"/>
        <w:rPr>
          <w:rFonts w:ascii="Times New Roman" w:eastAsia="Times New Roman" w:hAnsi="Times New Roman" w:cs="Times New Roman"/>
          <w:lang w:eastAsia="en-GB"/>
        </w:rPr>
      </w:pPr>
      <w:r w:rsidRPr="00F51523">
        <w:rPr>
          <w:rFonts w:ascii="Times New Roman" w:eastAsia="Times New Roman" w:hAnsi="Times New Roman" w:cs="Times New Roman"/>
          <w:lang w:eastAsia="en-GB"/>
        </w:rPr>
        <w:lastRenderedPageBreak/>
        <w:t>Farsalinos K,</w:t>
      </w:r>
      <w:r w:rsidRPr="00245597">
        <w:rPr>
          <w:rFonts w:ascii="Times New Roman" w:eastAsia="Times New Roman" w:hAnsi="Times New Roman" w:cs="Times New Roman"/>
          <w:lang w:eastAsia="en-GB"/>
        </w:rPr>
        <w:t xml:space="preserve"> </w:t>
      </w:r>
      <w:r w:rsidRPr="00F51523">
        <w:rPr>
          <w:rFonts w:ascii="Times New Roman" w:eastAsia="Times New Roman" w:hAnsi="Times New Roman" w:cs="Times New Roman"/>
          <w:lang w:eastAsia="en-GB"/>
        </w:rPr>
        <w:t>Romagna G</w:t>
      </w:r>
      <w:r w:rsidRPr="00245597">
        <w:rPr>
          <w:rFonts w:ascii="Times New Roman" w:eastAsia="Times New Roman" w:hAnsi="Times New Roman" w:cs="Times New Roman"/>
          <w:lang w:eastAsia="en-GB"/>
        </w:rPr>
        <w:t xml:space="preserve">, </w:t>
      </w:r>
      <w:proofErr w:type="spellStart"/>
      <w:r w:rsidRPr="00F51523">
        <w:rPr>
          <w:rFonts w:ascii="Times New Roman" w:eastAsia="Times New Roman" w:hAnsi="Times New Roman" w:cs="Times New Roman"/>
          <w:lang w:eastAsia="en-GB"/>
        </w:rPr>
        <w:t>Tsiapras</w:t>
      </w:r>
      <w:proofErr w:type="spellEnd"/>
      <w:r w:rsidRPr="00F51523">
        <w:rPr>
          <w:rFonts w:ascii="Times New Roman" w:eastAsia="Times New Roman" w:hAnsi="Times New Roman" w:cs="Times New Roman"/>
          <w:lang w:eastAsia="en-GB"/>
        </w:rPr>
        <w:t xml:space="preserve"> D</w:t>
      </w:r>
      <w:r w:rsidRPr="00245597">
        <w:rPr>
          <w:rFonts w:ascii="Times New Roman" w:eastAsia="Times New Roman" w:hAnsi="Times New Roman" w:cs="Times New Roman"/>
          <w:lang w:eastAsia="en-GB"/>
        </w:rPr>
        <w:t xml:space="preserve">, </w:t>
      </w:r>
      <w:proofErr w:type="spellStart"/>
      <w:r w:rsidRPr="00F51523">
        <w:rPr>
          <w:rFonts w:ascii="Times New Roman" w:eastAsia="Times New Roman" w:hAnsi="Times New Roman" w:cs="Times New Roman"/>
          <w:lang w:eastAsia="en-GB"/>
        </w:rPr>
        <w:t>Kyrzopoulos</w:t>
      </w:r>
      <w:proofErr w:type="spellEnd"/>
      <w:r w:rsidRPr="00F51523">
        <w:rPr>
          <w:rFonts w:ascii="Times New Roman" w:eastAsia="Times New Roman" w:hAnsi="Times New Roman" w:cs="Times New Roman"/>
          <w:lang w:eastAsia="en-GB"/>
        </w:rPr>
        <w:t xml:space="preserve"> S, </w:t>
      </w:r>
      <w:proofErr w:type="spellStart"/>
      <w:r w:rsidRPr="00245597">
        <w:rPr>
          <w:rFonts w:ascii="Times New Roman" w:eastAsia="Times New Roman" w:hAnsi="Times New Roman" w:cs="Times New Roman"/>
          <w:lang w:eastAsia="en-GB"/>
        </w:rPr>
        <w:t>Voudris</w:t>
      </w:r>
      <w:proofErr w:type="spellEnd"/>
      <w:r w:rsidRPr="00F51523">
        <w:rPr>
          <w:rFonts w:ascii="Times New Roman" w:eastAsia="Times New Roman" w:hAnsi="Times New Roman" w:cs="Times New Roman"/>
          <w:lang w:eastAsia="en-GB"/>
        </w:rPr>
        <w:t xml:space="preserve"> V</w:t>
      </w:r>
      <w:r w:rsidRPr="00245597">
        <w:rPr>
          <w:rFonts w:ascii="Times New Roman" w:eastAsia="Times New Roman" w:hAnsi="Times New Roman" w:cs="Times New Roman"/>
          <w:lang w:eastAsia="en-GB"/>
        </w:rPr>
        <w:t>.  E</w:t>
      </w:r>
      <w:r w:rsidRPr="00245597">
        <w:rPr>
          <w:rFonts w:ascii="Times New Roman" w:eastAsia="Times New Roman" w:hAnsi="Times New Roman" w:cs="Times New Roman"/>
          <w:bCs/>
          <w:lang w:eastAsia="en-GB"/>
        </w:rPr>
        <w:t xml:space="preserve">valuating </w:t>
      </w:r>
      <w:r w:rsidRPr="00245597">
        <w:rPr>
          <w:rFonts w:ascii="Times New Roman" w:eastAsia="Times New Roman" w:hAnsi="Times New Roman" w:cs="Times New Roman"/>
          <w:lang w:eastAsia="en-GB"/>
        </w:rPr>
        <w:t>N</w:t>
      </w:r>
      <w:r w:rsidRPr="00245597">
        <w:rPr>
          <w:rFonts w:ascii="Times New Roman" w:eastAsia="Times New Roman" w:hAnsi="Times New Roman" w:cs="Times New Roman"/>
          <w:bCs/>
          <w:lang w:eastAsia="en-GB"/>
        </w:rPr>
        <w:t xml:space="preserve">icotine Levels </w:t>
      </w:r>
      <w:r w:rsidRPr="00245597">
        <w:rPr>
          <w:rFonts w:ascii="Times New Roman" w:eastAsia="Times New Roman" w:hAnsi="Times New Roman" w:cs="Times New Roman"/>
          <w:lang w:eastAsia="en-GB"/>
        </w:rPr>
        <w:t>S</w:t>
      </w:r>
      <w:r w:rsidRPr="00245597">
        <w:rPr>
          <w:rFonts w:ascii="Times New Roman" w:eastAsia="Times New Roman" w:hAnsi="Times New Roman" w:cs="Times New Roman"/>
          <w:bCs/>
          <w:lang w:eastAsia="en-GB"/>
        </w:rPr>
        <w:t xml:space="preserve">election and </w:t>
      </w:r>
      <w:r w:rsidRPr="00245597">
        <w:rPr>
          <w:rFonts w:ascii="Times New Roman" w:eastAsia="Times New Roman" w:hAnsi="Times New Roman" w:cs="Times New Roman"/>
          <w:lang w:eastAsia="en-GB"/>
        </w:rPr>
        <w:t>P</w:t>
      </w:r>
      <w:r w:rsidRPr="00245597">
        <w:rPr>
          <w:rFonts w:ascii="Times New Roman" w:eastAsia="Times New Roman" w:hAnsi="Times New Roman" w:cs="Times New Roman"/>
          <w:bCs/>
          <w:lang w:eastAsia="en-GB"/>
        </w:rPr>
        <w:t xml:space="preserve">atterns of Electronic Cigarette Use in a Group of “Vapers” Who Had Achieved </w:t>
      </w:r>
      <w:r w:rsidRPr="00245597">
        <w:rPr>
          <w:rFonts w:ascii="Times New Roman" w:eastAsia="Times New Roman" w:hAnsi="Times New Roman" w:cs="Times New Roman"/>
          <w:lang w:eastAsia="en-GB"/>
        </w:rPr>
        <w:t>C</w:t>
      </w:r>
      <w:r w:rsidRPr="00245597">
        <w:rPr>
          <w:rFonts w:ascii="Times New Roman" w:eastAsia="Times New Roman" w:hAnsi="Times New Roman" w:cs="Times New Roman"/>
          <w:bCs/>
          <w:lang w:eastAsia="en-GB"/>
        </w:rPr>
        <w:t xml:space="preserve">omplete </w:t>
      </w:r>
      <w:r w:rsidRPr="00245597">
        <w:rPr>
          <w:rFonts w:ascii="Times New Roman" w:eastAsia="Times New Roman" w:hAnsi="Times New Roman" w:cs="Times New Roman"/>
          <w:lang w:eastAsia="en-GB"/>
        </w:rPr>
        <w:t>S</w:t>
      </w:r>
      <w:r w:rsidRPr="00245597">
        <w:rPr>
          <w:rFonts w:ascii="Times New Roman" w:eastAsia="Times New Roman" w:hAnsi="Times New Roman" w:cs="Times New Roman"/>
          <w:bCs/>
          <w:lang w:eastAsia="en-GB"/>
        </w:rPr>
        <w:t xml:space="preserve">ubstitution of </w:t>
      </w:r>
      <w:r w:rsidRPr="00245597">
        <w:rPr>
          <w:rFonts w:ascii="Times New Roman" w:eastAsia="Times New Roman" w:hAnsi="Times New Roman" w:cs="Times New Roman"/>
          <w:lang w:eastAsia="en-GB"/>
        </w:rPr>
        <w:t>S</w:t>
      </w:r>
      <w:r w:rsidRPr="00245597">
        <w:rPr>
          <w:rFonts w:ascii="Times New Roman" w:eastAsia="Times New Roman" w:hAnsi="Times New Roman" w:cs="Times New Roman"/>
          <w:bCs/>
          <w:lang w:eastAsia="en-GB"/>
        </w:rPr>
        <w:t xml:space="preserve">moking. </w:t>
      </w:r>
      <w:r w:rsidRPr="00245597">
        <w:rPr>
          <w:rFonts w:ascii="Times New Roman" w:eastAsia="Times New Roman" w:hAnsi="Times New Roman" w:cs="Times New Roman"/>
          <w:bCs/>
          <w:i/>
          <w:lang w:eastAsia="en-GB"/>
        </w:rPr>
        <w:t>Substance Abuse: Research &amp; Treatment</w:t>
      </w:r>
      <w:r w:rsidRPr="00245597">
        <w:rPr>
          <w:rFonts w:ascii="Times New Roman" w:eastAsia="Times New Roman" w:hAnsi="Times New Roman" w:cs="Times New Roman"/>
          <w:bCs/>
          <w:lang w:eastAsia="en-GB"/>
        </w:rPr>
        <w:t>.</w:t>
      </w:r>
      <w:r w:rsidRPr="00245597">
        <w:rPr>
          <w:rFonts w:ascii="Times New Roman" w:hAnsi="Times New Roman" w:cs="Times New Roman"/>
          <w:color w:val="000000"/>
        </w:rPr>
        <w:t xml:space="preserve"> </w:t>
      </w:r>
      <w:r w:rsidRPr="00245597">
        <w:rPr>
          <w:rFonts w:ascii="Times New Roman" w:eastAsia="Times New Roman" w:hAnsi="Times New Roman" w:cs="Times New Roman"/>
          <w:bCs/>
          <w:lang w:eastAsia="en-GB"/>
        </w:rPr>
        <w:t xml:space="preserve"> 2013:7 139–146</w:t>
      </w:r>
      <w:r w:rsidRPr="00F51523">
        <w:rPr>
          <w:rFonts w:ascii="Times New Roman" w:eastAsia="Times New Roman" w:hAnsi="Times New Roman" w:cs="Times New Roman"/>
          <w:bCs/>
          <w:lang w:eastAsia="en-GB"/>
        </w:rPr>
        <w:t>.</w:t>
      </w:r>
    </w:p>
    <w:p w14:paraId="3B693FC9" w14:textId="77777777" w:rsidR="003470E5" w:rsidRPr="00245597" w:rsidRDefault="003470E5" w:rsidP="003470E5">
      <w:pPr>
        <w:pStyle w:val="ListParagraph"/>
        <w:numPr>
          <w:ilvl w:val="0"/>
          <w:numId w:val="4"/>
        </w:numPr>
        <w:spacing w:after="0" w:line="480" w:lineRule="auto"/>
        <w:ind w:left="426"/>
        <w:rPr>
          <w:rFonts w:ascii="Times New Roman" w:eastAsia="Times New Roman" w:hAnsi="Times New Roman" w:cs="Times New Roman"/>
          <w:lang w:eastAsia="en-GB"/>
        </w:rPr>
      </w:pPr>
      <w:proofErr w:type="spellStart"/>
      <w:r w:rsidRPr="00245597">
        <w:rPr>
          <w:rFonts w:ascii="Times New Roman" w:eastAsia="Times New Roman" w:hAnsi="Times New Roman" w:cs="Times New Roman"/>
          <w:color w:val="222222"/>
          <w:shd w:val="clear" w:color="auto" w:fill="FFFFFF"/>
          <w:lang w:eastAsia="en-GB"/>
        </w:rPr>
        <w:t>Ramôa</w:t>
      </w:r>
      <w:proofErr w:type="spellEnd"/>
      <w:r w:rsidRPr="00245597">
        <w:rPr>
          <w:rFonts w:ascii="Times New Roman" w:eastAsia="Times New Roman" w:hAnsi="Times New Roman" w:cs="Times New Roman"/>
          <w:color w:val="222222"/>
          <w:shd w:val="clear" w:color="auto" w:fill="FFFFFF"/>
          <w:lang w:eastAsia="en-GB"/>
        </w:rPr>
        <w:t xml:space="preserve"> CP, </w:t>
      </w:r>
      <w:proofErr w:type="spellStart"/>
      <w:r w:rsidRPr="00245597">
        <w:rPr>
          <w:rFonts w:ascii="Times New Roman" w:eastAsia="Times New Roman" w:hAnsi="Times New Roman" w:cs="Times New Roman"/>
          <w:color w:val="222222"/>
          <w:shd w:val="clear" w:color="auto" w:fill="FFFFFF"/>
          <w:lang w:eastAsia="en-GB"/>
        </w:rPr>
        <w:t>Hiler</w:t>
      </w:r>
      <w:proofErr w:type="spellEnd"/>
      <w:r w:rsidRPr="00245597">
        <w:rPr>
          <w:rFonts w:ascii="Times New Roman" w:eastAsia="Times New Roman" w:hAnsi="Times New Roman" w:cs="Times New Roman"/>
          <w:color w:val="222222"/>
          <w:shd w:val="clear" w:color="auto" w:fill="FFFFFF"/>
          <w:lang w:eastAsia="en-GB"/>
        </w:rPr>
        <w:t xml:space="preserve"> MM, Spindle TR, Lopez AA, </w:t>
      </w:r>
      <w:proofErr w:type="spellStart"/>
      <w:r w:rsidRPr="00245597">
        <w:rPr>
          <w:rFonts w:ascii="Times New Roman" w:eastAsia="Times New Roman" w:hAnsi="Times New Roman" w:cs="Times New Roman"/>
          <w:color w:val="222222"/>
          <w:shd w:val="clear" w:color="auto" w:fill="FFFFFF"/>
          <w:lang w:eastAsia="en-GB"/>
        </w:rPr>
        <w:t>Karaoghlanian</w:t>
      </w:r>
      <w:proofErr w:type="spellEnd"/>
      <w:r w:rsidRPr="00245597">
        <w:rPr>
          <w:rFonts w:ascii="Times New Roman" w:eastAsia="Times New Roman" w:hAnsi="Times New Roman" w:cs="Times New Roman"/>
          <w:color w:val="222222"/>
          <w:shd w:val="clear" w:color="auto" w:fill="FFFFFF"/>
          <w:lang w:eastAsia="en-GB"/>
        </w:rPr>
        <w:t xml:space="preserve"> N, </w:t>
      </w:r>
      <w:proofErr w:type="spellStart"/>
      <w:r w:rsidRPr="00245597">
        <w:rPr>
          <w:rFonts w:ascii="Times New Roman" w:eastAsia="Times New Roman" w:hAnsi="Times New Roman" w:cs="Times New Roman"/>
          <w:color w:val="222222"/>
          <w:shd w:val="clear" w:color="auto" w:fill="FFFFFF"/>
          <w:lang w:eastAsia="en-GB"/>
        </w:rPr>
        <w:t>Lipato</w:t>
      </w:r>
      <w:proofErr w:type="spellEnd"/>
      <w:r w:rsidRPr="00245597">
        <w:rPr>
          <w:rFonts w:ascii="Times New Roman" w:eastAsia="Times New Roman" w:hAnsi="Times New Roman" w:cs="Times New Roman"/>
          <w:color w:val="222222"/>
          <w:shd w:val="clear" w:color="auto" w:fill="FFFFFF"/>
          <w:lang w:eastAsia="en-GB"/>
        </w:rPr>
        <w:t xml:space="preserve"> T, </w:t>
      </w:r>
      <w:proofErr w:type="spellStart"/>
      <w:r w:rsidRPr="00245597">
        <w:rPr>
          <w:rFonts w:ascii="Times New Roman" w:eastAsia="Times New Roman" w:hAnsi="Times New Roman" w:cs="Times New Roman"/>
          <w:color w:val="222222"/>
          <w:shd w:val="clear" w:color="auto" w:fill="FFFFFF"/>
          <w:lang w:eastAsia="en-GB"/>
        </w:rPr>
        <w:t>Breland</w:t>
      </w:r>
      <w:proofErr w:type="spellEnd"/>
      <w:r w:rsidRPr="00245597">
        <w:rPr>
          <w:rFonts w:ascii="Times New Roman" w:eastAsia="Times New Roman" w:hAnsi="Times New Roman" w:cs="Times New Roman"/>
          <w:color w:val="222222"/>
          <w:shd w:val="clear" w:color="auto" w:fill="FFFFFF"/>
          <w:lang w:eastAsia="en-GB"/>
        </w:rPr>
        <w:t xml:space="preserve"> AB, </w:t>
      </w:r>
      <w:proofErr w:type="spellStart"/>
      <w:r w:rsidRPr="00245597">
        <w:rPr>
          <w:rFonts w:ascii="Times New Roman" w:eastAsia="Times New Roman" w:hAnsi="Times New Roman" w:cs="Times New Roman"/>
          <w:color w:val="222222"/>
          <w:shd w:val="clear" w:color="auto" w:fill="FFFFFF"/>
          <w:lang w:eastAsia="en-GB"/>
        </w:rPr>
        <w:t>Shihadeh</w:t>
      </w:r>
      <w:proofErr w:type="spellEnd"/>
      <w:r w:rsidRPr="00245597">
        <w:rPr>
          <w:rFonts w:ascii="Times New Roman" w:eastAsia="Times New Roman" w:hAnsi="Times New Roman" w:cs="Times New Roman"/>
          <w:color w:val="222222"/>
          <w:shd w:val="clear" w:color="auto" w:fill="FFFFFF"/>
          <w:lang w:eastAsia="en-GB"/>
        </w:rPr>
        <w:t xml:space="preserve"> A, Eissenberg T. Electronic cigarette nicotine delivery can exceed that of combustible cigarettes: a preliminary report. </w:t>
      </w:r>
      <w:r w:rsidRPr="00F51523">
        <w:rPr>
          <w:rFonts w:ascii="Times New Roman" w:eastAsia="Times New Roman" w:hAnsi="Times New Roman" w:cs="Times New Roman"/>
          <w:i/>
          <w:color w:val="222222"/>
          <w:shd w:val="clear" w:color="auto" w:fill="FFFFFF"/>
          <w:lang w:eastAsia="en-GB"/>
        </w:rPr>
        <w:t>Tobacco C</w:t>
      </w:r>
      <w:r w:rsidRPr="00245597">
        <w:rPr>
          <w:rFonts w:ascii="Times New Roman" w:eastAsia="Times New Roman" w:hAnsi="Times New Roman" w:cs="Times New Roman"/>
          <w:i/>
          <w:color w:val="222222"/>
          <w:shd w:val="clear" w:color="auto" w:fill="FFFFFF"/>
          <w:lang w:eastAsia="en-GB"/>
        </w:rPr>
        <w:t>ontrol</w:t>
      </w:r>
      <w:r w:rsidRPr="00245597">
        <w:rPr>
          <w:rFonts w:ascii="Times New Roman" w:eastAsia="Times New Roman" w:hAnsi="Times New Roman" w:cs="Times New Roman"/>
          <w:color w:val="222222"/>
          <w:shd w:val="clear" w:color="auto" w:fill="FFFFFF"/>
          <w:lang w:eastAsia="en-GB"/>
        </w:rPr>
        <w:t>. 2015 Aug 31:tobaccocontrol-2015</w:t>
      </w:r>
    </w:p>
    <w:p w14:paraId="33B9C45D" w14:textId="77777777" w:rsidR="003470E5" w:rsidRPr="00245597" w:rsidRDefault="003470E5" w:rsidP="003470E5">
      <w:pPr>
        <w:pStyle w:val="ListParagraph"/>
        <w:numPr>
          <w:ilvl w:val="0"/>
          <w:numId w:val="4"/>
        </w:numPr>
        <w:spacing w:after="0" w:line="480" w:lineRule="auto"/>
        <w:ind w:left="426"/>
        <w:rPr>
          <w:rFonts w:ascii="Times New Roman" w:eastAsia="Times New Roman" w:hAnsi="Times New Roman" w:cs="Times New Roman"/>
          <w:lang w:eastAsia="en-GB"/>
        </w:rPr>
      </w:pPr>
      <w:r w:rsidRPr="00245597">
        <w:rPr>
          <w:rFonts w:ascii="Times New Roman" w:eastAsia="Times New Roman" w:hAnsi="Times New Roman" w:cs="Times New Roman"/>
          <w:color w:val="222222"/>
          <w:shd w:val="clear" w:color="auto" w:fill="FFFFFF"/>
          <w:lang w:eastAsia="en-GB"/>
        </w:rPr>
        <w:t xml:space="preserve">Ashton H, Stepney R, Thompson JW. Self-titration by cigarette smokers. </w:t>
      </w:r>
      <w:r w:rsidRPr="00F51523">
        <w:rPr>
          <w:rFonts w:ascii="Times New Roman" w:eastAsia="Times New Roman" w:hAnsi="Times New Roman" w:cs="Times New Roman"/>
          <w:i/>
          <w:color w:val="222222"/>
          <w:shd w:val="clear" w:color="auto" w:fill="FFFFFF"/>
          <w:lang w:eastAsia="en-GB"/>
        </w:rPr>
        <w:t>BM</w:t>
      </w:r>
      <w:r w:rsidRPr="00245597">
        <w:rPr>
          <w:rFonts w:ascii="Times New Roman" w:eastAsia="Times New Roman" w:hAnsi="Times New Roman" w:cs="Times New Roman"/>
          <w:i/>
          <w:color w:val="222222"/>
          <w:shd w:val="clear" w:color="auto" w:fill="FFFFFF"/>
          <w:lang w:eastAsia="en-GB"/>
        </w:rPr>
        <w:t>J</w:t>
      </w:r>
      <w:r w:rsidRPr="00245597">
        <w:rPr>
          <w:rFonts w:ascii="Times New Roman" w:eastAsia="Times New Roman" w:hAnsi="Times New Roman" w:cs="Times New Roman"/>
          <w:color w:val="222222"/>
          <w:shd w:val="clear" w:color="auto" w:fill="FFFFFF"/>
          <w:lang w:eastAsia="en-GB"/>
        </w:rPr>
        <w:t>. 1979 Aug 11</w:t>
      </w:r>
      <w:proofErr w:type="gramStart"/>
      <w:r w:rsidRPr="00245597">
        <w:rPr>
          <w:rFonts w:ascii="Times New Roman" w:eastAsia="Times New Roman" w:hAnsi="Times New Roman" w:cs="Times New Roman"/>
          <w:color w:val="222222"/>
          <w:shd w:val="clear" w:color="auto" w:fill="FFFFFF"/>
          <w:lang w:eastAsia="en-GB"/>
        </w:rPr>
        <w:t>;2:357</w:t>
      </w:r>
      <w:proofErr w:type="gramEnd"/>
      <w:r w:rsidRPr="00245597">
        <w:rPr>
          <w:rFonts w:ascii="Times New Roman" w:eastAsia="Times New Roman" w:hAnsi="Times New Roman" w:cs="Times New Roman"/>
          <w:color w:val="222222"/>
          <w:shd w:val="clear" w:color="auto" w:fill="FFFFFF"/>
          <w:lang w:eastAsia="en-GB"/>
        </w:rPr>
        <w:t>-60.</w:t>
      </w:r>
    </w:p>
    <w:p w14:paraId="6AE8E471" w14:textId="77777777" w:rsidR="003470E5" w:rsidRPr="00245597" w:rsidRDefault="003470E5" w:rsidP="003470E5">
      <w:pPr>
        <w:pStyle w:val="ListParagraph"/>
        <w:numPr>
          <w:ilvl w:val="0"/>
          <w:numId w:val="4"/>
        </w:numPr>
        <w:spacing w:after="0" w:line="480" w:lineRule="auto"/>
        <w:ind w:left="426"/>
        <w:rPr>
          <w:rFonts w:ascii="Times New Roman" w:eastAsia="Times New Roman" w:hAnsi="Times New Roman" w:cs="Times New Roman"/>
          <w:lang w:eastAsia="en-GB"/>
        </w:rPr>
      </w:pPr>
      <w:r w:rsidRPr="00245597">
        <w:rPr>
          <w:rFonts w:ascii="Times New Roman" w:eastAsia="Times New Roman" w:hAnsi="Times New Roman" w:cs="Times New Roman"/>
          <w:color w:val="222222"/>
          <w:shd w:val="clear" w:color="auto" w:fill="FFFFFF"/>
          <w:lang w:eastAsia="en-GB"/>
        </w:rPr>
        <w:t xml:space="preserve">Ashton H, Watson DW. Puffing frequency and nicotine intake in cigarette smokers. </w:t>
      </w:r>
      <w:r w:rsidRPr="00F51523">
        <w:rPr>
          <w:rFonts w:ascii="Times New Roman" w:eastAsia="Times New Roman" w:hAnsi="Times New Roman" w:cs="Times New Roman"/>
          <w:i/>
          <w:color w:val="222222"/>
          <w:shd w:val="clear" w:color="auto" w:fill="FFFFFF"/>
          <w:lang w:eastAsia="en-GB"/>
        </w:rPr>
        <w:t>BM</w:t>
      </w:r>
      <w:r w:rsidRPr="00245597">
        <w:rPr>
          <w:rFonts w:ascii="Times New Roman" w:eastAsia="Times New Roman" w:hAnsi="Times New Roman" w:cs="Times New Roman"/>
          <w:i/>
          <w:color w:val="222222"/>
          <w:shd w:val="clear" w:color="auto" w:fill="FFFFFF"/>
          <w:lang w:eastAsia="en-GB"/>
        </w:rPr>
        <w:t>J</w:t>
      </w:r>
      <w:r w:rsidRPr="00245597">
        <w:rPr>
          <w:rFonts w:ascii="Times New Roman" w:eastAsia="Times New Roman" w:hAnsi="Times New Roman" w:cs="Times New Roman"/>
          <w:color w:val="222222"/>
          <w:shd w:val="clear" w:color="auto" w:fill="FFFFFF"/>
          <w:lang w:eastAsia="en-GB"/>
        </w:rPr>
        <w:t>. 1970 Sep 19</w:t>
      </w:r>
      <w:proofErr w:type="gramStart"/>
      <w:r w:rsidRPr="00245597">
        <w:rPr>
          <w:rFonts w:ascii="Times New Roman" w:eastAsia="Times New Roman" w:hAnsi="Times New Roman" w:cs="Times New Roman"/>
          <w:color w:val="222222"/>
          <w:shd w:val="clear" w:color="auto" w:fill="FFFFFF"/>
          <w:lang w:eastAsia="en-GB"/>
        </w:rPr>
        <w:t>;3:679</w:t>
      </w:r>
      <w:proofErr w:type="gramEnd"/>
      <w:r w:rsidRPr="00245597">
        <w:rPr>
          <w:rFonts w:ascii="Times New Roman" w:eastAsia="Times New Roman" w:hAnsi="Times New Roman" w:cs="Times New Roman"/>
          <w:color w:val="222222"/>
          <w:shd w:val="clear" w:color="auto" w:fill="FFFFFF"/>
          <w:lang w:eastAsia="en-GB"/>
        </w:rPr>
        <w:t>-81.</w:t>
      </w:r>
    </w:p>
    <w:p w14:paraId="638E2722" w14:textId="77777777" w:rsidR="003470E5" w:rsidRPr="00245597" w:rsidRDefault="003470E5" w:rsidP="003470E5">
      <w:pPr>
        <w:pStyle w:val="ListParagraph"/>
        <w:numPr>
          <w:ilvl w:val="0"/>
          <w:numId w:val="4"/>
        </w:numPr>
        <w:spacing w:after="0" w:line="480" w:lineRule="auto"/>
        <w:ind w:left="426"/>
        <w:rPr>
          <w:rFonts w:ascii="Times New Roman" w:eastAsia="Times New Roman" w:hAnsi="Times New Roman" w:cs="Times New Roman"/>
          <w:lang w:eastAsia="en-GB"/>
        </w:rPr>
      </w:pPr>
      <w:r w:rsidRPr="00245597">
        <w:rPr>
          <w:rFonts w:ascii="Times New Roman" w:eastAsia="Times New Roman" w:hAnsi="Times New Roman" w:cs="Times New Roman"/>
          <w:color w:val="222222"/>
          <w:shd w:val="clear" w:color="auto" w:fill="FFFFFF"/>
          <w:lang w:eastAsia="en-GB"/>
        </w:rPr>
        <w:t xml:space="preserve">Hammond D, Fong GT, Cummings KM, Hyland A. Smoking topography, brand switching, and nicotine delivery: results from an in vivo study. </w:t>
      </w:r>
      <w:r w:rsidRPr="00245597">
        <w:rPr>
          <w:rFonts w:ascii="Times New Roman" w:eastAsia="Times New Roman" w:hAnsi="Times New Roman" w:cs="Times New Roman"/>
          <w:i/>
          <w:color w:val="222222"/>
          <w:shd w:val="clear" w:color="auto" w:fill="FFFFFF"/>
          <w:lang w:eastAsia="en-GB"/>
        </w:rPr>
        <w:t>Cancer Epidemiology and Prevention Biomarkers</w:t>
      </w:r>
      <w:r w:rsidRPr="00245597">
        <w:rPr>
          <w:rFonts w:ascii="Times New Roman" w:eastAsia="Times New Roman" w:hAnsi="Times New Roman" w:cs="Times New Roman"/>
          <w:color w:val="222222"/>
          <w:shd w:val="clear" w:color="auto" w:fill="FFFFFF"/>
          <w:lang w:eastAsia="en-GB"/>
        </w:rPr>
        <w:t>. 2005 Jun 1</w:t>
      </w:r>
      <w:proofErr w:type="gramStart"/>
      <w:r w:rsidRPr="00245597">
        <w:rPr>
          <w:rFonts w:ascii="Times New Roman" w:eastAsia="Times New Roman" w:hAnsi="Times New Roman" w:cs="Times New Roman"/>
          <w:color w:val="222222"/>
          <w:shd w:val="clear" w:color="auto" w:fill="FFFFFF"/>
          <w:lang w:eastAsia="en-GB"/>
        </w:rPr>
        <w:t>;14:1370</w:t>
      </w:r>
      <w:proofErr w:type="gramEnd"/>
      <w:r w:rsidRPr="00245597">
        <w:rPr>
          <w:rFonts w:ascii="Times New Roman" w:eastAsia="Times New Roman" w:hAnsi="Times New Roman" w:cs="Times New Roman"/>
          <w:color w:val="222222"/>
          <w:shd w:val="clear" w:color="auto" w:fill="FFFFFF"/>
          <w:lang w:eastAsia="en-GB"/>
        </w:rPr>
        <w:t>-5.</w:t>
      </w:r>
    </w:p>
    <w:p w14:paraId="559B5C8B" w14:textId="77777777" w:rsidR="003470E5" w:rsidRPr="00245597" w:rsidRDefault="003470E5" w:rsidP="003470E5">
      <w:pPr>
        <w:pStyle w:val="ListParagraph"/>
        <w:numPr>
          <w:ilvl w:val="0"/>
          <w:numId w:val="4"/>
        </w:numPr>
        <w:spacing w:after="0" w:line="480" w:lineRule="auto"/>
        <w:ind w:left="426"/>
        <w:rPr>
          <w:rFonts w:ascii="Times New Roman" w:eastAsia="Times New Roman" w:hAnsi="Times New Roman" w:cs="Times New Roman"/>
          <w:lang w:eastAsia="en-GB"/>
        </w:rPr>
      </w:pPr>
      <w:r w:rsidRPr="00245597">
        <w:rPr>
          <w:rFonts w:ascii="Times New Roman" w:eastAsia="Times New Roman" w:hAnsi="Times New Roman" w:cs="Times New Roman"/>
          <w:color w:val="222222"/>
          <w:shd w:val="clear" w:color="auto" w:fill="FFFFFF"/>
          <w:lang w:eastAsia="en-GB"/>
        </w:rPr>
        <w:t xml:space="preserve">Russell MA. Nicotine intake and its regulation. </w:t>
      </w:r>
      <w:r w:rsidRPr="00245597">
        <w:rPr>
          <w:rFonts w:ascii="Times New Roman" w:eastAsia="Times New Roman" w:hAnsi="Times New Roman" w:cs="Times New Roman"/>
          <w:i/>
          <w:color w:val="222222"/>
          <w:shd w:val="clear" w:color="auto" w:fill="FFFFFF"/>
          <w:lang w:eastAsia="en-GB"/>
        </w:rPr>
        <w:t>Journal of Psychosomatic Research</w:t>
      </w:r>
      <w:r w:rsidRPr="00245597">
        <w:rPr>
          <w:rFonts w:ascii="Times New Roman" w:eastAsia="Times New Roman" w:hAnsi="Times New Roman" w:cs="Times New Roman"/>
          <w:color w:val="222222"/>
          <w:shd w:val="clear" w:color="auto" w:fill="FFFFFF"/>
          <w:lang w:eastAsia="en-GB"/>
        </w:rPr>
        <w:t>. 1980 Dec 31</w:t>
      </w:r>
      <w:proofErr w:type="gramStart"/>
      <w:r w:rsidRPr="00245597">
        <w:rPr>
          <w:rFonts w:ascii="Times New Roman" w:eastAsia="Times New Roman" w:hAnsi="Times New Roman" w:cs="Times New Roman"/>
          <w:color w:val="222222"/>
          <w:shd w:val="clear" w:color="auto" w:fill="FFFFFF"/>
          <w:lang w:eastAsia="en-GB"/>
        </w:rPr>
        <w:t>;24:253</w:t>
      </w:r>
      <w:proofErr w:type="gramEnd"/>
      <w:r w:rsidRPr="00245597">
        <w:rPr>
          <w:rFonts w:ascii="Times New Roman" w:eastAsia="Times New Roman" w:hAnsi="Times New Roman" w:cs="Times New Roman"/>
          <w:color w:val="222222"/>
          <w:shd w:val="clear" w:color="auto" w:fill="FFFFFF"/>
          <w:lang w:eastAsia="en-GB"/>
        </w:rPr>
        <w:t>-64.</w:t>
      </w:r>
    </w:p>
    <w:p w14:paraId="052DBA1D" w14:textId="77777777" w:rsidR="003470E5" w:rsidRPr="00245597" w:rsidRDefault="003470E5" w:rsidP="003470E5">
      <w:pPr>
        <w:pStyle w:val="ListParagraph"/>
        <w:numPr>
          <w:ilvl w:val="0"/>
          <w:numId w:val="4"/>
        </w:numPr>
        <w:spacing w:after="0" w:line="480" w:lineRule="auto"/>
        <w:ind w:left="426"/>
        <w:rPr>
          <w:rFonts w:ascii="Times New Roman" w:eastAsia="Times New Roman" w:hAnsi="Times New Roman" w:cs="Times New Roman"/>
          <w:lang w:eastAsia="en-GB"/>
        </w:rPr>
      </w:pPr>
      <w:r w:rsidRPr="00245597">
        <w:rPr>
          <w:rFonts w:ascii="Times New Roman" w:eastAsia="Times New Roman" w:hAnsi="Times New Roman" w:cs="Times New Roman"/>
          <w:color w:val="222222"/>
          <w:shd w:val="clear" w:color="auto" w:fill="FFFFFF"/>
          <w:lang w:eastAsia="en-GB"/>
        </w:rPr>
        <w:t xml:space="preserve">Scherer G, Lee PN. Smoking behaviour and compensation: a review of the literature with meta-analysis. </w:t>
      </w:r>
      <w:r w:rsidRPr="00245597">
        <w:rPr>
          <w:rFonts w:ascii="Times New Roman" w:eastAsia="Times New Roman" w:hAnsi="Times New Roman" w:cs="Times New Roman"/>
          <w:i/>
          <w:color w:val="222222"/>
          <w:shd w:val="clear" w:color="auto" w:fill="FFFFFF"/>
          <w:lang w:eastAsia="en-GB"/>
        </w:rPr>
        <w:t>Regulatory Toxicology and Pharmacology</w:t>
      </w:r>
      <w:r w:rsidRPr="00245597">
        <w:rPr>
          <w:rFonts w:ascii="Times New Roman" w:eastAsia="Times New Roman" w:hAnsi="Times New Roman" w:cs="Times New Roman"/>
          <w:color w:val="222222"/>
          <w:shd w:val="clear" w:color="auto" w:fill="FFFFFF"/>
          <w:lang w:eastAsia="en-GB"/>
        </w:rPr>
        <w:t>. 2014 Dec 31;70(3):615-28.</w:t>
      </w:r>
    </w:p>
    <w:p w14:paraId="47161CA3" w14:textId="110D956E" w:rsidR="00D37CE4" w:rsidRPr="00245597" w:rsidRDefault="00D37CE4" w:rsidP="00245597">
      <w:pPr>
        <w:pStyle w:val="EndNoteBibliography"/>
        <w:numPr>
          <w:ilvl w:val="0"/>
          <w:numId w:val="4"/>
        </w:numPr>
        <w:spacing w:line="480" w:lineRule="auto"/>
        <w:ind w:left="426"/>
        <w:jc w:val="both"/>
        <w:rPr>
          <w:sz w:val="22"/>
          <w:szCs w:val="22"/>
        </w:rPr>
      </w:pPr>
      <w:r w:rsidRPr="00245597">
        <w:rPr>
          <w:rFonts w:ascii="Times New Roman" w:hAnsi="Times New Roman"/>
          <w:sz w:val="22"/>
          <w:szCs w:val="22"/>
        </w:rPr>
        <w:t xml:space="preserve">Farsalinos, K. E., Poulas, K., &amp; Voudras, V. Changes in puffing topography and nicotine consumption depending on the power setting of electronic cigarettes. </w:t>
      </w:r>
      <w:r w:rsidR="00057F51" w:rsidRPr="00245597">
        <w:rPr>
          <w:rFonts w:ascii="Times New Roman" w:hAnsi="Times New Roman"/>
          <w:i/>
          <w:sz w:val="22"/>
          <w:szCs w:val="22"/>
        </w:rPr>
        <w:t>Nicotine and Tobacco Research</w:t>
      </w:r>
      <w:r w:rsidR="00057F51">
        <w:rPr>
          <w:rFonts w:ascii="Times New Roman" w:hAnsi="Times New Roman"/>
          <w:sz w:val="22"/>
          <w:szCs w:val="22"/>
        </w:rPr>
        <w:t xml:space="preserve">. 2017 Oct. </w:t>
      </w:r>
      <w:r w:rsidRPr="00245597">
        <w:rPr>
          <w:rFonts w:ascii="Times New Roman" w:hAnsi="Times New Roman"/>
          <w:sz w:val="22"/>
          <w:szCs w:val="22"/>
        </w:rPr>
        <w:t>https://doi.org/10.1093/ntr/ntx219/4318827/Changes-in-puffing-topography-and-nicotine</w:t>
      </w:r>
    </w:p>
    <w:p w14:paraId="04A415A2" w14:textId="77777777" w:rsidR="00D37CE4" w:rsidRPr="00245597" w:rsidRDefault="00D37CE4" w:rsidP="00D37CE4">
      <w:pPr>
        <w:pStyle w:val="EndNoteBibliography"/>
        <w:numPr>
          <w:ilvl w:val="0"/>
          <w:numId w:val="4"/>
        </w:numPr>
        <w:spacing w:line="480" w:lineRule="auto"/>
        <w:ind w:left="426"/>
        <w:jc w:val="both"/>
        <w:rPr>
          <w:rFonts w:ascii="Times New Roman" w:hAnsi="Times New Roman"/>
          <w:sz w:val="22"/>
          <w:szCs w:val="22"/>
        </w:rPr>
      </w:pPr>
      <w:r w:rsidRPr="00245597">
        <w:rPr>
          <w:rFonts w:ascii="Times New Roman" w:hAnsi="Times New Roman"/>
          <w:sz w:val="22"/>
          <w:szCs w:val="22"/>
        </w:rPr>
        <w:t xml:space="preserve">Kośmider L, Sobczak A, Fik M, Knysak J, Zaciera M, Kurek J, Goniewicz ML. (2014). Carbonyl compounds in electronic cigarette vapors—effects of nicotine solvent and battery output voltage. </w:t>
      </w:r>
      <w:r w:rsidRPr="00245597">
        <w:rPr>
          <w:rFonts w:ascii="Times New Roman" w:hAnsi="Times New Roman"/>
          <w:i/>
          <w:noProof w:val="0"/>
          <w:sz w:val="22"/>
          <w:szCs w:val="22"/>
        </w:rPr>
        <w:t xml:space="preserve">Nicotine </w:t>
      </w:r>
      <w:proofErr w:type="spellStart"/>
      <w:r w:rsidRPr="00245597">
        <w:rPr>
          <w:rFonts w:ascii="Times New Roman" w:hAnsi="Times New Roman"/>
          <w:i/>
          <w:noProof w:val="0"/>
          <w:sz w:val="22"/>
          <w:szCs w:val="22"/>
        </w:rPr>
        <w:t>Tob</w:t>
      </w:r>
      <w:proofErr w:type="spellEnd"/>
      <w:r w:rsidRPr="00245597">
        <w:rPr>
          <w:rFonts w:ascii="Times New Roman" w:hAnsi="Times New Roman"/>
          <w:i/>
          <w:noProof w:val="0"/>
          <w:sz w:val="22"/>
          <w:szCs w:val="22"/>
        </w:rPr>
        <w:t xml:space="preserve"> Res</w:t>
      </w:r>
      <w:r w:rsidRPr="00245597">
        <w:rPr>
          <w:rFonts w:ascii="Times New Roman" w:hAnsi="Times New Roman"/>
          <w:sz w:val="22"/>
          <w:szCs w:val="22"/>
        </w:rPr>
        <w:t>. 16:</w:t>
      </w:r>
      <w:r w:rsidRPr="00245597">
        <w:rPr>
          <w:rFonts w:ascii="Times New Roman" w:hAnsi="Times New Roman"/>
          <w:noProof w:val="0"/>
          <w:sz w:val="22"/>
          <w:szCs w:val="22"/>
        </w:rPr>
        <w:t xml:space="preserve"> </w:t>
      </w:r>
      <w:r w:rsidRPr="00245597">
        <w:rPr>
          <w:rFonts w:ascii="Times New Roman" w:hAnsi="Times New Roman"/>
          <w:sz w:val="22"/>
          <w:szCs w:val="22"/>
        </w:rPr>
        <w:t>1319-1326.</w:t>
      </w:r>
    </w:p>
    <w:p w14:paraId="6153DBEC" w14:textId="77777777" w:rsidR="00D37CE4" w:rsidRPr="00245597" w:rsidRDefault="00D37CE4" w:rsidP="00D37CE4">
      <w:pPr>
        <w:pStyle w:val="EndNoteBibliography"/>
        <w:numPr>
          <w:ilvl w:val="0"/>
          <w:numId w:val="4"/>
        </w:numPr>
        <w:spacing w:line="480" w:lineRule="auto"/>
        <w:ind w:left="426"/>
        <w:jc w:val="both"/>
        <w:rPr>
          <w:rFonts w:ascii="Times New Roman" w:hAnsi="Times New Roman"/>
          <w:sz w:val="22"/>
          <w:szCs w:val="22"/>
        </w:rPr>
      </w:pPr>
      <w:r w:rsidRPr="00245597">
        <w:rPr>
          <w:rFonts w:ascii="Times New Roman" w:hAnsi="Times New Roman"/>
          <w:sz w:val="22"/>
          <w:szCs w:val="22"/>
        </w:rPr>
        <w:t xml:space="preserve">Hecht SS, Carmella SG, Kotandeniya D, Pillsbury ME, Chen M, Ransom BW, et al. Evaluation of toxicant and carcinogen metabolites in the urine of e-cigarette users versus cigarette smokers. </w:t>
      </w:r>
      <w:r w:rsidRPr="00245597">
        <w:rPr>
          <w:rFonts w:ascii="Times New Roman" w:hAnsi="Times New Roman"/>
          <w:i/>
          <w:sz w:val="22"/>
          <w:szCs w:val="22"/>
        </w:rPr>
        <w:t xml:space="preserve">Nicotine </w:t>
      </w:r>
      <w:proofErr w:type="spellStart"/>
      <w:r w:rsidRPr="00245597">
        <w:rPr>
          <w:rFonts w:ascii="Times New Roman" w:hAnsi="Times New Roman"/>
          <w:i/>
          <w:noProof w:val="0"/>
          <w:sz w:val="22"/>
          <w:szCs w:val="22"/>
        </w:rPr>
        <w:t>Tob</w:t>
      </w:r>
      <w:proofErr w:type="spellEnd"/>
      <w:r w:rsidRPr="00245597">
        <w:rPr>
          <w:rFonts w:ascii="Times New Roman" w:hAnsi="Times New Roman"/>
          <w:i/>
          <w:noProof w:val="0"/>
          <w:sz w:val="22"/>
          <w:szCs w:val="22"/>
        </w:rPr>
        <w:t xml:space="preserve"> Res</w:t>
      </w:r>
      <w:r w:rsidRPr="00245597">
        <w:rPr>
          <w:rFonts w:ascii="Times New Roman" w:hAnsi="Times New Roman"/>
          <w:noProof w:val="0"/>
          <w:sz w:val="22"/>
          <w:szCs w:val="22"/>
        </w:rPr>
        <w:t>. 2015</w:t>
      </w:r>
      <w:proofErr w:type="gramStart"/>
      <w:r w:rsidRPr="00245597">
        <w:rPr>
          <w:rFonts w:ascii="Times New Roman" w:hAnsi="Times New Roman"/>
          <w:noProof w:val="0"/>
          <w:sz w:val="22"/>
          <w:szCs w:val="22"/>
        </w:rPr>
        <w:t>;17:704</w:t>
      </w:r>
      <w:proofErr w:type="gramEnd"/>
      <w:r w:rsidRPr="00245597">
        <w:rPr>
          <w:rFonts w:ascii="Times New Roman" w:hAnsi="Times New Roman"/>
          <w:noProof w:val="0"/>
          <w:sz w:val="22"/>
          <w:szCs w:val="22"/>
        </w:rPr>
        <w:t xml:space="preserve">-9. </w:t>
      </w:r>
    </w:p>
    <w:p w14:paraId="37FF148A" w14:textId="77777777" w:rsidR="00D37CE4" w:rsidRPr="00245597" w:rsidRDefault="00D37CE4" w:rsidP="00D37CE4">
      <w:pPr>
        <w:pStyle w:val="ListParagraph"/>
        <w:numPr>
          <w:ilvl w:val="0"/>
          <w:numId w:val="4"/>
        </w:numPr>
        <w:spacing w:after="0" w:line="480" w:lineRule="auto"/>
        <w:ind w:left="426"/>
        <w:rPr>
          <w:rFonts w:ascii="Times New Roman" w:eastAsia="Times New Roman" w:hAnsi="Times New Roman" w:cs="Times New Roman"/>
          <w:lang w:eastAsia="en-GB"/>
        </w:rPr>
      </w:pPr>
      <w:r w:rsidRPr="00245597">
        <w:rPr>
          <w:rFonts w:ascii="Times New Roman" w:eastAsia="Times New Roman" w:hAnsi="Times New Roman" w:cs="Times New Roman"/>
          <w:color w:val="222222"/>
          <w:shd w:val="clear" w:color="auto" w:fill="FFFFFF"/>
          <w:lang w:eastAsia="en-GB"/>
        </w:rPr>
        <w:lastRenderedPageBreak/>
        <w:t xml:space="preserve">Goniewicz ML, </w:t>
      </w:r>
      <w:proofErr w:type="spellStart"/>
      <w:r w:rsidRPr="00245597">
        <w:rPr>
          <w:rFonts w:ascii="Times New Roman" w:eastAsia="Times New Roman" w:hAnsi="Times New Roman" w:cs="Times New Roman"/>
          <w:color w:val="222222"/>
          <w:shd w:val="clear" w:color="auto" w:fill="FFFFFF"/>
          <w:lang w:eastAsia="en-GB"/>
        </w:rPr>
        <w:t>Gawron</w:t>
      </w:r>
      <w:proofErr w:type="spellEnd"/>
      <w:r w:rsidRPr="00245597">
        <w:rPr>
          <w:rFonts w:ascii="Times New Roman" w:eastAsia="Times New Roman" w:hAnsi="Times New Roman" w:cs="Times New Roman"/>
          <w:color w:val="222222"/>
          <w:shd w:val="clear" w:color="auto" w:fill="FFFFFF"/>
          <w:lang w:eastAsia="en-GB"/>
        </w:rPr>
        <w:t xml:space="preserve"> M, Smith DM, Peng M, Jacob P, </w:t>
      </w:r>
      <w:proofErr w:type="spellStart"/>
      <w:r w:rsidRPr="00245597">
        <w:rPr>
          <w:rFonts w:ascii="Times New Roman" w:eastAsia="Times New Roman" w:hAnsi="Times New Roman" w:cs="Times New Roman"/>
          <w:color w:val="222222"/>
          <w:shd w:val="clear" w:color="auto" w:fill="FFFFFF"/>
          <w:lang w:eastAsia="en-GB"/>
        </w:rPr>
        <w:t>Benowitz</w:t>
      </w:r>
      <w:proofErr w:type="spellEnd"/>
      <w:r w:rsidRPr="00245597">
        <w:rPr>
          <w:rFonts w:ascii="Times New Roman" w:eastAsia="Times New Roman" w:hAnsi="Times New Roman" w:cs="Times New Roman"/>
          <w:color w:val="222222"/>
          <w:shd w:val="clear" w:color="auto" w:fill="FFFFFF"/>
          <w:lang w:eastAsia="en-GB"/>
        </w:rPr>
        <w:t xml:space="preserve"> NL. Exposure to nicotine and selected toxicants in cigarette smokers who switched to electronic cigarettes: a longitudinal within-subjects observational study. </w:t>
      </w:r>
      <w:r w:rsidRPr="00245597">
        <w:rPr>
          <w:rFonts w:ascii="Times New Roman" w:eastAsia="Times New Roman" w:hAnsi="Times New Roman" w:cs="Times New Roman"/>
          <w:i/>
          <w:color w:val="222222"/>
          <w:shd w:val="clear" w:color="auto" w:fill="FFFFFF"/>
          <w:lang w:eastAsia="en-GB"/>
        </w:rPr>
        <w:t xml:space="preserve">Nicotine </w:t>
      </w:r>
      <w:proofErr w:type="spellStart"/>
      <w:r w:rsidRPr="00245597">
        <w:rPr>
          <w:rFonts w:ascii="Times New Roman" w:eastAsia="Times New Roman" w:hAnsi="Times New Roman" w:cs="Times New Roman"/>
          <w:i/>
          <w:color w:val="222222"/>
          <w:shd w:val="clear" w:color="auto" w:fill="FFFFFF"/>
          <w:lang w:eastAsia="en-GB"/>
        </w:rPr>
        <w:t>Tob</w:t>
      </w:r>
      <w:proofErr w:type="spellEnd"/>
      <w:r w:rsidRPr="00245597">
        <w:rPr>
          <w:rFonts w:ascii="Times New Roman" w:eastAsia="Times New Roman" w:hAnsi="Times New Roman" w:cs="Times New Roman"/>
          <w:i/>
          <w:color w:val="222222"/>
          <w:shd w:val="clear" w:color="auto" w:fill="FFFFFF"/>
          <w:lang w:eastAsia="en-GB"/>
        </w:rPr>
        <w:t xml:space="preserve"> Res</w:t>
      </w:r>
      <w:r w:rsidRPr="00245597">
        <w:rPr>
          <w:rFonts w:ascii="Times New Roman" w:eastAsia="Times New Roman" w:hAnsi="Times New Roman" w:cs="Times New Roman"/>
          <w:color w:val="222222"/>
          <w:shd w:val="clear" w:color="auto" w:fill="FFFFFF"/>
          <w:lang w:eastAsia="en-GB"/>
        </w:rPr>
        <w:t>. 2017 Feb 1</w:t>
      </w:r>
      <w:proofErr w:type="gramStart"/>
      <w:r w:rsidRPr="00245597">
        <w:rPr>
          <w:rFonts w:ascii="Times New Roman" w:eastAsia="Times New Roman" w:hAnsi="Times New Roman" w:cs="Times New Roman"/>
          <w:color w:val="222222"/>
          <w:shd w:val="clear" w:color="auto" w:fill="FFFFFF"/>
          <w:lang w:eastAsia="en-GB"/>
        </w:rPr>
        <w:t>;19:160</w:t>
      </w:r>
      <w:proofErr w:type="gramEnd"/>
      <w:r w:rsidRPr="00245597">
        <w:rPr>
          <w:rFonts w:ascii="Times New Roman" w:eastAsia="Times New Roman" w:hAnsi="Times New Roman" w:cs="Times New Roman"/>
          <w:color w:val="222222"/>
          <w:shd w:val="clear" w:color="auto" w:fill="FFFFFF"/>
          <w:lang w:eastAsia="en-GB"/>
        </w:rPr>
        <w:t>-7.</w:t>
      </w:r>
    </w:p>
    <w:p w14:paraId="4E217098" w14:textId="77777777" w:rsidR="00D37CE4" w:rsidRPr="00245597" w:rsidRDefault="00D37CE4" w:rsidP="00D37CE4">
      <w:pPr>
        <w:pStyle w:val="ListParagraph"/>
        <w:numPr>
          <w:ilvl w:val="0"/>
          <w:numId w:val="4"/>
        </w:numPr>
        <w:spacing w:after="0" w:line="480" w:lineRule="auto"/>
        <w:ind w:left="426"/>
        <w:rPr>
          <w:rFonts w:ascii="Times New Roman" w:eastAsia="Times New Roman" w:hAnsi="Times New Roman" w:cs="Times New Roman"/>
          <w:lang w:eastAsia="en-GB"/>
        </w:rPr>
      </w:pPr>
      <w:r w:rsidRPr="00245597">
        <w:rPr>
          <w:rFonts w:ascii="Times New Roman" w:eastAsia="Times New Roman" w:hAnsi="Times New Roman" w:cs="Times New Roman"/>
          <w:color w:val="222222"/>
          <w:shd w:val="clear" w:color="auto" w:fill="FFFFFF"/>
          <w:lang w:eastAsia="en-GB"/>
        </w:rPr>
        <w:t xml:space="preserve">McRobbie H, Phillips A, Goniewicz ML, Smith KM, Knight-West O, Przulj D, Hajek P. Effects of switching to electronic cigarettes with and without concurrent smoking on exposure to nicotine, carbon monoxide, and </w:t>
      </w:r>
      <w:proofErr w:type="spellStart"/>
      <w:r w:rsidRPr="00245597">
        <w:rPr>
          <w:rFonts w:ascii="Times New Roman" w:eastAsia="Times New Roman" w:hAnsi="Times New Roman" w:cs="Times New Roman"/>
          <w:color w:val="222222"/>
          <w:shd w:val="clear" w:color="auto" w:fill="FFFFFF"/>
          <w:lang w:eastAsia="en-GB"/>
        </w:rPr>
        <w:t>acrolein</w:t>
      </w:r>
      <w:proofErr w:type="spellEnd"/>
      <w:r w:rsidRPr="00245597">
        <w:rPr>
          <w:rFonts w:ascii="Times New Roman" w:eastAsia="Times New Roman" w:hAnsi="Times New Roman" w:cs="Times New Roman"/>
          <w:color w:val="222222"/>
          <w:shd w:val="clear" w:color="auto" w:fill="FFFFFF"/>
          <w:lang w:eastAsia="en-GB"/>
        </w:rPr>
        <w:t xml:space="preserve">. </w:t>
      </w:r>
      <w:r w:rsidRPr="00F51523">
        <w:rPr>
          <w:rFonts w:ascii="Times New Roman" w:eastAsia="Times New Roman" w:hAnsi="Times New Roman" w:cs="Times New Roman"/>
          <w:i/>
          <w:color w:val="222222"/>
          <w:shd w:val="clear" w:color="auto" w:fill="FFFFFF"/>
          <w:lang w:eastAsia="en-GB"/>
        </w:rPr>
        <w:t>Cancer P</w:t>
      </w:r>
      <w:r w:rsidRPr="00245597">
        <w:rPr>
          <w:rFonts w:ascii="Times New Roman" w:eastAsia="Times New Roman" w:hAnsi="Times New Roman" w:cs="Times New Roman"/>
          <w:i/>
          <w:color w:val="222222"/>
          <w:shd w:val="clear" w:color="auto" w:fill="FFFFFF"/>
          <w:lang w:eastAsia="en-GB"/>
        </w:rPr>
        <w:t xml:space="preserve">revention </w:t>
      </w:r>
      <w:r w:rsidRPr="00F51523">
        <w:rPr>
          <w:rFonts w:ascii="Times New Roman" w:eastAsia="Times New Roman" w:hAnsi="Times New Roman" w:cs="Times New Roman"/>
          <w:i/>
          <w:color w:val="222222"/>
          <w:shd w:val="clear" w:color="auto" w:fill="FFFFFF"/>
          <w:lang w:eastAsia="en-GB"/>
        </w:rPr>
        <w:t>R</w:t>
      </w:r>
      <w:r w:rsidRPr="00245597">
        <w:rPr>
          <w:rFonts w:ascii="Times New Roman" w:eastAsia="Times New Roman" w:hAnsi="Times New Roman" w:cs="Times New Roman"/>
          <w:i/>
          <w:color w:val="222222"/>
          <w:shd w:val="clear" w:color="auto" w:fill="FFFFFF"/>
          <w:lang w:eastAsia="en-GB"/>
        </w:rPr>
        <w:t>esearch</w:t>
      </w:r>
      <w:r w:rsidRPr="00245597">
        <w:rPr>
          <w:rFonts w:ascii="Times New Roman" w:eastAsia="Times New Roman" w:hAnsi="Times New Roman" w:cs="Times New Roman"/>
          <w:color w:val="222222"/>
          <w:shd w:val="clear" w:color="auto" w:fill="FFFFFF"/>
          <w:lang w:eastAsia="en-GB"/>
        </w:rPr>
        <w:t>. 2015 Sep 1</w:t>
      </w:r>
      <w:proofErr w:type="gramStart"/>
      <w:r w:rsidRPr="00245597">
        <w:rPr>
          <w:rFonts w:ascii="Times New Roman" w:eastAsia="Times New Roman" w:hAnsi="Times New Roman" w:cs="Times New Roman"/>
          <w:color w:val="222222"/>
          <w:shd w:val="clear" w:color="auto" w:fill="FFFFFF"/>
          <w:lang w:eastAsia="en-GB"/>
        </w:rPr>
        <w:t>;8:873</w:t>
      </w:r>
      <w:proofErr w:type="gramEnd"/>
      <w:r w:rsidRPr="00245597">
        <w:rPr>
          <w:rFonts w:ascii="Times New Roman" w:eastAsia="Times New Roman" w:hAnsi="Times New Roman" w:cs="Times New Roman"/>
          <w:color w:val="222222"/>
          <w:shd w:val="clear" w:color="auto" w:fill="FFFFFF"/>
          <w:lang w:eastAsia="en-GB"/>
        </w:rPr>
        <w:t>-8.</w:t>
      </w:r>
    </w:p>
    <w:p w14:paraId="48D71E78" w14:textId="77777777" w:rsidR="00D75F07" w:rsidRPr="00245597" w:rsidRDefault="00D75F07" w:rsidP="00D75F07">
      <w:pPr>
        <w:pStyle w:val="ListParagraph"/>
        <w:numPr>
          <w:ilvl w:val="0"/>
          <w:numId w:val="4"/>
        </w:numPr>
        <w:spacing w:after="0" w:line="480" w:lineRule="auto"/>
        <w:ind w:left="426"/>
        <w:rPr>
          <w:rFonts w:ascii="Times New Roman" w:eastAsia="Times New Roman" w:hAnsi="Times New Roman" w:cs="Times New Roman"/>
          <w:lang w:eastAsia="en-GB"/>
        </w:rPr>
      </w:pPr>
      <w:r w:rsidRPr="00245597">
        <w:rPr>
          <w:rFonts w:ascii="Times New Roman" w:eastAsia="Times New Roman" w:hAnsi="Times New Roman" w:cs="Times New Roman"/>
          <w:color w:val="222222"/>
          <w:shd w:val="clear" w:color="auto" w:fill="FFFFFF"/>
          <w:lang w:eastAsia="en-GB"/>
        </w:rPr>
        <w:t xml:space="preserve">Shahab L, Goniewicz ML, Blount BC, Brown J, McNeill A, </w:t>
      </w:r>
      <w:proofErr w:type="spellStart"/>
      <w:r w:rsidRPr="00245597">
        <w:rPr>
          <w:rFonts w:ascii="Times New Roman" w:eastAsia="Times New Roman" w:hAnsi="Times New Roman" w:cs="Times New Roman"/>
          <w:color w:val="222222"/>
          <w:shd w:val="clear" w:color="auto" w:fill="FFFFFF"/>
          <w:lang w:eastAsia="en-GB"/>
        </w:rPr>
        <w:t>Alwis</w:t>
      </w:r>
      <w:proofErr w:type="spellEnd"/>
      <w:r w:rsidRPr="00245597">
        <w:rPr>
          <w:rFonts w:ascii="Times New Roman" w:eastAsia="Times New Roman" w:hAnsi="Times New Roman" w:cs="Times New Roman"/>
          <w:color w:val="222222"/>
          <w:shd w:val="clear" w:color="auto" w:fill="FFFFFF"/>
          <w:lang w:eastAsia="en-GB"/>
        </w:rPr>
        <w:t xml:space="preserve"> KU, Feng J, Wang L, West R. Nicotine, Carcinogen, and Toxin Exposure in Long-Term E-Cigarette and Nicotine Replacement Therapy </w:t>
      </w:r>
      <w:proofErr w:type="spellStart"/>
      <w:r w:rsidRPr="00245597">
        <w:rPr>
          <w:rFonts w:ascii="Times New Roman" w:eastAsia="Times New Roman" w:hAnsi="Times New Roman" w:cs="Times New Roman"/>
          <w:color w:val="222222"/>
          <w:shd w:val="clear" w:color="auto" w:fill="FFFFFF"/>
          <w:lang w:eastAsia="en-GB"/>
        </w:rPr>
        <w:t>UsersA</w:t>
      </w:r>
      <w:proofErr w:type="spellEnd"/>
      <w:r w:rsidRPr="00245597">
        <w:rPr>
          <w:rFonts w:ascii="Times New Roman" w:eastAsia="Times New Roman" w:hAnsi="Times New Roman" w:cs="Times New Roman"/>
          <w:color w:val="222222"/>
          <w:shd w:val="clear" w:color="auto" w:fill="FFFFFF"/>
          <w:lang w:eastAsia="en-GB"/>
        </w:rPr>
        <w:t xml:space="preserve"> Cross-sectional </w:t>
      </w:r>
      <w:proofErr w:type="spellStart"/>
      <w:r w:rsidRPr="00245597">
        <w:rPr>
          <w:rFonts w:ascii="Times New Roman" w:eastAsia="Times New Roman" w:hAnsi="Times New Roman" w:cs="Times New Roman"/>
          <w:color w:val="222222"/>
          <w:shd w:val="clear" w:color="auto" w:fill="FFFFFF"/>
          <w:lang w:eastAsia="en-GB"/>
        </w:rPr>
        <w:t>StudyE</w:t>
      </w:r>
      <w:proofErr w:type="spellEnd"/>
      <w:r w:rsidRPr="00245597">
        <w:rPr>
          <w:rFonts w:ascii="Times New Roman" w:eastAsia="Times New Roman" w:hAnsi="Times New Roman" w:cs="Times New Roman"/>
          <w:color w:val="222222"/>
          <w:shd w:val="clear" w:color="auto" w:fill="FFFFFF"/>
          <w:lang w:eastAsia="en-GB"/>
        </w:rPr>
        <w:t xml:space="preserve">-Cigarettes and Toxin Exposure. </w:t>
      </w:r>
      <w:r w:rsidRPr="00245597">
        <w:rPr>
          <w:rFonts w:ascii="Times New Roman" w:eastAsia="Times New Roman" w:hAnsi="Times New Roman" w:cs="Times New Roman"/>
          <w:i/>
          <w:color w:val="222222"/>
          <w:shd w:val="clear" w:color="auto" w:fill="FFFFFF"/>
          <w:lang w:eastAsia="en-GB"/>
        </w:rPr>
        <w:t>An</w:t>
      </w:r>
      <w:r w:rsidRPr="00F51523">
        <w:rPr>
          <w:rFonts w:ascii="Times New Roman" w:eastAsia="Times New Roman" w:hAnsi="Times New Roman" w:cs="Times New Roman"/>
          <w:i/>
          <w:color w:val="222222"/>
          <w:shd w:val="clear" w:color="auto" w:fill="FFFFFF"/>
          <w:lang w:eastAsia="en-GB"/>
        </w:rPr>
        <w:t>nals of I</w:t>
      </w:r>
      <w:r w:rsidRPr="00245597">
        <w:rPr>
          <w:rFonts w:ascii="Times New Roman" w:eastAsia="Times New Roman" w:hAnsi="Times New Roman" w:cs="Times New Roman"/>
          <w:i/>
          <w:color w:val="222222"/>
          <w:shd w:val="clear" w:color="auto" w:fill="FFFFFF"/>
          <w:lang w:eastAsia="en-GB"/>
        </w:rPr>
        <w:t xml:space="preserve">nternal </w:t>
      </w:r>
      <w:r w:rsidRPr="00F51523">
        <w:rPr>
          <w:rFonts w:ascii="Times New Roman" w:eastAsia="Times New Roman" w:hAnsi="Times New Roman" w:cs="Times New Roman"/>
          <w:i/>
          <w:color w:val="222222"/>
          <w:shd w:val="clear" w:color="auto" w:fill="FFFFFF"/>
          <w:lang w:eastAsia="en-GB"/>
        </w:rPr>
        <w:t>M</w:t>
      </w:r>
      <w:r w:rsidRPr="00245597">
        <w:rPr>
          <w:rFonts w:ascii="Times New Roman" w:eastAsia="Times New Roman" w:hAnsi="Times New Roman" w:cs="Times New Roman"/>
          <w:i/>
          <w:color w:val="222222"/>
          <w:shd w:val="clear" w:color="auto" w:fill="FFFFFF"/>
          <w:lang w:eastAsia="en-GB"/>
        </w:rPr>
        <w:t>edicine</w:t>
      </w:r>
      <w:r w:rsidRPr="00245597">
        <w:rPr>
          <w:rFonts w:ascii="Times New Roman" w:eastAsia="Times New Roman" w:hAnsi="Times New Roman" w:cs="Times New Roman"/>
          <w:color w:val="222222"/>
          <w:shd w:val="clear" w:color="auto" w:fill="FFFFFF"/>
          <w:lang w:eastAsia="en-GB"/>
        </w:rPr>
        <w:t>. 2017 Mar 21</w:t>
      </w:r>
      <w:proofErr w:type="gramStart"/>
      <w:r w:rsidRPr="00245597">
        <w:rPr>
          <w:rFonts w:ascii="Times New Roman" w:eastAsia="Times New Roman" w:hAnsi="Times New Roman" w:cs="Times New Roman"/>
          <w:color w:val="222222"/>
          <w:shd w:val="clear" w:color="auto" w:fill="FFFFFF"/>
          <w:lang w:eastAsia="en-GB"/>
        </w:rPr>
        <w:t>;166:390</w:t>
      </w:r>
      <w:proofErr w:type="gramEnd"/>
      <w:r w:rsidRPr="00245597">
        <w:rPr>
          <w:rFonts w:ascii="Times New Roman" w:eastAsia="Times New Roman" w:hAnsi="Times New Roman" w:cs="Times New Roman"/>
          <w:color w:val="222222"/>
          <w:shd w:val="clear" w:color="auto" w:fill="FFFFFF"/>
          <w:lang w:eastAsia="en-GB"/>
        </w:rPr>
        <w:t>-400.</w:t>
      </w:r>
    </w:p>
    <w:p w14:paraId="136BB352" w14:textId="77777777" w:rsidR="00D75F07" w:rsidRPr="00245597" w:rsidRDefault="00D75F07" w:rsidP="00D75F07">
      <w:pPr>
        <w:pStyle w:val="EndNoteBibliography"/>
        <w:numPr>
          <w:ilvl w:val="0"/>
          <w:numId w:val="4"/>
        </w:numPr>
        <w:spacing w:line="480" w:lineRule="auto"/>
        <w:ind w:left="426"/>
        <w:jc w:val="both"/>
        <w:rPr>
          <w:rFonts w:ascii="Times New Roman" w:hAnsi="Times New Roman"/>
          <w:color w:val="101010"/>
          <w:sz w:val="22"/>
          <w:szCs w:val="22"/>
        </w:rPr>
      </w:pPr>
      <w:r w:rsidRPr="00245597">
        <w:rPr>
          <w:rFonts w:ascii="Times New Roman" w:hAnsi="Times New Roman"/>
          <w:color w:val="222222"/>
          <w:sz w:val="22"/>
          <w:szCs w:val="22"/>
          <w:shd w:val="clear" w:color="auto" w:fill="FFFFFF"/>
        </w:rPr>
        <w:t xml:space="preserve">Cox S, Kośmider L, McRobbie H, Goniewicz M, Kimber C, Doig M, Dawkins L. E-cigarette puffing patterns associated with high and low nicotine e-liquid strength: effects on toxicant and carcinogen exposure. </w:t>
      </w:r>
      <w:r w:rsidRPr="00245597">
        <w:rPr>
          <w:rFonts w:ascii="Times New Roman" w:hAnsi="Times New Roman"/>
          <w:i/>
          <w:color w:val="222222"/>
          <w:sz w:val="22"/>
          <w:szCs w:val="22"/>
          <w:shd w:val="clear" w:color="auto" w:fill="FFFFFF"/>
        </w:rPr>
        <w:t>BMC Public Health</w:t>
      </w:r>
      <w:r w:rsidRPr="00245597">
        <w:rPr>
          <w:rFonts w:ascii="Times New Roman" w:hAnsi="Times New Roman"/>
          <w:color w:val="222222"/>
          <w:sz w:val="22"/>
          <w:szCs w:val="22"/>
          <w:shd w:val="clear" w:color="auto" w:fill="FFFFFF"/>
        </w:rPr>
        <w:t>. 2016 Sep 20;16:999.</w:t>
      </w:r>
    </w:p>
    <w:p w14:paraId="01EC7C78" w14:textId="77777777" w:rsidR="00D75F07" w:rsidRPr="00245597" w:rsidRDefault="00D75F07" w:rsidP="00D75F07">
      <w:pPr>
        <w:pStyle w:val="EndNoteBibliography"/>
        <w:numPr>
          <w:ilvl w:val="0"/>
          <w:numId w:val="4"/>
        </w:numPr>
        <w:spacing w:line="480" w:lineRule="auto"/>
        <w:ind w:left="426"/>
        <w:jc w:val="both"/>
        <w:rPr>
          <w:rFonts w:ascii="Times New Roman" w:hAnsi="Times New Roman"/>
          <w:color w:val="101010"/>
          <w:sz w:val="22"/>
          <w:szCs w:val="22"/>
        </w:rPr>
      </w:pPr>
      <w:r w:rsidRPr="00245597">
        <w:rPr>
          <w:rFonts w:ascii="Times New Roman" w:hAnsi="Times New Roman"/>
          <w:color w:val="101010"/>
          <w:sz w:val="22"/>
          <w:szCs w:val="22"/>
        </w:rPr>
        <w:t xml:space="preserve">Bernert JT, Jacob P, Holiday DB, Benowitz NL, Sosnoff CS, Doig MV, Feyerabend C, Aldous KM, Sharifi M, Kellogg MD, Langman LJ. Interlaboratory comparability of serum cotinine measurements at smoker and nonsmoker concentration levels: a round-robin study. </w:t>
      </w:r>
      <w:r w:rsidRPr="00245597">
        <w:rPr>
          <w:rFonts w:ascii="Times New Roman" w:hAnsi="Times New Roman"/>
          <w:i/>
          <w:color w:val="101010"/>
          <w:sz w:val="22"/>
          <w:szCs w:val="22"/>
        </w:rPr>
        <w:t>Nicotine Tob Res</w:t>
      </w:r>
      <w:r w:rsidRPr="00245597">
        <w:rPr>
          <w:rFonts w:ascii="Times New Roman" w:hAnsi="Times New Roman"/>
          <w:color w:val="101010"/>
          <w:sz w:val="22"/>
          <w:szCs w:val="22"/>
        </w:rPr>
        <w:t xml:space="preserve">. 2009 Nov 23;11(12):1458-66. </w:t>
      </w:r>
    </w:p>
    <w:p w14:paraId="41D36466" w14:textId="77777777" w:rsidR="00D75F07" w:rsidRPr="00245597" w:rsidRDefault="00D75F07" w:rsidP="00D75F07">
      <w:pPr>
        <w:pStyle w:val="EndNoteBibliography"/>
        <w:numPr>
          <w:ilvl w:val="0"/>
          <w:numId w:val="4"/>
        </w:numPr>
        <w:spacing w:line="480" w:lineRule="auto"/>
        <w:ind w:left="426"/>
        <w:jc w:val="both"/>
        <w:rPr>
          <w:rFonts w:ascii="Times New Roman" w:hAnsi="Times New Roman"/>
          <w:color w:val="101010"/>
          <w:sz w:val="22"/>
          <w:szCs w:val="22"/>
        </w:rPr>
      </w:pPr>
      <w:r w:rsidRPr="00245597">
        <w:rPr>
          <w:rFonts w:ascii="Times New Roman" w:hAnsi="Times New Roman"/>
          <w:color w:val="101010"/>
          <w:sz w:val="22"/>
          <w:szCs w:val="22"/>
        </w:rPr>
        <w:t>Hopner T, Knappe J. Formate determination with formate dehydrogenase.  In: Bergmeyer HU editor. Methods of Enzymatic Analysis 2</w:t>
      </w:r>
      <w:r w:rsidRPr="00245597">
        <w:rPr>
          <w:rFonts w:ascii="Times New Roman" w:hAnsi="Times New Roman"/>
          <w:color w:val="101010"/>
          <w:sz w:val="22"/>
          <w:szCs w:val="22"/>
          <w:vertAlign w:val="superscript"/>
        </w:rPr>
        <w:t>nd</w:t>
      </w:r>
      <w:r w:rsidRPr="00245597">
        <w:rPr>
          <w:rFonts w:ascii="Times New Roman" w:hAnsi="Times New Roman"/>
          <w:color w:val="101010"/>
          <w:sz w:val="22"/>
          <w:szCs w:val="22"/>
        </w:rPr>
        <w:t xml:space="preserve"> ed. Vol. 3; 1551-1555. Verlag Chemie; New York Academic Press</w:t>
      </w:r>
      <w:r w:rsidRPr="00245597">
        <w:rPr>
          <w:rFonts w:ascii="Times New Roman" w:hAnsi="Times New Roman"/>
          <w:i/>
          <w:color w:val="101010"/>
          <w:sz w:val="22"/>
          <w:szCs w:val="22"/>
        </w:rPr>
        <w:t>,</w:t>
      </w:r>
      <w:r w:rsidRPr="00245597">
        <w:rPr>
          <w:rFonts w:ascii="Times New Roman" w:hAnsi="Times New Roman"/>
          <w:color w:val="101010"/>
          <w:sz w:val="22"/>
          <w:szCs w:val="22"/>
        </w:rPr>
        <w:t xml:space="preserve"> 1974.</w:t>
      </w:r>
    </w:p>
    <w:p w14:paraId="2AA3DA73" w14:textId="4A37E0C6" w:rsidR="005C77DB" w:rsidRPr="00245597" w:rsidRDefault="005C77DB" w:rsidP="00245597">
      <w:pPr>
        <w:pStyle w:val="EndNoteBibliography"/>
        <w:numPr>
          <w:ilvl w:val="0"/>
          <w:numId w:val="4"/>
        </w:numPr>
        <w:spacing w:line="480" w:lineRule="auto"/>
        <w:ind w:left="426"/>
        <w:jc w:val="both"/>
        <w:rPr>
          <w:color w:val="101010"/>
          <w:sz w:val="22"/>
          <w:szCs w:val="22"/>
        </w:rPr>
      </w:pPr>
      <w:r w:rsidRPr="00245597">
        <w:rPr>
          <w:rFonts w:ascii="Times New Roman" w:hAnsi="Times New Roman"/>
          <w:color w:val="101010"/>
          <w:sz w:val="22"/>
          <w:szCs w:val="22"/>
        </w:rPr>
        <w:t>Foulds, J., Veldheer, S., Yingst, J., Hrabovsky, S., Wilson, S. J., Ni</w:t>
      </w:r>
      <w:r w:rsidR="00057F51" w:rsidRPr="00245597">
        <w:rPr>
          <w:rFonts w:ascii="Times New Roman" w:hAnsi="Times New Roman"/>
          <w:color w:val="101010"/>
          <w:sz w:val="22"/>
          <w:szCs w:val="22"/>
        </w:rPr>
        <w:t xml:space="preserve">chols, T. T., &amp; Eissenberg, T. </w:t>
      </w:r>
      <w:r w:rsidRPr="00245597">
        <w:rPr>
          <w:rFonts w:ascii="Times New Roman" w:hAnsi="Times New Roman"/>
          <w:color w:val="101010"/>
          <w:sz w:val="22"/>
          <w:szCs w:val="22"/>
        </w:rPr>
        <w:t xml:space="preserve">Development of a questionnaire for assessing dependence on electronic cigarettes among a large sample of ex-smoking e-cigarette users. </w:t>
      </w:r>
      <w:r w:rsidRPr="00245597">
        <w:rPr>
          <w:rFonts w:ascii="Times New Roman" w:hAnsi="Times New Roman"/>
          <w:i/>
          <w:color w:val="101010"/>
          <w:sz w:val="22"/>
          <w:szCs w:val="22"/>
        </w:rPr>
        <w:t>Nicotine and Tobacco Research</w:t>
      </w:r>
      <w:r w:rsidR="00057F51" w:rsidRPr="00245597">
        <w:rPr>
          <w:rFonts w:ascii="Times New Roman" w:hAnsi="Times New Roman"/>
          <w:color w:val="101010"/>
          <w:sz w:val="22"/>
          <w:szCs w:val="22"/>
        </w:rPr>
        <w:t>.</w:t>
      </w:r>
      <w:r w:rsidRPr="00245597">
        <w:rPr>
          <w:rFonts w:ascii="Times New Roman" w:hAnsi="Times New Roman"/>
          <w:color w:val="101010"/>
          <w:sz w:val="22"/>
          <w:szCs w:val="22"/>
        </w:rPr>
        <w:t xml:space="preserve"> </w:t>
      </w:r>
      <w:r w:rsidR="00057F51" w:rsidRPr="003D3772">
        <w:rPr>
          <w:rFonts w:ascii="Times New Roman" w:hAnsi="Times New Roman"/>
          <w:color w:val="101010"/>
          <w:sz w:val="22"/>
          <w:szCs w:val="22"/>
        </w:rPr>
        <w:t>2015</w:t>
      </w:r>
      <w:r w:rsidR="00057F51">
        <w:rPr>
          <w:rFonts w:ascii="Times New Roman" w:hAnsi="Times New Roman"/>
          <w:color w:val="101010"/>
          <w:sz w:val="22"/>
          <w:szCs w:val="22"/>
        </w:rPr>
        <w:t xml:space="preserve"> Feb </w:t>
      </w:r>
      <w:r w:rsidRPr="00245597">
        <w:rPr>
          <w:rFonts w:ascii="Times New Roman" w:hAnsi="Times New Roman"/>
          <w:color w:val="101010"/>
          <w:sz w:val="22"/>
          <w:szCs w:val="22"/>
        </w:rPr>
        <w:t>17(2), 186–192. https://doi.org/10.1093/ntr/ntu204</w:t>
      </w:r>
    </w:p>
    <w:p w14:paraId="5FFD54EA" w14:textId="2544F46A" w:rsidR="005C77DB" w:rsidRPr="00245597" w:rsidRDefault="005C77DB" w:rsidP="00D75F07">
      <w:pPr>
        <w:pStyle w:val="EndNoteBibliography"/>
        <w:numPr>
          <w:ilvl w:val="0"/>
          <w:numId w:val="4"/>
        </w:numPr>
        <w:spacing w:line="480" w:lineRule="auto"/>
        <w:ind w:left="426"/>
        <w:jc w:val="both"/>
        <w:rPr>
          <w:rFonts w:ascii="Times New Roman" w:hAnsi="Times New Roman"/>
          <w:color w:val="101010"/>
          <w:sz w:val="22"/>
          <w:szCs w:val="22"/>
        </w:rPr>
      </w:pPr>
      <w:r w:rsidRPr="00245597">
        <w:rPr>
          <w:rFonts w:ascii="Times New Roman" w:hAnsi="Times New Roman"/>
          <w:color w:val="222222"/>
          <w:sz w:val="22"/>
          <w:szCs w:val="22"/>
          <w:shd w:val="clear" w:color="auto" w:fill="FFFFFF"/>
        </w:rPr>
        <w:t xml:space="preserve">West R, Hajek P. Evaluation of the mood and physical symptoms scale (MPSS) to assess cigarette withdrawal. </w:t>
      </w:r>
      <w:r w:rsidRPr="00245597">
        <w:rPr>
          <w:rFonts w:ascii="Times New Roman" w:hAnsi="Times New Roman"/>
          <w:i/>
          <w:color w:val="222222"/>
          <w:sz w:val="22"/>
          <w:szCs w:val="22"/>
          <w:shd w:val="clear" w:color="auto" w:fill="FFFFFF"/>
        </w:rPr>
        <w:t>Psychopharmacology</w:t>
      </w:r>
      <w:r w:rsidRPr="00245597">
        <w:rPr>
          <w:rFonts w:ascii="Times New Roman" w:hAnsi="Times New Roman"/>
          <w:color w:val="222222"/>
          <w:sz w:val="22"/>
          <w:szCs w:val="22"/>
          <w:shd w:val="clear" w:color="auto" w:fill="FFFFFF"/>
        </w:rPr>
        <w:t>. 2004 Dec 1;177(1-2):195-9</w:t>
      </w:r>
    </w:p>
    <w:p w14:paraId="6FD742F2" w14:textId="77777777" w:rsidR="005C77DB" w:rsidRPr="00245597" w:rsidRDefault="005C77DB" w:rsidP="005C77DB">
      <w:pPr>
        <w:pStyle w:val="EndNoteBibliography"/>
        <w:numPr>
          <w:ilvl w:val="0"/>
          <w:numId w:val="4"/>
        </w:numPr>
        <w:spacing w:line="480" w:lineRule="auto"/>
        <w:ind w:left="426"/>
        <w:jc w:val="both"/>
        <w:rPr>
          <w:rFonts w:ascii="Times New Roman" w:hAnsi="Times New Roman"/>
          <w:noProof w:val="0"/>
          <w:sz w:val="22"/>
          <w:szCs w:val="22"/>
        </w:rPr>
      </w:pPr>
      <w:r w:rsidRPr="00245597">
        <w:rPr>
          <w:rFonts w:ascii="Times New Roman" w:hAnsi="Times New Roman"/>
          <w:color w:val="222222"/>
          <w:sz w:val="22"/>
          <w:szCs w:val="22"/>
          <w:shd w:val="clear" w:color="auto" w:fill="FFFFFF"/>
        </w:rPr>
        <w:t xml:space="preserve">Russell MA, Wilson C, Patel UA, Feyerabend C, Cole PV. Plasma nicotine levels after smoking cigarettes with high, medium, and low nicotine yields. </w:t>
      </w:r>
      <w:r w:rsidRPr="00245597">
        <w:rPr>
          <w:rFonts w:ascii="Times New Roman" w:hAnsi="Times New Roman"/>
          <w:i/>
          <w:color w:val="222222"/>
          <w:sz w:val="22"/>
          <w:szCs w:val="22"/>
          <w:shd w:val="clear" w:color="auto" w:fill="FFFFFF"/>
        </w:rPr>
        <w:t>BMJ</w:t>
      </w:r>
      <w:r w:rsidRPr="00245597">
        <w:rPr>
          <w:rFonts w:ascii="Times New Roman" w:hAnsi="Times New Roman"/>
          <w:color w:val="222222"/>
          <w:sz w:val="22"/>
          <w:szCs w:val="22"/>
          <w:shd w:val="clear" w:color="auto" w:fill="FFFFFF"/>
        </w:rPr>
        <w:t>. 1975 May 24;2(5968):414-6.</w:t>
      </w:r>
    </w:p>
    <w:p w14:paraId="603107C9" w14:textId="77777777" w:rsidR="005C77DB" w:rsidRPr="00245597" w:rsidRDefault="005C77DB" w:rsidP="003470E5">
      <w:pPr>
        <w:pStyle w:val="EndNoteBibliography"/>
        <w:numPr>
          <w:ilvl w:val="0"/>
          <w:numId w:val="4"/>
        </w:numPr>
        <w:spacing w:line="480" w:lineRule="auto"/>
        <w:ind w:left="426"/>
        <w:jc w:val="both"/>
        <w:rPr>
          <w:rFonts w:ascii="Times New Roman" w:hAnsi="Times New Roman"/>
          <w:sz w:val="22"/>
          <w:szCs w:val="22"/>
        </w:rPr>
      </w:pPr>
      <w:r w:rsidRPr="00245597">
        <w:rPr>
          <w:rFonts w:ascii="Times New Roman" w:hAnsi="Times New Roman"/>
          <w:color w:val="222222"/>
          <w:sz w:val="22"/>
          <w:szCs w:val="22"/>
          <w:shd w:val="clear" w:color="auto" w:fill="FFFFFF"/>
        </w:rPr>
        <w:lastRenderedPageBreak/>
        <w:t xml:space="preserve">Food and Drug Administration. Harmful and potentially harmful constituents in tobacco products and tobacco smoke: Established list, 2012. Available from: </w:t>
      </w:r>
      <w:hyperlink r:id="rId9" w:history="1">
        <w:r w:rsidRPr="00245597">
          <w:rPr>
            <w:rFonts w:ascii="Times New Roman" w:hAnsi="Times New Roman"/>
            <w:color w:val="222222"/>
            <w:sz w:val="22"/>
            <w:szCs w:val="22"/>
          </w:rPr>
          <w:t>https://www.fda.gov/tobaccoproducts/guidancecomplianceregulatoryinformation/ucm297786.htm</w:t>
        </w:r>
      </w:hyperlink>
    </w:p>
    <w:p w14:paraId="1ED0E84F" w14:textId="096E4E9D" w:rsidR="005C77DB" w:rsidRPr="00245597" w:rsidRDefault="005C77DB" w:rsidP="003470E5">
      <w:pPr>
        <w:pStyle w:val="EndNoteBibliography"/>
        <w:numPr>
          <w:ilvl w:val="0"/>
          <w:numId w:val="4"/>
        </w:numPr>
        <w:spacing w:line="480" w:lineRule="auto"/>
        <w:ind w:left="426"/>
        <w:jc w:val="both"/>
        <w:rPr>
          <w:rFonts w:ascii="Times New Roman" w:hAnsi="Times New Roman"/>
          <w:sz w:val="22"/>
          <w:szCs w:val="22"/>
        </w:rPr>
      </w:pPr>
      <w:r w:rsidRPr="00245597">
        <w:rPr>
          <w:rFonts w:ascii="Times New Roman" w:hAnsi="Times New Roman"/>
          <w:sz w:val="22"/>
          <w:szCs w:val="22"/>
        </w:rPr>
        <w:t>Kośmider L,</w:t>
      </w:r>
      <w:r w:rsidRPr="00245597">
        <w:rPr>
          <w:rFonts w:ascii="Times New Roman" w:hAnsi="Times New Roman"/>
          <w:sz w:val="22"/>
          <w:szCs w:val="22"/>
          <w:vertAlign w:val="superscript"/>
        </w:rPr>
        <w:t xml:space="preserve"> </w:t>
      </w:r>
      <w:r w:rsidRPr="00245597">
        <w:rPr>
          <w:rFonts w:ascii="Times New Roman" w:hAnsi="Times New Roman"/>
          <w:sz w:val="22"/>
          <w:szCs w:val="22"/>
        </w:rPr>
        <w:t xml:space="preserve">Kimber CF, Kurek J, Corcoran O, Dawkins LE. Compensatory puffing with lower nicotine concentration e-liquid increases carbonyl exposure in e-cigarette aerosols.  </w:t>
      </w:r>
      <w:r w:rsidRPr="00245597">
        <w:rPr>
          <w:rFonts w:ascii="Times New Roman" w:hAnsi="Times New Roman"/>
          <w:i/>
          <w:sz w:val="22"/>
          <w:szCs w:val="22"/>
        </w:rPr>
        <w:t>Nicotine Tob Res</w:t>
      </w:r>
      <w:r w:rsidRPr="00245597">
        <w:rPr>
          <w:rFonts w:ascii="Times New Roman" w:hAnsi="Times New Roman"/>
          <w:sz w:val="22"/>
          <w:szCs w:val="22"/>
        </w:rPr>
        <w:t>. 2017 Jul 22.</w:t>
      </w:r>
      <w:r w:rsidR="004D5BFF">
        <w:rPr>
          <w:rFonts w:ascii="Times New Roman" w:hAnsi="Times New Roman"/>
          <w:sz w:val="22"/>
          <w:szCs w:val="22"/>
        </w:rPr>
        <w:t xml:space="preserve"> </w:t>
      </w:r>
      <w:r w:rsidR="004D5BFF" w:rsidRPr="004D5BFF">
        <w:rPr>
          <w:rFonts w:ascii="Times New Roman" w:hAnsi="Times New Roman"/>
          <w:sz w:val="22"/>
          <w:szCs w:val="22"/>
          <w:lang w:val="en"/>
        </w:rPr>
        <w:t xml:space="preserve">ntx162, </w:t>
      </w:r>
      <w:hyperlink r:id="rId10" w:history="1">
        <w:r w:rsidR="004D5BFF" w:rsidRPr="004D5BFF">
          <w:rPr>
            <w:rStyle w:val="Hyperlink"/>
            <w:rFonts w:ascii="Times New Roman" w:hAnsi="Times New Roman"/>
            <w:sz w:val="22"/>
            <w:szCs w:val="22"/>
            <w:lang w:val="en"/>
          </w:rPr>
          <w:t>https://doi.org/10.1093/ntr/ntx162</w:t>
        </w:r>
      </w:hyperlink>
    </w:p>
    <w:p w14:paraId="0C477FE8" w14:textId="77777777" w:rsidR="003470E5" w:rsidRPr="006A5347" w:rsidRDefault="003470E5" w:rsidP="003470E5">
      <w:pPr>
        <w:pStyle w:val="EndNoteBibliography"/>
        <w:spacing w:line="480" w:lineRule="auto"/>
        <w:ind w:left="426"/>
        <w:jc w:val="both"/>
        <w:rPr>
          <w:rFonts w:ascii="Times New Roman" w:hAnsi="Times New Roman"/>
          <w:noProof w:val="0"/>
          <w:szCs w:val="24"/>
        </w:rPr>
      </w:pPr>
    </w:p>
    <w:p w14:paraId="65B176DB" w14:textId="0B48CA0B" w:rsidR="00577D4C" w:rsidRDefault="00577D4C" w:rsidP="00D4371D">
      <w:pPr>
        <w:spacing w:line="480" w:lineRule="auto"/>
        <w:jc w:val="both"/>
        <w:rPr>
          <w:rFonts w:ascii="Times New Roman" w:hAnsi="Times New Roman" w:cs="Times New Roman"/>
          <w:b/>
          <w:u w:val="single"/>
        </w:rPr>
      </w:pPr>
    </w:p>
    <w:p w14:paraId="75CE8567" w14:textId="0FF4CBCF" w:rsidR="006326D9" w:rsidRPr="000C019E" w:rsidRDefault="00E6477B" w:rsidP="000C019E">
      <w:pPr>
        <w:spacing w:line="480" w:lineRule="auto"/>
        <w:jc w:val="both"/>
        <w:rPr>
          <w:rFonts w:ascii="Times New Roman" w:hAnsi="Times New Roman" w:cs="Times New Roman"/>
          <w:b/>
          <w:u w:val="single"/>
        </w:rPr>
      </w:pPr>
      <w:r>
        <w:rPr>
          <w:rFonts w:ascii="Times New Roman" w:hAnsi="Times New Roman" w:cs="Times New Roman"/>
          <w:b/>
          <w:u w:val="single"/>
        </w:rPr>
        <w:t xml:space="preserve">Tables </w:t>
      </w:r>
      <w:r w:rsidR="00577D4C">
        <w:rPr>
          <w:rFonts w:ascii="Times New Roman" w:hAnsi="Times New Roman" w:cs="Times New Roman"/>
          <w:b/>
          <w:u w:val="single"/>
        </w:rPr>
        <w:t xml:space="preserve">and Figures </w:t>
      </w:r>
      <w:r>
        <w:rPr>
          <w:rFonts w:ascii="Times New Roman" w:hAnsi="Times New Roman" w:cs="Times New Roman"/>
          <w:b/>
          <w:u w:val="single"/>
        </w:rPr>
        <w:t>with Legend</w:t>
      </w:r>
    </w:p>
    <w:p w14:paraId="28D0A327" w14:textId="3FAD11CC" w:rsidR="00AB7289" w:rsidRPr="00842993" w:rsidRDefault="003344A9" w:rsidP="00842993">
      <w:pPr>
        <w:keepNext/>
        <w:spacing w:line="480" w:lineRule="auto"/>
        <w:rPr>
          <w:rFonts w:ascii="Times New Roman" w:hAnsi="Times New Roman" w:cs="Times New Roman"/>
          <w:i/>
          <w:color w:val="000000"/>
          <w:sz w:val="22"/>
          <w:szCs w:val="22"/>
        </w:rPr>
      </w:pPr>
      <w:r w:rsidRPr="00842993">
        <w:rPr>
          <w:rFonts w:ascii="Times New Roman" w:hAnsi="Times New Roman" w:cs="Times New Roman"/>
          <w:b/>
          <w:color w:val="000000"/>
          <w:sz w:val="22"/>
          <w:szCs w:val="22"/>
        </w:rPr>
        <w:t>Table 1</w:t>
      </w:r>
      <w:r>
        <w:rPr>
          <w:rFonts w:ascii="Times New Roman" w:hAnsi="Times New Roman" w:cs="Times New Roman"/>
          <w:i/>
          <w:color w:val="000000"/>
          <w:sz w:val="22"/>
          <w:szCs w:val="22"/>
        </w:rPr>
        <w:t xml:space="preserve"> Participant</w:t>
      </w:r>
      <w:r w:rsidRPr="00842993">
        <w:rPr>
          <w:rFonts w:ascii="Times New Roman" w:hAnsi="Times New Roman" w:cs="Times New Roman"/>
          <w:i/>
          <w:color w:val="000000"/>
          <w:sz w:val="22"/>
          <w:szCs w:val="22"/>
        </w:rPr>
        <w:t xml:space="preserve"> </w:t>
      </w:r>
      <w:r w:rsidR="002F709B">
        <w:rPr>
          <w:rFonts w:ascii="Times New Roman" w:hAnsi="Times New Roman" w:cs="Times New Roman"/>
          <w:i/>
          <w:color w:val="000000"/>
          <w:sz w:val="22"/>
          <w:szCs w:val="22"/>
        </w:rPr>
        <w:t>D</w:t>
      </w:r>
      <w:r w:rsidRPr="00842993">
        <w:rPr>
          <w:rFonts w:ascii="Times New Roman" w:hAnsi="Times New Roman" w:cs="Times New Roman"/>
          <w:i/>
          <w:color w:val="000000"/>
          <w:sz w:val="22"/>
          <w:szCs w:val="22"/>
        </w:rPr>
        <w:t xml:space="preserve">emographics and Baseline </w:t>
      </w:r>
      <w:r w:rsidR="002F709B">
        <w:rPr>
          <w:rFonts w:ascii="Times New Roman" w:hAnsi="Times New Roman" w:cs="Times New Roman"/>
          <w:i/>
          <w:color w:val="000000"/>
          <w:sz w:val="22"/>
          <w:szCs w:val="22"/>
        </w:rPr>
        <w:t>C</w:t>
      </w:r>
      <w:r w:rsidRPr="00842993">
        <w:rPr>
          <w:rFonts w:ascii="Times New Roman" w:hAnsi="Times New Roman" w:cs="Times New Roman"/>
          <w:i/>
          <w:color w:val="000000"/>
          <w:sz w:val="22"/>
          <w:szCs w:val="22"/>
        </w:rPr>
        <w:t>haracteristics</w:t>
      </w:r>
    </w:p>
    <w:tbl>
      <w:tblPr>
        <w:tblpPr w:leftFromText="180" w:rightFromText="180" w:vertAnchor="text" w:tblpY="1"/>
        <w:tblOverlap w:val="never"/>
        <w:tblW w:w="951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219"/>
        <w:gridCol w:w="516"/>
        <w:gridCol w:w="1188"/>
        <w:gridCol w:w="939"/>
        <w:gridCol w:w="936"/>
        <w:gridCol w:w="825"/>
        <w:gridCol w:w="896"/>
      </w:tblGrid>
      <w:tr w:rsidR="00AB7289" w:rsidRPr="00842993" w14:paraId="0CA2D1CC" w14:textId="77777777" w:rsidTr="000C019E">
        <w:trPr>
          <w:trHeight w:val="294"/>
        </w:trPr>
        <w:tc>
          <w:tcPr>
            <w:tcW w:w="4219" w:type="dxa"/>
            <w:shd w:val="clear" w:color="auto" w:fill="auto"/>
            <w:noWrap/>
            <w:vAlign w:val="bottom"/>
          </w:tcPr>
          <w:p w14:paraId="670FD73F" w14:textId="77777777" w:rsidR="00AB7289" w:rsidRPr="00842993" w:rsidRDefault="00AB7289" w:rsidP="00BC0A82">
            <w:pPr>
              <w:keepNext/>
              <w:rPr>
                <w:rFonts w:ascii="Times New Roman" w:hAnsi="Times New Roman" w:cs="Times New Roman"/>
                <w:color w:val="000000"/>
                <w:sz w:val="22"/>
                <w:szCs w:val="22"/>
              </w:rPr>
            </w:pPr>
          </w:p>
        </w:tc>
        <w:tc>
          <w:tcPr>
            <w:tcW w:w="516" w:type="dxa"/>
            <w:shd w:val="clear" w:color="auto" w:fill="auto"/>
            <w:noWrap/>
            <w:vAlign w:val="bottom"/>
          </w:tcPr>
          <w:p w14:paraId="65C1820C" w14:textId="77777777" w:rsidR="00AB7289" w:rsidRPr="00842993" w:rsidRDefault="00AB7289" w:rsidP="00BC0A82">
            <w:pPr>
              <w:keepNext/>
              <w:jc w:val="center"/>
              <w:rPr>
                <w:rFonts w:ascii="Times New Roman" w:hAnsi="Times New Roman" w:cs="Times New Roman"/>
                <w:b/>
                <w:bCs/>
                <w:color w:val="000000"/>
                <w:sz w:val="22"/>
                <w:szCs w:val="22"/>
              </w:rPr>
            </w:pPr>
            <w:r w:rsidRPr="00842993">
              <w:rPr>
                <w:rFonts w:ascii="Times New Roman" w:hAnsi="Times New Roman" w:cs="Times New Roman"/>
                <w:b/>
                <w:bCs/>
                <w:color w:val="000000"/>
                <w:sz w:val="22"/>
                <w:szCs w:val="22"/>
              </w:rPr>
              <w:t>N</w:t>
            </w:r>
          </w:p>
        </w:tc>
        <w:tc>
          <w:tcPr>
            <w:tcW w:w="1188" w:type="dxa"/>
            <w:shd w:val="clear" w:color="auto" w:fill="auto"/>
            <w:noWrap/>
            <w:vAlign w:val="bottom"/>
          </w:tcPr>
          <w:p w14:paraId="4BA6F15B" w14:textId="77777777" w:rsidR="00AB7289" w:rsidRPr="00842993" w:rsidRDefault="00AB7289" w:rsidP="00BC0A82">
            <w:pPr>
              <w:keepNext/>
              <w:jc w:val="center"/>
              <w:rPr>
                <w:rFonts w:ascii="Times New Roman" w:hAnsi="Times New Roman" w:cs="Times New Roman"/>
                <w:b/>
                <w:bCs/>
                <w:color w:val="000000"/>
                <w:sz w:val="22"/>
                <w:szCs w:val="22"/>
              </w:rPr>
            </w:pPr>
            <w:r w:rsidRPr="00842993">
              <w:rPr>
                <w:rFonts w:ascii="Times New Roman" w:hAnsi="Times New Roman" w:cs="Times New Roman"/>
                <w:b/>
                <w:bCs/>
                <w:color w:val="000000"/>
                <w:sz w:val="22"/>
                <w:szCs w:val="22"/>
              </w:rPr>
              <w:t>Percent.</w:t>
            </w:r>
          </w:p>
        </w:tc>
        <w:tc>
          <w:tcPr>
            <w:tcW w:w="939" w:type="dxa"/>
            <w:shd w:val="clear" w:color="auto" w:fill="auto"/>
            <w:noWrap/>
            <w:vAlign w:val="bottom"/>
          </w:tcPr>
          <w:p w14:paraId="5E861895" w14:textId="77777777" w:rsidR="00AB7289" w:rsidRPr="00842993" w:rsidRDefault="00AB7289" w:rsidP="00BC0A82">
            <w:pPr>
              <w:keepNext/>
              <w:jc w:val="center"/>
              <w:rPr>
                <w:rFonts w:ascii="Times New Roman" w:hAnsi="Times New Roman" w:cs="Times New Roman"/>
                <w:b/>
                <w:bCs/>
                <w:color w:val="000000"/>
                <w:sz w:val="22"/>
                <w:szCs w:val="22"/>
              </w:rPr>
            </w:pPr>
            <w:r w:rsidRPr="00842993">
              <w:rPr>
                <w:rFonts w:ascii="Times New Roman" w:hAnsi="Times New Roman" w:cs="Times New Roman"/>
                <w:b/>
                <w:bCs/>
                <w:color w:val="000000"/>
                <w:sz w:val="22"/>
                <w:szCs w:val="22"/>
              </w:rPr>
              <w:t>Mean</w:t>
            </w:r>
          </w:p>
        </w:tc>
        <w:tc>
          <w:tcPr>
            <w:tcW w:w="936" w:type="dxa"/>
            <w:shd w:val="clear" w:color="auto" w:fill="auto"/>
            <w:noWrap/>
            <w:vAlign w:val="bottom"/>
          </w:tcPr>
          <w:p w14:paraId="5969F4E1" w14:textId="77777777" w:rsidR="00AB7289" w:rsidRPr="00842993" w:rsidRDefault="00AB7289" w:rsidP="00BC0A82">
            <w:pPr>
              <w:keepNext/>
              <w:jc w:val="center"/>
              <w:rPr>
                <w:rFonts w:ascii="Times New Roman" w:hAnsi="Times New Roman" w:cs="Times New Roman"/>
                <w:b/>
                <w:bCs/>
                <w:color w:val="000000"/>
                <w:sz w:val="22"/>
                <w:szCs w:val="22"/>
              </w:rPr>
            </w:pPr>
            <w:r w:rsidRPr="00842993">
              <w:rPr>
                <w:rFonts w:ascii="Times New Roman" w:hAnsi="Times New Roman" w:cs="Times New Roman"/>
                <w:b/>
                <w:bCs/>
                <w:color w:val="000000"/>
                <w:sz w:val="22"/>
                <w:szCs w:val="22"/>
              </w:rPr>
              <w:t>SD</w:t>
            </w:r>
          </w:p>
        </w:tc>
        <w:tc>
          <w:tcPr>
            <w:tcW w:w="825" w:type="dxa"/>
            <w:shd w:val="clear" w:color="auto" w:fill="auto"/>
            <w:noWrap/>
            <w:vAlign w:val="bottom"/>
          </w:tcPr>
          <w:p w14:paraId="50E43307" w14:textId="77777777" w:rsidR="00AB7289" w:rsidRPr="00842993" w:rsidRDefault="00AB7289" w:rsidP="00BC0A82">
            <w:pPr>
              <w:keepNext/>
              <w:jc w:val="center"/>
              <w:rPr>
                <w:rFonts w:ascii="Times New Roman" w:hAnsi="Times New Roman" w:cs="Times New Roman"/>
                <w:b/>
                <w:bCs/>
                <w:color w:val="000000"/>
                <w:sz w:val="22"/>
                <w:szCs w:val="22"/>
              </w:rPr>
            </w:pPr>
            <w:r w:rsidRPr="00842993">
              <w:rPr>
                <w:rFonts w:ascii="Times New Roman" w:hAnsi="Times New Roman" w:cs="Times New Roman"/>
                <w:b/>
                <w:bCs/>
                <w:color w:val="000000"/>
                <w:sz w:val="22"/>
                <w:szCs w:val="22"/>
              </w:rPr>
              <w:t>Min</w:t>
            </w:r>
          </w:p>
        </w:tc>
        <w:tc>
          <w:tcPr>
            <w:tcW w:w="896" w:type="dxa"/>
            <w:shd w:val="clear" w:color="auto" w:fill="auto"/>
            <w:vAlign w:val="bottom"/>
          </w:tcPr>
          <w:p w14:paraId="5D8684D5" w14:textId="77777777" w:rsidR="00AB7289" w:rsidRPr="00842993" w:rsidRDefault="00AB7289" w:rsidP="00BC0A82">
            <w:pPr>
              <w:keepNext/>
              <w:jc w:val="center"/>
              <w:rPr>
                <w:rFonts w:ascii="Times New Roman" w:hAnsi="Times New Roman" w:cs="Times New Roman"/>
                <w:b/>
                <w:bCs/>
                <w:color w:val="000000"/>
                <w:sz w:val="22"/>
                <w:szCs w:val="22"/>
              </w:rPr>
            </w:pPr>
            <w:r w:rsidRPr="00842993">
              <w:rPr>
                <w:rFonts w:ascii="Times New Roman" w:hAnsi="Times New Roman" w:cs="Times New Roman"/>
                <w:b/>
                <w:bCs/>
                <w:color w:val="000000"/>
                <w:sz w:val="22"/>
                <w:szCs w:val="22"/>
              </w:rPr>
              <w:t>Max</w:t>
            </w:r>
          </w:p>
        </w:tc>
      </w:tr>
      <w:tr w:rsidR="00AB7289" w:rsidRPr="00842993" w14:paraId="1029CE34" w14:textId="77777777" w:rsidTr="000C019E">
        <w:trPr>
          <w:trHeight w:val="80"/>
        </w:trPr>
        <w:tc>
          <w:tcPr>
            <w:tcW w:w="4219" w:type="dxa"/>
            <w:shd w:val="clear" w:color="auto" w:fill="auto"/>
            <w:noWrap/>
            <w:vAlign w:val="bottom"/>
            <w:hideMark/>
          </w:tcPr>
          <w:p w14:paraId="5D574098" w14:textId="77777777" w:rsidR="00AB7289" w:rsidRPr="00842993" w:rsidRDefault="00AB7289" w:rsidP="00BC0A82">
            <w:pPr>
              <w:keepNext/>
              <w:rPr>
                <w:rFonts w:ascii="Times New Roman" w:hAnsi="Times New Roman" w:cs="Times New Roman"/>
                <w:b/>
                <w:bCs/>
                <w:color w:val="000000"/>
                <w:sz w:val="22"/>
                <w:szCs w:val="22"/>
              </w:rPr>
            </w:pPr>
            <w:r w:rsidRPr="00842993">
              <w:rPr>
                <w:rFonts w:ascii="Times New Roman" w:hAnsi="Times New Roman" w:cs="Times New Roman"/>
                <w:b/>
                <w:bCs/>
                <w:color w:val="000000"/>
                <w:sz w:val="22"/>
                <w:szCs w:val="22"/>
              </w:rPr>
              <w:t>Gender</w:t>
            </w:r>
          </w:p>
        </w:tc>
        <w:tc>
          <w:tcPr>
            <w:tcW w:w="516" w:type="dxa"/>
            <w:shd w:val="clear" w:color="auto" w:fill="auto"/>
            <w:noWrap/>
            <w:vAlign w:val="bottom"/>
            <w:hideMark/>
          </w:tcPr>
          <w:p w14:paraId="7755FDFA" w14:textId="77777777" w:rsidR="00AB7289" w:rsidRPr="00842993" w:rsidRDefault="00AB7289" w:rsidP="00BC0A82">
            <w:pPr>
              <w:keepNext/>
              <w:jc w:val="center"/>
              <w:rPr>
                <w:rFonts w:ascii="Times New Roman" w:hAnsi="Times New Roman" w:cs="Times New Roman"/>
                <w:color w:val="000000"/>
                <w:sz w:val="22"/>
                <w:szCs w:val="22"/>
              </w:rPr>
            </w:pPr>
            <w:r w:rsidRPr="00842993">
              <w:rPr>
                <w:rFonts w:ascii="Times New Roman" w:hAnsi="Times New Roman" w:cs="Times New Roman"/>
                <w:color w:val="000000"/>
                <w:sz w:val="22"/>
                <w:szCs w:val="22"/>
              </w:rPr>
              <w:t> </w:t>
            </w:r>
          </w:p>
        </w:tc>
        <w:tc>
          <w:tcPr>
            <w:tcW w:w="1188" w:type="dxa"/>
            <w:shd w:val="clear" w:color="auto" w:fill="auto"/>
            <w:noWrap/>
            <w:vAlign w:val="bottom"/>
            <w:hideMark/>
          </w:tcPr>
          <w:p w14:paraId="38FD5C34" w14:textId="77777777" w:rsidR="00AB7289" w:rsidRPr="00842993" w:rsidRDefault="00AB7289" w:rsidP="00BC0A82">
            <w:pPr>
              <w:keepNext/>
              <w:jc w:val="center"/>
              <w:rPr>
                <w:rFonts w:ascii="Times New Roman" w:hAnsi="Times New Roman" w:cs="Times New Roman"/>
                <w:color w:val="000000"/>
                <w:sz w:val="22"/>
                <w:szCs w:val="22"/>
              </w:rPr>
            </w:pPr>
            <w:r w:rsidRPr="00842993">
              <w:rPr>
                <w:rFonts w:ascii="Times New Roman" w:hAnsi="Times New Roman" w:cs="Times New Roman"/>
                <w:color w:val="000000"/>
                <w:sz w:val="22"/>
                <w:szCs w:val="22"/>
              </w:rPr>
              <w:t> </w:t>
            </w:r>
          </w:p>
        </w:tc>
        <w:tc>
          <w:tcPr>
            <w:tcW w:w="939" w:type="dxa"/>
            <w:shd w:val="clear" w:color="auto" w:fill="auto"/>
            <w:noWrap/>
            <w:vAlign w:val="bottom"/>
            <w:hideMark/>
          </w:tcPr>
          <w:p w14:paraId="6AC6FE72" w14:textId="77777777" w:rsidR="00AB7289" w:rsidRPr="00842993" w:rsidRDefault="00AB7289" w:rsidP="00BC0A82">
            <w:pPr>
              <w:keepNext/>
              <w:jc w:val="center"/>
              <w:rPr>
                <w:rFonts w:ascii="Times New Roman" w:hAnsi="Times New Roman" w:cs="Times New Roman"/>
                <w:color w:val="000000"/>
                <w:sz w:val="22"/>
                <w:szCs w:val="22"/>
              </w:rPr>
            </w:pPr>
            <w:r w:rsidRPr="00842993">
              <w:rPr>
                <w:rFonts w:ascii="Times New Roman" w:hAnsi="Times New Roman" w:cs="Times New Roman"/>
                <w:color w:val="000000"/>
                <w:sz w:val="22"/>
                <w:szCs w:val="22"/>
              </w:rPr>
              <w:t> </w:t>
            </w:r>
          </w:p>
        </w:tc>
        <w:tc>
          <w:tcPr>
            <w:tcW w:w="936" w:type="dxa"/>
            <w:shd w:val="clear" w:color="auto" w:fill="auto"/>
            <w:noWrap/>
            <w:vAlign w:val="bottom"/>
            <w:hideMark/>
          </w:tcPr>
          <w:p w14:paraId="6F1C4729" w14:textId="77777777" w:rsidR="00AB7289" w:rsidRPr="00842993" w:rsidRDefault="00AB7289" w:rsidP="00BC0A82">
            <w:pPr>
              <w:keepNext/>
              <w:jc w:val="center"/>
              <w:rPr>
                <w:rFonts w:ascii="Times New Roman" w:hAnsi="Times New Roman" w:cs="Times New Roman"/>
                <w:color w:val="000000"/>
                <w:sz w:val="22"/>
                <w:szCs w:val="22"/>
              </w:rPr>
            </w:pPr>
            <w:r w:rsidRPr="00842993">
              <w:rPr>
                <w:rFonts w:ascii="Times New Roman" w:hAnsi="Times New Roman" w:cs="Times New Roman"/>
                <w:color w:val="000000"/>
                <w:sz w:val="22"/>
                <w:szCs w:val="22"/>
              </w:rPr>
              <w:t> </w:t>
            </w:r>
          </w:p>
        </w:tc>
        <w:tc>
          <w:tcPr>
            <w:tcW w:w="825" w:type="dxa"/>
            <w:shd w:val="clear" w:color="auto" w:fill="auto"/>
            <w:noWrap/>
            <w:vAlign w:val="bottom"/>
            <w:hideMark/>
          </w:tcPr>
          <w:p w14:paraId="2AE2D161" w14:textId="77777777" w:rsidR="00AB7289" w:rsidRPr="00842993" w:rsidRDefault="00AB7289" w:rsidP="00BC0A82">
            <w:pPr>
              <w:keepNext/>
              <w:jc w:val="center"/>
              <w:rPr>
                <w:rFonts w:ascii="Times New Roman" w:hAnsi="Times New Roman" w:cs="Times New Roman"/>
                <w:color w:val="000000"/>
                <w:sz w:val="22"/>
                <w:szCs w:val="22"/>
              </w:rPr>
            </w:pPr>
            <w:r w:rsidRPr="00842993">
              <w:rPr>
                <w:rFonts w:ascii="Times New Roman" w:hAnsi="Times New Roman" w:cs="Times New Roman"/>
                <w:color w:val="000000"/>
                <w:sz w:val="22"/>
                <w:szCs w:val="22"/>
              </w:rPr>
              <w:t> </w:t>
            </w:r>
          </w:p>
        </w:tc>
        <w:tc>
          <w:tcPr>
            <w:tcW w:w="896" w:type="dxa"/>
            <w:shd w:val="clear" w:color="auto" w:fill="auto"/>
            <w:vAlign w:val="bottom"/>
          </w:tcPr>
          <w:p w14:paraId="5A8735DA" w14:textId="77777777" w:rsidR="00AB7289" w:rsidRPr="00842993" w:rsidRDefault="00AB7289" w:rsidP="00BC0A82">
            <w:pPr>
              <w:keepNext/>
              <w:jc w:val="center"/>
              <w:rPr>
                <w:rFonts w:ascii="Times New Roman" w:hAnsi="Times New Roman" w:cs="Times New Roman"/>
                <w:color w:val="000000"/>
                <w:sz w:val="22"/>
                <w:szCs w:val="22"/>
              </w:rPr>
            </w:pPr>
            <w:r w:rsidRPr="00842993">
              <w:rPr>
                <w:rFonts w:ascii="Times New Roman" w:hAnsi="Times New Roman" w:cs="Times New Roman"/>
                <w:color w:val="000000"/>
                <w:sz w:val="22"/>
                <w:szCs w:val="22"/>
              </w:rPr>
              <w:t> </w:t>
            </w:r>
          </w:p>
        </w:tc>
      </w:tr>
      <w:tr w:rsidR="00AB7289" w:rsidRPr="00842993" w14:paraId="2716C00D" w14:textId="77777777" w:rsidTr="000C019E">
        <w:trPr>
          <w:trHeight w:val="294"/>
        </w:trPr>
        <w:tc>
          <w:tcPr>
            <w:tcW w:w="4219" w:type="dxa"/>
            <w:shd w:val="clear" w:color="auto" w:fill="auto"/>
            <w:noWrap/>
            <w:vAlign w:val="bottom"/>
            <w:hideMark/>
          </w:tcPr>
          <w:p w14:paraId="2ED86AD9" w14:textId="77777777" w:rsidR="00AB7289" w:rsidRPr="00842993" w:rsidRDefault="00AB7289" w:rsidP="00BC0A82">
            <w:pPr>
              <w:keepNext/>
              <w:rPr>
                <w:rFonts w:ascii="Times New Roman" w:hAnsi="Times New Roman" w:cs="Times New Roman"/>
                <w:color w:val="000000"/>
                <w:sz w:val="22"/>
                <w:szCs w:val="22"/>
              </w:rPr>
            </w:pPr>
            <w:r w:rsidRPr="00842993">
              <w:rPr>
                <w:rFonts w:ascii="Times New Roman" w:hAnsi="Times New Roman" w:cs="Times New Roman"/>
                <w:color w:val="000000"/>
                <w:sz w:val="22"/>
                <w:szCs w:val="22"/>
              </w:rPr>
              <w:t xml:space="preserve">  Male</w:t>
            </w:r>
          </w:p>
        </w:tc>
        <w:tc>
          <w:tcPr>
            <w:tcW w:w="516" w:type="dxa"/>
            <w:shd w:val="clear" w:color="auto" w:fill="auto"/>
            <w:noWrap/>
            <w:vAlign w:val="bottom"/>
          </w:tcPr>
          <w:p w14:paraId="3F87C506" w14:textId="40610397" w:rsidR="00AB7289" w:rsidRPr="00842993" w:rsidRDefault="00AB7289" w:rsidP="00BC0A82">
            <w:pPr>
              <w:keepNext/>
              <w:jc w:val="center"/>
              <w:rPr>
                <w:rFonts w:ascii="Times New Roman" w:hAnsi="Times New Roman" w:cs="Times New Roman"/>
                <w:color w:val="000000"/>
                <w:sz w:val="22"/>
                <w:szCs w:val="22"/>
              </w:rPr>
            </w:pPr>
            <w:r w:rsidRPr="00842993">
              <w:rPr>
                <w:rFonts w:ascii="Times New Roman" w:hAnsi="Times New Roman" w:cs="Times New Roman"/>
                <w:color w:val="000000"/>
                <w:sz w:val="22"/>
                <w:szCs w:val="22"/>
              </w:rPr>
              <w:t>12</w:t>
            </w:r>
          </w:p>
        </w:tc>
        <w:tc>
          <w:tcPr>
            <w:tcW w:w="1188" w:type="dxa"/>
            <w:shd w:val="clear" w:color="auto" w:fill="auto"/>
            <w:noWrap/>
            <w:vAlign w:val="bottom"/>
          </w:tcPr>
          <w:p w14:paraId="569E47E0" w14:textId="259B8384" w:rsidR="00AB7289" w:rsidRPr="00842993" w:rsidRDefault="00AB7289" w:rsidP="00BC0A82">
            <w:pPr>
              <w:keepNext/>
              <w:jc w:val="center"/>
              <w:rPr>
                <w:rFonts w:ascii="Times New Roman" w:hAnsi="Times New Roman" w:cs="Times New Roman"/>
                <w:color w:val="000000"/>
                <w:sz w:val="22"/>
                <w:szCs w:val="22"/>
              </w:rPr>
            </w:pPr>
            <w:r w:rsidRPr="00842993">
              <w:rPr>
                <w:rFonts w:ascii="Times New Roman" w:hAnsi="Times New Roman" w:cs="Times New Roman"/>
                <w:color w:val="000000"/>
                <w:sz w:val="22"/>
                <w:szCs w:val="22"/>
              </w:rPr>
              <w:t>60</w:t>
            </w:r>
          </w:p>
        </w:tc>
        <w:tc>
          <w:tcPr>
            <w:tcW w:w="939" w:type="dxa"/>
            <w:shd w:val="clear" w:color="auto" w:fill="auto"/>
            <w:noWrap/>
            <w:vAlign w:val="bottom"/>
          </w:tcPr>
          <w:p w14:paraId="11384E45" w14:textId="0C0D1594" w:rsidR="00AB7289" w:rsidRPr="00842993" w:rsidRDefault="00AB7289" w:rsidP="00BC0A82">
            <w:pPr>
              <w:keepNext/>
              <w:jc w:val="center"/>
              <w:rPr>
                <w:rFonts w:ascii="Times New Roman" w:hAnsi="Times New Roman" w:cs="Times New Roman"/>
                <w:color w:val="000000"/>
                <w:sz w:val="22"/>
                <w:szCs w:val="22"/>
              </w:rPr>
            </w:pPr>
          </w:p>
        </w:tc>
        <w:tc>
          <w:tcPr>
            <w:tcW w:w="936" w:type="dxa"/>
            <w:shd w:val="clear" w:color="auto" w:fill="auto"/>
            <w:noWrap/>
            <w:vAlign w:val="bottom"/>
          </w:tcPr>
          <w:p w14:paraId="381F6424" w14:textId="79C4C02A" w:rsidR="00AB7289" w:rsidRPr="00842993" w:rsidRDefault="00AB7289" w:rsidP="00BC0A82">
            <w:pPr>
              <w:keepNext/>
              <w:jc w:val="center"/>
              <w:rPr>
                <w:rFonts w:ascii="Times New Roman" w:hAnsi="Times New Roman" w:cs="Times New Roman"/>
                <w:color w:val="000000"/>
                <w:sz w:val="22"/>
                <w:szCs w:val="22"/>
              </w:rPr>
            </w:pPr>
          </w:p>
        </w:tc>
        <w:tc>
          <w:tcPr>
            <w:tcW w:w="825" w:type="dxa"/>
            <w:shd w:val="clear" w:color="auto" w:fill="auto"/>
            <w:noWrap/>
            <w:vAlign w:val="bottom"/>
          </w:tcPr>
          <w:p w14:paraId="27517FF6" w14:textId="17A3962B" w:rsidR="00AB7289" w:rsidRPr="00842993" w:rsidRDefault="00AB7289" w:rsidP="00BC0A82">
            <w:pPr>
              <w:keepNext/>
              <w:jc w:val="center"/>
              <w:rPr>
                <w:rFonts w:ascii="Times New Roman" w:hAnsi="Times New Roman" w:cs="Times New Roman"/>
                <w:color w:val="000000"/>
                <w:sz w:val="22"/>
                <w:szCs w:val="22"/>
              </w:rPr>
            </w:pPr>
          </w:p>
        </w:tc>
        <w:tc>
          <w:tcPr>
            <w:tcW w:w="896" w:type="dxa"/>
            <w:shd w:val="clear" w:color="auto" w:fill="auto"/>
            <w:vAlign w:val="bottom"/>
          </w:tcPr>
          <w:p w14:paraId="7CA6D3C2" w14:textId="0F35A264" w:rsidR="00AB7289" w:rsidRPr="00842993" w:rsidRDefault="00AB7289" w:rsidP="00BC0A82">
            <w:pPr>
              <w:keepNext/>
              <w:jc w:val="center"/>
              <w:rPr>
                <w:rFonts w:ascii="Times New Roman" w:hAnsi="Times New Roman" w:cs="Times New Roman"/>
                <w:color w:val="000000"/>
                <w:sz w:val="22"/>
                <w:szCs w:val="22"/>
              </w:rPr>
            </w:pPr>
          </w:p>
        </w:tc>
      </w:tr>
      <w:tr w:rsidR="00AB7289" w:rsidRPr="00842993" w14:paraId="6656A7BE" w14:textId="77777777" w:rsidTr="000C019E">
        <w:trPr>
          <w:trHeight w:val="294"/>
        </w:trPr>
        <w:tc>
          <w:tcPr>
            <w:tcW w:w="4219" w:type="dxa"/>
            <w:shd w:val="clear" w:color="auto" w:fill="auto"/>
            <w:noWrap/>
            <w:vAlign w:val="bottom"/>
            <w:hideMark/>
          </w:tcPr>
          <w:p w14:paraId="2ED26EE4" w14:textId="77777777" w:rsidR="00AB7289" w:rsidRPr="00842993" w:rsidRDefault="00AB7289" w:rsidP="00BC0A82">
            <w:pPr>
              <w:keepNext/>
              <w:rPr>
                <w:rFonts w:ascii="Times New Roman" w:hAnsi="Times New Roman" w:cs="Times New Roman"/>
                <w:color w:val="000000"/>
                <w:sz w:val="22"/>
                <w:szCs w:val="22"/>
              </w:rPr>
            </w:pPr>
            <w:r w:rsidRPr="00842993">
              <w:rPr>
                <w:rFonts w:ascii="Times New Roman" w:hAnsi="Times New Roman" w:cs="Times New Roman"/>
                <w:color w:val="000000"/>
                <w:sz w:val="22"/>
                <w:szCs w:val="22"/>
              </w:rPr>
              <w:t xml:space="preserve">  Female</w:t>
            </w:r>
          </w:p>
        </w:tc>
        <w:tc>
          <w:tcPr>
            <w:tcW w:w="516" w:type="dxa"/>
            <w:shd w:val="clear" w:color="auto" w:fill="auto"/>
            <w:noWrap/>
            <w:vAlign w:val="bottom"/>
          </w:tcPr>
          <w:p w14:paraId="59F4F532" w14:textId="64D39F84" w:rsidR="00AB7289" w:rsidRPr="00842993" w:rsidRDefault="00AB7289" w:rsidP="00BC0A82">
            <w:pPr>
              <w:keepNext/>
              <w:jc w:val="center"/>
              <w:rPr>
                <w:rFonts w:ascii="Times New Roman" w:hAnsi="Times New Roman" w:cs="Times New Roman"/>
                <w:color w:val="000000"/>
                <w:sz w:val="22"/>
                <w:szCs w:val="22"/>
              </w:rPr>
            </w:pPr>
            <w:r w:rsidRPr="00842993">
              <w:rPr>
                <w:rFonts w:ascii="Times New Roman" w:hAnsi="Times New Roman" w:cs="Times New Roman"/>
                <w:color w:val="000000"/>
                <w:sz w:val="22"/>
                <w:szCs w:val="22"/>
              </w:rPr>
              <w:t>8</w:t>
            </w:r>
          </w:p>
        </w:tc>
        <w:tc>
          <w:tcPr>
            <w:tcW w:w="1188" w:type="dxa"/>
            <w:shd w:val="clear" w:color="auto" w:fill="auto"/>
            <w:noWrap/>
            <w:vAlign w:val="bottom"/>
          </w:tcPr>
          <w:p w14:paraId="256F6D3C" w14:textId="5A111C65" w:rsidR="00AB7289" w:rsidRPr="00842993" w:rsidRDefault="00AB7289" w:rsidP="00BC0A82">
            <w:pPr>
              <w:keepNext/>
              <w:jc w:val="center"/>
              <w:rPr>
                <w:rFonts w:ascii="Times New Roman" w:hAnsi="Times New Roman" w:cs="Times New Roman"/>
                <w:color w:val="000000"/>
                <w:sz w:val="22"/>
                <w:szCs w:val="22"/>
              </w:rPr>
            </w:pPr>
            <w:r w:rsidRPr="00842993">
              <w:rPr>
                <w:rFonts w:ascii="Times New Roman" w:hAnsi="Times New Roman" w:cs="Times New Roman"/>
                <w:color w:val="000000"/>
                <w:sz w:val="22"/>
                <w:szCs w:val="22"/>
              </w:rPr>
              <w:t>40</w:t>
            </w:r>
          </w:p>
        </w:tc>
        <w:tc>
          <w:tcPr>
            <w:tcW w:w="939" w:type="dxa"/>
            <w:shd w:val="clear" w:color="auto" w:fill="auto"/>
            <w:noWrap/>
            <w:vAlign w:val="bottom"/>
          </w:tcPr>
          <w:p w14:paraId="3EBE6A1E" w14:textId="44F1A575" w:rsidR="00AB7289" w:rsidRPr="00842993" w:rsidRDefault="00AB7289" w:rsidP="00BC0A82">
            <w:pPr>
              <w:keepNext/>
              <w:jc w:val="center"/>
              <w:rPr>
                <w:rFonts w:ascii="Times New Roman" w:hAnsi="Times New Roman" w:cs="Times New Roman"/>
                <w:color w:val="000000"/>
                <w:sz w:val="22"/>
                <w:szCs w:val="22"/>
              </w:rPr>
            </w:pPr>
          </w:p>
        </w:tc>
        <w:tc>
          <w:tcPr>
            <w:tcW w:w="936" w:type="dxa"/>
            <w:shd w:val="clear" w:color="auto" w:fill="auto"/>
            <w:noWrap/>
            <w:vAlign w:val="bottom"/>
          </w:tcPr>
          <w:p w14:paraId="29F9DA24" w14:textId="07FE6191" w:rsidR="00AB7289" w:rsidRPr="00842993" w:rsidRDefault="00AB7289" w:rsidP="00BC0A82">
            <w:pPr>
              <w:keepNext/>
              <w:jc w:val="center"/>
              <w:rPr>
                <w:rFonts w:ascii="Times New Roman" w:hAnsi="Times New Roman" w:cs="Times New Roman"/>
                <w:color w:val="000000"/>
                <w:sz w:val="22"/>
                <w:szCs w:val="22"/>
              </w:rPr>
            </w:pPr>
          </w:p>
        </w:tc>
        <w:tc>
          <w:tcPr>
            <w:tcW w:w="825" w:type="dxa"/>
            <w:shd w:val="clear" w:color="auto" w:fill="auto"/>
            <w:noWrap/>
            <w:vAlign w:val="bottom"/>
          </w:tcPr>
          <w:p w14:paraId="7132575D" w14:textId="6F28B6EC" w:rsidR="00AB7289" w:rsidRPr="00842993" w:rsidRDefault="00AB7289" w:rsidP="00BC0A82">
            <w:pPr>
              <w:keepNext/>
              <w:jc w:val="center"/>
              <w:rPr>
                <w:rFonts w:ascii="Times New Roman" w:hAnsi="Times New Roman" w:cs="Times New Roman"/>
                <w:color w:val="000000"/>
                <w:sz w:val="22"/>
                <w:szCs w:val="22"/>
              </w:rPr>
            </w:pPr>
          </w:p>
        </w:tc>
        <w:tc>
          <w:tcPr>
            <w:tcW w:w="896" w:type="dxa"/>
            <w:shd w:val="clear" w:color="auto" w:fill="auto"/>
            <w:vAlign w:val="bottom"/>
          </w:tcPr>
          <w:p w14:paraId="334E8525" w14:textId="7AE2F046" w:rsidR="00AB7289" w:rsidRPr="00842993" w:rsidRDefault="00AB7289" w:rsidP="00BC0A82">
            <w:pPr>
              <w:keepNext/>
              <w:jc w:val="center"/>
              <w:rPr>
                <w:rFonts w:ascii="Times New Roman" w:hAnsi="Times New Roman" w:cs="Times New Roman"/>
                <w:color w:val="000000"/>
                <w:sz w:val="22"/>
                <w:szCs w:val="22"/>
              </w:rPr>
            </w:pPr>
          </w:p>
        </w:tc>
      </w:tr>
      <w:tr w:rsidR="00AB7289" w:rsidRPr="00842993" w14:paraId="150202EE" w14:textId="77777777" w:rsidTr="000C019E">
        <w:trPr>
          <w:trHeight w:val="294"/>
        </w:trPr>
        <w:tc>
          <w:tcPr>
            <w:tcW w:w="4219" w:type="dxa"/>
            <w:shd w:val="clear" w:color="auto" w:fill="auto"/>
            <w:noWrap/>
            <w:vAlign w:val="bottom"/>
            <w:hideMark/>
          </w:tcPr>
          <w:p w14:paraId="256E12EB" w14:textId="77777777" w:rsidR="00AB7289" w:rsidRPr="00842993" w:rsidRDefault="00AB7289" w:rsidP="00BC0A82">
            <w:pPr>
              <w:keepNext/>
              <w:rPr>
                <w:rFonts w:ascii="Times New Roman" w:hAnsi="Times New Roman" w:cs="Times New Roman"/>
                <w:color w:val="000000"/>
                <w:sz w:val="22"/>
                <w:szCs w:val="22"/>
              </w:rPr>
            </w:pPr>
            <w:r w:rsidRPr="00842993">
              <w:rPr>
                <w:rFonts w:ascii="Times New Roman" w:hAnsi="Times New Roman" w:cs="Times New Roman"/>
                <w:color w:val="000000"/>
                <w:sz w:val="22"/>
                <w:szCs w:val="22"/>
              </w:rPr>
              <w:t> </w:t>
            </w:r>
          </w:p>
        </w:tc>
        <w:tc>
          <w:tcPr>
            <w:tcW w:w="516" w:type="dxa"/>
            <w:shd w:val="clear" w:color="auto" w:fill="auto"/>
            <w:noWrap/>
            <w:vAlign w:val="bottom"/>
          </w:tcPr>
          <w:p w14:paraId="0AD8949F" w14:textId="306B1751" w:rsidR="00AB7289" w:rsidRPr="00842993" w:rsidRDefault="00AB7289" w:rsidP="00BC0A82">
            <w:pPr>
              <w:keepNext/>
              <w:jc w:val="center"/>
              <w:rPr>
                <w:rFonts w:ascii="Times New Roman" w:hAnsi="Times New Roman" w:cs="Times New Roman"/>
                <w:color w:val="000000"/>
                <w:sz w:val="22"/>
                <w:szCs w:val="22"/>
              </w:rPr>
            </w:pPr>
          </w:p>
        </w:tc>
        <w:tc>
          <w:tcPr>
            <w:tcW w:w="1188" w:type="dxa"/>
            <w:shd w:val="clear" w:color="auto" w:fill="auto"/>
            <w:noWrap/>
            <w:vAlign w:val="bottom"/>
          </w:tcPr>
          <w:p w14:paraId="31CA43AC" w14:textId="1F6CEA74" w:rsidR="00AB7289" w:rsidRPr="00842993" w:rsidRDefault="00AB7289" w:rsidP="00BC0A82">
            <w:pPr>
              <w:keepNext/>
              <w:jc w:val="center"/>
              <w:rPr>
                <w:rFonts w:ascii="Times New Roman" w:hAnsi="Times New Roman" w:cs="Times New Roman"/>
                <w:color w:val="000000"/>
                <w:sz w:val="22"/>
                <w:szCs w:val="22"/>
              </w:rPr>
            </w:pPr>
          </w:p>
        </w:tc>
        <w:tc>
          <w:tcPr>
            <w:tcW w:w="939" w:type="dxa"/>
            <w:shd w:val="clear" w:color="auto" w:fill="auto"/>
            <w:noWrap/>
            <w:vAlign w:val="bottom"/>
          </w:tcPr>
          <w:p w14:paraId="3792E1E5" w14:textId="37966351" w:rsidR="00AB7289" w:rsidRPr="00842993" w:rsidRDefault="00AB7289" w:rsidP="00BC0A82">
            <w:pPr>
              <w:keepNext/>
              <w:jc w:val="center"/>
              <w:rPr>
                <w:rFonts w:ascii="Times New Roman" w:hAnsi="Times New Roman" w:cs="Times New Roman"/>
                <w:color w:val="000000"/>
                <w:sz w:val="22"/>
                <w:szCs w:val="22"/>
              </w:rPr>
            </w:pPr>
          </w:p>
        </w:tc>
        <w:tc>
          <w:tcPr>
            <w:tcW w:w="936" w:type="dxa"/>
            <w:shd w:val="clear" w:color="auto" w:fill="auto"/>
            <w:noWrap/>
            <w:vAlign w:val="bottom"/>
          </w:tcPr>
          <w:p w14:paraId="18F0E1D0" w14:textId="67EE2F38" w:rsidR="00AB7289" w:rsidRPr="00842993" w:rsidRDefault="00AB7289" w:rsidP="00BC0A82">
            <w:pPr>
              <w:keepNext/>
              <w:jc w:val="center"/>
              <w:rPr>
                <w:rFonts w:ascii="Times New Roman" w:hAnsi="Times New Roman" w:cs="Times New Roman"/>
                <w:color w:val="000000"/>
                <w:sz w:val="22"/>
                <w:szCs w:val="22"/>
              </w:rPr>
            </w:pPr>
          </w:p>
        </w:tc>
        <w:tc>
          <w:tcPr>
            <w:tcW w:w="825" w:type="dxa"/>
            <w:shd w:val="clear" w:color="auto" w:fill="auto"/>
            <w:noWrap/>
            <w:vAlign w:val="bottom"/>
          </w:tcPr>
          <w:p w14:paraId="6C13B74F" w14:textId="4E1DCA7E" w:rsidR="00AB7289" w:rsidRPr="00842993" w:rsidRDefault="00AB7289" w:rsidP="00BC0A82">
            <w:pPr>
              <w:keepNext/>
              <w:jc w:val="center"/>
              <w:rPr>
                <w:rFonts w:ascii="Times New Roman" w:hAnsi="Times New Roman" w:cs="Times New Roman"/>
                <w:color w:val="000000"/>
                <w:sz w:val="22"/>
                <w:szCs w:val="22"/>
              </w:rPr>
            </w:pPr>
          </w:p>
        </w:tc>
        <w:tc>
          <w:tcPr>
            <w:tcW w:w="896" w:type="dxa"/>
            <w:shd w:val="clear" w:color="auto" w:fill="auto"/>
            <w:vAlign w:val="bottom"/>
          </w:tcPr>
          <w:p w14:paraId="4B6C4E3B" w14:textId="67193BF3" w:rsidR="00AB7289" w:rsidRPr="00842993" w:rsidRDefault="00AB7289" w:rsidP="00BC0A82">
            <w:pPr>
              <w:keepNext/>
              <w:jc w:val="center"/>
              <w:rPr>
                <w:rFonts w:ascii="Times New Roman" w:hAnsi="Times New Roman" w:cs="Times New Roman"/>
                <w:color w:val="000000"/>
                <w:sz w:val="22"/>
                <w:szCs w:val="22"/>
              </w:rPr>
            </w:pPr>
          </w:p>
        </w:tc>
      </w:tr>
      <w:tr w:rsidR="00AB7289" w:rsidRPr="00842993" w14:paraId="56BE572C" w14:textId="77777777" w:rsidTr="000C019E">
        <w:trPr>
          <w:trHeight w:val="294"/>
        </w:trPr>
        <w:tc>
          <w:tcPr>
            <w:tcW w:w="4219" w:type="dxa"/>
            <w:shd w:val="clear" w:color="auto" w:fill="auto"/>
            <w:noWrap/>
            <w:vAlign w:val="bottom"/>
            <w:hideMark/>
          </w:tcPr>
          <w:p w14:paraId="0937219B" w14:textId="77777777" w:rsidR="00AB7289" w:rsidRPr="00842993" w:rsidRDefault="00AB7289" w:rsidP="00BC0A82">
            <w:pPr>
              <w:keepNext/>
              <w:rPr>
                <w:rFonts w:ascii="Times New Roman" w:hAnsi="Times New Roman" w:cs="Times New Roman"/>
                <w:b/>
                <w:bCs/>
                <w:color w:val="000000"/>
                <w:sz w:val="22"/>
                <w:szCs w:val="22"/>
              </w:rPr>
            </w:pPr>
            <w:r w:rsidRPr="00842993">
              <w:rPr>
                <w:rFonts w:ascii="Times New Roman" w:hAnsi="Times New Roman" w:cs="Times New Roman"/>
                <w:b/>
                <w:bCs/>
                <w:color w:val="000000"/>
                <w:sz w:val="22"/>
                <w:szCs w:val="22"/>
              </w:rPr>
              <w:t>Age (years)</w:t>
            </w:r>
          </w:p>
        </w:tc>
        <w:tc>
          <w:tcPr>
            <w:tcW w:w="516" w:type="dxa"/>
            <w:shd w:val="clear" w:color="auto" w:fill="auto"/>
            <w:noWrap/>
            <w:vAlign w:val="bottom"/>
          </w:tcPr>
          <w:p w14:paraId="2310F32E" w14:textId="03650989" w:rsidR="00AB7289" w:rsidRPr="00842993" w:rsidRDefault="00FD5A96" w:rsidP="00BC0A82">
            <w:pPr>
              <w:keepNext/>
              <w:jc w:val="center"/>
              <w:rPr>
                <w:rFonts w:ascii="Times New Roman" w:hAnsi="Times New Roman" w:cs="Times New Roman"/>
                <w:color w:val="000000"/>
                <w:sz w:val="22"/>
                <w:szCs w:val="22"/>
              </w:rPr>
            </w:pPr>
            <w:r w:rsidRPr="00842993">
              <w:rPr>
                <w:rFonts w:ascii="Times New Roman" w:hAnsi="Times New Roman" w:cs="Times New Roman"/>
                <w:color w:val="000000"/>
                <w:sz w:val="22"/>
                <w:szCs w:val="22"/>
              </w:rPr>
              <w:t>20</w:t>
            </w:r>
          </w:p>
        </w:tc>
        <w:tc>
          <w:tcPr>
            <w:tcW w:w="1188" w:type="dxa"/>
            <w:shd w:val="clear" w:color="auto" w:fill="auto"/>
            <w:noWrap/>
            <w:vAlign w:val="bottom"/>
          </w:tcPr>
          <w:p w14:paraId="5C4DE435" w14:textId="5FA3CEA7" w:rsidR="00AB7289" w:rsidRPr="00842993" w:rsidRDefault="00AB7289" w:rsidP="00BC0A82">
            <w:pPr>
              <w:keepNext/>
              <w:jc w:val="center"/>
              <w:rPr>
                <w:rFonts w:ascii="Times New Roman" w:hAnsi="Times New Roman" w:cs="Times New Roman"/>
                <w:color w:val="000000"/>
                <w:sz w:val="22"/>
                <w:szCs w:val="22"/>
              </w:rPr>
            </w:pPr>
          </w:p>
        </w:tc>
        <w:tc>
          <w:tcPr>
            <w:tcW w:w="939" w:type="dxa"/>
            <w:shd w:val="clear" w:color="auto" w:fill="auto"/>
            <w:noWrap/>
            <w:vAlign w:val="bottom"/>
          </w:tcPr>
          <w:p w14:paraId="33389D72" w14:textId="562B7933" w:rsidR="00AB7289" w:rsidRPr="00842993" w:rsidRDefault="00FD5A96" w:rsidP="00BC0A82">
            <w:pPr>
              <w:keepNext/>
              <w:jc w:val="center"/>
              <w:rPr>
                <w:rFonts w:ascii="Times New Roman" w:hAnsi="Times New Roman" w:cs="Times New Roman"/>
                <w:color w:val="000000"/>
                <w:sz w:val="22"/>
                <w:szCs w:val="22"/>
              </w:rPr>
            </w:pPr>
            <w:r w:rsidRPr="00842993">
              <w:rPr>
                <w:rFonts w:ascii="Times New Roman" w:hAnsi="Times New Roman" w:cs="Times New Roman"/>
                <w:color w:val="000000"/>
                <w:sz w:val="22"/>
                <w:szCs w:val="22"/>
              </w:rPr>
              <w:t>37.90</w:t>
            </w:r>
          </w:p>
        </w:tc>
        <w:tc>
          <w:tcPr>
            <w:tcW w:w="936" w:type="dxa"/>
            <w:shd w:val="clear" w:color="auto" w:fill="auto"/>
            <w:noWrap/>
            <w:vAlign w:val="bottom"/>
          </w:tcPr>
          <w:p w14:paraId="1DFCF03D" w14:textId="5CD58EB7" w:rsidR="00AB7289" w:rsidRPr="00842993" w:rsidRDefault="00FD5A96" w:rsidP="00BC0A82">
            <w:pPr>
              <w:keepNext/>
              <w:jc w:val="center"/>
              <w:rPr>
                <w:rFonts w:ascii="Times New Roman" w:hAnsi="Times New Roman" w:cs="Times New Roman"/>
                <w:color w:val="000000"/>
                <w:sz w:val="22"/>
                <w:szCs w:val="22"/>
              </w:rPr>
            </w:pPr>
            <w:r w:rsidRPr="00842993">
              <w:rPr>
                <w:rFonts w:ascii="Times New Roman" w:hAnsi="Times New Roman" w:cs="Times New Roman"/>
                <w:color w:val="000000"/>
                <w:sz w:val="22"/>
                <w:szCs w:val="22"/>
              </w:rPr>
              <w:t>10.66</w:t>
            </w:r>
          </w:p>
        </w:tc>
        <w:tc>
          <w:tcPr>
            <w:tcW w:w="825" w:type="dxa"/>
            <w:shd w:val="clear" w:color="auto" w:fill="auto"/>
            <w:noWrap/>
            <w:vAlign w:val="bottom"/>
          </w:tcPr>
          <w:p w14:paraId="0B991520" w14:textId="07D0DF9F" w:rsidR="00AB7289" w:rsidRPr="00842993" w:rsidRDefault="00FD5A96" w:rsidP="00BC0A82">
            <w:pPr>
              <w:keepNext/>
              <w:jc w:val="center"/>
              <w:rPr>
                <w:rFonts w:ascii="Times New Roman" w:hAnsi="Times New Roman" w:cs="Times New Roman"/>
                <w:color w:val="000000"/>
                <w:sz w:val="22"/>
                <w:szCs w:val="22"/>
              </w:rPr>
            </w:pPr>
            <w:r w:rsidRPr="00842993">
              <w:rPr>
                <w:rFonts w:ascii="Times New Roman" w:hAnsi="Times New Roman" w:cs="Times New Roman"/>
                <w:color w:val="000000"/>
                <w:sz w:val="22"/>
                <w:szCs w:val="22"/>
              </w:rPr>
              <w:t>23</w:t>
            </w:r>
          </w:p>
        </w:tc>
        <w:tc>
          <w:tcPr>
            <w:tcW w:w="896" w:type="dxa"/>
            <w:shd w:val="clear" w:color="auto" w:fill="auto"/>
            <w:vAlign w:val="bottom"/>
          </w:tcPr>
          <w:p w14:paraId="0ACC329D" w14:textId="731F81C5" w:rsidR="00AB7289" w:rsidRPr="00842993" w:rsidRDefault="00FD5A96" w:rsidP="00BC0A82">
            <w:pPr>
              <w:keepNext/>
              <w:jc w:val="center"/>
              <w:rPr>
                <w:rFonts w:ascii="Times New Roman" w:hAnsi="Times New Roman" w:cs="Times New Roman"/>
                <w:color w:val="000000"/>
                <w:sz w:val="22"/>
                <w:szCs w:val="22"/>
              </w:rPr>
            </w:pPr>
            <w:r w:rsidRPr="00842993">
              <w:rPr>
                <w:rFonts w:ascii="Times New Roman" w:hAnsi="Times New Roman" w:cs="Times New Roman"/>
                <w:color w:val="000000"/>
                <w:sz w:val="22"/>
                <w:szCs w:val="22"/>
              </w:rPr>
              <w:t>62</w:t>
            </w:r>
          </w:p>
        </w:tc>
      </w:tr>
      <w:tr w:rsidR="00AB7289" w:rsidRPr="00842993" w14:paraId="01D60B01" w14:textId="77777777" w:rsidTr="000C019E">
        <w:trPr>
          <w:trHeight w:val="294"/>
        </w:trPr>
        <w:tc>
          <w:tcPr>
            <w:tcW w:w="4219" w:type="dxa"/>
            <w:shd w:val="clear" w:color="auto" w:fill="auto"/>
            <w:noWrap/>
            <w:vAlign w:val="bottom"/>
            <w:hideMark/>
          </w:tcPr>
          <w:p w14:paraId="5F231E48" w14:textId="77777777" w:rsidR="00AB7289" w:rsidRPr="00842993" w:rsidRDefault="00AB7289" w:rsidP="00BC0A82">
            <w:pPr>
              <w:keepNext/>
              <w:rPr>
                <w:rFonts w:ascii="Times New Roman" w:hAnsi="Times New Roman" w:cs="Times New Roman"/>
                <w:color w:val="000000"/>
                <w:sz w:val="22"/>
                <w:szCs w:val="22"/>
              </w:rPr>
            </w:pPr>
            <w:r w:rsidRPr="00842993">
              <w:rPr>
                <w:rFonts w:ascii="Times New Roman" w:hAnsi="Times New Roman" w:cs="Times New Roman"/>
                <w:color w:val="000000"/>
                <w:sz w:val="22"/>
                <w:szCs w:val="22"/>
              </w:rPr>
              <w:t> </w:t>
            </w:r>
          </w:p>
        </w:tc>
        <w:tc>
          <w:tcPr>
            <w:tcW w:w="516" w:type="dxa"/>
            <w:shd w:val="clear" w:color="auto" w:fill="auto"/>
            <w:noWrap/>
            <w:vAlign w:val="bottom"/>
          </w:tcPr>
          <w:p w14:paraId="614D8E31" w14:textId="56FEFA03" w:rsidR="00AB7289" w:rsidRPr="00842993" w:rsidRDefault="00AB7289" w:rsidP="00BC0A82">
            <w:pPr>
              <w:keepNext/>
              <w:jc w:val="center"/>
              <w:rPr>
                <w:rFonts w:ascii="Times New Roman" w:hAnsi="Times New Roman" w:cs="Times New Roman"/>
                <w:color w:val="000000"/>
                <w:sz w:val="22"/>
                <w:szCs w:val="22"/>
              </w:rPr>
            </w:pPr>
          </w:p>
        </w:tc>
        <w:tc>
          <w:tcPr>
            <w:tcW w:w="1188" w:type="dxa"/>
            <w:shd w:val="clear" w:color="auto" w:fill="auto"/>
            <w:noWrap/>
            <w:vAlign w:val="bottom"/>
          </w:tcPr>
          <w:p w14:paraId="7754C610" w14:textId="2CA1D1EB" w:rsidR="00AB7289" w:rsidRPr="00842993" w:rsidRDefault="00AB7289" w:rsidP="00BC0A82">
            <w:pPr>
              <w:keepNext/>
              <w:jc w:val="center"/>
              <w:rPr>
                <w:rFonts w:ascii="Times New Roman" w:hAnsi="Times New Roman" w:cs="Times New Roman"/>
                <w:color w:val="000000"/>
                <w:sz w:val="22"/>
                <w:szCs w:val="22"/>
              </w:rPr>
            </w:pPr>
          </w:p>
        </w:tc>
        <w:tc>
          <w:tcPr>
            <w:tcW w:w="939" w:type="dxa"/>
            <w:shd w:val="clear" w:color="auto" w:fill="auto"/>
            <w:noWrap/>
            <w:vAlign w:val="bottom"/>
          </w:tcPr>
          <w:p w14:paraId="0A3F52F8" w14:textId="3AFD909E" w:rsidR="00AB7289" w:rsidRPr="00842993" w:rsidRDefault="00AB7289" w:rsidP="00BC0A82">
            <w:pPr>
              <w:keepNext/>
              <w:jc w:val="center"/>
              <w:rPr>
                <w:rFonts w:ascii="Times New Roman" w:hAnsi="Times New Roman" w:cs="Times New Roman"/>
                <w:color w:val="000000"/>
                <w:sz w:val="22"/>
                <w:szCs w:val="22"/>
              </w:rPr>
            </w:pPr>
          </w:p>
        </w:tc>
        <w:tc>
          <w:tcPr>
            <w:tcW w:w="936" w:type="dxa"/>
            <w:shd w:val="clear" w:color="auto" w:fill="auto"/>
            <w:noWrap/>
            <w:vAlign w:val="bottom"/>
          </w:tcPr>
          <w:p w14:paraId="3A5EB103" w14:textId="41497AEC" w:rsidR="00AB7289" w:rsidRPr="00842993" w:rsidRDefault="00AB7289" w:rsidP="00BC0A82">
            <w:pPr>
              <w:keepNext/>
              <w:jc w:val="center"/>
              <w:rPr>
                <w:rFonts w:ascii="Times New Roman" w:hAnsi="Times New Roman" w:cs="Times New Roman"/>
                <w:color w:val="000000"/>
                <w:sz w:val="22"/>
                <w:szCs w:val="22"/>
              </w:rPr>
            </w:pPr>
          </w:p>
        </w:tc>
        <w:tc>
          <w:tcPr>
            <w:tcW w:w="825" w:type="dxa"/>
            <w:shd w:val="clear" w:color="auto" w:fill="auto"/>
            <w:noWrap/>
            <w:vAlign w:val="bottom"/>
          </w:tcPr>
          <w:p w14:paraId="5DB98D6A" w14:textId="33CC579A" w:rsidR="00AB7289" w:rsidRPr="00842993" w:rsidRDefault="00AB7289" w:rsidP="00BC0A82">
            <w:pPr>
              <w:keepNext/>
              <w:jc w:val="center"/>
              <w:rPr>
                <w:rFonts w:ascii="Times New Roman" w:hAnsi="Times New Roman" w:cs="Times New Roman"/>
                <w:color w:val="000000"/>
                <w:sz w:val="22"/>
                <w:szCs w:val="22"/>
              </w:rPr>
            </w:pPr>
          </w:p>
        </w:tc>
        <w:tc>
          <w:tcPr>
            <w:tcW w:w="896" w:type="dxa"/>
            <w:shd w:val="clear" w:color="auto" w:fill="auto"/>
            <w:vAlign w:val="bottom"/>
          </w:tcPr>
          <w:p w14:paraId="327306BB" w14:textId="4FC42BAC" w:rsidR="00AB7289" w:rsidRPr="00842993" w:rsidRDefault="00AB7289" w:rsidP="00BC0A82">
            <w:pPr>
              <w:keepNext/>
              <w:jc w:val="center"/>
              <w:rPr>
                <w:rFonts w:ascii="Times New Roman" w:hAnsi="Times New Roman" w:cs="Times New Roman"/>
                <w:color w:val="000000"/>
                <w:sz w:val="22"/>
                <w:szCs w:val="22"/>
              </w:rPr>
            </w:pPr>
          </w:p>
        </w:tc>
      </w:tr>
      <w:tr w:rsidR="00AB7289" w:rsidRPr="00842993" w14:paraId="57F6AF42" w14:textId="77777777" w:rsidTr="000C019E">
        <w:trPr>
          <w:trHeight w:val="294"/>
        </w:trPr>
        <w:tc>
          <w:tcPr>
            <w:tcW w:w="4219" w:type="dxa"/>
            <w:shd w:val="clear" w:color="auto" w:fill="auto"/>
            <w:noWrap/>
            <w:vAlign w:val="bottom"/>
            <w:hideMark/>
          </w:tcPr>
          <w:p w14:paraId="0B70DB64" w14:textId="77777777" w:rsidR="00AB7289" w:rsidRPr="00842993" w:rsidRDefault="00AB7289" w:rsidP="00BC0A82">
            <w:pPr>
              <w:keepNext/>
              <w:rPr>
                <w:rFonts w:ascii="Times New Roman" w:hAnsi="Times New Roman" w:cs="Times New Roman"/>
                <w:b/>
                <w:bCs/>
                <w:color w:val="000000"/>
                <w:sz w:val="22"/>
                <w:szCs w:val="22"/>
              </w:rPr>
            </w:pPr>
            <w:r w:rsidRPr="00842993">
              <w:rPr>
                <w:rFonts w:ascii="Times New Roman" w:hAnsi="Times New Roman" w:cs="Times New Roman"/>
                <w:b/>
                <w:bCs/>
                <w:color w:val="000000"/>
                <w:sz w:val="22"/>
                <w:szCs w:val="22"/>
              </w:rPr>
              <w:t>Ethnicity</w:t>
            </w:r>
          </w:p>
        </w:tc>
        <w:tc>
          <w:tcPr>
            <w:tcW w:w="516" w:type="dxa"/>
            <w:shd w:val="clear" w:color="auto" w:fill="auto"/>
            <w:noWrap/>
            <w:vAlign w:val="bottom"/>
          </w:tcPr>
          <w:p w14:paraId="039D3D63" w14:textId="5B79498C" w:rsidR="00AB7289" w:rsidRPr="00842993" w:rsidRDefault="00AB7289" w:rsidP="00BC0A82">
            <w:pPr>
              <w:keepNext/>
              <w:jc w:val="center"/>
              <w:rPr>
                <w:rFonts w:ascii="Times New Roman" w:hAnsi="Times New Roman" w:cs="Times New Roman"/>
                <w:color w:val="000000"/>
                <w:sz w:val="22"/>
                <w:szCs w:val="22"/>
              </w:rPr>
            </w:pPr>
          </w:p>
        </w:tc>
        <w:tc>
          <w:tcPr>
            <w:tcW w:w="1188" w:type="dxa"/>
            <w:shd w:val="clear" w:color="auto" w:fill="auto"/>
            <w:noWrap/>
            <w:vAlign w:val="bottom"/>
          </w:tcPr>
          <w:p w14:paraId="4248AFF5" w14:textId="5272523C" w:rsidR="00AB7289" w:rsidRPr="00842993" w:rsidRDefault="00AB7289" w:rsidP="00BC0A82">
            <w:pPr>
              <w:keepNext/>
              <w:jc w:val="center"/>
              <w:rPr>
                <w:rFonts w:ascii="Times New Roman" w:hAnsi="Times New Roman" w:cs="Times New Roman"/>
                <w:color w:val="000000"/>
                <w:sz w:val="22"/>
                <w:szCs w:val="22"/>
              </w:rPr>
            </w:pPr>
          </w:p>
        </w:tc>
        <w:tc>
          <w:tcPr>
            <w:tcW w:w="939" w:type="dxa"/>
            <w:shd w:val="clear" w:color="auto" w:fill="auto"/>
            <w:noWrap/>
            <w:vAlign w:val="bottom"/>
          </w:tcPr>
          <w:p w14:paraId="79933301" w14:textId="3D5A761F" w:rsidR="00AB7289" w:rsidRPr="00842993" w:rsidRDefault="00AB7289" w:rsidP="00BC0A82">
            <w:pPr>
              <w:keepNext/>
              <w:jc w:val="center"/>
              <w:rPr>
                <w:rFonts w:ascii="Times New Roman" w:hAnsi="Times New Roman" w:cs="Times New Roman"/>
                <w:color w:val="000000"/>
                <w:sz w:val="22"/>
                <w:szCs w:val="22"/>
              </w:rPr>
            </w:pPr>
          </w:p>
        </w:tc>
        <w:tc>
          <w:tcPr>
            <w:tcW w:w="936" w:type="dxa"/>
            <w:shd w:val="clear" w:color="auto" w:fill="auto"/>
            <w:noWrap/>
            <w:vAlign w:val="bottom"/>
          </w:tcPr>
          <w:p w14:paraId="1F18A0FB" w14:textId="1592D74E" w:rsidR="00AB7289" w:rsidRPr="00842993" w:rsidRDefault="00AB7289" w:rsidP="00BC0A82">
            <w:pPr>
              <w:keepNext/>
              <w:jc w:val="center"/>
              <w:rPr>
                <w:rFonts w:ascii="Times New Roman" w:hAnsi="Times New Roman" w:cs="Times New Roman"/>
                <w:color w:val="000000"/>
                <w:sz w:val="22"/>
                <w:szCs w:val="22"/>
              </w:rPr>
            </w:pPr>
          </w:p>
        </w:tc>
        <w:tc>
          <w:tcPr>
            <w:tcW w:w="825" w:type="dxa"/>
            <w:shd w:val="clear" w:color="auto" w:fill="auto"/>
            <w:noWrap/>
            <w:vAlign w:val="bottom"/>
          </w:tcPr>
          <w:p w14:paraId="0EE47B27" w14:textId="7E9AD964" w:rsidR="00AB7289" w:rsidRPr="00842993" w:rsidRDefault="00AB7289" w:rsidP="00BC0A82">
            <w:pPr>
              <w:keepNext/>
              <w:jc w:val="center"/>
              <w:rPr>
                <w:rFonts w:ascii="Times New Roman" w:hAnsi="Times New Roman" w:cs="Times New Roman"/>
                <w:color w:val="000000"/>
                <w:sz w:val="22"/>
                <w:szCs w:val="22"/>
              </w:rPr>
            </w:pPr>
          </w:p>
        </w:tc>
        <w:tc>
          <w:tcPr>
            <w:tcW w:w="896" w:type="dxa"/>
            <w:shd w:val="clear" w:color="auto" w:fill="auto"/>
            <w:vAlign w:val="bottom"/>
          </w:tcPr>
          <w:p w14:paraId="6E5542F5" w14:textId="0ECA3689" w:rsidR="00AB7289" w:rsidRPr="00842993" w:rsidRDefault="00AB7289" w:rsidP="00BC0A82">
            <w:pPr>
              <w:keepNext/>
              <w:jc w:val="center"/>
              <w:rPr>
                <w:rFonts w:ascii="Times New Roman" w:hAnsi="Times New Roman" w:cs="Times New Roman"/>
                <w:color w:val="000000"/>
                <w:sz w:val="22"/>
                <w:szCs w:val="22"/>
              </w:rPr>
            </w:pPr>
          </w:p>
        </w:tc>
      </w:tr>
      <w:tr w:rsidR="00FD5A96" w:rsidRPr="00842993" w14:paraId="71898C5D" w14:textId="77777777" w:rsidTr="000C019E">
        <w:trPr>
          <w:trHeight w:val="294"/>
        </w:trPr>
        <w:tc>
          <w:tcPr>
            <w:tcW w:w="4219" w:type="dxa"/>
            <w:shd w:val="clear" w:color="auto" w:fill="auto"/>
            <w:noWrap/>
            <w:vAlign w:val="bottom"/>
          </w:tcPr>
          <w:p w14:paraId="4FB6F07E" w14:textId="456A7E1E" w:rsidR="00FD5A96" w:rsidRPr="00842993" w:rsidRDefault="00FD5A96" w:rsidP="00BC0A82">
            <w:pPr>
              <w:keepNext/>
              <w:rPr>
                <w:rFonts w:ascii="Times New Roman" w:hAnsi="Times New Roman" w:cs="Times New Roman"/>
                <w:color w:val="000000"/>
                <w:sz w:val="22"/>
                <w:szCs w:val="22"/>
              </w:rPr>
            </w:pPr>
            <w:r w:rsidRPr="00842993">
              <w:rPr>
                <w:rFonts w:ascii="Times New Roman" w:hAnsi="Times New Roman" w:cs="Times New Roman"/>
                <w:color w:val="000000"/>
                <w:sz w:val="22"/>
                <w:szCs w:val="22"/>
              </w:rPr>
              <w:t>White</w:t>
            </w:r>
          </w:p>
        </w:tc>
        <w:tc>
          <w:tcPr>
            <w:tcW w:w="516" w:type="dxa"/>
            <w:shd w:val="clear" w:color="auto" w:fill="auto"/>
            <w:noWrap/>
            <w:vAlign w:val="bottom"/>
          </w:tcPr>
          <w:p w14:paraId="3834E4B8" w14:textId="503C9F52" w:rsidR="00FD5A96" w:rsidRPr="00842993" w:rsidRDefault="00FD5A96" w:rsidP="00BC0A82">
            <w:pPr>
              <w:keepNext/>
              <w:jc w:val="center"/>
              <w:rPr>
                <w:rFonts w:ascii="Times New Roman" w:hAnsi="Times New Roman" w:cs="Times New Roman"/>
                <w:color w:val="000000"/>
                <w:sz w:val="22"/>
                <w:szCs w:val="22"/>
              </w:rPr>
            </w:pPr>
            <w:r w:rsidRPr="00842993">
              <w:rPr>
                <w:rFonts w:ascii="Times New Roman" w:hAnsi="Times New Roman" w:cs="Times New Roman"/>
                <w:color w:val="000000"/>
                <w:sz w:val="22"/>
                <w:szCs w:val="22"/>
              </w:rPr>
              <w:t>19</w:t>
            </w:r>
          </w:p>
        </w:tc>
        <w:tc>
          <w:tcPr>
            <w:tcW w:w="1188" w:type="dxa"/>
            <w:shd w:val="clear" w:color="auto" w:fill="auto"/>
            <w:noWrap/>
            <w:vAlign w:val="bottom"/>
          </w:tcPr>
          <w:p w14:paraId="6037439A" w14:textId="0ED0DE82" w:rsidR="00FD5A96" w:rsidRPr="00842993" w:rsidRDefault="00FD5A96" w:rsidP="00BC0A82">
            <w:pPr>
              <w:keepNext/>
              <w:jc w:val="center"/>
              <w:rPr>
                <w:rFonts w:ascii="Times New Roman" w:hAnsi="Times New Roman" w:cs="Times New Roman"/>
                <w:color w:val="000000"/>
                <w:sz w:val="22"/>
                <w:szCs w:val="22"/>
              </w:rPr>
            </w:pPr>
            <w:r w:rsidRPr="00842993">
              <w:rPr>
                <w:rFonts w:ascii="Times New Roman" w:hAnsi="Times New Roman" w:cs="Times New Roman"/>
                <w:color w:val="000000"/>
                <w:sz w:val="22"/>
                <w:szCs w:val="22"/>
              </w:rPr>
              <w:t>95</w:t>
            </w:r>
          </w:p>
        </w:tc>
        <w:tc>
          <w:tcPr>
            <w:tcW w:w="939" w:type="dxa"/>
            <w:shd w:val="clear" w:color="auto" w:fill="auto"/>
            <w:noWrap/>
            <w:vAlign w:val="bottom"/>
          </w:tcPr>
          <w:p w14:paraId="43296634" w14:textId="77777777" w:rsidR="00FD5A96" w:rsidRPr="00842993" w:rsidRDefault="00FD5A96" w:rsidP="00BC0A82">
            <w:pPr>
              <w:keepNext/>
              <w:jc w:val="center"/>
              <w:rPr>
                <w:rFonts w:ascii="Times New Roman" w:hAnsi="Times New Roman" w:cs="Times New Roman"/>
                <w:color w:val="000000"/>
                <w:sz w:val="22"/>
                <w:szCs w:val="22"/>
              </w:rPr>
            </w:pPr>
          </w:p>
        </w:tc>
        <w:tc>
          <w:tcPr>
            <w:tcW w:w="936" w:type="dxa"/>
            <w:shd w:val="clear" w:color="auto" w:fill="auto"/>
            <w:noWrap/>
            <w:vAlign w:val="bottom"/>
          </w:tcPr>
          <w:p w14:paraId="2642AB04" w14:textId="77777777" w:rsidR="00FD5A96" w:rsidRPr="00842993" w:rsidRDefault="00FD5A96" w:rsidP="00BC0A82">
            <w:pPr>
              <w:keepNext/>
              <w:jc w:val="center"/>
              <w:rPr>
                <w:rFonts w:ascii="Times New Roman" w:hAnsi="Times New Roman" w:cs="Times New Roman"/>
                <w:color w:val="000000"/>
                <w:sz w:val="22"/>
                <w:szCs w:val="22"/>
              </w:rPr>
            </w:pPr>
          </w:p>
        </w:tc>
        <w:tc>
          <w:tcPr>
            <w:tcW w:w="825" w:type="dxa"/>
            <w:shd w:val="clear" w:color="auto" w:fill="auto"/>
            <w:noWrap/>
            <w:vAlign w:val="bottom"/>
          </w:tcPr>
          <w:p w14:paraId="66A76EED" w14:textId="77777777" w:rsidR="00FD5A96" w:rsidRPr="00842993" w:rsidRDefault="00FD5A96" w:rsidP="00BC0A82">
            <w:pPr>
              <w:keepNext/>
              <w:jc w:val="center"/>
              <w:rPr>
                <w:rFonts w:ascii="Times New Roman" w:hAnsi="Times New Roman" w:cs="Times New Roman"/>
                <w:color w:val="000000"/>
                <w:sz w:val="22"/>
                <w:szCs w:val="22"/>
              </w:rPr>
            </w:pPr>
          </w:p>
        </w:tc>
        <w:tc>
          <w:tcPr>
            <w:tcW w:w="896" w:type="dxa"/>
            <w:shd w:val="clear" w:color="auto" w:fill="auto"/>
            <w:vAlign w:val="bottom"/>
          </w:tcPr>
          <w:p w14:paraId="405755F6" w14:textId="77777777" w:rsidR="00FD5A96" w:rsidRPr="00842993" w:rsidRDefault="00FD5A96" w:rsidP="00BC0A82">
            <w:pPr>
              <w:keepNext/>
              <w:jc w:val="center"/>
              <w:rPr>
                <w:rFonts w:ascii="Times New Roman" w:hAnsi="Times New Roman" w:cs="Times New Roman"/>
                <w:color w:val="000000"/>
                <w:sz w:val="22"/>
                <w:szCs w:val="22"/>
              </w:rPr>
            </w:pPr>
          </w:p>
        </w:tc>
      </w:tr>
      <w:tr w:rsidR="00AB7289" w:rsidRPr="00842993" w14:paraId="3DC244F0" w14:textId="77777777" w:rsidTr="000C019E">
        <w:trPr>
          <w:trHeight w:val="294"/>
        </w:trPr>
        <w:tc>
          <w:tcPr>
            <w:tcW w:w="4219" w:type="dxa"/>
            <w:shd w:val="clear" w:color="auto" w:fill="auto"/>
            <w:noWrap/>
            <w:vAlign w:val="bottom"/>
            <w:hideMark/>
          </w:tcPr>
          <w:p w14:paraId="2DAE535D" w14:textId="40B8DBB1" w:rsidR="00FD5A96" w:rsidRPr="00842993" w:rsidRDefault="00FD5A96" w:rsidP="00BC0A82">
            <w:pPr>
              <w:keepNext/>
              <w:rPr>
                <w:rFonts w:ascii="Times New Roman" w:hAnsi="Times New Roman" w:cs="Times New Roman"/>
                <w:color w:val="000000"/>
                <w:sz w:val="22"/>
                <w:szCs w:val="22"/>
              </w:rPr>
            </w:pPr>
            <w:r w:rsidRPr="00842993">
              <w:rPr>
                <w:rFonts w:ascii="Times New Roman" w:hAnsi="Times New Roman" w:cs="Times New Roman"/>
                <w:color w:val="000000"/>
                <w:sz w:val="22"/>
                <w:szCs w:val="22"/>
              </w:rPr>
              <w:t>Mixed-race</w:t>
            </w:r>
          </w:p>
        </w:tc>
        <w:tc>
          <w:tcPr>
            <w:tcW w:w="516" w:type="dxa"/>
            <w:shd w:val="clear" w:color="auto" w:fill="auto"/>
            <w:noWrap/>
            <w:vAlign w:val="bottom"/>
          </w:tcPr>
          <w:p w14:paraId="13C0EF34" w14:textId="4BFF07BC" w:rsidR="00AB7289" w:rsidRPr="00842993" w:rsidRDefault="00FD5A96" w:rsidP="00BC0A82">
            <w:pPr>
              <w:keepNext/>
              <w:jc w:val="center"/>
              <w:rPr>
                <w:rFonts w:ascii="Times New Roman" w:hAnsi="Times New Roman" w:cs="Times New Roman"/>
                <w:color w:val="000000"/>
                <w:sz w:val="22"/>
                <w:szCs w:val="22"/>
              </w:rPr>
            </w:pPr>
            <w:r w:rsidRPr="00842993">
              <w:rPr>
                <w:rFonts w:ascii="Times New Roman" w:hAnsi="Times New Roman" w:cs="Times New Roman"/>
                <w:color w:val="000000"/>
                <w:sz w:val="22"/>
                <w:szCs w:val="22"/>
              </w:rPr>
              <w:t>1</w:t>
            </w:r>
          </w:p>
        </w:tc>
        <w:tc>
          <w:tcPr>
            <w:tcW w:w="1188" w:type="dxa"/>
            <w:shd w:val="clear" w:color="auto" w:fill="auto"/>
            <w:noWrap/>
            <w:vAlign w:val="bottom"/>
          </w:tcPr>
          <w:p w14:paraId="6BA55E40" w14:textId="7DF4E675" w:rsidR="00AB7289" w:rsidRPr="00842993" w:rsidRDefault="00FD5A96" w:rsidP="00BC0A82">
            <w:pPr>
              <w:keepNext/>
              <w:jc w:val="center"/>
              <w:rPr>
                <w:rFonts w:ascii="Times New Roman" w:hAnsi="Times New Roman" w:cs="Times New Roman"/>
                <w:color w:val="000000"/>
                <w:sz w:val="22"/>
                <w:szCs w:val="22"/>
              </w:rPr>
            </w:pPr>
            <w:r w:rsidRPr="00842993">
              <w:rPr>
                <w:rFonts w:ascii="Times New Roman" w:hAnsi="Times New Roman" w:cs="Times New Roman"/>
                <w:color w:val="000000"/>
                <w:sz w:val="22"/>
                <w:szCs w:val="22"/>
              </w:rPr>
              <w:t>5</w:t>
            </w:r>
          </w:p>
        </w:tc>
        <w:tc>
          <w:tcPr>
            <w:tcW w:w="939" w:type="dxa"/>
            <w:shd w:val="clear" w:color="auto" w:fill="auto"/>
            <w:noWrap/>
            <w:vAlign w:val="bottom"/>
          </w:tcPr>
          <w:p w14:paraId="421DBE94" w14:textId="0D5B6FA6" w:rsidR="00AB7289" w:rsidRPr="00842993" w:rsidRDefault="00AB7289" w:rsidP="00BC0A82">
            <w:pPr>
              <w:keepNext/>
              <w:jc w:val="center"/>
              <w:rPr>
                <w:rFonts w:ascii="Times New Roman" w:hAnsi="Times New Roman" w:cs="Times New Roman"/>
                <w:color w:val="000000"/>
                <w:sz w:val="22"/>
                <w:szCs w:val="22"/>
              </w:rPr>
            </w:pPr>
          </w:p>
        </w:tc>
        <w:tc>
          <w:tcPr>
            <w:tcW w:w="936" w:type="dxa"/>
            <w:shd w:val="clear" w:color="auto" w:fill="auto"/>
            <w:noWrap/>
            <w:vAlign w:val="bottom"/>
          </w:tcPr>
          <w:p w14:paraId="0A24FAE0" w14:textId="524DCA6C" w:rsidR="00AB7289" w:rsidRPr="00842993" w:rsidRDefault="00AB7289" w:rsidP="00BC0A82">
            <w:pPr>
              <w:keepNext/>
              <w:jc w:val="center"/>
              <w:rPr>
                <w:rFonts w:ascii="Times New Roman" w:hAnsi="Times New Roman" w:cs="Times New Roman"/>
                <w:color w:val="000000"/>
                <w:sz w:val="22"/>
                <w:szCs w:val="22"/>
              </w:rPr>
            </w:pPr>
          </w:p>
        </w:tc>
        <w:tc>
          <w:tcPr>
            <w:tcW w:w="825" w:type="dxa"/>
            <w:shd w:val="clear" w:color="auto" w:fill="auto"/>
            <w:noWrap/>
            <w:vAlign w:val="bottom"/>
          </w:tcPr>
          <w:p w14:paraId="47B92550" w14:textId="6159EFB5" w:rsidR="00AB7289" w:rsidRPr="00842993" w:rsidRDefault="00AB7289" w:rsidP="00BC0A82">
            <w:pPr>
              <w:keepNext/>
              <w:jc w:val="center"/>
              <w:rPr>
                <w:rFonts w:ascii="Times New Roman" w:hAnsi="Times New Roman" w:cs="Times New Roman"/>
                <w:color w:val="000000"/>
                <w:sz w:val="22"/>
                <w:szCs w:val="22"/>
              </w:rPr>
            </w:pPr>
          </w:p>
        </w:tc>
        <w:tc>
          <w:tcPr>
            <w:tcW w:w="896" w:type="dxa"/>
            <w:shd w:val="clear" w:color="auto" w:fill="auto"/>
            <w:vAlign w:val="bottom"/>
          </w:tcPr>
          <w:p w14:paraId="24D941E9" w14:textId="02DFDE25" w:rsidR="00AB7289" w:rsidRPr="00842993" w:rsidRDefault="00AB7289" w:rsidP="00BC0A82">
            <w:pPr>
              <w:keepNext/>
              <w:jc w:val="center"/>
              <w:rPr>
                <w:rFonts w:ascii="Times New Roman" w:hAnsi="Times New Roman" w:cs="Times New Roman"/>
                <w:color w:val="000000"/>
                <w:sz w:val="22"/>
                <w:szCs w:val="22"/>
              </w:rPr>
            </w:pPr>
          </w:p>
        </w:tc>
      </w:tr>
      <w:tr w:rsidR="00AB7289" w:rsidRPr="00842993" w14:paraId="5BAB1C53" w14:textId="77777777" w:rsidTr="000C019E">
        <w:trPr>
          <w:trHeight w:val="294"/>
        </w:trPr>
        <w:tc>
          <w:tcPr>
            <w:tcW w:w="4219" w:type="dxa"/>
            <w:shd w:val="clear" w:color="auto" w:fill="auto"/>
            <w:noWrap/>
            <w:vAlign w:val="bottom"/>
            <w:hideMark/>
          </w:tcPr>
          <w:p w14:paraId="60DB74FD" w14:textId="11650FC1" w:rsidR="00AB7289" w:rsidRPr="00842993" w:rsidRDefault="00AB7289" w:rsidP="00BC0A82">
            <w:pPr>
              <w:keepNext/>
              <w:rPr>
                <w:rFonts w:ascii="Times New Roman" w:hAnsi="Times New Roman" w:cs="Times New Roman"/>
                <w:color w:val="000000"/>
                <w:sz w:val="22"/>
                <w:szCs w:val="22"/>
              </w:rPr>
            </w:pPr>
            <w:r w:rsidRPr="00842993">
              <w:rPr>
                <w:rFonts w:ascii="Times New Roman" w:hAnsi="Times New Roman" w:cs="Times New Roman"/>
                <w:color w:val="000000"/>
                <w:sz w:val="22"/>
                <w:szCs w:val="22"/>
              </w:rPr>
              <w:t> </w:t>
            </w:r>
          </w:p>
        </w:tc>
        <w:tc>
          <w:tcPr>
            <w:tcW w:w="516" w:type="dxa"/>
            <w:shd w:val="clear" w:color="auto" w:fill="auto"/>
            <w:noWrap/>
            <w:vAlign w:val="bottom"/>
          </w:tcPr>
          <w:p w14:paraId="5E240AE4" w14:textId="4B9EE50A" w:rsidR="00AB7289" w:rsidRPr="00842993" w:rsidRDefault="00AB7289" w:rsidP="00BC0A82">
            <w:pPr>
              <w:keepNext/>
              <w:jc w:val="center"/>
              <w:rPr>
                <w:rFonts w:ascii="Times New Roman" w:hAnsi="Times New Roman" w:cs="Times New Roman"/>
                <w:color w:val="000000"/>
                <w:sz w:val="22"/>
                <w:szCs w:val="22"/>
              </w:rPr>
            </w:pPr>
          </w:p>
        </w:tc>
        <w:tc>
          <w:tcPr>
            <w:tcW w:w="1188" w:type="dxa"/>
            <w:shd w:val="clear" w:color="auto" w:fill="auto"/>
            <w:noWrap/>
            <w:vAlign w:val="bottom"/>
          </w:tcPr>
          <w:p w14:paraId="27C2A5C5" w14:textId="1FB70747" w:rsidR="00AB7289" w:rsidRPr="00842993" w:rsidRDefault="00AB7289" w:rsidP="00BC0A82">
            <w:pPr>
              <w:keepNext/>
              <w:jc w:val="center"/>
              <w:rPr>
                <w:rFonts w:ascii="Times New Roman" w:hAnsi="Times New Roman" w:cs="Times New Roman"/>
                <w:color w:val="000000"/>
                <w:sz w:val="22"/>
                <w:szCs w:val="22"/>
              </w:rPr>
            </w:pPr>
          </w:p>
        </w:tc>
        <w:tc>
          <w:tcPr>
            <w:tcW w:w="939" w:type="dxa"/>
            <w:shd w:val="clear" w:color="auto" w:fill="auto"/>
            <w:noWrap/>
            <w:vAlign w:val="bottom"/>
          </w:tcPr>
          <w:p w14:paraId="715E4158" w14:textId="5990B686" w:rsidR="00AB7289" w:rsidRPr="00842993" w:rsidRDefault="00AB7289" w:rsidP="00BC0A82">
            <w:pPr>
              <w:keepNext/>
              <w:jc w:val="center"/>
              <w:rPr>
                <w:rFonts w:ascii="Times New Roman" w:hAnsi="Times New Roman" w:cs="Times New Roman"/>
                <w:color w:val="000000"/>
                <w:sz w:val="22"/>
                <w:szCs w:val="22"/>
              </w:rPr>
            </w:pPr>
          </w:p>
        </w:tc>
        <w:tc>
          <w:tcPr>
            <w:tcW w:w="936" w:type="dxa"/>
            <w:shd w:val="clear" w:color="auto" w:fill="auto"/>
            <w:noWrap/>
            <w:vAlign w:val="bottom"/>
          </w:tcPr>
          <w:p w14:paraId="47FDB173" w14:textId="37E7FAE3" w:rsidR="00AB7289" w:rsidRPr="00842993" w:rsidRDefault="00AB7289" w:rsidP="00BC0A82">
            <w:pPr>
              <w:keepNext/>
              <w:jc w:val="center"/>
              <w:rPr>
                <w:rFonts w:ascii="Times New Roman" w:hAnsi="Times New Roman" w:cs="Times New Roman"/>
                <w:color w:val="000000"/>
                <w:sz w:val="22"/>
                <w:szCs w:val="22"/>
              </w:rPr>
            </w:pPr>
          </w:p>
        </w:tc>
        <w:tc>
          <w:tcPr>
            <w:tcW w:w="825" w:type="dxa"/>
            <w:shd w:val="clear" w:color="auto" w:fill="auto"/>
            <w:noWrap/>
            <w:vAlign w:val="bottom"/>
          </w:tcPr>
          <w:p w14:paraId="6A8D5294" w14:textId="183EAFB9" w:rsidR="00AB7289" w:rsidRPr="00842993" w:rsidRDefault="00AB7289" w:rsidP="00BC0A82">
            <w:pPr>
              <w:keepNext/>
              <w:jc w:val="center"/>
              <w:rPr>
                <w:rFonts w:ascii="Times New Roman" w:hAnsi="Times New Roman" w:cs="Times New Roman"/>
                <w:color w:val="000000"/>
                <w:sz w:val="22"/>
                <w:szCs w:val="22"/>
              </w:rPr>
            </w:pPr>
          </w:p>
        </w:tc>
        <w:tc>
          <w:tcPr>
            <w:tcW w:w="896" w:type="dxa"/>
            <w:shd w:val="clear" w:color="auto" w:fill="auto"/>
            <w:vAlign w:val="bottom"/>
          </w:tcPr>
          <w:p w14:paraId="4AA5F4BF" w14:textId="72754756" w:rsidR="00AB7289" w:rsidRPr="00842993" w:rsidRDefault="00AB7289" w:rsidP="00BC0A82">
            <w:pPr>
              <w:keepNext/>
              <w:jc w:val="center"/>
              <w:rPr>
                <w:rFonts w:ascii="Times New Roman" w:hAnsi="Times New Roman" w:cs="Times New Roman"/>
                <w:color w:val="000000"/>
                <w:sz w:val="22"/>
                <w:szCs w:val="22"/>
              </w:rPr>
            </w:pPr>
          </w:p>
        </w:tc>
      </w:tr>
      <w:tr w:rsidR="00AB7289" w:rsidRPr="00842993" w14:paraId="036CA089" w14:textId="77777777" w:rsidTr="000C019E">
        <w:trPr>
          <w:trHeight w:val="294"/>
        </w:trPr>
        <w:tc>
          <w:tcPr>
            <w:tcW w:w="4219" w:type="dxa"/>
            <w:shd w:val="clear" w:color="auto" w:fill="auto"/>
            <w:noWrap/>
            <w:vAlign w:val="bottom"/>
            <w:hideMark/>
          </w:tcPr>
          <w:p w14:paraId="4E6A8D4B" w14:textId="77777777" w:rsidR="00AB7289" w:rsidRPr="00842993" w:rsidRDefault="00AB7289" w:rsidP="00BC0A82">
            <w:pPr>
              <w:keepNext/>
              <w:rPr>
                <w:rFonts w:ascii="Times New Roman" w:hAnsi="Times New Roman" w:cs="Times New Roman"/>
                <w:b/>
                <w:bCs/>
                <w:color w:val="000000"/>
                <w:sz w:val="22"/>
                <w:szCs w:val="22"/>
              </w:rPr>
            </w:pPr>
            <w:r w:rsidRPr="00842993">
              <w:rPr>
                <w:rFonts w:ascii="Times New Roman" w:hAnsi="Times New Roman" w:cs="Times New Roman"/>
                <w:b/>
                <w:bCs/>
                <w:color w:val="000000"/>
                <w:sz w:val="22"/>
                <w:szCs w:val="22"/>
              </w:rPr>
              <w:t>Qualification</w:t>
            </w:r>
          </w:p>
        </w:tc>
        <w:tc>
          <w:tcPr>
            <w:tcW w:w="516" w:type="dxa"/>
            <w:shd w:val="clear" w:color="auto" w:fill="auto"/>
            <w:noWrap/>
            <w:vAlign w:val="bottom"/>
          </w:tcPr>
          <w:p w14:paraId="68BB5AB9" w14:textId="7A07F6B2" w:rsidR="00AB7289" w:rsidRPr="00842993" w:rsidRDefault="00AB7289" w:rsidP="00BC0A82">
            <w:pPr>
              <w:keepNext/>
              <w:jc w:val="center"/>
              <w:rPr>
                <w:rFonts w:ascii="Times New Roman" w:hAnsi="Times New Roman" w:cs="Times New Roman"/>
                <w:color w:val="000000"/>
                <w:sz w:val="22"/>
                <w:szCs w:val="22"/>
              </w:rPr>
            </w:pPr>
          </w:p>
        </w:tc>
        <w:tc>
          <w:tcPr>
            <w:tcW w:w="1188" w:type="dxa"/>
            <w:shd w:val="clear" w:color="auto" w:fill="auto"/>
            <w:noWrap/>
            <w:vAlign w:val="bottom"/>
          </w:tcPr>
          <w:p w14:paraId="76945B4C" w14:textId="544BC66C" w:rsidR="00AB7289" w:rsidRPr="00842993" w:rsidRDefault="00AB7289" w:rsidP="00BC0A82">
            <w:pPr>
              <w:keepNext/>
              <w:jc w:val="center"/>
              <w:rPr>
                <w:rFonts w:ascii="Times New Roman" w:hAnsi="Times New Roman" w:cs="Times New Roman"/>
                <w:color w:val="000000"/>
                <w:sz w:val="22"/>
                <w:szCs w:val="22"/>
              </w:rPr>
            </w:pPr>
          </w:p>
        </w:tc>
        <w:tc>
          <w:tcPr>
            <w:tcW w:w="939" w:type="dxa"/>
            <w:shd w:val="clear" w:color="auto" w:fill="auto"/>
            <w:noWrap/>
            <w:vAlign w:val="bottom"/>
          </w:tcPr>
          <w:p w14:paraId="347F689F" w14:textId="2273ECAF" w:rsidR="00AB7289" w:rsidRPr="00842993" w:rsidRDefault="00AB7289" w:rsidP="00BC0A82">
            <w:pPr>
              <w:keepNext/>
              <w:jc w:val="center"/>
              <w:rPr>
                <w:rFonts w:ascii="Times New Roman" w:hAnsi="Times New Roman" w:cs="Times New Roman"/>
                <w:color w:val="000000"/>
                <w:sz w:val="22"/>
                <w:szCs w:val="22"/>
              </w:rPr>
            </w:pPr>
          </w:p>
        </w:tc>
        <w:tc>
          <w:tcPr>
            <w:tcW w:w="936" w:type="dxa"/>
            <w:shd w:val="clear" w:color="auto" w:fill="auto"/>
            <w:noWrap/>
            <w:vAlign w:val="bottom"/>
          </w:tcPr>
          <w:p w14:paraId="16DD78E7" w14:textId="25F42674" w:rsidR="00AB7289" w:rsidRPr="00842993" w:rsidRDefault="00AB7289" w:rsidP="00BC0A82">
            <w:pPr>
              <w:keepNext/>
              <w:jc w:val="center"/>
              <w:rPr>
                <w:rFonts w:ascii="Times New Roman" w:hAnsi="Times New Roman" w:cs="Times New Roman"/>
                <w:color w:val="000000"/>
                <w:sz w:val="22"/>
                <w:szCs w:val="22"/>
              </w:rPr>
            </w:pPr>
          </w:p>
        </w:tc>
        <w:tc>
          <w:tcPr>
            <w:tcW w:w="825" w:type="dxa"/>
            <w:shd w:val="clear" w:color="auto" w:fill="auto"/>
            <w:noWrap/>
            <w:vAlign w:val="bottom"/>
          </w:tcPr>
          <w:p w14:paraId="4973E0ED" w14:textId="1D497402" w:rsidR="00AB7289" w:rsidRPr="00842993" w:rsidRDefault="00AB7289" w:rsidP="00BC0A82">
            <w:pPr>
              <w:keepNext/>
              <w:jc w:val="center"/>
              <w:rPr>
                <w:rFonts w:ascii="Times New Roman" w:hAnsi="Times New Roman" w:cs="Times New Roman"/>
                <w:color w:val="000000"/>
                <w:sz w:val="22"/>
                <w:szCs w:val="22"/>
              </w:rPr>
            </w:pPr>
          </w:p>
        </w:tc>
        <w:tc>
          <w:tcPr>
            <w:tcW w:w="896" w:type="dxa"/>
            <w:shd w:val="clear" w:color="auto" w:fill="auto"/>
            <w:vAlign w:val="bottom"/>
          </w:tcPr>
          <w:p w14:paraId="7D88C7F9" w14:textId="29C59DF4" w:rsidR="00AB7289" w:rsidRPr="00842993" w:rsidRDefault="00AB7289" w:rsidP="00BC0A82">
            <w:pPr>
              <w:keepNext/>
              <w:jc w:val="center"/>
              <w:rPr>
                <w:rFonts w:ascii="Times New Roman" w:hAnsi="Times New Roman" w:cs="Times New Roman"/>
                <w:color w:val="000000"/>
                <w:sz w:val="22"/>
                <w:szCs w:val="22"/>
              </w:rPr>
            </w:pPr>
          </w:p>
        </w:tc>
      </w:tr>
      <w:tr w:rsidR="00AB7289" w:rsidRPr="00842993" w14:paraId="6B4D0475" w14:textId="77777777" w:rsidTr="000C019E">
        <w:trPr>
          <w:trHeight w:val="294"/>
        </w:trPr>
        <w:tc>
          <w:tcPr>
            <w:tcW w:w="4219" w:type="dxa"/>
            <w:shd w:val="clear" w:color="auto" w:fill="auto"/>
            <w:noWrap/>
            <w:vAlign w:val="bottom"/>
            <w:hideMark/>
          </w:tcPr>
          <w:p w14:paraId="79574BA8" w14:textId="77777777" w:rsidR="00AB7289" w:rsidRPr="00842993" w:rsidRDefault="00AB7289" w:rsidP="00BC0A82">
            <w:pPr>
              <w:keepNext/>
              <w:rPr>
                <w:rFonts w:ascii="Times New Roman" w:hAnsi="Times New Roman" w:cs="Times New Roman"/>
                <w:color w:val="000000"/>
                <w:sz w:val="22"/>
                <w:szCs w:val="22"/>
              </w:rPr>
            </w:pPr>
            <w:r w:rsidRPr="00842993">
              <w:rPr>
                <w:rFonts w:ascii="Times New Roman" w:hAnsi="Times New Roman" w:cs="Times New Roman"/>
                <w:color w:val="000000"/>
                <w:sz w:val="22"/>
                <w:szCs w:val="22"/>
              </w:rPr>
              <w:t xml:space="preserve"> GSCEs level</w:t>
            </w:r>
          </w:p>
        </w:tc>
        <w:tc>
          <w:tcPr>
            <w:tcW w:w="516" w:type="dxa"/>
            <w:shd w:val="clear" w:color="auto" w:fill="auto"/>
            <w:noWrap/>
            <w:vAlign w:val="bottom"/>
          </w:tcPr>
          <w:p w14:paraId="24FE6C76" w14:textId="373A106A" w:rsidR="00AB7289" w:rsidRPr="00842993" w:rsidRDefault="00FD5A96" w:rsidP="00BC0A82">
            <w:pPr>
              <w:keepNext/>
              <w:jc w:val="center"/>
              <w:rPr>
                <w:rFonts w:ascii="Times New Roman" w:hAnsi="Times New Roman" w:cs="Times New Roman"/>
                <w:color w:val="000000"/>
                <w:sz w:val="22"/>
                <w:szCs w:val="22"/>
              </w:rPr>
            </w:pPr>
            <w:r w:rsidRPr="00842993">
              <w:rPr>
                <w:rFonts w:ascii="Times New Roman" w:hAnsi="Times New Roman" w:cs="Times New Roman"/>
                <w:color w:val="000000"/>
                <w:sz w:val="22"/>
                <w:szCs w:val="22"/>
              </w:rPr>
              <w:t>10</w:t>
            </w:r>
          </w:p>
        </w:tc>
        <w:tc>
          <w:tcPr>
            <w:tcW w:w="1188" w:type="dxa"/>
            <w:shd w:val="clear" w:color="auto" w:fill="auto"/>
            <w:noWrap/>
            <w:vAlign w:val="bottom"/>
          </w:tcPr>
          <w:p w14:paraId="4F93AB15" w14:textId="53F261BF" w:rsidR="00AB7289" w:rsidRPr="00842993" w:rsidRDefault="00FD5A96" w:rsidP="00BC0A82">
            <w:pPr>
              <w:keepNext/>
              <w:jc w:val="center"/>
              <w:rPr>
                <w:rFonts w:ascii="Times New Roman" w:hAnsi="Times New Roman" w:cs="Times New Roman"/>
                <w:color w:val="000000"/>
                <w:sz w:val="22"/>
                <w:szCs w:val="22"/>
              </w:rPr>
            </w:pPr>
            <w:r w:rsidRPr="00842993">
              <w:rPr>
                <w:rFonts w:ascii="Times New Roman" w:hAnsi="Times New Roman" w:cs="Times New Roman"/>
                <w:color w:val="000000"/>
                <w:sz w:val="22"/>
                <w:szCs w:val="22"/>
              </w:rPr>
              <w:t>50</w:t>
            </w:r>
          </w:p>
        </w:tc>
        <w:tc>
          <w:tcPr>
            <w:tcW w:w="939" w:type="dxa"/>
            <w:shd w:val="clear" w:color="auto" w:fill="auto"/>
            <w:noWrap/>
            <w:vAlign w:val="bottom"/>
          </w:tcPr>
          <w:p w14:paraId="6F1711A7" w14:textId="763FDF41" w:rsidR="00AB7289" w:rsidRPr="00842993" w:rsidRDefault="00AB7289" w:rsidP="00BC0A82">
            <w:pPr>
              <w:keepNext/>
              <w:jc w:val="center"/>
              <w:rPr>
                <w:rFonts w:ascii="Times New Roman" w:hAnsi="Times New Roman" w:cs="Times New Roman"/>
                <w:color w:val="000000"/>
                <w:sz w:val="22"/>
                <w:szCs w:val="22"/>
              </w:rPr>
            </w:pPr>
          </w:p>
        </w:tc>
        <w:tc>
          <w:tcPr>
            <w:tcW w:w="936" w:type="dxa"/>
            <w:shd w:val="clear" w:color="auto" w:fill="auto"/>
            <w:noWrap/>
            <w:vAlign w:val="bottom"/>
          </w:tcPr>
          <w:p w14:paraId="630D2961" w14:textId="698A35D3" w:rsidR="00AB7289" w:rsidRPr="00842993" w:rsidRDefault="00AB7289" w:rsidP="00BC0A82">
            <w:pPr>
              <w:keepNext/>
              <w:jc w:val="center"/>
              <w:rPr>
                <w:rFonts w:ascii="Times New Roman" w:hAnsi="Times New Roman" w:cs="Times New Roman"/>
                <w:color w:val="000000"/>
                <w:sz w:val="22"/>
                <w:szCs w:val="22"/>
              </w:rPr>
            </w:pPr>
          </w:p>
        </w:tc>
        <w:tc>
          <w:tcPr>
            <w:tcW w:w="825" w:type="dxa"/>
            <w:shd w:val="clear" w:color="auto" w:fill="auto"/>
            <w:noWrap/>
            <w:vAlign w:val="bottom"/>
          </w:tcPr>
          <w:p w14:paraId="0AF955DE" w14:textId="164B806B" w:rsidR="00AB7289" w:rsidRPr="00842993" w:rsidRDefault="00AB7289" w:rsidP="00BC0A82">
            <w:pPr>
              <w:keepNext/>
              <w:jc w:val="center"/>
              <w:rPr>
                <w:rFonts w:ascii="Times New Roman" w:hAnsi="Times New Roman" w:cs="Times New Roman"/>
                <w:color w:val="000000"/>
                <w:sz w:val="22"/>
                <w:szCs w:val="22"/>
              </w:rPr>
            </w:pPr>
          </w:p>
        </w:tc>
        <w:tc>
          <w:tcPr>
            <w:tcW w:w="896" w:type="dxa"/>
            <w:shd w:val="clear" w:color="auto" w:fill="auto"/>
            <w:vAlign w:val="bottom"/>
          </w:tcPr>
          <w:p w14:paraId="1A5FE125" w14:textId="1E900639" w:rsidR="00AB7289" w:rsidRPr="00842993" w:rsidRDefault="00AB7289" w:rsidP="00BC0A82">
            <w:pPr>
              <w:keepNext/>
              <w:jc w:val="center"/>
              <w:rPr>
                <w:rFonts w:ascii="Times New Roman" w:hAnsi="Times New Roman" w:cs="Times New Roman"/>
                <w:color w:val="000000"/>
                <w:sz w:val="22"/>
                <w:szCs w:val="22"/>
              </w:rPr>
            </w:pPr>
          </w:p>
        </w:tc>
      </w:tr>
      <w:tr w:rsidR="00AB7289" w:rsidRPr="00842993" w14:paraId="4114D02C" w14:textId="77777777" w:rsidTr="000C019E">
        <w:trPr>
          <w:trHeight w:val="294"/>
        </w:trPr>
        <w:tc>
          <w:tcPr>
            <w:tcW w:w="4219" w:type="dxa"/>
            <w:shd w:val="clear" w:color="auto" w:fill="auto"/>
            <w:noWrap/>
            <w:vAlign w:val="bottom"/>
            <w:hideMark/>
          </w:tcPr>
          <w:p w14:paraId="04B0E94E" w14:textId="519A81BA" w:rsidR="00AB7289" w:rsidRPr="00842993" w:rsidRDefault="00AB7289" w:rsidP="00BC0A82">
            <w:pPr>
              <w:keepNext/>
              <w:rPr>
                <w:rFonts w:ascii="Times New Roman" w:hAnsi="Times New Roman" w:cs="Times New Roman"/>
                <w:color w:val="000000"/>
                <w:sz w:val="22"/>
                <w:szCs w:val="22"/>
              </w:rPr>
            </w:pPr>
            <w:r w:rsidRPr="00842993">
              <w:rPr>
                <w:rFonts w:ascii="Times New Roman" w:hAnsi="Times New Roman" w:cs="Times New Roman"/>
                <w:color w:val="000000"/>
                <w:sz w:val="22"/>
                <w:szCs w:val="22"/>
              </w:rPr>
              <w:t xml:space="preserve"> A levels</w:t>
            </w:r>
          </w:p>
        </w:tc>
        <w:tc>
          <w:tcPr>
            <w:tcW w:w="516" w:type="dxa"/>
            <w:shd w:val="clear" w:color="auto" w:fill="auto"/>
            <w:noWrap/>
            <w:vAlign w:val="bottom"/>
          </w:tcPr>
          <w:p w14:paraId="11F2FEED" w14:textId="49947A5D" w:rsidR="00AB7289" w:rsidRPr="00842993" w:rsidRDefault="00FD5A96" w:rsidP="00BC0A82">
            <w:pPr>
              <w:keepNext/>
              <w:jc w:val="center"/>
              <w:rPr>
                <w:rFonts w:ascii="Times New Roman" w:hAnsi="Times New Roman" w:cs="Times New Roman"/>
                <w:color w:val="000000"/>
                <w:sz w:val="22"/>
                <w:szCs w:val="22"/>
              </w:rPr>
            </w:pPr>
            <w:r w:rsidRPr="00842993">
              <w:rPr>
                <w:rFonts w:ascii="Times New Roman" w:hAnsi="Times New Roman" w:cs="Times New Roman"/>
                <w:color w:val="000000"/>
                <w:sz w:val="22"/>
                <w:szCs w:val="22"/>
              </w:rPr>
              <w:t>5</w:t>
            </w:r>
          </w:p>
        </w:tc>
        <w:tc>
          <w:tcPr>
            <w:tcW w:w="1188" w:type="dxa"/>
            <w:shd w:val="clear" w:color="auto" w:fill="auto"/>
            <w:noWrap/>
            <w:vAlign w:val="bottom"/>
          </w:tcPr>
          <w:p w14:paraId="322A764E" w14:textId="149CCC68" w:rsidR="00AB7289" w:rsidRPr="00842993" w:rsidRDefault="00FD5A96" w:rsidP="00BC0A82">
            <w:pPr>
              <w:keepNext/>
              <w:jc w:val="center"/>
              <w:rPr>
                <w:rFonts w:ascii="Times New Roman" w:hAnsi="Times New Roman" w:cs="Times New Roman"/>
                <w:color w:val="000000"/>
                <w:sz w:val="22"/>
                <w:szCs w:val="22"/>
              </w:rPr>
            </w:pPr>
            <w:r w:rsidRPr="00842993">
              <w:rPr>
                <w:rFonts w:ascii="Times New Roman" w:hAnsi="Times New Roman" w:cs="Times New Roman"/>
                <w:color w:val="000000"/>
                <w:sz w:val="22"/>
                <w:szCs w:val="22"/>
              </w:rPr>
              <w:t>25</w:t>
            </w:r>
          </w:p>
        </w:tc>
        <w:tc>
          <w:tcPr>
            <w:tcW w:w="939" w:type="dxa"/>
            <w:shd w:val="clear" w:color="auto" w:fill="auto"/>
            <w:noWrap/>
            <w:vAlign w:val="bottom"/>
          </w:tcPr>
          <w:p w14:paraId="22096E9F" w14:textId="1612D366" w:rsidR="00AB7289" w:rsidRPr="00842993" w:rsidRDefault="00AB7289" w:rsidP="00BC0A82">
            <w:pPr>
              <w:keepNext/>
              <w:jc w:val="center"/>
              <w:rPr>
                <w:rFonts w:ascii="Times New Roman" w:hAnsi="Times New Roman" w:cs="Times New Roman"/>
                <w:color w:val="000000"/>
                <w:sz w:val="22"/>
                <w:szCs w:val="22"/>
              </w:rPr>
            </w:pPr>
          </w:p>
        </w:tc>
        <w:tc>
          <w:tcPr>
            <w:tcW w:w="936" w:type="dxa"/>
            <w:shd w:val="clear" w:color="auto" w:fill="auto"/>
            <w:noWrap/>
            <w:vAlign w:val="bottom"/>
          </w:tcPr>
          <w:p w14:paraId="5EE58CE5" w14:textId="3D8AEF80" w:rsidR="00AB7289" w:rsidRPr="00842993" w:rsidRDefault="00AB7289" w:rsidP="00BC0A82">
            <w:pPr>
              <w:keepNext/>
              <w:jc w:val="center"/>
              <w:rPr>
                <w:rFonts w:ascii="Times New Roman" w:hAnsi="Times New Roman" w:cs="Times New Roman"/>
                <w:color w:val="000000"/>
                <w:sz w:val="22"/>
                <w:szCs w:val="22"/>
              </w:rPr>
            </w:pPr>
          </w:p>
        </w:tc>
        <w:tc>
          <w:tcPr>
            <w:tcW w:w="825" w:type="dxa"/>
            <w:shd w:val="clear" w:color="auto" w:fill="auto"/>
            <w:noWrap/>
            <w:vAlign w:val="bottom"/>
          </w:tcPr>
          <w:p w14:paraId="275B23CE" w14:textId="1964728B" w:rsidR="00AB7289" w:rsidRPr="00842993" w:rsidRDefault="00AB7289" w:rsidP="00BC0A82">
            <w:pPr>
              <w:keepNext/>
              <w:jc w:val="center"/>
              <w:rPr>
                <w:rFonts w:ascii="Times New Roman" w:hAnsi="Times New Roman" w:cs="Times New Roman"/>
                <w:color w:val="000000"/>
                <w:sz w:val="22"/>
                <w:szCs w:val="22"/>
              </w:rPr>
            </w:pPr>
          </w:p>
        </w:tc>
        <w:tc>
          <w:tcPr>
            <w:tcW w:w="896" w:type="dxa"/>
            <w:shd w:val="clear" w:color="auto" w:fill="auto"/>
            <w:vAlign w:val="bottom"/>
          </w:tcPr>
          <w:p w14:paraId="6E795DEA" w14:textId="376E3142" w:rsidR="00AB7289" w:rsidRPr="00842993" w:rsidRDefault="00AB7289" w:rsidP="00BC0A82">
            <w:pPr>
              <w:keepNext/>
              <w:jc w:val="center"/>
              <w:rPr>
                <w:rFonts w:ascii="Times New Roman" w:hAnsi="Times New Roman" w:cs="Times New Roman"/>
                <w:color w:val="000000"/>
                <w:sz w:val="22"/>
                <w:szCs w:val="22"/>
              </w:rPr>
            </w:pPr>
          </w:p>
        </w:tc>
      </w:tr>
      <w:tr w:rsidR="00AB7289" w:rsidRPr="00842993" w14:paraId="6F681BF8" w14:textId="77777777" w:rsidTr="000C019E">
        <w:trPr>
          <w:trHeight w:val="294"/>
        </w:trPr>
        <w:tc>
          <w:tcPr>
            <w:tcW w:w="4219" w:type="dxa"/>
            <w:shd w:val="clear" w:color="auto" w:fill="auto"/>
            <w:noWrap/>
            <w:vAlign w:val="bottom"/>
            <w:hideMark/>
          </w:tcPr>
          <w:p w14:paraId="5682ECB1" w14:textId="64AACF50" w:rsidR="00AB7289" w:rsidRPr="00842993" w:rsidRDefault="00AB7289" w:rsidP="00BC0A82">
            <w:pPr>
              <w:keepNext/>
              <w:rPr>
                <w:rFonts w:ascii="Times New Roman" w:hAnsi="Times New Roman" w:cs="Times New Roman"/>
                <w:color w:val="000000"/>
                <w:sz w:val="22"/>
                <w:szCs w:val="22"/>
              </w:rPr>
            </w:pPr>
            <w:r w:rsidRPr="00842993">
              <w:rPr>
                <w:rFonts w:ascii="Times New Roman" w:hAnsi="Times New Roman" w:cs="Times New Roman"/>
                <w:color w:val="000000"/>
                <w:sz w:val="22"/>
                <w:szCs w:val="22"/>
              </w:rPr>
              <w:t xml:space="preserve"> Undergraduate level (5 to 6)</w:t>
            </w:r>
          </w:p>
        </w:tc>
        <w:tc>
          <w:tcPr>
            <w:tcW w:w="516" w:type="dxa"/>
            <w:shd w:val="clear" w:color="auto" w:fill="auto"/>
            <w:noWrap/>
            <w:vAlign w:val="bottom"/>
          </w:tcPr>
          <w:p w14:paraId="77BF31CA" w14:textId="39AF0BAB" w:rsidR="00AB7289" w:rsidRPr="00842993" w:rsidRDefault="00FD5A96" w:rsidP="00BC0A82">
            <w:pPr>
              <w:keepNext/>
              <w:jc w:val="center"/>
              <w:rPr>
                <w:rFonts w:ascii="Times New Roman" w:hAnsi="Times New Roman" w:cs="Times New Roman"/>
                <w:color w:val="000000"/>
                <w:sz w:val="22"/>
                <w:szCs w:val="22"/>
              </w:rPr>
            </w:pPr>
            <w:r w:rsidRPr="00842993">
              <w:rPr>
                <w:rFonts w:ascii="Times New Roman" w:hAnsi="Times New Roman" w:cs="Times New Roman"/>
                <w:color w:val="000000"/>
                <w:sz w:val="22"/>
                <w:szCs w:val="22"/>
              </w:rPr>
              <w:t>2</w:t>
            </w:r>
          </w:p>
        </w:tc>
        <w:tc>
          <w:tcPr>
            <w:tcW w:w="1188" w:type="dxa"/>
            <w:shd w:val="clear" w:color="auto" w:fill="auto"/>
            <w:noWrap/>
            <w:vAlign w:val="bottom"/>
          </w:tcPr>
          <w:p w14:paraId="7CE61D5F" w14:textId="5E5A7A76" w:rsidR="00AB7289" w:rsidRPr="00842993" w:rsidRDefault="00FD5A96" w:rsidP="00BC0A82">
            <w:pPr>
              <w:keepNext/>
              <w:jc w:val="center"/>
              <w:rPr>
                <w:rFonts w:ascii="Times New Roman" w:hAnsi="Times New Roman" w:cs="Times New Roman"/>
                <w:color w:val="000000"/>
                <w:sz w:val="22"/>
                <w:szCs w:val="22"/>
              </w:rPr>
            </w:pPr>
            <w:r w:rsidRPr="00842993">
              <w:rPr>
                <w:rFonts w:ascii="Times New Roman" w:hAnsi="Times New Roman" w:cs="Times New Roman"/>
                <w:color w:val="000000"/>
                <w:sz w:val="22"/>
                <w:szCs w:val="22"/>
              </w:rPr>
              <w:t>10</w:t>
            </w:r>
          </w:p>
        </w:tc>
        <w:tc>
          <w:tcPr>
            <w:tcW w:w="939" w:type="dxa"/>
            <w:shd w:val="clear" w:color="auto" w:fill="auto"/>
            <w:noWrap/>
            <w:vAlign w:val="bottom"/>
          </w:tcPr>
          <w:p w14:paraId="2301C39E" w14:textId="7AC8E392" w:rsidR="00AB7289" w:rsidRPr="00842993" w:rsidRDefault="00AB7289" w:rsidP="00BC0A82">
            <w:pPr>
              <w:keepNext/>
              <w:jc w:val="center"/>
              <w:rPr>
                <w:rFonts w:ascii="Times New Roman" w:hAnsi="Times New Roman" w:cs="Times New Roman"/>
                <w:color w:val="000000"/>
                <w:sz w:val="22"/>
                <w:szCs w:val="22"/>
              </w:rPr>
            </w:pPr>
          </w:p>
        </w:tc>
        <w:tc>
          <w:tcPr>
            <w:tcW w:w="936" w:type="dxa"/>
            <w:shd w:val="clear" w:color="auto" w:fill="auto"/>
            <w:noWrap/>
            <w:vAlign w:val="bottom"/>
          </w:tcPr>
          <w:p w14:paraId="15BA52DA" w14:textId="45F59E5B" w:rsidR="00AB7289" w:rsidRPr="00842993" w:rsidRDefault="00AB7289" w:rsidP="00BC0A82">
            <w:pPr>
              <w:keepNext/>
              <w:jc w:val="center"/>
              <w:rPr>
                <w:rFonts w:ascii="Times New Roman" w:hAnsi="Times New Roman" w:cs="Times New Roman"/>
                <w:color w:val="000000"/>
                <w:sz w:val="22"/>
                <w:szCs w:val="22"/>
              </w:rPr>
            </w:pPr>
          </w:p>
        </w:tc>
        <w:tc>
          <w:tcPr>
            <w:tcW w:w="825" w:type="dxa"/>
            <w:shd w:val="clear" w:color="auto" w:fill="auto"/>
            <w:noWrap/>
            <w:vAlign w:val="bottom"/>
          </w:tcPr>
          <w:p w14:paraId="28092F7E" w14:textId="3BC3147C" w:rsidR="00AB7289" w:rsidRPr="00842993" w:rsidRDefault="00AB7289" w:rsidP="00BC0A82">
            <w:pPr>
              <w:keepNext/>
              <w:jc w:val="center"/>
              <w:rPr>
                <w:rFonts w:ascii="Times New Roman" w:hAnsi="Times New Roman" w:cs="Times New Roman"/>
                <w:color w:val="000000"/>
                <w:sz w:val="22"/>
                <w:szCs w:val="22"/>
              </w:rPr>
            </w:pPr>
          </w:p>
        </w:tc>
        <w:tc>
          <w:tcPr>
            <w:tcW w:w="896" w:type="dxa"/>
            <w:shd w:val="clear" w:color="auto" w:fill="auto"/>
            <w:vAlign w:val="bottom"/>
          </w:tcPr>
          <w:p w14:paraId="036FB464" w14:textId="7F0346E1" w:rsidR="00AB7289" w:rsidRPr="00842993" w:rsidRDefault="00AB7289" w:rsidP="00BC0A82">
            <w:pPr>
              <w:keepNext/>
              <w:jc w:val="center"/>
              <w:rPr>
                <w:rFonts w:ascii="Times New Roman" w:hAnsi="Times New Roman" w:cs="Times New Roman"/>
                <w:color w:val="000000"/>
                <w:sz w:val="22"/>
                <w:szCs w:val="22"/>
              </w:rPr>
            </w:pPr>
          </w:p>
        </w:tc>
      </w:tr>
      <w:tr w:rsidR="00AB7289" w:rsidRPr="00842993" w14:paraId="7E75A118" w14:textId="77777777" w:rsidTr="000C019E">
        <w:trPr>
          <w:trHeight w:val="294"/>
        </w:trPr>
        <w:tc>
          <w:tcPr>
            <w:tcW w:w="4219" w:type="dxa"/>
            <w:shd w:val="clear" w:color="auto" w:fill="auto"/>
            <w:noWrap/>
            <w:vAlign w:val="bottom"/>
            <w:hideMark/>
          </w:tcPr>
          <w:p w14:paraId="0805E96A" w14:textId="6640831A" w:rsidR="00AB7289" w:rsidRPr="00842993" w:rsidRDefault="00AB7289" w:rsidP="00BC0A82">
            <w:pPr>
              <w:keepNext/>
              <w:rPr>
                <w:rFonts w:ascii="Times New Roman" w:hAnsi="Times New Roman" w:cs="Times New Roman"/>
                <w:color w:val="000000"/>
                <w:sz w:val="22"/>
                <w:szCs w:val="22"/>
              </w:rPr>
            </w:pPr>
            <w:r w:rsidRPr="00842993">
              <w:rPr>
                <w:rFonts w:ascii="Times New Roman" w:hAnsi="Times New Roman" w:cs="Times New Roman"/>
                <w:color w:val="000000"/>
                <w:sz w:val="22"/>
                <w:szCs w:val="22"/>
              </w:rPr>
              <w:t> </w:t>
            </w:r>
            <w:r w:rsidR="00FD5A96" w:rsidRPr="00842993">
              <w:rPr>
                <w:rFonts w:ascii="Times New Roman" w:hAnsi="Times New Roman" w:cs="Times New Roman"/>
                <w:color w:val="000000"/>
                <w:sz w:val="22"/>
                <w:szCs w:val="22"/>
              </w:rPr>
              <w:t>Post-graduate level (7 and above)</w:t>
            </w:r>
          </w:p>
        </w:tc>
        <w:tc>
          <w:tcPr>
            <w:tcW w:w="516" w:type="dxa"/>
            <w:shd w:val="clear" w:color="auto" w:fill="auto"/>
            <w:noWrap/>
            <w:vAlign w:val="bottom"/>
          </w:tcPr>
          <w:p w14:paraId="65D845C5" w14:textId="0B5F68B4" w:rsidR="00AB7289" w:rsidRPr="00842993" w:rsidRDefault="00FD5A96" w:rsidP="00BC0A82">
            <w:pPr>
              <w:keepNext/>
              <w:jc w:val="center"/>
              <w:rPr>
                <w:rFonts w:ascii="Times New Roman" w:hAnsi="Times New Roman" w:cs="Times New Roman"/>
                <w:color w:val="000000"/>
                <w:sz w:val="22"/>
                <w:szCs w:val="22"/>
              </w:rPr>
            </w:pPr>
            <w:r w:rsidRPr="00842993">
              <w:rPr>
                <w:rFonts w:ascii="Times New Roman" w:hAnsi="Times New Roman" w:cs="Times New Roman"/>
                <w:color w:val="000000"/>
                <w:sz w:val="22"/>
                <w:szCs w:val="22"/>
              </w:rPr>
              <w:t>3</w:t>
            </w:r>
          </w:p>
        </w:tc>
        <w:tc>
          <w:tcPr>
            <w:tcW w:w="1188" w:type="dxa"/>
            <w:shd w:val="clear" w:color="auto" w:fill="auto"/>
            <w:noWrap/>
            <w:vAlign w:val="bottom"/>
          </w:tcPr>
          <w:p w14:paraId="34F99499" w14:textId="5018E20C" w:rsidR="00AB7289" w:rsidRPr="00842993" w:rsidRDefault="00FD5A96" w:rsidP="00BC0A82">
            <w:pPr>
              <w:keepNext/>
              <w:jc w:val="center"/>
              <w:rPr>
                <w:rFonts w:ascii="Times New Roman" w:hAnsi="Times New Roman" w:cs="Times New Roman"/>
                <w:color w:val="000000"/>
                <w:sz w:val="22"/>
                <w:szCs w:val="22"/>
              </w:rPr>
            </w:pPr>
            <w:r w:rsidRPr="00842993">
              <w:rPr>
                <w:rFonts w:ascii="Times New Roman" w:hAnsi="Times New Roman" w:cs="Times New Roman"/>
                <w:color w:val="000000"/>
                <w:sz w:val="22"/>
                <w:szCs w:val="22"/>
              </w:rPr>
              <w:t>15</w:t>
            </w:r>
          </w:p>
        </w:tc>
        <w:tc>
          <w:tcPr>
            <w:tcW w:w="939" w:type="dxa"/>
            <w:shd w:val="clear" w:color="auto" w:fill="auto"/>
            <w:noWrap/>
            <w:vAlign w:val="bottom"/>
          </w:tcPr>
          <w:p w14:paraId="65C678FD" w14:textId="65A5A977" w:rsidR="00AB7289" w:rsidRPr="00842993" w:rsidRDefault="00AB7289" w:rsidP="00BC0A82">
            <w:pPr>
              <w:keepNext/>
              <w:jc w:val="center"/>
              <w:rPr>
                <w:rFonts w:ascii="Times New Roman" w:hAnsi="Times New Roman" w:cs="Times New Roman"/>
                <w:color w:val="000000"/>
                <w:sz w:val="22"/>
                <w:szCs w:val="22"/>
              </w:rPr>
            </w:pPr>
          </w:p>
        </w:tc>
        <w:tc>
          <w:tcPr>
            <w:tcW w:w="936" w:type="dxa"/>
            <w:shd w:val="clear" w:color="auto" w:fill="auto"/>
            <w:noWrap/>
            <w:vAlign w:val="bottom"/>
          </w:tcPr>
          <w:p w14:paraId="0A1C5FB9" w14:textId="3D2F964C" w:rsidR="00AB7289" w:rsidRPr="00842993" w:rsidRDefault="00AB7289" w:rsidP="00BC0A82">
            <w:pPr>
              <w:keepNext/>
              <w:jc w:val="center"/>
              <w:rPr>
                <w:rFonts w:ascii="Times New Roman" w:hAnsi="Times New Roman" w:cs="Times New Roman"/>
                <w:color w:val="000000"/>
                <w:sz w:val="22"/>
                <w:szCs w:val="22"/>
              </w:rPr>
            </w:pPr>
          </w:p>
        </w:tc>
        <w:tc>
          <w:tcPr>
            <w:tcW w:w="825" w:type="dxa"/>
            <w:shd w:val="clear" w:color="auto" w:fill="auto"/>
            <w:noWrap/>
            <w:vAlign w:val="bottom"/>
          </w:tcPr>
          <w:p w14:paraId="7D90FF90" w14:textId="3B4E12AF" w:rsidR="00AB7289" w:rsidRPr="00842993" w:rsidRDefault="00AB7289" w:rsidP="00BC0A82">
            <w:pPr>
              <w:keepNext/>
              <w:jc w:val="center"/>
              <w:rPr>
                <w:rFonts w:ascii="Times New Roman" w:hAnsi="Times New Roman" w:cs="Times New Roman"/>
                <w:color w:val="000000"/>
                <w:sz w:val="22"/>
                <w:szCs w:val="22"/>
              </w:rPr>
            </w:pPr>
          </w:p>
        </w:tc>
        <w:tc>
          <w:tcPr>
            <w:tcW w:w="896" w:type="dxa"/>
            <w:shd w:val="clear" w:color="auto" w:fill="auto"/>
            <w:vAlign w:val="bottom"/>
          </w:tcPr>
          <w:p w14:paraId="3EA942D4" w14:textId="16A10BCA" w:rsidR="00AB7289" w:rsidRPr="00842993" w:rsidRDefault="00AB7289" w:rsidP="00BC0A82">
            <w:pPr>
              <w:keepNext/>
              <w:jc w:val="center"/>
              <w:rPr>
                <w:rFonts w:ascii="Times New Roman" w:hAnsi="Times New Roman" w:cs="Times New Roman"/>
                <w:color w:val="000000"/>
                <w:sz w:val="22"/>
                <w:szCs w:val="22"/>
              </w:rPr>
            </w:pPr>
          </w:p>
        </w:tc>
      </w:tr>
      <w:tr w:rsidR="001B2EB5" w:rsidRPr="00842993" w14:paraId="56CC3EDB" w14:textId="77777777" w:rsidTr="000C019E">
        <w:trPr>
          <w:trHeight w:val="294"/>
        </w:trPr>
        <w:tc>
          <w:tcPr>
            <w:tcW w:w="4219" w:type="dxa"/>
            <w:shd w:val="clear" w:color="auto" w:fill="auto"/>
            <w:noWrap/>
            <w:vAlign w:val="bottom"/>
          </w:tcPr>
          <w:p w14:paraId="47B2FAEB" w14:textId="77777777" w:rsidR="001B2EB5" w:rsidRPr="00842993" w:rsidRDefault="001B2EB5" w:rsidP="00BC0A82">
            <w:pPr>
              <w:keepNext/>
              <w:rPr>
                <w:rFonts w:ascii="Times New Roman" w:hAnsi="Times New Roman" w:cs="Times New Roman"/>
                <w:b/>
                <w:bCs/>
                <w:color w:val="000000"/>
                <w:sz w:val="22"/>
                <w:szCs w:val="22"/>
              </w:rPr>
            </w:pPr>
          </w:p>
        </w:tc>
        <w:tc>
          <w:tcPr>
            <w:tcW w:w="516" w:type="dxa"/>
            <w:shd w:val="clear" w:color="auto" w:fill="auto"/>
            <w:noWrap/>
            <w:vAlign w:val="bottom"/>
          </w:tcPr>
          <w:p w14:paraId="3850E17D" w14:textId="77777777" w:rsidR="001B2EB5" w:rsidRPr="00842993" w:rsidRDefault="001B2EB5" w:rsidP="00BC0A82">
            <w:pPr>
              <w:keepNext/>
              <w:jc w:val="center"/>
              <w:rPr>
                <w:rFonts w:ascii="Times New Roman" w:hAnsi="Times New Roman" w:cs="Times New Roman"/>
                <w:color w:val="000000"/>
                <w:sz w:val="22"/>
                <w:szCs w:val="22"/>
              </w:rPr>
            </w:pPr>
          </w:p>
        </w:tc>
        <w:tc>
          <w:tcPr>
            <w:tcW w:w="1188" w:type="dxa"/>
            <w:shd w:val="clear" w:color="auto" w:fill="auto"/>
            <w:noWrap/>
            <w:vAlign w:val="bottom"/>
          </w:tcPr>
          <w:p w14:paraId="11E74344" w14:textId="77777777" w:rsidR="001B2EB5" w:rsidRPr="00842993" w:rsidRDefault="001B2EB5" w:rsidP="00BC0A82">
            <w:pPr>
              <w:keepNext/>
              <w:jc w:val="center"/>
              <w:rPr>
                <w:rFonts w:ascii="Times New Roman" w:hAnsi="Times New Roman" w:cs="Times New Roman"/>
                <w:color w:val="000000"/>
                <w:sz w:val="22"/>
                <w:szCs w:val="22"/>
              </w:rPr>
            </w:pPr>
          </w:p>
        </w:tc>
        <w:tc>
          <w:tcPr>
            <w:tcW w:w="939" w:type="dxa"/>
            <w:shd w:val="clear" w:color="auto" w:fill="auto"/>
            <w:noWrap/>
            <w:vAlign w:val="bottom"/>
          </w:tcPr>
          <w:p w14:paraId="700C4CC9" w14:textId="77777777" w:rsidR="001B2EB5" w:rsidRPr="00842993" w:rsidRDefault="001B2EB5" w:rsidP="00BC0A82">
            <w:pPr>
              <w:keepNext/>
              <w:jc w:val="center"/>
              <w:rPr>
                <w:rFonts w:ascii="Times New Roman" w:hAnsi="Times New Roman" w:cs="Times New Roman"/>
                <w:color w:val="000000"/>
                <w:sz w:val="22"/>
                <w:szCs w:val="22"/>
              </w:rPr>
            </w:pPr>
          </w:p>
        </w:tc>
        <w:tc>
          <w:tcPr>
            <w:tcW w:w="936" w:type="dxa"/>
            <w:shd w:val="clear" w:color="auto" w:fill="auto"/>
            <w:noWrap/>
            <w:vAlign w:val="bottom"/>
          </w:tcPr>
          <w:p w14:paraId="22EAA6FE" w14:textId="77777777" w:rsidR="001B2EB5" w:rsidRPr="00842993" w:rsidRDefault="001B2EB5" w:rsidP="00BC0A82">
            <w:pPr>
              <w:keepNext/>
              <w:jc w:val="center"/>
              <w:rPr>
                <w:rFonts w:ascii="Times New Roman" w:hAnsi="Times New Roman" w:cs="Times New Roman"/>
                <w:color w:val="000000"/>
                <w:sz w:val="22"/>
                <w:szCs w:val="22"/>
              </w:rPr>
            </w:pPr>
          </w:p>
        </w:tc>
        <w:tc>
          <w:tcPr>
            <w:tcW w:w="825" w:type="dxa"/>
            <w:shd w:val="clear" w:color="auto" w:fill="auto"/>
            <w:noWrap/>
            <w:vAlign w:val="bottom"/>
          </w:tcPr>
          <w:p w14:paraId="1F152E60" w14:textId="77777777" w:rsidR="001B2EB5" w:rsidRPr="00842993" w:rsidRDefault="001B2EB5" w:rsidP="00BC0A82">
            <w:pPr>
              <w:keepNext/>
              <w:jc w:val="center"/>
              <w:rPr>
                <w:rFonts w:ascii="Times New Roman" w:hAnsi="Times New Roman" w:cs="Times New Roman"/>
                <w:color w:val="000000"/>
                <w:sz w:val="22"/>
                <w:szCs w:val="22"/>
              </w:rPr>
            </w:pPr>
          </w:p>
        </w:tc>
        <w:tc>
          <w:tcPr>
            <w:tcW w:w="896" w:type="dxa"/>
            <w:shd w:val="clear" w:color="auto" w:fill="auto"/>
            <w:vAlign w:val="bottom"/>
          </w:tcPr>
          <w:p w14:paraId="0AA0D306" w14:textId="77777777" w:rsidR="001B2EB5" w:rsidRPr="00842993" w:rsidRDefault="001B2EB5" w:rsidP="00BC0A82">
            <w:pPr>
              <w:keepNext/>
              <w:jc w:val="center"/>
              <w:rPr>
                <w:rFonts w:ascii="Times New Roman" w:hAnsi="Times New Roman" w:cs="Times New Roman"/>
                <w:color w:val="000000"/>
                <w:sz w:val="22"/>
                <w:szCs w:val="22"/>
              </w:rPr>
            </w:pPr>
          </w:p>
        </w:tc>
      </w:tr>
      <w:tr w:rsidR="00AB7289" w:rsidRPr="00842993" w14:paraId="42E8B233" w14:textId="77777777" w:rsidTr="000C019E">
        <w:trPr>
          <w:trHeight w:val="294"/>
        </w:trPr>
        <w:tc>
          <w:tcPr>
            <w:tcW w:w="4219" w:type="dxa"/>
            <w:shd w:val="clear" w:color="auto" w:fill="auto"/>
            <w:noWrap/>
            <w:vAlign w:val="bottom"/>
            <w:hideMark/>
          </w:tcPr>
          <w:p w14:paraId="01B20D02" w14:textId="77777777" w:rsidR="00AB7289" w:rsidRPr="00842993" w:rsidRDefault="00AB7289" w:rsidP="00BC0A82">
            <w:pPr>
              <w:keepNext/>
              <w:rPr>
                <w:rFonts w:ascii="Times New Roman" w:hAnsi="Times New Roman" w:cs="Times New Roman"/>
                <w:b/>
                <w:bCs/>
                <w:color w:val="000000"/>
                <w:sz w:val="22"/>
                <w:szCs w:val="22"/>
              </w:rPr>
            </w:pPr>
            <w:r w:rsidRPr="00842993">
              <w:rPr>
                <w:rFonts w:ascii="Times New Roman" w:hAnsi="Times New Roman" w:cs="Times New Roman"/>
                <w:b/>
                <w:bCs/>
                <w:color w:val="000000"/>
                <w:sz w:val="22"/>
                <w:szCs w:val="22"/>
              </w:rPr>
              <w:t xml:space="preserve">Occupational status </w:t>
            </w:r>
          </w:p>
        </w:tc>
        <w:tc>
          <w:tcPr>
            <w:tcW w:w="516" w:type="dxa"/>
            <w:shd w:val="clear" w:color="auto" w:fill="auto"/>
            <w:noWrap/>
            <w:vAlign w:val="bottom"/>
          </w:tcPr>
          <w:p w14:paraId="26A9BFCC" w14:textId="72524044" w:rsidR="00AB7289" w:rsidRPr="00842993" w:rsidRDefault="00AB7289" w:rsidP="00BC0A82">
            <w:pPr>
              <w:keepNext/>
              <w:jc w:val="center"/>
              <w:rPr>
                <w:rFonts w:ascii="Times New Roman" w:hAnsi="Times New Roman" w:cs="Times New Roman"/>
                <w:color w:val="000000"/>
                <w:sz w:val="22"/>
                <w:szCs w:val="22"/>
              </w:rPr>
            </w:pPr>
          </w:p>
        </w:tc>
        <w:tc>
          <w:tcPr>
            <w:tcW w:w="1188" w:type="dxa"/>
            <w:shd w:val="clear" w:color="auto" w:fill="auto"/>
            <w:noWrap/>
            <w:vAlign w:val="bottom"/>
          </w:tcPr>
          <w:p w14:paraId="592FC62F" w14:textId="1B2EED4C" w:rsidR="00AB7289" w:rsidRPr="00842993" w:rsidRDefault="00AB7289" w:rsidP="00BC0A82">
            <w:pPr>
              <w:keepNext/>
              <w:jc w:val="center"/>
              <w:rPr>
                <w:rFonts w:ascii="Times New Roman" w:hAnsi="Times New Roman" w:cs="Times New Roman"/>
                <w:color w:val="000000"/>
                <w:sz w:val="22"/>
                <w:szCs w:val="22"/>
              </w:rPr>
            </w:pPr>
          </w:p>
        </w:tc>
        <w:tc>
          <w:tcPr>
            <w:tcW w:w="939" w:type="dxa"/>
            <w:shd w:val="clear" w:color="auto" w:fill="auto"/>
            <w:noWrap/>
            <w:vAlign w:val="bottom"/>
          </w:tcPr>
          <w:p w14:paraId="18D2D816" w14:textId="649AA168" w:rsidR="00AB7289" w:rsidRPr="00842993" w:rsidRDefault="00AB7289" w:rsidP="00BC0A82">
            <w:pPr>
              <w:keepNext/>
              <w:jc w:val="center"/>
              <w:rPr>
                <w:rFonts w:ascii="Times New Roman" w:hAnsi="Times New Roman" w:cs="Times New Roman"/>
                <w:color w:val="000000"/>
                <w:sz w:val="22"/>
                <w:szCs w:val="22"/>
              </w:rPr>
            </w:pPr>
          </w:p>
        </w:tc>
        <w:tc>
          <w:tcPr>
            <w:tcW w:w="936" w:type="dxa"/>
            <w:shd w:val="clear" w:color="auto" w:fill="auto"/>
            <w:noWrap/>
            <w:vAlign w:val="bottom"/>
          </w:tcPr>
          <w:p w14:paraId="6BB883C1" w14:textId="68BE38EC" w:rsidR="00AB7289" w:rsidRPr="00842993" w:rsidRDefault="00AB7289" w:rsidP="00BC0A82">
            <w:pPr>
              <w:keepNext/>
              <w:jc w:val="center"/>
              <w:rPr>
                <w:rFonts w:ascii="Times New Roman" w:hAnsi="Times New Roman" w:cs="Times New Roman"/>
                <w:color w:val="000000"/>
                <w:sz w:val="22"/>
                <w:szCs w:val="22"/>
              </w:rPr>
            </w:pPr>
          </w:p>
        </w:tc>
        <w:tc>
          <w:tcPr>
            <w:tcW w:w="825" w:type="dxa"/>
            <w:shd w:val="clear" w:color="auto" w:fill="auto"/>
            <w:noWrap/>
            <w:vAlign w:val="bottom"/>
          </w:tcPr>
          <w:p w14:paraId="20A3730F" w14:textId="0423B408" w:rsidR="00AB7289" w:rsidRPr="00842993" w:rsidRDefault="00AB7289" w:rsidP="00BC0A82">
            <w:pPr>
              <w:keepNext/>
              <w:jc w:val="center"/>
              <w:rPr>
                <w:rFonts w:ascii="Times New Roman" w:hAnsi="Times New Roman" w:cs="Times New Roman"/>
                <w:color w:val="000000"/>
                <w:sz w:val="22"/>
                <w:szCs w:val="22"/>
              </w:rPr>
            </w:pPr>
          </w:p>
        </w:tc>
        <w:tc>
          <w:tcPr>
            <w:tcW w:w="896" w:type="dxa"/>
            <w:shd w:val="clear" w:color="auto" w:fill="auto"/>
            <w:vAlign w:val="bottom"/>
          </w:tcPr>
          <w:p w14:paraId="3981C829" w14:textId="19198C2F" w:rsidR="00AB7289" w:rsidRPr="00842993" w:rsidRDefault="00AB7289" w:rsidP="00BC0A82">
            <w:pPr>
              <w:keepNext/>
              <w:jc w:val="center"/>
              <w:rPr>
                <w:rFonts w:ascii="Times New Roman" w:hAnsi="Times New Roman" w:cs="Times New Roman"/>
                <w:color w:val="000000"/>
                <w:sz w:val="22"/>
                <w:szCs w:val="22"/>
              </w:rPr>
            </w:pPr>
          </w:p>
        </w:tc>
      </w:tr>
      <w:tr w:rsidR="00AB7289" w:rsidRPr="00842993" w14:paraId="19EB97BB" w14:textId="77777777" w:rsidTr="000C019E">
        <w:trPr>
          <w:trHeight w:val="294"/>
        </w:trPr>
        <w:tc>
          <w:tcPr>
            <w:tcW w:w="4219" w:type="dxa"/>
            <w:shd w:val="clear" w:color="auto" w:fill="auto"/>
            <w:noWrap/>
            <w:vAlign w:val="bottom"/>
            <w:hideMark/>
          </w:tcPr>
          <w:p w14:paraId="7409182E" w14:textId="77777777" w:rsidR="00AB7289" w:rsidRPr="00842993" w:rsidRDefault="00AB7289" w:rsidP="00BC0A82">
            <w:pPr>
              <w:keepNext/>
              <w:rPr>
                <w:rFonts w:ascii="Times New Roman" w:hAnsi="Times New Roman" w:cs="Times New Roman"/>
                <w:color w:val="000000"/>
                <w:sz w:val="22"/>
                <w:szCs w:val="22"/>
              </w:rPr>
            </w:pPr>
            <w:r w:rsidRPr="00842993">
              <w:rPr>
                <w:rFonts w:ascii="Times New Roman" w:hAnsi="Times New Roman" w:cs="Times New Roman"/>
                <w:color w:val="000000"/>
                <w:sz w:val="22"/>
                <w:szCs w:val="22"/>
              </w:rPr>
              <w:t>Employed</w:t>
            </w:r>
          </w:p>
        </w:tc>
        <w:tc>
          <w:tcPr>
            <w:tcW w:w="516" w:type="dxa"/>
            <w:shd w:val="clear" w:color="auto" w:fill="auto"/>
            <w:noWrap/>
            <w:vAlign w:val="bottom"/>
          </w:tcPr>
          <w:p w14:paraId="1BF18BC2" w14:textId="65A4D6C0" w:rsidR="00AB7289" w:rsidRPr="00842993" w:rsidRDefault="00FD5A96" w:rsidP="00BC0A82">
            <w:pPr>
              <w:keepNext/>
              <w:jc w:val="center"/>
              <w:rPr>
                <w:rFonts w:ascii="Times New Roman" w:hAnsi="Times New Roman" w:cs="Times New Roman"/>
                <w:color w:val="000000"/>
                <w:sz w:val="22"/>
                <w:szCs w:val="22"/>
              </w:rPr>
            </w:pPr>
            <w:r w:rsidRPr="00842993">
              <w:rPr>
                <w:rFonts w:ascii="Times New Roman" w:hAnsi="Times New Roman" w:cs="Times New Roman"/>
                <w:color w:val="000000"/>
                <w:sz w:val="22"/>
                <w:szCs w:val="22"/>
              </w:rPr>
              <w:t>14</w:t>
            </w:r>
          </w:p>
        </w:tc>
        <w:tc>
          <w:tcPr>
            <w:tcW w:w="1188" w:type="dxa"/>
            <w:shd w:val="clear" w:color="auto" w:fill="auto"/>
            <w:noWrap/>
            <w:vAlign w:val="bottom"/>
          </w:tcPr>
          <w:p w14:paraId="1C8B4C4C" w14:textId="500EE90C" w:rsidR="00AB7289" w:rsidRPr="00842993" w:rsidRDefault="00686870" w:rsidP="00BC0A82">
            <w:pPr>
              <w:keepNext/>
              <w:jc w:val="center"/>
              <w:rPr>
                <w:rFonts w:ascii="Times New Roman" w:hAnsi="Times New Roman" w:cs="Times New Roman"/>
                <w:color w:val="000000"/>
                <w:sz w:val="22"/>
                <w:szCs w:val="22"/>
              </w:rPr>
            </w:pPr>
            <w:r w:rsidRPr="00842993">
              <w:rPr>
                <w:rFonts w:ascii="Times New Roman" w:hAnsi="Times New Roman" w:cs="Times New Roman"/>
                <w:color w:val="000000"/>
                <w:sz w:val="22"/>
                <w:szCs w:val="22"/>
              </w:rPr>
              <w:t>70</w:t>
            </w:r>
          </w:p>
        </w:tc>
        <w:tc>
          <w:tcPr>
            <w:tcW w:w="939" w:type="dxa"/>
            <w:shd w:val="clear" w:color="auto" w:fill="auto"/>
            <w:noWrap/>
            <w:vAlign w:val="bottom"/>
          </w:tcPr>
          <w:p w14:paraId="26FAC9A4" w14:textId="3C3C225D" w:rsidR="00AB7289" w:rsidRPr="00842993" w:rsidRDefault="00AB7289" w:rsidP="00BC0A82">
            <w:pPr>
              <w:keepNext/>
              <w:jc w:val="center"/>
              <w:rPr>
                <w:rFonts w:ascii="Times New Roman" w:hAnsi="Times New Roman" w:cs="Times New Roman"/>
                <w:color w:val="000000"/>
                <w:sz w:val="22"/>
                <w:szCs w:val="22"/>
              </w:rPr>
            </w:pPr>
          </w:p>
        </w:tc>
        <w:tc>
          <w:tcPr>
            <w:tcW w:w="936" w:type="dxa"/>
            <w:shd w:val="clear" w:color="auto" w:fill="auto"/>
            <w:noWrap/>
            <w:vAlign w:val="bottom"/>
          </w:tcPr>
          <w:p w14:paraId="7E165DBC" w14:textId="39DF07D4" w:rsidR="00AB7289" w:rsidRPr="00842993" w:rsidRDefault="00AB7289" w:rsidP="00BC0A82">
            <w:pPr>
              <w:keepNext/>
              <w:jc w:val="center"/>
              <w:rPr>
                <w:rFonts w:ascii="Times New Roman" w:hAnsi="Times New Roman" w:cs="Times New Roman"/>
                <w:color w:val="000000"/>
                <w:sz w:val="22"/>
                <w:szCs w:val="22"/>
              </w:rPr>
            </w:pPr>
          </w:p>
        </w:tc>
        <w:tc>
          <w:tcPr>
            <w:tcW w:w="825" w:type="dxa"/>
            <w:shd w:val="clear" w:color="auto" w:fill="auto"/>
            <w:noWrap/>
            <w:vAlign w:val="bottom"/>
          </w:tcPr>
          <w:p w14:paraId="3B16E83D" w14:textId="1FAFE488" w:rsidR="00AB7289" w:rsidRPr="00842993" w:rsidRDefault="00AB7289" w:rsidP="00BC0A82">
            <w:pPr>
              <w:keepNext/>
              <w:jc w:val="center"/>
              <w:rPr>
                <w:rFonts w:ascii="Times New Roman" w:hAnsi="Times New Roman" w:cs="Times New Roman"/>
                <w:color w:val="000000"/>
                <w:sz w:val="22"/>
                <w:szCs w:val="22"/>
              </w:rPr>
            </w:pPr>
          </w:p>
        </w:tc>
        <w:tc>
          <w:tcPr>
            <w:tcW w:w="896" w:type="dxa"/>
            <w:shd w:val="clear" w:color="auto" w:fill="auto"/>
            <w:vAlign w:val="bottom"/>
          </w:tcPr>
          <w:p w14:paraId="78D8380F" w14:textId="587871BA" w:rsidR="00AB7289" w:rsidRPr="00842993" w:rsidRDefault="00AB7289" w:rsidP="00BC0A82">
            <w:pPr>
              <w:keepNext/>
              <w:jc w:val="center"/>
              <w:rPr>
                <w:rFonts w:ascii="Times New Roman" w:hAnsi="Times New Roman" w:cs="Times New Roman"/>
                <w:color w:val="000000"/>
                <w:sz w:val="22"/>
                <w:szCs w:val="22"/>
              </w:rPr>
            </w:pPr>
          </w:p>
        </w:tc>
      </w:tr>
      <w:tr w:rsidR="00AB7289" w:rsidRPr="00842993" w14:paraId="1436C99F" w14:textId="77777777" w:rsidTr="000C019E">
        <w:trPr>
          <w:trHeight w:val="294"/>
        </w:trPr>
        <w:tc>
          <w:tcPr>
            <w:tcW w:w="4219" w:type="dxa"/>
            <w:shd w:val="clear" w:color="auto" w:fill="auto"/>
            <w:noWrap/>
            <w:vAlign w:val="bottom"/>
            <w:hideMark/>
          </w:tcPr>
          <w:p w14:paraId="7E289335" w14:textId="2C8BA370" w:rsidR="00AB7289" w:rsidRPr="00842993" w:rsidRDefault="00AB7289" w:rsidP="00BC0A82">
            <w:pPr>
              <w:keepNext/>
              <w:rPr>
                <w:rFonts w:ascii="Times New Roman" w:hAnsi="Times New Roman" w:cs="Times New Roman"/>
                <w:color w:val="000000"/>
                <w:sz w:val="22"/>
                <w:szCs w:val="22"/>
              </w:rPr>
            </w:pPr>
            <w:r w:rsidRPr="00842993">
              <w:rPr>
                <w:rFonts w:ascii="Times New Roman" w:hAnsi="Times New Roman" w:cs="Times New Roman"/>
                <w:color w:val="000000"/>
                <w:sz w:val="22"/>
                <w:szCs w:val="22"/>
              </w:rPr>
              <w:t>Retired</w:t>
            </w:r>
          </w:p>
        </w:tc>
        <w:tc>
          <w:tcPr>
            <w:tcW w:w="516" w:type="dxa"/>
            <w:shd w:val="clear" w:color="auto" w:fill="auto"/>
            <w:noWrap/>
            <w:vAlign w:val="bottom"/>
          </w:tcPr>
          <w:p w14:paraId="75A453E2" w14:textId="0F6767E1" w:rsidR="00AB7289" w:rsidRPr="00842993" w:rsidRDefault="00FD5A96" w:rsidP="00BC0A82">
            <w:pPr>
              <w:keepNext/>
              <w:jc w:val="center"/>
              <w:rPr>
                <w:rFonts w:ascii="Times New Roman" w:hAnsi="Times New Roman" w:cs="Times New Roman"/>
                <w:color w:val="000000"/>
                <w:sz w:val="22"/>
                <w:szCs w:val="22"/>
              </w:rPr>
            </w:pPr>
            <w:r w:rsidRPr="00842993">
              <w:rPr>
                <w:rFonts w:ascii="Times New Roman" w:hAnsi="Times New Roman" w:cs="Times New Roman"/>
                <w:color w:val="000000"/>
                <w:sz w:val="22"/>
                <w:szCs w:val="22"/>
              </w:rPr>
              <w:t>1</w:t>
            </w:r>
          </w:p>
        </w:tc>
        <w:tc>
          <w:tcPr>
            <w:tcW w:w="1188" w:type="dxa"/>
            <w:shd w:val="clear" w:color="auto" w:fill="auto"/>
            <w:noWrap/>
            <w:vAlign w:val="bottom"/>
          </w:tcPr>
          <w:p w14:paraId="3C32FA11" w14:textId="670F5696" w:rsidR="00AB7289" w:rsidRPr="00842993" w:rsidRDefault="00686870" w:rsidP="00BC0A82">
            <w:pPr>
              <w:keepNext/>
              <w:jc w:val="center"/>
              <w:rPr>
                <w:rFonts w:ascii="Times New Roman" w:hAnsi="Times New Roman" w:cs="Times New Roman"/>
                <w:color w:val="000000"/>
                <w:sz w:val="22"/>
                <w:szCs w:val="22"/>
              </w:rPr>
            </w:pPr>
            <w:r w:rsidRPr="00842993">
              <w:rPr>
                <w:rFonts w:ascii="Times New Roman" w:hAnsi="Times New Roman" w:cs="Times New Roman"/>
                <w:color w:val="000000"/>
                <w:sz w:val="22"/>
                <w:szCs w:val="22"/>
              </w:rPr>
              <w:t>5</w:t>
            </w:r>
          </w:p>
        </w:tc>
        <w:tc>
          <w:tcPr>
            <w:tcW w:w="939" w:type="dxa"/>
            <w:shd w:val="clear" w:color="auto" w:fill="auto"/>
            <w:noWrap/>
            <w:vAlign w:val="bottom"/>
          </w:tcPr>
          <w:p w14:paraId="0AB0267C" w14:textId="1E63DF0F" w:rsidR="00AB7289" w:rsidRPr="00842993" w:rsidRDefault="00AB7289" w:rsidP="00BC0A82">
            <w:pPr>
              <w:keepNext/>
              <w:jc w:val="center"/>
              <w:rPr>
                <w:rFonts w:ascii="Times New Roman" w:hAnsi="Times New Roman" w:cs="Times New Roman"/>
                <w:color w:val="000000"/>
                <w:sz w:val="22"/>
                <w:szCs w:val="22"/>
              </w:rPr>
            </w:pPr>
          </w:p>
        </w:tc>
        <w:tc>
          <w:tcPr>
            <w:tcW w:w="936" w:type="dxa"/>
            <w:shd w:val="clear" w:color="auto" w:fill="auto"/>
            <w:noWrap/>
            <w:vAlign w:val="bottom"/>
          </w:tcPr>
          <w:p w14:paraId="22C12164" w14:textId="15B3662F" w:rsidR="00AB7289" w:rsidRPr="00842993" w:rsidRDefault="00AB7289" w:rsidP="00BC0A82">
            <w:pPr>
              <w:keepNext/>
              <w:jc w:val="center"/>
              <w:rPr>
                <w:rFonts w:ascii="Times New Roman" w:hAnsi="Times New Roman" w:cs="Times New Roman"/>
                <w:color w:val="000000"/>
                <w:sz w:val="22"/>
                <w:szCs w:val="22"/>
              </w:rPr>
            </w:pPr>
          </w:p>
        </w:tc>
        <w:tc>
          <w:tcPr>
            <w:tcW w:w="825" w:type="dxa"/>
            <w:shd w:val="clear" w:color="auto" w:fill="auto"/>
            <w:noWrap/>
            <w:vAlign w:val="bottom"/>
          </w:tcPr>
          <w:p w14:paraId="662AB199" w14:textId="1C557698" w:rsidR="00AB7289" w:rsidRPr="00842993" w:rsidRDefault="00AB7289" w:rsidP="00BC0A82">
            <w:pPr>
              <w:keepNext/>
              <w:jc w:val="center"/>
              <w:rPr>
                <w:rFonts w:ascii="Times New Roman" w:hAnsi="Times New Roman" w:cs="Times New Roman"/>
                <w:color w:val="000000"/>
                <w:sz w:val="22"/>
                <w:szCs w:val="22"/>
              </w:rPr>
            </w:pPr>
          </w:p>
        </w:tc>
        <w:tc>
          <w:tcPr>
            <w:tcW w:w="896" w:type="dxa"/>
            <w:shd w:val="clear" w:color="auto" w:fill="auto"/>
            <w:vAlign w:val="bottom"/>
          </w:tcPr>
          <w:p w14:paraId="0EEC243C" w14:textId="7DBED099" w:rsidR="00AB7289" w:rsidRPr="00842993" w:rsidRDefault="00AB7289" w:rsidP="00BC0A82">
            <w:pPr>
              <w:keepNext/>
              <w:jc w:val="center"/>
              <w:rPr>
                <w:rFonts w:ascii="Times New Roman" w:hAnsi="Times New Roman" w:cs="Times New Roman"/>
                <w:color w:val="000000"/>
                <w:sz w:val="22"/>
                <w:szCs w:val="22"/>
              </w:rPr>
            </w:pPr>
          </w:p>
        </w:tc>
      </w:tr>
      <w:tr w:rsidR="00AB7289" w:rsidRPr="00842993" w14:paraId="6F51F5B8" w14:textId="77777777" w:rsidTr="000C019E">
        <w:trPr>
          <w:trHeight w:val="294"/>
        </w:trPr>
        <w:tc>
          <w:tcPr>
            <w:tcW w:w="4219" w:type="dxa"/>
            <w:shd w:val="clear" w:color="auto" w:fill="auto"/>
            <w:noWrap/>
            <w:vAlign w:val="bottom"/>
            <w:hideMark/>
          </w:tcPr>
          <w:p w14:paraId="14E1989B" w14:textId="4EB1A2A3" w:rsidR="00AB7289" w:rsidRPr="00842993" w:rsidRDefault="00AB7289" w:rsidP="00BC0A82">
            <w:pPr>
              <w:keepNext/>
              <w:rPr>
                <w:rFonts w:ascii="Times New Roman" w:hAnsi="Times New Roman" w:cs="Times New Roman"/>
                <w:color w:val="000000"/>
                <w:sz w:val="22"/>
                <w:szCs w:val="22"/>
              </w:rPr>
            </w:pPr>
            <w:r w:rsidRPr="00842993">
              <w:rPr>
                <w:rFonts w:ascii="Times New Roman" w:hAnsi="Times New Roman" w:cs="Times New Roman"/>
                <w:color w:val="000000"/>
                <w:sz w:val="22"/>
                <w:szCs w:val="22"/>
              </w:rPr>
              <w:t>Self-employed</w:t>
            </w:r>
          </w:p>
        </w:tc>
        <w:tc>
          <w:tcPr>
            <w:tcW w:w="516" w:type="dxa"/>
            <w:shd w:val="clear" w:color="auto" w:fill="auto"/>
            <w:noWrap/>
            <w:vAlign w:val="bottom"/>
          </w:tcPr>
          <w:p w14:paraId="2DA81C7F" w14:textId="0FB93297" w:rsidR="00AB7289" w:rsidRPr="00842993" w:rsidRDefault="00686870" w:rsidP="00BC0A82">
            <w:pPr>
              <w:keepNext/>
              <w:jc w:val="center"/>
              <w:rPr>
                <w:rFonts w:ascii="Times New Roman" w:hAnsi="Times New Roman" w:cs="Times New Roman"/>
                <w:color w:val="000000"/>
                <w:sz w:val="22"/>
                <w:szCs w:val="22"/>
              </w:rPr>
            </w:pPr>
            <w:r w:rsidRPr="00842993">
              <w:rPr>
                <w:rFonts w:ascii="Times New Roman" w:hAnsi="Times New Roman" w:cs="Times New Roman"/>
                <w:color w:val="000000"/>
                <w:sz w:val="22"/>
                <w:szCs w:val="22"/>
              </w:rPr>
              <w:t>5</w:t>
            </w:r>
          </w:p>
        </w:tc>
        <w:tc>
          <w:tcPr>
            <w:tcW w:w="1188" w:type="dxa"/>
            <w:shd w:val="clear" w:color="auto" w:fill="auto"/>
            <w:noWrap/>
            <w:vAlign w:val="bottom"/>
          </w:tcPr>
          <w:p w14:paraId="2559F1BB" w14:textId="4ED6897F" w:rsidR="00AB7289" w:rsidRPr="00842993" w:rsidRDefault="00686870" w:rsidP="00BC0A82">
            <w:pPr>
              <w:keepNext/>
              <w:jc w:val="center"/>
              <w:rPr>
                <w:rFonts w:ascii="Times New Roman" w:hAnsi="Times New Roman" w:cs="Times New Roman"/>
                <w:color w:val="000000"/>
                <w:sz w:val="22"/>
                <w:szCs w:val="22"/>
              </w:rPr>
            </w:pPr>
            <w:r w:rsidRPr="00842993">
              <w:rPr>
                <w:rFonts w:ascii="Times New Roman" w:hAnsi="Times New Roman" w:cs="Times New Roman"/>
                <w:color w:val="000000"/>
                <w:sz w:val="22"/>
                <w:szCs w:val="22"/>
              </w:rPr>
              <w:t>25</w:t>
            </w:r>
          </w:p>
        </w:tc>
        <w:tc>
          <w:tcPr>
            <w:tcW w:w="939" w:type="dxa"/>
            <w:shd w:val="clear" w:color="auto" w:fill="auto"/>
            <w:noWrap/>
            <w:vAlign w:val="bottom"/>
          </w:tcPr>
          <w:p w14:paraId="069B5240" w14:textId="1C0AF82B" w:rsidR="00AB7289" w:rsidRPr="00842993" w:rsidRDefault="00AB7289" w:rsidP="00BC0A82">
            <w:pPr>
              <w:keepNext/>
              <w:jc w:val="center"/>
              <w:rPr>
                <w:rFonts w:ascii="Times New Roman" w:hAnsi="Times New Roman" w:cs="Times New Roman"/>
                <w:color w:val="000000"/>
                <w:sz w:val="22"/>
                <w:szCs w:val="22"/>
              </w:rPr>
            </w:pPr>
          </w:p>
        </w:tc>
        <w:tc>
          <w:tcPr>
            <w:tcW w:w="936" w:type="dxa"/>
            <w:shd w:val="clear" w:color="auto" w:fill="auto"/>
            <w:noWrap/>
            <w:vAlign w:val="bottom"/>
          </w:tcPr>
          <w:p w14:paraId="0FAF2763" w14:textId="79786D6D" w:rsidR="00AB7289" w:rsidRPr="00842993" w:rsidRDefault="00AB7289" w:rsidP="00BC0A82">
            <w:pPr>
              <w:keepNext/>
              <w:jc w:val="center"/>
              <w:rPr>
                <w:rFonts w:ascii="Times New Roman" w:hAnsi="Times New Roman" w:cs="Times New Roman"/>
                <w:color w:val="000000"/>
                <w:sz w:val="22"/>
                <w:szCs w:val="22"/>
              </w:rPr>
            </w:pPr>
          </w:p>
        </w:tc>
        <w:tc>
          <w:tcPr>
            <w:tcW w:w="825" w:type="dxa"/>
            <w:shd w:val="clear" w:color="auto" w:fill="auto"/>
            <w:noWrap/>
            <w:vAlign w:val="bottom"/>
          </w:tcPr>
          <w:p w14:paraId="4D86B50A" w14:textId="0C6AD4F5" w:rsidR="00AB7289" w:rsidRPr="00842993" w:rsidRDefault="00AB7289" w:rsidP="00BC0A82">
            <w:pPr>
              <w:keepNext/>
              <w:jc w:val="center"/>
              <w:rPr>
                <w:rFonts w:ascii="Times New Roman" w:hAnsi="Times New Roman" w:cs="Times New Roman"/>
                <w:color w:val="000000"/>
                <w:sz w:val="22"/>
                <w:szCs w:val="22"/>
              </w:rPr>
            </w:pPr>
          </w:p>
        </w:tc>
        <w:tc>
          <w:tcPr>
            <w:tcW w:w="896" w:type="dxa"/>
            <w:shd w:val="clear" w:color="auto" w:fill="auto"/>
            <w:vAlign w:val="bottom"/>
          </w:tcPr>
          <w:p w14:paraId="43DC23B0" w14:textId="48C6C470" w:rsidR="00AB7289" w:rsidRPr="00842993" w:rsidRDefault="00AB7289" w:rsidP="00BC0A82">
            <w:pPr>
              <w:keepNext/>
              <w:jc w:val="center"/>
              <w:rPr>
                <w:rFonts w:ascii="Times New Roman" w:hAnsi="Times New Roman" w:cs="Times New Roman"/>
                <w:color w:val="000000"/>
                <w:sz w:val="22"/>
                <w:szCs w:val="22"/>
              </w:rPr>
            </w:pPr>
          </w:p>
        </w:tc>
      </w:tr>
      <w:tr w:rsidR="001B2EB5" w:rsidRPr="00842993" w14:paraId="6EE43D9B" w14:textId="77777777" w:rsidTr="000C019E">
        <w:trPr>
          <w:trHeight w:val="294"/>
        </w:trPr>
        <w:tc>
          <w:tcPr>
            <w:tcW w:w="4219" w:type="dxa"/>
            <w:shd w:val="clear" w:color="auto" w:fill="auto"/>
            <w:noWrap/>
            <w:vAlign w:val="bottom"/>
          </w:tcPr>
          <w:p w14:paraId="3B9C3509" w14:textId="77777777" w:rsidR="001B2EB5" w:rsidRPr="00842993" w:rsidRDefault="001B2EB5" w:rsidP="00BC0A82">
            <w:pPr>
              <w:keepNext/>
              <w:rPr>
                <w:rFonts w:ascii="Times New Roman" w:hAnsi="Times New Roman" w:cs="Times New Roman"/>
                <w:b/>
                <w:color w:val="000000"/>
                <w:sz w:val="22"/>
                <w:szCs w:val="22"/>
              </w:rPr>
            </w:pPr>
          </w:p>
        </w:tc>
        <w:tc>
          <w:tcPr>
            <w:tcW w:w="516" w:type="dxa"/>
            <w:shd w:val="clear" w:color="auto" w:fill="auto"/>
            <w:noWrap/>
            <w:vAlign w:val="bottom"/>
          </w:tcPr>
          <w:p w14:paraId="72AB77A1" w14:textId="77777777" w:rsidR="001B2EB5" w:rsidRPr="00842993" w:rsidRDefault="001B2EB5" w:rsidP="00BC0A82">
            <w:pPr>
              <w:keepNext/>
              <w:rPr>
                <w:rFonts w:ascii="Times New Roman" w:hAnsi="Times New Roman" w:cs="Times New Roman"/>
                <w:color w:val="000000"/>
                <w:sz w:val="22"/>
                <w:szCs w:val="22"/>
              </w:rPr>
            </w:pPr>
          </w:p>
        </w:tc>
        <w:tc>
          <w:tcPr>
            <w:tcW w:w="1188" w:type="dxa"/>
            <w:shd w:val="clear" w:color="auto" w:fill="auto"/>
            <w:noWrap/>
            <w:vAlign w:val="bottom"/>
          </w:tcPr>
          <w:p w14:paraId="371941C4" w14:textId="77777777" w:rsidR="001B2EB5" w:rsidRPr="00842993" w:rsidRDefault="001B2EB5" w:rsidP="00BC0A82">
            <w:pPr>
              <w:keepNext/>
              <w:jc w:val="center"/>
              <w:rPr>
                <w:rFonts w:ascii="Times New Roman" w:hAnsi="Times New Roman" w:cs="Times New Roman"/>
                <w:color w:val="000000"/>
                <w:sz w:val="22"/>
                <w:szCs w:val="22"/>
              </w:rPr>
            </w:pPr>
          </w:p>
        </w:tc>
        <w:tc>
          <w:tcPr>
            <w:tcW w:w="939" w:type="dxa"/>
            <w:shd w:val="clear" w:color="auto" w:fill="auto"/>
            <w:noWrap/>
            <w:vAlign w:val="bottom"/>
          </w:tcPr>
          <w:p w14:paraId="5EFCD3CB" w14:textId="77777777" w:rsidR="001B2EB5" w:rsidRPr="00842993" w:rsidRDefault="001B2EB5" w:rsidP="00BC0A82">
            <w:pPr>
              <w:keepNext/>
              <w:jc w:val="center"/>
              <w:rPr>
                <w:rFonts w:ascii="Times New Roman" w:hAnsi="Times New Roman" w:cs="Times New Roman"/>
                <w:color w:val="000000"/>
                <w:sz w:val="22"/>
                <w:szCs w:val="22"/>
              </w:rPr>
            </w:pPr>
          </w:p>
        </w:tc>
        <w:tc>
          <w:tcPr>
            <w:tcW w:w="936" w:type="dxa"/>
            <w:shd w:val="clear" w:color="auto" w:fill="auto"/>
            <w:noWrap/>
            <w:vAlign w:val="bottom"/>
          </w:tcPr>
          <w:p w14:paraId="2455F98D" w14:textId="77777777" w:rsidR="001B2EB5" w:rsidRPr="00842993" w:rsidRDefault="001B2EB5" w:rsidP="00BC0A82">
            <w:pPr>
              <w:keepNext/>
              <w:jc w:val="center"/>
              <w:rPr>
                <w:rFonts w:ascii="Times New Roman" w:hAnsi="Times New Roman" w:cs="Times New Roman"/>
                <w:color w:val="000000"/>
                <w:sz w:val="22"/>
                <w:szCs w:val="22"/>
              </w:rPr>
            </w:pPr>
          </w:p>
        </w:tc>
        <w:tc>
          <w:tcPr>
            <w:tcW w:w="825" w:type="dxa"/>
            <w:shd w:val="clear" w:color="auto" w:fill="auto"/>
            <w:noWrap/>
            <w:vAlign w:val="bottom"/>
          </w:tcPr>
          <w:p w14:paraId="115351CB" w14:textId="77777777" w:rsidR="001B2EB5" w:rsidRPr="00842993" w:rsidRDefault="001B2EB5" w:rsidP="00BC0A82">
            <w:pPr>
              <w:keepNext/>
              <w:jc w:val="center"/>
              <w:rPr>
                <w:rFonts w:ascii="Times New Roman" w:hAnsi="Times New Roman" w:cs="Times New Roman"/>
                <w:color w:val="000000"/>
                <w:sz w:val="22"/>
                <w:szCs w:val="22"/>
              </w:rPr>
            </w:pPr>
          </w:p>
        </w:tc>
        <w:tc>
          <w:tcPr>
            <w:tcW w:w="896" w:type="dxa"/>
            <w:shd w:val="clear" w:color="auto" w:fill="auto"/>
            <w:vAlign w:val="bottom"/>
          </w:tcPr>
          <w:p w14:paraId="44759BBB" w14:textId="77777777" w:rsidR="001B2EB5" w:rsidRPr="00842993" w:rsidRDefault="001B2EB5" w:rsidP="00BC0A82">
            <w:pPr>
              <w:keepNext/>
              <w:jc w:val="center"/>
              <w:rPr>
                <w:rFonts w:ascii="Times New Roman" w:hAnsi="Times New Roman" w:cs="Times New Roman"/>
                <w:color w:val="000000"/>
                <w:sz w:val="22"/>
                <w:szCs w:val="22"/>
              </w:rPr>
            </w:pPr>
          </w:p>
        </w:tc>
      </w:tr>
      <w:tr w:rsidR="00686870" w:rsidRPr="00842993" w14:paraId="5D032BB2" w14:textId="77777777" w:rsidTr="000C019E">
        <w:trPr>
          <w:trHeight w:val="294"/>
        </w:trPr>
        <w:tc>
          <w:tcPr>
            <w:tcW w:w="4219" w:type="dxa"/>
            <w:shd w:val="clear" w:color="auto" w:fill="auto"/>
            <w:noWrap/>
            <w:vAlign w:val="bottom"/>
          </w:tcPr>
          <w:p w14:paraId="1741168F" w14:textId="77777777" w:rsidR="00686870" w:rsidRPr="00842993" w:rsidRDefault="00686870" w:rsidP="00BC0A82">
            <w:pPr>
              <w:keepNext/>
              <w:rPr>
                <w:rFonts w:ascii="Times New Roman" w:hAnsi="Times New Roman" w:cs="Times New Roman"/>
                <w:b/>
                <w:color w:val="000000"/>
                <w:sz w:val="22"/>
                <w:szCs w:val="22"/>
              </w:rPr>
            </w:pPr>
            <w:r w:rsidRPr="00842993">
              <w:rPr>
                <w:rFonts w:ascii="Times New Roman" w:hAnsi="Times New Roman" w:cs="Times New Roman"/>
                <w:b/>
                <w:color w:val="000000"/>
                <w:sz w:val="22"/>
                <w:szCs w:val="22"/>
              </w:rPr>
              <w:t xml:space="preserve">Length of time quit smoking </w:t>
            </w:r>
          </w:p>
          <w:p w14:paraId="6EFF88C4" w14:textId="1765A149" w:rsidR="00686870" w:rsidRPr="00842993" w:rsidRDefault="00686870" w:rsidP="00BC0A82">
            <w:pPr>
              <w:keepNext/>
              <w:rPr>
                <w:rFonts w:ascii="Times New Roman" w:hAnsi="Times New Roman" w:cs="Times New Roman"/>
                <w:b/>
                <w:color w:val="000000"/>
                <w:sz w:val="22"/>
                <w:szCs w:val="22"/>
              </w:rPr>
            </w:pPr>
            <w:r w:rsidRPr="00842993">
              <w:rPr>
                <w:rFonts w:ascii="Times New Roman" w:hAnsi="Times New Roman" w:cs="Times New Roman"/>
                <w:b/>
                <w:color w:val="000000"/>
                <w:sz w:val="22"/>
                <w:szCs w:val="22"/>
              </w:rPr>
              <w:t>(months)</w:t>
            </w:r>
          </w:p>
        </w:tc>
        <w:tc>
          <w:tcPr>
            <w:tcW w:w="516" w:type="dxa"/>
            <w:shd w:val="clear" w:color="auto" w:fill="auto"/>
            <w:noWrap/>
            <w:vAlign w:val="bottom"/>
          </w:tcPr>
          <w:p w14:paraId="5C2EBCD7" w14:textId="7A89C978" w:rsidR="00686870" w:rsidRPr="00842993" w:rsidRDefault="00686870" w:rsidP="00BC0A82">
            <w:pPr>
              <w:keepNext/>
              <w:rPr>
                <w:rFonts w:ascii="Times New Roman" w:hAnsi="Times New Roman" w:cs="Times New Roman"/>
                <w:color w:val="000000"/>
                <w:sz w:val="22"/>
                <w:szCs w:val="22"/>
              </w:rPr>
            </w:pPr>
            <w:r w:rsidRPr="00842993">
              <w:rPr>
                <w:rFonts w:ascii="Times New Roman" w:hAnsi="Times New Roman" w:cs="Times New Roman"/>
                <w:color w:val="000000"/>
                <w:sz w:val="22"/>
                <w:szCs w:val="22"/>
              </w:rPr>
              <w:t>20</w:t>
            </w:r>
          </w:p>
        </w:tc>
        <w:tc>
          <w:tcPr>
            <w:tcW w:w="1188" w:type="dxa"/>
            <w:shd w:val="clear" w:color="auto" w:fill="auto"/>
            <w:noWrap/>
            <w:vAlign w:val="bottom"/>
          </w:tcPr>
          <w:p w14:paraId="080F64B1" w14:textId="2E381739" w:rsidR="00686870" w:rsidRPr="00842993" w:rsidRDefault="00686870" w:rsidP="00BC0A82">
            <w:pPr>
              <w:keepNext/>
              <w:jc w:val="center"/>
              <w:rPr>
                <w:rFonts w:ascii="Times New Roman" w:hAnsi="Times New Roman" w:cs="Times New Roman"/>
                <w:color w:val="000000"/>
                <w:sz w:val="22"/>
                <w:szCs w:val="22"/>
              </w:rPr>
            </w:pPr>
          </w:p>
        </w:tc>
        <w:tc>
          <w:tcPr>
            <w:tcW w:w="939" w:type="dxa"/>
            <w:shd w:val="clear" w:color="auto" w:fill="auto"/>
            <w:noWrap/>
            <w:vAlign w:val="bottom"/>
          </w:tcPr>
          <w:p w14:paraId="519692F2" w14:textId="750046C1" w:rsidR="00686870" w:rsidRPr="00842993" w:rsidRDefault="00686870" w:rsidP="00BC0A82">
            <w:pPr>
              <w:keepNext/>
              <w:jc w:val="center"/>
              <w:rPr>
                <w:rFonts w:ascii="Times New Roman" w:hAnsi="Times New Roman" w:cs="Times New Roman"/>
                <w:color w:val="000000"/>
                <w:sz w:val="22"/>
                <w:szCs w:val="22"/>
              </w:rPr>
            </w:pPr>
            <w:r w:rsidRPr="00842993">
              <w:rPr>
                <w:rFonts w:ascii="Times New Roman" w:hAnsi="Times New Roman" w:cs="Times New Roman"/>
                <w:color w:val="000000"/>
                <w:sz w:val="22"/>
                <w:szCs w:val="22"/>
              </w:rPr>
              <w:t>25.95</w:t>
            </w:r>
          </w:p>
        </w:tc>
        <w:tc>
          <w:tcPr>
            <w:tcW w:w="936" w:type="dxa"/>
            <w:shd w:val="clear" w:color="auto" w:fill="auto"/>
            <w:noWrap/>
            <w:vAlign w:val="bottom"/>
          </w:tcPr>
          <w:p w14:paraId="1890340B" w14:textId="26A74590" w:rsidR="00686870" w:rsidRPr="00842993" w:rsidRDefault="00686870" w:rsidP="00BC0A82">
            <w:pPr>
              <w:keepNext/>
              <w:jc w:val="center"/>
              <w:rPr>
                <w:rFonts w:ascii="Times New Roman" w:hAnsi="Times New Roman" w:cs="Times New Roman"/>
                <w:color w:val="000000"/>
                <w:sz w:val="22"/>
                <w:szCs w:val="22"/>
              </w:rPr>
            </w:pPr>
            <w:r w:rsidRPr="00842993">
              <w:rPr>
                <w:rFonts w:ascii="Times New Roman" w:hAnsi="Times New Roman" w:cs="Times New Roman"/>
                <w:color w:val="000000"/>
                <w:sz w:val="22"/>
                <w:szCs w:val="22"/>
              </w:rPr>
              <w:t>23.35</w:t>
            </w:r>
          </w:p>
        </w:tc>
        <w:tc>
          <w:tcPr>
            <w:tcW w:w="825" w:type="dxa"/>
            <w:shd w:val="clear" w:color="auto" w:fill="auto"/>
            <w:noWrap/>
            <w:vAlign w:val="bottom"/>
          </w:tcPr>
          <w:p w14:paraId="6F295393" w14:textId="7A246AEB" w:rsidR="00686870" w:rsidRPr="00842993" w:rsidRDefault="00686870" w:rsidP="00BC0A82">
            <w:pPr>
              <w:keepNext/>
              <w:jc w:val="center"/>
              <w:rPr>
                <w:rFonts w:ascii="Times New Roman" w:hAnsi="Times New Roman" w:cs="Times New Roman"/>
                <w:color w:val="000000"/>
                <w:sz w:val="22"/>
                <w:szCs w:val="22"/>
              </w:rPr>
            </w:pPr>
            <w:r w:rsidRPr="00842993">
              <w:rPr>
                <w:rFonts w:ascii="Times New Roman" w:hAnsi="Times New Roman" w:cs="Times New Roman"/>
                <w:color w:val="000000"/>
                <w:sz w:val="22"/>
                <w:szCs w:val="22"/>
              </w:rPr>
              <w:t>3</w:t>
            </w:r>
          </w:p>
        </w:tc>
        <w:tc>
          <w:tcPr>
            <w:tcW w:w="896" w:type="dxa"/>
            <w:shd w:val="clear" w:color="auto" w:fill="auto"/>
            <w:vAlign w:val="bottom"/>
          </w:tcPr>
          <w:p w14:paraId="1F78167B" w14:textId="6226AFC2" w:rsidR="00686870" w:rsidRPr="00842993" w:rsidRDefault="00686870" w:rsidP="00BC0A82">
            <w:pPr>
              <w:keepNext/>
              <w:jc w:val="center"/>
              <w:rPr>
                <w:rFonts w:ascii="Times New Roman" w:hAnsi="Times New Roman" w:cs="Times New Roman"/>
                <w:color w:val="000000"/>
                <w:sz w:val="22"/>
                <w:szCs w:val="22"/>
              </w:rPr>
            </w:pPr>
            <w:r w:rsidRPr="00842993">
              <w:rPr>
                <w:rFonts w:ascii="Times New Roman" w:hAnsi="Times New Roman" w:cs="Times New Roman"/>
                <w:color w:val="000000"/>
                <w:sz w:val="22"/>
                <w:szCs w:val="22"/>
              </w:rPr>
              <w:t>108</w:t>
            </w:r>
          </w:p>
        </w:tc>
      </w:tr>
      <w:tr w:rsidR="00686870" w:rsidRPr="00842993" w14:paraId="29E0381B" w14:textId="77777777" w:rsidTr="000C019E">
        <w:trPr>
          <w:trHeight w:val="294"/>
        </w:trPr>
        <w:tc>
          <w:tcPr>
            <w:tcW w:w="4219" w:type="dxa"/>
            <w:shd w:val="clear" w:color="auto" w:fill="auto"/>
            <w:noWrap/>
            <w:vAlign w:val="bottom"/>
          </w:tcPr>
          <w:p w14:paraId="364C8B6E" w14:textId="35DA9544" w:rsidR="00686870" w:rsidRPr="00842993" w:rsidRDefault="00686870" w:rsidP="00BC0A82">
            <w:pPr>
              <w:keepNext/>
              <w:rPr>
                <w:rFonts w:ascii="Times New Roman" w:hAnsi="Times New Roman" w:cs="Times New Roman"/>
                <w:color w:val="000000"/>
                <w:sz w:val="22"/>
                <w:szCs w:val="22"/>
              </w:rPr>
            </w:pPr>
          </w:p>
        </w:tc>
        <w:tc>
          <w:tcPr>
            <w:tcW w:w="516" w:type="dxa"/>
            <w:shd w:val="clear" w:color="auto" w:fill="auto"/>
            <w:noWrap/>
            <w:vAlign w:val="bottom"/>
          </w:tcPr>
          <w:p w14:paraId="318DD0E8" w14:textId="306BE26F" w:rsidR="00686870" w:rsidRPr="00842993" w:rsidRDefault="00686870" w:rsidP="00BC0A82">
            <w:pPr>
              <w:keepNext/>
              <w:jc w:val="center"/>
              <w:rPr>
                <w:rFonts w:ascii="Times New Roman" w:hAnsi="Times New Roman" w:cs="Times New Roman"/>
                <w:color w:val="000000"/>
                <w:sz w:val="22"/>
                <w:szCs w:val="22"/>
              </w:rPr>
            </w:pPr>
          </w:p>
        </w:tc>
        <w:tc>
          <w:tcPr>
            <w:tcW w:w="1188" w:type="dxa"/>
            <w:shd w:val="clear" w:color="auto" w:fill="auto"/>
            <w:noWrap/>
            <w:vAlign w:val="bottom"/>
          </w:tcPr>
          <w:p w14:paraId="289414DF" w14:textId="5A4130B4" w:rsidR="00686870" w:rsidRPr="00842993" w:rsidRDefault="00686870" w:rsidP="00BC0A82">
            <w:pPr>
              <w:keepNext/>
              <w:jc w:val="center"/>
              <w:rPr>
                <w:rFonts w:ascii="Times New Roman" w:hAnsi="Times New Roman" w:cs="Times New Roman"/>
                <w:color w:val="000000"/>
                <w:sz w:val="22"/>
                <w:szCs w:val="22"/>
              </w:rPr>
            </w:pPr>
          </w:p>
        </w:tc>
        <w:tc>
          <w:tcPr>
            <w:tcW w:w="939" w:type="dxa"/>
            <w:shd w:val="clear" w:color="auto" w:fill="auto"/>
            <w:noWrap/>
            <w:vAlign w:val="bottom"/>
          </w:tcPr>
          <w:p w14:paraId="53F17884" w14:textId="26DABC05" w:rsidR="00686870" w:rsidRPr="00842993" w:rsidRDefault="00686870" w:rsidP="00BC0A82">
            <w:pPr>
              <w:keepNext/>
              <w:jc w:val="center"/>
              <w:rPr>
                <w:rFonts w:ascii="Times New Roman" w:hAnsi="Times New Roman" w:cs="Times New Roman"/>
                <w:color w:val="000000"/>
                <w:sz w:val="22"/>
                <w:szCs w:val="22"/>
              </w:rPr>
            </w:pPr>
          </w:p>
        </w:tc>
        <w:tc>
          <w:tcPr>
            <w:tcW w:w="936" w:type="dxa"/>
            <w:shd w:val="clear" w:color="auto" w:fill="auto"/>
            <w:noWrap/>
            <w:vAlign w:val="bottom"/>
          </w:tcPr>
          <w:p w14:paraId="71A9410F" w14:textId="4D8949A2" w:rsidR="00686870" w:rsidRPr="00842993" w:rsidRDefault="00686870" w:rsidP="00BC0A82">
            <w:pPr>
              <w:keepNext/>
              <w:jc w:val="center"/>
              <w:rPr>
                <w:rFonts w:ascii="Times New Roman" w:hAnsi="Times New Roman" w:cs="Times New Roman"/>
                <w:color w:val="000000"/>
                <w:sz w:val="22"/>
                <w:szCs w:val="22"/>
              </w:rPr>
            </w:pPr>
          </w:p>
        </w:tc>
        <w:tc>
          <w:tcPr>
            <w:tcW w:w="825" w:type="dxa"/>
            <w:shd w:val="clear" w:color="auto" w:fill="auto"/>
            <w:noWrap/>
            <w:vAlign w:val="bottom"/>
          </w:tcPr>
          <w:p w14:paraId="0531C5E1" w14:textId="37B24837" w:rsidR="00686870" w:rsidRPr="00842993" w:rsidRDefault="00686870" w:rsidP="00BC0A82">
            <w:pPr>
              <w:keepNext/>
              <w:jc w:val="center"/>
              <w:rPr>
                <w:rFonts w:ascii="Times New Roman" w:hAnsi="Times New Roman" w:cs="Times New Roman"/>
                <w:color w:val="000000"/>
                <w:sz w:val="22"/>
                <w:szCs w:val="22"/>
              </w:rPr>
            </w:pPr>
          </w:p>
        </w:tc>
        <w:tc>
          <w:tcPr>
            <w:tcW w:w="896" w:type="dxa"/>
            <w:shd w:val="clear" w:color="auto" w:fill="auto"/>
            <w:vAlign w:val="bottom"/>
          </w:tcPr>
          <w:p w14:paraId="6180EBBA" w14:textId="544D61EB" w:rsidR="00686870" w:rsidRPr="00842993" w:rsidRDefault="00686870" w:rsidP="00BC0A82">
            <w:pPr>
              <w:keepNext/>
              <w:jc w:val="center"/>
              <w:rPr>
                <w:rFonts w:ascii="Times New Roman" w:hAnsi="Times New Roman" w:cs="Times New Roman"/>
                <w:color w:val="000000"/>
                <w:sz w:val="22"/>
                <w:szCs w:val="22"/>
              </w:rPr>
            </w:pPr>
          </w:p>
        </w:tc>
      </w:tr>
      <w:tr w:rsidR="00686870" w:rsidRPr="00842993" w14:paraId="4D936AF1" w14:textId="77777777" w:rsidTr="000C019E">
        <w:trPr>
          <w:trHeight w:val="294"/>
        </w:trPr>
        <w:tc>
          <w:tcPr>
            <w:tcW w:w="4219" w:type="dxa"/>
            <w:shd w:val="clear" w:color="auto" w:fill="auto"/>
            <w:noWrap/>
            <w:vAlign w:val="bottom"/>
            <w:hideMark/>
          </w:tcPr>
          <w:p w14:paraId="19D52F1D" w14:textId="0AAB1571" w:rsidR="00686870" w:rsidRPr="00842993" w:rsidRDefault="00EA5F9C" w:rsidP="00DF05FD">
            <w:pPr>
              <w:keepNext/>
              <w:rPr>
                <w:rFonts w:ascii="Times New Roman" w:hAnsi="Times New Roman" w:cs="Times New Roman"/>
                <w:b/>
                <w:bCs/>
                <w:color w:val="000000"/>
                <w:sz w:val="22"/>
                <w:szCs w:val="22"/>
                <w:vertAlign w:val="superscript"/>
              </w:rPr>
            </w:pPr>
            <w:r w:rsidRPr="00842993">
              <w:rPr>
                <w:rFonts w:ascii="Times New Roman" w:hAnsi="Times New Roman" w:cs="Times New Roman"/>
                <w:b/>
                <w:bCs/>
                <w:color w:val="000000"/>
                <w:sz w:val="22"/>
                <w:szCs w:val="22"/>
              </w:rPr>
              <w:t>E-cig a</w:t>
            </w:r>
            <w:r w:rsidR="00686870" w:rsidRPr="00842993">
              <w:rPr>
                <w:rFonts w:ascii="Times New Roman" w:hAnsi="Times New Roman" w:cs="Times New Roman"/>
                <w:b/>
                <w:bCs/>
                <w:color w:val="000000"/>
                <w:sz w:val="22"/>
                <w:szCs w:val="22"/>
              </w:rPr>
              <w:t>ddiction</w:t>
            </w:r>
            <w:r w:rsidR="00DF05FD">
              <w:rPr>
                <w:rFonts w:ascii="Times New Roman" w:hAnsi="Times New Roman" w:cs="Times New Roman"/>
                <w:b/>
                <w:bCs/>
                <w:color w:val="000000"/>
                <w:sz w:val="22"/>
                <w:szCs w:val="22"/>
              </w:rPr>
              <w:t xml:space="preserve"> (0-100%)</w:t>
            </w:r>
          </w:p>
        </w:tc>
        <w:tc>
          <w:tcPr>
            <w:tcW w:w="516" w:type="dxa"/>
            <w:shd w:val="clear" w:color="auto" w:fill="auto"/>
            <w:noWrap/>
            <w:vAlign w:val="bottom"/>
          </w:tcPr>
          <w:p w14:paraId="227D3411" w14:textId="46F5A577" w:rsidR="00686870" w:rsidRPr="00842993" w:rsidRDefault="00686870" w:rsidP="00BC0A82">
            <w:pPr>
              <w:keepNext/>
              <w:jc w:val="center"/>
              <w:rPr>
                <w:rFonts w:ascii="Times New Roman" w:hAnsi="Times New Roman" w:cs="Times New Roman"/>
                <w:bCs/>
                <w:color w:val="000000"/>
                <w:sz w:val="22"/>
                <w:szCs w:val="22"/>
              </w:rPr>
            </w:pPr>
            <w:r w:rsidRPr="00842993">
              <w:rPr>
                <w:rFonts w:ascii="Times New Roman" w:hAnsi="Times New Roman" w:cs="Times New Roman"/>
                <w:bCs/>
                <w:color w:val="000000"/>
                <w:sz w:val="22"/>
                <w:szCs w:val="22"/>
              </w:rPr>
              <w:t>20</w:t>
            </w:r>
          </w:p>
        </w:tc>
        <w:tc>
          <w:tcPr>
            <w:tcW w:w="1188" w:type="dxa"/>
            <w:shd w:val="clear" w:color="auto" w:fill="auto"/>
            <w:noWrap/>
            <w:vAlign w:val="bottom"/>
          </w:tcPr>
          <w:p w14:paraId="3843436C" w14:textId="38DFB714" w:rsidR="00686870" w:rsidRPr="00842993" w:rsidRDefault="00686870" w:rsidP="00BC0A82">
            <w:pPr>
              <w:keepNext/>
              <w:jc w:val="center"/>
              <w:rPr>
                <w:rFonts w:ascii="Times New Roman" w:hAnsi="Times New Roman" w:cs="Times New Roman"/>
                <w:bCs/>
                <w:color w:val="000000"/>
                <w:sz w:val="22"/>
                <w:szCs w:val="22"/>
              </w:rPr>
            </w:pPr>
          </w:p>
        </w:tc>
        <w:tc>
          <w:tcPr>
            <w:tcW w:w="939" w:type="dxa"/>
            <w:shd w:val="clear" w:color="auto" w:fill="auto"/>
            <w:noWrap/>
            <w:vAlign w:val="bottom"/>
          </w:tcPr>
          <w:p w14:paraId="077E5882" w14:textId="797F5E24" w:rsidR="00686870" w:rsidRPr="00842993" w:rsidRDefault="00686870" w:rsidP="00BC0A82">
            <w:pPr>
              <w:keepNext/>
              <w:jc w:val="center"/>
              <w:rPr>
                <w:rFonts w:ascii="Times New Roman" w:hAnsi="Times New Roman" w:cs="Times New Roman"/>
                <w:bCs/>
                <w:color w:val="000000"/>
                <w:sz w:val="22"/>
                <w:szCs w:val="22"/>
              </w:rPr>
            </w:pPr>
            <w:r w:rsidRPr="00842993">
              <w:rPr>
                <w:rFonts w:ascii="Times New Roman" w:hAnsi="Times New Roman" w:cs="Times New Roman"/>
                <w:bCs/>
                <w:color w:val="000000"/>
                <w:sz w:val="22"/>
                <w:szCs w:val="22"/>
              </w:rPr>
              <w:t>70.15</w:t>
            </w:r>
          </w:p>
        </w:tc>
        <w:tc>
          <w:tcPr>
            <w:tcW w:w="936" w:type="dxa"/>
            <w:shd w:val="clear" w:color="auto" w:fill="auto"/>
            <w:noWrap/>
            <w:vAlign w:val="bottom"/>
          </w:tcPr>
          <w:p w14:paraId="151637A4" w14:textId="264B9027" w:rsidR="00686870" w:rsidRPr="00842993" w:rsidRDefault="00686870" w:rsidP="00BC0A82">
            <w:pPr>
              <w:keepNext/>
              <w:jc w:val="center"/>
              <w:rPr>
                <w:rFonts w:ascii="Times New Roman" w:hAnsi="Times New Roman" w:cs="Times New Roman"/>
                <w:bCs/>
                <w:color w:val="000000"/>
                <w:sz w:val="22"/>
                <w:szCs w:val="22"/>
              </w:rPr>
            </w:pPr>
            <w:r w:rsidRPr="00842993">
              <w:rPr>
                <w:rFonts w:ascii="Times New Roman" w:hAnsi="Times New Roman" w:cs="Times New Roman"/>
                <w:bCs/>
                <w:color w:val="000000"/>
                <w:sz w:val="22"/>
                <w:szCs w:val="22"/>
              </w:rPr>
              <w:t>21.90</w:t>
            </w:r>
          </w:p>
        </w:tc>
        <w:tc>
          <w:tcPr>
            <w:tcW w:w="825" w:type="dxa"/>
            <w:shd w:val="clear" w:color="auto" w:fill="auto"/>
            <w:noWrap/>
            <w:vAlign w:val="bottom"/>
          </w:tcPr>
          <w:p w14:paraId="10613BD7" w14:textId="3BE5F26C" w:rsidR="00686870" w:rsidRPr="00842993" w:rsidRDefault="00686870" w:rsidP="00BC0A82">
            <w:pPr>
              <w:keepNext/>
              <w:jc w:val="center"/>
              <w:rPr>
                <w:rFonts w:ascii="Times New Roman" w:hAnsi="Times New Roman" w:cs="Times New Roman"/>
                <w:bCs/>
                <w:color w:val="000000"/>
                <w:sz w:val="22"/>
                <w:szCs w:val="22"/>
              </w:rPr>
            </w:pPr>
            <w:r w:rsidRPr="00842993">
              <w:rPr>
                <w:rFonts w:ascii="Times New Roman" w:hAnsi="Times New Roman" w:cs="Times New Roman"/>
                <w:bCs/>
                <w:color w:val="000000"/>
                <w:sz w:val="22"/>
                <w:szCs w:val="22"/>
              </w:rPr>
              <w:t>40</w:t>
            </w:r>
          </w:p>
        </w:tc>
        <w:tc>
          <w:tcPr>
            <w:tcW w:w="896" w:type="dxa"/>
            <w:shd w:val="clear" w:color="auto" w:fill="auto"/>
            <w:vAlign w:val="bottom"/>
          </w:tcPr>
          <w:p w14:paraId="7D414F7D" w14:textId="7F91F34B" w:rsidR="00686870" w:rsidRPr="00842993" w:rsidRDefault="00686870" w:rsidP="00BC0A82">
            <w:pPr>
              <w:keepNext/>
              <w:jc w:val="center"/>
              <w:rPr>
                <w:rFonts w:ascii="Times New Roman" w:hAnsi="Times New Roman" w:cs="Times New Roman"/>
                <w:bCs/>
                <w:color w:val="000000"/>
                <w:sz w:val="22"/>
                <w:szCs w:val="22"/>
              </w:rPr>
            </w:pPr>
            <w:r w:rsidRPr="00842993">
              <w:rPr>
                <w:rFonts w:ascii="Times New Roman" w:hAnsi="Times New Roman" w:cs="Times New Roman"/>
                <w:bCs/>
                <w:color w:val="000000"/>
                <w:sz w:val="22"/>
                <w:szCs w:val="22"/>
              </w:rPr>
              <w:t>100</w:t>
            </w:r>
          </w:p>
        </w:tc>
      </w:tr>
      <w:tr w:rsidR="00686870" w:rsidRPr="00842993" w14:paraId="1B31E04B" w14:textId="77777777" w:rsidTr="000C019E">
        <w:trPr>
          <w:trHeight w:val="294"/>
        </w:trPr>
        <w:tc>
          <w:tcPr>
            <w:tcW w:w="4219" w:type="dxa"/>
            <w:shd w:val="clear" w:color="auto" w:fill="auto"/>
            <w:noWrap/>
            <w:vAlign w:val="bottom"/>
          </w:tcPr>
          <w:p w14:paraId="023229EB" w14:textId="3F63351E" w:rsidR="00686870" w:rsidRPr="00842993" w:rsidRDefault="00364D27" w:rsidP="00BC0A82">
            <w:pPr>
              <w:keepNext/>
              <w:rPr>
                <w:rFonts w:ascii="Times New Roman" w:hAnsi="Times New Roman" w:cs="Times New Roman"/>
                <w:b/>
                <w:bCs/>
                <w:color w:val="000000"/>
                <w:sz w:val="22"/>
                <w:szCs w:val="22"/>
              </w:rPr>
            </w:pPr>
            <w:r w:rsidRPr="008676FE">
              <w:rPr>
                <w:rFonts w:ascii="Times New Roman" w:hAnsi="Times New Roman" w:cs="Times New Roman"/>
                <w:b/>
                <w:bCs/>
                <w:color w:val="000000"/>
                <w:sz w:val="22"/>
                <w:szCs w:val="22"/>
              </w:rPr>
              <w:t>P</w:t>
            </w:r>
            <w:r w:rsidR="00DF05FD">
              <w:rPr>
                <w:rFonts w:ascii="Times New Roman" w:hAnsi="Times New Roman" w:cs="Times New Roman"/>
                <w:b/>
                <w:bCs/>
                <w:color w:val="000000"/>
                <w:sz w:val="22"/>
                <w:szCs w:val="22"/>
              </w:rPr>
              <w:t xml:space="preserve">enn </w:t>
            </w:r>
            <w:r w:rsidRPr="008676FE">
              <w:rPr>
                <w:rFonts w:ascii="Times New Roman" w:hAnsi="Times New Roman" w:cs="Times New Roman"/>
                <w:b/>
                <w:bCs/>
                <w:color w:val="000000"/>
                <w:sz w:val="22"/>
                <w:szCs w:val="22"/>
              </w:rPr>
              <w:t>S</w:t>
            </w:r>
            <w:r w:rsidR="00DF05FD">
              <w:rPr>
                <w:rFonts w:ascii="Times New Roman" w:hAnsi="Times New Roman" w:cs="Times New Roman"/>
                <w:b/>
                <w:bCs/>
                <w:color w:val="000000"/>
                <w:sz w:val="22"/>
                <w:szCs w:val="22"/>
              </w:rPr>
              <w:t>tate</w:t>
            </w:r>
            <w:r w:rsidRPr="008676FE">
              <w:rPr>
                <w:rFonts w:ascii="Times New Roman" w:hAnsi="Times New Roman" w:cs="Times New Roman"/>
                <w:b/>
                <w:bCs/>
                <w:color w:val="000000"/>
                <w:sz w:val="22"/>
                <w:szCs w:val="22"/>
              </w:rPr>
              <w:t xml:space="preserve"> E-c</w:t>
            </w:r>
            <w:r w:rsidR="00EA5F9C" w:rsidRPr="008676FE">
              <w:rPr>
                <w:rFonts w:ascii="Times New Roman" w:hAnsi="Times New Roman" w:cs="Times New Roman"/>
                <w:b/>
                <w:bCs/>
                <w:color w:val="000000"/>
                <w:sz w:val="22"/>
                <w:szCs w:val="22"/>
              </w:rPr>
              <w:t>ig</w:t>
            </w:r>
            <w:r w:rsidRPr="008676FE">
              <w:rPr>
                <w:rFonts w:ascii="Times New Roman" w:hAnsi="Times New Roman" w:cs="Times New Roman"/>
                <w:b/>
                <w:bCs/>
                <w:color w:val="000000"/>
                <w:sz w:val="22"/>
                <w:szCs w:val="22"/>
              </w:rPr>
              <w:t xml:space="preserve"> </w:t>
            </w:r>
            <w:r w:rsidR="00EA5F9C" w:rsidRPr="008676FE">
              <w:rPr>
                <w:rFonts w:ascii="Times New Roman" w:hAnsi="Times New Roman" w:cs="Times New Roman"/>
                <w:b/>
                <w:bCs/>
                <w:color w:val="000000"/>
                <w:sz w:val="22"/>
                <w:szCs w:val="22"/>
              </w:rPr>
              <w:t>dependence index</w:t>
            </w:r>
          </w:p>
        </w:tc>
        <w:tc>
          <w:tcPr>
            <w:tcW w:w="516" w:type="dxa"/>
            <w:shd w:val="clear" w:color="auto" w:fill="auto"/>
            <w:noWrap/>
            <w:vAlign w:val="bottom"/>
          </w:tcPr>
          <w:p w14:paraId="597ECAC0" w14:textId="393C9B59" w:rsidR="00686870" w:rsidRPr="00842993" w:rsidRDefault="00EA5F9C" w:rsidP="00BC0A82">
            <w:pPr>
              <w:keepNext/>
              <w:jc w:val="center"/>
              <w:rPr>
                <w:rFonts w:ascii="Times New Roman" w:hAnsi="Times New Roman" w:cs="Times New Roman"/>
                <w:bCs/>
                <w:color w:val="000000"/>
                <w:sz w:val="22"/>
                <w:szCs w:val="22"/>
              </w:rPr>
            </w:pPr>
            <w:r w:rsidRPr="00842993">
              <w:rPr>
                <w:rFonts w:ascii="Times New Roman" w:hAnsi="Times New Roman" w:cs="Times New Roman"/>
                <w:bCs/>
                <w:color w:val="000000"/>
                <w:sz w:val="22"/>
                <w:szCs w:val="22"/>
              </w:rPr>
              <w:t>20</w:t>
            </w:r>
          </w:p>
        </w:tc>
        <w:tc>
          <w:tcPr>
            <w:tcW w:w="1188" w:type="dxa"/>
            <w:shd w:val="clear" w:color="auto" w:fill="auto"/>
            <w:noWrap/>
            <w:vAlign w:val="bottom"/>
          </w:tcPr>
          <w:p w14:paraId="7035124C" w14:textId="77777777" w:rsidR="00686870" w:rsidRPr="00842993" w:rsidRDefault="00686870" w:rsidP="00BC0A82">
            <w:pPr>
              <w:keepNext/>
              <w:jc w:val="center"/>
              <w:rPr>
                <w:rFonts w:ascii="Times New Roman" w:hAnsi="Times New Roman" w:cs="Times New Roman"/>
                <w:bCs/>
                <w:color w:val="000000"/>
                <w:sz w:val="22"/>
                <w:szCs w:val="22"/>
              </w:rPr>
            </w:pPr>
          </w:p>
        </w:tc>
        <w:tc>
          <w:tcPr>
            <w:tcW w:w="939" w:type="dxa"/>
            <w:shd w:val="clear" w:color="auto" w:fill="auto"/>
            <w:noWrap/>
            <w:vAlign w:val="bottom"/>
          </w:tcPr>
          <w:p w14:paraId="3F0BE9B1" w14:textId="65207BB9" w:rsidR="00686870" w:rsidRPr="00842993" w:rsidRDefault="00EA5F9C" w:rsidP="00BC0A82">
            <w:pPr>
              <w:keepNext/>
              <w:jc w:val="center"/>
              <w:rPr>
                <w:rFonts w:ascii="Times New Roman" w:hAnsi="Times New Roman" w:cs="Times New Roman"/>
                <w:bCs/>
                <w:color w:val="000000"/>
                <w:sz w:val="22"/>
                <w:szCs w:val="22"/>
              </w:rPr>
            </w:pPr>
            <w:r w:rsidRPr="00842993">
              <w:rPr>
                <w:rFonts w:ascii="Times New Roman" w:hAnsi="Times New Roman" w:cs="Times New Roman"/>
                <w:bCs/>
                <w:color w:val="000000"/>
                <w:sz w:val="22"/>
                <w:szCs w:val="22"/>
              </w:rPr>
              <w:t>12.05</w:t>
            </w:r>
          </w:p>
        </w:tc>
        <w:tc>
          <w:tcPr>
            <w:tcW w:w="936" w:type="dxa"/>
            <w:shd w:val="clear" w:color="auto" w:fill="auto"/>
            <w:noWrap/>
            <w:vAlign w:val="bottom"/>
          </w:tcPr>
          <w:p w14:paraId="4710FD59" w14:textId="2A37529B" w:rsidR="00686870" w:rsidRPr="00842993" w:rsidRDefault="00EA5F9C" w:rsidP="00BC0A82">
            <w:pPr>
              <w:keepNext/>
              <w:jc w:val="center"/>
              <w:rPr>
                <w:rFonts w:ascii="Times New Roman" w:hAnsi="Times New Roman" w:cs="Times New Roman"/>
                <w:bCs/>
                <w:color w:val="000000"/>
                <w:sz w:val="22"/>
                <w:szCs w:val="22"/>
              </w:rPr>
            </w:pPr>
            <w:r w:rsidRPr="00842993">
              <w:rPr>
                <w:rFonts w:ascii="Times New Roman" w:hAnsi="Times New Roman" w:cs="Times New Roman"/>
                <w:bCs/>
                <w:color w:val="000000"/>
                <w:sz w:val="22"/>
                <w:szCs w:val="22"/>
              </w:rPr>
              <w:t>4.02</w:t>
            </w:r>
          </w:p>
        </w:tc>
        <w:tc>
          <w:tcPr>
            <w:tcW w:w="825" w:type="dxa"/>
            <w:shd w:val="clear" w:color="auto" w:fill="auto"/>
            <w:noWrap/>
            <w:vAlign w:val="bottom"/>
          </w:tcPr>
          <w:p w14:paraId="71D41532" w14:textId="2768DB74" w:rsidR="00686870" w:rsidRPr="00842993" w:rsidRDefault="00EA5F9C" w:rsidP="00BC0A82">
            <w:pPr>
              <w:keepNext/>
              <w:jc w:val="center"/>
              <w:rPr>
                <w:rFonts w:ascii="Times New Roman" w:hAnsi="Times New Roman" w:cs="Times New Roman"/>
                <w:bCs/>
                <w:color w:val="000000"/>
                <w:sz w:val="22"/>
                <w:szCs w:val="22"/>
              </w:rPr>
            </w:pPr>
            <w:r w:rsidRPr="00842993">
              <w:rPr>
                <w:rFonts w:ascii="Times New Roman" w:hAnsi="Times New Roman" w:cs="Times New Roman"/>
                <w:bCs/>
                <w:color w:val="000000"/>
                <w:sz w:val="22"/>
                <w:szCs w:val="22"/>
              </w:rPr>
              <w:t>4</w:t>
            </w:r>
          </w:p>
        </w:tc>
        <w:tc>
          <w:tcPr>
            <w:tcW w:w="896" w:type="dxa"/>
            <w:shd w:val="clear" w:color="auto" w:fill="auto"/>
            <w:vAlign w:val="bottom"/>
          </w:tcPr>
          <w:p w14:paraId="703E2582" w14:textId="7CB7AE21" w:rsidR="00686870" w:rsidRPr="00842993" w:rsidRDefault="00EA5F9C" w:rsidP="00BC0A82">
            <w:pPr>
              <w:keepNext/>
              <w:jc w:val="center"/>
              <w:rPr>
                <w:rFonts w:ascii="Times New Roman" w:hAnsi="Times New Roman" w:cs="Times New Roman"/>
                <w:bCs/>
                <w:color w:val="000000"/>
                <w:sz w:val="22"/>
                <w:szCs w:val="22"/>
              </w:rPr>
            </w:pPr>
            <w:r w:rsidRPr="00842993">
              <w:rPr>
                <w:rFonts w:ascii="Times New Roman" w:hAnsi="Times New Roman" w:cs="Times New Roman"/>
                <w:bCs/>
                <w:color w:val="000000"/>
                <w:sz w:val="22"/>
                <w:szCs w:val="22"/>
              </w:rPr>
              <w:t>20</w:t>
            </w:r>
          </w:p>
        </w:tc>
      </w:tr>
      <w:tr w:rsidR="00686870" w:rsidRPr="00842993" w14:paraId="6AE4D111" w14:textId="77777777" w:rsidTr="000C019E">
        <w:trPr>
          <w:trHeight w:val="294"/>
        </w:trPr>
        <w:tc>
          <w:tcPr>
            <w:tcW w:w="4219" w:type="dxa"/>
            <w:shd w:val="clear" w:color="auto" w:fill="auto"/>
            <w:noWrap/>
            <w:vAlign w:val="bottom"/>
          </w:tcPr>
          <w:p w14:paraId="2B7A750C" w14:textId="4D8E6B30" w:rsidR="00686870" w:rsidRPr="00842993" w:rsidRDefault="00686870" w:rsidP="00BC0A82">
            <w:pPr>
              <w:keepNext/>
              <w:rPr>
                <w:rFonts w:ascii="Times New Roman" w:hAnsi="Times New Roman" w:cs="Times New Roman"/>
                <w:b/>
                <w:bCs/>
                <w:color w:val="000000"/>
                <w:sz w:val="22"/>
                <w:szCs w:val="22"/>
                <w:highlight w:val="yellow"/>
                <w:vertAlign w:val="superscript"/>
              </w:rPr>
            </w:pPr>
          </w:p>
        </w:tc>
        <w:tc>
          <w:tcPr>
            <w:tcW w:w="516" w:type="dxa"/>
            <w:shd w:val="clear" w:color="auto" w:fill="auto"/>
            <w:noWrap/>
            <w:vAlign w:val="bottom"/>
          </w:tcPr>
          <w:p w14:paraId="13E90A81" w14:textId="6E026684" w:rsidR="00686870" w:rsidRPr="00842993" w:rsidRDefault="00686870" w:rsidP="00BC0A82">
            <w:pPr>
              <w:keepNext/>
              <w:jc w:val="center"/>
              <w:rPr>
                <w:rFonts w:ascii="Times New Roman" w:hAnsi="Times New Roman" w:cs="Times New Roman"/>
                <w:bCs/>
                <w:color w:val="000000"/>
                <w:sz w:val="22"/>
                <w:szCs w:val="22"/>
                <w:highlight w:val="yellow"/>
              </w:rPr>
            </w:pPr>
          </w:p>
        </w:tc>
        <w:tc>
          <w:tcPr>
            <w:tcW w:w="1188" w:type="dxa"/>
            <w:shd w:val="clear" w:color="auto" w:fill="auto"/>
            <w:noWrap/>
            <w:vAlign w:val="bottom"/>
          </w:tcPr>
          <w:p w14:paraId="6E44B2BA" w14:textId="77777777" w:rsidR="00686870" w:rsidRPr="00842993" w:rsidRDefault="00686870" w:rsidP="00BC0A82">
            <w:pPr>
              <w:keepNext/>
              <w:rPr>
                <w:rFonts w:ascii="Times New Roman" w:hAnsi="Times New Roman" w:cs="Times New Roman"/>
                <w:b/>
                <w:bCs/>
                <w:color w:val="000000"/>
                <w:sz w:val="22"/>
                <w:szCs w:val="22"/>
                <w:highlight w:val="yellow"/>
              </w:rPr>
            </w:pPr>
          </w:p>
        </w:tc>
        <w:tc>
          <w:tcPr>
            <w:tcW w:w="939" w:type="dxa"/>
            <w:shd w:val="clear" w:color="auto" w:fill="auto"/>
            <w:noWrap/>
            <w:vAlign w:val="bottom"/>
          </w:tcPr>
          <w:p w14:paraId="5C898ECB" w14:textId="1868228E" w:rsidR="00686870" w:rsidRPr="00842993" w:rsidRDefault="00686870" w:rsidP="00BC0A82">
            <w:pPr>
              <w:keepNext/>
              <w:jc w:val="center"/>
              <w:rPr>
                <w:rFonts w:ascii="Times New Roman" w:hAnsi="Times New Roman" w:cs="Times New Roman"/>
                <w:bCs/>
                <w:color w:val="000000"/>
                <w:sz w:val="22"/>
                <w:szCs w:val="22"/>
                <w:highlight w:val="yellow"/>
              </w:rPr>
            </w:pPr>
          </w:p>
        </w:tc>
        <w:tc>
          <w:tcPr>
            <w:tcW w:w="936" w:type="dxa"/>
            <w:shd w:val="clear" w:color="auto" w:fill="auto"/>
            <w:noWrap/>
            <w:vAlign w:val="bottom"/>
          </w:tcPr>
          <w:p w14:paraId="2437D9F0" w14:textId="2A1F9371" w:rsidR="00686870" w:rsidRPr="00842993" w:rsidRDefault="00686870" w:rsidP="00BC0A82">
            <w:pPr>
              <w:keepNext/>
              <w:jc w:val="center"/>
              <w:rPr>
                <w:rFonts w:ascii="Times New Roman" w:hAnsi="Times New Roman" w:cs="Times New Roman"/>
                <w:bCs/>
                <w:color w:val="000000"/>
                <w:sz w:val="22"/>
                <w:szCs w:val="22"/>
                <w:highlight w:val="yellow"/>
              </w:rPr>
            </w:pPr>
          </w:p>
        </w:tc>
        <w:tc>
          <w:tcPr>
            <w:tcW w:w="825" w:type="dxa"/>
            <w:shd w:val="clear" w:color="auto" w:fill="auto"/>
            <w:noWrap/>
            <w:vAlign w:val="bottom"/>
          </w:tcPr>
          <w:p w14:paraId="0DB09E03" w14:textId="2B31A1F9" w:rsidR="00686870" w:rsidRPr="00842993" w:rsidRDefault="00686870" w:rsidP="00BC0A82">
            <w:pPr>
              <w:keepNext/>
              <w:jc w:val="center"/>
              <w:rPr>
                <w:rFonts w:ascii="Times New Roman" w:hAnsi="Times New Roman" w:cs="Times New Roman"/>
                <w:bCs/>
                <w:color w:val="000000"/>
                <w:sz w:val="22"/>
                <w:szCs w:val="22"/>
                <w:highlight w:val="yellow"/>
              </w:rPr>
            </w:pPr>
          </w:p>
        </w:tc>
        <w:tc>
          <w:tcPr>
            <w:tcW w:w="896" w:type="dxa"/>
            <w:shd w:val="clear" w:color="auto" w:fill="auto"/>
            <w:vAlign w:val="bottom"/>
          </w:tcPr>
          <w:p w14:paraId="4BAA9A0D" w14:textId="324C10EA" w:rsidR="00686870" w:rsidRPr="00842993" w:rsidRDefault="00686870" w:rsidP="00BC0A82">
            <w:pPr>
              <w:keepNext/>
              <w:jc w:val="center"/>
              <w:rPr>
                <w:rFonts w:ascii="Times New Roman" w:hAnsi="Times New Roman" w:cs="Times New Roman"/>
                <w:bCs/>
                <w:color w:val="000000"/>
                <w:sz w:val="22"/>
                <w:szCs w:val="22"/>
              </w:rPr>
            </w:pPr>
          </w:p>
        </w:tc>
      </w:tr>
      <w:tr w:rsidR="00686870" w:rsidRPr="00842993" w14:paraId="55769534" w14:textId="77777777" w:rsidTr="000C019E">
        <w:trPr>
          <w:trHeight w:val="294"/>
        </w:trPr>
        <w:tc>
          <w:tcPr>
            <w:tcW w:w="4219" w:type="dxa"/>
            <w:shd w:val="clear" w:color="auto" w:fill="auto"/>
            <w:noWrap/>
            <w:vAlign w:val="bottom"/>
          </w:tcPr>
          <w:p w14:paraId="67356C0A" w14:textId="6BB2F48A" w:rsidR="00686870" w:rsidRPr="00842993" w:rsidRDefault="00686870" w:rsidP="00BC0A82">
            <w:pPr>
              <w:keepNext/>
              <w:rPr>
                <w:rFonts w:ascii="Times New Roman" w:hAnsi="Times New Roman" w:cs="Times New Roman"/>
                <w:b/>
                <w:bCs/>
                <w:color w:val="000000"/>
                <w:sz w:val="22"/>
                <w:szCs w:val="22"/>
              </w:rPr>
            </w:pPr>
            <w:r w:rsidRPr="00842993">
              <w:rPr>
                <w:rFonts w:ascii="Times New Roman" w:hAnsi="Times New Roman" w:cs="Times New Roman"/>
                <w:b/>
                <w:bCs/>
                <w:color w:val="000000"/>
                <w:sz w:val="22"/>
                <w:szCs w:val="22"/>
              </w:rPr>
              <w:lastRenderedPageBreak/>
              <w:t>Baseline cotinine levels (ng/mL)</w:t>
            </w:r>
          </w:p>
        </w:tc>
        <w:tc>
          <w:tcPr>
            <w:tcW w:w="516" w:type="dxa"/>
            <w:shd w:val="clear" w:color="auto" w:fill="auto"/>
            <w:noWrap/>
            <w:vAlign w:val="bottom"/>
          </w:tcPr>
          <w:p w14:paraId="077EA702" w14:textId="7E941B49" w:rsidR="00686870" w:rsidRPr="00842993" w:rsidRDefault="0061225E" w:rsidP="00BC0A82">
            <w:pPr>
              <w:keepNext/>
              <w:jc w:val="center"/>
              <w:rPr>
                <w:rFonts w:ascii="Times New Roman" w:hAnsi="Times New Roman" w:cs="Times New Roman"/>
                <w:color w:val="000000"/>
                <w:sz w:val="22"/>
                <w:szCs w:val="22"/>
              </w:rPr>
            </w:pPr>
            <w:r>
              <w:rPr>
                <w:rFonts w:ascii="Times New Roman" w:hAnsi="Times New Roman" w:cs="Times New Roman"/>
                <w:color w:val="000000"/>
                <w:sz w:val="22"/>
                <w:szCs w:val="22"/>
              </w:rPr>
              <w:t>20</w:t>
            </w:r>
          </w:p>
        </w:tc>
        <w:tc>
          <w:tcPr>
            <w:tcW w:w="1188" w:type="dxa"/>
            <w:shd w:val="clear" w:color="auto" w:fill="auto"/>
            <w:noWrap/>
            <w:vAlign w:val="bottom"/>
          </w:tcPr>
          <w:p w14:paraId="20D9B65E" w14:textId="77777777" w:rsidR="00686870" w:rsidRPr="00842993" w:rsidRDefault="00686870" w:rsidP="00BC0A82">
            <w:pPr>
              <w:keepNext/>
              <w:jc w:val="center"/>
              <w:rPr>
                <w:rFonts w:ascii="Times New Roman" w:hAnsi="Times New Roman" w:cs="Times New Roman"/>
                <w:color w:val="000000"/>
                <w:sz w:val="22"/>
                <w:szCs w:val="22"/>
              </w:rPr>
            </w:pPr>
          </w:p>
        </w:tc>
        <w:tc>
          <w:tcPr>
            <w:tcW w:w="939" w:type="dxa"/>
            <w:shd w:val="clear" w:color="auto" w:fill="auto"/>
            <w:noWrap/>
            <w:vAlign w:val="bottom"/>
          </w:tcPr>
          <w:p w14:paraId="5B36084B" w14:textId="5F6B1143" w:rsidR="00686870" w:rsidRPr="00842993" w:rsidRDefault="0061225E" w:rsidP="00BC0A82">
            <w:pPr>
              <w:keepNext/>
              <w:jc w:val="center"/>
              <w:rPr>
                <w:rFonts w:ascii="Times New Roman" w:hAnsi="Times New Roman" w:cs="Times New Roman"/>
                <w:color w:val="000000"/>
                <w:sz w:val="22"/>
                <w:szCs w:val="22"/>
              </w:rPr>
            </w:pPr>
            <w:r>
              <w:rPr>
                <w:rFonts w:ascii="Times New Roman" w:hAnsi="Times New Roman" w:cs="Times New Roman"/>
                <w:color w:val="000000"/>
                <w:sz w:val="22"/>
                <w:szCs w:val="22"/>
              </w:rPr>
              <w:t>324</w:t>
            </w:r>
          </w:p>
        </w:tc>
        <w:tc>
          <w:tcPr>
            <w:tcW w:w="936" w:type="dxa"/>
            <w:shd w:val="clear" w:color="auto" w:fill="auto"/>
            <w:noWrap/>
            <w:vAlign w:val="bottom"/>
          </w:tcPr>
          <w:p w14:paraId="42E8FE69" w14:textId="2982129B" w:rsidR="00686870" w:rsidRPr="00842993" w:rsidRDefault="0061225E" w:rsidP="00BC0A82">
            <w:pPr>
              <w:keepNext/>
              <w:jc w:val="center"/>
              <w:rPr>
                <w:rFonts w:ascii="Times New Roman" w:hAnsi="Times New Roman" w:cs="Times New Roman"/>
                <w:color w:val="000000"/>
                <w:sz w:val="22"/>
                <w:szCs w:val="22"/>
              </w:rPr>
            </w:pPr>
            <w:r>
              <w:rPr>
                <w:rFonts w:ascii="Times New Roman" w:hAnsi="Times New Roman" w:cs="Times New Roman"/>
                <w:color w:val="000000"/>
                <w:sz w:val="22"/>
                <w:szCs w:val="22"/>
              </w:rPr>
              <w:t>219</w:t>
            </w:r>
          </w:p>
        </w:tc>
        <w:tc>
          <w:tcPr>
            <w:tcW w:w="825" w:type="dxa"/>
            <w:shd w:val="clear" w:color="auto" w:fill="auto"/>
            <w:noWrap/>
            <w:vAlign w:val="bottom"/>
          </w:tcPr>
          <w:p w14:paraId="7F74E1D3" w14:textId="7E1080EC" w:rsidR="00686870" w:rsidRPr="00842993" w:rsidRDefault="0061225E" w:rsidP="00BC0A82">
            <w:pPr>
              <w:keepNext/>
              <w:jc w:val="center"/>
              <w:rPr>
                <w:rFonts w:ascii="Times New Roman" w:hAnsi="Times New Roman" w:cs="Times New Roman"/>
                <w:color w:val="000000"/>
                <w:sz w:val="22"/>
                <w:szCs w:val="22"/>
              </w:rPr>
            </w:pPr>
            <w:r>
              <w:rPr>
                <w:rFonts w:ascii="Times New Roman" w:hAnsi="Times New Roman" w:cs="Times New Roman"/>
                <w:color w:val="000000"/>
                <w:sz w:val="22"/>
                <w:szCs w:val="22"/>
              </w:rPr>
              <w:t>39</w:t>
            </w:r>
          </w:p>
        </w:tc>
        <w:tc>
          <w:tcPr>
            <w:tcW w:w="896" w:type="dxa"/>
            <w:shd w:val="clear" w:color="auto" w:fill="auto"/>
            <w:vAlign w:val="bottom"/>
          </w:tcPr>
          <w:p w14:paraId="42085A22" w14:textId="5A2EDBEA" w:rsidR="00686870" w:rsidRPr="00842993" w:rsidRDefault="0061225E" w:rsidP="00BC0A82">
            <w:pPr>
              <w:keepNext/>
              <w:jc w:val="center"/>
              <w:rPr>
                <w:rFonts w:ascii="Times New Roman" w:hAnsi="Times New Roman" w:cs="Times New Roman"/>
                <w:color w:val="000000"/>
                <w:sz w:val="22"/>
                <w:szCs w:val="22"/>
              </w:rPr>
            </w:pPr>
            <w:r>
              <w:rPr>
                <w:rFonts w:ascii="Times New Roman" w:hAnsi="Times New Roman" w:cs="Times New Roman"/>
                <w:color w:val="000000"/>
                <w:sz w:val="22"/>
                <w:szCs w:val="22"/>
              </w:rPr>
              <w:t>719</w:t>
            </w:r>
          </w:p>
        </w:tc>
      </w:tr>
      <w:tr w:rsidR="00686870" w:rsidRPr="00842993" w14:paraId="6E5BF597" w14:textId="77777777" w:rsidTr="000C019E">
        <w:trPr>
          <w:trHeight w:val="294"/>
        </w:trPr>
        <w:tc>
          <w:tcPr>
            <w:tcW w:w="4219" w:type="dxa"/>
            <w:shd w:val="clear" w:color="auto" w:fill="auto"/>
            <w:noWrap/>
            <w:vAlign w:val="bottom"/>
          </w:tcPr>
          <w:p w14:paraId="143C0F4B" w14:textId="5140E666" w:rsidR="00686870" w:rsidRPr="00842993" w:rsidRDefault="00686870" w:rsidP="00BC0A82">
            <w:pPr>
              <w:keepNext/>
              <w:rPr>
                <w:rFonts w:ascii="Times New Roman" w:hAnsi="Times New Roman" w:cs="Times New Roman"/>
                <w:color w:val="000000"/>
                <w:sz w:val="22"/>
                <w:szCs w:val="22"/>
              </w:rPr>
            </w:pPr>
            <w:r w:rsidRPr="00842993">
              <w:rPr>
                <w:rFonts w:ascii="Times New Roman" w:hAnsi="Times New Roman" w:cs="Times New Roman"/>
                <w:b/>
                <w:bCs/>
                <w:color w:val="000000"/>
                <w:sz w:val="22"/>
                <w:szCs w:val="22"/>
              </w:rPr>
              <w:t xml:space="preserve">Baseline CO levels </w:t>
            </w:r>
          </w:p>
        </w:tc>
        <w:tc>
          <w:tcPr>
            <w:tcW w:w="516" w:type="dxa"/>
            <w:shd w:val="clear" w:color="auto" w:fill="auto"/>
            <w:noWrap/>
            <w:vAlign w:val="bottom"/>
          </w:tcPr>
          <w:p w14:paraId="5F237361" w14:textId="160C45F5" w:rsidR="00686870" w:rsidRPr="00842993" w:rsidRDefault="00EA5F9C" w:rsidP="00BC0A82">
            <w:pPr>
              <w:keepNext/>
              <w:jc w:val="center"/>
              <w:rPr>
                <w:rFonts w:ascii="Times New Roman" w:hAnsi="Times New Roman" w:cs="Times New Roman"/>
                <w:color w:val="000000"/>
                <w:sz w:val="22"/>
                <w:szCs w:val="22"/>
              </w:rPr>
            </w:pPr>
            <w:r w:rsidRPr="00842993">
              <w:rPr>
                <w:rFonts w:ascii="Times New Roman" w:hAnsi="Times New Roman" w:cs="Times New Roman"/>
                <w:color w:val="000000"/>
                <w:sz w:val="22"/>
                <w:szCs w:val="22"/>
              </w:rPr>
              <w:t>19</w:t>
            </w:r>
          </w:p>
        </w:tc>
        <w:tc>
          <w:tcPr>
            <w:tcW w:w="1188" w:type="dxa"/>
            <w:shd w:val="clear" w:color="auto" w:fill="auto"/>
            <w:noWrap/>
            <w:vAlign w:val="bottom"/>
          </w:tcPr>
          <w:p w14:paraId="6E0E46D9" w14:textId="77777777" w:rsidR="00686870" w:rsidRPr="00842993" w:rsidRDefault="00686870" w:rsidP="00BC0A82">
            <w:pPr>
              <w:keepNext/>
              <w:jc w:val="center"/>
              <w:rPr>
                <w:rFonts w:ascii="Times New Roman" w:hAnsi="Times New Roman" w:cs="Times New Roman"/>
                <w:color w:val="000000"/>
                <w:sz w:val="22"/>
                <w:szCs w:val="22"/>
              </w:rPr>
            </w:pPr>
          </w:p>
        </w:tc>
        <w:tc>
          <w:tcPr>
            <w:tcW w:w="939" w:type="dxa"/>
            <w:shd w:val="clear" w:color="auto" w:fill="auto"/>
            <w:noWrap/>
            <w:vAlign w:val="bottom"/>
          </w:tcPr>
          <w:p w14:paraId="34C0E147" w14:textId="6FE47987" w:rsidR="00686870" w:rsidRPr="00842993" w:rsidRDefault="00EA5F9C" w:rsidP="00BC0A82">
            <w:pPr>
              <w:keepNext/>
              <w:jc w:val="center"/>
              <w:rPr>
                <w:rFonts w:ascii="Times New Roman" w:hAnsi="Times New Roman" w:cs="Times New Roman"/>
                <w:color w:val="000000"/>
                <w:sz w:val="22"/>
                <w:szCs w:val="22"/>
              </w:rPr>
            </w:pPr>
            <w:r w:rsidRPr="00842993">
              <w:rPr>
                <w:rFonts w:ascii="Times New Roman" w:hAnsi="Times New Roman" w:cs="Times New Roman"/>
                <w:color w:val="000000"/>
                <w:sz w:val="22"/>
                <w:szCs w:val="22"/>
              </w:rPr>
              <w:t>3.90</w:t>
            </w:r>
          </w:p>
        </w:tc>
        <w:tc>
          <w:tcPr>
            <w:tcW w:w="936" w:type="dxa"/>
            <w:shd w:val="clear" w:color="auto" w:fill="auto"/>
            <w:noWrap/>
            <w:vAlign w:val="bottom"/>
          </w:tcPr>
          <w:p w14:paraId="668F3097" w14:textId="2B1732B8" w:rsidR="00686870" w:rsidRPr="00842993" w:rsidRDefault="00EA5F9C" w:rsidP="00BC0A82">
            <w:pPr>
              <w:keepNext/>
              <w:jc w:val="center"/>
              <w:rPr>
                <w:rFonts w:ascii="Times New Roman" w:hAnsi="Times New Roman" w:cs="Times New Roman"/>
                <w:color w:val="000000"/>
                <w:sz w:val="22"/>
                <w:szCs w:val="22"/>
              </w:rPr>
            </w:pPr>
            <w:r w:rsidRPr="00842993">
              <w:rPr>
                <w:rFonts w:ascii="Times New Roman" w:hAnsi="Times New Roman" w:cs="Times New Roman"/>
                <w:color w:val="000000"/>
                <w:sz w:val="22"/>
                <w:szCs w:val="22"/>
              </w:rPr>
              <w:t>2.77</w:t>
            </w:r>
          </w:p>
        </w:tc>
        <w:tc>
          <w:tcPr>
            <w:tcW w:w="825" w:type="dxa"/>
            <w:shd w:val="clear" w:color="auto" w:fill="auto"/>
            <w:noWrap/>
            <w:vAlign w:val="bottom"/>
          </w:tcPr>
          <w:p w14:paraId="1E47FBDB" w14:textId="34018E4B" w:rsidR="00686870" w:rsidRPr="00842993" w:rsidRDefault="00EA5F9C" w:rsidP="00BC0A82">
            <w:pPr>
              <w:keepNext/>
              <w:jc w:val="center"/>
              <w:rPr>
                <w:rFonts w:ascii="Times New Roman" w:hAnsi="Times New Roman" w:cs="Times New Roman"/>
                <w:color w:val="000000"/>
                <w:sz w:val="22"/>
                <w:szCs w:val="22"/>
              </w:rPr>
            </w:pPr>
            <w:r w:rsidRPr="00842993">
              <w:rPr>
                <w:rFonts w:ascii="Times New Roman" w:hAnsi="Times New Roman" w:cs="Times New Roman"/>
                <w:color w:val="000000"/>
                <w:sz w:val="22"/>
                <w:szCs w:val="22"/>
              </w:rPr>
              <w:t>0</w:t>
            </w:r>
          </w:p>
        </w:tc>
        <w:tc>
          <w:tcPr>
            <w:tcW w:w="896" w:type="dxa"/>
            <w:shd w:val="clear" w:color="auto" w:fill="auto"/>
            <w:vAlign w:val="bottom"/>
          </w:tcPr>
          <w:p w14:paraId="4A95C2B8" w14:textId="3ABC97BB" w:rsidR="00686870" w:rsidRPr="00842993" w:rsidRDefault="00EA5F9C" w:rsidP="00BC0A82">
            <w:pPr>
              <w:keepNext/>
              <w:jc w:val="center"/>
              <w:rPr>
                <w:rFonts w:ascii="Times New Roman" w:hAnsi="Times New Roman" w:cs="Times New Roman"/>
                <w:color w:val="000000"/>
                <w:sz w:val="22"/>
                <w:szCs w:val="22"/>
              </w:rPr>
            </w:pPr>
            <w:r w:rsidRPr="00842993">
              <w:rPr>
                <w:rFonts w:ascii="Times New Roman" w:hAnsi="Times New Roman" w:cs="Times New Roman"/>
                <w:color w:val="000000"/>
                <w:sz w:val="22"/>
                <w:szCs w:val="22"/>
              </w:rPr>
              <w:t>9</w:t>
            </w:r>
          </w:p>
        </w:tc>
      </w:tr>
      <w:tr w:rsidR="00EA5F9C" w:rsidRPr="00842993" w14:paraId="2F9CE268" w14:textId="77777777" w:rsidTr="000C019E">
        <w:trPr>
          <w:trHeight w:val="294"/>
        </w:trPr>
        <w:tc>
          <w:tcPr>
            <w:tcW w:w="4219" w:type="dxa"/>
            <w:shd w:val="clear" w:color="auto" w:fill="auto"/>
            <w:noWrap/>
            <w:vAlign w:val="bottom"/>
          </w:tcPr>
          <w:p w14:paraId="58E99F82" w14:textId="02728C72" w:rsidR="00EA5F9C" w:rsidRPr="00842993" w:rsidRDefault="00EA5F9C" w:rsidP="00BC0A82">
            <w:pPr>
              <w:keepNext/>
              <w:rPr>
                <w:rFonts w:ascii="Times New Roman" w:hAnsi="Times New Roman" w:cs="Times New Roman"/>
                <w:b/>
                <w:bCs/>
                <w:color w:val="000000"/>
                <w:sz w:val="22"/>
                <w:szCs w:val="22"/>
              </w:rPr>
            </w:pPr>
            <w:r w:rsidRPr="00842993">
              <w:rPr>
                <w:rFonts w:ascii="Times New Roman" w:hAnsi="Times New Roman" w:cs="Times New Roman"/>
                <w:color w:val="000000"/>
                <w:sz w:val="22"/>
                <w:szCs w:val="22"/>
              </w:rPr>
              <w:t> </w:t>
            </w:r>
          </w:p>
        </w:tc>
        <w:tc>
          <w:tcPr>
            <w:tcW w:w="516" w:type="dxa"/>
            <w:shd w:val="clear" w:color="auto" w:fill="auto"/>
            <w:noWrap/>
            <w:vAlign w:val="bottom"/>
          </w:tcPr>
          <w:p w14:paraId="15992F99" w14:textId="0B41970A" w:rsidR="00EA5F9C" w:rsidRPr="00842993" w:rsidRDefault="00EA5F9C" w:rsidP="00BC0A82">
            <w:pPr>
              <w:keepNext/>
              <w:jc w:val="center"/>
              <w:rPr>
                <w:rFonts w:ascii="Times New Roman" w:hAnsi="Times New Roman" w:cs="Times New Roman"/>
                <w:color w:val="000000"/>
                <w:sz w:val="22"/>
                <w:szCs w:val="22"/>
              </w:rPr>
            </w:pPr>
          </w:p>
        </w:tc>
        <w:tc>
          <w:tcPr>
            <w:tcW w:w="1188" w:type="dxa"/>
            <w:shd w:val="clear" w:color="auto" w:fill="auto"/>
            <w:noWrap/>
            <w:vAlign w:val="bottom"/>
          </w:tcPr>
          <w:p w14:paraId="30C3AD3E" w14:textId="08ED1B6B" w:rsidR="00EA5F9C" w:rsidRPr="00842993" w:rsidRDefault="00EA5F9C" w:rsidP="00BC0A82">
            <w:pPr>
              <w:keepNext/>
              <w:jc w:val="center"/>
              <w:rPr>
                <w:rFonts w:ascii="Times New Roman" w:hAnsi="Times New Roman" w:cs="Times New Roman"/>
                <w:color w:val="000000"/>
                <w:sz w:val="22"/>
                <w:szCs w:val="22"/>
              </w:rPr>
            </w:pPr>
          </w:p>
        </w:tc>
        <w:tc>
          <w:tcPr>
            <w:tcW w:w="939" w:type="dxa"/>
            <w:shd w:val="clear" w:color="auto" w:fill="auto"/>
            <w:noWrap/>
            <w:vAlign w:val="bottom"/>
          </w:tcPr>
          <w:p w14:paraId="5DD9E0E3" w14:textId="71D81010" w:rsidR="00EA5F9C" w:rsidRPr="00842993" w:rsidRDefault="00EA5F9C" w:rsidP="00BC0A82">
            <w:pPr>
              <w:keepNext/>
              <w:jc w:val="center"/>
              <w:rPr>
                <w:rFonts w:ascii="Times New Roman" w:hAnsi="Times New Roman" w:cs="Times New Roman"/>
                <w:color w:val="000000"/>
                <w:sz w:val="22"/>
                <w:szCs w:val="22"/>
              </w:rPr>
            </w:pPr>
          </w:p>
        </w:tc>
        <w:tc>
          <w:tcPr>
            <w:tcW w:w="936" w:type="dxa"/>
            <w:shd w:val="clear" w:color="auto" w:fill="auto"/>
            <w:noWrap/>
            <w:vAlign w:val="bottom"/>
          </w:tcPr>
          <w:p w14:paraId="0A955B9B" w14:textId="2AF771DE" w:rsidR="00EA5F9C" w:rsidRPr="00842993" w:rsidRDefault="00EA5F9C" w:rsidP="00BC0A82">
            <w:pPr>
              <w:keepNext/>
              <w:jc w:val="center"/>
              <w:rPr>
                <w:rFonts w:ascii="Times New Roman" w:hAnsi="Times New Roman" w:cs="Times New Roman"/>
                <w:color w:val="000000"/>
                <w:sz w:val="22"/>
                <w:szCs w:val="22"/>
              </w:rPr>
            </w:pPr>
          </w:p>
        </w:tc>
        <w:tc>
          <w:tcPr>
            <w:tcW w:w="825" w:type="dxa"/>
            <w:shd w:val="clear" w:color="auto" w:fill="auto"/>
            <w:noWrap/>
            <w:vAlign w:val="bottom"/>
          </w:tcPr>
          <w:p w14:paraId="1EE7F572" w14:textId="4538B152" w:rsidR="00EA5F9C" w:rsidRPr="00842993" w:rsidRDefault="00EA5F9C" w:rsidP="00BC0A82">
            <w:pPr>
              <w:keepNext/>
              <w:jc w:val="center"/>
              <w:rPr>
                <w:rFonts w:ascii="Times New Roman" w:hAnsi="Times New Roman" w:cs="Times New Roman"/>
                <w:color w:val="000000"/>
                <w:sz w:val="22"/>
                <w:szCs w:val="22"/>
              </w:rPr>
            </w:pPr>
          </w:p>
        </w:tc>
        <w:tc>
          <w:tcPr>
            <w:tcW w:w="896" w:type="dxa"/>
            <w:shd w:val="clear" w:color="auto" w:fill="auto"/>
            <w:vAlign w:val="bottom"/>
          </w:tcPr>
          <w:p w14:paraId="43BFC95E" w14:textId="207F0D94" w:rsidR="00EA5F9C" w:rsidRPr="00842993" w:rsidRDefault="00EA5F9C" w:rsidP="00BC0A82">
            <w:pPr>
              <w:keepNext/>
              <w:jc w:val="center"/>
              <w:rPr>
                <w:rFonts w:ascii="Times New Roman" w:hAnsi="Times New Roman" w:cs="Times New Roman"/>
                <w:color w:val="000000"/>
                <w:sz w:val="22"/>
                <w:szCs w:val="22"/>
              </w:rPr>
            </w:pPr>
          </w:p>
        </w:tc>
      </w:tr>
      <w:tr w:rsidR="002210BE" w:rsidRPr="00842993" w14:paraId="06B901E2" w14:textId="77777777" w:rsidTr="000C019E">
        <w:trPr>
          <w:trHeight w:val="294"/>
        </w:trPr>
        <w:tc>
          <w:tcPr>
            <w:tcW w:w="4219" w:type="dxa"/>
            <w:shd w:val="clear" w:color="auto" w:fill="auto"/>
            <w:noWrap/>
            <w:vAlign w:val="bottom"/>
          </w:tcPr>
          <w:p w14:paraId="30A67FA8" w14:textId="40572DE8" w:rsidR="002210BE" w:rsidRPr="00842993" w:rsidRDefault="002210BE" w:rsidP="00BC0A82">
            <w:pPr>
              <w:keepNext/>
              <w:rPr>
                <w:rFonts w:ascii="Times New Roman" w:hAnsi="Times New Roman" w:cs="Times New Roman"/>
                <w:b/>
                <w:bCs/>
                <w:color w:val="000000"/>
                <w:sz w:val="22"/>
                <w:szCs w:val="22"/>
              </w:rPr>
            </w:pPr>
            <w:r w:rsidRPr="00842993">
              <w:rPr>
                <w:rFonts w:ascii="Times New Roman" w:hAnsi="Times New Roman" w:cs="Times New Roman"/>
                <w:b/>
                <w:bCs/>
                <w:color w:val="000000"/>
                <w:sz w:val="22"/>
                <w:szCs w:val="22"/>
              </w:rPr>
              <w:t>Daily Liquid Vol consumed (mL)</w:t>
            </w:r>
          </w:p>
        </w:tc>
        <w:tc>
          <w:tcPr>
            <w:tcW w:w="516" w:type="dxa"/>
            <w:shd w:val="clear" w:color="auto" w:fill="auto"/>
            <w:noWrap/>
            <w:vAlign w:val="bottom"/>
          </w:tcPr>
          <w:p w14:paraId="7E7C1BA1" w14:textId="6C732434" w:rsidR="002210BE" w:rsidRPr="00842993" w:rsidRDefault="002210BE" w:rsidP="00BC0A82">
            <w:pPr>
              <w:keepNext/>
              <w:jc w:val="center"/>
              <w:rPr>
                <w:rFonts w:ascii="Times New Roman" w:hAnsi="Times New Roman" w:cs="Times New Roman"/>
                <w:color w:val="000000"/>
                <w:sz w:val="22"/>
                <w:szCs w:val="22"/>
              </w:rPr>
            </w:pPr>
            <w:r w:rsidRPr="00842993">
              <w:rPr>
                <w:rFonts w:ascii="Times New Roman" w:hAnsi="Times New Roman" w:cs="Times New Roman"/>
                <w:color w:val="000000"/>
                <w:sz w:val="22"/>
                <w:szCs w:val="22"/>
              </w:rPr>
              <w:t>16</w:t>
            </w:r>
          </w:p>
        </w:tc>
        <w:tc>
          <w:tcPr>
            <w:tcW w:w="1188" w:type="dxa"/>
            <w:shd w:val="clear" w:color="auto" w:fill="auto"/>
            <w:noWrap/>
            <w:vAlign w:val="bottom"/>
          </w:tcPr>
          <w:p w14:paraId="7A3CFA41" w14:textId="47776191" w:rsidR="002210BE" w:rsidRPr="00842993" w:rsidRDefault="002210BE" w:rsidP="00BC0A82">
            <w:pPr>
              <w:keepNext/>
              <w:jc w:val="center"/>
              <w:rPr>
                <w:rFonts w:ascii="Times New Roman" w:hAnsi="Times New Roman" w:cs="Times New Roman"/>
                <w:color w:val="000000"/>
                <w:sz w:val="22"/>
                <w:szCs w:val="22"/>
              </w:rPr>
            </w:pPr>
          </w:p>
        </w:tc>
        <w:tc>
          <w:tcPr>
            <w:tcW w:w="939" w:type="dxa"/>
            <w:shd w:val="clear" w:color="auto" w:fill="auto"/>
            <w:noWrap/>
            <w:vAlign w:val="bottom"/>
          </w:tcPr>
          <w:p w14:paraId="105978BE" w14:textId="1840BF40" w:rsidR="002210BE" w:rsidRPr="00842993" w:rsidRDefault="002210BE" w:rsidP="00BC0A82">
            <w:pPr>
              <w:keepNext/>
              <w:jc w:val="center"/>
              <w:rPr>
                <w:rFonts w:ascii="Times New Roman" w:hAnsi="Times New Roman" w:cs="Times New Roman"/>
                <w:color w:val="000000"/>
                <w:sz w:val="22"/>
                <w:szCs w:val="22"/>
              </w:rPr>
            </w:pPr>
            <w:r w:rsidRPr="00842993">
              <w:rPr>
                <w:rFonts w:ascii="Times New Roman" w:hAnsi="Times New Roman" w:cs="Times New Roman"/>
                <w:color w:val="000000"/>
                <w:sz w:val="22"/>
                <w:szCs w:val="22"/>
              </w:rPr>
              <w:t>6.57</w:t>
            </w:r>
          </w:p>
        </w:tc>
        <w:tc>
          <w:tcPr>
            <w:tcW w:w="936" w:type="dxa"/>
            <w:shd w:val="clear" w:color="auto" w:fill="auto"/>
            <w:noWrap/>
            <w:vAlign w:val="bottom"/>
          </w:tcPr>
          <w:p w14:paraId="5379BE81" w14:textId="06F5C45C" w:rsidR="002210BE" w:rsidRPr="00842993" w:rsidRDefault="002210BE" w:rsidP="00BC0A82">
            <w:pPr>
              <w:keepNext/>
              <w:jc w:val="center"/>
              <w:rPr>
                <w:rFonts w:ascii="Times New Roman" w:hAnsi="Times New Roman" w:cs="Times New Roman"/>
                <w:color w:val="000000"/>
                <w:sz w:val="22"/>
                <w:szCs w:val="22"/>
              </w:rPr>
            </w:pPr>
            <w:r w:rsidRPr="00842993">
              <w:rPr>
                <w:rFonts w:ascii="Times New Roman" w:hAnsi="Times New Roman" w:cs="Times New Roman"/>
                <w:color w:val="000000"/>
                <w:sz w:val="22"/>
                <w:szCs w:val="22"/>
              </w:rPr>
              <w:t>3.10</w:t>
            </w:r>
          </w:p>
        </w:tc>
        <w:tc>
          <w:tcPr>
            <w:tcW w:w="825" w:type="dxa"/>
            <w:shd w:val="clear" w:color="auto" w:fill="auto"/>
            <w:noWrap/>
            <w:vAlign w:val="bottom"/>
          </w:tcPr>
          <w:p w14:paraId="008E3E86" w14:textId="1D7AA330" w:rsidR="002210BE" w:rsidRPr="00842993" w:rsidRDefault="002210BE" w:rsidP="00BC0A82">
            <w:pPr>
              <w:keepNext/>
              <w:jc w:val="center"/>
              <w:rPr>
                <w:rFonts w:ascii="Times New Roman" w:hAnsi="Times New Roman" w:cs="Times New Roman"/>
                <w:color w:val="000000"/>
                <w:sz w:val="22"/>
                <w:szCs w:val="22"/>
              </w:rPr>
            </w:pPr>
            <w:r w:rsidRPr="00842993">
              <w:rPr>
                <w:rFonts w:ascii="Times New Roman" w:hAnsi="Times New Roman" w:cs="Times New Roman"/>
                <w:color w:val="000000"/>
                <w:sz w:val="22"/>
                <w:szCs w:val="22"/>
              </w:rPr>
              <w:t>1.3</w:t>
            </w:r>
          </w:p>
        </w:tc>
        <w:tc>
          <w:tcPr>
            <w:tcW w:w="896" w:type="dxa"/>
            <w:shd w:val="clear" w:color="auto" w:fill="auto"/>
            <w:vAlign w:val="bottom"/>
          </w:tcPr>
          <w:p w14:paraId="6C013E1E" w14:textId="04D330E6" w:rsidR="002210BE" w:rsidRPr="00842993" w:rsidRDefault="002210BE" w:rsidP="00BC0A82">
            <w:pPr>
              <w:keepNext/>
              <w:jc w:val="center"/>
              <w:rPr>
                <w:rFonts w:ascii="Times New Roman" w:hAnsi="Times New Roman" w:cs="Times New Roman"/>
                <w:color w:val="000000"/>
                <w:sz w:val="22"/>
                <w:szCs w:val="22"/>
              </w:rPr>
            </w:pPr>
            <w:r w:rsidRPr="00842993">
              <w:rPr>
                <w:rFonts w:ascii="Times New Roman" w:hAnsi="Times New Roman" w:cs="Times New Roman"/>
                <w:color w:val="000000"/>
                <w:sz w:val="22"/>
                <w:szCs w:val="22"/>
              </w:rPr>
              <w:t>10</w:t>
            </w:r>
          </w:p>
        </w:tc>
      </w:tr>
      <w:tr w:rsidR="002210BE" w:rsidRPr="00842993" w14:paraId="57C47AEB" w14:textId="77777777" w:rsidTr="000C019E">
        <w:trPr>
          <w:trHeight w:val="294"/>
        </w:trPr>
        <w:tc>
          <w:tcPr>
            <w:tcW w:w="4219" w:type="dxa"/>
            <w:shd w:val="clear" w:color="auto" w:fill="auto"/>
            <w:noWrap/>
            <w:vAlign w:val="bottom"/>
          </w:tcPr>
          <w:p w14:paraId="40079ECF" w14:textId="227DAD38" w:rsidR="002210BE" w:rsidRPr="00842993" w:rsidRDefault="001B2EB5" w:rsidP="00BC0A82">
            <w:pPr>
              <w:keepNext/>
              <w:rPr>
                <w:rFonts w:ascii="Times New Roman" w:hAnsi="Times New Roman" w:cs="Times New Roman"/>
                <w:b/>
                <w:bCs/>
                <w:color w:val="000000"/>
                <w:sz w:val="22"/>
                <w:szCs w:val="22"/>
              </w:rPr>
            </w:pPr>
            <w:r w:rsidRPr="00842993">
              <w:rPr>
                <w:rFonts w:ascii="Times New Roman" w:hAnsi="Times New Roman" w:cs="Times New Roman"/>
                <w:b/>
                <w:bCs/>
                <w:color w:val="000000"/>
                <w:sz w:val="22"/>
                <w:szCs w:val="22"/>
              </w:rPr>
              <w:t>Estimated puffs per day</w:t>
            </w:r>
          </w:p>
        </w:tc>
        <w:tc>
          <w:tcPr>
            <w:tcW w:w="516" w:type="dxa"/>
            <w:shd w:val="clear" w:color="auto" w:fill="auto"/>
            <w:noWrap/>
            <w:vAlign w:val="bottom"/>
          </w:tcPr>
          <w:p w14:paraId="7F644F13" w14:textId="2B27F4C9" w:rsidR="002210BE" w:rsidRPr="00842993" w:rsidRDefault="001B2EB5" w:rsidP="00BC0A82">
            <w:pPr>
              <w:keepNext/>
              <w:jc w:val="center"/>
              <w:rPr>
                <w:rFonts w:ascii="Times New Roman" w:hAnsi="Times New Roman" w:cs="Times New Roman"/>
                <w:color w:val="000000"/>
                <w:sz w:val="22"/>
                <w:szCs w:val="22"/>
              </w:rPr>
            </w:pPr>
            <w:r w:rsidRPr="00842993">
              <w:rPr>
                <w:rFonts w:ascii="Times New Roman" w:hAnsi="Times New Roman" w:cs="Times New Roman"/>
                <w:color w:val="000000"/>
                <w:sz w:val="22"/>
                <w:szCs w:val="22"/>
              </w:rPr>
              <w:t>6</w:t>
            </w:r>
          </w:p>
        </w:tc>
        <w:tc>
          <w:tcPr>
            <w:tcW w:w="1188" w:type="dxa"/>
            <w:shd w:val="clear" w:color="auto" w:fill="auto"/>
            <w:noWrap/>
            <w:vAlign w:val="bottom"/>
          </w:tcPr>
          <w:p w14:paraId="463A90FA" w14:textId="77777777" w:rsidR="002210BE" w:rsidRPr="00842993" w:rsidRDefault="002210BE" w:rsidP="00BC0A82">
            <w:pPr>
              <w:keepNext/>
              <w:jc w:val="center"/>
              <w:rPr>
                <w:rFonts w:ascii="Times New Roman" w:hAnsi="Times New Roman" w:cs="Times New Roman"/>
                <w:color w:val="000000"/>
                <w:sz w:val="22"/>
                <w:szCs w:val="22"/>
              </w:rPr>
            </w:pPr>
          </w:p>
        </w:tc>
        <w:tc>
          <w:tcPr>
            <w:tcW w:w="939" w:type="dxa"/>
            <w:shd w:val="clear" w:color="auto" w:fill="auto"/>
            <w:noWrap/>
            <w:vAlign w:val="bottom"/>
          </w:tcPr>
          <w:p w14:paraId="4FD89113" w14:textId="4A6AF70A" w:rsidR="002210BE" w:rsidRPr="00842993" w:rsidRDefault="001B2EB5" w:rsidP="00BC0A82">
            <w:pPr>
              <w:keepNext/>
              <w:jc w:val="center"/>
              <w:rPr>
                <w:rFonts w:ascii="Times New Roman" w:hAnsi="Times New Roman" w:cs="Times New Roman"/>
                <w:color w:val="000000"/>
                <w:sz w:val="22"/>
                <w:szCs w:val="22"/>
              </w:rPr>
            </w:pPr>
            <w:r w:rsidRPr="00842993">
              <w:rPr>
                <w:rFonts w:ascii="Times New Roman" w:hAnsi="Times New Roman" w:cs="Times New Roman"/>
                <w:color w:val="000000"/>
                <w:sz w:val="22"/>
                <w:szCs w:val="22"/>
              </w:rPr>
              <w:t>180</w:t>
            </w:r>
          </w:p>
        </w:tc>
        <w:tc>
          <w:tcPr>
            <w:tcW w:w="936" w:type="dxa"/>
            <w:shd w:val="clear" w:color="auto" w:fill="auto"/>
            <w:noWrap/>
            <w:vAlign w:val="bottom"/>
          </w:tcPr>
          <w:p w14:paraId="42425FF7" w14:textId="04940F3B" w:rsidR="002210BE" w:rsidRPr="00842993" w:rsidRDefault="001B2EB5" w:rsidP="00BC0A82">
            <w:pPr>
              <w:keepNext/>
              <w:jc w:val="center"/>
              <w:rPr>
                <w:rFonts w:ascii="Times New Roman" w:hAnsi="Times New Roman" w:cs="Times New Roman"/>
                <w:color w:val="000000"/>
                <w:sz w:val="22"/>
                <w:szCs w:val="22"/>
              </w:rPr>
            </w:pPr>
            <w:r w:rsidRPr="00842993">
              <w:rPr>
                <w:rFonts w:ascii="Times New Roman" w:hAnsi="Times New Roman" w:cs="Times New Roman"/>
                <w:color w:val="000000"/>
                <w:sz w:val="22"/>
                <w:szCs w:val="22"/>
              </w:rPr>
              <w:t>80</w:t>
            </w:r>
          </w:p>
        </w:tc>
        <w:tc>
          <w:tcPr>
            <w:tcW w:w="825" w:type="dxa"/>
            <w:shd w:val="clear" w:color="auto" w:fill="auto"/>
            <w:noWrap/>
            <w:vAlign w:val="bottom"/>
          </w:tcPr>
          <w:p w14:paraId="07686D50" w14:textId="3F1900AF" w:rsidR="002210BE" w:rsidRPr="00842993" w:rsidRDefault="001B2EB5" w:rsidP="00BC0A82">
            <w:pPr>
              <w:keepNext/>
              <w:jc w:val="center"/>
              <w:rPr>
                <w:rFonts w:ascii="Times New Roman" w:hAnsi="Times New Roman" w:cs="Times New Roman"/>
                <w:color w:val="000000"/>
                <w:sz w:val="22"/>
                <w:szCs w:val="22"/>
              </w:rPr>
            </w:pPr>
            <w:r w:rsidRPr="00842993">
              <w:rPr>
                <w:rFonts w:ascii="Times New Roman" w:hAnsi="Times New Roman" w:cs="Times New Roman"/>
                <w:color w:val="000000"/>
                <w:sz w:val="22"/>
                <w:szCs w:val="22"/>
              </w:rPr>
              <w:t>80</w:t>
            </w:r>
          </w:p>
        </w:tc>
        <w:tc>
          <w:tcPr>
            <w:tcW w:w="896" w:type="dxa"/>
            <w:shd w:val="clear" w:color="auto" w:fill="auto"/>
            <w:vAlign w:val="bottom"/>
          </w:tcPr>
          <w:p w14:paraId="4C363CBA" w14:textId="3D3C0088" w:rsidR="002210BE" w:rsidRPr="00842993" w:rsidRDefault="001B2EB5" w:rsidP="00BC0A82">
            <w:pPr>
              <w:keepNext/>
              <w:jc w:val="center"/>
              <w:rPr>
                <w:rFonts w:ascii="Times New Roman" w:hAnsi="Times New Roman" w:cs="Times New Roman"/>
                <w:color w:val="000000"/>
                <w:sz w:val="22"/>
                <w:szCs w:val="22"/>
              </w:rPr>
            </w:pPr>
            <w:r w:rsidRPr="00842993">
              <w:rPr>
                <w:rFonts w:ascii="Times New Roman" w:hAnsi="Times New Roman" w:cs="Times New Roman"/>
                <w:color w:val="000000"/>
                <w:sz w:val="22"/>
                <w:szCs w:val="22"/>
              </w:rPr>
              <w:t>300</w:t>
            </w:r>
          </w:p>
        </w:tc>
      </w:tr>
      <w:tr w:rsidR="002210BE" w:rsidRPr="00842993" w14:paraId="742C2BD4" w14:textId="77777777" w:rsidTr="000C019E">
        <w:trPr>
          <w:trHeight w:val="294"/>
        </w:trPr>
        <w:tc>
          <w:tcPr>
            <w:tcW w:w="4219" w:type="dxa"/>
            <w:shd w:val="clear" w:color="auto" w:fill="auto"/>
            <w:noWrap/>
            <w:vAlign w:val="bottom"/>
          </w:tcPr>
          <w:p w14:paraId="499E6A2F" w14:textId="77777777" w:rsidR="002210BE" w:rsidRPr="00842993" w:rsidRDefault="002210BE" w:rsidP="00BC0A82">
            <w:pPr>
              <w:keepNext/>
              <w:rPr>
                <w:rFonts w:ascii="Times New Roman" w:hAnsi="Times New Roman" w:cs="Times New Roman"/>
                <w:b/>
                <w:bCs/>
                <w:color w:val="000000"/>
                <w:sz w:val="22"/>
                <w:szCs w:val="22"/>
              </w:rPr>
            </w:pPr>
          </w:p>
        </w:tc>
        <w:tc>
          <w:tcPr>
            <w:tcW w:w="516" w:type="dxa"/>
            <w:shd w:val="clear" w:color="auto" w:fill="auto"/>
            <w:noWrap/>
            <w:vAlign w:val="bottom"/>
          </w:tcPr>
          <w:p w14:paraId="5D5C626B" w14:textId="77777777" w:rsidR="002210BE" w:rsidRPr="00842993" w:rsidRDefault="002210BE" w:rsidP="00BC0A82">
            <w:pPr>
              <w:keepNext/>
              <w:jc w:val="center"/>
              <w:rPr>
                <w:rFonts w:ascii="Times New Roman" w:hAnsi="Times New Roman" w:cs="Times New Roman"/>
                <w:color w:val="000000"/>
                <w:sz w:val="22"/>
                <w:szCs w:val="22"/>
              </w:rPr>
            </w:pPr>
          </w:p>
        </w:tc>
        <w:tc>
          <w:tcPr>
            <w:tcW w:w="1188" w:type="dxa"/>
            <w:shd w:val="clear" w:color="auto" w:fill="auto"/>
            <w:noWrap/>
            <w:vAlign w:val="bottom"/>
          </w:tcPr>
          <w:p w14:paraId="3C387871" w14:textId="77777777" w:rsidR="002210BE" w:rsidRPr="00842993" w:rsidRDefault="002210BE" w:rsidP="00BC0A82">
            <w:pPr>
              <w:keepNext/>
              <w:jc w:val="center"/>
              <w:rPr>
                <w:rFonts w:ascii="Times New Roman" w:hAnsi="Times New Roman" w:cs="Times New Roman"/>
                <w:color w:val="000000"/>
                <w:sz w:val="22"/>
                <w:szCs w:val="22"/>
              </w:rPr>
            </w:pPr>
          </w:p>
        </w:tc>
        <w:tc>
          <w:tcPr>
            <w:tcW w:w="939" w:type="dxa"/>
            <w:shd w:val="clear" w:color="auto" w:fill="auto"/>
            <w:noWrap/>
            <w:vAlign w:val="bottom"/>
          </w:tcPr>
          <w:p w14:paraId="5D714B29" w14:textId="77777777" w:rsidR="002210BE" w:rsidRPr="00842993" w:rsidRDefault="002210BE" w:rsidP="00BC0A82">
            <w:pPr>
              <w:keepNext/>
              <w:jc w:val="center"/>
              <w:rPr>
                <w:rFonts w:ascii="Times New Roman" w:hAnsi="Times New Roman" w:cs="Times New Roman"/>
                <w:color w:val="000000"/>
                <w:sz w:val="22"/>
                <w:szCs w:val="22"/>
              </w:rPr>
            </w:pPr>
          </w:p>
        </w:tc>
        <w:tc>
          <w:tcPr>
            <w:tcW w:w="936" w:type="dxa"/>
            <w:shd w:val="clear" w:color="auto" w:fill="auto"/>
            <w:noWrap/>
            <w:vAlign w:val="bottom"/>
          </w:tcPr>
          <w:p w14:paraId="5E5D4201" w14:textId="77777777" w:rsidR="002210BE" w:rsidRPr="00842993" w:rsidRDefault="002210BE" w:rsidP="00BC0A82">
            <w:pPr>
              <w:keepNext/>
              <w:jc w:val="center"/>
              <w:rPr>
                <w:rFonts w:ascii="Times New Roman" w:hAnsi="Times New Roman" w:cs="Times New Roman"/>
                <w:color w:val="000000"/>
                <w:sz w:val="22"/>
                <w:szCs w:val="22"/>
              </w:rPr>
            </w:pPr>
          </w:p>
        </w:tc>
        <w:tc>
          <w:tcPr>
            <w:tcW w:w="825" w:type="dxa"/>
            <w:shd w:val="clear" w:color="auto" w:fill="auto"/>
            <w:noWrap/>
            <w:vAlign w:val="bottom"/>
          </w:tcPr>
          <w:p w14:paraId="3AB9FF99" w14:textId="77777777" w:rsidR="002210BE" w:rsidRPr="00842993" w:rsidRDefault="002210BE" w:rsidP="00BC0A82">
            <w:pPr>
              <w:keepNext/>
              <w:jc w:val="center"/>
              <w:rPr>
                <w:rFonts w:ascii="Times New Roman" w:hAnsi="Times New Roman" w:cs="Times New Roman"/>
                <w:color w:val="000000"/>
                <w:sz w:val="22"/>
                <w:szCs w:val="22"/>
              </w:rPr>
            </w:pPr>
          </w:p>
        </w:tc>
        <w:tc>
          <w:tcPr>
            <w:tcW w:w="896" w:type="dxa"/>
            <w:shd w:val="clear" w:color="auto" w:fill="auto"/>
            <w:vAlign w:val="bottom"/>
          </w:tcPr>
          <w:p w14:paraId="0C8F6541" w14:textId="77777777" w:rsidR="002210BE" w:rsidRPr="00842993" w:rsidRDefault="002210BE" w:rsidP="00BC0A82">
            <w:pPr>
              <w:keepNext/>
              <w:jc w:val="center"/>
              <w:rPr>
                <w:rFonts w:ascii="Times New Roman" w:hAnsi="Times New Roman" w:cs="Times New Roman"/>
                <w:color w:val="000000"/>
                <w:sz w:val="22"/>
                <w:szCs w:val="22"/>
              </w:rPr>
            </w:pPr>
          </w:p>
        </w:tc>
      </w:tr>
      <w:tr w:rsidR="002210BE" w:rsidRPr="00842993" w14:paraId="4A6C4069" w14:textId="77777777" w:rsidTr="000C019E">
        <w:trPr>
          <w:trHeight w:val="294"/>
        </w:trPr>
        <w:tc>
          <w:tcPr>
            <w:tcW w:w="4219" w:type="dxa"/>
            <w:shd w:val="clear" w:color="auto" w:fill="auto"/>
            <w:noWrap/>
            <w:vAlign w:val="bottom"/>
          </w:tcPr>
          <w:p w14:paraId="0289F939" w14:textId="6B88E30A" w:rsidR="002210BE" w:rsidRPr="00842993" w:rsidRDefault="002210BE" w:rsidP="00BC0A82">
            <w:pPr>
              <w:keepNext/>
              <w:rPr>
                <w:rFonts w:ascii="Times New Roman" w:hAnsi="Times New Roman" w:cs="Times New Roman"/>
                <w:color w:val="000000"/>
                <w:sz w:val="22"/>
                <w:szCs w:val="22"/>
              </w:rPr>
            </w:pPr>
            <w:r w:rsidRPr="00842993">
              <w:rPr>
                <w:rFonts w:ascii="Times New Roman" w:hAnsi="Times New Roman" w:cs="Times New Roman"/>
                <w:b/>
                <w:bCs/>
                <w:color w:val="000000"/>
                <w:sz w:val="22"/>
                <w:szCs w:val="22"/>
              </w:rPr>
              <w:t>Current model most used</w:t>
            </w:r>
          </w:p>
        </w:tc>
        <w:tc>
          <w:tcPr>
            <w:tcW w:w="516" w:type="dxa"/>
            <w:shd w:val="clear" w:color="auto" w:fill="auto"/>
            <w:noWrap/>
            <w:vAlign w:val="bottom"/>
          </w:tcPr>
          <w:p w14:paraId="022AA314" w14:textId="62DAA6A8" w:rsidR="002210BE" w:rsidRPr="00842993" w:rsidRDefault="002210BE" w:rsidP="00BC0A82">
            <w:pPr>
              <w:keepNext/>
              <w:jc w:val="center"/>
              <w:rPr>
                <w:rFonts w:ascii="Times New Roman" w:hAnsi="Times New Roman" w:cs="Times New Roman"/>
                <w:color w:val="000000"/>
                <w:sz w:val="22"/>
                <w:szCs w:val="22"/>
              </w:rPr>
            </w:pPr>
          </w:p>
        </w:tc>
        <w:tc>
          <w:tcPr>
            <w:tcW w:w="1188" w:type="dxa"/>
            <w:shd w:val="clear" w:color="auto" w:fill="auto"/>
            <w:noWrap/>
            <w:vAlign w:val="bottom"/>
          </w:tcPr>
          <w:p w14:paraId="38BEDF8E" w14:textId="38E9226E" w:rsidR="002210BE" w:rsidRPr="00842993" w:rsidRDefault="002210BE" w:rsidP="00BC0A82">
            <w:pPr>
              <w:keepNext/>
              <w:jc w:val="center"/>
              <w:rPr>
                <w:rFonts w:ascii="Times New Roman" w:hAnsi="Times New Roman" w:cs="Times New Roman"/>
                <w:color w:val="000000"/>
                <w:sz w:val="22"/>
                <w:szCs w:val="22"/>
              </w:rPr>
            </w:pPr>
          </w:p>
        </w:tc>
        <w:tc>
          <w:tcPr>
            <w:tcW w:w="939" w:type="dxa"/>
            <w:shd w:val="clear" w:color="auto" w:fill="auto"/>
            <w:noWrap/>
            <w:vAlign w:val="bottom"/>
          </w:tcPr>
          <w:p w14:paraId="0D931849" w14:textId="37119761" w:rsidR="002210BE" w:rsidRPr="00842993" w:rsidRDefault="002210BE" w:rsidP="00BC0A82">
            <w:pPr>
              <w:keepNext/>
              <w:jc w:val="center"/>
              <w:rPr>
                <w:rFonts w:ascii="Times New Roman" w:hAnsi="Times New Roman" w:cs="Times New Roman"/>
                <w:color w:val="000000"/>
                <w:sz w:val="22"/>
                <w:szCs w:val="22"/>
              </w:rPr>
            </w:pPr>
          </w:p>
        </w:tc>
        <w:tc>
          <w:tcPr>
            <w:tcW w:w="936" w:type="dxa"/>
            <w:shd w:val="clear" w:color="auto" w:fill="auto"/>
            <w:noWrap/>
            <w:vAlign w:val="bottom"/>
          </w:tcPr>
          <w:p w14:paraId="5F176236" w14:textId="05DAD45D" w:rsidR="002210BE" w:rsidRPr="00842993" w:rsidRDefault="002210BE" w:rsidP="00BC0A82">
            <w:pPr>
              <w:keepNext/>
              <w:jc w:val="center"/>
              <w:rPr>
                <w:rFonts w:ascii="Times New Roman" w:hAnsi="Times New Roman" w:cs="Times New Roman"/>
                <w:color w:val="000000"/>
                <w:sz w:val="22"/>
                <w:szCs w:val="22"/>
              </w:rPr>
            </w:pPr>
          </w:p>
        </w:tc>
        <w:tc>
          <w:tcPr>
            <w:tcW w:w="825" w:type="dxa"/>
            <w:shd w:val="clear" w:color="auto" w:fill="auto"/>
            <w:noWrap/>
            <w:vAlign w:val="bottom"/>
          </w:tcPr>
          <w:p w14:paraId="1F1FAC94" w14:textId="306AA223" w:rsidR="002210BE" w:rsidRPr="00842993" w:rsidRDefault="002210BE" w:rsidP="00BC0A82">
            <w:pPr>
              <w:keepNext/>
              <w:jc w:val="center"/>
              <w:rPr>
                <w:rFonts w:ascii="Times New Roman" w:hAnsi="Times New Roman" w:cs="Times New Roman"/>
                <w:color w:val="000000"/>
                <w:sz w:val="22"/>
                <w:szCs w:val="22"/>
              </w:rPr>
            </w:pPr>
          </w:p>
        </w:tc>
        <w:tc>
          <w:tcPr>
            <w:tcW w:w="896" w:type="dxa"/>
            <w:shd w:val="clear" w:color="auto" w:fill="auto"/>
            <w:vAlign w:val="bottom"/>
          </w:tcPr>
          <w:p w14:paraId="1D2C6004" w14:textId="354B9A49" w:rsidR="002210BE" w:rsidRPr="00842993" w:rsidRDefault="002210BE" w:rsidP="00BC0A82">
            <w:pPr>
              <w:keepNext/>
              <w:jc w:val="center"/>
              <w:rPr>
                <w:rFonts w:ascii="Times New Roman" w:hAnsi="Times New Roman" w:cs="Times New Roman"/>
                <w:color w:val="000000"/>
                <w:sz w:val="22"/>
                <w:szCs w:val="22"/>
              </w:rPr>
            </w:pPr>
          </w:p>
        </w:tc>
      </w:tr>
      <w:tr w:rsidR="00F46584" w:rsidRPr="00842993" w14:paraId="45AECD3C" w14:textId="77777777" w:rsidTr="000C019E">
        <w:trPr>
          <w:trHeight w:val="294"/>
        </w:trPr>
        <w:tc>
          <w:tcPr>
            <w:tcW w:w="4219" w:type="dxa"/>
            <w:shd w:val="clear" w:color="auto" w:fill="auto"/>
            <w:noWrap/>
            <w:vAlign w:val="bottom"/>
          </w:tcPr>
          <w:p w14:paraId="37130D7D" w14:textId="6FB7F288" w:rsidR="00F46584" w:rsidRPr="00842993" w:rsidRDefault="00F46584" w:rsidP="00BC0A82">
            <w:pPr>
              <w:keepNext/>
              <w:rPr>
                <w:rFonts w:ascii="Times New Roman" w:hAnsi="Times New Roman" w:cs="Times New Roman"/>
                <w:color w:val="000000"/>
                <w:sz w:val="22"/>
                <w:szCs w:val="22"/>
              </w:rPr>
            </w:pPr>
            <w:r w:rsidRPr="00842993">
              <w:rPr>
                <w:rFonts w:ascii="Times New Roman" w:hAnsi="Times New Roman" w:cs="Times New Roman"/>
                <w:color w:val="000000"/>
                <w:sz w:val="22"/>
                <w:szCs w:val="22"/>
              </w:rPr>
              <w:t xml:space="preserve">  Rechargeable non-</w:t>
            </w:r>
            <w:proofErr w:type="spellStart"/>
            <w:r w:rsidRPr="00842993">
              <w:rPr>
                <w:rFonts w:ascii="Times New Roman" w:hAnsi="Times New Roman" w:cs="Times New Roman"/>
                <w:color w:val="000000"/>
                <w:sz w:val="22"/>
                <w:szCs w:val="22"/>
              </w:rPr>
              <w:t>cigalike</w:t>
            </w:r>
            <w:proofErr w:type="spellEnd"/>
            <w:r w:rsidRPr="00842993">
              <w:rPr>
                <w:rFonts w:ascii="Times New Roman" w:hAnsi="Times New Roman" w:cs="Times New Roman"/>
                <w:color w:val="000000"/>
                <w:sz w:val="22"/>
                <w:szCs w:val="22"/>
              </w:rPr>
              <w:t xml:space="preserve"> (2nd gen)</w:t>
            </w:r>
          </w:p>
        </w:tc>
        <w:tc>
          <w:tcPr>
            <w:tcW w:w="516" w:type="dxa"/>
            <w:shd w:val="clear" w:color="auto" w:fill="auto"/>
            <w:noWrap/>
            <w:vAlign w:val="bottom"/>
          </w:tcPr>
          <w:p w14:paraId="70F93598" w14:textId="675120B3" w:rsidR="00F46584" w:rsidRPr="00842993" w:rsidRDefault="00F46584" w:rsidP="00BC0A82">
            <w:pPr>
              <w:keepNext/>
              <w:jc w:val="center"/>
              <w:rPr>
                <w:rFonts w:ascii="Times New Roman" w:hAnsi="Times New Roman" w:cs="Times New Roman"/>
                <w:color w:val="000000"/>
                <w:sz w:val="22"/>
                <w:szCs w:val="22"/>
              </w:rPr>
            </w:pPr>
            <w:r w:rsidRPr="00842993">
              <w:rPr>
                <w:rFonts w:ascii="Times New Roman" w:hAnsi="Times New Roman" w:cs="Times New Roman"/>
                <w:color w:val="000000"/>
                <w:sz w:val="22"/>
                <w:szCs w:val="22"/>
              </w:rPr>
              <w:t>12</w:t>
            </w:r>
          </w:p>
        </w:tc>
        <w:tc>
          <w:tcPr>
            <w:tcW w:w="1188" w:type="dxa"/>
            <w:shd w:val="clear" w:color="auto" w:fill="auto"/>
            <w:noWrap/>
            <w:vAlign w:val="bottom"/>
          </w:tcPr>
          <w:p w14:paraId="238A0979" w14:textId="4268902E" w:rsidR="00F46584" w:rsidRPr="00842993" w:rsidRDefault="00F46584" w:rsidP="00BC0A82">
            <w:pPr>
              <w:keepNext/>
              <w:jc w:val="center"/>
              <w:rPr>
                <w:rFonts w:ascii="Times New Roman" w:hAnsi="Times New Roman" w:cs="Times New Roman"/>
                <w:color w:val="000000"/>
                <w:sz w:val="22"/>
                <w:szCs w:val="22"/>
              </w:rPr>
            </w:pPr>
            <w:r w:rsidRPr="00842993">
              <w:rPr>
                <w:rFonts w:ascii="Times New Roman" w:hAnsi="Times New Roman" w:cs="Times New Roman"/>
                <w:color w:val="000000"/>
                <w:sz w:val="22"/>
                <w:szCs w:val="22"/>
              </w:rPr>
              <w:t>60</w:t>
            </w:r>
          </w:p>
        </w:tc>
        <w:tc>
          <w:tcPr>
            <w:tcW w:w="939" w:type="dxa"/>
            <w:shd w:val="clear" w:color="auto" w:fill="auto"/>
            <w:noWrap/>
            <w:vAlign w:val="bottom"/>
          </w:tcPr>
          <w:p w14:paraId="019A272D" w14:textId="77777777" w:rsidR="00F46584" w:rsidRPr="00842993" w:rsidRDefault="00F46584" w:rsidP="00BC0A82">
            <w:pPr>
              <w:keepNext/>
              <w:jc w:val="center"/>
              <w:rPr>
                <w:rFonts w:ascii="Times New Roman" w:hAnsi="Times New Roman" w:cs="Times New Roman"/>
                <w:color w:val="000000"/>
                <w:sz w:val="22"/>
                <w:szCs w:val="22"/>
              </w:rPr>
            </w:pPr>
          </w:p>
        </w:tc>
        <w:tc>
          <w:tcPr>
            <w:tcW w:w="936" w:type="dxa"/>
            <w:shd w:val="clear" w:color="auto" w:fill="auto"/>
            <w:noWrap/>
            <w:vAlign w:val="bottom"/>
          </w:tcPr>
          <w:p w14:paraId="11DD9004" w14:textId="77777777" w:rsidR="00F46584" w:rsidRPr="00842993" w:rsidRDefault="00F46584" w:rsidP="00BC0A82">
            <w:pPr>
              <w:keepNext/>
              <w:jc w:val="center"/>
              <w:rPr>
                <w:rFonts w:ascii="Times New Roman" w:hAnsi="Times New Roman" w:cs="Times New Roman"/>
                <w:color w:val="000000"/>
                <w:sz w:val="22"/>
                <w:szCs w:val="22"/>
              </w:rPr>
            </w:pPr>
          </w:p>
        </w:tc>
        <w:tc>
          <w:tcPr>
            <w:tcW w:w="825" w:type="dxa"/>
            <w:shd w:val="clear" w:color="auto" w:fill="auto"/>
            <w:noWrap/>
            <w:vAlign w:val="bottom"/>
          </w:tcPr>
          <w:p w14:paraId="7BEA9270" w14:textId="77777777" w:rsidR="00F46584" w:rsidRPr="00842993" w:rsidRDefault="00F46584" w:rsidP="00BC0A82">
            <w:pPr>
              <w:keepNext/>
              <w:jc w:val="center"/>
              <w:rPr>
                <w:rFonts w:ascii="Times New Roman" w:hAnsi="Times New Roman" w:cs="Times New Roman"/>
                <w:color w:val="000000"/>
                <w:sz w:val="22"/>
                <w:szCs w:val="22"/>
              </w:rPr>
            </w:pPr>
          </w:p>
        </w:tc>
        <w:tc>
          <w:tcPr>
            <w:tcW w:w="896" w:type="dxa"/>
            <w:shd w:val="clear" w:color="auto" w:fill="auto"/>
            <w:vAlign w:val="bottom"/>
          </w:tcPr>
          <w:p w14:paraId="7100C5BD" w14:textId="77777777" w:rsidR="00F46584" w:rsidRPr="00842993" w:rsidRDefault="00F46584" w:rsidP="00BC0A82">
            <w:pPr>
              <w:keepNext/>
              <w:jc w:val="center"/>
              <w:rPr>
                <w:rFonts w:ascii="Times New Roman" w:hAnsi="Times New Roman" w:cs="Times New Roman"/>
                <w:color w:val="000000"/>
                <w:sz w:val="22"/>
                <w:szCs w:val="22"/>
              </w:rPr>
            </w:pPr>
          </w:p>
        </w:tc>
      </w:tr>
      <w:tr w:rsidR="00F46584" w:rsidRPr="00842993" w14:paraId="3113398A" w14:textId="77777777" w:rsidTr="000C019E">
        <w:trPr>
          <w:trHeight w:val="294"/>
        </w:trPr>
        <w:tc>
          <w:tcPr>
            <w:tcW w:w="4219" w:type="dxa"/>
            <w:shd w:val="clear" w:color="auto" w:fill="auto"/>
            <w:noWrap/>
            <w:vAlign w:val="bottom"/>
          </w:tcPr>
          <w:p w14:paraId="35EFD682" w14:textId="355AB9FC" w:rsidR="00F46584" w:rsidRPr="00842993" w:rsidRDefault="00F46584" w:rsidP="00BC0A82">
            <w:pPr>
              <w:keepNext/>
              <w:rPr>
                <w:rFonts w:ascii="Times New Roman" w:hAnsi="Times New Roman" w:cs="Times New Roman"/>
                <w:b/>
                <w:bCs/>
                <w:color w:val="000000"/>
                <w:sz w:val="22"/>
                <w:szCs w:val="22"/>
                <w:vertAlign w:val="superscript"/>
              </w:rPr>
            </w:pPr>
            <w:r w:rsidRPr="00842993">
              <w:rPr>
                <w:rFonts w:ascii="Times New Roman" w:hAnsi="Times New Roman" w:cs="Times New Roman"/>
                <w:color w:val="000000"/>
                <w:sz w:val="22"/>
                <w:szCs w:val="22"/>
              </w:rPr>
              <w:t xml:space="preserve">  Modular systems (</w:t>
            </w:r>
            <w:proofErr w:type="spellStart"/>
            <w:r w:rsidRPr="00842993">
              <w:rPr>
                <w:rFonts w:ascii="Times New Roman" w:hAnsi="Times New Roman" w:cs="Times New Roman"/>
                <w:color w:val="000000"/>
                <w:sz w:val="22"/>
                <w:szCs w:val="22"/>
              </w:rPr>
              <w:t>incl.sub</w:t>
            </w:r>
            <w:proofErr w:type="spellEnd"/>
            <w:r w:rsidRPr="00842993">
              <w:rPr>
                <w:rFonts w:ascii="Times New Roman" w:hAnsi="Times New Roman" w:cs="Times New Roman"/>
                <w:color w:val="000000"/>
                <w:sz w:val="22"/>
                <w:szCs w:val="22"/>
              </w:rPr>
              <w:t>-ohms)</w:t>
            </w:r>
          </w:p>
        </w:tc>
        <w:tc>
          <w:tcPr>
            <w:tcW w:w="516" w:type="dxa"/>
            <w:shd w:val="clear" w:color="auto" w:fill="auto"/>
            <w:noWrap/>
            <w:vAlign w:val="bottom"/>
          </w:tcPr>
          <w:p w14:paraId="4D051550" w14:textId="45FBC8BF" w:rsidR="00F46584" w:rsidRPr="00842993" w:rsidRDefault="00F46584" w:rsidP="00BC0A82">
            <w:pPr>
              <w:keepNext/>
              <w:jc w:val="center"/>
              <w:rPr>
                <w:rFonts w:ascii="Times New Roman" w:hAnsi="Times New Roman" w:cs="Times New Roman"/>
                <w:color w:val="000000"/>
                <w:sz w:val="22"/>
                <w:szCs w:val="22"/>
              </w:rPr>
            </w:pPr>
            <w:r w:rsidRPr="00842993">
              <w:rPr>
                <w:rFonts w:ascii="Times New Roman" w:hAnsi="Times New Roman" w:cs="Times New Roman"/>
                <w:color w:val="000000"/>
                <w:sz w:val="22"/>
                <w:szCs w:val="22"/>
              </w:rPr>
              <w:t>8</w:t>
            </w:r>
          </w:p>
        </w:tc>
        <w:tc>
          <w:tcPr>
            <w:tcW w:w="1188" w:type="dxa"/>
            <w:shd w:val="clear" w:color="auto" w:fill="auto"/>
            <w:noWrap/>
            <w:vAlign w:val="bottom"/>
          </w:tcPr>
          <w:p w14:paraId="570F80F7" w14:textId="2E6060A6" w:rsidR="00F46584" w:rsidRPr="00842993" w:rsidRDefault="00F46584" w:rsidP="00BC0A82">
            <w:pPr>
              <w:keepNext/>
              <w:jc w:val="center"/>
              <w:rPr>
                <w:rFonts w:ascii="Times New Roman" w:hAnsi="Times New Roman" w:cs="Times New Roman"/>
                <w:color w:val="000000"/>
                <w:sz w:val="22"/>
                <w:szCs w:val="22"/>
              </w:rPr>
            </w:pPr>
            <w:r w:rsidRPr="00842993">
              <w:rPr>
                <w:rFonts w:ascii="Times New Roman" w:hAnsi="Times New Roman" w:cs="Times New Roman"/>
                <w:color w:val="000000"/>
                <w:sz w:val="22"/>
                <w:szCs w:val="22"/>
              </w:rPr>
              <w:t>40</w:t>
            </w:r>
          </w:p>
        </w:tc>
        <w:tc>
          <w:tcPr>
            <w:tcW w:w="939" w:type="dxa"/>
            <w:shd w:val="clear" w:color="auto" w:fill="auto"/>
            <w:noWrap/>
            <w:vAlign w:val="bottom"/>
          </w:tcPr>
          <w:p w14:paraId="08D37AF2" w14:textId="41158CEA" w:rsidR="00F46584" w:rsidRPr="00842993" w:rsidRDefault="00F46584" w:rsidP="00BC0A82">
            <w:pPr>
              <w:keepNext/>
              <w:jc w:val="center"/>
              <w:rPr>
                <w:rFonts w:ascii="Times New Roman" w:hAnsi="Times New Roman" w:cs="Times New Roman"/>
                <w:color w:val="000000"/>
                <w:sz w:val="22"/>
                <w:szCs w:val="22"/>
              </w:rPr>
            </w:pPr>
          </w:p>
        </w:tc>
        <w:tc>
          <w:tcPr>
            <w:tcW w:w="936" w:type="dxa"/>
            <w:shd w:val="clear" w:color="auto" w:fill="auto"/>
            <w:noWrap/>
            <w:vAlign w:val="bottom"/>
          </w:tcPr>
          <w:p w14:paraId="34204904" w14:textId="0D6399F2" w:rsidR="00F46584" w:rsidRPr="00842993" w:rsidRDefault="00F46584" w:rsidP="00BC0A82">
            <w:pPr>
              <w:keepNext/>
              <w:jc w:val="center"/>
              <w:rPr>
                <w:rFonts w:ascii="Times New Roman" w:hAnsi="Times New Roman" w:cs="Times New Roman"/>
                <w:color w:val="000000"/>
                <w:sz w:val="22"/>
                <w:szCs w:val="22"/>
              </w:rPr>
            </w:pPr>
          </w:p>
        </w:tc>
        <w:tc>
          <w:tcPr>
            <w:tcW w:w="825" w:type="dxa"/>
            <w:shd w:val="clear" w:color="auto" w:fill="auto"/>
            <w:noWrap/>
            <w:vAlign w:val="bottom"/>
          </w:tcPr>
          <w:p w14:paraId="559DF3A5" w14:textId="04B7772D" w:rsidR="00F46584" w:rsidRPr="00842993" w:rsidRDefault="00F46584" w:rsidP="00BC0A82">
            <w:pPr>
              <w:keepNext/>
              <w:jc w:val="center"/>
              <w:rPr>
                <w:rFonts w:ascii="Times New Roman" w:hAnsi="Times New Roman" w:cs="Times New Roman"/>
                <w:color w:val="000000"/>
                <w:sz w:val="22"/>
                <w:szCs w:val="22"/>
              </w:rPr>
            </w:pPr>
          </w:p>
        </w:tc>
        <w:tc>
          <w:tcPr>
            <w:tcW w:w="896" w:type="dxa"/>
            <w:shd w:val="clear" w:color="auto" w:fill="auto"/>
            <w:vAlign w:val="bottom"/>
          </w:tcPr>
          <w:p w14:paraId="2798EEF0" w14:textId="79386CEB" w:rsidR="00F46584" w:rsidRPr="00842993" w:rsidRDefault="00F46584" w:rsidP="00BC0A82">
            <w:pPr>
              <w:keepNext/>
              <w:jc w:val="center"/>
              <w:rPr>
                <w:rFonts w:ascii="Times New Roman" w:hAnsi="Times New Roman" w:cs="Times New Roman"/>
                <w:color w:val="000000"/>
                <w:sz w:val="22"/>
                <w:szCs w:val="22"/>
              </w:rPr>
            </w:pPr>
          </w:p>
        </w:tc>
      </w:tr>
      <w:tr w:rsidR="000C019E" w:rsidRPr="00842993" w14:paraId="365B2249" w14:textId="77777777" w:rsidTr="000C019E">
        <w:trPr>
          <w:trHeight w:val="294"/>
        </w:trPr>
        <w:tc>
          <w:tcPr>
            <w:tcW w:w="4219" w:type="dxa"/>
            <w:shd w:val="clear" w:color="auto" w:fill="auto"/>
            <w:noWrap/>
            <w:vAlign w:val="bottom"/>
          </w:tcPr>
          <w:p w14:paraId="086AFC3B" w14:textId="77777777" w:rsidR="000C019E" w:rsidRPr="00095B95" w:rsidRDefault="000C019E" w:rsidP="00BC0A82">
            <w:pPr>
              <w:keepNext/>
              <w:rPr>
                <w:rFonts w:ascii="Times New Roman" w:hAnsi="Times New Roman" w:cs="Times New Roman"/>
                <w:color w:val="000000"/>
                <w:sz w:val="22"/>
                <w:szCs w:val="22"/>
              </w:rPr>
            </w:pPr>
          </w:p>
        </w:tc>
        <w:tc>
          <w:tcPr>
            <w:tcW w:w="516" w:type="dxa"/>
            <w:shd w:val="clear" w:color="auto" w:fill="auto"/>
            <w:noWrap/>
            <w:vAlign w:val="bottom"/>
          </w:tcPr>
          <w:p w14:paraId="0B5B1D5B" w14:textId="77777777" w:rsidR="000C019E" w:rsidRPr="00095B95" w:rsidRDefault="000C019E" w:rsidP="00BC0A82">
            <w:pPr>
              <w:keepNext/>
              <w:jc w:val="center"/>
              <w:rPr>
                <w:rFonts w:ascii="Times New Roman" w:hAnsi="Times New Roman" w:cs="Times New Roman"/>
                <w:color w:val="000000"/>
                <w:sz w:val="22"/>
                <w:szCs w:val="22"/>
              </w:rPr>
            </w:pPr>
          </w:p>
        </w:tc>
        <w:tc>
          <w:tcPr>
            <w:tcW w:w="1188" w:type="dxa"/>
            <w:shd w:val="clear" w:color="auto" w:fill="auto"/>
            <w:noWrap/>
            <w:vAlign w:val="bottom"/>
          </w:tcPr>
          <w:p w14:paraId="4181EF32" w14:textId="77777777" w:rsidR="000C019E" w:rsidRPr="00095B95" w:rsidRDefault="000C019E" w:rsidP="00BC0A82">
            <w:pPr>
              <w:keepNext/>
              <w:jc w:val="center"/>
              <w:rPr>
                <w:rFonts w:ascii="Times New Roman" w:hAnsi="Times New Roman" w:cs="Times New Roman"/>
                <w:color w:val="000000"/>
                <w:sz w:val="22"/>
                <w:szCs w:val="22"/>
              </w:rPr>
            </w:pPr>
          </w:p>
        </w:tc>
        <w:tc>
          <w:tcPr>
            <w:tcW w:w="939" w:type="dxa"/>
            <w:shd w:val="clear" w:color="auto" w:fill="auto"/>
            <w:noWrap/>
            <w:vAlign w:val="bottom"/>
          </w:tcPr>
          <w:p w14:paraId="30C2216A" w14:textId="77777777" w:rsidR="000C019E" w:rsidRPr="00095B95" w:rsidRDefault="000C019E" w:rsidP="00BC0A82">
            <w:pPr>
              <w:keepNext/>
              <w:jc w:val="center"/>
              <w:rPr>
                <w:rFonts w:ascii="Times New Roman" w:hAnsi="Times New Roman" w:cs="Times New Roman"/>
                <w:color w:val="000000"/>
                <w:sz w:val="22"/>
                <w:szCs w:val="22"/>
              </w:rPr>
            </w:pPr>
          </w:p>
        </w:tc>
        <w:tc>
          <w:tcPr>
            <w:tcW w:w="936" w:type="dxa"/>
            <w:shd w:val="clear" w:color="auto" w:fill="auto"/>
            <w:noWrap/>
            <w:vAlign w:val="bottom"/>
          </w:tcPr>
          <w:p w14:paraId="2288A797" w14:textId="77777777" w:rsidR="000C019E" w:rsidRPr="00095B95" w:rsidRDefault="000C019E" w:rsidP="00BC0A82">
            <w:pPr>
              <w:keepNext/>
              <w:jc w:val="center"/>
              <w:rPr>
                <w:rFonts w:ascii="Times New Roman" w:hAnsi="Times New Roman" w:cs="Times New Roman"/>
                <w:color w:val="000000"/>
                <w:sz w:val="22"/>
                <w:szCs w:val="22"/>
              </w:rPr>
            </w:pPr>
          </w:p>
        </w:tc>
        <w:tc>
          <w:tcPr>
            <w:tcW w:w="825" w:type="dxa"/>
            <w:shd w:val="clear" w:color="auto" w:fill="auto"/>
            <w:noWrap/>
            <w:vAlign w:val="bottom"/>
          </w:tcPr>
          <w:p w14:paraId="6F921BA7" w14:textId="77777777" w:rsidR="000C019E" w:rsidRPr="00095B95" w:rsidRDefault="000C019E" w:rsidP="00BC0A82">
            <w:pPr>
              <w:keepNext/>
              <w:jc w:val="center"/>
              <w:rPr>
                <w:rFonts w:ascii="Times New Roman" w:hAnsi="Times New Roman" w:cs="Times New Roman"/>
                <w:color w:val="000000"/>
                <w:sz w:val="22"/>
                <w:szCs w:val="22"/>
              </w:rPr>
            </w:pPr>
          </w:p>
        </w:tc>
        <w:tc>
          <w:tcPr>
            <w:tcW w:w="896" w:type="dxa"/>
            <w:shd w:val="clear" w:color="auto" w:fill="auto"/>
            <w:vAlign w:val="bottom"/>
          </w:tcPr>
          <w:p w14:paraId="533BC0AA" w14:textId="77777777" w:rsidR="000C019E" w:rsidRPr="00095B95" w:rsidRDefault="000C019E" w:rsidP="00BC0A82">
            <w:pPr>
              <w:keepNext/>
              <w:jc w:val="center"/>
              <w:rPr>
                <w:rFonts w:ascii="Times New Roman" w:hAnsi="Times New Roman" w:cs="Times New Roman"/>
                <w:color w:val="000000"/>
                <w:sz w:val="22"/>
                <w:szCs w:val="22"/>
              </w:rPr>
            </w:pPr>
          </w:p>
        </w:tc>
      </w:tr>
      <w:tr w:rsidR="000C019E" w:rsidRPr="00842993" w14:paraId="742C2005" w14:textId="77777777" w:rsidTr="000C019E">
        <w:trPr>
          <w:trHeight w:val="294"/>
        </w:trPr>
        <w:tc>
          <w:tcPr>
            <w:tcW w:w="4219" w:type="dxa"/>
            <w:shd w:val="clear" w:color="auto" w:fill="auto"/>
            <w:noWrap/>
            <w:vAlign w:val="bottom"/>
          </w:tcPr>
          <w:p w14:paraId="613F0CE8" w14:textId="24189B08" w:rsidR="000C019E" w:rsidRPr="00095B95" w:rsidRDefault="000C019E" w:rsidP="00BC0A82">
            <w:pPr>
              <w:keepNext/>
              <w:rPr>
                <w:rFonts w:ascii="Times New Roman" w:hAnsi="Times New Roman" w:cs="Times New Roman"/>
                <w:b/>
                <w:color w:val="000000"/>
                <w:sz w:val="22"/>
                <w:szCs w:val="22"/>
              </w:rPr>
            </w:pPr>
            <w:r w:rsidRPr="00095B95">
              <w:rPr>
                <w:rFonts w:ascii="Times New Roman" w:hAnsi="Times New Roman" w:cs="Times New Roman"/>
                <w:b/>
                <w:color w:val="000000"/>
                <w:sz w:val="22"/>
                <w:szCs w:val="22"/>
              </w:rPr>
              <w:t>Main nicotine concentration used</w:t>
            </w:r>
          </w:p>
        </w:tc>
        <w:tc>
          <w:tcPr>
            <w:tcW w:w="516" w:type="dxa"/>
            <w:shd w:val="clear" w:color="auto" w:fill="auto"/>
            <w:noWrap/>
            <w:vAlign w:val="bottom"/>
          </w:tcPr>
          <w:p w14:paraId="4ADEF793" w14:textId="77777777" w:rsidR="000C019E" w:rsidRPr="00095B95" w:rsidRDefault="000C019E" w:rsidP="00BC0A82">
            <w:pPr>
              <w:keepNext/>
              <w:jc w:val="center"/>
              <w:rPr>
                <w:rFonts w:ascii="Times New Roman" w:hAnsi="Times New Roman" w:cs="Times New Roman"/>
                <w:color w:val="000000"/>
                <w:sz w:val="22"/>
                <w:szCs w:val="22"/>
              </w:rPr>
            </w:pPr>
          </w:p>
        </w:tc>
        <w:tc>
          <w:tcPr>
            <w:tcW w:w="1188" w:type="dxa"/>
            <w:shd w:val="clear" w:color="auto" w:fill="auto"/>
            <w:noWrap/>
            <w:vAlign w:val="bottom"/>
          </w:tcPr>
          <w:p w14:paraId="66CC8D54" w14:textId="77777777" w:rsidR="000C019E" w:rsidRPr="00095B95" w:rsidRDefault="000C019E" w:rsidP="00BC0A82">
            <w:pPr>
              <w:keepNext/>
              <w:jc w:val="center"/>
              <w:rPr>
                <w:rFonts w:ascii="Times New Roman" w:hAnsi="Times New Roman" w:cs="Times New Roman"/>
                <w:color w:val="000000"/>
                <w:sz w:val="22"/>
                <w:szCs w:val="22"/>
              </w:rPr>
            </w:pPr>
          </w:p>
        </w:tc>
        <w:tc>
          <w:tcPr>
            <w:tcW w:w="939" w:type="dxa"/>
            <w:shd w:val="clear" w:color="auto" w:fill="auto"/>
            <w:noWrap/>
            <w:vAlign w:val="bottom"/>
          </w:tcPr>
          <w:p w14:paraId="5056C1EE" w14:textId="77777777" w:rsidR="000C019E" w:rsidRPr="00095B95" w:rsidRDefault="000C019E" w:rsidP="00BC0A82">
            <w:pPr>
              <w:keepNext/>
              <w:jc w:val="center"/>
              <w:rPr>
                <w:rFonts w:ascii="Times New Roman" w:hAnsi="Times New Roman" w:cs="Times New Roman"/>
                <w:color w:val="000000"/>
                <w:sz w:val="22"/>
                <w:szCs w:val="22"/>
              </w:rPr>
            </w:pPr>
          </w:p>
        </w:tc>
        <w:tc>
          <w:tcPr>
            <w:tcW w:w="936" w:type="dxa"/>
            <w:shd w:val="clear" w:color="auto" w:fill="auto"/>
            <w:noWrap/>
            <w:vAlign w:val="bottom"/>
          </w:tcPr>
          <w:p w14:paraId="2B5AAF50" w14:textId="77777777" w:rsidR="000C019E" w:rsidRPr="00095B95" w:rsidRDefault="000C019E" w:rsidP="00BC0A82">
            <w:pPr>
              <w:keepNext/>
              <w:jc w:val="center"/>
              <w:rPr>
                <w:rFonts w:ascii="Times New Roman" w:hAnsi="Times New Roman" w:cs="Times New Roman"/>
                <w:color w:val="000000"/>
                <w:sz w:val="22"/>
                <w:szCs w:val="22"/>
              </w:rPr>
            </w:pPr>
          </w:p>
        </w:tc>
        <w:tc>
          <w:tcPr>
            <w:tcW w:w="825" w:type="dxa"/>
            <w:shd w:val="clear" w:color="auto" w:fill="auto"/>
            <w:noWrap/>
            <w:vAlign w:val="bottom"/>
          </w:tcPr>
          <w:p w14:paraId="51046076" w14:textId="77777777" w:rsidR="000C019E" w:rsidRPr="00095B95" w:rsidRDefault="000C019E" w:rsidP="00BC0A82">
            <w:pPr>
              <w:keepNext/>
              <w:jc w:val="center"/>
              <w:rPr>
                <w:rFonts w:ascii="Times New Roman" w:hAnsi="Times New Roman" w:cs="Times New Roman"/>
                <w:color w:val="000000"/>
                <w:sz w:val="22"/>
                <w:szCs w:val="22"/>
              </w:rPr>
            </w:pPr>
          </w:p>
        </w:tc>
        <w:tc>
          <w:tcPr>
            <w:tcW w:w="896" w:type="dxa"/>
            <w:shd w:val="clear" w:color="auto" w:fill="auto"/>
            <w:vAlign w:val="bottom"/>
          </w:tcPr>
          <w:p w14:paraId="2FF564E3" w14:textId="77777777" w:rsidR="000C019E" w:rsidRPr="00095B95" w:rsidRDefault="000C019E" w:rsidP="00BC0A82">
            <w:pPr>
              <w:keepNext/>
              <w:jc w:val="center"/>
              <w:rPr>
                <w:rFonts w:ascii="Times New Roman" w:hAnsi="Times New Roman" w:cs="Times New Roman"/>
                <w:color w:val="000000"/>
                <w:sz w:val="22"/>
                <w:szCs w:val="22"/>
              </w:rPr>
            </w:pPr>
          </w:p>
        </w:tc>
      </w:tr>
      <w:tr w:rsidR="000C019E" w:rsidRPr="00842993" w14:paraId="7504B144" w14:textId="77777777" w:rsidTr="000C019E">
        <w:trPr>
          <w:trHeight w:val="294"/>
        </w:trPr>
        <w:tc>
          <w:tcPr>
            <w:tcW w:w="4219" w:type="dxa"/>
            <w:shd w:val="clear" w:color="auto" w:fill="auto"/>
            <w:noWrap/>
            <w:vAlign w:val="bottom"/>
          </w:tcPr>
          <w:p w14:paraId="5BD54B90" w14:textId="2943A7B4" w:rsidR="000C019E" w:rsidRPr="00095B95" w:rsidRDefault="000C019E" w:rsidP="000C019E">
            <w:pPr>
              <w:keepNext/>
              <w:rPr>
                <w:rFonts w:ascii="Times New Roman" w:hAnsi="Times New Roman" w:cs="Times New Roman"/>
                <w:color w:val="000000"/>
                <w:sz w:val="22"/>
                <w:szCs w:val="22"/>
              </w:rPr>
            </w:pPr>
            <w:r w:rsidRPr="00095B95">
              <w:rPr>
                <w:rFonts w:ascii="Times New Roman" w:hAnsi="Times New Roman" w:cs="Times New Roman"/>
                <w:color w:val="000000"/>
                <w:sz w:val="22"/>
                <w:szCs w:val="22"/>
              </w:rPr>
              <w:t xml:space="preserve">  Non-sub-</w:t>
            </w:r>
            <w:proofErr w:type="spellStart"/>
            <w:r w:rsidRPr="00095B95">
              <w:rPr>
                <w:rFonts w:ascii="Times New Roman" w:hAnsi="Times New Roman" w:cs="Times New Roman"/>
                <w:color w:val="000000"/>
                <w:sz w:val="22"/>
                <w:szCs w:val="22"/>
              </w:rPr>
              <w:t>ohmers</w:t>
            </w:r>
            <w:proofErr w:type="spellEnd"/>
          </w:p>
        </w:tc>
        <w:tc>
          <w:tcPr>
            <w:tcW w:w="516" w:type="dxa"/>
            <w:shd w:val="clear" w:color="auto" w:fill="auto"/>
            <w:noWrap/>
            <w:vAlign w:val="bottom"/>
          </w:tcPr>
          <w:p w14:paraId="20C0B4F2" w14:textId="59A7997C" w:rsidR="000C019E" w:rsidRPr="00095B95" w:rsidRDefault="000C019E" w:rsidP="00BC0A82">
            <w:pPr>
              <w:keepNext/>
              <w:jc w:val="center"/>
              <w:rPr>
                <w:rFonts w:ascii="Times New Roman" w:hAnsi="Times New Roman" w:cs="Times New Roman"/>
                <w:color w:val="000000"/>
                <w:sz w:val="22"/>
                <w:szCs w:val="22"/>
              </w:rPr>
            </w:pPr>
            <w:r w:rsidRPr="00095B95">
              <w:rPr>
                <w:rFonts w:ascii="Times New Roman" w:hAnsi="Times New Roman" w:cs="Times New Roman"/>
                <w:color w:val="000000"/>
                <w:sz w:val="22"/>
                <w:szCs w:val="22"/>
              </w:rPr>
              <w:t>5</w:t>
            </w:r>
          </w:p>
        </w:tc>
        <w:tc>
          <w:tcPr>
            <w:tcW w:w="1188" w:type="dxa"/>
            <w:shd w:val="clear" w:color="auto" w:fill="auto"/>
            <w:noWrap/>
            <w:vAlign w:val="bottom"/>
          </w:tcPr>
          <w:p w14:paraId="1BEA7564" w14:textId="697D6179" w:rsidR="000C019E" w:rsidRPr="00095B95" w:rsidRDefault="000C019E" w:rsidP="00BC0A82">
            <w:pPr>
              <w:keepNext/>
              <w:jc w:val="center"/>
              <w:rPr>
                <w:rFonts w:ascii="Times New Roman" w:hAnsi="Times New Roman" w:cs="Times New Roman"/>
                <w:color w:val="000000"/>
                <w:sz w:val="22"/>
                <w:szCs w:val="22"/>
              </w:rPr>
            </w:pPr>
            <w:r w:rsidRPr="00095B95">
              <w:rPr>
                <w:rFonts w:ascii="Times New Roman" w:hAnsi="Times New Roman" w:cs="Times New Roman"/>
                <w:color w:val="000000"/>
                <w:sz w:val="22"/>
                <w:szCs w:val="22"/>
              </w:rPr>
              <w:t>25</w:t>
            </w:r>
          </w:p>
        </w:tc>
        <w:tc>
          <w:tcPr>
            <w:tcW w:w="939" w:type="dxa"/>
            <w:shd w:val="clear" w:color="auto" w:fill="auto"/>
            <w:noWrap/>
            <w:vAlign w:val="bottom"/>
          </w:tcPr>
          <w:p w14:paraId="0CA65021" w14:textId="2797D6D0" w:rsidR="000C019E" w:rsidRPr="00095B95" w:rsidRDefault="000C019E" w:rsidP="00BC0A82">
            <w:pPr>
              <w:keepNext/>
              <w:jc w:val="center"/>
              <w:rPr>
                <w:rFonts w:ascii="Times New Roman" w:hAnsi="Times New Roman" w:cs="Times New Roman"/>
                <w:color w:val="000000"/>
                <w:sz w:val="22"/>
                <w:szCs w:val="22"/>
              </w:rPr>
            </w:pPr>
            <w:r w:rsidRPr="00095B95">
              <w:rPr>
                <w:rFonts w:ascii="Times New Roman" w:hAnsi="Times New Roman" w:cs="Times New Roman"/>
                <w:color w:val="000000"/>
                <w:sz w:val="22"/>
                <w:szCs w:val="22"/>
              </w:rPr>
              <w:t>14.13</w:t>
            </w:r>
          </w:p>
        </w:tc>
        <w:tc>
          <w:tcPr>
            <w:tcW w:w="936" w:type="dxa"/>
            <w:shd w:val="clear" w:color="auto" w:fill="auto"/>
            <w:noWrap/>
            <w:vAlign w:val="bottom"/>
          </w:tcPr>
          <w:p w14:paraId="635CAA73" w14:textId="14883383" w:rsidR="000C019E" w:rsidRPr="00095B95" w:rsidRDefault="000C019E" w:rsidP="00BC0A82">
            <w:pPr>
              <w:keepNext/>
              <w:jc w:val="center"/>
              <w:rPr>
                <w:rFonts w:ascii="Times New Roman" w:hAnsi="Times New Roman" w:cs="Times New Roman"/>
                <w:color w:val="000000"/>
                <w:sz w:val="22"/>
                <w:szCs w:val="22"/>
              </w:rPr>
            </w:pPr>
            <w:r w:rsidRPr="00095B95">
              <w:rPr>
                <w:rFonts w:ascii="Times New Roman" w:hAnsi="Times New Roman" w:cs="Times New Roman"/>
                <w:color w:val="000000"/>
                <w:sz w:val="22"/>
                <w:szCs w:val="22"/>
              </w:rPr>
              <w:t>4.16</w:t>
            </w:r>
          </w:p>
        </w:tc>
        <w:tc>
          <w:tcPr>
            <w:tcW w:w="825" w:type="dxa"/>
            <w:shd w:val="clear" w:color="auto" w:fill="auto"/>
            <w:noWrap/>
            <w:vAlign w:val="bottom"/>
          </w:tcPr>
          <w:p w14:paraId="7503DAE9" w14:textId="43D61DD6" w:rsidR="000C019E" w:rsidRPr="00095B95" w:rsidRDefault="000C019E" w:rsidP="00BC0A82">
            <w:pPr>
              <w:keepNext/>
              <w:jc w:val="center"/>
              <w:rPr>
                <w:rFonts w:ascii="Times New Roman" w:hAnsi="Times New Roman" w:cs="Times New Roman"/>
                <w:color w:val="000000"/>
                <w:sz w:val="22"/>
                <w:szCs w:val="22"/>
              </w:rPr>
            </w:pPr>
            <w:r w:rsidRPr="00095B95">
              <w:rPr>
                <w:rFonts w:ascii="Times New Roman" w:hAnsi="Times New Roman" w:cs="Times New Roman"/>
                <w:color w:val="000000"/>
                <w:sz w:val="22"/>
                <w:szCs w:val="22"/>
              </w:rPr>
              <w:t>6</w:t>
            </w:r>
          </w:p>
        </w:tc>
        <w:tc>
          <w:tcPr>
            <w:tcW w:w="896" w:type="dxa"/>
            <w:shd w:val="clear" w:color="auto" w:fill="auto"/>
            <w:vAlign w:val="bottom"/>
          </w:tcPr>
          <w:p w14:paraId="2FF21462" w14:textId="65836109" w:rsidR="000C019E" w:rsidRPr="00095B95" w:rsidRDefault="000C019E" w:rsidP="00BC0A82">
            <w:pPr>
              <w:keepNext/>
              <w:jc w:val="center"/>
              <w:rPr>
                <w:rFonts w:ascii="Times New Roman" w:hAnsi="Times New Roman" w:cs="Times New Roman"/>
                <w:color w:val="000000"/>
                <w:sz w:val="22"/>
                <w:szCs w:val="22"/>
              </w:rPr>
            </w:pPr>
            <w:r w:rsidRPr="00095B95">
              <w:rPr>
                <w:rFonts w:ascii="Times New Roman" w:hAnsi="Times New Roman" w:cs="Times New Roman"/>
                <w:color w:val="000000"/>
                <w:sz w:val="22"/>
                <w:szCs w:val="22"/>
              </w:rPr>
              <w:t>24</w:t>
            </w:r>
          </w:p>
        </w:tc>
      </w:tr>
      <w:tr w:rsidR="00F46584" w:rsidRPr="00842993" w14:paraId="7835C437" w14:textId="77777777" w:rsidTr="000C019E">
        <w:trPr>
          <w:trHeight w:val="294"/>
        </w:trPr>
        <w:tc>
          <w:tcPr>
            <w:tcW w:w="4219" w:type="dxa"/>
            <w:shd w:val="clear" w:color="auto" w:fill="auto"/>
            <w:noWrap/>
            <w:vAlign w:val="bottom"/>
          </w:tcPr>
          <w:p w14:paraId="4993407E" w14:textId="555B8B08" w:rsidR="000C019E" w:rsidRPr="00095B95" w:rsidRDefault="000C019E" w:rsidP="00BC0A82">
            <w:pPr>
              <w:keepNext/>
              <w:rPr>
                <w:rFonts w:ascii="Times New Roman" w:hAnsi="Times New Roman" w:cs="Times New Roman"/>
                <w:color w:val="000000"/>
                <w:sz w:val="22"/>
                <w:szCs w:val="22"/>
              </w:rPr>
            </w:pPr>
            <w:r w:rsidRPr="00095B95">
              <w:rPr>
                <w:rFonts w:ascii="Times New Roman" w:hAnsi="Times New Roman" w:cs="Times New Roman"/>
                <w:color w:val="000000"/>
                <w:sz w:val="22"/>
                <w:szCs w:val="22"/>
              </w:rPr>
              <w:t xml:space="preserve">  Sub-</w:t>
            </w:r>
            <w:proofErr w:type="spellStart"/>
            <w:r w:rsidRPr="00095B95">
              <w:rPr>
                <w:rFonts w:ascii="Times New Roman" w:hAnsi="Times New Roman" w:cs="Times New Roman"/>
                <w:color w:val="000000"/>
                <w:sz w:val="22"/>
                <w:szCs w:val="22"/>
              </w:rPr>
              <w:t>ohmers</w:t>
            </w:r>
            <w:proofErr w:type="spellEnd"/>
          </w:p>
        </w:tc>
        <w:tc>
          <w:tcPr>
            <w:tcW w:w="516" w:type="dxa"/>
            <w:shd w:val="clear" w:color="auto" w:fill="auto"/>
            <w:noWrap/>
            <w:vAlign w:val="bottom"/>
          </w:tcPr>
          <w:p w14:paraId="311E080D" w14:textId="75A99B8C" w:rsidR="00F46584" w:rsidRPr="00095B95" w:rsidRDefault="000C019E" w:rsidP="00BC0A82">
            <w:pPr>
              <w:keepNext/>
              <w:jc w:val="center"/>
              <w:rPr>
                <w:rFonts w:ascii="Times New Roman" w:hAnsi="Times New Roman" w:cs="Times New Roman"/>
                <w:color w:val="000000"/>
                <w:sz w:val="22"/>
                <w:szCs w:val="22"/>
              </w:rPr>
            </w:pPr>
            <w:r w:rsidRPr="00095B95">
              <w:rPr>
                <w:rFonts w:ascii="Times New Roman" w:hAnsi="Times New Roman" w:cs="Times New Roman"/>
                <w:color w:val="000000"/>
                <w:sz w:val="22"/>
                <w:szCs w:val="22"/>
              </w:rPr>
              <w:t>15</w:t>
            </w:r>
          </w:p>
        </w:tc>
        <w:tc>
          <w:tcPr>
            <w:tcW w:w="1188" w:type="dxa"/>
            <w:shd w:val="clear" w:color="auto" w:fill="auto"/>
            <w:noWrap/>
            <w:vAlign w:val="bottom"/>
          </w:tcPr>
          <w:p w14:paraId="6827B23D" w14:textId="4F1428D3" w:rsidR="00F46584" w:rsidRPr="00095B95" w:rsidRDefault="000C019E" w:rsidP="00BC0A82">
            <w:pPr>
              <w:keepNext/>
              <w:jc w:val="center"/>
              <w:rPr>
                <w:rFonts w:ascii="Times New Roman" w:hAnsi="Times New Roman" w:cs="Times New Roman"/>
                <w:color w:val="000000"/>
                <w:sz w:val="22"/>
                <w:szCs w:val="22"/>
              </w:rPr>
            </w:pPr>
            <w:r w:rsidRPr="00095B95">
              <w:rPr>
                <w:rFonts w:ascii="Times New Roman" w:hAnsi="Times New Roman" w:cs="Times New Roman"/>
                <w:color w:val="000000"/>
                <w:sz w:val="22"/>
                <w:szCs w:val="22"/>
              </w:rPr>
              <w:t>75</w:t>
            </w:r>
          </w:p>
        </w:tc>
        <w:tc>
          <w:tcPr>
            <w:tcW w:w="939" w:type="dxa"/>
            <w:shd w:val="clear" w:color="auto" w:fill="auto"/>
            <w:noWrap/>
            <w:vAlign w:val="bottom"/>
          </w:tcPr>
          <w:p w14:paraId="55EDADFE" w14:textId="1B9992D8" w:rsidR="00F46584" w:rsidRPr="00095B95" w:rsidRDefault="000C019E" w:rsidP="00BC0A82">
            <w:pPr>
              <w:keepNext/>
              <w:jc w:val="center"/>
              <w:rPr>
                <w:rFonts w:ascii="Times New Roman" w:hAnsi="Times New Roman" w:cs="Times New Roman"/>
                <w:color w:val="000000"/>
                <w:sz w:val="22"/>
                <w:szCs w:val="22"/>
              </w:rPr>
            </w:pPr>
            <w:r w:rsidRPr="00095B95">
              <w:rPr>
                <w:rFonts w:ascii="Times New Roman" w:hAnsi="Times New Roman" w:cs="Times New Roman"/>
                <w:color w:val="000000"/>
                <w:sz w:val="22"/>
                <w:szCs w:val="22"/>
              </w:rPr>
              <w:t>8.40</w:t>
            </w:r>
          </w:p>
        </w:tc>
        <w:tc>
          <w:tcPr>
            <w:tcW w:w="936" w:type="dxa"/>
            <w:shd w:val="clear" w:color="auto" w:fill="auto"/>
            <w:noWrap/>
            <w:vAlign w:val="bottom"/>
          </w:tcPr>
          <w:p w14:paraId="1A38CF54" w14:textId="024B09E5" w:rsidR="00F46584" w:rsidRPr="00095B95" w:rsidRDefault="000C019E" w:rsidP="00BC0A82">
            <w:pPr>
              <w:keepNext/>
              <w:jc w:val="center"/>
              <w:rPr>
                <w:rFonts w:ascii="Times New Roman" w:hAnsi="Times New Roman" w:cs="Times New Roman"/>
                <w:color w:val="000000"/>
                <w:sz w:val="22"/>
                <w:szCs w:val="22"/>
              </w:rPr>
            </w:pPr>
            <w:r w:rsidRPr="00095B95">
              <w:rPr>
                <w:rFonts w:ascii="Times New Roman" w:hAnsi="Times New Roman" w:cs="Times New Roman"/>
                <w:color w:val="000000"/>
                <w:sz w:val="22"/>
                <w:szCs w:val="22"/>
              </w:rPr>
              <w:t>4.93</w:t>
            </w:r>
          </w:p>
        </w:tc>
        <w:tc>
          <w:tcPr>
            <w:tcW w:w="825" w:type="dxa"/>
            <w:shd w:val="clear" w:color="auto" w:fill="auto"/>
            <w:noWrap/>
            <w:vAlign w:val="bottom"/>
          </w:tcPr>
          <w:p w14:paraId="10768C21" w14:textId="4B2C52C6" w:rsidR="00F46584" w:rsidRPr="00095B95" w:rsidRDefault="000C019E" w:rsidP="00BC0A82">
            <w:pPr>
              <w:keepNext/>
              <w:jc w:val="center"/>
              <w:rPr>
                <w:rFonts w:ascii="Times New Roman" w:hAnsi="Times New Roman" w:cs="Times New Roman"/>
                <w:color w:val="000000"/>
                <w:sz w:val="22"/>
                <w:szCs w:val="22"/>
              </w:rPr>
            </w:pPr>
            <w:r w:rsidRPr="00095B95">
              <w:rPr>
                <w:rFonts w:ascii="Times New Roman" w:hAnsi="Times New Roman" w:cs="Times New Roman"/>
                <w:color w:val="000000"/>
                <w:sz w:val="22"/>
                <w:szCs w:val="22"/>
              </w:rPr>
              <w:t>3</w:t>
            </w:r>
          </w:p>
        </w:tc>
        <w:tc>
          <w:tcPr>
            <w:tcW w:w="896" w:type="dxa"/>
            <w:shd w:val="clear" w:color="auto" w:fill="auto"/>
            <w:vAlign w:val="bottom"/>
          </w:tcPr>
          <w:p w14:paraId="2EEA93D3" w14:textId="78C9AB78" w:rsidR="00F46584" w:rsidRPr="00095B95" w:rsidRDefault="000C019E" w:rsidP="00BC0A82">
            <w:pPr>
              <w:keepNext/>
              <w:jc w:val="center"/>
              <w:rPr>
                <w:rFonts w:ascii="Times New Roman" w:hAnsi="Times New Roman" w:cs="Times New Roman"/>
                <w:color w:val="000000"/>
                <w:sz w:val="22"/>
                <w:szCs w:val="22"/>
              </w:rPr>
            </w:pPr>
            <w:r w:rsidRPr="00095B95">
              <w:rPr>
                <w:rFonts w:ascii="Times New Roman" w:hAnsi="Times New Roman" w:cs="Times New Roman"/>
                <w:color w:val="000000"/>
                <w:sz w:val="22"/>
                <w:szCs w:val="22"/>
              </w:rPr>
              <w:t>15</w:t>
            </w:r>
          </w:p>
        </w:tc>
      </w:tr>
      <w:tr w:rsidR="00612FCE" w:rsidRPr="00842993" w14:paraId="699BC92B" w14:textId="77777777" w:rsidTr="000C019E">
        <w:trPr>
          <w:trHeight w:val="294"/>
        </w:trPr>
        <w:tc>
          <w:tcPr>
            <w:tcW w:w="4219" w:type="dxa"/>
            <w:shd w:val="clear" w:color="auto" w:fill="auto"/>
            <w:noWrap/>
            <w:vAlign w:val="bottom"/>
          </w:tcPr>
          <w:p w14:paraId="522962DF" w14:textId="77777777" w:rsidR="00612FCE" w:rsidRPr="00095B95" w:rsidRDefault="00612FCE" w:rsidP="00BC0A82">
            <w:pPr>
              <w:keepNext/>
              <w:rPr>
                <w:rFonts w:ascii="Times New Roman" w:hAnsi="Times New Roman" w:cs="Times New Roman"/>
                <w:color w:val="000000"/>
                <w:sz w:val="22"/>
                <w:szCs w:val="22"/>
              </w:rPr>
            </w:pPr>
          </w:p>
        </w:tc>
        <w:tc>
          <w:tcPr>
            <w:tcW w:w="516" w:type="dxa"/>
            <w:shd w:val="clear" w:color="auto" w:fill="auto"/>
            <w:noWrap/>
            <w:vAlign w:val="bottom"/>
          </w:tcPr>
          <w:p w14:paraId="18C2F7F4" w14:textId="77777777" w:rsidR="00612FCE" w:rsidRPr="00095B95" w:rsidRDefault="00612FCE" w:rsidP="00BC0A82">
            <w:pPr>
              <w:keepNext/>
              <w:jc w:val="center"/>
              <w:rPr>
                <w:rFonts w:ascii="Times New Roman" w:hAnsi="Times New Roman" w:cs="Times New Roman"/>
                <w:color w:val="000000"/>
                <w:sz w:val="22"/>
                <w:szCs w:val="22"/>
              </w:rPr>
            </w:pPr>
          </w:p>
        </w:tc>
        <w:tc>
          <w:tcPr>
            <w:tcW w:w="1188" w:type="dxa"/>
            <w:shd w:val="clear" w:color="auto" w:fill="auto"/>
            <w:noWrap/>
            <w:vAlign w:val="bottom"/>
          </w:tcPr>
          <w:p w14:paraId="0AAF178C" w14:textId="77777777" w:rsidR="00612FCE" w:rsidRPr="00095B95" w:rsidRDefault="00612FCE" w:rsidP="00BC0A82">
            <w:pPr>
              <w:keepNext/>
              <w:jc w:val="center"/>
              <w:rPr>
                <w:rFonts w:ascii="Times New Roman" w:hAnsi="Times New Roman" w:cs="Times New Roman"/>
                <w:color w:val="000000"/>
                <w:sz w:val="22"/>
                <w:szCs w:val="22"/>
              </w:rPr>
            </w:pPr>
          </w:p>
        </w:tc>
        <w:tc>
          <w:tcPr>
            <w:tcW w:w="939" w:type="dxa"/>
            <w:shd w:val="clear" w:color="auto" w:fill="auto"/>
            <w:noWrap/>
            <w:vAlign w:val="bottom"/>
          </w:tcPr>
          <w:p w14:paraId="7A270968" w14:textId="77777777" w:rsidR="00612FCE" w:rsidRPr="00095B95" w:rsidRDefault="00612FCE" w:rsidP="00BC0A82">
            <w:pPr>
              <w:keepNext/>
              <w:jc w:val="center"/>
              <w:rPr>
                <w:rFonts w:ascii="Times New Roman" w:hAnsi="Times New Roman" w:cs="Times New Roman"/>
                <w:color w:val="000000"/>
                <w:sz w:val="22"/>
                <w:szCs w:val="22"/>
              </w:rPr>
            </w:pPr>
          </w:p>
        </w:tc>
        <w:tc>
          <w:tcPr>
            <w:tcW w:w="936" w:type="dxa"/>
            <w:shd w:val="clear" w:color="auto" w:fill="auto"/>
            <w:noWrap/>
            <w:vAlign w:val="bottom"/>
          </w:tcPr>
          <w:p w14:paraId="46A0D9C9" w14:textId="77777777" w:rsidR="00612FCE" w:rsidRPr="00095B95" w:rsidRDefault="00612FCE" w:rsidP="00BC0A82">
            <w:pPr>
              <w:keepNext/>
              <w:jc w:val="center"/>
              <w:rPr>
                <w:rFonts w:ascii="Times New Roman" w:hAnsi="Times New Roman" w:cs="Times New Roman"/>
                <w:color w:val="000000"/>
                <w:sz w:val="22"/>
                <w:szCs w:val="22"/>
              </w:rPr>
            </w:pPr>
          </w:p>
        </w:tc>
        <w:tc>
          <w:tcPr>
            <w:tcW w:w="825" w:type="dxa"/>
            <w:shd w:val="clear" w:color="auto" w:fill="auto"/>
            <w:noWrap/>
            <w:vAlign w:val="bottom"/>
          </w:tcPr>
          <w:p w14:paraId="23CFC95D" w14:textId="77777777" w:rsidR="00612FCE" w:rsidRPr="00095B95" w:rsidRDefault="00612FCE" w:rsidP="00BC0A82">
            <w:pPr>
              <w:keepNext/>
              <w:jc w:val="center"/>
              <w:rPr>
                <w:rFonts w:ascii="Times New Roman" w:hAnsi="Times New Roman" w:cs="Times New Roman"/>
                <w:color w:val="000000"/>
                <w:sz w:val="22"/>
                <w:szCs w:val="22"/>
              </w:rPr>
            </w:pPr>
          </w:p>
        </w:tc>
        <w:tc>
          <w:tcPr>
            <w:tcW w:w="896" w:type="dxa"/>
            <w:shd w:val="clear" w:color="auto" w:fill="auto"/>
            <w:vAlign w:val="bottom"/>
          </w:tcPr>
          <w:p w14:paraId="756CCA5A" w14:textId="77777777" w:rsidR="00612FCE" w:rsidRPr="00095B95" w:rsidRDefault="00612FCE" w:rsidP="00BC0A82">
            <w:pPr>
              <w:keepNext/>
              <w:jc w:val="center"/>
              <w:rPr>
                <w:rFonts w:ascii="Times New Roman" w:hAnsi="Times New Roman" w:cs="Times New Roman"/>
                <w:color w:val="000000"/>
                <w:sz w:val="22"/>
                <w:szCs w:val="22"/>
              </w:rPr>
            </w:pPr>
          </w:p>
        </w:tc>
      </w:tr>
    </w:tbl>
    <w:p w14:paraId="506FF8AA" w14:textId="177CF5BF" w:rsidR="00FF7A4C" w:rsidRDefault="00FF7A4C" w:rsidP="00842993">
      <w:pPr>
        <w:widowControl w:val="0"/>
        <w:autoSpaceDE w:val="0"/>
        <w:autoSpaceDN w:val="0"/>
        <w:adjustRightInd w:val="0"/>
        <w:spacing w:after="240" w:line="480" w:lineRule="auto"/>
        <w:jc w:val="both"/>
        <w:rPr>
          <w:rFonts w:ascii="Times New Roman" w:hAnsi="Times New Roman" w:cs="Times New Roman"/>
          <w:color w:val="000000"/>
          <w:sz w:val="22"/>
          <w:szCs w:val="22"/>
        </w:rPr>
        <w:sectPr w:rsidR="00FF7A4C" w:rsidSect="00C20769">
          <w:footerReference w:type="default" r:id="rId11"/>
          <w:pgSz w:w="11900" w:h="16840"/>
          <w:pgMar w:top="1440" w:right="1440" w:bottom="1440" w:left="1440" w:header="720" w:footer="720" w:gutter="0"/>
          <w:cols w:space="720"/>
          <w:docGrid w:linePitch="360"/>
        </w:sectPr>
      </w:pPr>
    </w:p>
    <w:p w14:paraId="6350B179" w14:textId="61495222" w:rsidR="003344A9" w:rsidRPr="00095B95" w:rsidRDefault="00E12E7A" w:rsidP="00FE4DB5">
      <w:pPr>
        <w:widowControl w:val="0"/>
        <w:autoSpaceDE w:val="0"/>
        <w:autoSpaceDN w:val="0"/>
        <w:adjustRightInd w:val="0"/>
        <w:spacing w:line="480" w:lineRule="auto"/>
        <w:jc w:val="both"/>
        <w:rPr>
          <w:rFonts w:ascii="Times New Roman" w:hAnsi="Times New Roman" w:cs="Times New Roman"/>
          <w:color w:val="000000"/>
          <w:sz w:val="22"/>
          <w:szCs w:val="22"/>
        </w:rPr>
      </w:pPr>
      <w:r w:rsidRPr="00095B95">
        <w:rPr>
          <w:rFonts w:ascii="Times New Roman" w:hAnsi="Times New Roman" w:cs="Times New Roman"/>
          <w:b/>
          <w:color w:val="000000"/>
          <w:sz w:val="22"/>
          <w:szCs w:val="22"/>
        </w:rPr>
        <w:lastRenderedPageBreak/>
        <w:t>Table 2</w:t>
      </w:r>
      <w:r w:rsidR="003344A9" w:rsidRPr="00095B95">
        <w:rPr>
          <w:rFonts w:ascii="Times New Roman" w:hAnsi="Times New Roman" w:cs="Times New Roman"/>
          <w:b/>
          <w:color w:val="000000"/>
          <w:sz w:val="22"/>
          <w:szCs w:val="22"/>
        </w:rPr>
        <w:t>:</w:t>
      </w:r>
      <w:r w:rsidR="00E7073F" w:rsidRPr="00095B95">
        <w:rPr>
          <w:rFonts w:ascii="Times New Roman" w:hAnsi="Times New Roman" w:cs="Times New Roman"/>
          <w:color w:val="000000"/>
          <w:sz w:val="22"/>
          <w:szCs w:val="22"/>
        </w:rPr>
        <w:t xml:space="preserve"> </w:t>
      </w:r>
      <w:r w:rsidR="00FE4DB5" w:rsidRPr="00095B95">
        <w:rPr>
          <w:rFonts w:ascii="Times New Roman" w:hAnsi="Times New Roman" w:cs="Times New Roman"/>
          <w:i/>
          <w:color w:val="000000"/>
          <w:sz w:val="22"/>
          <w:szCs w:val="22"/>
        </w:rPr>
        <w:t>Mean puffing patterns, product use, subjective effects and biomarker</w:t>
      </w:r>
      <w:r w:rsidR="006D29CB" w:rsidRPr="00095B95">
        <w:rPr>
          <w:rFonts w:ascii="Times New Roman" w:hAnsi="Times New Roman" w:cs="Times New Roman"/>
          <w:i/>
          <w:color w:val="000000"/>
          <w:sz w:val="22"/>
          <w:szCs w:val="22"/>
        </w:rPr>
        <w:t xml:space="preserve"> </w:t>
      </w:r>
      <w:r w:rsidR="00AE1209" w:rsidRPr="00095B95">
        <w:rPr>
          <w:rFonts w:ascii="Times New Roman" w:hAnsi="Times New Roman" w:cs="Times New Roman"/>
          <w:i/>
          <w:color w:val="000000"/>
          <w:sz w:val="22"/>
          <w:szCs w:val="22"/>
        </w:rPr>
        <w:t>levels across the four conditions</w:t>
      </w:r>
    </w:p>
    <w:tbl>
      <w:tblPr>
        <w:tblStyle w:val="TableGrid"/>
        <w:tblpPr w:leftFromText="180" w:rightFromText="180" w:vertAnchor="text" w:tblpY="1"/>
        <w:tblOverlap w:val="never"/>
        <w:tblW w:w="13424" w:type="dxa"/>
        <w:tblLayout w:type="fixed"/>
        <w:tblLook w:val="04A0" w:firstRow="1" w:lastRow="0" w:firstColumn="1" w:lastColumn="0" w:noHBand="0" w:noVBand="1"/>
      </w:tblPr>
      <w:tblGrid>
        <w:gridCol w:w="1980"/>
        <w:gridCol w:w="850"/>
        <w:gridCol w:w="851"/>
        <w:gridCol w:w="850"/>
        <w:gridCol w:w="851"/>
        <w:gridCol w:w="850"/>
        <w:gridCol w:w="851"/>
        <w:gridCol w:w="850"/>
        <w:gridCol w:w="993"/>
        <w:gridCol w:w="1404"/>
        <w:gridCol w:w="1547"/>
        <w:gridCol w:w="1547"/>
      </w:tblGrid>
      <w:tr w:rsidR="004440BE" w:rsidRPr="00095B95" w14:paraId="06A74938" w14:textId="78678B87" w:rsidTr="00F665F4">
        <w:trPr>
          <w:trHeight w:val="629"/>
        </w:trPr>
        <w:tc>
          <w:tcPr>
            <w:tcW w:w="1980" w:type="dxa"/>
          </w:tcPr>
          <w:p w14:paraId="4304DB7F" w14:textId="77777777" w:rsidR="004440BE" w:rsidRPr="00095B95" w:rsidRDefault="004440BE" w:rsidP="00D127E9">
            <w:pPr>
              <w:jc w:val="center"/>
              <w:rPr>
                <w:b/>
                <w:sz w:val="20"/>
                <w:szCs w:val="20"/>
              </w:rPr>
            </w:pPr>
          </w:p>
        </w:tc>
        <w:tc>
          <w:tcPr>
            <w:tcW w:w="1701" w:type="dxa"/>
            <w:gridSpan w:val="2"/>
            <w:tcBorders>
              <w:bottom w:val="single" w:sz="4" w:space="0" w:color="auto"/>
            </w:tcBorders>
          </w:tcPr>
          <w:p w14:paraId="4CEADEA0" w14:textId="195D8ECF" w:rsidR="004440BE" w:rsidRPr="00095B95" w:rsidRDefault="004440BE" w:rsidP="00D127E9">
            <w:pPr>
              <w:jc w:val="center"/>
              <w:rPr>
                <w:b/>
                <w:sz w:val="20"/>
                <w:szCs w:val="20"/>
              </w:rPr>
            </w:pPr>
            <w:r w:rsidRPr="00095B95">
              <w:rPr>
                <w:b/>
                <w:sz w:val="20"/>
                <w:szCs w:val="20"/>
              </w:rPr>
              <w:t>6mg/mL fixed power</w:t>
            </w:r>
          </w:p>
        </w:tc>
        <w:tc>
          <w:tcPr>
            <w:tcW w:w="1701" w:type="dxa"/>
            <w:gridSpan w:val="2"/>
            <w:tcBorders>
              <w:bottom w:val="single" w:sz="4" w:space="0" w:color="auto"/>
            </w:tcBorders>
          </w:tcPr>
          <w:p w14:paraId="5E186909" w14:textId="758FF10D" w:rsidR="004440BE" w:rsidRPr="00095B95" w:rsidRDefault="004440BE" w:rsidP="00D127E9">
            <w:pPr>
              <w:jc w:val="center"/>
              <w:rPr>
                <w:b/>
                <w:sz w:val="20"/>
                <w:szCs w:val="20"/>
              </w:rPr>
            </w:pPr>
            <w:r w:rsidRPr="00095B95">
              <w:rPr>
                <w:b/>
                <w:sz w:val="20"/>
                <w:szCs w:val="20"/>
              </w:rPr>
              <w:t>18mg/mL fixed power</w:t>
            </w:r>
          </w:p>
        </w:tc>
        <w:tc>
          <w:tcPr>
            <w:tcW w:w="1701" w:type="dxa"/>
            <w:gridSpan w:val="2"/>
            <w:tcBorders>
              <w:bottom w:val="single" w:sz="4" w:space="0" w:color="auto"/>
            </w:tcBorders>
          </w:tcPr>
          <w:p w14:paraId="4A0D69BD" w14:textId="6EE62A4C" w:rsidR="004440BE" w:rsidRPr="00095B95" w:rsidRDefault="004440BE" w:rsidP="00D127E9">
            <w:pPr>
              <w:jc w:val="center"/>
              <w:rPr>
                <w:b/>
                <w:sz w:val="20"/>
                <w:szCs w:val="20"/>
              </w:rPr>
            </w:pPr>
            <w:r w:rsidRPr="00095B95">
              <w:rPr>
                <w:b/>
                <w:sz w:val="20"/>
                <w:szCs w:val="20"/>
              </w:rPr>
              <w:t>6mg/mL adjustable power</w:t>
            </w:r>
          </w:p>
        </w:tc>
        <w:tc>
          <w:tcPr>
            <w:tcW w:w="1843" w:type="dxa"/>
            <w:gridSpan w:val="2"/>
            <w:tcBorders>
              <w:bottom w:val="single" w:sz="4" w:space="0" w:color="auto"/>
            </w:tcBorders>
          </w:tcPr>
          <w:p w14:paraId="775EB088" w14:textId="1D5FD2F9" w:rsidR="004440BE" w:rsidRPr="00095B95" w:rsidRDefault="004440BE" w:rsidP="00D127E9">
            <w:pPr>
              <w:jc w:val="center"/>
              <w:rPr>
                <w:b/>
                <w:sz w:val="20"/>
                <w:szCs w:val="20"/>
              </w:rPr>
            </w:pPr>
            <w:r w:rsidRPr="00095B95">
              <w:rPr>
                <w:b/>
                <w:sz w:val="20"/>
                <w:szCs w:val="20"/>
              </w:rPr>
              <w:t>18mg/mL adjustable power</w:t>
            </w:r>
          </w:p>
        </w:tc>
        <w:tc>
          <w:tcPr>
            <w:tcW w:w="1404" w:type="dxa"/>
          </w:tcPr>
          <w:p w14:paraId="3D8EA095" w14:textId="028D4B37" w:rsidR="008E5576" w:rsidRPr="00095B95" w:rsidRDefault="004440BE" w:rsidP="00D127E9">
            <w:pPr>
              <w:jc w:val="center"/>
              <w:rPr>
                <w:b/>
                <w:sz w:val="20"/>
                <w:szCs w:val="20"/>
              </w:rPr>
            </w:pPr>
            <w:r w:rsidRPr="00095B95">
              <w:rPr>
                <w:b/>
                <w:sz w:val="20"/>
                <w:szCs w:val="20"/>
              </w:rPr>
              <w:t>Nicotine</w:t>
            </w:r>
          </w:p>
          <w:p w14:paraId="69FB8124" w14:textId="6CAFB4DC" w:rsidR="004440BE" w:rsidRPr="00095B95" w:rsidRDefault="004440BE" w:rsidP="00D127E9">
            <w:pPr>
              <w:jc w:val="center"/>
              <w:rPr>
                <w:b/>
                <w:sz w:val="20"/>
                <w:szCs w:val="20"/>
              </w:rPr>
            </w:pPr>
          </w:p>
        </w:tc>
        <w:tc>
          <w:tcPr>
            <w:tcW w:w="1547" w:type="dxa"/>
          </w:tcPr>
          <w:p w14:paraId="0E2D87AF" w14:textId="77777777" w:rsidR="008E5576" w:rsidRPr="00095B95" w:rsidRDefault="004440BE" w:rsidP="00D127E9">
            <w:pPr>
              <w:jc w:val="center"/>
              <w:rPr>
                <w:b/>
                <w:sz w:val="20"/>
                <w:szCs w:val="20"/>
              </w:rPr>
            </w:pPr>
            <w:r w:rsidRPr="00095B95">
              <w:rPr>
                <w:b/>
                <w:sz w:val="20"/>
                <w:szCs w:val="20"/>
              </w:rPr>
              <w:t>Power</w:t>
            </w:r>
          </w:p>
          <w:p w14:paraId="66295688" w14:textId="7D78A3A4" w:rsidR="004440BE" w:rsidRPr="00095B95" w:rsidRDefault="004440BE" w:rsidP="00D127E9">
            <w:pPr>
              <w:jc w:val="center"/>
              <w:rPr>
                <w:b/>
                <w:sz w:val="20"/>
                <w:szCs w:val="20"/>
              </w:rPr>
            </w:pPr>
          </w:p>
        </w:tc>
        <w:tc>
          <w:tcPr>
            <w:tcW w:w="1547" w:type="dxa"/>
          </w:tcPr>
          <w:p w14:paraId="5FBC555B" w14:textId="77777777" w:rsidR="004440BE" w:rsidRPr="00095B95" w:rsidRDefault="004440BE" w:rsidP="00D127E9">
            <w:pPr>
              <w:jc w:val="center"/>
              <w:rPr>
                <w:b/>
                <w:sz w:val="20"/>
                <w:szCs w:val="20"/>
              </w:rPr>
            </w:pPr>
            <w:r w:rsidRPr="00095B95">
              <w:rPr>
                <w:b/>
                <w:sz w:val="20"/>
                <w:szCs w:val="20"/>
              </w:rPr>
              <w:t>Nicotine x Power</w:t>
            </w:r>
          </w:p>
          <w:p w14:paraId="3760B407" w14:textId="1BE64D9E" w:rsidR="004440BE" w:rsidRPr="00095B95" w:rsidRDefault="004440BE" w:rsidP="00D127E9">
            <w:pPr>
              <w:jc w:val="center"/>
              <w:rPr>
                <w:b/>
                <w:sz w:val="20"/>
                <w:szCs w:val="20"/>
              </w:rPr>
            </w:pPr>
          </w:p>
        </w:tc>
      </w:tr>
      <w:tr w:rsidR="00F665F4" w:rsidRPr="00095B95" w14:paraId="46A00F24" w14:textId="13E73F4C" w:rsidTr="00F665F4">
        <w:trPr>
          <w:trHeight w:val="629"/>
        </w:trPr>
        <w:tc>
          <w:tcPr>
            <w:tcW w:w="1980" w:type="dxa"/>
          </w:tcPr>
          <w:p w14:paraId="1320E779" w14:textId="6868A4B0" w:rsidR="004440BE" w:rsidRPr="00095B95" w:rsidRDefault="004440BE" w:rsidP="00D127E9">
            <w:pPr>
              <w:jc w:val="center"/>
              <w:rPr>
                <w:sz w:val="20"/>
                <w:szCs w:val="20"/>
              </w:rPr>
            </w:pPr>
          </w:p>
        </w:tc>
        <w:tc>
          <w:tcPr>
            <w:tcW w:w="850" w:type="dxa"/>
            <w:tcBorders>
              <w:bottom w:val="single" w:sz="4" w:space="0" w:color="auto"/>
              <w:right w:val="nil"/>
            </w:tcBorders>
          </w:tcPr>
          <w:p w14:paraId="705CDAF5" w14:textId="352A6B9B" w:rsidR="004440BE" w:rsidRPr="00095B95" w:rsidRDefault="004440BE" w:rsidP="00D127E9">
            <w:pPr>
              <w:jc w:val="center"/>
              <w:rPr>
                <w:sz w:val="20"/>
                <w:szCs w:val="20"/>
              </w:rPr>
            </w:pPr>
            <w:r w:rsidRPr="00095B95">
              <w:rPr>
                <w:sz w:val="20"/>
                <w:szCs w:val="20"/>
              </w:rPr>
              <w:t>Mean</w:t>
            </w:r>
          </w:p>
        </w:tc>
        <w:tc>
          <w:tcPr>
            <w:tcW w:w="851" w:type="dxa"/>
            <w:tcBorders>
              <w:left w:val="nil"/>
              <w:bottom w:val="single" w:sz="4" w:space="0" w:color="auto"/>
              <w:right w:val="single" w:sz="4" w:space="0" w:color="auto"/>
            </w:tcBorders>
          </w:tcPr>
          <w:p w14:paraId="3548D1B8" w14:textId="54BEB626" w:rsidR="004440BE" w:rsidRPr="00095B95" w:rsidRDefault="004440BE" w:rsidP="00D127E9">
            <w:pPr>
              <w:jc w:val="center"/>
              <w:rPr>
                <w:sz w:val="20"/>
                <w:szCs w:val="20"/>
              </w:rPr>
            </w:pPr>
            <w:r w:rsidRPr="00095B95">
              <w:rPr>
                <w:sz w:val="20"/>
                <w:szCs w:val="20"/>
              </w:rPr>
              <w:t>SD</w:t>
            </w:r>
          </w:p>
        </w:tc>
        <w:tc>
          <w:tcPr>
            <w:tcW w:w="850" w:type="dxa"/>
            <w:tcBorders>
              <w:left w:val="single" w:sz="4" w:space="0" w:color="auto"/>
              <w:bottom w:val="single" w:sz="4" w:space="0" w:color="auto"/>
              <w:right w:val="nil"/>
            </w:tcBorders>
          </w:tcPr>
          <w:p w14:paraId="537D6FF6" w14:textId="232ACA39" w:rsidR="004440BE" w:rsidRPr="00095B95" w:rsidRDefault="004440BE" w:rsidP="00D127E9">
            <w:pPr>
              <w:jc w:val="center"/>
              <w:rPr>
                <w:sz w:val="20"/>
                <w:szCs w:val="20"/>
              </w:rPr>
            </w:pPr>
            <w:r w:rsidRPr="00095B95">
              <w:rPr>
                <w:sz w:val="20"/>
                <w:szCs w:val="20"/>
              </w:rPr>
              <w:t>Mean</w:t>
            </w:r>
          </w:p>
        </w:tc>
        <w:tc>
          <w:tcPr>
            <w:tcW w:w="851" w:type="dxa"/>
            <w:tcBorders>
              <w:left w:val="nil"/>
              <w:bottom w:val="single" w:sz="4" w:space="0" w:color="auto"/>
              <w:right w:val="single" w:sz="4" w:space="0" w:color="auto"/>
            </w:tcBorders>
          </w:tcPr>
          <w:p w14:paraId="0E3D2389" w14:textId="3B9CA25B" w:rsidR="004440BE" w:rsidRPr="00095B95" w:rsidRDefault="004440BE" w:rsidP="00D127E9">
            <w:pPr>
              <w:jc w:val="center"/>
              <w:rPr>
                <w:sz w:val="20"/>
                <w:szCs w:val="20"/>
              </w:rPr>
            </w:pPr>
            <w:r w:rsidRPr="00095B95">
              <w:rPr>
                <w:sz w:val="20"/>
                <w:szCs w:val="20"/>
              </w:rPr>
              <w:t>SD</w:t>
            </w:r>
          </w:p>
        </w:tc>
        <w:tc>
          <w:tcPr>
            <w:tcW w:w="850" w:type="dxa"/>
            <w:tcBorders>
              <w:left w:val="single" w:sz="4" w:space="0" w:color="auto"/>
              <w:bottom w:val="single" w:sz="4" w:space="0" w:color="auto"/>
              <w:right w:val="nil"/>
            </w:tcBorders>
          </w:tcPr>
          <w:p w14:paraId="68C151B0" w14:textId="1549012D" w:rsidR="004440BE" w:rsidRPr="00095B95" w:rsidRDefault="004440BE" w:rsidP="00D127E9">
            <w:pPr>
              <w:jc w:val="center"/>
              <w:rPr>
                <w:sz w:val="20"/>
                <w:szCs w:val="20"/>
              </w:rPr>
            </w:pPr>
            <w:r w:rsidRPr="00095B95">
              <w:rPr>
                <w:sz w:val="20"/>
                <w:szCs w:val="20"/>
              </w:rPr>
              <w:t>Mean</w:t>
            </w:r>
          </w:p>
        </w:tc>
        <w:tc>
          <w:tcPr>
            <w:tcW w:w="851" w:type="dxa"/>
            <w:tcBorders>
              <w:left w:val="nil"/>
              <w:bottom w:val="single" w:sz="4" w:space="0" w:color="auto"/>
              <w:right w:val="single" w:sz="4" w:space="0" w:color="auto"/>
            </w:tcBorders>
          </w:tcPr>
          <w:p w14:paraId="5B67AA72" w14:textId="2CBEC89B" w:rsidR="004440BE" w:rsidRPr="00095B95" w:rsidRDefault="004440BE" w:rsidP="00D127E9">
            <w:pPr>
              <w:jc w:val="center"/>
              <w:rPr>
                <w:sz w:val="20"/>
                <w:szCs w:val="20"/>
              </w:rPr>
            </w:pPr>
            <w:r w:rsidRPr="00095B95">
              <w:rPr>
                <w:sz w:val="20"/>
                <w:szCs w:val="20"/>
              </w:rPr>
              <w:t>SD</w:t>
            </w:r>
          </w:p>
        </w:tc>
        <w:tc>
          <w:tcPr>
            <w:tcW w:w="850" w:type="dxa"/>
            <w:tcBorders>
              <w:left w:val="single" w:sz="4" w:space="0" w:color="auto"/>
              <w:bottom w:val="single" w:sz="4" w:space="0" w:color="auto"/>
              <w:right w:val="nil"/>
            </w:tcBorders>
          </w:tcPr>
          <w:p w14:paraId="1D36C13F" w14:textId="45D53119" w:rsidR="004440BE" w:rsidRPr="00095B95" w:rsidRDefault="004440BE" w:rsidP="00D127E9">
            <w:pPr>
              <w:jc w:val="center"/>
              <w:rPr>
                <w:sz w:val="20"/>
                <w:szCs w:val="20"/>
              </w:rPr>
            </w:pPr>
            <w:r w:rsidRPr="00095B95">
              <w:rPr>
                <w:sz w:val="20"/>
                <w:szCs w:val="20"/>
              </w:rPr>
              <w:t>Mean</w:t>
            </w:r>
          </w:p>
        </w:tc>
        <w:tc>
          <w:tcPr>
            <w:tcW w:w="993" w:type="dxa"/>
            <w:tcBorders>
              <w:left w:val="nil"/>
              <w:bottom w:val="single" w:sz="4" w:space="0" w:color="auto"/>
            </w:tcBorders>
          </w:tcPr>
          <w:p w14:paraId="58A04DA6" w14:textId="1EC95DE8" w:rsidR="004440BE" w:rsidRPr="00095B95" w:rsidRDefault="004440BE" w:rsidP="00D127E9">
            <w:pPr>
              <w:jc w:val="center"/>
              <w:rPr>
                <w:sz w:val="20"/>
                <w:szCs w:val="20"/>
              </w:rPr>
            </w:pPr>
            <w:r w:rsidRPr="00095B95">
              <w:rPr>
                <w:sz w:val="20"/>
                <w:szCs w:val="20"/>
              </w:rPr>
              <w:t>SD</w:t>
            </w:r>
          </w:p>
        </w:tc>
        <w:tc>
          <w:tcPr>
            <w:tcW w:w="1404" w:type="dxa"/>
          </w:tcPr>
          <w:p w14:paraId="4EC75DD9" w14:textId="20ED616D" w:rsidR="004440BE" w:rsidRPr="00095B95" w:rsidRDefault="00101A86" w:rsidP="00D127E9">
            <w:pPr>
              <w:jc w:val="center"/>
              <w:rPr>
                <w:sz w:val="20"/>
                <w:szCs w:val="20"/>
              </w:rPr>
            </w:pPr>
            <w:r w:rsidRPr="00095B95">
              <w:rPr>
                <w:sz w:val="20"/>
                <w:szCs w:val="20"/>
              </w:rPr>
              <w:t>F (p)</w:t>
            </w:r>
          </w:p>
        </w:tc>
        <w:tc>
          <w:tcPr>
            <w:tcW w:w="1547" w:type="dxa"/>
          </w:tcPr>
          <w:p w14:paraId="4D6F4E6F" w14:textId="1B3AD2F5" w:rsidR="004440BE" w:rsidRPr="00095B95" w:rsidRDefault="00101A86" w:rsidP="00D127E9">
            <w:pPr>
              <w:jc w:val="center"/>
              <w:rPr>
                <w:sz w:val="20"/>
                <w:szCs w:val="20"/>
              </w:rPr>
            </w:pPr>
            <w:r w:rsidRPr="00095B95">
              <w:rPr>
                <w:sz w:val="20"/>
                <w:szCs w:val="20"/>
              </w:rPr>
              <w:t>F (p)</w:t>
            </w:r>
          </w:p>
        </w:tc>
        <w:tc>
          <w:tcPr>
            <w:tcW w:w="1547" w:type="dxa"/>
          </w:tcPr>
          <w:p w14:paraId="2973F66A" w14:textId="56457E3B" w:rsidR="004440BE" w:rsidRPr="00095B95" w:rsidRDefault="00101A86" w:rsidP="00D127E9">
            <w:pPr>
              <w:jc w:val="center"/>
              <w:rPr>
                <w:sz w:val="20"/>
                <w:szCs w:val="20"/>
              </w:rPr>
            </w:pPr>
            <w:r w:rsidRPr="00095B95">
              <w:rPr>
                <w:sz w:val="20"/>
                <w:szCs w:val="20"/>
              </w:rPr>
              <w:t>F (p)</w:t>
            </w:r>
          </w:p>
        </w:tc>
      </w:tr>
      <w:tr w:rsidR="00D127E9" w:rsidRPr="00095B95" w14:paraId="32259D28" w14:textId="77777777" w:rsidTr="008A1F94">
        <w:tc>
          <w:tcPr>
            <w:tcW w:w="13424" w:type="dxa"/>
            <w:gridSpan w:val="12"/>
          </w:tcPr>
          <w:p w14:paraId="412E8EB5" w14:textId="1494B281" w:rsidR="00D127E9" w:rsidRPr="00095B95" w:rsidRDefault="00D127E9" w:rsidP="00D127E9">
            <w:pPr>
              <w:rPr>
                <w:b/>
                <w:sz w:val="20"/>
                <w:szCs w:val="20"/>
              </w:rPr>
            </w:pPr>
            <w:r w:rsidRPr="00095B95">
              <w:rPr>
                <w:b/>
                <w:sz w:val="20"/>
                <w:szCs w:val="20"/>
              </w:rPr>
              <w:t>Puffing Topography</w:t>
            </w:r>
          </w:p>
        </w:tc>
      </w:tr>
      <w:tr w:rsidR="00F665F4" w:rsidRPr="00095B95" w14:paraId="26214C0D" w14:textId="60C11600" w:rsidTr="00F665F4">
        <w:tc>
          <w:tcPr>
            <w:tcW w:w="1980" w:type="dxa"/>
          </w:tcPr>
          <w:p w14:paraId="26311909" w14:textId="666F5D18" w:rsidR="004440BE" w:rsidRPr="00095B95" w:rsidRDefault="004440BE" w:rsidP="00D127E9">
            <w:pPr>
              <w:rPr>
                <w:sz w:val="20"/>
                <w:szCs w:val="20"/>
              </w:rPr>
            </w:pPr>
            <w:r w:rsidRPr="00095B95">
              <w:rPr>
                <w:sz w:val="20"/>
                <w:szCs w:val="20"/>
              </w:rPr>
              <w:t>Daily puff number</w:t>
            </w:r>
          </w:p>
        </w:tc>
        <w:tc>
          <w:tcPr>
            <w:tcW w:w="850" w:type="dxa"/>
            <w:tcBorders>
              <w:right w:val="nil"/>
            </w:tcBorders>
          </w:tcPr>
          <w:p w14:paraId="449A396C" w14:textId="014EE6B3" w:rsidR="004440BE" w:rsidRPr="00095B95" w:rsidRDefault="004440BE" w:rsidP="00D127E9">
            <w:pPr>
              <w:jc w:val="center"/>
              <w:rPr>
                <w:sz w:val="20"/>
                <w:szCs w:val="20"/>
              </w:rPr>
            </w:pPr>
            <w:r w:rsidRPr="00095B95">
              <w:rPr>
                <w:sz w:val="20"/>
                <w:szCs w:val="20"/>
              </w:rPr>
              <w:t>338</w:t>
            </w:r>
          </w:p>
        </w:tc>
        <w:tc>
          <w:tcPr>
            <w:tcW w:w="851" w:type="dxa"/>
            <w:tcBorders>
              <w:left w:val="nil"/>
              <w:right w:val="single" w:sz="4" w:space="0" w:color="auto"/>
            </w:tcBorders>
          </w:tcPr>
          <w:p w14:paraId="6B99C530" w14:textId="4AF52031" w:rsidR="004440BE" w:rsidRPr="00095B95" w:rsidRDefault="004440BE" w:rsidP="00D127E9">
            <w:pPr>
              <w:jc w:val="center"/>
              <w:rPr>
                <w:sz w:val="20"/>
                <w:szCs w:val="20"/>
              </w:rPr>
            </w:pPr>
            <w:r w:rsidRPr="00095B95">
              <w:rPr>
                <w:sz w:val="20"/>
                <w:szCs w:val="20"/>
              </w:rPr>
              <w:t>161</w:t>
            </w:r>
          </w:p>
        </w:tc>
        <w:tc>
          <w:tcPr>
            <w:tcW w:w="850" w:type="dxa"/>
            <w:tcBorders>
              <w:left w:val="single" w:sz="4" w:space="0" w:color="auto"/>
              <w:right w:val="nil"/>
            </w:tcBorders>
          </w:tcPr>
          <w:p w14:paraId="53AA6D1B" w14:textId="38E0D65D" w:rsidR="004440BE" w:rsidRPr="00095B95" w:rsidRDefault="004440BE" w:rsidP="00D127E9">
            <w:pPr>
              <w:jc w:val="center"/>
              <w:rPr>
                <w:sz w:val="20"/>
                <w:szCs w:val="20"/>
              </w:rPr>
            </w:pPr>
            <w:r w:rsidRPr="00095B95">
              <w:rPr>
                <w:sz w:val="20"/>
                <w:szCs w:val="20"/>
              </w:rPr>
              <w:t>279</w:t>
            </w:r>
          </w:p>
        </w:tc>
        <w:tc>
          <w:tcPr>
            <w:tcW w:w="851" w:type="dxa"/>
            <w:tcBorders>
              <w:left w:val="nil"/>
              <w:right w:val="single" w:sz="4" w:space="0" w:color="auto"/>
            </w:tcBorders>
          </w:tcPr>
          <w:p w14:paraId="4C287728" w14:textId="248C7592" w:rsidR="004440BE" w:rsidRPr="00095B95" w:rsidRDefault="004440BE" w:rsidP="00D127E9">
            <w:pPr>
              <w:jc w:val="center"/>
              <w:rPr>
                <w:sz w:val="20"/>
                <w:szCs w:val="20"/>
              </w:rPr>
            </w:pPr>
            <w:r w:rsidRPr="00095B95">
              <w:rPr>
                <w:sz w:val="20"/>
                <w:szCs w:val="20"/>
              </w:rPr>
              <w:t>127</w:t>
            </w:r>
          </w:p>
        </w:tc>
        <w:tc>
          <w:tcPr>
            <w:tcW w:w="850" w:type="dxa"/>
            <w:tcBorders>
              <w:left w:val="single" w:sz="4" w:space="0" w:color="auto"/>
              <w:right w:val="nil"/>
            </w:tcBorders>
          </w:tcPr>
          <w:p w14:paraId="56EC1091" w14:textId="3B8715F7" w:rsidR="004440BE" w:rsidRPr="00095B95" w:rsidRDefault="004440BE" w:rsidP="00D127E9">
            <w:pPr>
              <w:jc w:val="center"/>
              <w:rPr>
                <w:sz w:val="20"/>
                <w:szCs w:val="20"/>
              </w:rPr>
            </w:pPr>
            <w:r w:rsidRPr="00095B95">
              <w:rPr>
                <w:sz w:val="20"/>
                <w:szCs w:val="20"/>
              </w:rPr>
              <w:t>308</w:t>
            </w:r>
          </w:p>
        </w:tc>
        <w:tc>
          <w:tcPr>
            <w:tcW w:w="851" w:type="dxa"/>
            <w:tcBorders>
              <w:left w:val="nil"/>
              <w:right w:val="single" w:sz="4" w:space="0" w:color="auto"/>
            </w:tcBorders>
          </w:tcPr>
          <w:p w14:paraId="39445D53" w14:textId="486279D9" w:rsidR="004440BE" w:rsidRPr="00095B95" w:rsidRDefault="004440BE" w:rsidP="00D127E9">
            <w:pPr>
              <w:jc w:val="center"/>
              <w:rPr>
                <w:sz w:val="20"/>
                <w:szCs w:val="20"/>
              </w:rPr>
            </w:pPr>
            <w:r w:rsidRPr="00095B95">
              <w:rPr>
                <w:sz w:val="20"/>
                <w:szCs w:val="20"/>
              </w:rPr>
              <w:t>135</w:t>
            </w:r>
          </w:p>
        </w:tc>
        <w:tc>
          <w:tcPr>
            <w:tcW w:w="850" w:type="dxa"/>
            <w:tcBorders>
              <w:left w:val="single" w:sz="4" w:space="0" w:color="auto"/>
              <w:right w:val="nil"/>
            </w:tcBorders>
          </w:tcPr>
          <w:p w14:paraId="2F383EB7" w14:textId="04E960DD" w:rsidR="004440BE" w:rsidRPr="00095B95" w:rsidRDefault="004440BE" w:rsidP="00D127E9">
            <w:pPr>
              <w:jc w:val="center"/>
              <w:rPr>
                <w:sz w:val="20"/>
                <w:szCs w:val="20"/>
              </w:rPr>
            </w:pPr>
            <w:r w:rsidRPr="00095B95">
              <w:rPr>
                <w:sz w:val="20"/>
                <w:szCs w:val="20"/>
              </w:rPr>
              <w:t>272</w:t>
            </w:r>
          </w:p>
        </w:tc>
        <w:tc>
          <w:tcPr>
            <w:tcW w:w="993" w:type="dxa"/>
            <w:tcBorders>
              <w:left w:val="nil"/>
            </w:tcBorders>
          </w:tcPr>
          <w:p w14:paraId="1BCAB70B" w14:textId="0835A866" w:rsidR="004440BE" w:rsidRPr="00095B95" w:rsidRDefault="004440BE" w:rsidP="00D127E9">
            <w:pPr>
              <w:jc w:val="center"/>
              <w:rPr>
                <w:sz w:val="20"/>
                <w:szCs w:val="20"/>
              </w:rPr>
            </w:pPr>
            <w:r w:rsidRPr="00095B95">
              <w:rPr>
                <w:sz w:val="20"/>
                <w:szCs w:val="20"/>
              </w:rPr>
              <w:t>128</w:t>
            </w:r>
          </w:p>
        </w:tc>
        <w:tc>
          <w:tcPr>
            <w:tcW w:w="1404" w:type="dxa"/>
          </w:tcPr>
          <w:p w14:paraId="3430B2A1" w14:textId="0672BD3B" w:rsidR="003612D0" w:rsidRPr="00095B95" w:rsidRDefault="004736AC" w:rsidP="00D127E9">
            <w:pPr>
              <w:jc w:val="center"/>
              <w:rPr>
                <w:sz w:val="20"/>
                <w:szCs w:val="20"/>
              </w:rPr>
            </w:pPr>
            <w:r w:rsidRPr="00095B95">
              <w:rPr>
                <w:sz w:val="20"/>
                <w:szCs w:val="20"/>
              </w:rPr>
              <w:t>16</w:t>
            </w:r>
            <w:r w:rsidR="003612D0" w:rsidRPr="00095B95">
              <w:rPr>
                <w:sz w:val="20"/>
                <w:szCs w:val="20"/>
              </w:rPr>
              <w:t>.3</w:t>
            </w:r>
            <w:r w:rsidRPr="00095B95">
              <w:rPr>
                <w:sz w:val="20"/>
                <w:szCs w:val="20"/>
              </w:rPr>
              <w:t>9</w:t>
            </w:r>
          </w:p>
          <w:p w14:paraId="21C15A70" w14:textId="295B71FD" w:rsidR="004440BE" w:rsidRPr="00095B95" w:rsidRDefault="00101A86" w:rsidP="00D127E9">
            <w:pPr>
              <w:jc w:val="center"/>
              <w:rPr>
                <w:sz w:val="20"/>
                <w:szCs w:val="20"/>
              </w:rPr>
            </w:pPr>
            <w:r w:rsidRPr="00095B95">
              <w:rPr>
                <w:sz w:val="20"/>
                <w:szCs w:val="20"/>
              </w:rPr>
              <w:t>(0.001)</w:t>
            </w:r>
          </w:p>
        </w:tc>
        <w:tc>
          <w:tcPr>
            <w:tcW w:w="1547" w:type="dxa"/>
          </w:tcPr>
          <w:p w14:paraId="198D61D4" w14:textId="191CCFA9" w:rsidR="004440BE" w:rsidRPr="00095B95" w:rsidRDefault="007F5AD4" w:rsidP="00D127E9">
            <w:pPr>
              <w:jc w:val="center"/>
              <w:rPr>
                <w:sz w:val="20"/>
                <w:szCs w:val="20"/>
              </w:rPr>
            </w:pPr>
            <w:r w:rsidRPr="00095B95">
              <w:rPr>
                <w:sz w:val="20"/>
                <w:szCs w:val="20"/>
              </w:rPr>
              <w:t>2.</w:t>
            </w:r>
            <w:r w:rsidR="004736AC" w:rsidRPr="00095B95">
              <w:rPr>
                <w:sz w:val="20"/>
                <w:szCs w:val="20"/>
              </w:rPr>
              <w:t>1</w:t>
            </w:r>
            <w:r w:rsidRPr="00095B95">
              <w:rPr>
                <w:sz w:val="20"/>
                <w:szCs w:val="20"/>
              </w:rPr>
              <w:t>6</w:t>
            </w:r>
          </w:p>
          <w:p w14:paraId="7F2E724F" w14:textId="7DDDEA1E" w:rsidR="007F5AD4" w:rsidRPr="00095B95" w:rsidRDefault="007F5AD4" w:rsidP="00D127E9">
            <w:pPr>
              <w:jc w:val="center"/>
              <w:rPr>
                <w:sz w:val="20"/>
                <w:szCs w:val="20"/>
              </w:rPr>
            </w:pPr>
            <w:r w:rsidRPr="00095B95">
              <w:rPr>
                <w:sz w:val="20"/>
                <w:szCs w:val="20"/>
              </w:rPr>
              <w:t>(0.1</w:t>
            </w:r>
            <w:r w:rsidR="004736AC" w:rsidRPr="00095B95">
              <w:rPr>
                <w:sz w:val="20"/>
                <w:szCs w:val="20"/>
              </w:rPr>
              <w:t>6</w:t>
            </w:r>
            <w:r w:rsidRPr="00095B95">
              <w:rPr>
                <w:sz w:val="20"/>
                <w:szCs w:val="20"/>
              </w:rPr>
              <w:t>)</w:t>
            </w:r>
          </w:p>
        </w:tc>
        <w:tc>
          <w:tcPr>
            <w:tcW w:w="1547" w:type="dxa"/>
          </w:tcPr>
          <w:p w14:paraId="6A75E181" w14:textId="5E04E346" w:rsidR="004440BE" w:rsidRPr="00095B95" w:rsidRDefault="004736AC" w:rsidP="00D127E9">
            <w:pPr>
              <w:jc w:val="center"/>
              <w:rPr>
                <w:sz w:val="20"/>
                <w:szCs w:val="20"/>
              </w:rPr>
            </w:pPr>
            <w:r w:rsidRPr="00095B95">
              <w:rPr>
                <w:sz w:val="20"/>
                <w:szCs w:val="20"/>
              </w:rPr>
              <w:t>0.</w:t>
            </w:r>
            <w:r w:rsidR="007F5AD4" w:rsidRPr="00095B95">
              <w:rPr>
                <w:sz w:val="20"/>
                <w:szCs w:val="20"/>
              </w:rPr>
              <w:t>9</w:t>
            </w:r>
            <w:r w:rsidRPr="00095B95">
              <w:rPr>
                <w:sz w:val="20"/>
                <w:szCs w:val="20"/>
              </w:rPr>
              <w:t>8 (0.34</w:t>
            </w:r>
            <w:r w:rsidR="007F5AD4" w:rsidRPr="00095B95">
              <w:rPr>
                <w:sz w:val="20"/>
                <w:szCs w:val="20"/>
              </w:rPr>
              <w:t>)</w:t>
            </w:r>
          </w:p>
        </w:tc>
      </w:tr>
      <w:tr w:rsidR="00F665F4" w:rsidRPr="00095B95" w14:paraId="5913E35E" w14:textId="4758F418" w:rsidTr="00F665F4">
        <w:tc>
          <w:tcPr>
            <w:tcW w:w="1980" w:type="dxa"/>
          </w:tcPr>
          <w:p w14:paraId="235C28C3" w14:textId="6B065FB8" w:rsidR="004440BE" w:rsidRPr="00095B95" w:rsidRDefault="004440BE" w:rsidP="00D127E9">
            <w:pPr>
              <w:rPr>
                <w:sz w:val="20"/>
                <w:szCs w:val="20"/>
              </w:rPr>
            </w:pPr>
            <w:r w:rsidRPr="00095B95">
              <w:rPr>
                <w:sz w:val="20"/>
                <w:szCs w:val="20"/>
              </w:rPr>
              <w:t>Puff Duration</w:t>
            </w:r>
          </w:p>
        </w:tc>
        <w:tc>
          <w:tcPr>
            <w:tcW w:w="850" w:type="dxa"/>
            <w:tcBorders>
              <w:right w:val="nil"/>
            </w:tcBorders>
          </w:tcPr>
          <w:p w14:paraId="21948CD2" w14:textId="0D8A07AE" w:rsidR="004440BE" w:rsidRPr="00095B95" w:rsidRDefault="004440BE" w:rsidP="00D127E9">
            <w:pPr>
              <w:jc w:val="center"/>
              <w:rPr>
                <w:sz w:val="20"/>
                <w:szCs w:val="20"/>
              </w:rPr>
            </w:pPr>
            <w:r w:rsidRPr="00095B95">
              <w:rPr>
                <w:sz w:val="20"/>
                <w:szCs w:val="20"/>
              </w:rPr>
              <w:t>4.46</w:t>
            </w:r>
          </w:p>
        </w:tc>
        <w:tc>
          <w:tcPr>
            <w:tcW w:w="851" w:type="dxa"/>
            <w:tcBorders>
              <w:left w:val="nil"/>
              <w:right w:val="single" w:sz="4" w:space="0" w:color="auto"/>
            </w:tcBorders>
          </w:tcPr>
          <w:p w14:paraId="5AEB0ECF" w14:textId="035561A7" w:rsidR="004440BE" w:rsidRPr="00095B95" w:rsidRDefault="004440BE" w:rsidP="00D127E9">
            <w:pPr>
              <w:jc w:val="center"/>
              <w:rPr>
                <w:sz w:val="20"/>
                <w:szCs w:val="20"/>
              </w:rPr>
            </w:pPr>
            <w:r w:rsidRPr="00095B95">
              <w:rPr>
                <w:sz w:val="20"/>
                <w:szCs w:val="20"/>
              </w:rPr>
              <w:t>1.22</w:t>
            </w:r>
          </w:p>
        </w:tc>
        <w:tc>
          <w:tcPr>
            <w:tcW w:w="850" w:type="dxa"/>
            <w:tcBorders>
              <w:left w:val="single" w:sz="4" w:space="0" w:color="auto"/>
              <w:right w:val="nil"/>
            </w:tcBorders>
          </w:tcPr>
          <w:p w14:paraId="0766F57E" w14:textId="7D8FE30F" w:rsidR="004440BE" w:rsidRPr="00095B95" w:rsidRDefault="004440BE" w:rsidP="00D127E9">
            <w:pPr>
              <w:jc w:val="center"/>
              <w:rPr>
                <w:sz w:val="20"/>
                <w:szCs w:val="20"/>
              </w:rPr>
            </w:pPr>
            <w:r w:rsidRPr="00095B95">
              <w:rPr>
                <w:sz w:val="20"/>
                <w:szCs w:val="20"/>
              </w:rPr>
              <w:t>3.61</w:t>
            </w:r>
          </w:p>
        </w:tc>
        <w:tc>
          <w:tcPr>
            <w:tcW w:w="851" w:type="dxa"/>
            <w:tcBorders>
              <w:left w:val="nil"/>
              <w:right w:val="single" w:sz="4" w:space="0" w:color="auto"/>
            </w:tcBorders>
          </w:tcPr>
          <w:p w14:paraId="13E49667" w14:textId="1406BAC7" w:rsidR="004440BE" w:rsidRPr="00095B95" w:rsidRDefault="004440BE" w:rsidP="00D127E9">
            <w:pPr>
              <w:jc w:val="center"/>
              <w:rPr>
                <w:sz w:val="20"/>
                <w:szCs w:val="20"/>
              </w:rPr>
            </w:pPr>
            <w:r w:rsidRPr="00095B95">
              <w:rPr>
                <w:sz w:val="20"/>
                <w:szCs w:val="20"/>
              </w:rPr>
              <w:t>0.97</w:t>
            </w:r>
          </w:p>
        </w:tc>
        <w:tc>
          <w:tcPr>
            <w:tcW w:w="850" w:type="dxa"/>
            <w:tcBorders>
              <w:left w:val="single" w:sz="4" w:space="0" w:color="auto"/>
              <w:right w:val="nil"/>
            </w:tcBorders>
          </w:tcPr>
          <w:p w14:paraId="2C5ECB42" w14:textId="6138264E" w:rsidR="004440BE" w:rsidRPr="00095B95" w:rsidRDefault="004440BE" w:rsidP="00D127E9">
            <w:pPr>
              <w:jc w:val="center"/>
              <w:rPr>
                <w:sz w:val="20"/>
                <w:szCs w:val="20"/>
              </w:rPr>
            </w:pPr>
            <w:r w:rsidRPr="00095B95">
              <w:rPr>
                <w:sz w:val="20"/>
                <w:szCs w:val="20"/>
              </w:rPr>
              <w:t>3.81</w:t>
            </w:r>
          </w:p>
        </w:tc>
        <w:tc>
          <w:tcPr>
            <w:tcW w:w="851" w:type="dxa"/>
            <w:tcBorders>
              <w:left w:val="nil"/>
              <w:right w:val="single" w:sz="4" w:space="0" w:color="auto"/>
            </w:tcBorders>
          </w:tcPr>
          <w:p w14:paraId="4BA867D6" w14:textId="42225926" w:rsidR="004440BE" w:rsidRPr="00095B95" w:rsidRDefault="004440BE" w:rsidP="00D127E9">
            <w:pPr>
              <w:jc w:val="center"/>
              <w:rPr>
                <w:sz w:val="20"/>
                <w:szCs w:val="20"/>
              </w:rPr>
            </w:pPr>
            <w:r w:rsidRPr="00095B95">
              <w:rPr>
                <w:sz w:val="20"/>
                <w:szCs w:val="20"/>
              </w:rPr>
              <w:t>1.11</w:t>
            </w:r>
          </w:p>
        </w:tc>
        <w:tc>
          <w:tcPr>
            <w:tcW w:w="850" w:type="dxa"/>
            <w:tcBorders>
              <w:left w:val="single" w:sz="4" w:space="0" w:color="auto"/>
              <w:right w:val="nil"/>
            </w:tcBorders>
          </w:tcPr>
          <w:p w14:paraId="02C63AE9" w14:textId="3AC2E657" w:rsidR="004440BE" w:rsidRPr="00095B95" w:rsidRDefault="004440BE" w:rsidP="00D127E9">
            <w:pPr>
              <w:jc w:val="center"/>
              <w:rPr>
                <w:sz w:val="20"/>
                <w:szCs w:val="20"/>
              </w:rPr>
            </w:pPr>
            <w:r w:rsidRPr="00095B95">
              <w:rPr>
                <w:sz w:val="20"/>
                <w:szCs w:val="20"/>
              </w:rPr>
              <w:t>3.91</w:t>
            </w:r>
          </w:p>
        </w:tc>
        <w:tc>
          <w:tcPr>
            <w:tcW w:w="993" w:type="dxa"/>
            <w:tcBorders>
              <w:left w:val="nil"/>
            </w:tcBorders>
          </w:tcPr>
          <w:p w14:paraId="09CEBD03" w14:textId="620B61C8" w:rsidR="004440BE" w:rsidRPr="00095B95" w:rsidRDefault="004440BE" w:rsidP="00D127E9">
            <w:pPr>
              <w:jc w:val="center"/>
              <w:rPr>
                <w:sz w:val="20"/>
                <w:szCs w:val="20"/>
              </w:rPr>
            </w:pPr>
            <w:r w:rsidRPr="00095B95">
              <w:rPr>
                <w:sz w:val="20"/>
                <w:szCs w:val="20"/>
              </w:rPr>
              <w:t>1.44</w:t>
            </w:r>
          </w:p>
        </w:tc>
        <w:tc>
          <w:tcPr>
            <w:tcW w:w="1404" w:type="dxa"/>
          </w:tcPr>
          <w:p w14:paraId="53255FD9" w14:textId="5D824A5E" w:rsidR="004440BE" w:rsidRPr="00095B95" w:rsidRDefault="00022933" w:rsidP="00D127E9">
            <w:pPr>
              <w:jc w:val="center"/>
              <w:rPr>
                <w:sz w:val="20"/>
                <w:szCs w:val="20"/>
              </w:rPr>
            </w:pPr>
            <w:r w:rsidRPr="00095B95">
              <w:rPr>
                <w:sz w:val="20"/>
                <w:szCs w:val="20"/>
              </w:rPr>
              <w:t>18.30</w:t>
            </w:r>
          </w:p>
          <w:p w14:paraId="3D4FFD76" w14:textId="04085803" w:rsidR="00101A86" w:rsidRPr="00095B95" w:rsidRDefault="00101A86" w:rsidP="00D127E9">
            <w:pPr>
              <w:jc w:val="center"/>
              <w:rPr>
                <w:sz w:val="20"/>
                <w:szCs w:val="20"/>
              </w:rPr>
            </w:pPr>
            <w:r w:rsidRPr="00095B95">
              <w:rPr>
                <w:sz w:val="20"/>
                <w:szCs w:val="20"/>
              </w:rPr>
              <w:t>(0.001)</w:t>
            </w:r>
          </w:p>
        </w:tc>
        <w:tc>
          <w:tcPr>
            <w:tcW w:w="1547" w:type="dxa"/>
          </w:tcPr>
          <w:p w14:paraId="576EFAC7" w14:textId="6481F6D1" w:rsidR="004440BE" w:rsidRPr="00095B95" w:rsidRDefault="00022933" w:rsidP="00D127E9">
            <w:pPr>
              <w:jc w:val="center"/>
              <w:rPr>
                <w:sz w:val="20"/>
                <w:szCs w:val="20"/>
              </w:rPr>
            </w:pPr>
            <w:r w:rsidRPr="00095B95">
              <w:rPr>
                <w:sz w:val="20"/>
                <w:szCs w:val="20"/>
              </w:rPr>
              <w:t>1.69</w:t>
            </w:r>
          </w:p>
          <w:p w14:paraId="536494A7" w14:textId="66AB03FA" w:rsidR="007F5AD4" w:rsidRPr="00095B95" w:rsidRDefault="00022933" w:rsidP="00D127E9">
            <w:pPr>
              <w:jc w:val="center"/>
              <w:rPr>
                <w:sz w:val="20"/>
                <w:szCs w:val="20"/>
              </w:rPr>
            </w:pPr>
            <w:r w:rsidRPr="00095B95">
              <w:rPr>
                <w:sz w:val="20"/>
                <w:szCs w:val="20"/>
              </w:rPr>
              <w:t>(0.21</w:t>
            </w:r>
            <w:r w:rsidR="007F5AD4" w:rsidRPr="00095B95">
              <w:rPr>
                <w:sz w:val="20"/>
                <w:szCs w:val="20"/>
              </w:rPr>
              <w:t>)</w:t>
            </w:r>
          </w:p>
        </w:tc>
        <w:tc>
          <w:tcPr>
            <w:tcW w:w="1547" w:type="dxa"/>
          </w:tcPr>
          <w:p w14:paraId="24D7CCE6" w14:textId="365C9405" w:rsidR="004440BE" w:rsidRPr="00095B95" w:rsidRDefault="00022933" w:rsidP="00D127E9">
            <w:pPr>
              <w:jc w:val="center"/>
              <w:rPr>
                <w:sz w:val="20"/>
                <w:szCs w:val="20"/>
              </w:rPr>
            </w:pPr>
            <w:r w:rsidRPr="00095B95">
              <w:rPr>
                <w:sz w:val="20"/>
                <w:szCs w:val="20"/>
              </w:rPr>
              <w:t>12.12</w:t>
            </w:r>
          </w:p>
          <w:p w14:paraId="3A991B94" w14:textId="0F3E340E" w:rsidR="00101A86" w:rsidRPr="00095B95" w:rsidRDefault="00101A86" w:rsidP="00D127E9">
            <w:pPr>
              <w:jc w:val="center"/>
              <w:rPr>
                <w:sz w:val="20"/>
                <w:szCs w:val="20"/>
              </w:rPr>
            </w:pPr>
            <w:r w:rsidRPr="00095B95">
              <w:rPr>
                <w:sz w:val="20"/>
                <w:szCs w:val="20"/>
              </w:rPr>
              <w:t>(0.003)</w:t>
            </w:r>
          </w:p>
        </w:tc>
      </w:tr>
      <w:tr w:rsidR="00F665F4" w:rsidRPr="00095B95" w14:paraId="2FEB0A23" w14:textId="1EC3D4F5" w:rsidTr="00F665F4">
        <w:tc>
          <w:tcPr>
            <w:tcW w:w="1980" w:type="dxa"/>
          </w:tcPr>
          <w:p w14:paraId="28C6E613" w14:textId="46862C99" w:rsidR="004440BE" w:rsidRPr="00095B95" w:rsidRDefault="004440BE" w:rsidP="00D127E9">
            <w:pPr>
              <w:rPr>
                <w:sz w:val="20"/>
                <w:szCs w:val="20"/>
              </w:rPr>
            </w:pPr>
            <w:r w:rsidRPr="00095B95">
              <w:rPr>
                <w:sz w:val="20"/>
                <w:szCs w:val="20"/>
              </w:rPr>
              <w:t xml:space="preserve">Inter-puff Interval </w:t>
            </w:r>
          </w:p>
        </w:tc>
        <w:tc>
          <w:tcPr>
            <w:tcW w:w="850" w:type="dxa"/>
            <w:tcBorders>
              <w:right w:val="nil"/>
            </w:tcBorders>
          </w:tcPr>
          <w:p w14:paraId="71753CFE" w14:textId="6CC87732" w:rsidR="004440BE" w:rsidRPr="00095B95" w:rsidRDefault="004440BE" w:rsidP="00D127E9">
            <w:pPr>
              <w:jc w:val="center"/>
              <w:rPr>
                <w:sz w:val="20"/>
                <w:szCs w:val="20"/>
              </w:rPr>
            </w:pPr>
            <w:r w:rsidRPr="00095B95">
              <w:rPr>
                <w:sz w:val="20"/>
                <w:szCs w:val="20"/>
              </w:rPr>
              <w:t>34.22</w:t>
            </w:r>
          </w:p>
        </w:tc>
        <w:tc>
          <w:tcPr>
            <w:tcW w:w="851" w:type="dxa"/>
            <w:tcBorders>
              <w:left w:val="nil"/>
              <w:right w:val="single" w:sz="4" w:space="0" w:color="auto"/>
            </w:tcBorders>
          </w:tcPr>
          <w:p w14:paraId="39B1D12A" w14:textId="2469B590" w:rsidR="004440BE" w:rsidRPr="00095B95" w:rsidRDefault="004440BE" w:rsidP="00D127E9">
            <w:pPr>
              <w:jc w:val="center"/>
              <w:rPr>
                <w:sz w:val="20"/>
                <w:szCs w:val="20"/>
              </w:rPr>
            </w:pPr>
            <w:r w:rsidRPr="00095B95">
              <w:rPr>
                <w:sz w:val="20"/>
                <w:szCs w:val="20"/>
              </w:rPr>
              <w:t>20.08</w:t>
            </w:r>
          </w:p>
        </w:tc>
        <w:tc>
          <w:tcPr>
            <w:tcW w:w="850" w:type="dxa"/>
            <w:tcBorders>
              <w:left w:val="single" w:sz="4" w:space="0" w:color="auto"/>
              <w:right w:val="nil"/>
            </w:tcBorders>
          </w:tcPr>
          <w:p w14:paraId="69708B83" w14:textId="6191AA9B" w:rsidR="004440BE" w:rsidRPr="00095B95" w:rsidRDefault="004440BE" w:rsidP="00D127E9">
            <w:pPr>
              <w:jc w:val="center"/>
              <w:rPr>
                <w:sz w:val="20"/>
                <w:szCs w:val="20"/>
              </w:rPr>
            </w:pPr>
            <w:r w:rsidRPr="00095B95">
              <w:rPr>
                <w:sz w:val="20"/>
                <w:szCs w:val="20"/>
              </w:rPr>
              <w:t>41.22</w:t>
            </w:r>
          </w:p>
        </w:tc>
        <w:tc>
          <w:tcPr>
            <w:tcW w:w="851" w:type="dxa"/>
            <w:tcBorders>
              <w:left w:val="nil"/>
              <w:right w:val="single" w:sz="4" w:space="0" w:color="auto"/>
            </w:tcBorders>
          </w:tcPr>
          <w:p w14:paraId="1DA51B53" w14:textId="2C4AD673" w:rsidR="004440BE" w:rsidRPr="00095B95" w:rsidRDefault="004440BE" w:rsidP="00D127E9">
            <w:pPr>
              <w:jc w:val="center"/>
              <w:rPr>
                <w:sz w:val="20"/>
                <w:szCs w:val="20"/>
              </w:rPr>
            </w:pPr>
            <w:r w:rsidRPr="00095B95">
              <w:rPr>
                <w:sz w:val="20"/>
                <w:szCs w:val="20"/>
              </w:rPr>
              <w:t>26.23</w:t>
            </w:r>
          </w:p>
        </w:tc>
        <w:tc>
          <w:tcPr>
            <w:tcW w:w="850" w:type="dxa"/>
            <w:tcBorders>
              <w:left w:val="single" w:sz="4" w:space="0" w:color="auto"/>
              <w:right w:val="nil"/>
            </w:tcBorders>
          </w:tcPr>
          <w:p w14:paraId="069398C4" w14:textId="01745B28" w:rsidR="004440BE" w:rsidRPr="00095B95" w:rsidRDefault="004440BE" w:rsidP="00D127E9">
            <w:pPr>
              <w:jc w:val="center"/>
              <w:rPr>
                <w:sz w:val="20"/>
                <w:szCs w:val="20"/>
              </w:rPr>
            </w:pPr>
            <w:r w:rsidRPr="00095B95">
              <w:rPr>
                <w:sz w:val="20"/>
                <w:szCs w:val="20"/>
              </w:rPr>
              <w:t>39.32</w:t>
            </w:r>
          </w:p>
        </w:tc>
        <w:tc>
          <w:tcPr>
            <w:tcW w:w="851" w:type="dxa"/>
            <w:tcBorders>
              <w:left w:val="nil"/>
              <w:right w:val="single" w:sz="4" w:space="0" w:color="auto"/>
            </w:tcBorders>
          </w:tcPr>
          <w:p w14:paraId="6758577E" w14:textId="67D9CB32" w:rsidR="004440BE" w:rsidRPr="00095B95" w:rsidRDefault="004440BE" w:rsidP="00D127E9">
            <w:pPr>
              <w:jc w:val="center"/>
              <w:rPr>
                <w:sz w:val="20"/>
                <w:szCs w:val="20"/>
              </w:rPr>
            </w:pPr>
            <w:r w:rsidRPr="00095B95">
              <w:rPr>
                <w:sz w:val="20"/>
                <w:szCs w:val="20"/>
              </w:rPr>
              <w:t>26.80</w:t>
            </w:r>
          </w:p>
        </w:tc>
        <w:tc>
          <w:tcPr>
            <w:tcW w:w="850" w:type="dxa"/>
            <w:tcBorders>
              <w:left w:val="single" w:sz="4" w:space="0" w:color="auto"/>
              <w:right w:val="nil"/>
            </w:tcBorders>
          </w:tcPr>
          <w:p w14:paraId="6F494EEA" w14:textId="6B1FF86D" w:rsidR="004440BE" w:rsidRPr="00095B95" w:rsidRDefault="004440BE" w:rsidP="00D127E9">
            <w:pPr>
              <w:jc w:val="center"/>
              <w:rPr>
                <w:sz w:val="20"/>
                <w:szCs w:val="20"/>
              </w:rPr>
            </w:pPr>
            <w:r w:rsidRPr="00095B95">
              <w:rPr>
                <w:sz w:val="20"/>
                <w:szCs w:val="20"/>
              </w:rPr>
              <w:t>37.32</w:t>
            </w:r>
          </w:p>
        </w:tc>
        <w:tc>
          <w:tcPr>
            <w:tcW w:w="993" w:type="dxa"/>
            <w:tcBorders>
              <w:left w:val="nil"/>
            </w:tcBorders>
          </w:tcPr>
          <w:p w14:paraId="6A656183" w14:textId="448A62C9" w:rsidR="004440BE" w:rsidRPr="00095B95" w:rsidRDefault="004440BE" w:rsidP="00D127E9">
            <w:pPr>
              <w:jc w:val="center"/>
              <w:rPr>
                <w:sz w:val="20"/>
                <w:szCs w:val="20"/>
              </w:rPr>
            </w:pPr>
            <w:r w:rsidRPr="00095B95">
              <w:rPr>
                <w:sz w:val="20"/>
                <w:szCs w:val="20"/>
              </w:rPr>
              <w:t>27.18</w:t>
            </w:r>
          </w:p>
        </w:tc>
        <w:tc>
          <w:tcPr>
            <w:tcW w:w="1404" w:type="dxa"/>
          </w:tcPr>
          <w:p w14:paraId="7E289A84" w14:textId="0404C155" w:rsidR="004440BE" w:rsidRPr="00095B95" w:rsidRDefault="00890665" w:rsidP="00D127E9">
            <w:pPr>
              <w:jc w:val="center"/>
              <w:rPr>
                <w:sz w:val="20"/>
                <w:szCs w:val="20"/>
              </w:rPr>
            </w:pPr>
            <w:r w:rsidRPr="00095B95">
              <w:rPr>
                <w:sz w:val="20"/>
                <w:szCs w:val="20"/>
              </w:rPr>
              <w:t>0.33</w:t>
            </w:r>
          </w:p>
          <w:p w14:paraId="72EBF414" w14:textId="52662FB4" w:rsidR="007F5AD4" w:rsidRPr="00095B95" w:rsidRDefault="00890665" w:rsidP="00D127E9">
            <w:pPr>
              <w:jc w:val="center"/>
              <w:rPr>
                <w:sz w:val="20"/>
                <w:szCs w:val="20"/>
              </w:rPr>
            </w:pPr>
            <w:r w:rsidRPr="00095B95">
              <w:rPr>
                <w:sz w:val="20"/>
                <w:szCs w:val="20"/>
              </w:rPr>
              <w:t>(0.58</w:t>
            </w:r>
            <w:r w:rsidR="007F5AD4" w:rsidRPr="00095B95">
              <w:rPr>
                <w:sz w:val="20"/>
                <w:szCs w:val="20"/>
              </w:rPr>
              <w:t>)</w:t>
            </w:r>
          </w:p>
        </w:tc>
        <w:tc>
          <w:tcPr>
            <w:tcW w:w="1547" w:type="dxa"/>
          </w:tcPr>
          <w:p w14:paraId="306CAEDB" w14:textId="00C59969" w:rsidR="004440BE" w:rsidRPr="00095B95" w:rsidRDefault="00890665" w:rsidP="00D127E9">
            <w:pPr>
              <w:jc w:val="center"/>
              <w:rPr>
                <w:sz w:val="20"/>
                <w:szCs w:val="20"/>
              </w:rPr>
            </w:pPr>
            <w:r w:rsidRPr="00095B95">
              <w:rPr>
                <w:sz w:val="20"/>
                <w:szCs w:val="20"/>
              </w:rPr>
              <w:t>0.04</w:t>
            </w:r>
          </w:p>
          <w:p w14:paraId="3DC0C803" w14:textId="2FF607B7" w:rsidR="007F5AD4" w:rsidRPr="00095B95" w:rsidRDefault="00890665" w:rsidP="00D127E9">
            <w:pPr>
              <w:jc w:val="center"/>
              <w:rPr>
                <w:sz w:val="20"/>
                <w:szCs w:val="20"/>
              </w:rPr>
            </w:pPr>
            <w:r w:rsidRPr="00095B95">
              <w:rPr>
                <w:sz w:val="20"/>
                <w:szCs w:val="20"/>
              </w:rPr>
              <w:t>(0.86</w:t>
            </w:r>
            <w:r w:rsidR="007F5AD4" w:rsidRPr="00095B95">
              <w:rPr>
                <w:sz w:val="20"/>
                <w:szCs w:val="20"/>
              </w:rPr>
              <w:t>)</w:t>
            </w:r>
          </w:p>
        </w:tc>
        <w:tc>
          <w:tcPr>
            <w:tcW w:w="1547" w:type="dxa"/>
          </w:tcPr>
          <w:p w14:paraId="30CEFE03" w14:textId="27BCBD12" w:rsidR="004440BE" w:rsidRPr="00095B95" w:rsidRDefault="00890665" w:rsidP="00D127E9">
            <w:pPr>
              <w:jc w:val="center"/>
              <w:rPr>
                <w:sz w:val="20"/>
                <w:szCs w:val="20"/>
              </w:rPr>
            </w:pPr>
            <w:r w:rsidRPr="00095B95">
              <w:rPr>
                <w:sz w:val="20"/>
                <w:szCs w:val="20"/>
              </w:rPr>
              <w:t>5.76</w:t>
            </w:r>
          </w:p>
          <w:p w14:paraId="59CD8CD3" w14:textId="75C350A9" w:rsidR="00101A86" w:rsidRPr="00095B95" w:rsidRDefault="007F5AD4" w:rsidP="00D127E9">
            <w:pPr>
              <w:jc w:val="center"/>
              <w:rPr>
                <w:sz w:val="20"/>
                <w:szCs w:val="20"/>
              </w:rPr>
            </w:pPr>
            <w:r w:rsidRPr="00095B95">
              <w:rPr>
                <w:sz w:val="20"/>
                <w:szCs w:val="20"/>
              </w:rPr>
              <w:t>(0.0</w:t>
            </w:r>
            <w:r w:rsidR="00890665" w:rsidRPr="00095B95">
              <w:rPr>
                <w:sz w:val="20"/>
                <w:szCs w:val="20"/>
              </w:rPr>
              <w:t>3</w:t>
            </w:r>
            <w:r w:rsidR="00101A86" w:rsidRPr="00095B95">
              <w:rPr>
                <w:sz w:val="20"/>
                <w:szCs w:val="20"/>
              </w:rPr>
              <w:t>)</w:t>
            </w:r>
          </w:p>
        </w:tc>
      </w:tr>
      <w:tr w:rsidR="00D127E9" w:rsidRPr="00095B95" w14:paraId="5F73FA23" w14:textId="77777777" w:rsidTr="008A1F94">
        <w:tc>
          <w:tcPr>
            <w:tcW w:w="13424" w:type="dxa"/>
            <w:gridSpan w:val="12"/>
          </w:tcPr>
          <w:p w14:paraId="4FD953E3" w14:textId="35293528" w:rsidR="00D127E9" w:rsidRPr="00095B95" w:rsidRDefault="00D127E9" w:rsidP="00D127E9">
            <w:pPr>
              <w:rPr>
                <w:b/>
                <w:sz w:val="20"/>
                <w:szCs w:val="20"/>
              </w:rPr>
            </w:pPr>
            <w:r w:rsidRPr="00095B95">
              <w:rPr>
                <w:b/>
                <w:sz w:val="20"/>
                <w:szCs w:val="20"/>
              </w:rPr>
              <w:t>Product Use</w:t>
            </w:r>
          </w:p>
        </w:tc>
      </w:tr>
      <w:tr w:rsidR="00F665F4" w:rsidRPr="00095B95" w14:paraId="3CF2CAF8" w14:textId="3DA061FB" w:rsidTr="00F665F4">
        <w:tc>
          <w:tcPr>
            <w:tcW w:w="1980" w:type="dxa"/>
          </w:tcPr>
          <w:p w14:paraId="2EEB92F4" w14:textId="52B585E2" w:rsidR="004440BE" w:rsidRPr="00095B95" w:rsidRDefault="004440BE" w:rsidP="00D127E9">
            <w:pPr>
              <w:rPr>
                <w:sz w:val="20"/>
                <w:szCs w:val="20"/>
              </w:rPr>
            </w:pPr>
            <w:r w:rsidRPr="00095B95">
              <w:rPr>
                <w:sz w:val="20"/>
                <w:szCs w:val="20"/>
              </w:rPr>
              <w:t>Daily (mL) liquid consumed</w:t>
            </w:r>
          </w:p>
        </w:tc>
        <w:tc>
          <w:tcPr>
            <w:tcW w:w="850" w:type="dxa"/>
            <w:tcBorders>
              <w:right w:val="nil"/>
            </w:tcBorders>
          </w:tcPr>
          <w:p w14:paraId="1E715D2E" w14:textId="18DE05CC" w:rsidR="004440BE" w:rsidRPr="00095B95" w:rsidRDefault="004440BE" w:rsidP="00D127E9">
            <w:pPr>
              <w:jc w:val="center"/>
              <w:rPr>
                <w:sz w:val="20"/>
                <w:szCs w:val="20"/>
              </w:rPr>
            </w:pPr>
            <w:r w:rsidRPr="00095B95">
              <w:rPr>
                <w:sz w:val="20"/>
                <w:szCs w:val="20"/>
              </w:rPr>
              <w:t>6.19</w:t>
            </w:r>
          </w:p>
        </w:tc>
        <w:tc>
          <w:tcPr>
            <w:tcW w:w="851" w:type="dxa"/>
            <w:tcBorders>
              <w:left w:val="nil"/>
              <w:right w:val="single" w:sz="4" w:space="0" w:color="auto"/>
            </w:tcBorders>
          </w:tcPr>
          <w:p w14:paraId="7E106C93" w14:textId="18911CA8" w:rsidR="004440BE" w:rsidRPr="00095B95" w:rsidRDefault="004440BE" w:rsidP="00D127E9">
            <w:pPr>
              <w:jc w:val="center"/>
              <w:rPr>
                <w:sz w:val="20"/>
                <w:szCs w:val="20"/>
              </w:rPr>
            </w:pPr>
            <w:r w:rsidRPr="00095B95">
              <w:rPr>
                <w:sz w:val="20"/>
                <w:szCs w:val="20"/>
              </w:rPr>
              <w:t>3.74</w:t>
            </w:r>
          </w:p>
        </w:tc>
        <w:tc>
          <w:tcPr>
            <w:tcW w:w="850" w:type="dxa"/>
            <w:tcBorders>
              <w:left w:val="single" w:sz="4" w:space="0" w:color="auto"/>
              <w:right w:val="nil"/>
            </w:tcBorders>
          </w:tcPr>
          <w:p w14:paraId="68520019" w14:textId="12051FB1" w:rsidR="004440BE" w:rsidRPr="00095B95" w:rsidRDefault="004440BE" w:rsidP="00D127E9">
            <w:pPr>
              <w:jc w:val="center"/>
              <w:rPr>
                <w:sz w:val="20"/>
                <w:szCs w:val="20"/>
              </w:rPr>
            </w:pPr>
            <w:r w:rsidRPr="00095B95">
              <w:rPr>
                <w:sz w:val="20"/>
                <w:szCs w:val="20"/>
              </w:rPr>
              <w:t>4.63</w:t>
            </w:r>
          </w:p>
        </w:tc>
        <w:tc>
          <w:tcPr>
            <w:tcW w:w="851" w:type="dxa"/>
            <w:tcBorders>
              <w:left w:val="nil"/>
              <w:right w:val="single" w:sz="4" w:space="0" w:color="auto"/>
            </w:tcBorders>
          </w:tcPr>
          <w:p w14:paraId="2CDAAAC1" w14:textId="699D87CA" w:rsidR="004440BE" w:rsidRPr="00095B95" w:rsidRDefault="004440BE" w:rsidP="00D127E9">
            <w:pPr>
              <w:jc w:val="center"/>
              <w:rPr>
                <w:sz w:val="20"/>
                <w:szCs w:val="20"/>
              </w:rPr>
            </w:pPr>
            <w:r w:rsidRPr="00095B95">
              <w:rPr>
                <w:sz w:val="20"/>
                <w:szCs w:val="20"/>
              </w:rPr>
              <w:t>2.13</w:t>
            </w:r>
          </w:p>
        </w:tc>
        <w:tc>
          <w:tcPr>
            <w:tcW w:w="850" w:type="dxa"/>
            <w:tcBorders>
              <w:left w:val="single" w:sz="4" w:space="0" w:color="auto"/>
              <w:right w:val="nil"/>
            </w:tcBorders>
          </w:tcPr>
          <w:p w14:paraId="29612878" w14:textId="5B6F3CF4" w:rsidR="004440BE" w:rsidRPr="00095B95" w:rsidRDefault="004440BE" w:rsidP="00D127E9">
            <w:pPr>
              <w:jc w:val="center"/>
              <w:rPr>
                <w:sz w:val="20"/>
                <w:szCs w:val="20"/>
              </w:rPr>
            </w:pPr>
            <w:r w:rsidRPr="00095B95">
              <w:rPr>
                <w:sz w:val="20"/>
                <w:szCs w:val="20"/>
              </w:rPr>
              <w:t>5.79</w:t>
            </w:r>
          </w:p>
        </w:tc>
        <w:tc>
          <w:tcPr>
            <w:tcW w:w="851" w:type="dxa"/>
            <w:tcBorders>
              <w:left w:val="nil"/>
              <w:right w:val="single" w:sz="4" w:space="0" w:color="auto"/>
            </w:tcBorders>
          </w:tcPr>
          <w:p w14:paraId="0F5A5532" w14:textId="55823E0C" w:rsidR="004440BE" w:rsidRPr="00095B95" w:rsidRDefault="004440BE" w:rsidP="00D127E9">
            <w:pPr>
              <w:jc w:val="center"/>
              <w:rPr>
                <w:sz w:val="20"/>
                <w:szCs w:val="20"/>
              </w:rPr>
            </w:pPr>
            <w:r w:rsidRPr="00095B95">
              <w:rPr>
                <w:sz w:val="20"/>
                <w:szCs w:val="20"/>
              </w:rPr>
              <w:t>3.63</w:t>
            </w:r>
          </w:p>
        </w:tc>
        <w:tc>
          <w:tcPr>
            <w:tcW w:w="850" w:type="dxa"/>
            <w:tcBorders>
              <w:left w:val="single" w:sz="4" w:space="0" w:color="auto"/>
              <w:right w:val="nil"/>
            </w:tcBorders>
          </w:tcPr>
          <w:p w14:paraId="07A25078" w14:textId="0093314C" w:rsidR="004440BE" w:rsidRPr="00095B95" w:rsidRDefault="004440BE" w:rsidP="00D127E9">
            <w:pPr>
              <w:jc w:val="center"/>
              <w:rPr>
                <w:sz w:val="20"/>
                <w:szCs w:val="20"/>
              </w:rPr>
            </w:pPr>
            <w:r w:rsidRPr="00095B95">
              <w:rPr>
                <w:sz w:val="20"/>
                <w:szCs w:val="20"/>
              </w:rPr>
              <w:t>4.79</w:t>
            </w:r>
          </w:p>
        </w:tc>
        <w:tc>
          <w:tcPr>
            <w:tcW w:w="993" w:type="dxa"/>
            <w:tcBorders>
              <w:left w:val="nil"/>
            </w:tcBorders>
          </w:tcPr>
          <w:p w14:paraId="78F5B4BA" w14:textId="29D6E968" w:rsidR="004440BE" w:rsidRPr="00095B95" w:rsidRDefault="004440BE" w:rsidP="00D127E9">
            <w:pPr>
              <w:jc w:val="center"/>
              <w:rPr>
                <w:sz w:val="20"/>
                <w:szCs w:val="20"/>
              </w:rPr>
            </w:pPr>
            <w:r w:rsidRPr="00095B95">
              <w:rPr>
                <w:sz w:val="20"/>
                <w:szCs w:val="20"/>
              </w:rPr>
              <w:t>2.35</w:t>
            </w:r>
          </w:p>
        </w:tc>
        <w:tc>
          <w:tcPr>
            <w:tcW w:w="1404" w:type="dxa"/>
          </w:tcPr>
          <w:p w14:paraId="4BD4A28D" w14:textId="0F8ACFC5" w:rsidR="004440BE" w:rsidRPr="00095B95" w:rsidRDefault="00890665" w:rsidP="00D127E9">
            <w:pPr>
              <w:jc w:val="center"/>
              <w:rPr>
                <w:sz w:val="20"/>
                <w:szCs w:val="20"/>
              </w:rPr>
            </w:pPr>
            <w:r w:rsidRPr="00095B95">
              <w:rPr>
                <w:sz w:val="20"/>
                <w:szCs w:val="20"/>
              </w:rPr>
              <w:t>6.25</w:t>
            </w:r>
          </w:p>
          <w:p w14:paraId="46B3EC6E" w14:textId="0670E4B4" w:rsidR="00101A86" w:rsidRPr="00095B95" w:rsidRDefault="00890665" w:rsidP="00D127E9">
            <w:pPr>
              <w:jc w:val="center"/>
              <w:rPr>
                <w:sz w:val="20"/>
                <w:szCs w:val="20"/>
              </w:rPr>
            </w:pPr>
            <w:r w:rsidRPr="00095B95">
              <w:rPr>
                <w:sz w:val="20"/>
                <w:szCs w:val="20"/>
              </w:rPr>
              <w:t>(0.02</w:t>
            </w:r>
            <w:r w:rsidR="00101A86" w:rsidRPr="00095B95">
              <w:rPr>
                <w:sz w:val="20"/>
                <w:szCs w:val="20"/>
              </w:rPr>
              <w:t>)</w:t>
            </w:r>
          </w:p>
        </w:tc>
        <w:tc>
          <w:tcPr>
            <w:tcW w:w="1547" w:type="dxa"/>
          </w:tcPr>
          <w:p w14:paraId="1FD86B3B" w14:textId="05A7861B" w:rsidR="004440BE" w:rsidRPr="00095B95" w:rsidRDefault="00890665" w:rsidP="00D127E9">
            <w:pPr>
              <w:jc w:val="center"/>
              <w:rPr>
                <w:sz w:val="20"/>
                <w:szCs w:val="20"/>
              </w:rPr>
            </w:pPr>
            <w:r w:rsidRPr="00095B95">
              <w:rPr>
                <w:sz w:val="20"/>
                <w:szCs w:val="20"/>
              </w:rPr>
              <w:t>0.07</w:t>
            </w:r>
          </w:p>
          <w:p w14:paraId="6FB9C6FC" w14:textId="11796CDF" w:rsidR="007F5AD4" w:rsidRPr="00095B95" w:rsidRDefault="00890665" w:rsidP="00D127E9">
            <w:pPr>
              <w:jc w:val="center"/>
              <w:rPr>
                <w:sz w:val="20"/>
                <w:szCs w:val="20"/>
              </w:rPr>
            </w:pPr>
            <w:r w:rsidRPr="00095B95">
              <w:rPr>
                <w:sz w:val="20"/>
                <w:szCs w:val="20"/>
              </w:rPr>
              <w:t>(0.80</w:t>
            </w:r>
            <w:r w:rsidR="007F5AD4" w:rsidRPr="00095B95">
              <w:rPr>
                <w:sz w:val="20"/>
                <w:szCs w:val="20"/>
              </w:rPr>
              <w:t>)</w:t>
            </w:r>
          </w:p>
        </w:tc>
        <w:tc>
          <w:tcPr>
            <w:tcW w:w="1547" w:type="dxa"/>
          </w:tcPr>
          <w:p w14:paraId="52573FDF" w14:textId="32BCC462" w:rsidR="004440BE" w:rsidRPr="00095B95" w:rsidRDefault="00890665" w:rsidP="00D127E9">
            <w:pPr>
              <w:jc w:val="center"/>
              <w:rPr>
                <w:sz w:val="20"/>
                <w:szCs w:val="20"/>
              </w:rPr>
            </w:pPr>
            <w:r w:rsidRPr="00095B95">
              <w:rPr>
                <w:sz w:val="20"/>
                <w:szCs w:val="20"/>
              </w:rPr>
              <w:t>0.75</w:t>
            </w:r>
          </w:p>
          <w:p w14:paraId="4CDBA02B" w14:textId="5D74B09A" w:rsidR="007F5AD4" w:rsidRPr="00095B95" w:rsidRDefault="00890665" w:rsidP="00D127E9">
            <w:pPr>
              <w:jc w:val="center"/>
              <w:rPr>
                <w:sz w:val="20"/>
                <w:szCs w:val="20"/>
              </w:rPr>
            </w:pPr>
            <w:r w:rsidRPr="00095B95">
              <w:rPr>
                <w:sz w:val="20"/>
                <w:szCs w:val="20"/>
              </w:rPr>
              <w:t>(0.40</w:t>
            </w:r>
            <w:r w:rsidR="007F5AD4" w:rsidRPr="00095B95">
              <w:rPr>
                <w:sz w:val="20"/>
                <w:szCs w:val="20"/>
              </w:rPr>
              <w:t>)</w:t>
            </w:r>
          </w:p>
        </w:tc>
      </w:tr>
      <w:tr w:rsidR="00F665F4" w:rsidRPr="00095B95" w14:paraId="408D9B09" w14:textId="209C5E20" w:rsidTr="00F665F4">
        <w:tc>
          <w:tcPr>
            <w:tcW w:w="1980" w:type="dxa"/>
          </w:tcPr>
          <w:p w14:paraId="25C1A72B" w14:textId="7D8DBBD3" w:rsidR="004440BE" w:rsidRPr="00095B95" w:rsidRDefault="004440BE" w:rsidP="00D127E9">
            <w:pPr>
              <w:rPr>
                <w:sz w:val="20"/>
                <w:szCs w:val="20"/>
              </w:rPr>
            </w:pPr>
            <w:r w:rsidRPr="00095B95">
              <w:rPr>
                <w:sz w:val="20"/>
                <w:szCs w:val="20"/>
              </w:rPr>
              <w:t>Voltage</w:t>
            </w:r>
            <w:r w:rsidR="00C06368" w:rsidRPr="00095B95">
              <w:rPr>
                <w:sz w:val="20"/>
                <w:szCs w:val="20"/>
              </w:rPr>
              <w:t xml:space="preserve"> (wattage)</w:t>
            </w:r>
          </w:p>
        </w:tc>
        <w:tc>
          <w:tcPr>
            <w:tcW w:w="850" w:type="dxa"/>
            <w:tcBorders>
              <w:right w:val="nil"/>
            </w:tcBorders>
          </w:tcPr>
          <w:p w14:paraId="1136DC63" w14:textId="14309C90" w:rsidR="004440BE" w:rsidRPr="00095B95" w:rsidRDefault="004440BE" w:rsidP="00D127E9">
            <w:pPr>
              <w:jc w:val="center"/>
              <w:rPr>
                <w:sz w:val="20"/>
                <w:szCs w:val="20"/>
              </w:rPr>
            </w:pPr>
            <w:r w:rsidRPr="00095B95">
              <w:rPr>
                <w:sz w:val="20"/>
                <w:szCs w:val="20"/>
              </w:rPr>
              <w:t>4</w:t>
            </w:r>
            <w:r w:rsidR="00C06368" w:rsidRPr="00095B95">
              <w:rPr>
                <w:sz w:val="20"/>
                <w:szCs w:val="20"/>
              </w:rPr>
              <w:t xml:space="preserve"> (10)</w:t>
            </w:r>
          </w:p>
        </w:tc>
        <w:tc>
          <w:tcPr>
            <w:tcW w:w="851" w:type="dxa"/>
            <w:tcBorders>
              <w:left w:val="nil"/>
              <w:right w:val="single" w:sz="4" w:space="0" w:color="auto"/>
            </w:tcBorders>
          </w:tcPr>
          <w:p w14:paraId="00B18B8C" w14:textId="09CE7ACD" w:rsidR="004440BE" w:rsidRPr="00095B95" w:rsidRDefault="004440BE" w:rsidP="00D127E9">
            <w:pPr>
              <w:jc w:val="center"/>
              <w:rPr>
                <w:sz w:val="20"/>
                <w:szCs w:val="20"/>
              </w:rPr>
            </w:pPr>
            <w:r w:rsidRPr="00095B95">
              <w:rPr>
                <w:sz w:val="20"/>
                <w:szCs w:val="20"/>
              </w:rPr>
              <w:t>-</w:t>
            </w:r>
          </w:p>
        </w:tc>
        <w:tc>
          <w:tcPr>
            <w:tcW w:w="850" w:type="dxa"/>
            <w:tcBorders>
              <w:left w:val="single" w:sz="4" w:space="0" w:color="auto"/>
              <w:right w:val="nil"/>
            </w:tcBorders>
          </w:tcPr>
          <w:p w14:paraId="62784616" w14:textId="0F568AE2" w:rsidR="004440BE" w:rsidRPr="00095B95" w:rsidRDefault="004440BE" w:rsidP="00D127E9">
            <w:pPr>
              <w:jc w:val="center"/>
              <w:rPr>
                <w:sz w:val="20"/>
                <w:szCs w:val="20"/>
              </w:rPr>
            </w:pPr>
            <w:r w:rsidRPr="00095B95">
              <w:rPr>
                <w:sz w:val="20"/>
                <w:szCs w:val="20"/>
              </w:rPr>
              <w:t>4</w:t>
            </w:r>
            <w:r w:rsidR="00C06368" w:rsidRPr="00095B95">
              <w:rPr>
                <w:sz w:val="20"/>
                <w:szCs w:val="20"/>
              </w:rPr>
              <w:t xml:space="preserve"> (10)</w:t>
            </w:r>
          </w:p>
        </w:tc>
        <w:tc>
          <w:tcPr>
            <w:tcW w:w="851" w:type="dxa"/>
            <w:tcBorders>
              <w:left w:val="nil"/>
              <w:right w:val="single" w:sz="4" w:space="0" w:color="auto"/>
            </w:tcBorders>
          </w:tcPr>
          <w:p w14:paraId="3B25A105" w14:textId="7F6B6472" w:rsidR="004440BE" w:rsidRPr="00095B95" w:rsidRDefault="004440BE" w:rsidP="00D127E9">
            <w:pPr>
              <w:jc w:val="center"/>
              <w:rPr>
                <w:sz w:val="20"/>
                <w:szCs w:val="20"/>
              </w:rPr>
            </w:pPr>
            <w:r w:rsidRPr="00095B95">
              <w:rPr>
                <w:sz w:val="20"/>
                <w:szCs w:val="20"/>
              </w:rPr>
              <w:t>-</w:t>
            </w:r>
          </w:p>
        </w:tc>
        <w:tc>
          <w:tcPr>
            <w:tcW w:w="850" w:type="dxa"/>
            <w:tcBorders>
              <w:left w:val="single" w:sz="4" w:space="0" w:color="auto"/>
              <w:right w:val="nil"/>
            </w:tcBorders>
          </w:tcPr>
          <w:p w14:paraId="726DAA72" w14:textId="1CFA2E33" w:rsidR="004440BE" w:rsidRPr="00095B95" w:rsidRDefault="004440BE" w:rsidP="005B4A6D">
            <w:pPr>
              <w:jc w:val="center"/>
              <w:rPr>
                <w:sz w:val="20"/>
                <w:szCs w:val="20"/>
              </w:rPr>
            </w:pPr>
            <w:r w:rsidRPr="00095B95">
              <w:rPr>
                <w:sz w:val="20"/>
                <w:szCs w:val="20"/>
              </w:rPr>
              <w:t>4.5</w:t>
            </w:r>
            <w:r w:rsidR="005B4A6D" w:rsidRPr="00095B95">
              <w:rPr>
                <w:sz w:val="20"/>
                <w:szCs w:val="20"/>
              </w:rPr>
              <w:t xml:space="preserve"> (12.66</w:t>
            </w:r>
            <w:r w:rsidR="001804A5" w:rsidRPr="00095B95">
              <w:rPr>
                <w:sz w:val="20"/>
                <w:szCs w:val="20"/>
              </w:rPr>
              <w:t>)</w:t>
            </w:r>
          </w:p>
        </w:tc>
        <w:tc>
          <w:tcPr>
            <w:tcW w:w="851" w:type="dxa"/>
            <w:tcBorders>
              <w:left w:val="nil"/>
              <w:right w:val="single" w:sz="4" w:space="0" w:color="auto"/>
            </w:tcBorders>
          </w:tcPr>
          <w:p w14:paraId="7430C388" w14:textId="32D1F8D3" w:rsidR="004440BE" w:rsidRPr="00095B95" w:rsidRDefault="004440BE" w:rsidP="00D127E9">
            <w:pPr>
              <w:jc w:val="center"/>
              <w:rPr>
                <w:sz w:val="20"/>
                <w:szCs w:val="20"/>
              </w:rPr>
            </w:pPr>
            <w:r w:rsidRPr="00095B95">
              <w:rPr>
                <w:sz w:val="20"/>
                <w:szCs w:val="20"/>
              </w:rPr>
              <w:t>0.7</w:t>
            </w:r>
          </w:p>
        </w:tc>
        <w:tc>
          <w:tcPr>
            <w:tcW w:w="850" w:type="dxa"/>
            <w:tcBorders>
              <w:left w:val="single" w:sz="4" w:space="0" w:color="auto"/>
              <w:right w:val="nil"/>
            </w:tcBorders>
          </w:tcPr>
          <w:p w14:paraId="48902165" w14:textId="77777777" w:rsidR="004440BE" w:rsidRPr="00095B95" w:rsidRDefault="004440BE" w:rsidP="00D127E9">
            <w:pPr>
              <w:jc w:val="center"/>
              <w:rPr>
                <w:sz w:val="20"/>
                <w:szCs w:val="20"/>
              </w:rPr>
            </w:pPr>
            <w:r w:rsidRPr="00095B95">
              <w:rPr>
                <w:sz w:val="20"/>
                <w:szCs w:val="20"/>
              </w:rPr>
              <w:t>4.3</w:t>
            </w:r>
          </w:p>
          <w:p w14:paraId="5D34351B" w14:textId="684C4146" w:rsidR="001804A5" w:rsidRPr="00095B95" w:rsidRDefault="005B4A6D" w:rsidP="00D127E9">
            <w:pPr>
              <w:jc w:val="center"/>
              <w:rPr>
                <w:sz w:val="20"/>
                <w:szCs w:val="20"/>
              </w:rPr>
            </w:pPr>
            <w:r w:rsidRPr="00095B95">
              <w:rPr>
                <w:sz w:val="20"/>
                <w:szCs w:val="20"/>
              </w:rPr>
              <w:t>(11.56</w:t>
            </w:r>
            <w:r w:rsidR="001804A5" w:rsidRPr="00095B95">
              <w:rPr>
                <w:sz w:val="20"/>
                <w:szCs w:val="20"/>
              </w:rPr>
              <w:t>)</w:t>
            </w:r>
          </w:p>
        </w:tc>
        <w:tc>
          <w:tcPr>
            <w:tcW w:w="993" w:type="dxa"/>
            <w:tcBorders>
              <w:left w:val="nil"/>
            </w:tcBorders>
          </w:tcPr>
          <w:p w14:paraId="3C438C85" w14:textId="77777777" w:rsidR="004440BE" w:rsidRPr="00095B95" w:rsidRDefault="004440BE" w:rsidP="00D127E9">
            <w:pPr>
              <w:jc w:val="center"/>
              <w:rPr>
                <w:sz w:val="20"/>
                <w:szCs w:val="20"/>
              </w:rPr>
            </w:pPr>
            <w:r w:rsidRPr="00095B95">
              <w:rPr>
                <w:sz w:val="20"/>
                <w:szCs w:val="20"/>
              </w:rPr>
              <w:t>0.8</w:t>
            </w:r>
          </w:p>
          <w:p w14:paraId="36E62BE5" w14:textId="77777777" w:rsidR="004440BE" w:rsidRPr="00095B95" w:rsidRDefault="004440BE" w:rsidP="00D127E9">
            <w:pPr>
              <w:jc w:val="center"/>
              <w:rPr>
                <w:sz w:val="20"/>
                <w:szCs w:val="20"/>
              </w:rPr>
            </w:pPr>
          </w:p>
        </w:tc>
        <w:tc>
          <w:tcPr>
            <w:tcW w:w="1404" w:type="dxa"/>
          </w:tcPr>
          <w:p w14:paraId="3EA677FA" w14:textId="38D87C74" w:rsidR="004440BE" w:rsidRPr="00095B95" w:rsidRDefault="00101A86" w:rsidP="00D127E9">
            <w:pPr>
              <w:jc w:val="center"/>
              <w:rPr>
                <w:sz w:val="20"/>
                <w:szCs w:val="20"/>
              </w:rPr>
            </w:pPr>
            <w:r w:rsidRPr="00095B95">
              <w:rPr>
                <w:sz w:val="20"/>
                <w:szCs w:val="20"/>
              </w:rPr>
              <w:t>-</w:t>
            </w:r>
          </w:p>
        </w:tc>
        <w:tc>
          <w:tcPr>
            <w:tcW w:w="1547" w:type="dxa"/>
          </w:tcPr>
          <w:p w14:paraId="1DC25981" w14:textId="5C8B0B76" w:rsidR="004440BE" w:rsidRPr="00095B95" w:rsidRDefault="00101A86" w:rsidP="00D127E9">
            <w:pPr>
              <w:jc w:val="center"/>
              <w:rPr>
                <w:sz w:val="20"/>
                <w:szCs w:val="20"/>
              </w:rPr>
            </w:pPr>
            <w:r w:rsidRPr="00095B95">
              <w:rPr>
                <w:sz w:val="20"/>
                <w:szCs w:val="20"/>
              </w:rPr>
              <w:t>-</w:t>
            </w:r>
          </w:p>
        </w:tc>
        <w:tc>
          <w:tcPr>
            <w:tcW w:w="1547" w:type="dxa"/>
          </w:tcPr>
          <w:p w14:paraId="29D3B690" w14:textId="721949C7" w:rsidR="004440BE" w:rsidRPr="00095B95" w:rsidRDefault="00101A86" w:rsidP="00D127E9">
            <w:pPr>
              <w:jc w:val="center"/>
              <w:rPr>
                <w:sz w:val="20"/>
                <w:szCs w:val="20"/>
              </w:rPr>
            </w:pPr>
            <w:r w:rsidRPr="00095B95">
              <w:rPr>
                <w:sz w:val="20"/>
                <w:szCs w:val="20"/>
              </w:rPr>
              <w:t>-</w:t>
            </w:r>
          </w:p>
        </w:tc>
      </w:tr>
      <w:tr w:rsidR="00D127E9" w:rsidRPr="00095B95" w14:paraId="22B90895" w14:textId="77777777" w:rsidTr="008A1F94">
        <w:tc>
          <w:tcPr>
            <w:tcW w:w="13424" w:type="dxa"/>
            <w:gridSpan w:val="12"/>
          </w:tcPr>
          <w:p w14:paraId="7A3A1EB5" w14:textId="114CCC59" w:rsidR="00D127E9" w:rsidRPr="00095B95" w:rsidRDefault="00D127E9" w:rsidP="00D127E9">
            <w:pPr>
              <w:rPr>
                <w:b/>
                <w:sz w:val="20"/>
                <w:szCs w:val="20"/>
              </w:rPr>
            </w:pPr>
            <w:r w:rsidRPr="00095B95">
              <w:rPr>
                <w:b/>
                <w:sz w:val="20"/>
                <w:szCs w:val="20"/>
              </w:rPr>
              <w:t>Subjective Effects</w:t>
            </w:r>
          </w:p>
        </w:tc>
      </w:tr>
      <w:tr w:rsidR="00F665F4" w:rsidRPr="00095B95" w14:paraId="276557A7" w14:textId="77777777" w:rsidTr="00F665F4">
        <w:tc>
          <w:tcPr>
            <w:tcW w:w="1980" w:type="dxa"/>
          </w:tcPr>
          <w:p w14:paraId="6DAED762" w14:textId="4A48200A" w:rsidR="00D127E9" w:rsidRPr="00095B95" w:rsidRDefault="00D127E9" w:rsidP="00D127E9">
            <w:pPr>
              <w:rPr>
                <w:sz w:val="20"/>
                <w:szCs w:val="20"/>
              </w:rPr>
            </w:pPr>
            <w:r w:rsidRPr="00095B95">
              <w:rPr>
                <w:sz w:val="20"/>
                <w:szCs w:val="20"/>
              </w:rPr>
              <w:t>Urge to vape</w:t>
            </w:r>
          </w:p>
        </w:tc>
        <w:tc>
          <w:tcPr>
            <w:tcW w:w="850" w:type="dxa"/>
            <w:tcBorders>
              <w:right w:val="nil"/>
            </w:tcBorders>
          </w:tcPr>
          <w:p w14:paraId="6789C8DB" w14:textId="1EAEFAFE" w:rsidR="00D127E9" w:rsidRPr="00095B95" w:rsidRDefault="00C46F5B" w:rsidP="00D127E9">
            <w:pPr>
              <w:jc w:val="center"/>
              <w:rPr>
                <w:sz w:val="20"/>
                <w:szCs w:val="20"/>
              </w:rPr>
            </w:pPr>
            <w:r w:rsidRPr="00095B95">
              <w:rPr>
                <w:sz w:val="20"/>
                <w:szCs w:val="20"/>
              </w:rPr>
              <w:t>3.20</w:t>
            </w:r>
          </w:p>
        </w:tc>
        <w:tc>
          <w:tcPr>
            <w:tcW w:w="851" w:type="dxa"/>
            <w:tcBorders>
              <w:left w:val="nil"/>
              <w:right w:val="single" w:sz="4" w:space="0" w:color="auto"/>
            </w:tcBorders>
          </w:tcPr>
          <w:p w14:paraId="2BEB55F2" w14:textId="07A9FF34" w:rsidR="00D127E9" w:rsidRPr="00095B95" w:rsidRDefault="00C46F5B" w:rsidP="00D127E9">
            <w:pPr>
              <w:jc w:val="center"/>
              <w:rPr>
                <w:sz w:val="20"/>
                <w:szCs w:val="20"/>
              </w:rPr>
            </w:pPr>
            <w:r w:rsidRPr="00095B95">
              <w:rPr>
                <w:sz w:val="20"/>
                <w:szCs w:val="20"/>
              </w:rPr>
              <w:t>1.11</w:t>
            </w:r>
          </w:p>
        </w:tc>
        <w:tc>
          <w:tcPr>
            <w:tcW w:w="850" w:type="dxa"/>
            <w:tcBorders>
              <w:left w:val="single" w:sz="4" w:space="0" w:color="auto"/>
              <w:right w:val="nil"/>
            </w:tcBorders>
          </w:tcPr>
          <w:p w14:paraId="7E4CFD53" w14:textId="15DC084B" w:rsidR="00D127E9" w:rsidRPr="00095B95" w:rsidRDefault="00C46F5B" w:rsidP="00D127E9">
            <w:pPr>
              <w:jc w:val="center"/>
              <w:rPr>
                <w:sz w:val="20"/>
                <w:szCs w:val="20"/>
              </w:rPr>
            </w:pPr>
            <w:r w:rsidRPr="00095B95">
              <w:rPr>
                <w:sz w:val="20"/>
                <w:szCs w:val="20"/>
              </w:rPr>
              <w:t>2.40</w:t>
            </w:r>
          </w:p>
        </w:tc>
        <w:tc>
          <w:tcPr>
            <w:tcW w:w="851" w:type="dxa"/>
            <w:tcBorders>
              <w:left w:val="nil"/>
              <w:right w:val="single" w:sz="4" w:space="0" w:color="auto"/>
            </w:tcBorders>
          </w:tcPr>
          <w:p w14:paraId="6A9F663D" w14:textId="20A7EC7C" w:rsidR="00D127E9" w:rsidRPr="00095B95" w:rsidRDefault="00C46F5B" w:rsidP="00D127E9">
            <w:pPr>
              <w:jc w:val="center"/>
              <w:rPr>
                <w:sz w:val="20"/>
                <w:szCs w:val="20"/>
              </w:rPr>
            </w:pPr>
            <w:r w:rsidRPr="00095B95">
              <w:rPr>
                <w:sz w:val="20"/>
                <w:szCs w:val="20"/>
              </w:rPr>
              <w:t>0.10</w:t>
            </w:r>
          </w:p>
        </w:tc>
        <w:tc>
          <w:tcPr>
            <w:tcW w:w="850" w:type="dxa"/>
            <w:tcBorders>
              <w:left w:val="single" w:sz="4" w:space="0" w:color="auto"/>
              <w:right w:val="nil"/>
            </w:tcBorders>
          </w:tcPr>
          <w:p w14:paraId="00223391" w14:textId="23082149" w:rsidR="00D127E9" w:rsidRPr="00095B95" w:rsidRDefault="00C46F5B" w:rsidP="00D127E9">
            <w:pPr>
              <w:jc w:val="center"/>
              <w:rPr>
                <w:sz w:val="20"/>
                <w:szCs w:val="20"/>
              </w:rPr>
            </w:pPr>
            <w:r w:rsidRPr="00095B95">
              <w:rPr>
                <w:sz w:val="20"/>
                <w:szCs w:val="20"/>
              </w:rPr>
              <w:t>3.00</w:t>
            </w:r>
          </w:p>
        </w:tc>
        <w:tc>
          <w:tcPr>
            <w:tcW w:w="851" w:type="dxa"/>
            <w:tcBorders>
              <w:left w:val="nil"/>
              <w:right w:val="single" w:sz="4" w:space="0" w:color="auto"/>
            </w:tcBorders>
          </w:tcPr>
          <w:p w14:paraId="3B20E963" w14:textId="598EEAEC" w:rsidR="00D127E9" w:rsidRPr="00095B95" w:rsidRDefault="00C46F5B" w:rsidP="00D127E9">
            <w:pPr>
              <w:jc w:val="center"/>
              <w:rPr>
                <w:sz w:val="20"/>
                <w:szCs w:val="20"/>
              </w:rPr>
            </w:pPr>
            <w:r w:rsidRPr="00095B95">
              <w:rPr>
                <w:sz w:val="20"/>
                <w:szCs w:val="20"/>
              </w:rPr>
              <w:t>0.86</w:t>
            </w:r>
          </w:p>
        </w:tc>
        <w:tc>
          <w:tcPr>
            <w:tcW w:w="850" w:type="dxa"/>
            <w:tcBorders>
              <w:left w:val="single" w:sz="4" w:space="0" w:color="auto"/>
              <w:right w:val="nil"/>
            </w:tcBorders>
          </w:tcPr>
          <w:p w14:paraId="78A65F24" w14:textId="7D255E57" w:rsidR="00D127E9" w:rsidRPr="00095B95" w:rsidRDefault="00C46F5B" w:rsidP="00D127E9">
            <w:pPr>
              <w:jc w:val="center"/>
              <w:rPr>
                <w:sz w:val="20"/>
                <w:szCs w:val="20"/>
              </w:rPr>
            </w:pPr>
            <w:r w:rsidRPr="00095B95">
              <w:rPr>
                <w:sz w:val="20"/>
                <w:szCs w:val="20"/>
              </w:rPr>
              <w:t>2.45</w:t>
            </w:r>
          </w:p>
        </w:tc>
        <w:tc>
          <w:tcPr>
            <w:tcW w:w="993" w:type="dxa"/>
            <w:tcBorders>
              <w:left w:val="nil"/>
            </w:tcBorders>
          </w:tcPr>
          <w:p w14:paraId="219CF10D" w14:textId="7AE15A2F" w:rsidR="00D127E9" w:rsidRPr="00095B95" w:rsidRDefault="00C46F5B" w:rsidP="00D127E9">
            <w:pPr>
              <w:jc w:val="center"/>
              <w:rPr>
                <w:sz w:val="20"/>
                <w:szCs w:val="20"/>
              </w:rPr>
            </w:pPr>
            <w:r w:rsidRPr="00095B95">
              <w:rPr>
                <w:sz w:val="20"/>
                <w:szCs w:val="20"/>
              </w:rPr>
              <w:t>0.83</w:t>
            </w:r>
          </w:p>
        </w:tc>
        <w:tc>
          <w:tcPr>
            <w:tcW w:w="1404" w:type="dxa"/>
          </w:tcPr>
          <w:p w14:paraId="154484C1" w14:textId="77777777" w:rsidR="00D127E9" w:rsidRPr="00095B95" w:rsidRDefault="00C46F5B" w:rsidP="00D127E9">
            <w:pPr>
              <w:jc w:val="center"/>
              <w:rPr>
                <w:sz w:val="20"/>
                <w:szCs w:val="20"/>
              </w:rPr>
            </w:pPr>
            <w:r w:rsidRPr="00095B95">
              <w:rPr>
                <w:sz w:val="20"/>
                <w:szCs w:val="20"/>
              </w:rPr>
              <w:t>16.74</w:t>
            </w:r>
          </w:p>
          <w:p w14:paraId="1CD834B3" w14:textId="5C02465D" w:rsidR="00C46F5B" w:rsidRPr="00095B95" w:rsidRDefault="00C46F5B" w:rsidP="00D127E9">
            <w:pPr>
              <w:jc w:val="center"/>
              <w:rPr>
                <w:sz w:val="20"/>
                <w:szCs w:val="20"/>
              </w:rPr>
            </w:pPr>
            <w:r w:rsidRPr="00095B95">
              <w:rPr>
                <w:sz w:val="20"/>
                <w:szCs w:val="20"/>
              </w:rPr>
              <w:t>(0.001)</w:t>
            </w:r>
          </w:p>
        </w:tc>
        <w:tc>
          <w:tcPr>
            <w:tcW w:w="1547" w:type="dxa"/>
          </w:tcPr>
          <w:p w14:paraId="385F2463" w14:textId="77777777" w:rsidR="00D127E9" w:rsidRPr="00095B95" w:rsidRDefault="00C46F5B" w:rsidP="00D127E9">
            <w:pPr>
              <w:jc w:val="center"/>
              <w:rPr>
                <w:sz w:val="20"/>
                <w:szCs w:val="20"/>
              </w:rPr>
            </w:pPr>
            <w:r w:rsidRPr="00095B95">
              <w:rPr>
                <w:sz w:val="20"/>
                <w:szCs w:val="20"/>
              </w:rPr>
              <w:t>0.77</w:t>
            </w:r>
          </w:p>
          <w:p w14:paraId="2D6A7A9D" w14:textId="4F1B6EB1" w:rsidR="00C46F5B" w:rsidRPr="00095B95" w:rsidRDefault="00C46F5B" w:rsidP="00D127E9">
            <w:pPr>
              <w:jc w:val="center"/>
              <w:rPr>
                <w:sz w:val="20"/>
                <w:szCs w:val="20"/>
              </w:rPr>
            </w:pPr>
            <w:r w:rsidRPr="00095B95">
              <w:rPr>
                <w:sz w:val="20"/>
                <w:szCs w:val="20"/>
              </w:rPr>
              <w:t>(0.39)</w:t>
            </w:r>
          </w:p>
        </w:tc>
        <w:tc>
          <w:tcPr>
            <w:tcW w:w="1547" w:type="dxa"/>
          </w:tcPr>
          <w:p w14:paraId="2E66FCF3" w14:textId="77777777" w:rsidR="00D127E9" w:rsidRPr="00095B95" w:rsidRDefault="00C46F5B" w:rsidP="00D127E9">
            <w:pPr>
              <w:jc w:val="center"/>
              <w:rPr>
                <w:sz w:val="20"/>
                <w:szCs w:val="20"/>
              </w:rPr>
            </w:pPr>
            <w:r w:rsidRPr="00095B95">
              <w:rPr>
                <w:sz w:val="20"/>
                <w:szCs w:val="20"/>
              </w:rPr>
              <w:t>1.95</w:t>
            </w:r>
          </w:p>
          <w:p w14:paraId="68EEACBA" w14:textId="0313A651" w:rsidR="00C46F5B" w:rsidRPr="00095B95" w:rsidRDefault="00C46F5B" w:rsidP="00D127E9">
            <w:pPr>
              <w:jc w:val="center"/>
              <w:rPr>
                <w:sz w:val="20"/>
                <w:szCs w:val="20"/>
              </w:rPr>
            </w:pPr>
            <w:r w:rsidRPr="00095B95">
              <w:rPr>
                <w:sz w:val="20"/>
                <w:szCs w:val="20"/>
              </w:rPr>
              <w:t>(0.18)</w:t>
            </w:r>
          </w:p>
        </w:tc>
      </w:tr>
      <w:tr w:rsidR="00F665F4" w:rsidRPr="00095B95" w14:paraId="22A70EA1" w14:textId="77777777" w:rsidTr="00F665F4">
        <w:tc>
          <w:tcPr>
            <w:tcW w:w="1980" w:type="dxa"/>
          </w:tcPr>
          <w:p w14:paraId="568A2883" w14:textId="52B348DD" w:rsidR="003445BB" w:rsidRPr="00095B95" w:rsidRDefault="003445BB" w:rsidP="00D127E9">
            <w:pPr>
              <w:rPr>
                <w:sz w:val="20"/>
                <w:szCs w:val="20"/>
              </w:rPr>
            </w:pPr>
            <w:r w:rsidRPr="00095B95">
              <w:rPr>
                <w:sz w:val="20"/>
                <w:szCs w:val="20"/>
              </w:rPr>
              <w:t>Strength of urges</w:t>
            </w:r>
          </w:p>
        </w:tc>
        <w:tc>
          <w:tcPr>
            <w:tcW w:w="850" w:type="dxa"/>
            <w:tcBorders>
              <w:right w:val="nil"/>
            </w:tcBorders>
          </w:tcPr>
          <w:p w14:paraId="3EE1660F" w14:textId="77777777" w:rsidR="003445BB" w:rsidRPr="00095B95" w:rsidRDefault="00C46F5B" w:rsidP="00D127E9">
            <w:pPr>
              <w:jc w:val="center"/>
              <w:rPr>
                <w:sz w:val="20"/>
                <w:szCs w:val="20"/>
              </w:rPr>
            </w:pPr>
            <w:r w:rsidRPr="00095B95">
              <w:rPr>
                <w:sz w:val="20"/>
                <w:szCs w:val="20"/>
              </w:rPr>
              <w:t>2.90</w:t>
            </w:r>
          </w:p>
          <w:p w14:paraId="0D411138" w14:textId="45FE1110" w:rsidR="00C46F5B" w:rsidRPr="00095B95" w:rsidRDefault="00C46F5B" w:rsidP="00D127E9">
            <w:pPr>
              <w:jc w:val="center"/>
              <w:rPr>
                <w:sz w:val="20"/>
                <w:szCs w:val="20"/>
              </w:rPr>
            </w:pPr>
          </w:p>
        </w:tc>
        <w:tc>
          <w:tcPr>
            <w:tcW w:w="851" w:type="dxa"/>
            <w:tcBorders>
              <w:left w:val="nil"/>
              <w:right w:val="single" w:sz="4" w:space="0" w:color="auto"/>
            </w:tcBorders>
          </w:tcPr>
          <w:p w14:paraId="143E4CD7" w14:textId="731AC939" w:rsidR="003445BB" w:rsidRPr="00095B95" w:rsidRDefault="00C46F5B" w:rsidP="00D127E9">
            <w:pPr>
              <w:jc w:val="center"/>
              <w:rPr>
                <w:sz w:val="20"/>
                <w:szCs w:val="20"/>
              </w:rPr>
            </w:pPr>
            <w:r w:rsidRPr="00095B95">
              <w:rPr>
                <w:sz w:val="20"/>
                <w:szCs w:val="20"/>
              </w:rPr>
              <w:t>1.17</w:t>
            </w:r>
          </w:p>
        </w:tc>
        <w:tc>
          <w:tcPr>
            <w:tcW w:w="850" w:type="dxa"/>
            <w:tcBorders>
              <w:left w:val="single" w:sz="4" w:space="0" w:color="auto"/>
              <w:right w:val="nil"/>
            </w:tcBorders>
          </w:tcPr>
          <w:p w14:paraId="35169020" w14:textId="0A85705B" w:rsidR="003445BB" w:rsidRPr="00095B95" w:rsidRDefault="00C46F5B" w:rsidP="00D127E9">
            <w:pPr>
              <w:jc w:val="center"/>
              <w:rPr>
                <w:sz w:val="20"/>
                <w:szCs w:val="20"/>
              </w:rPr>
            </w:pPr>
            <w:r w:rsidRPr="00095B95">
              <w:rPr>
                <w:sz w:val="20"/>
                <w:szCs w:val="20"/>
              </w:rPr>
              <w:t>2.15</w:t>
            </w:r>
          </w:p>
        </w:tc>
        <w:tc>
          <w:tcPr>
            <w:tcW w:w="851" w:type="dxa"/>
            <w:tcBorders>
              <w:left w:val="nil"/>
              <w:right w:val="single" w:sz="4" w:space="0" w:color="auto"/>
            </w:tcBorders>
          </w:tcPr>
          <w:p w14:paraId="3DA3E20F" w14:textId="2A76283C" w:rsidR="003445BB" w:rsidRPr="00095B95" w:rsidRDefault="00C46F5B" w:rsidP="00D127E9">
            <w:pPr>
              <w:jc w:val="center"/>
              <w:rPr>
                <w:sz w:val="20"/>
                <w:szCs w:val="20"/>
              </w:rPr>
            </w:pPr>
            <w:r w:rsidRPr="00095B95">
              <w:rPr>
                <w:sz w:val="20"/>
                <w:szCs w:val="20"/>
              </w:rPr>
              <w:t>0.67</w:t>
            </w:r>
          </w:p>
        </w:tc>
        <w:tc>
          <w:tcPr>
            <w:tcW w:w="850" w:type="dxa"/>
            <w:tcBorders>
              <w:left w:val="single" w:sz="4" w:space="0" w:color="auto"/>
              <w:right w:val="nil"/>
            </w:tcBorders>
          </w:tcPr>
          <w:p w14:paraId="53242966" w14:textId="2758BA15" w:rsidR="003445BB" w:rsidRPr="00095B95" w:rsidRDefault="00C46F5B" w:rsidP="00D127E9">
            <w:pPr>
              <w:jc w:val="center"/>
              <w:rPr>
                <w:sz w:val="20"/>
                <w:szCs w:val="20"/>
              </w:rPr>
            </w:pPr>
            <w:r w:rsidRPr="00095B95">
              <w:rPr>
                <w:sz w:val="20"/>
                <w:szCs w:val="20"/>
              </w:rPr>
              <w:t>2.85</w:t>
            </w:r>
          </w:p>
        </w:tc>
        <w:tc>
          <w:tcPr>
            <w:tcW w:w="851" w:type="dxa"/>
            <w:tcBorders>
              <w:left w:val="nil"/>
              <w:right w:val="single" w:sz="4" w:space="0" w:color="auto"/>
            </w:tcBorders>
          </w:tcPr>
          <w:p w14:paraId="2D5500A1" w14:textId="34489C8B" w:rsidR="003445BB" w:rsidRPr="00095B95" w:rsidRDefault="00C46F5B" w:rsidP="00D127E9">
            <w:pPr>
              <w:jc w:val="center"/>
              <w:rPr>
                <w:sz w:val="20"/>
                <w:szCs w:val="20"/>
              </w:rPr>
            </w:pPr>
            <w:r w:rsidRPr="00095B95">
              <w:rPr>
                <w:sz w:val="20"/>
                <w:szCs w:val="20"/>
              </w:rPr>
              <w:t>1.18</w:t>
            </w:r>
          </w:p>
        </w:tc>
        <w:tc>
          <w:tcPr>
            <w:tcW w:w="850" w:type="dxa"/>
            <w:tcBorders>
              <w:left w:val="single" w:sz="4" w:space="0" w:color="auto"/>
              <w:right w:val="nil"/>
            </w:tcBorders>
          </w:tcPr>
          <w:p w14:paraId="3105DA69" w14:textId="2E86F2FE" w:rsidR="003445BB" w:rsidRPr="00095B95" w:rsidRDefault="00C46F5B" w:rsidP="00D127E9">
            <w:pPr>
              <w:jc w:val="center"/>
              <w:rPr>
                <w:sz w:val="20"/>
                <w:szCs w:val="20"/>
              </w:rPr>
            </w:pPr>
            <w:r w:rsidRPr="00095B95">
              <w:rPr>
                <w:sz w:val="20"/>
                <w:szCs w:val="20"/>
              </w:rPr>
              <w:t>2.45</w:t>
            </w:r>
          </w:p>
        </w:tc>
        <w:tc>
          <w:tcPr>
            <w:tcW w:w="993" w:type="dxa"/>
            <w:tcBorders>
              <w:left w:val="nil"/>
            </w:tcBorders>
          </w:tcPr>
          <w:p w14:paraId="4898B148" w14:textId="37182BC4" w:rsidR="003445BB" w:rsidRPr="00095B95" w:rsidRDefault="00C46F5B" w:rsidP="00D127E9">
            <w:pPr>
              <w:jc w:val="center"/>
              <w:rPr>
                <w:sz w:val="20"/>
                <w:szCs w:val="20"/>
              </w:rPr>
            </w:pPr>
            <w:r w:rsidRPr="00095B95">
              <w:rPr>
                <w:sz w:val="20"/>
                <w:szCs w:val="20"/>
              </w:rPr>
              <w:t>1.10</w:t>
            </w:r>
          </w:p>
        </w:tc>
        <w:tc>
          <w:tcPr>
            <w:tcW w:w="1404" w:type="dxa"/>
          </w:tcPr>
          <w:p w14:paraId="71E18EFC" w14:textId="77777777" w:rsidR="003445BB" w:rsidRPr="00095B95" w:rsidRDefault="00C46F5B" w:rsidP="00D127E9">
            <w:pPr>
              <w:jc w:val="center"/>
              <w:rPr>
                <w:sz w:val="20"/>
                <w:szCs w:val="20"/>
              </w:rPr>
            </w:pPr>
            <w:r w:rsidRPr="00095B95">
              <w:rPr>
                <w:sz w:val="20"/>
                <w:szCs w:val="20"/>
              </w:rPr>
              <w:t>14.63</w:t>
            </w:r>
          </w:p>
          <w:p w14:paraId="24D5E768" w14:textId="471625A9" w:rsidR="00C46F5B" w:rsidRPr="00095B95" w:rsidRDefault="00C46F5B" w:rsidP="00D127E9">
            <w:pPr>
              <w:jc w:val="center"/>
              <w:rPr>
                <w:sz w:val="20"/>
                <w:szCs w:val="20"/>
              </w:rPr>
            </w:pPr>
            <w:r w:rsidRPr="00095B95">
              <w:rPr>
                <w:sz w:val="20"/>
                <w:szCs w:val="20"/>
              </w:rPr>
              <w:t>(0.001)</w:t>
            </w:r>
          </w:p>
        </w:tc>
        <w:tc>
          <w:tcPr>
            <w:tcW w:w="1547" w:type="dxa"/>
          </w:tcPr>
          <w:p w14:paraId="285872F5" w14:textId="77777777" w:rsidR="003445BB" w:rsidRPr="00095B95" w:rsidRDefault="00C46F5B" w:rsidP="00D127E9">
            <w:pPr>
              <w:jc w:val="center"/>
              <w:rPr>
                <w:sz w:val="20"/>
                <w:szCs w:val="20"/>
              </w:rPr>
            </w:pPr>
            <w:r w:rsidRPr="00095B95">
              <w:rPr>
                <w:sz w:val="20"/>
                <w:szCs w:val="20"/>
              </w:rPr>
              <w:t>0.91</w:t>
            </w:r>
          </w:p>
          <w:p w14:paraId="3D1B48DD" w14:textId="03977330" w:rsidR="00C46F5B" w:rsidRPr="00095B95" w:rsidRDefault="00C46F5B" w:rsidP="00D127E9">
            <w:pPr>
              <w:jc w:val="center"/>
              <w:rPr>
                <w:sz w:val="20"/>
                <w:szCs w:val="20"/>
              </w:rPr>
            </w:pPr>
            <w:r w:rsidRPr="00095B95">
              <w:rPr>
                <w:sz w:val="20"/>
                <w:szCs w:val="20"/>
              </w:rPr>
              <w:t>(0.36)</w:t>
            </w:r>
          </w:p>
        </w:tc>
        <w:tc>
          <w:tcPr>
            <w:tcW w:w="1547" w:type="dxa"/>
          </w:tcPr>
          <w:p w14:paraId="4DC97F73" w14:textId="77777777" w:rsidR="003445BB" w:rsidRPr="00095B95" w:rsidRDefault="00C46F5B" w:rsidP="00D127E9">
            <w:pPr>
              <w:jc w:val="center"/>
              <w:rPr>
                <w:sz w:val="20"/>
                <w:szCs w:val="20"/>
              </w:rPr>
            </w:pPr>
            <w:r w:rsidRPr="00095B95">
              <w:rPr>
                <w:sz w:val="20"/>
                <w:szCs w:val="20"/>
              </w:rPr>
              <w:t>3.56</w:t>
            </w:r>
          </w:p>
          <w:p w14:paraId="5AC71615" w14:textId="787BC95C" w:rsidR="00C46F5B" w:rsidRPr="00095B95" w:rsidRDefault="00C46F5B" w:rsidP="00D127E9">
            <w:pPr>
              <w:jc w:val="center"/>
              <w:rPr>
                <w:sz w:val="20"/>
                <w:szCs w:val="20"/>
              </w:rPr>
            </w:pPr>
            <w:r w:rsidRPr="00095B95">
              <w:rPr>
                <w:sz w:val="20"/>
                <w:szCs w:val="20"/>
              </w:rPr>
              <w:t>(0.08)</w:t>
            </w:r>
          </w:p>
        </w:tc>
      </w:tr>
      <w:tr w:rsidR="00F665F4" w:rsidRPr="00095B95" w14:paraId="70CC2748" w14:textId="77777777" w:rsidTr="00F665F4">
        <w:tc>
          <w:tcPr>
            <w:tcW w:w="1980" w:type="dxa"/>
          </w:tcPr>
          <w:p w14:paraId="15DA805E" w14:textId="4C01F1D4" w:rsidR="00D127E9" w:rsidRPr="00095B95" w:rsidRDefault="00D127E9" w:rsidP="00D127E9">
            <w:pPr>
              <w:rPr>
                <w:sz w:val="20"/>
                <w:szCs w:val="20"/>
              </w:rPr>
            </w:pPr>
            <w:r w:rsidRPr="00095B95">
              <w:rPr>
                <w:sz w:val="20"/>
                <w:szCs w:val="20"/>
              </w:rPr>
              <w:t>Withdrawal symptoms</w:t>
            </w:r>
          </w:p>
        </w:tc>
        <w:tc>
          <w:tcPr>
            <w:tcW w:w="850" w:type="dxa"/>
            <w:tcBorders>
              <w:right w:val="nil"/>
            </w:tcBorders>
          </w:tcPr>
          <w:p w14:paraId="7A7B4A85" w14:textId="1D7C6CBC" w:rsidR="00D127E9" w:rsidRPr="00095B95" w:rsidRDefault="00697942" w:rsidP="00D127E9">
            <w:pPr>
              <w:jc w:val="center"/>
              <w:rPr>
                <w:sz w:val="20"/>
                <w:szCs w:val="20"/>
              </w:rPr>
            </w:pPr>
            <w:r w:rsidRPr="00095B95">
              <w:rPr>
                <w:sz w:val="20"/>
                <w:szCs w:val="20"/>
              </w:rPr>
              <w:t>9.05</w:t>
            </w:r>
          </w:p>
        </w:tc>
        <w:tc>
          <w:tcPr>
            <w:tcW w:w="851" w:type="dxa"/>
            <w:tcBorders>
              <w:left w:val="nil"/>
              <w:right w:val="single" w:sz="4" w:space="0" w:color="auto"/>
            </w:tcBorders>
          </w:tcPr>
          <w:p w14:paraId="66E6CF3E" w14:textId="1A64C1B3" w:rsidR="00D127E9" w:rsidRPr="00095B95" w:rsidRDefault="00697942" w:rsidP="00D127E9">
            <w:pPr>
              <w:jc w:val="center"/>
              <w:rPr>
                <w:sz w:val="20"/>
                <w:szCs w:val="20"/>
              </w:rPr>
            </w:pPr>
            <w:r w:rsidRPr="00095B95">
              <w:rPr>
                <w:sz w:val="20"/>
                <w:szCs w:val="20"/>
              </w:rPr>
              <w:t>4.56</w:t>
            </w:r>
          </w:p>
        </w:tc>
        <w:tc>
          <w:tcPr>
            <w:tcW w:w="850" w:type="dxa"/>
            <w:tcBorders>
              <w:left w:val="single" w:sz="4" w:space="0" w:color="auto"/>
              <w:right w:val="nil"/>
            </w:tcBorders>
          </w:tcPr>
          <w:p w14:paraId="3FA97230" w14:textId="04FBC593" w:rsidR="00D127E9" w:rsidRPr="00095B95" w:rsidRDefault="00697942" w:rsidP="00D127E9">
            <w:pPr>
              <w:jc w:val="center"/>
              <w:rPr>
                <w:sz w:val="20"/>
                <w:szCs w:val="20"/>
              </w:rPr>
            </w:pPr>
            <w:r w:rsidRPr="00095B95">
              <w:rPr>
                <w:sz w:val="20"/>
                <w:szCs w:val="20"/>
              </w:rPr>
              <w:t>7.80</w:t>
            </w:r>
          </w:p>
        </w:tc>
        <w:tc>
          <w:tcPr>
            <w:tcW w:w="851" w:type="dxa"/>
            <w:tcBorders>
              <w:left w:val="nil"/>
              <w:right w:val="single" w:sz="4" w:space="0" w:color="auto"/>
            </w:tcBorders>
          </w:tcPr>
          <w:p w14:paraId="628E6E28" w14:textId="23AE0410" w:rsidR="00D127E9" w:rsidRPr="00095B95" w:rsidRDefault="00697942" w:rsidP="00D127E9">
            <w:pPr>
              <w:jc w:val="center"/>
              <w:rPr>
                <w:sz w:val="20"/>
                <w:szCs w:val="20"/>
              </w:rPr>
            </w:pPr>
            <w:r w:rsidRPr="00095B95">
              <w:rPr>
                <w:sz w:val="20"/>
                <w:szCs w:val="20"/>
              </w:rPr>
              <w:t>2.59</w:t>
            </w:r>
          </w:p>
        </w:tc>
        <w:tc>
          <w:tcPr>
            <w:tcW w:w="850" w:type="dxa"/>
            <w:tcBorders>
              <w:left w:val="single" w:sz="4" w:space="0" w:color="auto"/>
              <w:right w:val="nil"/>
            </w:tcBorders>
          </w:tcPr>
          <w:p w14:paraId="0D24E2C1" w14:textId="66C67543" w:rsidR="00D127E9" w:rsidRPr="00095B95" w:rsidRDefault="00697942" w:rsidP="00D127E9">
            <w:pPr>
              <w:jc w:val="center"/>
              <w:rPr>
                <w:sz w:val="20"/>
                <w:szCs w:val="20"/>
              </w:rPr>
            </w:pPr>
            <w:r w:rsidRPr="00095B95">
              <w:rPr>
                <w:sz w:val="20"/>
                <w:szCs w:val="20"/>
              </w:rPr>
              <w:t>7.45</w:t>
            </w:r>
          </w:p>
        </w:tc>
        <w:tc>
          <w:tcPr>
            <w:tcW w:w="851" w:type="dxa"/>
            <w:tcBorders>
              <w:left w:val="nil"/>
              <w:right w:val="single" w:sz="4" w:space="0" w:color="auto"/>
            </w:tcBorders>
          </w:tcPr>
          <w:p w14:paraId="5B1BC101" w14:textId="484BC328" w:rsidR="00D127E9" w:rsidRPr="00095B95" w:rsidRDefault="00697942" w:rsidP="00D127E9">
            <w:pPr>
              <w:jc w:val="center"/>
              <w:rPr>
                <w:sz w:val="20"/>
                <w:szCs w:val="20"/>
              </w:rPr>
            </w:pPr>
            <w:r w:rsidRPr="00095B95">
              <w:rPr>
                <w:sz w:val="20"/>
                <w:szCs w:val="20"/>
              </w:rPr>
              <w:t>2.91</w:t>
            </w:r>
          </w:p>
        </w:tc>
        <w:tc>
          <w:tcPr>
            <w:tcW w:w="850" w:type="dxa"/>
            <w:tcBorders>
              <w:left w:val="single" w:sz="4" w:space="0" w:color="auto"/>
              <w:right w:val="nil"/>
            </w:tcBorders>
          </w:tcPr>
          <w:p w14:paraId="52C83AB9" w14:textId="411F238A" w:rsidR="00D127E9" w:rsidRPr="00095B95" w:rsidRDefault="00697942" w:rsidP="00D127E9">
            <w:pPr>
              <w:jc w:val="center"/>
              <w:rPr>
                <w:sz w:val="20"/>
                <w:szCs w:val="20"/>
              </w:rPr>
            </w:pPr>
            <w:r w:rsidRPr="00095B95">
              <w:rPr>
                <w:sz w:val="20"/>
                <w:szCs w:val="20"/>
              </w:rPr>
              <w:t>6.80</w:t>
            </w:r>
          </w:p>
        </w:tc>
        <w:tc>
          <w:tcPr>
            <w:tcW w:w="993" w:type="dxa"/>
            <w:tcBorders>
              <w:left w:val="nil"/>
            </w:tcBorders>
          </w:tcPr>
          <w:p w14:paraId="6681B29B" w14:textId="2B42D298" w:rsidR="00D127E9" w:rsidRPr="00095B95" w:rsidRDefault="00697942" w:rsidP="00D127E9">
            <w:pPr>
              <w:jc w:val="center"/>
              <w:rPr>
                <w:sz w:val="20"/>
                <w:szCs w:val="20"/>
              </w:rPr>
            </w:pPr>
            <w:r w:rsidRPr="00095B95">
              <w:rPr>
                <w:sz w:val="20"/>
                <w:szCs w:val="20"/>
              </w:rPr>
              <w:t>1.36</w:t>
            </w:r>
          </w:p>
        </w:tc>
        <w:tc>
          <w:tcPr>
            <w:tcW w:w="1404" w:type="dxa"/>
          </w:tcPr>
          <w:p w14:paraId="3FDB93DC" w14:textId="77777777" w:rsidR="00D127E9" w:rsidRPr="00095B95" w:rsidRDefault="00697942" w:rsidP="00D127E9">
            <w:pPr>
              <w:jc w:val="center"/>
              <w:rPr>
                <w:sz w:val="20"/>
                <w:szCs w:val="20"/>
              </w:rPr>
            </w:pPr>
            <w:r w:rsidRPr="00095B95">
              <w:rPr>
                <w:sz w:val="20"/>
                <w:szCs w:val="20"/>
              </w:rPr>
              <w:t>4.88</w:t>
            </w:r>
          </w:p>
          <w:p w14:paraId="18ADD7A0" w14:textId="6AF36AFE" w:rsidR="00697942" w:rsidRPr="00095B95" w:rsidRDefault="00697942" w:rsidP="00D127E9">
            <w:pPr>
              <w:jc w:val="center"/>
              <w:rPr>
                <w:sz w:val="20"/>
                <w:szCs w:val="20"/>
              </w:rPr>
            </w:pPr>
            <w:r w:rsidRPr="00095B95">
              <w:rPr>
                <w:sz w:val="20"/>
                <w:szCs w:val="20"/>
              </w:rPr>
              <w:t>(0.04)</w:t>
            </w:r>
          </w:p>
        </w:tc>
        <w:tc>
          <w:tcPr>
            <w:tcW w:w="1547" w:type="dxa"/>
          </w:tcPr>
          <w:p w14:paraId="20517E54" w14:textId="77777777" w:rsidR="00D127E9" w:rsidRPr="00095B95" w:rsidRDefault="00697942" w:rsidP="00D127E9">
            <w:pPr>
              <w:jc w:val="center"/>
              <w:rPr>
                <w:sz w:val="20"/>
                <w:szCs w:val="20"/>
              </w:rPr>
            </w:pPr>
            <w:r w:rsidRPr="00095B95">
              <w:rPr>
                <w:sz w:val="20"/>
                <w:szCs w:val="20"/>
              </w:rPr>
              <w:t>8.78</w:t>
            </w:r>
          </w:p>
          <w:p w14:paraId="6035DD81" w14:textId="1A17B37F" w:rsidR="00697942" w:rsidRPr="00095B95" w:rsidRDefault="00697942" w:rsidP="00D127E9">
            <w:pPr>
              <w:jc w:val="center"/>
              <w:rPr>
                <w:sz w:val="20"/>
                <w:szCs w:val="20"/>
              </w:rPr>
            </w:pPr>
            <w:r w:rsidRPr="00095B95">
              <w:rPr>
                <w:sz w:val="20"/>
                <w:szCs w:val="20"/>
              </w:rPr>
              <w:t>(0.01)</w:t>
            </w:r>
          </w:p>
        </w:tc>
        <w:tc>
          <w:tcPr>
            <w:tcW w:w="1547" w:type="dxa"/>
          </w:tcPr>
          <w:p w14:paraId="5590D8A1" w14:textId="77777777" w:rsidR="00D127E9" w:rsidRPr="00095B95" w:rsidRDefault="00697942" w:rsidP="00D127E9">
            <w:pPr>
              <w:jc w:val="center"/>
              <w:rPr>
                <w:sz w:val="20"/>
                <w:szCs w:val="20"/>
              </w:rPr>
            </w:pPr>
            <w:r w:rsidRPr="00095B95">
              <w:rPr>
                <w:sz w:val="20"/>
                <w:szCs w:val="20"/>
              </w:rPr>
              <w:t>2.51</w:t>
            </w:r>
          </w:p>
          <w:p w14:paraId="0D7F898A" w14:textId="0026AA3F" w:rsidR="00697942" w:rsidRPr="00095B95" w:rsidRDefault="00697942" w:rsidP="00D127E9">
            <w:pPr>
              <w:jc w:val="center"/>
              <w:rPr>
                <w:sz w:val="20"/>
                <w:szCs w:val="20"/>
              </w:rPr>
            </w:pPr>
            <w:r w:rsidRPr="00095B95">
              <w:rPr>
                <w:sz w:val="20"/>
                <w:szCs w:val="20"/>
              </w:rPr>
              <w:t>(0.13)</w:t>
            </w:r>
          </w:p>
        </w:tc>
      </w:tr>
      <w:tr w:rsidR="00F665F4" w:rsidRPr="00095B95" w14:paraId="7EA9F280" w14:textId="77777777" w:rsidTr="00F665F4">
        <w:tc>
          <w:tcPr>
            <w:tcW w:w="1980" w:type="dxa"/>
          </w:tcPr>
          <w:p w14:paraId="0459438A" w14:textId="18DAE55A" w:rsidR="00D127E9" w:rsidRPr="00095B95" w:rsidRDefault="00D127E9" w:rsidP="00D127E9">
            <w:pPr>
              <w:rPr>
                <w:sz w:val="20"/>
                <w:szCs w:val="20"/>
              </w:rPr>
            </w:pPr>
            <w:r w:rsidRPr="00095B95">
              <w:rPr>
                <w:sz w:val="20"/>
                <w:szCs w:val="20"/>
              </w:rPr>
              <w:t>Positive Effects</w:t>
            </w:r>
          </w:p>
        </w:tc>
        <w:tc>
          <w:tcPr>
            <w:tcW w:w="850" w:type="dxa"/>
            <w:tcBorders>
              <w:right w:val="nil"/>
            </w:tcBorders>
          </w:tcPr>
          <w:p w14:paraId="6F80C8CA" w14:textId="61A7D782" w:rsidR="00D127E9" w:rsidRPr="00095B95" w:rsidRDefault="00E245B4" w:rsidP="00D127E9">
            <w:pPr>
              <w:jc w:val="center"/>
              <w:rPr>
                <w:sz w:val="20"/>
                <w:szCs w:val="20"/>
              </w:rPr>
            </w:pPr>
            <w:r w:rsidRPr="00095B95">
              <w:rPr>
                <w:sz w:val="20"/>
                <w:szCs w:val="20"/>
              </w:rPr>
              <w:t>50.71</w:t>
            </w:r>
          </w:p>
        </w:tc>
        <w:tc>
          <w:tcPr>
            <w:tcW w:w="851" w:type="dxa"/>
            <w:tcBorders>
              <w:left w:val="nil"/>
              <w:right w:val="single" w:sz="4" w:space="0" w:color="auto"/>
            </w:tcBorders>
          </w:tcPr>
          <w:p w14:paraId="3AA3EE69" w14:textId="7B6A0CEF" w:rsidR="00D127E9" w:rsidRPr="00095B95" w:rsidRDefault="00E245B4" w:rsidP="00D127E9">
            <w:pPr>
              <w:jc w:val="center"/>
              <w:rPr>
                <w:sz w:val="20"/>
                <w:szCs w:val="20"/>
              </w:rPr>
            </w:pPr>
            <w:r w:rsidRPr="00095B95">
              <w:rPr>
                <w:sz w:val="20"/>
                <w:szCs w:val="20"/>
              </w:rPr>
              <w:t>19.82</w:t>
            </w:r>
          </w:p>
        </w:tc>
        <w:tc>
          <w:tcPr>
            <w:tcW w:w="850" w:type="dxa"/>
            <w:tcBorders>
              <w:left w:val="single" w:sz="4" w:space="0" w:color="auto"/>
              <w:right w:val="nil"/>
            </w:tcBorders>
          </w:tcPr>
          <w:p w14:paraId="3DFE03BE" w14:textId="05A681B4" w:rsidR="00D127E9" w:rsidRPr="00095B95" w:rsidRDefault="00E245B4" w:rsidP="00D127E9">
            <w:pPr>
              <w:jc w:val="center"/>
              <w:rPr>
                <w:sz w:val="20"/>
                <w:szCs w:val="20"/>
              </w:rPr>
            </w:pPr>
            <w:r w:rsidRPr="00095B95">
              <w:rPr>
                <w:sz w:val="20"/>
                <w:szCs w:val="20"/>
              </w:rPr>
              <w:t>62.64</w:t>
            </w:r>
          </w:p>
        </w:tc>
        <w:tc>
          <w:tcPr>
            <w:tcW w:w="851" w:type="dxa"/>
            <w:tcBorders>
              <w:left w:val="nil"/>
              <w:right w:val="single" w:sz="4" w:space="0" w:color="auto"/>
            </w:tcBorders>
          </w:tcPr>
          <w:p w14:paraId="54E26272" w14:textId="2378EF0E" w:rsidR="00D127E9" w:rsidRPr="00095B95" w:rsidRDefault="00E245B4" w:rsidP="00D127E9">
            <w:pPr>
              <w:jc w:val="center"/>
              <w:rPr>
                <w:sz w:val="20"/>
                <w:szCs w:val="20"/>
              </w:rPr>
            </w:pPr>
            <w:r w:rsidRPr="00095B95">
              <w:rPr>
                <w:sz w:val="20"/>
                <w:szCs w:val="20"/>
              </w:rPr>
              <w:t>20.30</w:t>
            </w:r>
          </w:p>
        </w:tc>
        <w:tc>
          <w:tcPr>
            <w:tcW w:w="850" w:type="dxa"/>
            <w:tcBorders>
              <w:left w:val="single" w:sz="4" w:space="0" w:color="auto"/>
              <w:right w:val="nil"/>
            </w:tcBorders>
          </w:tcPr>
          <w:p w14:paraId="0BE781C4" w14:textId="193E5D37" w:rsidR="00D127E9" w:rsidRPr="00095B95" w:rsidRDefault="00E245B4" w:rsidP="00D127E9">
            <w:pPr>
              <w:jc w:val="center"/>
              <w:rPr>
                <w:sz w:val="20"/>
                <w:szCs w:val="20"/>
              </w:rPr>
            </w:pPr>
            <w:r w:rsidRPr="00095B95">
              <w:rPr>
                <w:sz w:val="20"/>
                <w:szCs w:val="20"/>
              </w:rPr>
              <w:t>63.85</w:t>
            </w:r>
          </w:p>
        </w:tc>
        <w:tc>
          <w:tcPr>
            <w:tcW w:w="851" w:type="dxa"/>
            <w:tcBorders>
              <w:left w:val="nil"/>
              <w:right w:val="single" w:sz="4" w:space="0" w:color="auto"/>
            </w:tcBorders>
          </w:tcPr>
          <w:p w14:paraId="4B69E138" w14:textId="7B154431" w:rsidR="00D127E9" w:rsidRPr="00095B95" w:rsidRDefault="00E245B4" w:rsidP="00D127E9">
            <w:pPr>
              <w:jc w:val="center"/>
              <w:rPr>
                <w:sz w:val="20"/>
                <w:szCs w:val="20"/>
              </w:rPr>
            </w:pPr>
            <w:r w:rsidRPr="00095B95">
              <w:rPr>
                <w:sz w:val="20"/>
                <w:szCs w:val="20"/>
              </w:rPr>
              <w:t>21.58</w:t>
            </w:r>
          </w:p>
        </w:tc>
        <w:tc>
          <w:tcPr>
            <w:tcW w:w="850" w:type="dxa"/>
            <w:tcBorders>
              <w:left w:val="single" w:sz="4" w:space="0" w:color="auto"/>
              <w:right w:val="nil"/>
            </w:tcBorders>
          </w:tcPr>
          <w:p w14:paraId="37F1F0D8" w14:textId="2B688AC8" w:rsidR="00D127E9" w:rsidRPr="00095B95" w:rsidRDefault="00E245B4" w:rsidP="00D127E9">
            <w:pPr>
              <w:jc w:val="center"/>
              <w:rPr>
                <w:sz w:val="20"/>
                <w:szCs w:val="20"/>
              </w:rPr>
            </w:pPr>
            <w:r w:rsidRPr="00095B95">
              <w:rPr>
                <w:sz w:val="20"/>
                <w:szCs w:val="20"/>
              </w:rPr>
              <w:t>63.42</w:t>
            </w:r>
          </w:p>
        </w:tc>
        <w:tc>
          <w:tcPr>
            <w:tcW w:w="993" w:type="dxa"/>
            <w:tcBorders>
              <w:left w:val="nil"/>
            </w:tcBorders>
          </w:tcPr>
          <w:p w14:paraId="57B15D98" w14:textId="1A47FF5C" w:rsidR="00D127E9" w:rsidRPr="00095B95" w:rsidRDefault="00E245B4" w:rsidP="00D127E9">
            <w:pPr>
              <w:jc w:val="center"/>
              <w:rPr>
                <w:sz w:val="20"/>
                <w:szCs w:val="20"/>
              </w:rPr>
            </w:pPr>
            <w:r w:rsidRPr="00095B95">
              <w:rPr>
                <w:sz w:val="20"/>
                <w:szCs w:val="20"/>
              </w:rPr>
              <w:t>22.25</w:t>
            </w:r>
          </w:p>
        </w:tc>
        <w:tc>
          <w:tcPr>
            <w:tcW w:w="1404" w:type="dxa"/>
          </w:tcPr>
          <w:p w14:paraId="06D8C126" w14:textId="77777777" w:rsidR="00D127E9" w:rsidRPr="00095B95" w:rsidRDefault="00E245B4" w:rsidP="00D127E9">
            <w:pPr>
              <w:jc w:val="center"/>
              <w:rPr>
                <w:sz w:val="20"/>
                <w:szCs w:val="20"/>
              </w:rPr>
            </w:pPr>
            <w:r w:rsidRPr="00095B95">
              <w:rPr>
                <w:sz w:val="20"/>
                <w:szCs w:val="20"/>
              </w:rPr>
              <w:t>2.06</w:t>
            </w:r>
          </w:p>
          <w:p w14:paraId="4A6062DD" w14:textId="182E4452" w:rsidR="00E245B4" w:rsidRPr="00095B95" w:rsidRDefault="00E245B4" w:rsidP="00D127E9">
            <w:pPr>
              <w:jc w:val="center"/>
              <w:rPr>
                <w:sz w:val="20"/>
                <w:szCs w:val="20"/>
              </w:rPr>
            </w:pPr>
            <w:r w:rsidRPr="00095B95">
              <w:rPr>
                <w:sz w:val="20"/>
                <w:szCs w:val="20"/>
              </w:rPr>
              <w:t>(0.17)</w:t>
            </w:r>
          </w:p>
        </w:tc>
        <w:tc>
          <w:tcPr>
            <w:tcW w:w="1547" w:type="dxa"/>
          </w:tcPr>
          <w:p w14:paraId="27718E5F" w14:textId="77777777" w:rsidR="00D127E9" w:rsidRPr="00095B95" w:rsidRDefault="00E245B4" w:rsidP="00D127E9">
            <w:pPr>
              <w:jc w:val="center"/>
              <w:rPr>
                <w:sz w:val="20"/>
                <w:szCs w:val="20"/>
              </w:rPr>
            </w:pPr>
            <w:r w:rsidRPr="00095B95">
              <w:rPr>
                <w:sz w:val="20"/>
                <w:szCs w:val="20"/>
              </w:rPr>
              <w:t>4.69</w:t>
            </w:r>
          </w:p>
          <w:p w14:paraId="6EBD9F89" w14:textId="67D6338B" w:rsidR="00E245B4" w:rsidRPr="00095B95" w:rsidRDefault="00E245B4" w:rsidP="00D127E9">
            <w:pPr>
              <w:jc w:val="center"/>
              <w:rPr>
                <w:sz w:val="20"/>
                <w:szCs w:val="20"/>
              </w:rPr>
            </w:pPr>
            <w:r w:rsidRPr="00095B95">
              <w:rPr>
                <w:sz w:val="20"/>
                <w:szCs w:val="20"/>
              </w:rPr>
              <w:t>(0.05)</w:t>
            </w:r>
          </w:p>
        </w:tc>
        <w:tc>
          <w:tcPr>
            <w:tcW w:w="1547" w:type="dxa"/>
          </w:tcPr>
          <w:p w14:paraId="14BB3A49" w14:textId="77777777" w:rsidR="00D127E9" w:rsidRPr="00095B95" w:rsidRDefault="00E245B4" w:rsidP="00D127E9">
            <w:pPr>
              <w:jc w:val="center"/>
              <w:rPr>
                <w:sz w:val="20"/>
                <w:szCs w:val="20"/>
              </w:rPr>
            </w:pPr>
            <w:r w:rsidRPr="00095B95">
              <w:rPr>
                <w:sz w:val="20"/>
                <w:szCs w:val="20"/>
              </w:rPr>
              <w:t>26.48</w:t>
            </w:r>
          </w:p>
          <w:p w14:paraId="7B9E3025" w14:textId="4078D5C4" w:rsidR="00E245B4" w:rsidRPr="00095B95" w:rsidRDefault="00E245B4" w:rsidP="00D127E9">
            <w:pPr>
              <w:jc w:val="center"/>
              <w:rPr>
                <w:sz w:val="20"/>
                <w:szCs w:val="20"/>
              </w:rPr>
            </w:pPr>
            <w:r w:rsidRPr="00095B95">
              <w:rPr>
                <w:sz w:val="20"/>
                <w:szCs w:val="20"/>
              </w:rPr>
              <w:t>(0.001)</w:t>
            </w:r>
          </w:p>
        </w:tc>
      </w:tr>
      <w:tr w:rsidR="00F665F4" w:rsidRPr="00095B95" w14:paraId="7188BB5D" w14:textId="77777777" w:rsidTr="00F665F4">
        <w:tc>
          <w:tcPr>
            <w:tcW w:w="1980" w:type="dxa"/>
          </w:tcPr>
          <w:p w14:paraId="68881C28" w14:textId="4F891375" w:rsidR="00D127E9" w:rsidRPr="00095B95" w:rsidRDefault="00D127E9" w:rsidP="00D127E9">
            <w:pPr>
              <w:rPr>
                <w:sz w:val="20"/>
                <w:szCs w:val="20"/>
              </w:rPr>
            </w:pPr>
            <w:r w:rsidRPr="00095B95">
              <w:rPr>
                <w:sz w:val="20"/>
                <w:szCs w:val="20"/>
              </w:rPr>
              <w:t>Negative Effects</w:t>
            </w:r>
          </w:p>
        </w:tc>
        <w:tc>
          <w:tcPr>
            <w:tcW w:w="850" w:type="dxa"/>
            <w:tcBorders>
              <w:right w:val="nil"/>
            </w:tcBorders>
          </w:tcPr>
          <w:p w14:paraId="48AD1D79" w14:textId="50690524" w:rsidR="00D127E9" w:rsidRPr="00095B95" w:rsidRDefault="00E245B4" w:rsidP="00D127E9">
            <w:pPr>
              <w:jc w:val="center"/>
              <w:rPr>
                <w:sz w:val="20"/>
                <w:szCs w:val="20"/>
              </w:rPr>
            </w:pPr>
            <w:r w:rsidRPr="00095B95">
              <w:rPr>
                <w:sz w:val="20"/>
                <w:szCs w:val="20"/>
              </w:rPr>
              <w:t>15.05</w:t>
            </w:r>
          </w:p>
        </w:tc>
        <w:tc>
          <w:tcPr>
            <w:tcW w:w="851" w:type="dxa"/>
            <w:tcBorders>
              <w:left w:val="nil"/>
              <w:right w:val="single" w:sz="4" w:space="0" w:color="auto"/>
            </w:tcBorders>
          </w:tcPr>
          <w:p w14:paraId="345076DC" w14:textId="619F7D3D" w:rsidR="00D127E9" w:rsidRPr="00095B95" w:rsidRDefault="00E245B4" w:rsidP="00D127E9">
            <w:pPr>
              <w:jc w:val="center"/>
              <w:rPr>
                <w:sz w:val="20"/>
                <w:szCs w:val="20"/>
              </w:rPr>
            </w:pPr>
            <w:r w:rsidRPr="00095B95">
              <w:rPr>
                <w:sz w:val="20"/>
                <w:szCs w:val="20"/>
              </w:rPr>
              <w:t>19.49</w:t>
            </w:r>
          </w:p>
        </w:tc>
        <w:tc>
          <w:tcPr>
            <w:tcW w:w="850" w:type="dxa"/>
            <w:tcBorders>
              <w:left w:val="single" w:sz="4" w:space="0" w:color="auto"/>
              <w:right w:val="nil"/>
            </w:tcBorders>
          </w:tcPr>
          <w:p w14:paraId="0DECAFD7" w14:textId="142EE281" w:rsidR="00D127E9" w:rsidRPr="00095B95" w:rsidRDefault="00E245B4" w:rsidP="00D127E9">
            <w:pPr>
              <w:jc w:val="center"/>
              <w:rPr>
                <w:sz w:val="20"/>
                <w:szCs w:val="20"/>
              </w:rPr>
            </w:pPr>
            <w:r w:rsidRPr="00095B95">
              <w:rPr>
                <w:sz w:val="20"/>
                <w:szCs w:val="20"/>
              </w:rPr>
              <w:t>22.25</w:t>
            </w:r>
          </w:p>
        </w:tc>
        <w:tc>
          <w:tcPr>
            <w:tcW w:w="851" w:type="dxa"/>
            <w:tcBorders>
              <w:left w:val="nil"/>
              <w:right w:val="single" w:sz="4" w:space="0" w:color="auto"/>
            </w:tcBorders>
          </w:tcPr>
          <w:p w14:paraId="4C227D62" w14:textId="158D7C10" w:rsidR="00D127E9" w:rsidRPr="00095B95" w:rsidRDefault="00E245B4" w:rsidP="00D127E9">
            <w:pPr>
              <w:jc w:val="center"/>
              <w:rPr>
                <w:sz w:val="20"/>
                <w:szCs w:val="20"/>
              </w:rPr>
            </w:pPr>
            <w:r w:rsidRPr="00095B95">
              <w:rPr>
                <w:sz w:val="20"/>
                <w:szCs w:val="20"/>
              </w:rPr>
              <w:t>22.75</w:t>
            </w:r>
          </w:p>
        </w:tc>
        <w:tc>
          <w:tcPr>
            <w:tcW w:w="850" w:type="dxa"/>
            <w:tcBorders>
              <w:left w:val="single" w:sz="4" w:space="0" w:color="auto"/>
              <w:right w:val="nil"/>
            </w:tcBorders>
          </w:tcPr>
          <w:p w14:paraId="6230EDDE" w14:textId="12CE6E21" w:rsidR="00D127E9" w:rsidRPr="00095B95" w:rsidRDefault="00E245B4" w:rsidP="00D127E9">
            <w:pPr>
              <w:jc w:val="center"/>
              <w:rPr>
                <w:sz w:val="20"/>
                <w:szCs w:val="20"/>
              </w:rPr>
            </w:pPr>
            <w:r w:rsidRPr="00095B95">
              <w:rPr>
                <w:sz w:val="20"/>
                <w:szCs w:val="20"/>
              </w:rPr>
              <w:t>11.26</w:t>
            </w:r>
          </w:p>
        </w:tc>
        <w:tc>
          <w:tcPr>
            <w:tcW w:w="851" w:type="dxa"/>
            <w:tcBorders>
              <w:left w:val="nil"/>
              <w:right w:val="single" w:sz="4" w:space="0" w:color="auto"/>
            </w:tcBorders>
          </w:tcPr>
          <w:p w14:paraId="0A22529D" w14:textId="1D779EB8" w:rsidR="00D127E9" w:rsidRPr="00095B95" w:rsidRDefault="00E245B4" w:rsidP="00D127E9">
            <w:pPr>
              <w:jc w:val="center"/>
              <w:rPr>
                <w:sz w:val="20"/>
                <w:szCs w:val="20"/>
              </w:rPr>
            </w:pPr>
            <w:r w:rsidRPr="00095B95">
              <w:rPr>
                <w:sz w:val="20"/>
                <w:szCs w:val="20"/>
              </w:rPr>
              <w:t>9.66</w:t>
            </w:r>
          </w:p>
        </w:tc>
        <w:tc>
          <w:tcPr>
            <w:tcW w:w="850" w:type="dxa"/>
            <w:tcBorders>
              <w:left w:val="single" w:sz="4" w:space="0" w:color="auto"/>
              <w:right w:val="nil"/>
            </w:tcBorders>
          </w:tcPr>
          <w:p w14:paraId="61C81944" w14:textId="7428D2B0" w:rsidR="00D127E9" w:rsidRPr="00095B95" w:rsidRDefault="00E245B4" w:rsidP="00D127E9">
            <w:pPr>
              <w:jc w:val="center"/>
              <w:rPr>
                <w:sz w:val="20"/>
                <w:szCs w:val="20"/>
              </w:rPr>
            </w:pPr>
            <w:r w:rsidRPr="00095B95">
              <w:rPr>
                <w:sz w:val="20"/>
                <w:szCs w:val="20"/>
              </w:rPr>
              <w:t>14.74</w:t>
            </w:r>
          </w:p>
        </w:tc>
        <w:tc>
          <w:tcPr>
            <w:tcW w:w="993" w:type="dxa"/>
            <w:tcBorders>
              <w:left w:val="nil"/>
            </w:tcBorders>
          </w:tcPr>
          <w:p w14:paraId="547E2370" w14:textId="79636DE7" w:rsidR="00D127E9" w:rsidRPr="00095B95" w:rsidRDefault="00E245B4" w:rsidP="00D127E9">
            <w:pPr>
              <w:jc w:val="center"/>
              <w:rPr>
                <w:sz w:val="20"/>
                <w:szCs w:val="20"/>
              </w:rPr>
            </w:pPr>
            <w:r w:rsidRPr="00095B95">
              <w:rPr>
                <w:sz w:val="20"/>
                <w:szCs w:val="20"/>
              </w:rPr>
              <w:t>12.84</w:t>
            </w:r>
          </w:p>
        </w:tc>
        <w:tc>
          <w:tcPr>
            <w:tcW w:w="1404" w:type="dxa"/>
          </w:tcPr>
          <w:p w14:paraId="46911A34" w14:textId="77777777" w:rsidR="00D127E9" w:rsidRPr="00095B95" w:rsidRDefault="00E245B4" w:rsidP="00D127E9">
            <w:pPr>
              <w:jc w:val="center"/>
              <w:rPr>
                <w:sz w:val="20"/>
                <w:szCs w:val="20"/>
              </w:rPr>
            </w:pPr>
            <w:r w:rsidRPr="00095B95">
              <w:rPr>
                <w:sz w:val="20"/>
                <w:szCs w:val="20"/>
              </w:rPr>
              <w:t>3.37</w:t>
            </w:r>
          </w:p>
          <w:p w14:paraId="06226272" w14:textId="4A9D0FB8" w:rsidR="00E245B4" w:rsidRPr="00095B95" w:rsidRDefault="00E245B4" w:rsidP="00D127E9">
            <w:pPr>
              <w:jc w:val="center"/>
              <w:rPr>
                <w:sz w:val="20"/>
                <w:szCs w:val="20"/>
              </w:rPr>
            </w:pPr>
            <w:r w:rsidRPr="00095B95">
              <w:rPr>
                <w:sz w:val="20"/>
                <w:szCs w:val="20"/>
              </w:rPr>
              <w:t>(0.09)</w:t>
            </w:r>
          </w:p>
        </w:tc>
        <w:tc>
          <w:tcPr>
            <w:tcW w:w="1547" w:type="dxa"/>
          </w:tcPr>
          <w:p w14:paraId="4B13DA20" w14:textId="77777777" w:rsidR="00D127E9" w:rsidRPr="00095B95" w:rsidRDefault="00E245B4" w:rsidP="00D127E9">
            <w:pPr>
              <w:jc w:val="center"/>
              <w:rPr>
                <w:sz w:val="20"/>
                <w:szCs w:val="20"/>
              </w:rPr>
            </w:pPr>
            <w:r w:rsidRPr="00095B95">
              <w:rPr>
                <w:sz w:val="20"/>
                <w:szCs w:val="20"/>
              </w:rPr>
              <w:t>5.36</w:t>
            </w:r>
          </w:p>
          <w:p w14:paraId="70277253" w14:textId="24D9D355" w:rsidR="00E245B4" w:rsidRPr="00095B95" w:rsidRDefault="00E245B4" w:rsidP="00D127E9">
            <w:pPr>
              <w:jc w:val="center"/>
              <w:rPr>
                <w:sz w:val="20"/>
                <w:szCs w:val="20"/>
              </w:rPr>
            </w:pPr>
            <w:r w:rsidRPr="00095B95">
              <w:rPr>
                <w:sz w:val="20"/>
                <w:szCs w:val="20"/>
              </w:rPr>
              <w:t>(0.03)</w:t>
            </w:r>
          </w:p>
        </w:tc>
        <w:tc>
          <w:tcPr>
            <w:tcW w:w="1547" w:type="dxa"/>
          </w:tcPr>
          <w:p w14:paraId="1C907920" w14:textId="77777777" w:rsidR="00D127E9" w:rsidRPr="00095B95" w:rsidRDefault="00E245B4" w:rsidP="00D127E9">
            <w:pPr>
              <w:jc w:val="center"/>
              <w:rPr>
                <w:sz w:val="20"/>
                <w:szCs w:val="20"/>
              </w:rPr>
            </w:pPr>
            <w:r w:rsidRPr="00095B95">
              <w:rPr>
                <w:sz w:val="20"/>
                <w:szCs w:val="20"/>
              </w:rPr>
              <w:t>0.38</w:t>
            </w:r>
          </w:p>
          <w:p w14:paraId="3459BBDC" w14:textId="4292BDE0" w:rsidR="00E245B4" w:rsidRPr="00095B95" w:rsidRDefault="00E245B4" w:rsidP="00D127E9">
            <w:pPr>
              <w:jc w:val="center"/>
              <w:rPr>
                <w:sz w:val="20"/>
                <w:szCs w:val="20"/>
              </w:rPr>
            </w:pPr>
            <w:r w:rsidRPr="00095B95">
              <w:rPr>
                <w:sz w:val="20"/>
                <w:szCs w:val="20"/>
              </w:rPr>
              <w:t>(0.55)</w:t>
            </w:r>
          </w:p>
        </w:tc>
      </w:tr>
      <w:tr w:rsidR="00D127E9" w:rsidRPr="00095B95" w14:paraId="1DDFBE0E" w14:textId="77777777" w:rsidTr="008A1F94">
        <w:tc>
          <w:tcPr>
            <w:tcW w:w="13424" w:type="dxa"/>
            <w:gridSpan w:val="12"/>
          </w:tcPr>
          <w:p w14:paraId="213F8BB7" w14:textId="5B6A7FFE" w:rsidR="00D127E9" w:rsidRPr="00095B95" w:rsidRDefault="00D127E9" w:rsidP="00D127E9">
            <w:pPr>
              <w:rPr>
                <w:b/>
                <w:sz w:val="20"/>
                <w:szCs w:val="20"/>
              </w:rPr>
            </w:pPr>
            <w:r w:rsidRPr="00095B95">
              <w:rPr>
                <w:b/>
                <w:sz w:val="20"/>
                <w:szCs w:val="20"/>
              </w:rPr>
              <w:t>Biomarkers</w:t>
            </w:r>
          </w:p>
        </w:tc>
      </w:tr>
      <w:tr w:rsidR="00F665F4" w:rsidRPr="00095B95" w14:paraId="28F3E0B7" w14:textId="3A0F69FC" w:rsidTr="00F665F4">
        <w:tc>
          <w:tcPr>
            <w:tcW w:w="1980" w:type="dxa"/>
          </w:tcPr>
          <w:p w14:paraId="2DA567B5" w14:textId="3AEEB268" w:rsidR="004440BE" w:rsidRPr="00095B95" w:rsidRDefault="004440BE" w:rsidP="00D127E9">
            <w:pPr>
              <w:rPr>
                <w:sz w:val="20"/>
                <w:szCs w:val="20"/>
              </w:rPr>
            </w:pPr>
            <w:r w:rsidRPr="00095B95">
              <w:rPr>
                <w:sz w:val="20"/>
                <w:szCs w:val="20"/>
              </w:rPr>
              <w:t>Salivary Cotinine (ng/mL)</w:t>
            </w:r>
          </w:p>
        </w:tc>
        <w:tc>
          <w:tcPr>
            <w:tcW w:w="850" w:type="dxa"/>
            <w:tcBorders>
              <w:right w:val="nil"/>
            </w:tcBorders>
          </w:tcPr>
          <w:p w14:paraId="3D885289" w14:textId="4FF1AF07" w:rsidR="004440BE" w:rsidRPr="00095B95" w:rsidRDefault="004440BE" w:rsidP="00D127E9">
            <w:pPr>
              <w:jc w:val="center"/>
              <w:rPr>
                <w:sz w:val="20"/>
                <w:szCs w:val="20"/>
              </w:rPr>
            </w:pPr>
            <w:r w:rsidRPr="00095B95">
              <w:rPr>
                <w:sz w:val="20"/>
                <w:szCs w:val="20"/>
              </w:rPr>
              <w:t>250.45</w:t>
            </w:r>
          </w:p>
        </w:tc>
        <w:tc>
          <w:tcPr>
            <w:tcW w:w="851" w:type="dxa"/>
            <w:tcBorders>
              <w:left w:val="nil"/>
              <w:right w:val="single" w:sz="4" w:space="0" w:color="auto"/>
            </w:tcBorders>
          </w:tcPr>
          <w:p w14:paraId="0D4E1092" w14:textId="33905820" w:rsidR="004440BE" w:rsidRPr="00095B95" w:rsidRDefault="004440BE" w:rsidP="00D127E9">
            <w:pPr>
              <w:jc w:val="center"/>
              <w:rPr>
                <w:sz w:val="20"/>
                <w:szCs w:val="20"/>
              </w:rPr>
            </w:pPr>
            <w:r w:rsidRPr="00095B95">
              <w:rPr>
                <w:sz w:val="20"/>
                <w:szCs w:val="20"/>
              </w:rPr>
              <w:t>188.23</w:t>
            </w:r>
          </w:p>
        </w:tc>
        <w:tc>
          <w:tcPr>
            <w:tcW w:w="850" w:type="dxa"/>
            <w:tcBorders>
              <w:left w:val="single" w:sz="4" w:space="0" w:color="auto"/>
              <w:right w:val="nil"/>
            </w:tcBorders>
          </w:tcPr>
          <w:p w14:paraId="044F75DE" w14:textId="622865D6" w:rsidR="004440BE" w:rsidRPr="00095B95" w:rsidRDefault="004440BE" w:rsidP="00D127E9">
            <w:pPr>
              <w:jc w:val="center"/>
              <w:rPr>
                <w:sz w:val="20"/>
                <w:szCs w:val="20"/>
              </w:rPr>
            </w:pPr>
            <w:r w:rsidRPr="00095B95">
              <w:rPr>
                <w:sz w:val="20"/>
                <w:szCs w:val="20"/>
              </w:rPr>
              <w:t>402.52</w:t>
            </w:r>
          </w:p>
        </w:tc>
        <w:tc>
          <w:tcPr>
            <w:tcW w:w="851" w:type="dxa"/>
            <w:tcBorders>
              <w:left w:val="nil"/>
              <w:right w:val="single" w:sz="4" w:space="0" w:color="auto"/>
            </w:tcBorders>
          </w:tcPr>
          <w:p w14:paraId="2715F2BE" w14:textId="2BE7DE06" w:rsidR="004440BE" w:rsidRPr="00095B95" w:rsidRDefault="004440BE" w:rsidP="00D127E9">
            <w:pPr>
              <w:jc w:val="center"/>
              <w:rPr>
                <w:sz w:val="20"/>
                <w:szCs w:val="20"/>
              </w:rPr>
            </w:pPr>
            <w:r w:rsidRPr="00095B95">
              <w:rPr>
                <w:sz w:val="20"/>
                <w:szCs w:val="20"/>
              </w:rPr>
              <w:t>190.00</w:t>
            </w:r>
          </w:p>
        </w:tc>
        <w:tc>
          <w:tcPr>
            <w:tcW w:w="850" w:type="dxa"/>
            <w:tcBorders>
              <w:left w:val="single" w:sz="4" w:space="0" w:color="auto"/>
              <w:right w:val="nil"/>
            </w:tcBorders>
          </w:tcPr>
          <w:p w14:paraId="5AC4FD35" w14:textId="12EFF698" w:rsidR="004440BE" w:rsidRPr="00095B95" w:rsidRDefault="004440BE" w:rsidP="00D127E9">
            <w:pPr>
              <w:jc w:val="center"/>
              <w:rPr>
                <w:sz w:val="20"/>
                <w:szCs w:val="20"/>
              </w:rPr>
            </w:pPr>
            <w:r w:rsidRPr="00095B95">
              <w:rPr>
                <w:sz w:val="20"/>
                <w:szCs w:val="20"/>
              </w:rPr>
              <w:t>274.95</w:t>
            </w:r>
          </w:p>
        </w:tc>
        <w:tc>
          <w:tcPr>
            <w:tcW w:w="851" w:type="dxa"/>
            <w:tcBorders>
              <w:left w:val="nil"/>
              <w:right w:val="single" w:sz="4" w:space="0" w:color="auto"/>
            </w:tcBorders>
          </w:tcPr>
          <w:p w14:paraId="7DB55414" w14:textId="3011E165" w:rsidR="004440BE" w:rsidRPr="00095B95" w:rsidRDefault="004440BE" w:rsidP="00D127E9">
            <w:pPr>
              <w:jc w:val="center"/>
              <w:rPr>
                <w:sz w:val="20"/>
                <w:szCs w:val="20"/>
              </w:rPr>
            </w:pPr>
            <w:r w:rsidRPr="00095B95">
              <w:rPr>
                <w:sz w:val="20"/>
                <w:szCs w:val="20"/>
              </w:rPr>
              <w:t>172.81</w:t>
            </w:r>
          </w:p>
        </w:tc>
        <w:tc>
          <w:tcPr>
            <w:tcW w:w="850" w:type="dxa"/>
            <w:tcBorders>
              <w:left w:val="single" w:sz="4" w:space="0" w:color="auto"/>
              <w:right w:val="nil"/>
            </w:tcBorders>
          </w:tcPr>
          <w:p w14:paraId="04A90B66" w14:textId="0AA733D0" w:rsidR="004440BE" w:rsidRPr="00095B95" w:rsidRDefault="004440BE" w:rsidP="00D127E9">
            <w:pPr>
              <w:jc w:val="center"/>
              <w:rPr>
                <w:sz w:val="20"/>
                <w:szCs w:val="20"/>
              </w:rPr>
            </w:pPr>
            <w:r w:rsidRPr="00095B95">
              <w:rPr>
                <w:sz w:val="20"/>
                <w:szCs w:val="20"/>
              </w:rPr>
              <w:t>405.21</w:t>
            </w:r>
          </w:p>
        </w:tc>
        <w:tc>
          <w:tcPr>
            <w:tcW w:w="993" w:type="dxa"/>
            <w:tcBorders>
              <w:left w:val="nil"/>
            </w:tcBorders>
          </w:tcPr>
          <w:p w14:paraId="4724BB39" w14:textId="21FADADA" w:rsidR="004440BE" w:rsidRPr="00095B95" w:rsidRDefault="004440BE" w:rsidP="00D127E9">
            <w:pPr>
              <w:jc w:val="center"/>
              <w:rPr>
                <w:sz w:val="20"/>
                <w:szCs w:val="20"/>
              </w:rPr>
            </w:pPr>
            <w:r w:rsidRPr="00095B95">
              <w:rPr>
                <w:sz w:val="20"/>
                <w:szCs w:val="20"/>
              </w:rPr>
              <w:t>192.80</w:t>
            </w:r>
          </w:p>
        </w:tc>
        <w:tc>
          <w:tcPr>
            <w:tcW w:w="1404" w:type="dxa"/>
          </w:tcPr>
          <w:p w14:paraId="2BB38F1A" w14:textId="2BE670EF" w:rsidR="004440BE" w:rsidRPr="00095B95" w:rsidRDefault="00890665" w:rsidP="00D127E9">
            <w:pPr>
              <w:jc w:val="center"/>
              <w:rPr>
                <w:sz w:val="20"/>
                <w:szCs w:val="20"/>
              </w:rPr>
            </w:pPr>
            <w:r w:rsidRPr="00095B95">
              <w:rPr>
                <w:sz w:val="20"/>
                <w:szCs w:val="20"/>
              </w:rPr>
              <w:t>17.49</w:t>
            </w:r>
          </w:p>
          <w:p w14:paraId="54711D57" w14:textId="4957233C" w:rsidR="003612D0" w:rsidRPr="00095B95" w:rsidRDefault="003612D0" w:rsidP="00D127E9">
            <w:pPr>
              <w:jc w:val="center"/>
              <w:rPr>
                <w:sz w:val="20"/>
                <w:szCs w:val="20"/>
              </w:rPr>
            </w:pPr>
            <w:r w:rsidRPr="00095B95">
              <w:rPr>
                <w:sz w:val="20"/>
                <w:szCs w:val="20"/>
              </w:rPr>
              <w:t>(0.001)</w:t>
            </w:r>
          </w:p>
        </w:tc>
        <w:tc>
          <w:tcPr>
            <w:tcW w:w="1547" w:type="dxa"/>
          </w:tcPr>
          <w:p w14:paraId="1A8D5554" w14:textId="68657CD1" w:rsidR="004440BE" w:rsidRPr="00095B95" w:rsidRDefault="00890665" w:rsidP="00D127E9">
            <w:pPr>
              <w:jc w:val="center"/>
              <w:rPr>
                <w:sz w:val="20"/>
                <w:szCs w:val="20"/>
              </w:rPr>
            </w:pPr>
            <w:r w:rsidRPr="00095B95">
              <w:rPr>
                <w:sz w:val="20"/>
                <w:szCs w:val="20"/>
              </w:rPr>
              <w:t>0.15</w:t>
            </w:r>
          </w:p>
          <w:p w14:paraId="7A16A34C" w14:textId="4045BC00" w:rsidR="007F5AD4" w:rsidRPr="00095B95" w:rsidRDefault="00890665" w:rsidP="00D127E9">
            <w:pPr>
              <w:jc w:val="center"/>
              <w:rPr>
                <w:sz w:val="20"/>
                <w:szCs w:val="20"/>
              </w:rPr>
            </w:pPr>
            <w:r w:rsidRPr="00095B95">
              <w:rPr>
                <w:sz w:val="20"/>
                <w:szCs w:val="20"/>
              </w:rPr>
              <w:t>(0.70</w:t>
            </w:r>
            <w:r w:rsidR="007F5AD4" w:rsidRPr="00095B95">
              <w:rPr>
                <w:sz w:val="20"/>
                <w:szCs w:val="20"/>
              </w:rPr>
              <w:t>)</w:t>
            </w:r>
          </w:p>
        </w:tc>
        <w:tc>
          <w:tcPr>
            <w:tcW w:w="1547" w:type="dxa"/>
          </w:tcPr>
          <w:p w14:paraId="5F2D96AB" w14:textId="488CA436" w:rsidR="004440BE" w:rsidRPr="00095B95" w:rsidRDefault="00890665" w:rsidP="00D127E9">
            <w:pPr>
              <w:jc w:val="center"/>
              <w:rPr>
                <w:sz w:val="20"/>
                <w:szCs w:val="20"/>
              </w:rPr>
            </w:pPr>
            <w:r w:rsidRPr="00095B95">
              <w:rPr>
                <w:sz w:val="20"/>
                <w:szCs w:val="20"/>
              </w:rPr>
              <w:t>0.12</w:t>
            </w:r>
          </w:p>
          <w:p w14:paraId="7C61C0CF" w14:textId="187B670B" w:rsidR="007F5AD4" w:rsidRPr="00095B95" w:rsidRDefault="00890665" w:rsidP="00D127E9">
            <w:pPr>
              <w:jc w:val="center"/>
              <w:rPr>
                <w:sz w:val="20"/>
                <w:szCs w:val="20"/>
              </w:rPr>
            </w:pPr>
            <w:r w:rsidRPr="00095B95">
              <w:rPr>
                <w:sz w:val="20"/>
                <w:szCs w:val="20"/>
              </w:rPr>
              <w:t>(0.73</w:t>
            </w:r>
            <w:r w:rsidR="007F5AD4" w:rsidRPr="00095B95">
              <w:rPr>
                <w:sz w:val="20"/>
                <w:szCs w:val="20"/>
              </w:rPr>
              <w:t>)</w:t>
            </w:r>
          </w:p>
        </w:tc>
      </w:tr>
      <w:tr w:rsidR="00F665F4" w:rsidRPr="00095B95" w14:paraId="384EB577" w14:textId="4D2EC45A" w:rsidTr="00F665F4">
        <w:tc>
          <w:tcPr>
            <w:tcW w:w="1980" w:type="dxa"/>
          </w:tcPr>
          <w:p w14:paraId="4A9F8C1F" w14:textId="24ED4C54" w:rsidR="004440BE" w:rsidRPr="00095B95" w:rsidRDefault="004440BE" w:rsidP="00D127E9">
            <w:pPr>
              <w:rPr>
                <w:sz w:val="20"/>
                <w:szCs w:val="20"/>
              </w:rPr>
            </w:pPr>
            <w:r w:rsidRPr="00095B95">
              <w:rPr>
                <w:sz w:val="20"/>
                <w:szCs w:val="20"/>
              </w:rPr>
              <w:t>3-HPMA (ng/mg creatinine)</w:t>
            </w:r>
          </w:p>
        </w:tc>
        <w:tc>
          <w:tcPr>
            <w:tcW w:w="850" w:type="dxa"/>
            <w:tcBorders>
              <w:right w:val="nil"/>
            </w:tcBorders>
          </w:tcPr>
          <w:p w14:paraId="65CF65BD" w14:textId="042614A7" w:rsidR="004440BE" w:rsidRPr="00095B95" w:rsidRDefault="004440BE" w:rsidP="00D127E9">
            <w:pPr>
              <w:jc w:val="center"/>
              <w:rPr>
                <w:sz w:val="20"/>
                <w:szCs w:val="20"/>
              </w:rPr>
            </w:pPr>
            <w:r w:rsidRPr="00095B95">
              <w:rPr>
                <w:sz w:val="20"/>
                <w:szCs w:val="20"/>
              </w:rPr>
              <w:t>211.83</w:t>
            </w:r>
          </w:p>
        </w:tc>
        <w:tc>
          <w:tcPr>
            <w:tcW w:w="851" w:type="dxa"/>
            <w:tcBorders>
              <w:left w:val="nil"/>
              <w:right w:val="single" w:sz="4" w:space="0" w:color="auto"/>
            </w:tcBorders>
          </w:tcPr>
          <w:p w14:paraId="607EF3C0" w14:textId="37B6999E" w:rsidR="004440BE" w:rsidRPr="00095B95" w:rsidRDefault="004440BE" w:rsidP="00D127E9">
            <w:pPr>
              <w:jc w:val="center"/>
              <w:rPr>
                <w:sz w:val="20"/>
                <w:szCs w:val="20"/>
              </w:rPr>
            </w:pPr>
            <w:r w:rsidRPr="00095B95">
              <w:rPr>
                <w:sz w:val="20"/>
                <w:szCs w:val="20"/>
              </w:rPr>
              <w:t>133.09</w:t>
            </w:r>
          </w:p>
        </w:tc>
        <w:tc>
          <w:tcPr>
            <w:tcW w:w="850" w:type="dxa"/>
            <w:tcBorders>
              <w:left w:val="single" w:sz="4" w:space="0" w:color="auto"/>
              <w:right w:val="nil"/>
            </w:tcBorders>
          </w:tcPr>
          <w:p w14:paraId="39BC9B53" w14:textId="08ADBE08" w:rsidR="004440BE" w:rsidRPr="00095B95" w:rsidRDefault="004440BE" w:rsidP="00D127E9">
            <w:pPr>
              <w:jc w:val="center"/>
              <w:rPr>
                <w:sz w:val="20"/>
                <w:szCs w:val="20"/>
              </w:rPr>
            </w:pPr>
            <w:r w:rsidRPr="00095B95">
              <w:rPr>
                <w:sz w:val="20"/>
                <w:szCs w:val="20"/>
              </w:rPr>
              <w:t>262.73</w:t>
            </w:r>
          </w:p>
        </w:tc>
        <w:tc>
          <w:tcPr>
            <w:tcW w:w="851" w:type="dxa"/>
            <w:tcBorders>
              <w:left w:val="nil"/>
              <w:right w:val="single" w:sz="4" w:space="0" w:color="auto"/>
            </w:tcBorders>
          </w:tcPr>
          <w:p w14:paraId="139F8C68" w14:textId="01DCAB50" w:rsidR="004440BE" w:rsidRPr="00095B95" w:rsidRDefault="004440BE" w:rsidP="00D127E9">
            <w:pPr>
              <w:jc w:val="center"/>
              <w:rPr>
                <w:sz w:val="20"/>
                <w:szCs w:val="20"/>
              </w:rPr>
            </w:pPr>
            <w:r w:rsidRPr="00095B95">
              <w:rPr>
                <w:sz w:val="20"/>
                <w:szCs w:val="20"/>
              </w:rPr>
              <w:t>202.50</w:t>
            </w:r>
          </w:p>
        </w:tc>
        <w:tc>
          <w:tcPr>
            <w:tcW w:w="850" w:type="dxa"/>
            <w:tcBorders>
              <w:left w:val="single" w:sz="4" w:space="0" w:color="auto"/>
              <w:right w:val="nil"/>
            </w:tcBorders>
          </w:tcPr>
          <w:p w14:paraId="3F170692" w14:textId="17AA8C51" w:rsidR="004440BE" w:rsidRPr="00095B95" w:rsidRDefault="004440BE" w:rsidP="00D127E9">
            <w:pPr>
              <w:jc w:val="center"/>
              <w:rPr>
                <w:sz w:val="20"/>
                <w:szCs w:val="20"/>
              </w:rPr>
            </w:pPr>
            <w:r w:rsidRPr="00095B95">
              <w:rPr>
                <w:sz w:val="20"/>
                <w:szCs w:val="20"/>
              </w:rPr>
              <w:t>224.13</w:t>
            </w:r>
          </w:p>
        </w:tc>
        <w:tc>
          <w:tcPr>
            <w:tcW w:w="851" w:type="dxa"/>
            <w:tcBorders>
              <w:left w:val="nil"/>
              <w:right w:val="single" w:sz="4" w:space="0" w:color="auto"/>
            </w:tcBorders>
          </w:tcPr>
          <w:p w14:paraId="7163F1F1" w14:textId="0903802D" w:rsidR="004440BE" w:rsidRPr="00095B95" w:rsidRDefault="004440BE" w:rsidP="00D127E9">
            <w:pPr>
              <w:jc w:val="center"/>
              <w:rPr>
                <w:sz w:val="20"/>
                <w:szCs w:val="20"/>
              </w:rPr>
            </w:pPr>
            <w:r w:rsidRPr="00095B95">
              <w:rPr>
                <w:sz w:val="20"/>
                <w:szCs w:val="20"/>
              </w:rPr>
              <w:t>343.39</w:t>
            </w:r>
          </w:p>
        </w:tc>
        <w:tc>
          <w:tcPr>
            <w:tcW w:w="850" w:type="dxa"/>
            <w:tcBorders>
              <w:left w:val="single" w:sz="4" w:space="0" w:color="auto"/>
              <w:right w:val="nil"/>
            </w:tcBorders>
          </w:tcPr>
          <w:p w14:paraId="27985867" w14:textId="0EAA315A" w:rsidR="004440BE" w:rsidRPr="00095B95" w:rsidRDefault="004440BE" w:rsidP="00D127E9">
            <w:pPr>
              <w:jc w:val="center"/>
              <w:rPr>
                <w:sz w:val="20"/>
                <w:szCs w:val="20"/>
              </w:rPr>
            </w:pPr>
            <w:r w:rsidRPr="00095B95">
              <w:rPr>
                <w:sz w:val="20"/>
                <w:szCs w:val="20"/>
              </w:rPr>
              <w:t>378.35</w:t>
            </w:r>
          </w:p>
        </w:tc>
        <w:tc>
          <w:tcPr>
            <w:tcW w:w="993" w:type="dxa"/>
            <w:tcBorders>
              <w:left w:val="nil"/>
            </w:tcBorders>
          </w:tcPr>
          <w:p w14:paraId="1A842AEE" w14:textId="3D05763E" w:rsidR="004440BE" w:rsidRPr="00095B95" w:rsidRDefault="004440BE" w:rsidP="00D127E9">
            <w:pPr>
              <w:jc w:val="center"/>
              <w:rPr>
                <w:sz w:val="20"/>
                <w:szCs w:val="20"/>
              </w:rPr>
            </w:pPr>
            <w:r w:rsidRPr="00095B95">
              <w:rPr>
                <w:sz w:val="20"/>
                <w:szCs w:val="20"/>
              </w:rPr>
              <w:t>467.35</w:t>
            </w:r>
          </w:p>
        </w:tc>
        <w:tc>
          <w:tcPr>
            <w:tcW w:w="1404" w:type="dxa"/>
          </w:tcPr>
          <w:p w14:paraId="34CA0767" w14:textId="5C8A89C3" w:rsidR="004440BE" w:rsidRPr="00095B95" w:rsidRDefault="00C77136" w:rsidP="00D127E9">
            <w:pPr>
              <w:jc w:val="center"/>
              <w:rPr>
                <w:sz w:val="20"/>
                <w:szCs w:val="20"/>
              </w:rPr>
            </w:pPr>
            <w:r w:rsidRPr="00095B95">
              <w:rPr>
                <w:sz w:val="20"/>
                <w:szCs w:val="20"/>
              </w:rPr>
              <w:t>0.82</w:t>
            </w:r>
          </w:p>
          <w:p w14:paraId="3FC04872" w14:textId="714A5A21" w:rsidR="007F5AD4" w:rsidRPr="00095B95" w:rsidRDefault="00C77136" w:rsidP="00D127E9">
            <w:pPr>
              <w:jc w:val="center"/>
              <w:rPr>
                <w:sz w:val="20"/>
                <w:szCs w:val="20"/>
              </w:rPr>
            </w:pPr>
            <w:r w:rsidRPr="00095B95">
              <w:rPr>
                <w:sz w:val="20"/>
                <w:szCs w:val="20"/>
              </w:rPr>
              <w:t>(0.38</w:t>
            </w:r>
            <w:r w:rsidR="007F5AD4" w:rsidRPr="00095B95">
              <w:rPr>
                <w:sz w:val="20"/>
                <w:szCs w:val="20"/>
              </w:rPr>
              <w:t>)</w:t>
            </w:r>
          </w:p>
        </w:tc>
        <w:tc>
          <w:tcPr>
            <w:tcW w:w="1547" w:type="dxa"/>
          </w:tcPr>
          <w:p w14:paraId="5CD20E0B" w14:textId="17BEF47B" w:rsidR="004440BE" w:rsidRPr="00095B95" w:rsidRDefault="00890665" w:rsidP="00D127E9">
            <w:pPr>
              <w:jc w:val="center"/>
              <w:rPr>
                <w:sz w:val="20"/>
                <w:szCs w:val="20"/>
              </w:rPr>
            </w:pPr>
            <w:r w:rsidRPr="00095B95">
              <w:rPr>
                <w:sz w:val="20"/>
                <w:szCs w:val="20"/>
              </w:rPr>
              <w:t>0.29</w:t>
            </w:r>
          </w:p>
          <w:p w14:paraId="3E83EA01" w14:textId="73ACD74B" w:rsidR="007F5AD4" w:rsidRPr="00095B95" w:rsidRDefault="00890665" w:rsidP="00D127E9">
            <w:pPr>
              <w:jc w:val="center"/>
              <w:rPr>
                <w:sz w:val="20"/>
                <w:szCs w:val="20"/>
              </w:rPr>
            </w:pPr>
            <w:r w:rsidRPr="00095B95">
              <w:rPr>
                <w:sz w:val="20"/>
                <w:szCs w:val="20"/>
              </w:rPr>
              <w:t>(0.60</w:t>
            </w:r>
            <w:r w:rsidR="007F5AD4" w:rsidRPr="00095B95">
              <w:rPr>
                <w:sz w:val="20"/>
                <w:szCs w:val="20"/>
              </w:rPr>
              <w:t>)</w:t>
            </w:r>
          </w:p>
        </w:tc>
        <w:tc>
          <w:tcPr>
            <w:tcW w:w="1547" w:type="dxa"/>
          </w:tcPr>
          <w:p w14:paraId="445D0628" w14:textId="4AD9A130" w:rsidR="004440BE" w:rsidRPr="00095B95" w:rsidRDefault="007F5AD4" w:rsidP="00D127E9">
            <w:pPr>
              <w:jc w:val="center"/>
              <w:rPr>
                <w:sz w:val="20"/>
                <w:szCs w:val="20"/>
              </w:rPr>
            </w:pPr>
            <w:r w:rsidRPr="00095B95">
              <w:rPr>
                <w:sz w:val="20"/>
                <w:szCs w:val="20"/>
              </w:rPr>
              <w:t>0</w:t>
            </w:r>
            <w:r w:rsidR="00890665" w:rsidRPr="00095B95">
              <w:rPr>
                <w:sz w:val="20"/>
                <w:szCs w:val="20"/>
              </w:rPr>
              <w:t>.09</w:t>
            </w:r>
          </w:p>
          <w:p w14:paraId="162F93FA" w14:textId="00863798" w:rsidR="007F5AD4" w:rsidRPr="00095B95" w:rsidRDefault="00890665" w:rsidP="00D127E9">
            <w:pPr>
              <w:jc w:val="center"/>
              <w:rPr>
                <w:sz w:val="20"/>
                <w:szCs w:val="20"/>
              </w:rPr>
            </w:pPr>
            <w:r w:rsidRPr="00095B95">
              <w:rPr>
                <w:sz w:val="20"/>
                <w:szCs w:val="20"/>
              </w:rPr>
              <w:t>(0.77</w:t>
            </w:r>
            <w:r w:rsidR="007F5AD4" w:rsidRPr="00095B95">
              <w:rPr>
                <w:sz w:val="20"/>
                <w:szCs w:val="20"/>
              </w:rPr>
              <w:t>)</w:t>
            </w:r>
          </w:p>
        </w:tc>
      </w:tr>
      <w:tr w:rsidR="00F665F4" w:rsidRPr="00DE7121" w14:paraId="46C0F212" w14:textId="3A4CAB26" w:rsidTr="00F665F4">
        <w:tc>
          <w:tcPr>
            <w:tcW w:w="1980" w:type="dxa"/>
          </w:tcPr>
          <w:p w14:paraId="6473FBFC" w14:textId="223592DD" w:rsidR="004440BE" w:rsidRPr="00095B95" w:rsidRDefault="004440BE" w:rsidP="00D127E9">
            <w:pPr>
              <w:rPr>
                <w:sz w:val="20"/>
                <w:szCs w:val="20"/>
              </w:rPr>
            </w:pPr>
            <w:proofErr w:type="spellStart"/>
            <w:r w:rsidRPr="00095B95">
              <w:rPr>
                <w:sz w:val="20"/>
                <w:szCs w:val="20"/>
              </w:rPr>
              <w:t>Formate</w:t>
            </w:r>
            <w:proofErr w:type="spellEnd"/>
            <w:r w:rsidRPr="00095B95">
              <w:rPr>
                <w:sz w:val="20"/>
                <w:szCs w:val="20"/>
              </w:rPr>
              <w:t xml:space="preserve"> (µg/mg creatinine)</w:t>
            </w:r>
          </w:p>
        </w:tc>
        <w:tc>
          <w:tcPr>
            <w:tcW w:w="850" w:type="dxa"/>
            <w:tcBorders>
              <w:right w:val="nil"/>
            </w:tcBorders>
          </w:tcPr>
          <w:p w14:paraId="5096F05A" w14:textId="3CB0099D" w:rsidR="004440BE" w:rsidRPr="00095B95" w:rsidRDefault="004440BE" w:rsidP="00D127E9">
            <w:pPr>
              <w:jc w:val="center"/>
              <w:rPr>
                <w:sz w:val="20"/>
                <w:szCs w:val="20"/>
              </w:rPr>
            </w:pPr>
            <w:r w:rsidRPr="00095B95">
              <w:rPr>
                <w:sz w:val="20"/>
                <w:szCs w:val="20"/>
              </w:rPr>
              <w:t>10.52</w:t>
            </w:r>
          </w:p>
        </w:tc>
        <w:tc>
          <w:tcPr>
            <w:tcW w:w="851" w:type="dxa"/>
            <w:tcBorders>
              <w:left w:val="nil"/>
              <w:right w:val="single" w:sz="4" w:space="0" w:color="auto"/>
            </w:tcBorders>
          </w:tcPr>
          <w:p w14:paraId="498F858F" w14:textId="7686E506" w:rsidR="004440BE" w:rsidRPr="00095B95" w:rsidRDefault="004440BE" w:rsidP="00D127E9">
            <w:pPr>
              <w:jc w:val="center"/>
              <w:rPr>
                <w:sz w:val="20"/>
                <w:szCs w:val="20"/>
              </w:rPr>
            </w:pPr>
            <w:r w:rsidRPr="00095B95">
              <w:rPr>
                <w:sz w:val="20"/>
                <w:szCs w:val="20"/>
              </w:rPr>
              <w:t>8.00</w:t>
            </w:r>
          </w:p>
        </w:tc>
        <w:tc>
          <w:tcPr>
            <w:tcW w:w="850" w:type="dxa"/>
            <w:tcBorders>
              <w:left w:val="single" w:sz="4" w:space="0" w:color="auto"/>
              <w:right w:val="nil"/>
            </w:tcBorders>
          </w:tcPr>
          <w:p w14:paraId="0B20D1A5" w14:textId="25F54308" w:rsidR="004440BE" w:rsidRPr="00095B95" w:rsidRDefault="004440BE" w:rsidP="00D127E9">
            <w:pPr>
              <w:jc w:val="center"/>
              <w:rPr>
                <w:sz w:val="20"/>
                <w:szCs w:val="20"/>
              </w:rPr>
            </w:pPr>
            <w:r w:rsidRPr="00095B95">
              <w:rPr>
                <w:sz w:val="20"/>
                <w:szCs w:val="20"/>
              </w:rPr>
              <w:t>9.62</w:t>
            </w:r>
          </w:p>
        </w:tc>
        <w:tc>
          <w:tcPr>
            <w:tcW w:w="851" w:type="dxa"/>
            <w:tcBorders>
              <w:left w:val="nil"/>
              <w:right w:val="single" w:sz="4" w:space="0" w:color="auto"/>
            </w:tcBorders>
          </w:tcPr>
          <w:p w14:paraId="051753C1" w14:textId="7E590E27" w:rsidR="004440BE" w:rsidRPr="00095B95" w:rsidRDefault="004440BE" w:rsidP="00D127E9">
            <w:pPr>
              <w:jc w:val="center"/>
              <w:rPr>
                <w:sz w:val="20"/>
                <w:szCs w:val="20"/>
              </w:rPr>
            </w:pPr>
            <w:r w:rsidRPr="00095B95">
              <w:rPr>
                <w:sz w:val="20"/>
                <w:szCs w:val="20"/>
              </w:rPr>
              <w:t>7.28</w:t>
            </w:r>
          </w:p>
        </w:tc>
        <w:tc>
          <w:tcPr>
            <w:tcW w:w="850" w:type="dxa"/>
            <w:tcBorders>
              <w:left w:val="single" w:sz="4" w:space="0" w:color="auto"/>
              <w:right w:val="nil"/>
            </w:tcBorders>
          </w:tcPr>
          <w:p w14:paraId="322733E6" w14:textId="235C64D8" w:rsidR="004440BE" w:rsidRPr="00095B95" w:rsidRDefault="004440BE" w:rsidP="00D127E9">
            <w:pPr>
              <w:jc w:val="center"/>
              <w:rPr>
                <w:sz w:val="20"/>
                <w:szCs w:val="20"/>
              </w:rPr>
            </w:pPr>
            <w:r w:rsidRPr="00095B95">
              <w:rPr>
                <w:sz w:val="20"/>
                <w:szCs w:val="20"/>
              </w:rPr>
              <w:t>18.01</w:t>
            </w:r>
          </w:p>
        </w:tc>
        <w:tc>
          <w:tcPr>
            <w:tcW w:w="851" w:type="dxa"/>
            <w:tcBorders>
              <w:left w:val="nil"/>
              <w:right w:val="single" w:sz="4" w:space="0" w:color="auto"/>
            </w:tcBorders>
          </w:tcPr>
          <w:p w14:paraId="24FED446" w14:textId="0715E388" w:rsidR="004440BE" w:rsidRPr="00095B95" w:rsidRDefault="004440BE" w:rsidP="00D127E9">
            <w:pPr>
              <w:jc w:val="center"/>
              <w:rPr>
                <w:sz w:val="20"/>
                <w:szCs w:val="20"/>
              </w:rPr>
            </w:pPr>
            <w:r w:rsidRPr="00095B95">
              <w:rPr>
                <w:sz w:val="20"/>
                <w:szCs w:val="20"/>
              </w:rPr>
              <w:t>23.56</w:t>
            </w:r>
          </w:p>
        </w:tc>
        <w:tc>
          <w:tcPr>
            <w:tcW w:w="850" w:type="dxa"/>
            <w:tcBorders>
              <w:left w:val="single" w:sz="4" w:space="0" w:color="auto"/>
              <w:right w:val="nil"/>
            </w:tcBorders>
          </w:tcPr>
          <w:p w14:paraId="0A10226D" w14:textId="55E6B60D" w:rsidR="004440BE" w:rsidRPr="00095B95" w:rsidRDefault="004440BE" w:rsidP="00D127E9">
            <w:pPr>
              <w:jc w:val="center"/>
              <w:rPr>
                <w:sz w:val="20"/>
                <w:szCs w:val="20"/>
              </w:rPr>
            </w:pPr>
            <w:r w:rsidRPr="00095B95">
              <w:rPr>
                <w:sz w:val="20"/>
                <w:szCs w:val="20"/>
              </w:rPr>
              <w:t>7.61</w:t>
            </w:r>
          </w:p>
        </w:tc>
        <w:tc>
          <w:tcPr>
            <w:tcW w:w="993" w:type="dxa"/>
            <w:tcBorders>
              <w:left w:val="nil"/>
            </w:tcBorders>
          </w:tcPr>
          <w:p w14:paraId="280556DD" w14:textId="153834E0" w:rsidR="004440BE" w:rsidRPr="00095B95" w:rsidRDefault="004440BE" w:rsidP="00D127E9">
            <w:pPr>
              <w:jc w:val="center"/>
              <w:rPr>
                <w:sz w:val="20"/>
                <w:szCs w:val="20"/>
              </w:rPr>
            </w:pPr>
            <w:r w:rsidRPr="00095B95">
              <w:rPr>
                <w:sz w:val="20"/>
                <w:szCs w:val="20"/>
              </w:rPr>
              <w:t>7.24</w:t>
            </w:r>
          </w:p>
        </w:tc>
        <w:tc>
          <w:tcPr>
            <w:tcW w:w="1404" w:type="dxa"/>
          </w:tcPr>
          <w:p w14:paraId="705DD742" w14:textId="4DEEED59" w:rsidR="004440BE" w:rsidRPr="00095B95" w:rsidRDefault="00C77136" w:rsidP="00D127E9">
            <w:pPr>
              <w:jc w:val="center"/>
              <w:rPr>
                <w:sz w:val="20"/>
                <w:szCs w:val="20"/>
              </w:rPr>
            </w:pPr>
            <w:r w:rsidRPr="00095B95">
              <w:rPr>
                <w:sz w:val="20"/>
                <w:szCs w:val="20"/>
              </w:rPr>
              <w:t>4.58</w:t>
            </w:r>
          </w:p>
          <w:p w14:paraId="20C1F399" w14:textId="5466A26C" w:rsidR="007F5AD4" w:rsidRPr="00095B95" w:rsidRDefault="00C77136" w:rsidP="00D127E9">
            <w:pPr>
              <w:jc w:val="center"/>
              <w:rPr>
                <w:sz w:val="20"/>
                <w:szCs w:val="20"/>
              </w:rPr>
            </w:pPr>
            <w:r w:rsidRPr="00095B95">
              <w:rPr>
                <w:sz w:val="20"/>
                <w:szCs w:val="20"/>
              </w:rPr>
              <w:t>(0.05</w:t>
            </w:r>
            <w:r w:rsidR="007F5AD4" w:rsidRPr="00095B95">
              <w:rPr>
                <w:sz w:val="20"/>
                <w:szCs w:val="20"/>
              </w:rPr>
              <w:t>)</w:t>
            </w:r>
          </w:p>
        </w:tc>
        <w:tc>
          <w:tcPr>
            <w:tcW w:w="1547" w:type="dxa"/>
          </w:tcPr>
          <w:p w14:paraId="7BDB6DA4" w14:textId="0CE5A0A0" w:rsidR="004440BE" w:rsidRPr="00095B95" w:rsidRDefault="00C77136" w:rsidP="00D127E9">
            <w:pPr>
              <w:jc w:val="center"/>
              <w:rPr>
                <w:sz w:val="20"/>
                <w:szCs w:val="20"/>
              </w:rPr>
            </w:pPr>
            <w:r w:rsidRPr="00095B95">
              <w:rPr>
                <w:sz w:val="20"/>
                <w:szCs w:val="20"/>
              </w:rPr>
              <w:t>1.88</w:t>
            </w:r>
          </w:p>
          <w:p w14:paraId="6D6CE7B0" w14:textId="1A05BDA9" w:rsidR="007F5AD4" w:rsidRPr="00095B95" w:rsidRDefault="00C77136" w:rsidP="00D127E9">
            <w:pPr>
              <w:jc w:val="center"/>
              <w:rPr>
                <w:sz w:val="20"/>
                <w:szCs w:val="20"/>
              </w:rPr>
            </w:pPr>
            <w:r w:rsidRPr="00095B95">
              <w:rPr>
                <w:sz w:val="20"/>
                <w:szCs w:val="20"/>
              </w:rPr>
              <w:t>(0.19</w:t>
            </w:r>
            <w:r w:rsidR="007F5AD4" w:rsidRPr="00095B95">
              <w:rPr>
                <w:sz w:val="20"/>
                <w:szCs w:val="20"/>
              </w:rPr>
              <w:t>)</w:t>
            </w:r>
          </w:p>
        </w:tc>
        <w:tc>
          <w:tcPr>
            <w:tcW w:w="1547" w:type="dxa"/>
          </w:tcPr>
          <w:p w14:paraId="0D9E351A" w14:textId="77777777" w:rsidR="00E245B4" w:rsidRPr="00095B95" w:rsidRDefault="003612D0" w:rsidP="00D127E9">
            <w:pPr>
              <w:jc w:val="center"/>
              <w:rPr>
                <w:sz w:val="20"/>
                <w:szCs w:val="20"/>
              </w:rPr>
            </w:pPr>
            <w:r w:rsidRPr="00095B95">
              <w:rPr>
                <w:sz w:val="20"/>
                <w:szCs w:val="20"/>
              </w:rPr>
              <w:t xml:space="preserve">6.92 </w:t>
            </w:r>
          </w:p>
          <w:p w14:paraId="2A4E95AA" w14:textId="564AC617" w:rsidR="004440BE" w:rsidRDefault="003612D0" w:rsidP="00D127E9">
            <w:pPr>
              <w:jc w:val="center"/>
              <w:rPr>
                <w:sz w:val="20"/>
                <w:szCs w:val="20"/>
              </w:rPr>
            </w:pPr>
            <w:r w:rsidRPr="00095B95">
              <w:rPr>
                <w:sz w:val="20"/>
                <w:szCs w:val="20"/>
              </w:rPr>
              <w:t>(0.02)</w:t>
            </w:r>
            <w:bookmarkStart w:id="0" w:name="_GoBack"/>
            <w:bookmarkEnd w:id="0"/>
          </w:p>
        </w:tc>
      </w:tr>
    </w:tbl>
    <w:p w14:paraId="622B6D6F" w14:textId="6993971F" w:rsidR="005A08D3" w:rsidRDefault="005A08D3" w:rsidP="00577D4C">
      <w:pPr>
        <w:widowControl w:val="0"/>
        <w:autoSpaceDE w:val="0"/>
        <w:autoSpaceDN w:val="0"/>
        <w:adjustRightInd w:val="0"/>
        <w:spacing w:after="240" w:line="480" w:lineRule="auto"/>
        <w:jc w:val="both"/>
        <w:rPr>
          <w:rFonts w:ascii="Times New Roman" w:hAnsi="Times New Roman" w:cs="Times New Roman"/>
          <w:color w:val="000000"/>
          <w:sz w:val="22"/>
          <w:szCs w:val="22"/>
        </w:rPr>
        <w:sectPr w:rsidR="005A08D3" w:rsidSect="00FE4DB5">
          <w:pgSz w:w="16840" w:h="11900" w:orient="landscape"/>
          <w:pgMar w:top="1134" w:right="1440" w:bottom="1134" w:left="1440" w:header="720" w:footer="720" w:gutter="0"/>
          <w:cols w:space="720"/>
          <w:docGrid w:linePitch="360"/>
        </w:sectPr>
      </w:pPr>
    </w:p>
    <w:p w14:paraId="4C1CB15D" w14:textId="5F352666" w:rsidR="008F691E" w:rsidRPr="00842993" w:rsidRDefault="008F691E" w:rsidP="00FE4DB5">
      <w:pPr>
        <w:widowControl w:val="0"/>
        <w:autoSpaceDE w:val="0"/>
        <w:autoSpaceDN w:val="0"/>
        <w:adjustRightInd w:val="0"/>
        <w:spacing w:after="240" w:line="480" w:lineRule="auto"/>
        <w:jc w:val="both"/>
        <w:rPr>
          <w:rFonts w:ascii="Times New Roman" w:hAnsi="Times New Roman" w:cs="Times New Roman"/>
          <w:color w:val="000000"/>
          <w:sz w:val="22"/>
          <w:szCs w:val="22"/>
        </w:rPr>
      </w:pPr>
    </w:p>
    <w:sectPr w:rsidR="008F691E" w:rsidRPr="00842993" w:rsidSect="005A08D3">
      <w:pgSz w:w="11900" w:h="16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3F524A" w16cid:durableId="1D4432A1"/>
  <w16cid:commentId w16cid:paraId="0C12E31D" w16cid:durableId="1D4432A2"/>
  <w16cid:commentId w16cid:paraId="78227542" w16cid:durableId="1D4432A3"/>
  <w16cid:commentId w16cid:paraId="576C863D" w16cid:durableId="1D44373D"/>
  <w16cid:commentId w16cid:paraId="7B2EB650" w16cid:durableId="1D4432A4"/>
  <w16cid:commentId w16cid:paraId="4571C62D" w16cid:durableId="1D4432A5"/>
  <w16cid:commentId w16cid:paraId="07E3A5F8" w16cid:durableId="1D4437CE"/>
  <w16cid:commentId w16cid:paraId="7FF70554" w16cid:durableId="1D4432A6"/>
  <w16cid:commentId w16cid:paraId="4EFF6657" w16cid:durableId="1D443835"/>
  <w16cid:commentId w16cid:paraId="60E5C912" w16cid:durableId="1D4432A7"/>
  <w16cid:commentId w16cid:paraId="550D74EA" w16cid:durableId="1D44390C"/>
  <w16cid:commentId w16cid:paraId="1760B2A5" w16cid:durableId="1D4432A8"/>
  <w16cid:commentId w16cid:paraId="5C851A7C" w16cid:durableId="1D4432A9"/>
  <w16cid:commentId w16cid:paraId="55FCC785" w16cid:durableId="1D443A54"/>
  <w16cid:commentId w16cid:paraId="6124878A" w16cid:durableId="1D4432AA"/>
  <w16cid:commentId w16cid:paraId="0EB0518D" w16cid:durableId="1D4432AB"/>
  <w16cid:commentId w16cid:paraId="23752D42" w16cid:durableId="1D443B23"/>
  <w16cid:commentId w16cid:paraId="4591FFDF" w16cid:durableId="1D4432AC"/>
  <w16cid:commentId w16cid:paraId="27F8160E" w16cid:durableId="1D443B86"/>
  <w16cid:commentId w16cid:paraId="7874FB37" w16cid:durableId="1D4432A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C86097" w14:textId="77777777" w:rsidR="00A66B1A" w:rsidRDefault="00A66B1A" w:rsidP="007406B9">
      <w:r>
        <w:separator/>
      </w:r>
    </w:p>
  </w:endnote>
  <w:endnote w:type="continuationSeparator" w:id="0">
    <w:p w14:paraId="260A8D82" w14:textId="77777777" w:rsidR="00A66B1A" w:rsidRDefault="00A66B1A" w:rsidP="00740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w:altName w:val="Book Antiqua"/>
    <w:charset w:val="00"/>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5755863"/>
      <w:docPartObj>
        <w:docPartGallery w:val="Page Numbers (Bottom of Page)"/>
        <w:docPartUnique/>
      </w:docPartObj>
    </w:sdtPr>
    <w:sdtEndPr>
      <w:rPr>
        <w:noProof/>
      </w:rPr>
    </w:sdtEndPr>
    <w:sdtContent>
      <w:p w14:paraId="52AA3CEC" w14:textId="72F24E13" w:rsidR="002A53AE" w:rsidRDefault="002A53AE">
        <w:pPr>
          <w:pStyle w:val="Footer"/>
          <w:jc w:val="right"/>
        </w:pPr>
        <w:r>
          <w:fldChar w:fldCharType="begin"/>
        </w:r>
        <w:r>
          <w:instrText xml:space="preserve"> PAGE   \* MERGEFORMAT </w:instrText>
        </w:r>
        <w:r>
          <w:fldChar w:fldCharType="separate"/>
        </w:r>
        <w:r w:rsidR="00095B95">
          <w:rPr>
            <w:noProof/>
          </w:rPr>
          <w:t>22</w:t>
        </w:r>
        <w:r>
          <w:rPr>
            <w:noProof/>
          </w:rPr>
          <w:fldChar w:fldCharType="end"/>
        </w:r>
      </w:p>
    </w:sdtContent>
  </w:sdt>
  <w:p w14:paraId="157AD9AB" w14:textId="77777777" w:rsidR="002A53AE" w:rsidRDefault="002A53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0C9216" w14:textId="77777777" w:rsidR="00A66B1A" w:rsidRDefault="00A66B1A" w:rsidP="007406B9">
      <w:r>
        <w:separator/>
      </w:r>
    </w:p>
  </w:footnote>
  <w:footnote w:type="continuationSeparator" w:id="0">
    <w:p w14:paraId="6B2E1BB0" w14:textId="77777777" w:rsidR="00A66B1A" w:rsidRDefault="00A66B1A" w:rsidP="007406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37472"/>
    <w:multiLevelType w:val="hybridMultilevel"/>
    <w:tmpl w:val="35A0B5F6"/>
    <w:lvl w:ilvl="0" w:tplc="912E2E22">
      <w:numFmt w:val="bullet"/>
      <w:lvlText w:val="-"/>
      <w:lvlJc w:val="left"/>
      <w:pPr>
        <w:ind w:left="420" w:hanging="360"/>
      </w:pPr>
      <w:rPr>
        <w:rFonts w:ascii="Times New Roman" w:eastAsiaTheme="minorHAnsi"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15:restartNumberingAfterBreak="0">
    <w:nsid w:val="26FB22EA"/>
    <w:multiLevelType w:val="hybridMultilevel"/>
    <w:tmpl w:val="5670590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539F3E59"/>
    <w:multiLevelType w:val="hybridMultilevel"/>
    <w:tmpl w:val="F45E6328"/>
    <w:lvl w:ilvl="0" w:tplc="DAFCA16A">
      <w:start w:val="1"/>
      <w:numFmt w:val="bullet"/>
      <w:lvlText w:val="-"/>
      <w:lvlJc w:val="left"/>
      <w:pPr>
        <w:ind w:left="420" w:hanging="360"/>
      </w:pPr>
      <w:rPr>
        <w:rFonts w:ascii="Calibri" w:eastAsiaTheme="minorHAnsi" w:hAnsi="Calibri" w:cstheme="minorBid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 w15:restartNumberingAfterBreak="0">
    <w:nsid w:val="75EF34C0"/>
    <w:multiLevelType w:val="hybridMultilevel"/>
    <w:tmpl w:val="E1808B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F22117C"/>
    <w:multiLevelType w:val="hybridMultilevel"/>
    <w:tmpl w:val="518A6BA4"/>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c3NjY2MTMwNzQ3MDNS0lEKTi0uzszPAykwrAUAuNodtywAAAA="/>
  </w:docVars>
  <w:rsids>
    <w:rsidRoot w:val="00B74825"/>
    <w:rsid w:val="00000F2A"/>
    <w:rsid w:val="000049D9"/>
    <w:rsid w:val="000053AF"/>
    <w:rsid w:val="00005B67"/>
    <w:rsid w:val="000068A0"/>
    <w:rsid w:val="0000697D"/>
    <w:rsid w:val="00011656"/>
    <w:rsid w:val="00013ABA"/>
    <w:rsid w:val="00015E3C"/>
    <w:rsid w:val="000161CD"/>
    <w:rsid w:val="00022933"/>
    <w:rsid w:val="00032997"/>
    <w:rsid w:val="0004512C"/>
    <w:rsid w:val="0005559B"/>
    <w:rsid w:val="00056390"/>
    <w:rsid w:val="00057F51"/>
    <w:rsid w:val="00061398"/>
    <w:rsid w:val="0006292C"/>
    <w:rsid w:val="00062D17"/>
    <w:rsid w:val="000716A5"/>
    <w:rsid w:val="000806BF"/>
    <w:rsid w:val="00080772"/>
    <w:rsid w:val="000835D2"/>
    <w:rsid w:val="00084706"/>
    <w:rsid w:val="000934B5"/>
    <w:rsid w:val="00095B95"/>
    <w:rsid w:val="000A156D"/>
    <w:rsid w:val="000A6127"/>
    <w:rsid w:val="000B312D"/>
    <w:rsid w:val="000B7E35"/>
    <w:rsid w:val="000C019E"/>
    <w:rsid w:val="000C1143"/>
    <w:rsid w:val="000C21DD"/>
    <w:rsid w:val="000C2826"/>
    <w:rsid w:val="000C68E5"/>
    <w:rsid w:val="000C7636"/>
    <w:rsid w:val="000D1C88"/>
    <w:rsid w:val="000D4C42"/>
    <w:rsid w:val="000D6E7B"/>
    <w:rsid w:val="000D76DA"/>
    <w:rsid w:val="000E4BA2"/>
    <w:rsid w:val="000E5F13"/>
    <w:rsid w:val="000F12E7"/>
    <w:rsid w:val="000F1461"/>
    <w:rsid w:val="000F3249"/>
    <w:rsid w:val="00101A86"/>
    <w:rsid w:val="00103D17"/>
    <w:rsid w:val="00111943"/>
    <w:rsid w:val="00112913"/>
    <w:rsid w:val="001131E8"/>
    <w:rsid w:val="00117CF8"/>
    <w:rsid w:val="00124516"/>
    <w:rsid w:val="00124DB4"/>
    <w:rsid w:val="00127C7F"/>
    <w:rsid w:val="001317EE"/>
    <w:rsid w:val="00136723"/>
    <w:rsid w:val="001425E8"/>
    <w:rsid w:val="00142FC1"/>
    <w:rsid w:val="00143CA5"/>
    <w:rsid w:val="00144BEF"/>
    <w:rsid w:val="0015085D"/>
    <w:rsid w:val="001555E3"/>
    <w:rsid w:val="0015664A"/>
    <w:rsid w:val="00157517"/>
    <w:rsid w:val="00161F61"/>
    <w:rsid w:val="0016476A"/>
    <w:rsid w:val="0016533E"/>
    <w:rsid w:val="0017166B"/>
    <w:rsid w:val="00174154"/>
    <w:rsid w:val="001804A5"/>
    <w:rsid w:val="00183640"/>
    <w:rsid w:val="0018418D"/>
    <w:rsid w:val="00187AD5"/>
    <w:rsid w:val="0019359B"/>
    <w:rsid w:val="0019487E"/>
    <w:rsid w:val="001A19C9"/>
    <w:rsid w:val="001A24A6"/>
    <w:rsid w:val="001A594C"/>
    <w:rsid w:val="001A6D7F"/>
    <w:rsid w:val="001B2EB5"/>
    <w:rsid w:val="001B4662"/>
    <w:rsid w:val="001C79BE"/>
    <w:rsid w:val="001D1127"/>
    <w:rsid w:val="001E107E"/>
    <w:rsid w:val="001E7CC4"/>
    <w:rsid w:val="0020359A"/>
    <w:rsid w:val="00207609"/>
    <w:rsid w:val="0021598F"/>
    <w:rsid w:val="0021633F"/>
    <w:rsid w:val="002202DD"/>
    <w:rsid w:val="002210BE"/>
    <w:rsid w:val="00223181"/>
    <w:rsid w:val="0022498E"/>
    <w:rsid w:val="00224F97"/>
    <w:rsid w:val="00231199"/>
    <w:rsid w:val="002322FA"/>
    <w:rsid w:val="00232B99"/>
    <w:rsid w:val="00235632"/>
    <w:rsid w:val="00236AEF"/>
    <w:rsid w:val="00245597"/>
    <w:rsid w:val="0024750F"/>
    <w:rsid w:val="00250471"/>
    <w:rsid w:val="00254BCC"/>
    <w:rsid w:val="00254D81"/>
    <w:rsid w:val="00260C35"/>
    <w:rsid w:val="002648F5"/>
    <w:rsid w:val="002711DF"/>
    <w:rsid w:val="00271D3B"/>
    <w:rsid w:val="00290523"/>
    <w:rsid w:val="00291B7E"/>
    <w:rsid w:val="00291BE0"/>
    <w:rsid w:val="00293D7D"/>
    <w:rsid w:val="00294223"/>
    <w:rsid w:val="00295008"/>
    <w:rsid w:val="002A411E"/>
    <w:rsid w:val="002A53AE"/>
    <w:rsid w:val="002B2FDF"/>
    <w:rsid w:val="002C2B96"/>
    <w:rsid w:val="002C4D01"/>
    <w:rsid w:val="002C54D8"/>
    <w:rsid w:val="002D0EA9"/>
    <w:rsid w:val="002D446D"/>
    <w:rsid w:val="002D4535"/>
    <w:rsid w:val="002D4E4E"/>
    <w:rsid w:val="002E1472"/>
    <w:rsid w:val="002E2203"/>
    <w:rsid w:val="002E407B"/>
    <w:rsid w:val="002E4190"/>
    <w:rsid w:val="002E4208"/>
    <w:rsid w:val="002E4EF8"/>
    <w:rsid w:val="002F2552"/>
    <w:rsid w:val="002F50A5"/>
    <w:rsid w:val="002F709B"/>
    <w:rsid w:val="0030194C"/>
    <w:rsid w:val="00302C19"/>
    <w:rsid w:val="00312829"/>
    <w:rsid w:val="00323BE7"/>
    <w:rsid w:val="00331BA9"/>
    <w:rsid w:val="00331C30"/>
    <w:rsid w:val="003330E7"/>
    <w:rsid w:val="003344A9"/>
    <w:rsid w:val="00336967"/>
    <w:rsid w:val="00341293"/>
    <w:rsid w:val="00341672"/>
    <w:rsid w:val="00342D4D"/>
    <w:rsid w:val="00342D74"/>
    <w:rsid w:val="003439F2"/>
    <w:rsid w:val="003445BB"/>
    <w:rsid w:val="003470E5"/>
    <w:rsid w:val="00351800"/>
    <w:rsid w:val="003546B3"/>
    <w:rsid w:val="00357E99"/>
    <w:rsid w:val="003612D0"/>
    <w:rsid w:val="00361F75"/>
    <w:rsid w:val="00363073"/>
    <w:rsid w:val="00363D49"/>
    <w:rsid w:val="00364B97"/>
    <w:rsid w:val="00364D27"/>
    <w:rsid w:val="00366D45"/>
    <w:rsid w:val="0038366E"/>
    <w:rsid w:val="003B2402"/>
    <w:rsid w:val="003B2AEE"/>
    <w:rsid w:val="003B6C75"/>
    <w:rsid w:val="003C2670"/>
    <w:rsid w:val="003C695B"/>
    <w:rsid w:val="003C7AF6"/>
    <w:rsid w:val="003D17A5"/>
    <w:rsid w:val="003D346E"/>
    <w:rsid w:val="003E0AD3"/>
    <w:rsid w:val="003E3735"/>
    <w:rsid w:val="003E5130"/>
    <w:rsid w:val="003F42D4"/>
    <w:rsid w:val="00400DA4"/>
    <w:rsid w:val="0040194E"/>
    <w:rsid w:val="00403A82"/>
    <w:rsid w:val="00404B30"/>
    <w:rsid w:val="00405D65"/>
    <w:rsid w:val="0040691F"/>
    <w:rsid w:val="004108B3"/>
    <w:rsid w:val="00430154"/>
    <w:rsid w:val="00430746"/>
    <w:rsid w:val="0043117D"/>
    <w:rsid w:val="00434CFA"/>
    <w:rsid w:val="004355F8"/>
    <w:rsid w:val="004360CA"/>
    <w:rsid w:val="004440BE"/>
    <w:rsid w:val="00453540"/>
    <w:rsid w:val="00454176"/>
    <w:rsid w:val="00461A4E"/>
    <w:rsid w:val="004656BA"/>
    <w:rsid w:val="00467E61"/>
    <w:rsid w:val="00470873"/>
    <w:rsid w:val="00472A84"/>
    <w:rsid w:val="004736AC"/>
    <w:rsid w:val="00475671"/>
    <w:rsid w:val="00475EE3"/>
    <w:rsid w:val="00476F88"/>
    <w:rsid w:val="00477189"/>
    <w:rsid w:val="00480BCD"/>
    <w:rsid w:val="00492BD6"/>
    <w:rsid w:val="004931B7"/>
    <w:rsid w:val="00493F8A"/>
    <w:rsid w:val="004A02B6"/>
    <w:rsid w:val="004B7FA9"/>
    <w:rsid w:val="004C40AD"/>
    <w:rsid w:val="004D5BFF"/>
    <w:rsid w:val="004E0DA4"/>
    <w:rsid w:val="004E2A2F"/>
    <w:rsid w:val="004F29CD"/>
    <w:rsid w:val="004F2DFF"/>
    <w:rsid w:val="004F6E2F"/>
    <w:rsid w:val="00502A88"/>
    <w:rsid w:val="0050311D"/>
    <w:rsid w:val="00503D89"/>
    <w:rsid w:val="00504020"/>
    <w:rsid w:val="005051F8"/>
    <w:rsid w:val="00506359"/>
    <w:rsid w:val="0051031A"/>
    <w:rsid w:val="00514BB3"/>
    <w:rsid w:val="005158F9"/>
    <w:rsid w:val="00515AC2"/>
    <w:rsid w:val="00516C7F"/>
    <w:rsid w:val="00520B17"/>
    <w:rsid w:val="00527E29"/>
    <w:rsid w:val="005321FC"/>
    <w:rsid w:val="005328CD"/>
    <w:rsid w:val="00540A12"/>
    <w:rsid w:val="0055096A"/>
    <w:rsid w:val="00555270"/>
    <w:rsid w:val="00562132"/>
    <w:rsid w:val="00565B66"/>
    <w:rsid w:val="00577AE5"/>
    <w:rsid w:val="00577D4C"/>
    <w:rsid w:val="00587C0F"/>
    <w:rsid w:val="005A08D3"/>
    <w:rsid w:val="005A14FA"/>
    <w:rsid w:val="005A189E"/>
    <w:rsid w:val="005B4A6D"/>
    <w:rsid w:val="005C202A"/>
    <w:rsid w:val="005C461A"/>
    <w:rsid w:val="005C77DB"/>
    <w:rsid w:val="005D0110"/>
    <w:rsid w:val="005D4BB7"/>
    <w:rsid w:val="005D7BDC"/>
    <w:rsid w:val="005E1726"/>
    <w:rsid w:val="005E33A4"/>
    <w:rsid w:val="005E5D44"/>
    <w:rsid w:val="005F6B7B"/>
    <w:rsid w:val="0061225E"/>
    <w:rsid w:val="00612A04"/>
    <w:rsid w:val="00612FCE"/>
    <w:rsid w:val="006215BD"/>
    <w:rsid w:val="006326D9"/>
    <w:rsid w:val="0063317F"/>
    <w:rsid w:val="006433DC"/>
    <w:rsid w:val="00644B42"/>
    <w:rsid w:val="0065470C"/>
    <w:rsid w:val="00655B80"/>
    <w:rsid w:val="00657F26"/>
    <w:rsid w:val="00661172"/>
    <w:rsid w:val="006646A4"/>
    <w:rsid w:val="00666784"/>
    <w:rsid w:val="00666E64"/>
    <w:rsid w:val="00676E40"/>
    <w:rsid w:val="00676E67"/>
    <w:rsid w:val="0068233D"/>
    <w:rsid w:val="00686870"/>
    <w:rsid w:val="00691A7A"/>
    <w:rsid w:val="00697942"/>
    <w:rsid w:val="006A5223"/>
    <w:rsid w:val="006B150B"/>
    <w:rsid w:val="006B48FB"/>
    <w:rsid w:val="006B5608"/>
    <w:rsid w:val="006B5666"/>
    <w:rsid w:val="006B77F1"/>
    <w:rsid w:val="006C03DD"/>
    <w:rsid w:val="006C533A"/>
    <w:rsid w:val="006C6C31"/>
    <w:rsid w:val="006C7F25"/>
    <w:rsid w:val="006D024D"/>
    <w:rsid w:val="006D29CB"/>
    <w:rsid w:val="006D6F69"/>
    <w:rsid w:val="006D7577"/>
    <w:rsid w:val="006E5B24"/>
    <w:rsid w:val="006F1F63"/>
    <w:rsid w:val="00724A78"/>
    <w:rsid w:val="00725D07"/>
    <w:rsid w:val="0073437E"/>
    <w:rsid w:val="007406B9"/>
    <w:rsid w:val="00745159"/>
    <w:rsid w:val="007657B6"/>
    <w:rsid w:val="00776429"/>
    <w:rsid w:val="007836CF"/>
    <w:rsid w:val="007906A6"/>
    <w:rsid w:val="00791533"/>
    <w:rsid w:val="007A206E"/>
    <w:rsid w:val="007A66EC"/>
    <w:rsid w:val="007B375B"/>
    <w:rsid w:val="007B78B5"/>
    <w:rsid w:val="007D4E79"/>
    <w:rsid w:val="007D6518"/>
    <w:rsid w:val="007E1EEA"/>
    <w:rsid w:val="007E2097"/>
    <w:rsid w:val="007F0DCE"/>
    <w:rsid w:val="007F2ACE"/>
    <w:rsid w:val="007F5AD4"/>
    <w:rsid w:val="008004D5"/>
    <w:rsid w:val="0080077B"/>
    <w:rsid w:val="0080400B"/>
    <w:rsid w:val="0080646B"/>
    <w:rsid w:val="00806A8F"/>
    <w:rsid w:val="00807387"/>
    <w:rsid w:val="008073C1"/>
    <w:rsid w:val="00807B6A"/>
    <w:rsid w:val="00807D9F"/>
    <w:rsid w:val="0081016B"/>
    <w:rsid w:val="00815D7D"/>
    <w:rsid w:val="00815D91"/>
    <w:rsid w:val="00823614"/>
    <w:rsid w:val="008267F0"/>
    <w:rsid w:val="0084202C"/>
    <w:rsid w:val="00842993"/>
    <w:rsid w:val="00842E71"/>
    <w:rsid w:val="00846CBF"/>
    <w:rsid w:val="00847B73"/>
    <w:rsid w:val="0085639F"/>
    <w:rsid w:val="008576E8"/>
    <w:rsid w:val="00860ED9"/>
    <w:rsid w:val="00864833"/>
    <w:rsid w:val="00864C95"/>
    <w:rsid w:val="008676FE"/>
    <w:rsid w:val="00875B1D"/>
    <w:rsid w:val="00882F8A"/>
    <w:rsid w:val="00884D3F"/>
    <w:rsid w:val="00890665"/>
    <w:rsid w:val="0089316A"/>
    <w:rsid w:val="008945AA"/>
    <w:rsid w:val="008948F7"/>
    <w:rsid w:val="008962B2"/>
    <w:rsid w:val="0089675F"/>
    <w:rsid w:val="008A10A1"/>
    <w:rsid w:val="008A1834"/>
    <w:rsid w:val="008A1F94"/>
    <w:rsid w:val="008A2736"/>
    <w:rsid w:val="008A27CC"/>
    <w:rsid w:val="008A65AD"/>
    <w:rsid w:val="008A6FE3"/>
    <w:rsid w:val="008B48B8"/>
    <w:rsid w:val="008C06D0"/>
    <w:rsid w:val="008C150F"/>
    <w:rsid w:val="008D45A3"/>
    <w:rsid w:val="008E02DB"/>
    <w:rsid w:val="008E171E"/>
    <w:rsid w:val="008E4667"/>
    <w:rsid w:val="008E5576"/>
    <w:rsid w:val="008E6DD1"/>
    <w:rsid w:val="008E7BFD"/>
    <w:rsid w:val="008F0863"/>
    <w:rsid w:val="008F4CA2"/>
    <w:rsid w:val="008F691E"/>
    <w:rsid w:val="00903DEB"/>
    <w:rsid w:val="00906765"/>
    <w:rsid w:val="009119B6"/>
    <w:rsid w:val="0091303E"/>
    <w:rsid w:val="00927A05"/>
    <w:rsid w:val="00931795"/>
    <w:rsid w:val="00931D21"/>
    <w:rsid w:val="00942345"/>
    <w:rsid w:val="00942AD0"/>
    <w:rsid w:val="00943650"/>
    <w:rsid w:val="00945D6D"/>
    <w:rsid w:val="00950B81"/>
    <w:rsid w:val="009543E1"/>
    <w:rsid w:val="009559A5"/>
    <w:rsid w:val="009578AE"/>
    <w:rsid w:val="009601DB"/>
    <w:rsid w:val="00960D14"/>
    <w:rsid w:val="00972998"/>
    <w:rsid w:val="00973499"/>
    <w:rsid w:val="009814C8"/>
    <w:rsid w:val="009849C8"/>
    <w:rsid w:val="0098612D"/>
    <w:rsid w:val="00996A14"/>
    <w:rsid w:val="0099774B"/>
    <w:rsid w:val="009A1228"/>
    <w:rsid w:val="009A1C08"/>
    <w:rsid w:val="009A2AF9"/>
    <w:rsid w:val="009A3CFC"/>
    <w:rsid w:val="009A6D76"/>
    <w:rsid w:val="009B090A"/>
    <w:rsid w:val="009B3C57"/>
    <w:rsid w:val="009B4FB3"/>
    <w:rsid w:val="009B7DBC"/>
    <w:rsid w:val="009C02B0"/>
    <w:rsid w:val="009C3CC0"/>
    <w:rsid w:val="009C61B3"/>
    <w:rsid w:val="009E3343"/>
    <w:rsid w:val="009F0754"/>
    <w:rsid w:val="009F1CAE"/>
    <w:rsid w:val="009F30FD"/>
    <w:rsid w:val="009F5C41"/>
    <w:rsid w:val="00A1462D"/>
    <w:rsid w:val="00A27382"/>
    <w:rsid w:val="00A34515"/>
    <w:rsid w:val="00A42D19"/>
    <w:rsid w:val="00A541D1"/>
    <w:rsid w:val="00A61D9A"/>
    <w:rsid w:val="00A63299"/>
    <w:rsid w:val="00A66B1A"/>
    <w:rsid w:val="00A702C9"/>
    <w:rsid w:val="00A77009"/>
    <w:rsid w:val="00AA0BB5"/>
    <w:rsid w:val="00AA5826"/>
    <w:rsid w:val="00AA5FF1"/>
    <w:rsid w:val="00AB1FC7"/>
    <w:rsid w:val="00AB7289"/>
    <w:rsid w:val="00AC32D7"/>
    <w:rsid w:val="00AC49C8"/>
    <w:rsid w:val="00AC75C5"/>
    <w:rsid w:val="00AC78BE"/>
    <w:rsid w:val="00AC78D0"/>
    <w:rsid w:val="00AD127E"/>
    <w:rsid w:val="00AD6176"/>
    <w:rsid w:val="00AE0841"/>
    <w:rsid w:val="00AE1209"/>
    <w:rsid w:val="00AE5161"/>
    <w:rsid w:val="00AE5FB5"/>
    <w:rsid w:val="00AE63AA"/>
    <w:rsid w:val="00B01621"/>
    <w:rsid w:val="00B111DD"/>
    <w:rsid w:val="00B16DC6"/>
    <w:rsid w:val="00B34C8F"/>
    <w:rsid w:val="00B35887"/>
    <w:rsid w:val="00B35CDF"/>
    <w:rsid w:val="00B42E3E"/>
    <w:rsid w:val="00B4340D"/>
    <w:rsid w:val="00B456EB"/>
    <w:rsid w:val="00B54B6D"/>
    <w:rsid w:val="00B565F7"/>
    <w:rsid w:val="00B622EC"/>
    <w:rsid w:val="00B62B95"/>
    <w:rsid w:val="00B62BB9"/>
    <w:rsid w:val="00B630F4"/>
    <w:rsid w:val="00B63778"/>
    <w:rsid w:val="00B7420D"/>
    <w:rsid w:val="00B74825"/>
    <w:rsid w:val="00B77899"/>
    <w:rsid w:val="00B835A8"/>
    <w:rsid w:val="00B86C17"/>
    <w:rsid w:val="00B93305"/>
    <w:rsid w:val="00B93782"/>
    <w:rsid w:val="00B959B1"/>
    <w:rsid w:val="00BA211A"/>
    <w:rsid w:val="00BA4602"/>
    <w:rsid w:val="00BB089F"/>
    <w:rsid w:val="00BB54BA"/>
    <w:rsid w:val="00BB708D"/>
    <w:rsid w:val="00BC0A82"/>
    <w:rsid w:val="00BC5A71"/>
    <w:rsid w:val="00BD2897"/>
    <w:rsid w:val="00BD4579"/>
    <w:rsid w:val="00BE6A4C"/>
    <w:rsid w:val="00BE6B53"/>
    <w:rsid w:val="00BF41CE"/>
    <w:rsid w:val="00C01D41"/>
    <w:rsid w:val="00C06368"/>
    <w:rsid w:val="00C129CC"/>
    <w:rsid w:val="00C16B7E"/>
    <w:rsid w:val="00C20769"/>
    <w:rsid w:val="00C23799"/>
    <w:rsid w:val="00C24625"/>
    <w:rsid w:val="00C275EF"/>
    <w:rsid w:val="00C35467"/>
    <w:rsid w:val="00C357A7"/>
    <w:rsid w:val="00C35A31"/>
    <w:rsid w:val="00C36144"/>
    <w:rsid w:val="00C364B6"/>
    <w:rsid w:val="00C42E8A"/>
    <w:rsid w:val="00C44075"/>
    <w:rsid w:val="00C460E1"/>
    <w:rsid w:val="00C46F5B"/>
    <w:rsid w:val="00C52905"/>
    <w:rsid w:val="00C529FB"/>
    <w:rsid w:val="00C53995"/>
    <w:rsid w:val="00C5442F"/>
    <w:rsid w:val="00C55573"/>
    <w:rsid w:val="00C56D77"/>
    <w:rsid w:val="00C57B8A"/>
    <w:rsid w:val="00C60474"/>
    <w:rsid w:val="00C65883"/>
    <w:rsid w:val="00C676D4"/>
    <w:rsid w:val="00C70C4F"/>
    <w:rsid w:val="00C72889"/>
    <w:rsid w:val="00C77136"/>
    <w:rsid w:val="00C778EA"/>
    <w:rsid w:val="00C77991"/>
    <w:rsid w:val="00C8775E"/>
    <w:rsid w:val="00C91370"/>
    <w:rsid w:val="00C91FEC"/>
    <w:rsid w:val="00C9294D"/>
    <w:rsid w:val="00C94B5E"/>
    <w:rsid w:val="00CA24A9"/>
    <w:rsid w:val="00CA41E4"/>
    <w:rsid w:val="00CB5525"/>
    <w:rsid w:val="00CC4F0C"/>
    <w:rsid w:val="00CD13CA"/>
    <w:rsid w:val="00CD27FB"/>
    <w:rsid w:val="00CD29D1"/>
    <w:rsid w:val="00CD2F2D"/>
    <w:rsid w:val="00CD74A9"/>
    <w:rsid w:val="00CE14CE"/>
    <w:rsid w:val="00CE155E"/>
    <w:rsid w:val="00CE1FCA"/>
    <w:rsid w:val="00CE33D6"/>
    <w:rsid w:val="00CF136A"/>
    <w:rsid w:val="00CF1DC8"/>
    <w:rsid w:val="00CF70E3"/>
    <w:rsid w:val="00D012BC"/>
    <w:rsid w:val="00D023D0"/>
    <w:rsid w:val="00D07026"/>
    <w:rsid w:val="00D07037"/>
    <w:rsid w:val="00D127E9"/>
    <w:rsid w:val="00D15A88"/>
    <w:rsid w:val="00D17C92"/>
    <w:rsid w:val="00D271E3"/>
    <w:rsid w:val="00D348FC"/>
    <w:rsid w:val="00D37220"/>
    <w:rsid w:val="00D37CE4"/>
    <w:rsid w:val="00D40F24"/>
    <w:rsid w:val="00D4371D"/>
    <w:rsid w:val="00D54115"/>
    <w:rsid w:val="00D61225"/>
    <w:rsid w:val="00D6753B"/>
    <w:rsid w:val="00D70543"/>
    <w:rsid w:val="00D70FAE"/>
    <w:rsid w:val="00D75F07"/>
    <w:rsid w:val="00D76365"/>
    <w:rsid w:val="00D776AA"/>
    <w:rsid w:val="00D82A7A"/>
    <w:rsid w:val="00D840B3"/>
    <w:rsid w:val="00D865A1"/>
    <w:rsid w:val="00D91ACA"/>
    <w:rsid w:val="00DA094F"/>
    <w:rsid w:val="00DA0C60"/>
    <w:rsid w:val="00DA3BB9"/>
    <w:rsid w:val="00DB3F8C"/>
    <w:rsid w:val="00DB618D"/>
    <w:rsid w:val="00DC49E8"/>
    <w:rsid w:val="00DC5BEA"/>
    <w:rsid w:val="00DC7DAC"/>
    <w:rsid w:val="00DD3C6F"/>
    <w:rsid w:val="00DD5866"/>
    <w:rsid w:val="00DE5391"/>
    <w:rsid w:val="00DE7121"/>
    <w:rsid w:val="00DF039F"/>
    <w:rsid w:val="00DF05FD"/>
    <w:rsid w:val="00E015C1"/>
    <w:rsid w:val="00E042E9"/>
    <w:rsid w:val="00E12E7A"/>
    <w:rsid w:val="00E200C8"/>
    <w:rsid w:val="00E2148E"/>
    <w:rsid w:val="00E245B4"/>
    <w:rsid w:val="00E27C2D"/>
    <w:rsid w:val="00E31DD0"/>
    <w:rsid w:val="00E32D5C"/>
    <w:rsid w:val="00E47DA3"/>
    <w:rsid w:val="00E53164"/>
    <w:rsid w:val="00E60A7A"/>
    <w:rsid w:val="00E61076"/>
    <w:rsid w:val="00E611F2"/>
    <w:rsid w:val="00E6477B"/>
    <w:rsid w:val="00E66BF4"/>
    <w:rsid w:val="00E7073F"/>
    <w:rsid w:val="00E71AC7"/>
    <w:rsid w:val="00E74190"/>
    <w:rsid w:val="00E742F6"/>
    <w:rsid w:val="00E74F47"/>
    <w:rsid w:val="00E77429"/>
    <w:rsid w:val="00E84761"/>
    <w:rsid w:val="00E95862"/>
    <w:rsid w:val="00E97205"/>
    <w:rsid w:val="00E97F62"/>
    <w:rsid w:val="00EA2112"/>
    <w:rsid w:val="00EA5961"/>
    <w:rsid w:val="00EA5F9C"/>
    <w:rsid w:val="00EA7179"/>
    <w:rsid w:val="00EA7B65"/>
    <w:rsid w:val="00EB6639"/>
    <w:rsid w:val="00EC0B53"/>
    <w:rsid w:val="00EC4CE2"/>
    <w:rsid w:val="00EE230C"/>
    <w:rsid w:val="00EE3F66"/>
    <w:rsid w:val="00EE513E"/>
    <w:rsid w:val="00EE648A"/>
    <w:rsid w:val="00EF19E8"/>
    <w:rsid w:val="00EF5EF4"/>
    <w:rsid w:val="00EF7035"/>
    <w:rsid w:val="00F07DAF"/>
    <w:rsid w:val="00F1172D"/>
    <w:rsid w:val="00F15CF2"/>
    <w:rsid w:val="00F218DD"/>
    <w:rsid w:val="00F31B3E"/>
    <w:rsid w:val="00F409B5"/>
    <w:rsid w:val="00F4584E"/>
    <w:rsid w:val="00F46584"/>
    <w:rsid w:val="00F51523"/>
    <w:rsid w:val="00F535FB"/>
    <w:rsid w:val="00F60386"/>
    <w:rsid w:val="00F605C2"/>
    <w:rsid w:val="00F665F4"/>
    <w:rsid w:val="00F73ADE"/>
    <w:rsid w:val="00F769FF"/>
    <w:rsid w:val="00F827B1"/>
    <w:rsid w:val="00F83E3F"/>
    <w:rsid w:val="00F850AE"/>
    <w:rsid w:val="00F85F23"/>
    <w:rsid w:val="00F91466"/>
    <w:rsid w:val="00F93810"/>
    <w:rsid w:val="00F9588B"/>
    <w:rsid w:val="00FA0081"/>
    <w:rsid w:val="00FA139C"/>
    <w:rsid w:val="00FA27A8"/>
    <w:rsid w:val="00FB078B"/>
    <w:rsid w:val="00FB1B87"/>
    <w:rsid w:val="00FB25F6"/>
    <w:rsid w:val="00FB2787"/>
    <w:rsid w:val="00FB5567"/>
    <w:rsid w:val="00FB615A"/>
    <w:rsid w:val="00FB79C4"/>
    <w:rsid w:val="00FC666C"/>
    <w:rsid w:val="00FC6917"/>
    <w:rsid w:val="00FD0F18"/>
    <w:rsid w:val="00FD5A96"/>
    <w:rsid w:val="00FE44EC"/>
    <w:rsid w:val="00FE47E0"/>
    <w:rsid w:val="00FE4DB5"/>
    <w:rsid w:val="00FE783D"/>
    <w:rsid w:val="00FE7A20"/>
    <w:rsid w:val="00FF71CE"/>
    <w:rsid w:val="00FF7A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934C9"/>
  <w14:defaultImageDpi w14:val="32767"/>
  <w15:docId w15:val="{85659CCC-621B-407B-A397-8C9127F02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A411E"/>
    <w:rPr>
      <w:sz w:val="18"/>
      <w:szCs w:val="18"/>
    </w:rPr>
  </w:style>
  <w:style w:type="paragraph" w:styleId="CommentText">
    <w:name w:val="annotation text"/>
    <w:basedOn w:val="Normal"/>
    <w:link w:val="CommentTextChar"/>
    <w:uiPriority w:val="99"/>
    <w:semiHidden/>
    <w:unhideWhenUsed/>
    <w:rsid w:val="002A411E"/>
  </w:style>
  <w:style w:type="character" w:customStyle="1" w:styleId="CommentTextChar">
    <w:name w:val="Comment Text Char"/>
    <w:basedOn w:val="DefaultParagraphFont"/>
    <w:link w:val="CommentText"/>
    <w:uiPriority w:val="99"/>
    <w:semiHidden/>
    <w:rsid w:val="002A411E"/>
  </w:style>
  <w:style w:type="paragraph" w:styleId="CommentSubject">
    <w:name w:val="annotation subject"/>
    <w:basedOn w:val="CommentText"/>
    <w:next w:val="CommentText"/>
    <w:link w:val="CommentSubjectChar"/>
    <w:uiPriority w:val="99"/>
    <w:semiHidden/>
    <w:unhideWhenUsed/>
    <w:rsid w:val="002A411E"/>
    <w:rPr>
      <w:b/>
      <w:bCs/>
      <w:sz w:val="20"/>
      <w:szCs w:val="20"/>
    </w:rPr>
  </w:style>
  <w:style w:type="character" w:customStyle="1" w:styleId="CommentSubjectChar">
    <w:name w:val="Comment Subject Char"/>
    <w:basedOn w:val="CommentTextChar"/>
    <w:link w:val="CommentSubject"/>
    <w:uiPriority w:val="99"/>
    <w:semiHidden/>
    <w:rsid w:val="002A411E"/>
    <w:rPr>
      <w:b/>
      <w:bCs/>
      <w:sz w:val="20"/>
      <w:szCs w:val="20"/>
    </w:rPr>
  </w:style>
  <w:style w:type="paragraph" w:styleId="BalloonText">
    <w:name w:val="Balloon Text"/>
    <w:basedOn w:val="Normal"/>
    <w:link w:val="BalloonTextChar"/>
    <w:uiPriority w:val="99"/>
    <w:semiHidden/>
    <w:unhideWhenUsed/>
    <w:rsid w:val="002A411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A411E"/>
    <w:rPr>
      <w:rFonts w:ascii="Times New Roman" w:hAnsi="Times New Roman" w:cs="Times New Roman"/>
      <w:sz w:val="18"/>
      <w:szCs w:val="18"/>
    </w:rPr>
  </w:style>
  <w:style w:type="paragraph" w:styleId="ListParagraph">
    <w:name w:val="List Paragraph"/>
    <w:aliases w:val="LSBU List Paragraph"/>
    <w:basedOn w:val="Normal"/>
    <w:uiPriority w:val="34"/>
    <w:qFormat/>
    <w:rsid w:val="00271D3B"/>
    <w:pPr>
      <w:spacing w:after="160" w:line="259" w:lineRule="auto"/>
      <w:ind w:left="720"/>
      <w:contextualSpacing/>
    </w:pPr>
    <w:rPr>
      <w:sz w:val="22"/>
      <w:szCs w:val="22"/>
    </w:rPr>
  </w:style>
  <w:style w:type="table" w:customStyle="1" w:styleId="TableGrid2">
    <w:name w:val="Table Grid2"/>
    <w:basedOn w:val="TableNormal"/>
    <w:next w:val="TableGrid"/>
    <w:uiPriority w:val="59"/>
    <w:rsid w:val="00AE0841"/>
    <w:rPr>
      <w:rFonts w:ascii="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E08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5467"/>
    <w:rPr>
      <w:color w:val="0563C1" w:themeColor="hyperlink"/>
      <w:u w:val="single"/>
    </w:rPr>
  </w:style>
  <w:style w:type="paragraph" w:styleId="NormalWeb">
    <w:name w:val="Normal (Web)"/>
    <w:basedOn w:val="Normal"/>
    <w:uiPriority w:val="99"/>
    <w:unhideWhenUsed/>
    <w:rsid w:val="00577D4C"/>
    <w:pPr>
      <w:spacing w:before="100" w:beforeAutospacing="1" w:after="100" w:afterAutospacing="1"/>
    </w:pPr>
    <w:rPr>
      <w:rFonts w:ascii="Times New Roman" w:eastAsia="Times New Roman" w:hAnsi="Times New Roman" w:cs="Times New Roman"/>
      <w:lang w:eastAsia="en-GB"/>
    </w:rPr>
  </w:style>
  <w:style w:type="paragraph" w:styleId="PlainText">
    <w:name w:val="Plain Text"/>
    <w:basedOn w:val="Normal"/>
    <w:link w:val="PlainTextChar"/>
    <w:uiPriority w:val="99"/>
    <w:unhideWhenUsed/>
    <w:rsid w:val="00B62BB9"/>
    <w:rPr>
      <w:rFonts w:ascii="Calibri" w:hAnsi="Calibri"/>
      <w:sz w:val="22"/>
      <w:szCs w:val="21"/>
    </w:rPr>
  </w:style>
  <w:style w:type="character" w:customStyle="1" w:styleId="PlainTextChar">
    <w:name w:val="Plain Text Char"/>
    <w:basedOn w:val="DefaultParagraphFont"/>
    <w:link w:val="PlainText"/>
    <w:uiPriority w:val="99"/>
    <w:rsid w:val="00B62BB9"/>
    <w:rPr>
      <w:rFonts w:ascii="Calibri" w:hAnsi="Calibri"/>
      <w:sz w:val="22"/>
      <w:szCs w:val="21"/>
    </w:rPr>
  </w:style>
  <w:style w:type="paragraph" w:styleId="Header">
    <w:name w:val="header"/>
    <w:basedOn w:val="Normal"/>
    <w:link w:val="HeaderChar"/>
    <w:uiPriority w:val="99"/>
    <w:unhideWhenUsed/>
    <w:rsid w:val="007406B9"/>
    <w:pPr>
      <w:tabs>
        <w:tab w:val="center" w:pos="4513"/>
        <w:tab w:val="right" w:pos="9026"/>
      </w:tabs>
    </w:pPr>
  </w:style>
  <w:style w:type="character" w:customStyle="1" w:styleId="HeaderChar">
    <w:name w:val="Header Char"/>
    <w:basedOn w:val="DefaultParagraphFont"/>
    <w:link w:val="Header"/>
    <w:uiPriority w:val="99"/>
    <w:rsid w:val="007406B9"/>
  </w:style>
  <w:style w:type="paragraph" w:styleId="Footer">
    <w:name w:val="footer"/>
    <w:basedOn w:val="Normal"/>
    <w:link w:val="FooterChar"/>
    <w:uiPriority w:val="99"/>
    <w:unhideWhenUsed/>
    <w:rsid w:val="007406B9"/>
    <w:pPr>
      <w:tabs>
        <w:tab w:val="center" w:pos="4513"/>
        <w:tab w:val="right" w:pos="9026"/>
      </w:tabs>
    </w:pPr>
  </w:style>
  <w:style w:type="character" w:customStyle="1" w:styleId="FooterChar">
    <w:name w:val="Footer Char"/>
    <w:basedOn w:val="DefaultParagraphFont"/>
    <w:link w:val="Footer"/>
    <w:uiPriority w:val="99"/>
    <w:rsid w:val="007406B9"/>
  </w:style>
  <w:style w:type="paragraph" w:customStyle="1" w:styleId="EndNoteBibliography">
    <w:name w:val="EndNote Bibliography"/>
    <w:basedOn w:val="Normal"/>
    <w:link w:val="EndNoteBibliographyChar"/>
    <w:rsid w:val="003470E5"/>
    <w:pPr>
      <w:spacing w:line="240" w:lineRule="atLeast"/>
    </w:pPr>
    <w:rPr>
      <w:rFonts w:ascii="Palatino" w:eastAsia="Times New Roman" w:hAnsi="Palatino" w:cs="Times New Roman"/>
      <w:noProof/>
      <w:szCs w:val="20"/>
      <w:lang w:eastAsia="en-GB"/>
    </w:rPr>
  </w:style>
  <w:style w:type="character" w:customStyle="1" w:styleId="EndNoteBibliographyChar">
    <w:name w:val="EndNote Bibliography Char"/>
    <w:basedOn w:val="DefaultParagraphFont"/>
    <w:link w:val="EndNoteBibliography"/>
    <w:rsid w:val="003470E5"/>
    <w:rPr>
      <w:rFonts w:ascii="Palatino" w:eastAsia="Times New Roman" w:hAnsi="Palatino" w:cs="Times New Roman"/>
      <w:noProof/>
      <w:szCs w:val="20"/>
      <w:lang w:eastAsia="en-GB"/>
    </w:rPr>
  </w:style>
  <w:style w:type="character" w:styleId="FollowedHyperlink">
    <w:name w:val="FollowedHyperlink"/>
    <w:basedOn w:val="DefaultParagraphFont"/>
    <w:uiPriority w:val="99"/>
    <w:semiHidden/>
    <w:unhideWhenUsed/>
    <w:rsid w:val="006E5B24"/>
    <w:rPr>
      <w:color w:val="954F72" w:themeColor="followedHyperlink"/>
      <w:u w:val="single"/>
    </w:rPr>
  </w:style>
  <w:style w:type="paragraph" w:customStyle="1" w:styleId="Title1">
    <w:name w:val="Title1"/>
    <w:basedOn w:val="Normal"/>
    <w:rsid w:val="006E5B24"/>
    <w:pPr>
      <w:spacing w:before="100" w:beforeAutospacing="1" w:after="100" w:afterAutospacing="1"/>
    </w:pPr>
    <w:rPr>
      <w:rFonts w:ascii="Times New Roman" w:eastAsia="Times New Roman" w:hAnsi="Times New Roman" w:cs="Times New Roman"/>
      <w:lang w:val="en-US"/>
    </w:rPr>
  </w:style>
  <w:style w:type="paragraph" w:customStyle="1" w:styleId="desc">
    <w:name w:val="desc"/>
    <w:basedOn w:val="Normal"/>
    <w:rsid w:val="006E5B24"/>
    <w:pPr>
      <w:spacing w:before="100" w:beforeAutospacing="1" w:after="100" w:afterAutospacing="1"/>
    </w:pPr>
    <w:rPr>
      <w:rFonts w:ascii="Times New Roman" w:eastAsia="Times New Roman" w:hAnsi="Times New Roman" w:cs="Times New Roman"/>
      <w:lang w:val="en-US"/>
    </w:rPr>
  </w:style>
  <w:style w:type="paragraph" w:customStyle="1" w:styleId="details">
    <w:name w:val="details"/>
    <w:basedOn w:val="Normal"/>
    <w:rsid w:val="006E5B24"/>
    <w:pPr>
      <w:spacing w:before="100" w:beforeAutospacing="1" w:after="100" w:afterAutospacing="1"/>
    </w:pPr>
    <w:rPr>
      <w:rFonts w:ascii="Times New Roman" w:eastAsia="Times New Roman" w:hAnsi="Times New Roman" w:cs="Times New Roman"/>
      <w:lang w:val="en-US"/>
    </w:rPr>
  </w:style>
  <w:style w:type="character" w:customStyle="1" w:styleId="jrnl">
    <w:name w:val="jrnl"/>
    <w:basedOn w:val="DefaultParagraphFont"/>
    <w:rsid w:val="006E5B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19068">
      <w:bodyDiv w:val="1"/>
      <w:marLeft w:val="0"/>
      <w:marRight w:val="0"/>
      <w:marTop w:val="0"/>
      <w:marBottom w:val="0"/>
      <w:divBdr>
        <w:top w:val="none" w:sz="0" w:space="0" w:color="auto"/>
        <w:left w:val="none" w:sz="0" w:space="0" w:color="auto"/>
        <w:bottom w:val="none" w:sz="0" w:space="0" w:color="auto"/>
        <w:right w:val="none" w:sz="0" w:space="0" w:color="auto"/>
      </w:divBdr>
    </w:div>
    <w:div w:id="75788474">
      <w:bodyDiv w:val="1"/>
      <w:marLeft w:val="0"/>
      <w:marRight w:val="0"/>
      <w:marTop w:val="0"/>
      <w:marBottom w:val="0"/>
      <w:divBdr>
        <w:top w:val="none" w:sz="0" w:space="0" w:color="auto"/>
        <w:left w:val="none" w:sz="0" w:space="0" w:color="auto"/>
        <w:bottom w:val="none" w:sz="0" w:space="0" w:color="auto"/>
        <w:right w:val="none" w:sz="0" w:space="0" w:color="auto"/>
      </w:divBdr>
    </w:div>
    <w:div w:id="87966048">
      <w:bodyDiv w:val="1"/>
      <w:marLeft w:val="0"/>
      <w:marRight w:val="0"/>
      <w:marTop w:val="0"/>
      <w:marBottom w:val="0"/>
      <w:divBdr>
        <w:top w:val="none" w:sz="0" w:space="0" w:color="auto"/>
        <w:left w:val="none" w:sz="0" w:space="0" w:color="auto"/>
        <w:bottom w:val="none" w:sz="0" w:space="0" w:color="auto"/>
        <w:right w:val="none" w:sz="0" w:space="0" w:color="auto"/>
      </w:divBdr>
    </w:div>
    <w:div w:id="215705826">
      <w:bodyDiv w:val="1"/>
      <w:marLeft w:val="0"/>
      <w:marRight w:val="0"/>
      <w:marTop w:val="0"/>
      <w:marBottom w:val="0"/>
      <w:divBdr>
        <w:top w:val="none" w:sz="0" w:space="0" w:color="auto"/>
        <w:left w:val="none" w:sz="0" w:space="0" w:color="auto"/>
        <w:bottom w:val="none" w:sz="0" w:space="0" w:color="auto"/>
        <w:right w:val="none" w:sz="0" w:space="0" w:color="auto"/>
      </w:divBdr>
    </w:div>
    <w:div w:id="514199358">
      <w:bodyDiv w:val="1"/>
      <w:marLeft w:val="0"/>
      <w:marRight w:val="0"/>
      <w:marTop w:val="0"/>
      <w:marBottom w:val="0"/>
      <w:divBdr>
        <w:top w:val="none" w:sz="0" w:space="0" w:color="auto"/>
        <w:left w:val="none" w:sz="0" w:space="0" w:color="auto"/>
        <w:bottom w:val="none" w:sz="0" w:space="0" w:color="auto"/>
        <w:right w:val="none" w:sz="0" w:space="0" w:color="auto"/>
      </w:divBdr>
    </w:div>
    <w:div w:id="520971411">
      <w:bodyDiv w:val="1"/>
      <w:marLeft w:val="0"/>
      <w:marRight w:val="0"/>
      <w:marTop w:val="0"/>
      <w:marBottom w:val="0"/>
      <w:divBdr>
        <w:top w:val="none" w:sz="0" w:space="0" w:color="auto"/>
        <w:left w:val="none" w:sz="0" w:space="0" w:color="auto"/>
        <w:bottom w:val="none" w:sz="0" w:space="0" w:color="auto"/>
        <w:right w:val="none" w:sz="0" w:space="0" w:color="auto"/>
      </w:divBdr>
    </w:div>
    <w:div w:id="734397195">
      <w:bodyDiv w:val="1"/>
      <w:marLeft w:val="0"/>
      <w:marRight w:val="0"/>
      <w:marTop w:val="0"/>
      <w:marBottom w:val="0"/>
      <w:divBdr>
        <w:top w:val="none" w:sz="0" w:space="0" w:color="auto"/>
        <w:left w:val="none" w:sz="0" w:space="0" w:color="auto"/>
        <w:bottom w:val="none" w:sz="0" w:space="0" w:color="auto"/>
        <w:right w:val="none" w:sz="0" w:space="0" w:color="auto"/>
      </w:divBdr>
    </w:div>
    <w:div w:id="845292376">
      <w:bodyDiv w:val="1"/>
      <w:marLeft w:val="0"/>
      <w:marRight w:val="0"/>
      <w:marTop w:val="0"/>
      <w:marBottom w:val="0"/>
      <w:divBdr>
        <w:top w:val="none" w:sz="0" w:space="0" w:color="auto"/>
        <w:left w:val="none" w:sz="0" w:space="0" w:color="auto"/>
        <w:bottom w:val="none" w:sz="0" w:space="0" w:color="auto"/>
        <w:right w:val="none" w:sz="0" w:space="0" w:color="auto"/>
      </w:divBdr>
    </w:div>
    <w:div w:id="974795997">
      <w:bodyDiv w:val="1"/>
      <w:marLeft w:val="0"/>
      <w:marRight w:val="0"/>
      <w:marTop w:val="0"/>
      <w:marBottom w:val="0"/>
      <w:divBdr>
        <w:top w:val="none" w:sz="0" w:space="0" w:color="auto"/>
        <w:left w:val="none" w:sz="0" w:space="0" w:color="auto"/>
        <w:bottom w:val="none" w:sz="0" w:space="0" w:color="auto"/>
        <w:right w:val="none" w:sz="0" w:space="0" w:color="auto"/>
      </w:divBdr>
      <w:divsChild>
        <w:div w:id="586159062">
          <w:marLeft w:val="0"/>
          <w:marRight w:val="0"/>
          <w:marTop w:val="0"/>
          <w:marBottom w:val="0"/>
          <w:divBdr>
            <w:top w:val="none" w:sz="0" w:space="0" w:color="auto"/>
            <w:left w:val="none" w:sz="0" w:space="0" w:color="auto"/>
            <w:bottom w:val="none" w:sz="0" w:space="0" w:color="auto"/>
            <w:right w:val="none" w:sz="0" w:space="0" w:color="auto"/>
          </w:divBdr>
        </w:div>
        <w:div w:id="2010594410">
          <w:marLeft w:val="0"/>
          <w:marRight w:val="0"/>
          <w:marTop w:val="0"/>
          <w:marBottom w:val="0"/>
          <w:divBdr>
            <w:top w:val="none" w:sz="0" w:space="0" w:color="auto"/>
            <w:left w:val="none" w:sz="0" w:space="0" w:color="auto"/>
            <w:bottom w:val="none" w:sz="0" w:space="0" w:color="auto"/>
            <w:right w:val="none" w:sz="0" w:space="0" w:color="auto"/>
          </w:divBdr>
        </w:div>
        <w:div w:id="1317219256">
          <w:marLeft w:val="0"/>
          <w:marRight w:val="0"/>
          <w:marTop w:val="0"/>
          <w:marBottom w:val="0"/>
          <w:divBdr>
            <w:top w:val="none" w:sz="0" w:space="0" w:color="auto"/>
            <w:left w:val="none" w:sz="0" w:space="0" w:color="auto"/>
            <w:bottom w:val="none" w:sz="0" w:space="0" w:color="auto"/>
            <w:right w:val="none" w:sz="0" w:space="0" w:color="auto"/>
          </w:divBdr>
        </w:div>
        <w:div w:id="1240141891">
          <w:marLeft w:val="0"/>
          <w:marRight w:val="0"/>
          <w:marTop w:val="0"/>
          <w:marBottom w:val="0"/>
          <w:divBdr>
            <w:top w:val="none" w:sz="0" w:space="0" w:color="auto"/>
            <w:left w:val="none" w:sz="0" w:space="0" w:color="auto"/>
            <w:bottom w:val="none" w:sz="0" w:space="0" w:color="auto"/>
            <w:right w:val="none" w:sz="0" w:space="0" w:color="auto"/>
          </w:divBdr>
        </w:div>
        <w:div w:id="1978484412">
          <w:marLeft w:val="0"/>
          <w:marRight w:val="0"/>
          <w:marTop w:val="0"/>
          <w:marBottom w:val="0"/>
          <w:divBdr>
            <w:top w:val="none" w:sz="0" w:space="0" w:color="auto"/>
            <w:left w:val="none" w:sz="0" w:space="0" w:color="auto"/>
            <w:bottom w:val="none" w:sz="0" w:space="0" w:color="auto"/>
            <w:right w:val="none" w:sz="0" w:space="0" w:color="auto"/>
          </w:divBdr>
        </w:div>
        <w:div w:id="840655907">
          <w:marLeft w:val="0"/>
          <w:marRight w:val="0"/>
          <w:marTop w:val="0"/>
          <w:marBottom w:val="0"/>
          <w:divBdr>
            <w:top w:val="none" w:sz="0" w:space="0" w:color="auto"/>
            <w:left w:val="none" w:sz="0" w:space="0" w:color="auto"/>
            <w:bottom w:val="none" w:sz="0" w:space="0" w:color="auto"/>
            <w:right w:val="none" w:sz="0" w:space="0" w:color="auto"/>
          </w:divBdr>
        </w:div>
      </w:divsChild>
    </w:div>
    <w:div w:id="1148211445">
      <w:bodyDiv w:val="1"/>
      <w:marLeft w:val="0"/>
      <w:marRight w:val="0"/>
      <w:marTop w:val="0"/>
      <w:marBottom w:val="0"/>
      <w:divBdr>
        <w:top w:val="none" w:sz="0" w:space="0" w:color="auto"/>
        <w:left w:val="none" w:sz="0" w:space="0" w:color="auto"/>
        <w:bottom w:val="none" w:sz="0" w:space="0" w:color="auto"/>
        <w:right w:val="none" w:sz="0" w:space="0" w:color="auto"/>
      </w:divBdr>
    </w:div>
    <w:div w:id="1161458859">
      <w:bodyDiv w:val="1"/>
      <w:marLeft w:val="0"/>
      <w:marRight w:val="0"/>
      <w:marTop w:val="0"/>
      <w:marBottom w:val="0"/>
      <w:divBdr>
        <w:top w:val="none" w:sz="0" w:space="0" w:color="auto"/>
        <w:left w:val="none" w:sz="0" w:space="0" w:color="auto"/>
        <w:bottom w:val="none" w:sz="0" w:space="0" w:color="auto"/>
        <w:right w:val="none" w:sz="0" w:space="0" w:color="auto"/>
      </w:divBdr>
      <w:divsChild>
        <w:div w:id="1198590141">
          <w:marLeft w:val="0"/>
          <w:marRight w:val="0"/>
          <w:marTop w:val="0"/>
          <w:marBottom w:val="0"/>
          <w:divBdr>
            <w:top w:val="none" w:sz="0" w:space="0" w:color="auto"/>
            <w:left w:val="none" w:sz="0" w:space="0" w:color="auto"/>
            <w:bottom w:val="none" w:sz="0" w:space="0" w:color="auto"/>
            <w:right w:val="none" w:sz="0" w:space="0" w:color="auto"/>
          </w:divBdr>
        </w:div>
        <w:div w:id="1279289947">
          <w:marLeft w:val="0"/>
          <w:marRight w:val="0"/>
          <w:marTop w:val="0"/>
          <w:marBottom w:val="0"/>
          <w:divBdr>
            <w:top w:val="none" w:sz="0" w:space="0" w:color="auto"/>
            <w:left w:val="none" w:sz="0" w:space="0" w:color="auto"/>
            <w:bottom w:val="none" w:sz="0" w:space="0" w:color="auto"/>
            <w:right w:val="none" w:sz="0" w:space="0" w:color="auto"/>
          </w:divBdr>
        </w:div>
        <w:div w:id="1372416632">
          <w:marLeft w:val="0"/>
          <w:marRight w:val="0"/>
          <w:marTop w:val="0"/>
          <w:marBottom w:val="0"/>
          <w:divBdr>
            <w:top w:val="none" w:sz="0" w:space="0" w:color="auto"/>
            <w:left w:val="none" w:sz="0" w:space="0" w:color="auto"/>
            <w:bottom w:val="none" w:sz="0" w:space="0" w:color="auto"/>
            <w:right w:val="none" w:sz="0" w:space="0" w:color="auto"/>
          </w:divBdr>
        </w:div>
        <w:div w:id="537623204">
          <w:marLeft w:val="0"/>
          <w:marRight w:val="0"/>
          <w:marTop w:val="0"/>
          <w:marBottom w:val="0"/>
          <w:divBdr>
            <w:top w:val="none" w:sz="0" w:space="0" w:color="auto"/>
            <w:left w:val="none" w:sz="0" w:space="0" w:color="auto"/>
            <w:bottom w:val="none" w:sz="0" w:space="0" w:color="auto"/>
            <w:right w:val="none" w:sz="0" w:space="0" w:color="auto"/>
          </w:divBdr>
        </w:div>
        <w:div w:id="445734586">
          <w:marLeft w:val="0"/>
          <w:marRight w:val="0"/>
          <w:marTop w:val="0"/>
          <w:marBottom w:val="0"/>
          <w:divBdr>
            <w:top w:val="none" w:sz="0" w:space="0" w:color="auto"/>
            <w:left w:val="none" w:sz="0" w:space="0" w:color="auto"/>
            <w:bottom w:val="none" w:sz="0" w:space="0" w:color="auto"/>
            <w:right w:val="none" w:sz="0" w:space="0" w:color="auto"/>
          </w:divBdr>
        </w:div>
        <w:div w:id="527641909">
          <w:marLeft w:val="0"/>
          <w:marRight w:val="0"/>
          <w:marTop w:val="0"/>
          <w:marBottom w:val="0"/>
          <w:divBdr>
            <w:top w:val="none" w:sz="0" w:space="0" w:color="auto"/>
            <w:left w:val="none" w:sz="0" w:space="0" w:color="auto"/>
            <w:bottom w:val="none" w:sz="0" w:space="0" w:color="auto"/>
            <w:right w:val="none" w:sz="0" w:space="0" w:color="auto"/>
          </w:divBdr>
        </w:div>
        <w:div w:id="1483766174">
          <w:marLeft w:val="0"/>
          <w:marRight w:val="0"/>
          <w:marTop w:val="0"/>
          <w:marBottom w:val="0"/>
          <w:divBdr>
            <w:top w:val="none" w:sz="0" w:space="0" w:color="auto"/>
            <w:left w:val="none" w:sz="0" w:space="0" w:color="auto"/>
            <w:bottom w:val="none" w:sz="0" w:space="0" w:color="auto"/>
            <w:right w:val="none" w:sz="0" w:space="0" w:color="auto"/>
          </w:divBdr>
        </w:div>
        <w:div w:id="1399093103">
          <w:marLeft w:val="0"/>
          <w:marRight w:val="0"/>
          <w:marTop w:val="0"/>
          <w:marBottom w:val="0"/>
          <w:divBdr>
            <w:top w:val="none" w:sz="0" w:space="0" w:color="auto"/>
            <w:left w:val="none" w:sz="0" w:space="0" w:color="auto"/>
            <w:bottom w:val="none" w:sz="0" w:space="0" w:color="auto"/>
            <w:right w:val="none" w:sz="0" w:space="0" w:color="auto"/>
          </w:divBdr>
        </w:div>
        <w:div w:id="358436650">
          <w:marLeft w:val="0"/>
          <w:marRight w:val="0"/>
          <w:marTop w:val="0"/>
          <w:marBottom w:val="0"/>
          <w:divBdr>
            <w:top w:val="none" w:sz="0" w:space="0" w:color="auto"/>
            <w:left w:val="none" w:sz="0" w:space="0" w:color="auto"/>
            <w:bottom w:val="none" w:sz="0" w:space="0" w:color="auto"/>
            <w:right w:val="none" w:sz="0" w:space="0" w:color="auto"/>
          </w:divBdr>
        </w:div>
        <w:div w:id="770663147">
          <w:marLeft w:val="0"/>
          <w:marRight w:val="0"/>
          <w:marTop w:val="0"/>
          <w:marBottom w:val="0"/>
          <w:divBdr>
            <w:top w:val="none" w:sz="0" w:space="0" w:color="auto"/>
            <w:left w:val="none" w:sz="0" w:space="0" w:color="auto"/>
            <w:bottom w:val="none" w:sz="0" w:space="0" w:color="auto"/>
            <w:right w:val="none" w:sz="0" w:space="0" w:color="auto"/>
          </w:divBdr>
        </w:div>
        <w:div w:id="77560709">
          <w:marLeft w:val="0"/>
          <w:marRight w:val="0"/>
          <w:marTop w:val="0"/>
          <w:marBottom w:val="0"/>
          <w:divBdr>
            <w:top w:val="none" w:sz="0" w:space="0" w:color="auto"/>
            <w:left w:val="none" w:sz="0" w:space="0" w:color="auto"/>
            <w:bottom w:val="none" w:sz="0" w:space="0" w:color="auto"/>
            <w:right w:val="none" w:sz="0" w:space="0" w:color="auto"/>
          </w:divBdr>
        </w:div>
      </w:divsChild>
    </w:div>
    <w:div w:id="1473477372">
      <w:bodyDiv w:val="1"/>
      <w:marLeft w:val="0"/>
      <w:marRight w:val="0"/>
      <w:marTop w:val="0"/>
      <w:marBottom w:val="0"/>
      <w:divBdr>
        <w:top w:val="none" w:sz="0" w:space="0" w:color="auto"/>
        <w:left w:val="none" w:sz="0" w:space="0" w:color="auto"/>
        <w:bottom w:val="none" w:sz="0" w:space="0" w:color="auto"/>
        <w:right w:val="none" w:sz="0" w:space="0" w:color="auto"/>
      </w:divBdr>
      <w:divsChild>
        <w:div w:id="679624767">
          <w:marLeft w:val="0"/>
          <w:marRight w:val="0"/>
          <w:marTop w:val="0"/>
          <w:marBottom w:val="0"/>
          <w:divBdr>
            <w:top w:val="none" w:sz="0" w:space="0" w:color="auto"/>
            <w:left w:val="none" w:sz="0" w:space="0" w:color="auto"/>
            <w:bottom w:val="none" w:sz="0" w:space="0" w:color="auto"/>
            <w:right w:val="none" w:sz="0" w:space="0" w:color="auto"/>
          </w:divBdr>
        </w:div>
        <w:div w:id="1199709439">
          <w:marLeft w:val="0"/>
          <w:marRight w:val="0"/>
          <w:marTop w:val="0"/>
          <w:marBottom w:val="0"/>
          <w:divBdr>
            <w:top w:val="none" w:sz="0" w:space="0" w:color="auto"/>
            <w:left w:val="none" w:sz="0" w:space="0" w:color="auto"/>
            <w:bottom w:val="none" w:sz="0" w:space="0" w:color="auto"/>
            <w:right w:val="none" w:sz="0" w:space="0" w:color="auto"/>
          </w:divBdr>
        </w:div>
        <w:div w:id="1999072548">
          <w:marLeft w:val="0"/>
          <w:marRight w:val="0"/>
          <w:marTop w:val="0"/>
          <w:marBottom w:val="0"/>
          <w:divBdr>
            <w:top w:val="none" w:sz="0" w:space="0" w:color="auto"/>
            <w:left w:val="none" w:sz="0" w:space="0" w:color="auto"/>
            <w:bottom w:val="none" w:sz="0" w:space="0" w:color="auto"/>
            <w:right w:val="none" w:sz="0" w:space="0" w:color="auto"/>
          </w:divBdr>
        </w:div>
        <w:div w:id="902368747">
          <w:marLeft w:val="0"/>
          <w:marRight w:val="0"/>
          <w:marTop w:val="0"/>
          <w:marBottom w:val="0"/>
          <w:divBdr>
            <w:top w:val="none" w:sz="0" w:space="0" w:color="auto"/>
            <w:left w:val="none" w:sz="0" w:space="0" w:color="auto"/>
            <w:bottom w:val="none" w:sz="0" w:space="0" w:color="auto"/>
            <w:right w:val="none" w:sz="0" w:space="0" w:color="auto"/>
          </w:divBdr>
        </w:div>
        <w:div w:id="103811747">
          <w:marLeft w:val="0"/>
          <w:marRight w:val="0"/>
          <w:marTop w:val="0"/>
          <w:marBottom w:val="0"/>
          <w:divBdr>
            <w:top w:val="none" w:sz="0" w:space="0" w:color="auto"/>
            <w:left w:val="none" w:sz="0" w:space="0" w:color="auto"/>
            <w:bottom w:val="none" w:sz="0" w:space="0" w:color="auto"/>
            <w:right w:val="none" w:sz="0" w:space="0" w:color="auto"/>
          </w:divBdr>
        </w:div>
        <w:div w:id="609360396">
          <w:marLeft w:val="0"/>
          <w:marRight w:val="0"/>
          <w:marTop w:val="0"/>
          <w:marBottom w:val="0"/>
          <w:divBdr>
            <w:top w:val="none" w:sz="0" w:space="0" w:color="auto"/>
            <w:left w:val="none" w:sz="0" w:space="0" w:color="auto"/>
            <w:bottom w:val="none" w:sz="0" w:space="0" w:color="auto"/>
            <w:right w:val="none" w:sz="0" w:space="0" w:color="auto"/>
          </w:divBdr>
        </w:div>
      </w:divsChild>
    </w:div>
    <w:div w:id="1497915382">
      <w:bodyDiv w:val="1"/>
      <w:marLeft w:val="0"/>
      <w:marRight w:val="0"/>
      <w:marTop w:val="0"/>
      <w:marBottom w:val="0"/>
      <w:divBdr>
        <w:top w:val="none" w:sz="0" w:space="0" w:color="auto"/>
        <w:left w:val="none" w:sz="0" w:space="0" w:color="auto"/>
        <w:bottom w:val="none" w:sz="0" w:space="0" w:color="auto"/>
        <w:right w:val="none" w:sz="0" w:space="0" w:color="auto"/>
      </w:divBdr>
    </w:div>
    <w:div w:id="1558585462">
      <w:bodyDiv w:val="1"/>
      <w:marLeft w:val="0"/>
      <w:marRight w:val="0"/>
      <w:marTop w:val="0"/>
      <w:marBottom w:val="0"/>
      <w:divBdr>
        <w:top w:val="none" w:sz="0" w:space="0" w:color="auto"/>
        <w:left w:val="none" w:sz="0" w:space="0" w:color="auto"/>
        <w:bottom w:val="none" w:sz="0" w:space="0" w:color="auto"/>
        <w:right w:val="none" w:sz="0" w:space="0" w:color="auto"/>
      </w:divBdr>
    </w:div>
    <w:div w:id="1685664016">
      <w:bodyDiv w:val="1"/>
      <w:marLeft w:val="0"/>
      <w:marRight w:val="0"/>
      <w:marTop w:val="0"/>
      <w:marBottom w:val="0"/>
      <w:divBdr>
        <w:top w:val="none" w:sz="0" w:space="0" w:color="auto"/>
        <w:left w:val="none" w:sz="0" w:space="0" w:color="auto"/>
        <w:bottom w:val="none" w:sz="0" w:space="0" w:color="auto"/>
        <w:right w:val="none" w:sz="0" w:space="0" w:color="auto"/>
      </w:divBdr>
      <w:divsChild>
        <w:div w:id="805969177">
          <w:marLeft w:val="0"/>
          <w:marRight w:val="0"/>
          <w:marTop w:val="0"/>
          <w:marBottom w:val="0"/>
          <w:divBdr>
            <w:top w:val="none" w:sz="0" w:space="0" w:color="auto"/>
            <w:left w:val="none" w:sz="0" w:space="0" w:color="auto"/>
            <w:bottom w:val="none" w:sz="0" w:space="0" w:color="auto"/>
            <w:right w:val="none" w:sz="0" w:space="0" w:color="auto"/>
          </w:divBdr>
        </w:div>
      </w:divsChild>
    </w:div>
    <w:div w:id="1735348170">
      <w:bodyDiv w:val="1"/>
      <w:marLeft w:val="0"/>
      <w:marRight w:val="0"/>
      <w:marTop w:val="0"/>
      <w:marBottom w:val="0"/>
      <w:divBdr>
        <w:top w:val="none" w:sz="0" w:space="0" w:color="auto"/>
        <w:left w:val="none" w:sz="0" w:space="0" w:color="auto"/>
        <w:bottom w:val="none" w:sz="0" w:space="0" w:color="auto"/>
        <w:right w:val="none" w:sz="0" w:space="0" w:color="auto"/>
      </w:divBdr>
    </w:div>
    <w:div w:id="1750153669">
      <w:bodyDiv w:val="1"/>
      <w:marLeft w:val="0"/>
      <w:marRight w:val="0"/>
      <w:marTop w:val="0"/>
      <w:marBottom w:val="0"/>
      <w:divBdr>
        <w:top w:val="none" w:sz="0" w:space="0" w:color="auto"/>
        <w:left w:val="none" w:sz="0" w:space="0" w:color="auto"/>
        <w:bottom w:val="none" w:sz="0" w:space="0" w:color="auto"/>
        <w:right w:val="none" w:sz="0" w:space="0" w:color="auto"/>
      </w:divBdr>
    </w:div>
    <w:div w:id="2003661983">
      <w:bodyDiv w:val="1"/>
      <w:marLeft w:val="0"/>
      <w:marRight w:val="0"/>
      <w:marTop w:val="0"/>
      <w:marBottom w:val="0"/>
      <w:divBdr>
        <w:top w:val="none" w:sz="0" w:space="0" w:color="auto"/>
        <w:left w:val="none" w:sz="0" w:space="0" w:color="auto"/>
        <w:bottom w:val="none" w:sz="0" w:space="0" w:color="auto"/>
        <w:right w:val="none" w:sz="0" w:space="0" w:color="auto"/>
      </w:divBdr>
    </w:div>
    <w:div w:id="2046901496">
      <w:bodyDiv w:val="1"/>
      <w:marLeft w:val="0"/>
      <w:marRight w:val="0"/>
      <w:marTop w:val="0"/>
      <w:marBottom w:val="0"/>
      <w:divBdr>
        <w:top w:val="none" w:sz="0" w:space="0" w:color="auto"/>
        <w:left w:val="none" w:sz="0" w:space="0" w:color="auto"/>
        <w:bottom w:val="none" w:sz="0" w:space="0" w:color="auto"/>
        <w:right w:val="none" w:sz="0" w:space="0" w:color="auto"/>
      </w:divBdr>
    </w:div>
    <w:div w:id="2095665376">
      <w:bodyDiv w:val="1"/>
      <w:marLeft w:val="0"/>
      <w:marRight w:val="0"/>
      <w:marTop w:val="0"/>
      <w:marBottom w:val="0"/>
      <w:divBdr>
        <w:top w:val="none" w:sz="0" w:space="0" w:color="auto"/>
        <w:left w:val="none" w:sz="0" w:space="0" w:color="auto"/>
        <w:bottom w:val="none" w:sz="0" w:space="0" w:color="auto"/>
        <w:right w:val="none" w:sz="0" w:space="0" w:color="auto"/>
      </w:divBdr>
    </w:div>
    <w:div w:id="21016796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wkinl3@lsbu.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doi.org/10.1093/ntr/ntx162" TargetMode="External"/><Relationship Id="rId4" Type="http://schemas.openxmlformats.org/officeDocument/2006/relationships/settings" Target="settings.xml"/><Relationship Id="rId9" Type="http://schemas.openxmlformats.org/officeDocument/2006/relationships/hyperlink" Target="https://www.fda.gov/tobaccoproducts/guidancecomplianceregulatoryinformation/ucm297786.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C5925-03A7-40B5-8E25-6DDA30DD0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6324</Words>
  <Characters>36053</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London Southbank University</Company>
  <LinksUpToDate>false</LinksUpToDate>
  <CharactersWithSpaces>42293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Cox</dc:creator>
  <cp:lastModifiedBy>Dawkins, Lynne 3</cp:lastModifiedBy>
  <cp:revision>4</cp:revision>
  <cp:lastPrinted>2018-02-01T09:34:00Z</cp:lastPrinted>
  <dcterms:created xsi:type="dcterms:W3CDTF">2018-05-18T08:17:00Z</dcterms:created>
  <dcterms:modified xsi:type="dcterms:W3CDTF">2018-05-18T08:21:00Z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16th edition (author-date)</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(author-date)</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7th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ies>
</file>