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B197" w14:textId="76726479" w:rsidR="00BA3364" w:rsidRPr="00CD2B79" w:rsidRDefault="00BA3364" w:rsidP="00BA3364">
      <w:pPr>
        <w:jc w:val="center"/>
        <w:rPr>
          <w:b/>
          <w:sz w:val="36"/>
          <w:szCs w:val="24"/>
        </w:rPr>
      </w:pPr>
      <w:r w:rsidRPr="00CD2B79">
        <w:rPr>
          <w:b/>
          <w:sz w:val="36"/>
          <w:szCs w:val="24"/>
        </w:rPr>
        <w:t>Supporting Information for</w:t>
      </w:r>
    </w:p>
    <w:p w14:paraId="433F62D8" w14:textId="076CCE08" w:rsidR="00BA3364" w:rsidRPr="00CD2B79" w:rsidRDefault="00BA3364" w:rsidP="00BA3364">
      <w:pPr>
        <w:jc w:val="center"/>
        <w:rPr>
          <w:b/>
          <w:sz w:val="28"/>
          <w:szCs w:val="24"/>
        </w:rPr>
      </w:pPr>
      <w:r w:rsidRPr="00CD2B79">
        <w:rPr>
          <w:b/>
          <w:sz w:val="28"/>
          <w:szCs w:val="24"/>
        </w:rPr>
        <w:t>Bi</w:t>
      </w:r>
      <w:r w:rsidRPr="00CD2B79">
        <w:rPr>
          <w:b/>
          <w:sz w:val="28"/>
          <w:szCs w:val="24"/>
          <w:vertAlign w:val="subscript"/>
        </w:rPr>
        <w:t>2</w:t>
      </w:r>
      <w:r w:rsidRPr="00CD2B79">
        <w:rPr>
          <w:b/>
          <w:sz w:val="28"/>
          <w:szCs w:val="24"/>
        </w:rPr>
        <w:t>Fe</w:t>
      </w:r>
      <w:r w:rsidRPr="00CD2B79">
        <w:rPr>
          <w:b/>
          <w:sz w:val="28"/>
          <w:szCs w:val="24"/>
          <w:vertAlign w:val="subscript"/>
        </w:rPr>
        <w:t>4</w:t>
      </w:r>
      <w:r w:rsidRPr="00CD2B79">
        <w:rPr>
          <w:b/>
          <w:sz w:val="28"/>
          <w:szCs w:val="24"/>
        </w:rPr>
        <w:t>O</w:t>
      </w:r>
      <w:r w:rsidRPr="00CD2B79">
        <w:rPr>
          <w:b/>
          <w:sz w:val="28"/>
          <w:szCs w:val="24"/>
          <w:vertAlign w:val="subscript"/>
        </w:rPr>
        <w:t>9</w:t>
      </w:r>
      <w:r w:rsidRPr="00CD2B79">
        <w:rPr>
          <w:b/>
          <w:sz w:val="28"/>
          <w:szCs w:val="24"/>
        </w:rPr>
        <w:t xml:space="preserve"> thin films as novel visible-light-active photoanodes for solar water splitting</w:t>
      </w:r>
    </w:p>
    <w:p w14:paraId="39B707BF" w14:textId="7F6C2FFD" w:rsidR="006F7A80" w:rsidRDefault="006F7A80" w:rsidP="006F7A80">
      <w:pPr>
        <w:jc w:val="center"/>
        <w:rPr>
          <w:szCs w:val="24"/>
        </w:rPr>
      </w:pPr>
      <w:r w:rsidRPr="006F7A80">
        <w:rPr>
          <w:szCs w:val="24"/>
        </w:rPr>
        <w:t>Yaqiong Wang,</w:t>
      </w:r>
      <w:r w:rsidRPr="006F7A80">
        <w:rPr>
          <w:szCs w:val="24"/>
          <w:vertAlign w:val="superscript"/>
        </w:rPr>
        <w:t>a</w:t>
      </w:r>
      <w:r w:rsidRPr="006F7A80">
        <w:rPr>
          <w:szCs w:val="24"/>
        </w:rPr>
        <w:t xml:space="preserve"> Matyas Daboczi,</w:t>
      </w:r>
      <w:r w:rsidRPr="006F7A80">
        <w:rPr>
          <w:szCs w:val="24"/>
          <w:vertAlign w:val="superscript"/>
        </w:rPr>
        <w:t>b</w:t>
      </w:r>
      <w:r w:rsidRPr="006F7A80">
        <w:rPr>
          <w:szCs w:val="24"/>
        </w:rPr>
        <w:t xml:space="preserve"> Camilo A. Mesa,</w:t>
      </w:r>
      <w:r w:rsidRPr="006F7A80">
        <w:rPr>
          <w:szCs w:val="24"/>
          <w:vertAlign w:val="superscript"/>
        </w:rPr>
        <w:t>c</w:t>
      </w:r>
      <w:r w:rsidRPr="006F7A80">
        <w:rPr>
          <w:szCs w:val="24"/>
        </w:rPr>
        <w:t xml:space="preserve"> Sinclair Ryley Ratnasingham,</w:t>
      </w:r>
      <w:r w:rsidRPr="006F7A80">
        <w:rPr>
          <w:szCs w:val="24"/>
          <w:vertAlign w:val="superscript"/>
        </w:rPr>
        <w:t>a,d</w:t>
      </w:r>
      <w:r w:rsidRPr="006F7A80">
        <w:rPr>
          <w:szCs w:val="24"/>
        </w:rPr>
        <w:t xml:space="preserve"> Ji-Seon Kim,</w:t>
      </w:r>
      <w:r w:rsidRPr="006F7A80">
        <w:rPr>
          <w:szCs w:val="24"/>
          <w:vertAlign w:val="superscript"/>
        </w:rPr>
        <w:t>b</w:t>
      </w:r>
      <w:r w:rsidRPr="006F7A80">
        <w:rPr>
          <w:szCs w:val="24"/>
        </w:rPr>
        <w:t xml:space="preserve"> James R. Durrant,</w:t>
      </w:r>
      <w:r w:rsidRPr="006F7A80">
        <w:rPr>
          <w:szCs w:val="24"/>
          <w:vertAlign w:val="superscript"/>
        </w:rPr>
        <w:t>c</w:t>
      </w:r>
      <w:r>
        <w:rPr>
          <w:szCs w:val="24"/>
        </w:rPr>
        <w:t xml:space="preserve"> Steve Dunn,</w:t>
      </w:r>
      <w:r w:rsidRPr="006F7A80">
        <w:rPr>
          <w:szCs w:val="24"/>
          <w:vertAlign w:val="superscript"/>
        </w:rPr>
        <w:t>e</w:t>
      </w:r>
      <w:r w:rsidRPr="006F7A80">
        <w:rPr>
          <w:szCs w:val="24"/>
        </w:rPr>
        <w:t xml:space="preserve"> Haixue Yan,</w:t>
      </w:r>
      <w:r w:rsidRPr="006F7A80">
        <w:rPr>
          <w:szCs w:val="24"/>
          <w:vertAlign w:val="superscript"/>
        </w:rPr>
        <w:t>a</w:t>
      </w:r>
      <w:r w:rsidRPr="006F7A80">
        <w:rPr>
          <w:szCs w:val="24"/>
        </w:rPr>
        <w:t xml:space="preserve"> and Joe Briscoe</w:t>
      </w:r>
      <w:r w:rsidRPr="006F7A80">
        <w:rPr>
          <w:szCs w:val="24"/>
          <w:vertAlign w:val="superscript"/>
        </w:rPr>
        <w:t>*a</w:t>
      </w:r>
      <w:r w:rsidRPr="006F7A80">
        <w:rPr>
          <w:szCs w:val="24"/>
        </w:rPr>
        <w:t xml:space="preserve">  </w:t>
      </w:r>
    </w:p>
    <w:p w14:paraId="64870E4E" w14:textId="6AB6EEBA" w:rsidR="00BA3364" w:rsidRPr="00CD2B79" w:rsidRDefault="006F7A80" w:rsidP="00BA3364">
      <w:pPr>
        <w:jc w:val="center"/>
        <w:rPr>
          <w:szCs w:val="24"/>
        </w:rPr>
      </w:pPr>
      <w:r>
        <w:rPr>
          <w:szCs w:val="24"/>
          <w:vertAlign w:val="superscript"/>
        </w:rPr>
        <w:t>a</w:t>
      </w:r>
      <w:r w:rsidR="00BA3364" w:rsidRPr="00CD2B79">
        <w:rPr>
          <w:szCs w:val="24"/>
          <w:vertAlign w:val="superscript"/>
        </w:rPr>
        <w:t xml:space="preserve"> </w:t>
      </w:r>
      <w:r w:rsidR="00BA3364" w:rsidRPr="00CD2B79">
        <w:rPr>
          <w:szCs w:val="24"/>
        </w:rPr>
        <w:t>School of Engineering and Materials Science</w:t>
      </w:r>
      <w:r w:rsidR="00F04AC1" w:rsidRPr="00CD2B79">
        <w:rPr>
          <w:szCs w:val="24"/>
        </w:rPr>
        <w:t xml:space="preserve"> and Materials Research Institute</w:t>
      </w:r>
      <w:r w:rsidR="00BA3364" w:rsidRPr="00CD2B79">
        <w:rPr>
          <w:szCs w:val="24"/>
        </w:rPr>
        <w:t xml:space="preserve">, Queen Mary University of London, Mile End Road, London E1 4NS, </w:t>
      </w:r>
      <w:r>
        <w:rPr>
          <w:szCs w:val="24"/>
        </w:rPr>
        <w:t>UK</w:t>
      </w:r>
      <w:r w:rsidR="00BA3364" w:rsidRPr="00CD2B79">
        <w:rPr>
          <w:szCs w:val="24"/>
        </w:rPr>
        <w:t>.</w:t>
      </w:r>
      <w:r w:rsidRPr="006F7A80">
        <w:rPr>
          <w:szCs w:val="24"/>
          <w:vertAlign w:val="superscript"/>
        </w:rPr>
        <w:t>*</w:t>
      </w:r>
      <w:hyperlink r:id="rId6" w:history="1">
        <w:r w:rsidRPr="00CD2B79">
          <w:rPr>
            <w:rStyle w:val="Hyperlink"/>
            <w:szCs w:val="24"/>
            <w:lang w:val="en-US"/>
          </w:rPr>
          <w:t>j.briscoe@qmul.ac.uk</w:t>
        </w:r>
      </w:hyperlink>
    </w:p>
    <w:p w14:paraId="2C3CA7AB" w14:textId="7396DD0C" w:rsidR="00BA3364" w:rsidRDefault="006F7A80" w:rsidP="00BA3364">
      <w:pPr>
        <w:ind w:left="360"/>
        <w:jc w:val="center"/>
        <w:rPr>
          <w:szCs w:val="24"/>
        </w:rPr>
      </w:pPr>
      <w:r>
        <w:rPr>
          <w:szCs w:val="24"/>
          <w:vertAlign w:val="superscript"/>
        </w:rPr>
        <w:t>b</w:t>
      </w:r>
      <w:r w:rsidR="00BA3364" w:rsidRPr="00CD2B79">
        <w:rPr>
          <w:szCs w:val="24"/>
        </w:rPr>
        <w:t xml:space="preserve"> Department of Physics and Centre for Plastic Electronics, Imperial College London, </w:t>
      </w:r>
      <w:r w:rsidR="00BA3364" w:rsidRPr="00CD2B79">
        <w:t>South Kensington, London, SW7 2AZ,</w:t>
      </w:r>
      <w:r w:rsidR="00BA3364" w:rsidRPr="00CD2B79">
        <w:rPr>
          <w:szCs w:val="24"/>
        </w:rPr>
        <w:t xml:space="preserve"> UK</w:t>
      </w:r>
    </w:p>
    <w:p w14:paraId="06CC4C34" w14:textId="089CBBBE" w:rsidR="006F7A80" w:rsidRPr="00CD2B79" w:rsidRDefault="006F7A80" w:rsidP="00BA3364">
      <w:pPr>
        <w:ind w:left="360"/>
        <w:jc w:val="center"/>
        <w:rPr>
          <w:szCs w:val="24"/>
        </w:rPr>
      </w:pPr>
      <w:r w:rsidRPr="006F7A80">
        <w:rPr>
          <w:szCs w:val="24"/>
          <w:vertAlign w:val="superscript"/>
        </w:rPr>
        <w:t>c</w:t>
      </w:r>
      <w:r>
        <w:rPr>
          <w:szCs w:val="24"/>
          <w:vertAlign w:val="superscript"/>
        </w:rPr>
        <w:t xml:space="preserve"> </w:t>
      </w:r>
      <w:r w:rsidRPr="006F7A80">
        <w:rPr>
          <w:szCs w:val="24"/>
        </w:rPr>
        <w:t xml:space="preserve">Department of Chemistry, Imperial College London, South Kensington Campus, London SW7 2AZ, </w:t>
      </w:r>
      <w:r>
        <w:rPr>
          <w:szCs w:val="24"/>
        </w:rPr>
        <w:t>UK</w:t>
      </w:r>
    </w:p>
    <w:p w14:paraId="21113AC8" w14:textId="25AC5AFA" w:rsidR="00354C53" w:rsidRPr="00CD2B79" w:rsidRDefault="006F7A80" w:rsidP="00354C53">
      <w:pPr>
        <w:ind w:left="360"/>
        <w:jc w:val="center"/>
        <w:rPr>
          <w:szCs w:val="24"/>
        </w:rPr>
      </w:pPr>
      <w:r>
        <w:rPr>
          <w:szCs w:val="24"/>
          <w:vertAlign w:val="superscript"/>
        </w:rPr>
        <w:t>d</w:t>
      </w:r>
      <w:r w:rsidR="00354C53" w:rsidRPr="00CD2B79">
        <w:rPr>
          <w:szCs w:val="24"/>
        </w:rPr>
        <w:t xml:space="preserve"> Department of </w:t>
      </w:r>
      <w:r w:rsidR="00B07FBB" w:rsidRPr="00CD2B79">
        <w:rPr>
          <w:szCs w:val="24"/>
        </w:rPr>
        <w:t>Materials</w:t>
      </w:r>
      <w:r w:rsidR="00354C53" w:rsidRPr="00CD2B79">
        <w:rPr>
          <w:szCs w:val="24"/>
        </w:rPr>
        <w:t xml:space="preserve"> and Centre for Plastic Electronics, Imperial College London, </w:t>
      </w:r>
      <w:r w:rsidR="00354C53" w:rsidRPr="00CD2B79">
        <w:t>South Kensington, London, SW7 2AZ,</w:t>
      </w:r>
      <w:r w:rsidR="00354C53" w:rsidRPr="00CD2B79">
        <w:rPr>
          <w:szCs w:val="24"/>
        </w:rPr>
        <w:t xml:space="preserve"> UK</w:t>
      </w:r>
    </w:p>
    <w:p w14:paraId="2DF92317" w14:textId="6B6E31F2" w:rsidR="00BA3364" w:rsidRPr="00CD2B79" w:rsidRDefault="006F7A80" w:rsidP="00BA3364">
      <w:pPr>
        <w:jc w:val="center"/>
        <w:rPr>
          <w:szCs w:val="24"/>
        </w:rPr>
      </w:pPr>
      <w:r>
        <w:rPr>
          <w:szCs w:val="24"/>
          <w:vertAlign w:val="superscript"/>
        </w:rPr>
        <w:t>e</w:t>
      </w:r>
      <w:r w:rsidR="00BA3364" w:rsidRPr="00CD2B79">
        <w:rPr>
          <w:szCs w:val="24"/>
        </w:rPr>
        <w:t xml:space="preserve"> School of Engineering, London South Bank University, 103 Borough Road, London, SE1 0AA, </w:t>
      </w:r>
      <w:r>
        <w:rPr>
          <w:szCs w:val="24"/>
        </w:rPr>
        <w:t>UK</w:t>
      </w:r>
    </w:p>
    <w:p w14:paraId="0B2BF4A2" w14:textId="6BB8BBD0" w:rsidR="008C5A03" w:rsidRPr="00CD2B79" w:rsidRDefault="008C5A03" w:rsidP="008C5A03">
      <w:pPr>
        <w:jc w:val="center"/>
        <w:rPr>
          <w:b/>
          <w:sz w:val="28"/>
          <w:szCs w:val="24"/>
        </w:rPr>
      </w:pPr>
    </w:p>
    <w:p w14:paraId="17747E4E" w14:textId="213C4590" w:rsidR="008C5A03" w:rsidRPr="00CD2B79" w:rsidRDefault="008C5A03" w:rsidP="0052494F">
      <w:pPr>
        <w:rPr>
          <w:b/>
        </w:rPr>
      </w:pPr>
      <w:r w:rsidRPr="00CD2B79">
        <w:rPr>
          <w:b/>
        </w:rPr>
        <w:t>Experimental</w:t>
      </w:r>
      <w:r w:rsidR="004209EE" w:rsidRPr="00CD2B79">
        <w:rPr>
          <w:b/>
        </w:rPr>
        <w:t xml:space="preserve"> Methods</w:t>
      </w:r>
    </w:p>
    <w:p w14:paraId="6B1E460F" w14:textId="77777777" w:rsidR="008C5A03" w:rsidRPr="00CD2B79" w:rsidRDefault="008C5A03" w:rsidP="0052494F">
      <w:pPr>
        <w:rPr>
          <w:b/>
        </w:rPr>
      </w:pPr>
      <w:r w:rsidRPr="00CD2B79">
        <w:rPr>
          <w:b/>
        </w:rPr>
        <w:t>Preparation of Bi</w:t>
      </w:r>
      <w:r w:rsidRPr="00CD2B79">
        <w:rPr>
          <w:b/>
          <w:vertAlign w:val="subscript"/>
        </w:rPr>
        <w:t>2</w:t>
      </w:r>
      <w:r w:rsidRPr="00CD2B79">
        <w:rPr>
          <w:b/>
        </w:rPr>
        <w:t>Fe</w:t>
      </w:r>
      <w:r w:rsidRPr="00CD2B79">
        <w:rPr>
          <w:b/>
          <w:vertAlign w:val="subscript"/>
        </w:rPr>
        <w:t>4</w:t>
      </w:r>
      <w:r w:rsidRPr="00CD2B79">
        <w:rPr>
          <w:b/>
        </w:rPr>
        <w:t>O</w:t>
      </w:r>
      <w:r w:rsidRPr="00CD2B79">
        <w:rPr>
          <w:b/>
          <w:vertAlign w:val="subscript"/>
        </w:rPr>
        <w:t>9</w:t>
      </w:r>
      <w:r w:rsidRPr="00CD2B79">
        <w:rPr>
          <w:b/>
        </w:rPr>
        <w:t xml:space="preserve"> films</w:t>
      </w:r>
    </w:p>
    <w:p w14:paraId="0372917C" w14:textId="6164AC29" w:rsidR="008C5A03" w:rsidRPr="00CD2B79" w:rsidRDefault="008C5A03" w:rsidP="00CF2AD4">
      <w:r w:rsidRPr="00CD2B79">
        <w:t>Bi</w:t>
      </w:r>
      <w:r w:rsidRPr="00CD2B79">
        <w:rPr>
          <w:vertAlign w:val="subscript"/>
        </w:rPr>
        <w:t>2</w:t>
      </w:r>
      <w:r w:rsidRPr="00CD2B79">
        <w:t>Fe</w:t>
      </w:r>
      <w:r w:rsidRPr="00CD2B79">
        <w:rPr>
          <w:vertAlign w:val="subscript"/>
        </w:rPr>
        <w:t>4</w:t>
      </w:r>
      <w:r w:rsidRPr="00CD2B79">
        <w:t>O</w:t>
      </w:r>
      <w:r w:rsidRPr="00CD2B79">
        <w:rPr>
          <w:vertAlign w:val="subscript"/>
        </w:rPr>
        <w:t>9</w:t>
      </w:r>
      <w:r w:rsidRPr="00CD2B79">
        <w:t xml:space="preserve"> thin films were deposited on fluorine doped tin oxide coated float glass (FTO, Tec 15 Pilkington) by CSD method. The glass was cut and cleaned by sonication in acetone and </w:t>
      </w:r>
      <w:r w:rsidRPr="00CD2B79">
        <w:lastRenderedPageBreak/>
        <w:t>2</w:t>
      </w:r>
      <w:r w:rsidR="004A7838" w:rsidRPr="00CD2B79">
        <w:noBreakHyphen/>
      </w:r>
      <w:r w:rsidRPr="00CD2B79">
        <w:t xml:space="preserve">proponal for 15 min each before dried with nitrogen flow. The precursor solution was prepared by dissolving </w:t>
      </w:r>
      <w:r w:rsidR="00AF76BE" w:rsidRPr="00CD2B79">
        <w:t>4</w:t>
      </w:r>
      <w:r w:rsidR="00736EDC" w:rsidRPr="00CD2B79">
        <w:t xml:space="preserve"> grams of </w:t>
      </w:r>
      <w:r w:rsidRPr="00CD2B79">
        <w:t xml:space="preserve">bismuth nitrate (≥ 98%, Sigma-Aldrich, UK) and </w:t>
      </w:r>
      <w:r w:rsidR="00736EDC" w:rsidRPr="00CD2B79">
        <w:t xml:space="preserve">6 grams of </w:t>
      </w:r>
      <w:r w:rsidRPr="00CD2B79">
        <w:t>iron nitrate (≥ 98%, Sigma-Aldrich, UK) in</w:t>
      </w:r>
      <w:r w:rsidR="00736EDC" w:rsidRPr="00CD2B79">
        <w:t xml:space="preserve"> 20 ml</w:t>
      </w:r>
      <w:r w:rsidRPr="00CD2B79">
        <w:t xml:space="preserve"> 2-methoxyethanol (99.8%, Sigma-Aldrich, UK). </w:t>
      </w:r>
      <w:r w:rsidR="00736EDC" w:rsidRPr="00CD2B79">
        <w:t xml:space="preserve">10 ml </w:t>
      </w:r>
      <w:r w:rsidRPr="00CD2B79">
        <w:t>Acetic anhydride (≥ 99%, Sigma-Aldrich, UK) was then added under constant stirring to the solution to form a homogeneous BFO precursor solution. The precursor with Bi</w:t>
      </w:r>
      <w:r w:rsidR="00AF76BE" w:rsidRPr="00CD2B79">
        <w:t xml:space="preserve"> </w:t>
      </w:r>
      <w:r w:rsidRPr="00CD2B79">
        <w:t>:</w:t>
      </w:r>
      <w:r w:rsidR="00AF76BE" w:rsidRPr="00CD2B79">
        <w:t xml:space="preserve"> </w:t>
      </w:r>
      <w:r w:rsidRPr="00CD2B79">
        <w:t>Fe ratio of 1</w:t>
      </w:r>
      <w:r w:rsidR="00CC1C91" w:rsidRPr="00CD2B79">
        <w:t>:2</w:t>
      </w:r>
      <w:r w:rsidRPr="00CD2B79">
        <w:t xml:space="preserve"> was prepared for the production of Bi</w:t>
      </w:r>
      <w:r w:rsidRPr="00CD2B79">
        <w:rPr>
          <w:vertAlign w:val="subscript"/>
        </w:rPr>
        <w:t>2</w:t>
      </w:r>
      <w:r w:rsidRPr="00CD2B79">
        <w:t>Fe</w:t>
      </w:r>
      <w:r w:rsidRPr="00CD2B79">
        <w:rPr>
          <w:vertAlign w:val="subscript"/>
        </w:rPr>
        <w:t>4</w:t>
      </w:r>
      <w:r w:rsidRPr="00CD2B79">
        <w:t>O</w:t>
      </w:r>
      <w:r w:rsidRPr="00CD2B79">
        <w:rPr>
          <w:vertAlign w:val="subscript"/>
        </w:rPr>
        <w:t>9</w:t>
      </w:r>
      <w:r w:rsidRPr="00CD2B79">
        <w:t xml:space="preserve">. </w:t>
      </w:r>
    </w:p>
    <w:p w14:paraId="5D43E20A" w14:textId="2F8ED2F8" w:rsidR="008C5A03" w:rsidRPr="00CD2B79" w:rsidRDefault="008C5A03" w:rsidP="00CF2AD4">
      <w:r w:rsidRPr="00CD2B79">
        <w:t>Bi</w:t>
      </w:r>
      <w:r w:rsidRPr="00CD2B79">
        <w:rPr>
          <w:vertAlign w:val="subscript"/>
        </w:rPr>
        <w:t>2</w:t>
      </w:r>
      <w:r w:rsidRPr="00CD2B79">
        <w:t>Fe</w:t>
      </w:r>
      <w:r w:rsidRPr="00CD2B79">
        <w:rPr>
          <w:vertAlign w:val="subscript"/>
        </w:rPr>
        <w:t>4</w:t>
      </w:r>
      <w:r w:rsidRPr="00CD2B79">
        <w:t>O</w:t>
      </w:r>
      <w:r w:rsidRPr="00CD2B79">
        <w:rPr>
          <w:vertAlign w:val="subscript"/>
        </w:rPr>
        <w:t>9</w:t>
      </w:r>
      <w:r w:rsidRPr="00CD2B79">
        <w:t xml:space="preserve"> thin films were then prepared by dropping </w:t>
      </w:r>
      <w:r w:rsidRPr="00CD2B79">
        <w:rPr>
          <w:rFonts w:hint="eastAsia"/>
          <w:lang w:eastAsia="zh-CN"/>
        </w:rPr>
        <w:t>50</w:t>
      </w:r>
      <w:r w:rsidRPr="00CD2B79">
        <w:t xml:space="preserve"> μL of precursor solution onto the substrate and then spin-coating at 3000 rpm for 30 s. As-deposited films were heated in air on a hot plate at 90 ℃ for 1 min and then at 350 ℃ for 5 min. The films were then transferred into a tube furnace and </w:t>
      </w:r>
      <w:r w:rsidR="00D014B7" w:rsidRPr="00CD2B79">
        <w:t>heated up by 5 ℃/min to</w:t>
      </w:r>
      <w:r w:rsidRPr="00CD2B79">
        <w:t xml:space="preserve"> 450 ℃</w:t>
      </w:r>
      <w:r w:rsidR="00A944B9" w:rsidRPr="00CD2B79">
        <w:t xml:space="preserve"> </w:t>
      </w:r>
      <w:r w:rsidR="00D014B7" w:rsidRPr="00CD2B79">
        <w:t>with a dwell time of</w:t>
      </w:r>
      <w:r w:rsidRPr="00CD2B79">
        <w:t xml:space="preserve"> 30 min before heating to 650 ℃ with a ramp rate of 5 ℃/min and held for 1 hour. The samples were then cooled down within the furnace naturally. All annealing processes were conducted under an oxygen atmosphere. The deposition process was repeated 5 times to achieve a film thickness of </w:t>
      </w:r>
      <w:r w:rsidR="00CF2AD4" w:rsidRPr="00CD2B79">
        <w:t xml:space="preserve">around </w:t>
      </w:r>
      <w:r w:rsidRPr="00CD2B79">
        <w:t xml:space="preserve">150 nm. </w:t>
      </w:r>
    </w:p>
    <w:p w14:paraId="104388FB" w14:textId="77777777" w:rsidR="008C5A03" w:rsidRPr="00CD2B79" w:rsidRDefault="0052494F" w:rsidP="0052494F">
      <w:pPr>
        <w:rPr>
          <w:b/>
        </w:rPr>
      </w:pPr>
      <w:r w:rsidRPr="00CD2B79">
        <w:rPr>
          <w:b/>
        </w:rPr>
        <w:t>Characterization</w:t>
      </w:r>
    </w:p>
    <w:p w14:paraId="09EAB584" w14:textId="77777777" w:rsidR="008C5A03" w:rsidRPr="00CD2B79" w:rsidRDefault="008C5A03" w:rsidP="008C5A03">
      <w:pPr>
        <w:rPr>
          <w:szCs w:val="24"/>
        </w:rPr>
      </w:pPr>
      <w:r w:rsidRPr="00CD2B79">
        <w:rPr>
          <w:szCs w:val="24"/>
        </w:rPr>
        <w:t xml:space="preserve">The phase composition of the as-obtained films was analyzed by X-ray diffraction (XRD) </w:t>
      </w:r>
      <w:r w:rsidR="00840E48" w:rsidRPr="00CD2B79">
        <w:rPr>
          <w:szCs w:val="24"/>
        </w:rPr>
        <w:t xml:space="preserve">using </w:t>
      </w:r>
      <w:r w:rsidRPr="00CD2B79">
        <w:rPr>
          <w:szCs w:val="24"/>
        </w:rPr>
        <w:t>a Panalytical Xpert Pro diffractometer using Cu-Ka radiation. The morphology was observed using a scanning electron micro-scope (SEM, FEI Inspect F). X-ray photoelectron spectroscopy was carried out at NEXUS</w:t>
      </w:r>
      <w:r w:rsidR="00840E48" w:rsidRPr="00CD2B79">
        <w:rPr>
          <w:szCs w:val="24"/>
        </w:rPr>
        <w:t xml:space="preserve"> (Newcastle, UK)</w:t>
      </w:r>
      <w:r w:rsidRPr="00CD2B79">
        <w:rPr>
          <w:szCs w:val="24"/>
        </w:rPr>
        <w:t xml:space="preserve"> using a Kratos Analytical AXIS Nova system</w:t>
      </w:r>
      <w:r w:rsidR="00840E48" w:rsidRPr="00CD2B79">
        <w:rPr>
          <w:szCs w:val="24"/>
        </w:rPr>
        <w:t>. P</w:t>
      </w:r>
      <w:r w:rsidRPr="00CD2B79">
        <w:rPr>
          <w:szCs w:val="24"/>
        </w:rPr>
        <w:t xml:space="preserve">eaks were calibrated to the C1s peak at 284.6 eV. Optical absorption was measured using a Perkin Elmer Lambda 950 UV-Vis spectrophotometer. </w:t>
      </w:r>
    </w:p>
    <w:p w14:paraId="0C424280" w14:textId="33CA6145" w:rsidR="008C5A03" w:rsidRPr="00CD2B79" w:rsidRDefault="008C5A03" w:rsidP="008C5A03">
      <w:pPr>
        <w:rPr>
          <w:szCs w:val="24"/>
        </w:rPr>
      </w:pPr>
      <w:r w:rsidRPr="00CD2B79">
        <w:rPr>
          <w:szCs w:val="24"/>
        </w:rPr>
        <w:t>The band gap (</w:t>
      </w:r>
      <w:r w:rsidRPr="00CD2B79">
        <w:rPr>
          <w:i/>
          <w:szCs w:val="24"/>
        </w:rPr>
        <w:t>E</w:t>
      </w:r>
      <w:r w:rsidRPr="00CD2B79">
        <w:rPr>
          <w:szCs w:val="24"/>
          <w:vertAlign w:val="subscript"/>
        </w:rPr>
        <w:t>g</w:t>
      </w:r>
      <w:r w:rsidRPr="00CD2B79">
        <w:rPr>
          <w:szCs w:val="24"/>
        </w:rPr>
        <w:t>) of the as-prepared material was calculated using the Tauc relationship</w:t>
      </w:r>
      <w:hyperlink w:anchor="_ENREF_1" w:tooltip="Tauc, 1966 #85" w:history="1">
        <w:r w:rsidR="002A0251" w:rsidRPr="00CD2B79">
          <w:rPr>
            <w:szCs w:val="24"/>
          </w:rPr>
          <w:fldChar w:fldCharType="begin"/>
        </w:r>
        <w:r w:rsidR="002A0251" w:rsidRPr="00CD2B79">
          <w:rPr>
            <w:szCs w:val="24"/>
          </w:rPr>
          <w:instrText xml:space="preserve"> ADDIN EN.CITE &lt;EndNote&gt;&lt;Cite&gt;&lt;Author&gt;Tauc&lt;/Author&gt;&lt;Year&gt;1966&lt;/Year&gt;&lt;RecNum&gt;85&lt;/RecNum&gt;&lt;DisplayText&gt;&lt;style face="superscript"&gt;1&lt;/style&gt;&lt;/DisplayText&gt;&lt;record&gt;&lt;rec-number&gt;85&lt;/rec-number&gt;&lt;foreign-keys&gt;&lt;key app="EN" db-id="a5apvxttbs9sraezet3pazfbprpezdwx09a9"&gt;85&lt;/key&gt;&lt;/foreign-keys&gt;&lt;ref-type name="Journal Article"&gt;17&lt;/ref-type&gt;&lt;contributors&gt;&lt;authors&gt;&lt;author&gt;Tauc, J&lt;/author&gt;&lt;author&gt;Grigorovici, Radu&lt;/author&gt;&lt;author&gt;Vancu, Anina&lt;/author&gt;&lt;/authors&gt;&lt;/contributors&gt;&lt;titles&gt;&lt;title&gt;Optical properties and electronic structure of amorphous germanium&lt;/title&gt;&lt;secondary-title&gt;physica status solidi (b)&lt;/secondary-title&gt;&lt;/titles&gt;&lt;periodical&gt;&lt;full-title&gt;physica status solidi (b)&lt;/full-title&gt;&lt;/periodical&gt;&lt;pages&gt;627-637&lt;/pages&gt;&lt;volume&gt;15&lt;/volume&gt;&lt;number&gt;2&lt;/number&gt;&lt;dates&gt;&lt;year&gt;1966&lt;/year&gt;&lt;/dates&gt;&lt;isbn&gt;0370-1972&lt;/isbn&gt;&lt;urls&gt;&lt;/urls&gt;&lt;/record&gt;&lt;/Cite&gt;&lt;/EndNote&gt;</w:instrText>
        </w:r>
        <w:r w:rsidR="002A0251" w:rsidRPr="00CD2B79">
          <w:rPr>
            <w:szCs w:val="24"/>
          </w:rPr>
          <w:fldChar w:fldCharType="separate"/>
        </w:r>
        <w:r w:rsidR="002A0251" w:rsidRPr="00CD2B79">
          <w:rPr>
            <w:noProof/>
            <w:szCs w:val="24"/>
            <w:vertAlign w:val="superscript"/>
          </w:rPr>
          <w:t>1</w:t>
        </w:r>
        <w:r w:rsidR="002A0251" w:rsidRPr="00CD2B79">
          <w:rPr>
            <w:szCs w:val="24"/>
          </w:rPr>
          <w:fldChar w:fldCharType="end"/>
        </w:r>
      </w:hyperlink>
      <w:r w:rsidRPr="00CD2B79">
        <w:rPr>
          <w:szCs w:val="24"/>
        </w:rPr>
        <w:t>:</w:t>
      </w:r>
    </w:p>
    <w:p w14:paraId="64FDEF28" w14:textId="77777777" w:rsidR="008C5A03" w:rsidRPr="00CD2B79" w:rsidRDefault="008C5A03" w:rsidP="008C5A03">
      <w:pPr>
        <w:jc w:val="center"/>
        <w:rPr>
          <w:szCs w:val="24"/>
        </w:rPr>
      </w:pPr>
      <w:r w:rsidRPr="00CD2B79">
        <w:rPr>
          <w:szCs w:val="24"/>
        </w:rPr>
        <w:t xml:space="preserve">                          (</w:t>
      </w:r>
      <w:r w:rsidRPr="00CD2B79">
        <w:rPr>
          <w:i/>
          <w:szCs w:val="24"/>
        </w:rPr>
        <w:t>ahv</w:t>
      </w:r>
      <w:r w:rsidRPr="00CD2B79">
        <w:rPr>
          <w:szCs w:val="24"/>
        </w:rPr>
        <w:t>)</w:t>
      </w:r>
      <w:r w:rsidRPr="00CD2B79">
        <w:rPr>
          <w:szCs w:val="24"/>
          <w:vertAlign w:val="superscript"/>
        </w:rPr>
        <w:t>n</w:t>
      </w:r>
      <w:r w:rsidRPr="00CD2B79">
        <w:rPr>
          <w:szCs w:val="24"/>
        </w:rPr>
        <w:t xml:space="preserve"> = </w:t>
      </w:r>
      <w:r w:rsidRPr="00CD2B79">
        <w:rPr>
          <w:i/>
          <w:szCs w:val="24"/>
        </w:rPr>
        <w:t>A</w:t>
      </w:r>
      <w:r w:rsidRPr="00CD2B79">
        <w:rPr>
          <w:szCs w:val="24"/>
        </w:rPr>
        <w:t>(</w:t>
      </w:r>
      <w:r w:rsidRPr="00CD2B79">
        <w:rPr>
          <w:i/>
          <w:szCs w:val="24"/>
        </w:rPr>
        <w:t>hv</w:t>
      </w:r>
      <w:r w:rsidRPr="00CD2B79">
        <w:rPr>
          <w:szCs w:val="24"/>
        </w:rPr>
        <w:t xml:space="preserve"> - </w:t>
      </w:r>
      <w:r w:rsidRPr="00CD2B79">
        <w:rPr>
          <w:i/>
          <w:szCs w:val="24"/>
        </w:rPr>
        <w:t>E</w:t>
      </w:r>
      <w:r w:rsidRPr="00CD2B79">
        <w:rPr>
          <w:szCs w:val="24"/>
          <w:vertAlign w:val="subscript"/>
        </w:rPr>
        <w:t>g</w:t>
      </w:r>
      <w:r w:rsidRPr="00CD2B79">
        <w:rPr>
          <w:szCs w:val="24"/>
        </w:rPr>
        <w:t>)                        (1)</w:t>
      </w:r>
    </w:p>
    <w:p w14:paraId="226687FD" w14:textId="574B32A4" w:rsidR="00BA3364" w:rsidRPr="00CD2B79" w:rsidRDefault="008C5A03" w:rsidP="00BA3364">
      <w:pPr>
        <w:rPr>
          <w:szCs w:val="24"/>
        </w:rPr>
      </w:pPr>
      <w:r w:rsidRPr="00CD2B79">
        <w:rPr>
          <w:szCs w:val="24"/>
        </w:rPr>
        <w:lastRenderedPageBreak/>
        <w:t xml:space="preserve">where </w:t>
      </w:r>
      <w:r w:rsidRPr="00CD2B79">
        <w:rPr>
          <w:i/>
          <w:szCs w:val="24"/>
        </w:rPr>
        <w:t>A</w:t>
      </w:r>
      <w:r w:rsidRPr="00CD2B79">
        <w:rPr>
          <w:szCs w:val="24"/>
        </w:rPr>
        <w:t xml:space="preserve"> = constant, </w:t>
      </w:r>
      <w:r w:rsidRPr="00CD2B79">
        <w:rPr>
          <w:i/>
          <w:szCs w:val="24"/>
        </w:rPr>
        <w:t xml:space="preserve">hv </w:t>
      </w:r>
      <w:r w:rsidRPr="00CD2B79">
        <w:rPr>
          <w:szCs w:val="24"/>
        </w:rPr>
        <w:t xml:space="preserve">= light energy, </w:t>
      </w:r>
      <w:r w:rsidRPr="00CD2B79">
        <w:rPr>
          <w:i/>
          <w:szCs w:val="24"/>
        </w:rPr>
        <w:t>E</w:t>
      </w:r>
      <w:r w:rsidRPr="00CD2B79">
        <w:rPr>
          <w:szCs w:val="24"/>
          <w:vertAlign w:val="subscript"/>
        </w:rPr>
        <w:t xml:space="preserve">g </w:t>
      </w:r>
      <w:r w:rsidRPr="00CD2B79">
        <w:rPr>
          <w:szCs w:val="24"/>
        </w:rPr>
        <w:t xml:space="preserve">= optical band gap energy, </w:t>
      </w:r>
      <w:r w:rsidRPr="00CD2B79">
        <w:rPr>
          <w:i/>
          <w:szCs w:val="24"/>
        </w:rPr>
        <w:t xml:space="preserve">a </w:t>
      </w:r>
      <w:r w:rsidRPr="00CD2B79">
        <w:rPr>
          <w:szCs w:val="24"/>
        </w:rPr>
        <w:t xml:space="preserve">= measured absorption coefficient, n = 0.5 for indirect band gap and n = 2 for direct band gap materials. </w:t>
      </w:r>
    </w:p>
    <w:p w14:paraId="5944490D" w14:textId="1D1F52C5" w:rsidR="006E6513" w:rsidRPr="00CD2B79" w:rsidRDefault="00437DCC" w:rsidP="00CC1C91">
      <w:r w:rsidRPr="00CD2B79">
        <w:t>The energy levels and surface photovoltage (SPV) of the Bi</w:t>
      </w:r>
      <w:r w:rsidRPr="00CD2B79">
        <w:rPr>
          <w:vertAlign w:val="subscript"/>
        </w:rPr>
        <w:t>2</w:t>
      </w:r>
      <w:r w:rsidRPr="00CD2B79">
        <w:t>Fe</w:t>
      </w:r>
      <w:r w:rsidRPr="00CD2B79">
        <w:rPr>
          <w:vertAlign w:val="subscript"/>
        </w:rPr>
        <w:t>4</w:t>
      </w:r>
      <w:r w:rsidRPr="00CD2B79">
        <w:t>O</w:t>
      </w:r>
      <w:r w:rsidRPr="00CD2B79">
        <w:rPr>
          <w:vertAlign w:val="subscript"/>
        </w:rPr>
        <w:t>9</w:t>
      </w:r>
      <w:r w:rsidRPr="00CD2B79">
        <w:t xml:space="preserve"> were measured by an APS04 system (KP Technology). The contact potential difference between a 2</w:t>
      </w:r>
      <w:r w:rsidR="00CC1C91" w:rsidRPr="00CD2B79">
        <w:t xml:space="preserve"> </w:t>
      </w:r>
      <w:r w:rsidRPr="00CD2B79">
        <w:t xml:space="preserve">mm diameter vibrating gold-alloy tip and the grounded sample was determined and added to the tip’s work function to calculate the work function of the sample. A silver reference was used to </w:t>
      </w:r>
      <w:r w:rsidR="006E6513" w:rsidRPr="00CD2B79">
        <w:t>measure the tip’s work function. The contact potential difference was measured in dark until i</w:t>
      </w:r>
      <w:r w:rsidR="005B6321" w:rsidRPr="00CD2B79">
        <w:t>t</w:t>
      </w:r>
      <w:r w:rsidR="006E6513" w:rsidRPr="00CD2B79">
        <w:t xml:space="preserve">s value saturated and </w:t>
      </w:r>
      <w:r w:rsidR="005B6321" w:rsidRPr="00CD2B79">
        <w:t xml:space="preserve">only </w:t>
      </w:r>
      <w:r w:rsidR="006E6513" w:rsidRPr="00CD2B79">
        <w:t>the final 100 s of</w:t>
      </w:r>
      <w:r w:rsidR="005B6321" w:rsidRPr="00CD2B79">
        <w:t xml:space="preserve"> the measurement</w:t>
      </w:r>
      <w:r w:rsidR="006E6513" w:rsidRPr="00CD2B79">
        <w:t xml:space="preserve"> was taken to calculate the Fermi level.</w:t>
      </w:r>
    </w:p>
    <w:p w14:paraId="6356F593" w14:textId="3BB39061" w:rsidR="006E6513" w:rsidRPr="00CD2B79" w:rsidRDefault="006E6513" w:rsidP="00CC1C91">
      <w:r w:rsidRPr="00CD2B79">
        <w:t>In order to determine the valance band maximum</w:t>
      </w:r>
      <w:r w:rsidR="00751B6C" w:rsidRPr="00CD2B79">
        <w:t>,</w:t>
      </w:r>
      <w:r w:rsidRPr="00CD2B79">
        <w:t xml:space="preserve"> photoemission was measured while illuminating the sample with monochromatic UV light in the range of 5.4 to 7.0 eV. The c</w:t>
      </w:r>
      <w:r w:rsidR="003D6DBD" w:rsidRPr="00CD2B79">
        <w:t>ube root of photoemission was plo</w:t>
      </w:r>
      <w:r w:rsidRPr="00CD2B79">
        <w:t>tted and extrapolated to</w:t>
      </w:r>
      <w:r w:rsidR="00751B6C" w:rsidRPr="00CD2B79">
        <w:t xml:space="preserve"> zero to</w:t>
      </w:r>
      <w:r w:rsidRPr="00CD2B79">
        <w:t xml:space="preserve"> calculate the valence band maximum.</w:t>
      </w:r>
    </w:p>
    <w:p w14:paraId="6F55F928" w14:textId="4B04AEF7" w:rsidR="006E6513" w:rsidRPr="00CD2B79" w:rsidRDefault="006E6513" w:rsidP="00CC1C91">
      <w:r w:rsidRPr="00CD2B79">
        <w:t xml:space="preserve">For SPV measurements the work function </w:t>
      </w:r>
      <w:r w:rsidR="003D6DBD" w:rsidRPr="00CD2B79">
        <w:t>was monitored in dark for 20 s, then the sample was illuminate by white light (20 mW/cm</w:t>
      </w:r>
      <w:r w:rsidR="003D6DBD" w:rsidRPr="00CD2B79">
        <w:rPr>
          <w:vertAlign w:val="superscript"/>
        </w:rPr>
        <w:t>2</w:t>
      </w:r>
      <w:r w:rsidR="003D6DBD" w:rsidRPr="00CD2B79">
        <w:t>) for 100 s and finally the decay of SPV was measured for an additional 150 s.</w:t>
      </w:r>
    </w:p>
    <w:p w14:paraId="547DBA2C" w14:textId="77777777" w:rsidR="008C5A03" w:rsidRPr="00CD2B79" w:rsidRDefault="008C5A03" w:rsidP="0052494F">
      <w:pPr>
        <w:rPr>
          <w:b/>
        </w:rPr>
      </w:pPr>
      <w:r w:rsidRPr="00CD2B79">
        <w:rPr>
          <w:b/>
        </w:rPr>
        <w:t>Photocatalytic Activity</w:t>
      </w:r>
    </w:p>
    <w:p w14:paraId="765C0B77" w14:textId="5E73A9C9" w:rsidR="008C5A03" w:rsidRPr="00CD2B79" w:rsidRDefault="008C5A03" w:rsidP="008C5A03">
      <w:pPr>
        <w:rPr>
          <w:szCs w:val="24"/>
        </w:rPr>
      </w:pPr>
      <w:r w:rsidRPr="00CD2B79">
        <w:rPr>
          <w:szCs w:val="24"/>
        </w:rPr>
        <w:t>PEC measurements were conducted in a three-electrode electrochemical system with a potentiostat (Gamry Potentiostat Interface 1000), using a Ag/AgCl reference electrode and Glassy Carbon Rod as the counter electrode. Na</w:t>
      </w:r>
      <w:r w:rsidRPr="00CD2B79">
        <w:rPr>
          <w:szCs w:val="24"/>
          <w:vertAlign w:val="subscript"/>
        </w:rPr>
        <w:t>2</w:t>
      </w:r>
      <w:r w:rsidRPr="00CD2B79">
        <w:rPr>
          <w:szCs w:val="24"/>
        </w:rPr>
        <w:t>SO</w:t>
      </w:r>
      <w:r w:rsidRPr="00CD2B79">
        <w:rPr>
          <w:szCs w:val="24"/>
          <w:vertAlign w:val="subscript"/>
        </w:rPr>
        <w:t>4</w:t>
      </w:r>
      <w:r w:rsidRPr="00CD2B79">
        <w:rPr>
          <w:szCs w:val="24"/>
        </w:rPr>
        <w:t xml:space="preserve"> solution was used as the electrolyte (0.2</w:t>
      </w:r>
      <w:r w:rsidR="005D6075" w:rsidRPr="00CD2B79">
        <w:rPr>
          <w:szCs w:val="24"/>
          <w:lang w:val="en-US"/>
        </w:rPr>
        <w:t> </w:t>
      </w:r>
      <w:r w:rsidRPr="00CD2B79">
        <w:rPr>
          <w:szCs w:val="24"/>
        </w:rPr>
        <w:t>M</w:t>
      </w:r>
      <w:r w:rsidR="0051230A" w:rsidRPr="00CD2B79">
        <w:rPr>
          <w:szCs w:val="24"/>
        </w:rPr>
        <w:t>,</w:t>
      </w:r>
      <w:r w:rsidRPr="00CD2B79">
        <w:rPr>
          <w:szCs w:val="24"/>
        </w:rPr>
        <w:t xml:space="preserve"> pH 6.5). A solar simulator (</w:t>
      </w:r>
      <w:r w:rsidR="00507A22" w:rsidRPr="00CD2B79">
        <w:rPr>
          <w:szCs w:val="24"/>
        </w:rPr>
        <w:t>Scienc</w:t>
      </w:r>
      <w:r w:rsidR="00507A22" w:rsidRPr="00CD2B79">
        <w:t>etech</w:t>
      </w:r>
      <w:r w:rsidRPr="00CD2B79">
        <w:t>,</w:t>
      </w:r>
      <w:r w:rsidR="00D3415A" w:rsidRPr="00CD2B79">
        <w:t xml:space="preserve"> Class: ABA</w:t>
      </w:r>
      <w:r w:rsidRPr="00CD2B79">
        <w:t>) with an</w:t>
      </w:r>
      <w:r w:rsidRPr="00CD2B79">
        <w:rPr>
          <w:szCs w:val="24"/>
        </w:rPr>
        <w:t xml:space="preserve"> AM 1.5 filter was used for illumination of the system. All PEC measurements were conducted under back illumination in this study.</w:t>
      </w:r>
    </w:p>
    <w:p w14:paraId="1C618564" w14:textId="6C6F81A1" w:rsidR="008C5A03" w:rsidRPr="00CD2B79" w:rsidRDefault="008C5A03" w:rsidP="008C5A03">
      <w:pPr>
        <w:ind w:leftChars="50" w:left="120" w:firstLineChars="1150" w:firstLine="2760"/>
        <w:rPr>
          <w:szCs w:val="24"/>
        </w:rPr>
      </w:pPr>
    </w:p>
    <w:p w14:paraId="16F3229A" w14:textId="77777777" w:rsidR="008C5A03" w:rsidRPr="00CD2B79" w:rsidRDefault="008C5A03" w:rsidP="008C5A03">
      <w:pPr>
        <w:rPr>
          <w:szCs w:val="24"/>
        </w:rPr>
      </w:pPr>
      <w:r w:rsidRPr="00CD2B79">
        <w:rPr>
          <w:szCs w:val="24"/>
        </w:rPr>
        <w:lastRenderedPageBreak/>
        <w:t xml:space="preserve">The measured potential vs. the Ag/AgCl reference electrode was converted into the </w:t>
      </w:r>
      <w:r w:rsidR="00B52AA2" w:rsidRPr="00CD2B79">
        <w:rPr>
          <w:szCs w:val="24"/>
        </w:rPr>
        <w:t>nor</w:t>
      </w:r>
      <w:r w:rsidRPr="00CD2B79">
        <w:rPr>
          <w:szCs w:val="24"/>
        </w:rPr>
        <w:t>mal hydrogen electrode (NHE) scale after electrochemical measurements using the Nernst equation:</w:t>
      </w:r>
    </w:p>
    <w:p w14:paraId="08831BCE" w14:textId="77E58DEF" w:rsidR="008C5A03" w:rsidRPr="00CD2B79" w:rsidRDefault="008C5A03" w:rsidP="009855C5">
      <w:pPr>
        <w:spacing w:beforeLines="50" w:before="120" w:afterLines="50" w:after="120"/>
        <w:jc w:val="right"/>
        <w:rPr>
          <w:szCs w:val="24"/>
        </w:rPr>
      </w:pPr>
      <w:r w:rsidRPr="00CD2B79">
        <w:rPr>
          <w:szCs w:val="24"/>
        </w:rPr>
        <w:t>E</w:t>
      </w:r>
      <w:r w:rsidR="004B6A7A" w:rsidRPr="00CD2B79">
        <w:rPr>
          <w:szCs w:val="24"/>
          <w:vertAlign w:val="subscript"/>
        </w:rPr>
        <w:t>N</w:t>
      </w:r>
      <w:r w:rsidRPr="00CD2B79">
        <w:rPr>
          <w:szCs w:val="24"/>
          <w:vertAlign w:val="subscript"/>
        </w:rPr>
        <w:t>HE</w:t>
      </w:r>
      <w:r w:rsidRPr="00CD2B79">
        <w:rPr>
          <w:szCs w:val="24"/>
        </w:rPr>
        <w:t xml:space="preserve"> = E </w:t>
      </w:r>
      <w:r w:rsidRPr="00CD2B79">
        <w:rPr>
          <w:szCs w:val="24"/>
          <w:vertAlign w:val="subscript"/>
        </w:rPr>
        <w:t xml:space="preserve">Ag/AgCl </w:t>
      </w:r>
      <w:r w:rsidRPr="00CD2B79">
        <w:rPr>
          <w:szCs w:val="24"/>
        </w:rPr>
        <w:t>+ E</w:t>
      </w:r>
      <w:r w:rsidRPr="00CD2B79">
        <w:rPr>
          <w:szCs w:val="24"/>
          <w:vertAlign w:val="subscript"/>
        </w:rPr>
        <w:t>Ag/AgCl</w:t>
      </w:r>
      <w:r w:rsidRPr="00CD2B79">
        <w:rPr>
          <w:szCs w:val="24"/>
          <w:vertAlign w:val="superscript"/>
        </w:rPr>
        <w:t>0</w:t>
      </w:r>
      <w:r w:rsidR="009855C5" w:rsidRPr="00CD2B79">
        <w:rPr>
          <w:szCs w:val="24"/>
          <w:vertAlign w:val="superscript"/>
        </w:rPr>
        <w:t xml:space="preserve">  </w:t>
      </w:r>
      <w:r w:rsidR="009855C5" w:rsidRPr="00CD2B79">
        <w:rPr>
          <w:szCs w:val="24"/>
        </w:rPr>
        <w:t xml:space="preserve">                      (2)</w:t>
      </w:r>
    </w:p>
    <w:p w14:paraId="28CE679B" w14:textId="58F67B0C" w:rsidR="008C5A03" w:rsidRPr="00CD2B79" w:rsidRDefault="00DD4AEF" w:rsidP="009855C5">
      <w:pPr>
        <w:spacing w:beforeLines="50" w:before="120" w:afterLines="50" w:after="120"/>
        <w:jc w:val="right"/>
        <w:rPr>
          <w:rFonts w:eastAsia="SimSun"/>
          <w:szCs w:val="24"/>
        </w:rPr>
      </w:pPr>
      <w:r w:rsidRPr="00CD2B79">
        <w:rPr>
          <w:szCs w:val="24"/>
        </w:rPr>
        <w:t xml:space="preserve">  </w:t>
      </w:r>
      <w:r w:rsidR="008C5A03" w:rsidRPr="00CD2B79">
        <w:rPr>
          <w:szCs w:val="24"/>
        </w:rPr>
        <w:t>E</w:t>
      </w:r>
      <w:r w:rsidR="008C5A03" w:rsidRPr="00CD2B79">
        <w:rPr>
          <w:szCs w:val="24"/>
          <w:vertAlign w:val="subscript"/>
        </w:rPr>
        <w:t>Ag/AgCl</w:t>
      </w:r>
      <w:r w:rsidR="008C5A03" w:rsidRPr="00CD2B79">
        <w:rPr>
          <w:szCs w:val="24"/>
          <w:vertAlign w:val="superscript"/>
        </w:rPr>
        <w:t>0</w:t>
      </w:r>
      <w:r w:rsidR="008C5A03" w:rsidRPr="00CD2B79">
        <w:rPr>
          <w:szCs w:val="24"/>
        </w:rPr>
        <w:t xml:space="preserve"> (3.0 M KCl) = 0.209 V at 25 </w:t>
      </w:r>
      <w:r w:rsidR="008C5A03" w:rsidRPr="00CD2B79">
        <w:rPr>
          <w:rFonts w:eastAsia="SimSun"/>
          <w:szCs w:val="24"/>
        </w:rPr>
        <w:t>℃</w:t>
      </w:r>
      <w:r w:rsidR="009855C5" w:rsidRPr="00CD2B79">
        <w:rPr>
          <w:rFonts w:eastAsia="SimSun"/>
          <w:szCs w:val="24"/>
        </w:rPr>
        <w:t xml:space="preserve">                 (3)</w:t>
      </w:r>
    </w:p>
    <w:p w14:paraId="2C3A5B92" w14:textId="77777777" w:rsidR="00112C4A" w:rsidRPr="00CD2B79" w:rsidRDefault="00112C4A" w:rsidP="00112C4A">
      <w:pPr>
        <w:rPr>
          <w:b/>
          <w:szCs w:val="24"/>
        </w:rPr>
      </w:pPr>
      <w:r w:rsidRPr="00CD2B79">
        <w:rPr>
          <w:b/>
          <w:szCs w:val="24"/>
        </w:rPr>
        <w:t>Energetics data</w:t>
      </w:r>
    </w:p>
    <w:p w14:paraId="55D7B81E" w14:textId="77777777" w:rsidR="00112C4A" w:rsidRPr="00CD2B79" w:rsidRDefault="00112C4A" w:rsidP="00112C4A">
      <w:pPr>
        <w:keepNext/>
        <w:spacing w:after="0" w:line="240" w:lineRule="auto"/>
        <w:jc w:val="center"/>
        <w:rPr>
          <w:szCs w:val="24"/>
        </w:rPr>
      </w:pPr>
      <w:r w:rsidRPr="00CD2B79">
        <w:rPr>
          <w:noProof/>
          <w:szCs w:val="24"/>
        </w:rPr>
        <w:drawing>
          <wp:inline distT="0" distB="0" distL="0" distR="0" wp14:anchorId="697FCF2E" wp14:editId="673BFC6A">
            <wp:extent cx="4113236" cy="330327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O-PES - shifted - PAPER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" t="7713" r="10231"/>
                    <a:stretch/>
                  </pic:blipFill>
                  <pic:spPr bwMode="auto">
                    <a:xfrm>
                      <a:off x="0" y="0"/>
                      <a:ext cx="4128337" cy="3315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F4D0F" w14:textId="691C3034" w:rsidR="00112C4A" w:rsidRPr="00CD2B79" w:rsidRDefault="00112C4A" w:rsidP="00E715BD">
      <w:pPr>
        <w:pStyle w:val="Figurename"/>
      </w:pPr>
      <w:r w:rsidRPr="00CD2B79">
        <w:t>Figure S</w:t>
      </w:r>
      <w:r w:rsidR="00907C58" w:rsidRPr="00CD2B79">
        <w:t>1</w:t>
      </w:r>
      <w:r w:rsidRPr="00CD2B79">
        <w:t>. UV-APS data with intercept showing valence band edge of -</w:t>
      </w:r>
      <w:r w:rsidR="00BA0607" w:rsidRPr="00CD2B79">
        <w:t xml:space="preserve"> </w:t>
      </w:r>
      <w:r w:rsidRPr="00CD2B79">
        <w:t>6.10 ± 0.05 eV for Bi</w:t>
      </w:r>
      <w:r w:rsidRPr="00CD2B79">
        <w:rPr>
          <w:vertAlign w:val="subscript"/>
        </w:rPr>
        <w:t>2</w:t>
      </w:r>
      <w:r w:rsidRPr="00CD2B79">
        <w:t>Fe</w:t>
      </w:r>
      <w:r w:rsidRPr="00CD2B79">
        <w:rPr>
          <w:vertAlign w:val="subscript"/>
        </w:rPr>
        <w:t>4</w:t>
      </w:r>
      <w:r w:rsidRPr="00CD2B79">
        <w:t>O</w:t>
      </w:r>
      <w:r w:rsidRPr="00CD2B79">
        <w:rPr>
          <w:vertAlign w:val="subscript"/>
        </w:rPr>
        <w:t>9</w:t>
      </w:r>
      <w:r w:rsidRPr="00CD2B79">
        <w:t>.</w:t>
      </w:r>
    </w:p>
    <w:p w14:paraId="78FC2372" w14:textId="77777777" w:rsidR="00112C4A" w:rsidRPr="00CD2B79" w:rsidRDefault="00112C4A" w:rsidP="00112C4A">
      <w:pPr>
        <w:keepNext/>
        <w:spacing w:after="0" w:line="240" w:lineRule="auto"/>
        <w:jc w:val="center"/>
        <w:rPr>
          <w:szCs w:val="24"/>
        </w:rPr>
      </w:pPr>
      <w:r w:rsidRPr="00CD2B79">
        <w:rPr>
          <w:b/>
          <w:noProof/>
          <w:szCs w:val="24"/>
        </w:rPr>
        <w:lastRenderedPageBreak/>
        <w:drawing>
          <wp:inline distT="0" distB="0" distL="0" distR="0" wp14:anchorId="034F4D25" wp14:editId="144F47BB">
            <wp:extent cx="4286250" cy="3443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e\AppData\Local\Microsoft\Windows\INetCache\Content.Word\BFO - dark work func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" t="4992" r="8300"/>
                    <a:stretch/>
                  </pic:blipFill>
                  <pic:spPr bwMode="auto">
                    <a:xfrm>
                      <a:off x="0" y="0"/>
                      <a:ext cx="4287770" cy="344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8B4F0" w14:textId="667307C9" w:rsidR="00112C4A" w:rsidRPr="00CD2B79" w:rsidRDefault="00112C4A" w:rsidP="00E715BD">
      <w:pPr>
        <w:pStyle w:val="Figurename"/>
      </w:pPr>
      <w:r w:rsidRPr="00CD2B79">
        <w:t>Figure S</w:t>
      </w:r>
      <w:r w:rsidR="00907C58" w:rsidRPr="00CD2B79">
        <w:t>2</w:t>
      </w:r>
      <w:r w:rsidRPr="00CD2B79">
        <w:t>. Fermi energy level of Bi</w:t>
      </w:r>
      <w:r w:rsidRPr="00CD2B79">
        <w:rPr>
          <w:vertAlign w:val="subscript"/>
        </w:rPr>
        <w:t>2</w:t>
      </w:r>
      <w:r w:rsidRPr="00CD2B79">
        <w:t>Fe</w:t>
      </w:r>
      <w:r w:rsidRPr="00CD2B79">
        <w:rPr>
          <w:vertAlign w:val="subscript"/>
        </w:rPr>
        <w:t>4</w:t>
      </w:r>
      <w:r w:rsidRPr="00CD2B79">
        <w:t>O</w:t>
      </w:r>
      <w:r w:rsidRPr="00CD2B79">
        <w:rPr>
          <w:vertAlign w:val="subscript"/>
        </w:rPr>
        <w:t xml:space="preserve">9 </w:t>
      </w:r>
      <w:r w:rsidRPr="00CD2B79">
        <w:t>measured by Kelvin probe at -4.972 ± 0.001 eV, showing a very stable value over 100s measured.</w:t>
      </w:r>
    </w:p>
    <w:p w14:paraId="29724404" w14:textId="77777777" w:rsidR="00112C4A" w:rsidRPr="00CD2B79" w:rsidRDefault="00112C4A" w:rsidP="00112C4A">
      <w:pPr>
        <w:keepNext/>
        <w:spacing w:after="0" w:line="240" w:lineRule="auto"/>
        <w:jc w:val="center"/>
        <w:rPr>
          <w:szCs w:val="24"/>
        </w:rPr>
      </w:pPr>
      <w:r w:rsidRPr="00CD2B79">
        <w:rPr>
          <w:noProof/>
          <w:szCs w:val="24"/>
        </w:rPr>
        <w:drawing>
          <wp:inline distT="0" distB="0" distL="0" distR="0" wp14:anchorId="407F88C2" wp14:editId="77AE5151">
            <wp:extent cx="4819650" cy="368815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FO-SPV_dynamics-del - PAPER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021" cy="368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8056D" w14:textId="74DDE97F" w:rsidR="00112C4A" w:rsidRPr="00CD2B79" w:rsidRDefault="00112C4A" w:rsidP="00E715BD">
      <w:pPr>
        <w:pStyle w:val="Figurename"/>
      </w:pPr>
      <w:r w:rsidRPr="00CD2B79">
        <w:t>Figure S</w:t>
      </w:r>
      <w:r w:rsidR="00907C58" w:rsidRPr="00CD2B79">
        <w:t>3</w:t>
      </w:r>
      <w:r w:rsidRPr="00CD2B79">
        <w:t>. Surface photovoltage measurement showing negative change in work function upon illumination, indicative of an n-type material.</w:t>
      </w:r>
    </w:p>
    <w:p w14:paraId="144D636F" w14:textId="77777777" w:rsidR="00B24A70" w:rsidRPr="00CD2B79" w:rsidRDefault="00B24A70" w:rsidP="002F56D1">
      <w:pPr>
        <w:rPr>
          <w:b/>
        </w:rPr>
      </w:pPr>
    </w:p>
    <w:p w14:paraId="3E0C1480" w14:textId="77777777" w:rsidR="00B24A70" w:rsidRPr="00CD2B79" w:rsidRDefault="00B24A70" w:rsidP="002F56D1">
      <w:pPr>
        <w:rPr>
          <w:b/>
        </w:rPr>
      </w:pPr>
    </w:p>
    <w:p w14:paraId="1FC93CB6" w14:textId="77EC447B" w:rsidR="002F56D1" w:rsidRPr="00CD2B79" w:rsidRDefault="002F56D1" w:rsidP="002F56D1">
      <w:pPr>
        <w:rPr>
          <w:b/>
        </w:rPr>
      </w:pPr>
      <w:r w:rsidRPr="00CD2B79">
        <w:rPr>
          <w:b/>
        </w:rPr>
        <w:lastRenderedPageBreak/>
        <w:t>Faradaic efficiency</w:t>
      </w:r>
    </w:p>
    <w:p w14:paraId="49689543" w14:textId="383A1F29" w:rsidR="002F56D1" w:rsidRPr="00CD2B79" w:rsidRDefault="002F56D1" w:rsidP="002F56D1">
      <w:pPr>
        <w:spacing w:beforeLines="50" w:before="120" w:afterLines="50" w:after="120"/>
        <w:rPr>
          <w:szCs w:val="24"/>
        </w:rPr>
      </w:pPr>
      <w:r w:rsidRPr="00CD2B79">
        <w:rPr>
          <w:szCs w:val="24"/>
        </w:rPr>
        <w:t>Oxygen evolution measurements were performed in a gas-tight three electrode cell (electrochemical H-cell, PINE research). A Pt mesh and a Ag/AgCl were used as counter and reference electrodes, respectively. The working electrode (Bi</w:t>
      </w:r>
      <w:r w:rsidRPr="00CD2B79">
        <w:rPr>
          <w:szCs w:val="24"/>
          <w:vertAlign w:val="subscript"/>
        </w:rPr>
        <w:t>2</w:t>
      </w:r>
      <w:r w:rsidRPr="00CD2B79">
        <w:rPr>
          <w:szCs w:val="24"/>
        </w:rPr>
        <w:t>Fe</w:t>
      </w:r>
      <w:r w:rsidRPr="00CD2B79">
        <w:rPr>
          <w:szCs w:val="24"/>
          <w:vertAlign w:val="subscript"/>
        </w:rPr>
        <w:t>4</w:t>
      </w:r>
      <w:r w:rsidRPr="00CD2B79">
        <w:rPr>
          <w:szCs w:val="24"/>
        </w:rPr>
        <w:t>O</w:t>
      </w:r>
      <w:r w:rsidRPr="00CD2B79">
        <w:rPr>
          <w:szCs w:val="24"/>
          <w:vertAlign w:val="subscript"/>
        </w:rPr>
        <w:t>9</w:t>
      </w:r>
      <w:r w:rsidRPr="00CD2B79">
        <w:rPr>
          <w:szCs w:val="24"/>
        </w:rPr>
        <w:t xml:space="preserve"> thin film) was illuminated through the electrode-electrolyte junction using a 365 nm light-emitting diode (LZ1-10U600, LedEngin Inc) with a light intensity of ~</w:t>
      </w:r>
      <w:r w:rsidR="00E0247C" w:rsidRPr="00CD2B79">
        <w:rPr>
          <w:szCs w:val="24"/>
        </w:rPr>
        <w:t xml:space="preserve"> </w:t>
      </w:r>
      <w:r w:rsidRPr="00CD2B79">
        <w:rPr>
          <w:szCs w:val="24"/>
        </w:rPr>
        <w:t>20 mW cm</w:t>
      </w:r>
      <w:r w:rsidRPr="00CD2B79">
        <w:rPr>
          <w:szCs w:val="24"/>
          <w:vertAlign w:val="superscript"/>
        </w:rPr>
        <w:t>-2</w:t>
      </w:r>
      <w:r w:rsidRPr="00CD2B79">
        <w:rPr>
          <w:szCs w:val="24"/>
        </w:rPr>
        <w:t xml:space="preserve">. The electrolyte used was a 0.2 M </w:t>
      </w:r>
      <w:r w:rsidR="0044505D" w:rsidRPr="00CD2B79">
        <w:rPr>
          <w:szCs w:val="24"/>
        </w:rPr>
        <w:t>Na</w:t>
      </w:r>
      <w:r w:rsidR="0044505D" w:rsidRPr="00CD2B79">
        <w:rPr>
          <w:szCs w:val="24"/>
          <w:vertAlign w:val="subscript"/>
        </w:rPr>
        <w:t>2</w:t>
      </w:r>
      <w:r w:rsidR="0044505D" w:rsidRPr="00CD2B79">
        <w:rPr>
          <w:szCs w:val="24"/>
        </w:rPr>
        <w:t>SO</w:t>
      </w:r>
      <w:r w:rsidR="0044505D" w:rsidRPr="00CD2B79">
        <w:rPr>
          <w:szCs w:val="24"/>
          <w:vertAlign w:val="subscript"/>
        </w:rPr>
        <w:t xml:space="preserve">4 </w:t>
      </w:r>
      <w:r w:rsidRPr="00CD2B79">
        <w:rPr>
          <w:szCs w:val="24"/>
        </w:rPr>
        <w:t>solution of Na</w:t>
      </w:r>
      <w:r w:rsidRPr="00CD2B79">
        <w:rPr>
          <w:szCs w:val="24"/>
          <w:vertAlign w:val="subscript"/>
        </w:rPr>
        <w:t>2</w:t>
      </w:r>
      <w:r w:rsidRPr="00CD2B79">
        <w:rPr>
          <w:szCs w:val="24"/>
        </w:rPr>
        <w:t>SO</w:t>
      </w:r>
      <w:r w:rsidRPr="00CD2B79">
        <w:rPr>
          <w:szCs w:val="24"/>
          <w:vertAlign w:val="subscript"/>
        </w:rPr>
        <w:t>4</w:t>
      </w:r>
      <w:r w:rsidR="0044505D" w:rsidRPr="00CD2B79">
        <w:rPr>
          <w:szCs w:val="24"/>
        </w:rPr>
        <w:t>.</w:t>
      </w:r>
      <w:r w:rsidRPr="00CD2B79">
        <w:rPr>
          <w:szCs w:val="24"/>
        </w:rPr>
        <w:t xml:space="preserve"> </w:t>
      </w:r>
    </w:p>
    <w:p w14:paraId="4C330B3F" w14:textId="5698E1F2" w:rsidR="002F56D1" w:rsidRPr="00CD2B79" w:rsidRDefault="002F56D1" w:rsidP="002F56D1">
      <w:pPr>
        <w:spacing w:beforeLines="50" w:before="120" w:afterLines="50" w:after="120"/>
        <w:rPr>
          <w:szCs w:val="24"/>
        </w:rPr>
      </w:pPr>
      <w:r w:rsidRPr="00CD2B79">
        <w:rPr>
          <w:szCs w:val="24"/>
        </w:rPr>
        <w:t>The Faradaic efficiency was calculated according to</w:t>
      </w:r>
      <w:r w:rsidR="00E20954" w:rsidRPr="00CD2B79">
        <w:rPr>
          <w:szCs w:val="24"/>
        </w:rPr>
        <w:t xml:space="preserve"> equation (4):</w:t>
      </w:r>
      <w:r w:rsidR="00211233" w:rsidRPr="00CD2B79">
        <w:rPr>
          <w:szCs w:val="24"/>
        </w:rPr>
        <w:t xml:space="preserve"> </w:t>
      </w:r>
    </w:p>
    <w:p w14:paraId="5D435CE8" w14:textId="45EA018A" w:rsidR="002F56D1" w:rsidRPr="00CD2B79" w:rsidRDefault="002F56D1" w:rsidP="00E20954">
      <w:pPr>
        <w:spacing w:beforeLines="50" w:before="120" w:afterLines="50" w:after="120"/>
        <w:jc w:val="right"/>
        <w:rPr>
          <w:szCs w:val="24"/>
        </w:rPr>
      </w:pPr>
      <m:oMath>
        <m:r>
          <w:rPr>
            <w:rFonts w:ascii="Cambria Math" w:hAnsi="Cambria Math"/>
            <w:szCs w:val="24"/>
          </w:rPr>
          <m:t>FE (%)=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Cs w:val="24"/>
                  </w:rPr>
                  <m:t>(maeasured)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Cs w:val="24"/>
                  </w:rPr>
                  <m:t>(theoretical)</m:t>
                </m:r>
              </m:sub>
            </m:sSub>
          </m:den>
        </m:f>
        <m:r>
          <w:rPr>
            <w:rFonts w:ascii="Cambria Math" w:hAnsi="Cambria Math"/>
            <w:szCs w:val="24"/>
          </w:rPr>
          <m:t>∙100</m:t>
        </m:r>
      </m:oMath>
      <w:r w:rsidRPr="00CD2B79">
        <w:rPr>
          <w:szCs w:val="24"/>
        </w:rPr>
        <w:tab/>
      </w:r>
      <w:r w:rsidRPr="00CD2B79">
        <w:rPr>
          <w:szCs w:val="24"/>
        </w:rPr>
        <w:tab/>
      </w:r>
      <w:r w:rsidRPr="00CD2B79">
        <w:rPr>
          <w:szCs w:val="24"/>
        </w:rPr>
        <w:tab/>
      </w:r>
      <w:r w:rsidR="00AD0AC3" w:rsidRPr="00CD2B79">
        <w:rPr>
          <w:szCs w:val="24"/>
        </w:rPr>
        <w:t xml:space="preserve">      </w:t>
      </w:r>
      <w:r w:rsidRPr="00CD2B79">
        <w:rPr>
          <w:szCs w:val="24"/>
        </w:rPr>
        <w:tab/>
      </w:r>
      <w:r w:rsidRPr="00CD2B79">
        <w:rPr>
          <w:szCs w:val="24"/>
        </w:rPr>
        <w:tab/>
      </w:r>
      <w:r w:rsidRPr="00CD2B79">
        <w:rPr>
          <w:szCs w:val="24"/>
        </w:rPr>
        <w:tab/>
      </w:r>
      <w:r w:rsidR="00AD0AC3" w:rsidRPr="00CD2B79">
        <w:rPr>
          <w:szCs w:val="24"/>
        </w:rPr>
        <w:t>(4)</w:t>
      </w:r>
    </w:p>
    <w:p w14:paraId="7C501522" w14:textId="4220E6D1" w:rsidR="002F56D1" w:rsidRPr="00CD2B79" w:rsidRDefault="002F56D1" w:rsidP="002F56D1">
      <w:pPr>
        <w:spacing w:beforeLines="50" w:before="120" w:afterLines="50" w:after="120"/>
        <w:rPr>
          <w:szCs w:val="24"/>
        </w:rPr>
      </w:pPr>
      <w:r w:rsidRPr="00CD2B79">
        <w:rPr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  <m:sub>
            <m:r>
              <w:rPr>
                <w:rFonts w:ascii="Cambria Math" w:hAnsi="Cambria Math"/>
                <w:szCs w:val="24"/>
              </w:rPr>
              <m:t>(maeasured)</m:t>
            </m:r>
          </m:sub>
        </m:sSub>
      </m:oMath>
      <w:r w:rsidRPr="00CD2B79">
        <w:rPr>
          <w:szCs w:val="24"/>
        </w:rPr>
        <w:t xml:space="preserve"> was measured by a Clark electrode and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  <m:sub>
            <m:r>
              <w:rPr>
                <w:rFonts w:ascii="Cambria Math" w:hAnsi="Cambria Math"/>
                <w:szCs w:val="24"/>
              </w:rPr>
              <m:t>(theoretical)</m:t>
            </m:r>
          </m:sub>
        </m:sSub>
      </m:oMath>
      <w:r w:rsidRPr="00CD2B79">
        <w:rPr>
          <w:szCs w:val="24"/>
        </w:rPr>
        <w:t xml:space="preserve"> was calculated from the bulk electrolysis (chronoamperometry).</w:t>
      </w:r>
    </w:p>
    <w:p w14:paraId="2747A5ED" w14:textId="18D735FC" w:rsidR="002F56D1" w:rsidRPr="00CD2B79" w:rsidRDefault="002F56D1" w:rsidP="002F56D1">
      <w:pPr>
        <w:spacing w:beforeLines="50" w:before="120" w:afterLines="50" w:after="120"/>
        <w:rPr>
          <w:szCs w:val="24"/>
        </w:rPr>
      </w:pPr>
      <w:r w:rsidRPr="00CD2B79">
        <w:rPr>
          <w:szCs w:val="24"/>
        </w:rPr>
        <w:t xml:space="preserve">Oxygen was detected using a gas-phase Clark-type oxygen electrode (Unisense OX-NP microsensor) holding the working electrode at 1.2 V </w:t>
      </w:r>
      <w:r w:rsidRPr="00CD2B79">
        <w:rPr>
          <w:i/>
          <w:szCs w:val="24"/>
        </w:rPr>
        <w:t>vs.</w:t>
      </w:r>
      <w:r w:rsidRPr="00CD2B79">
        <w:rPr>
          <w:szCs w:val="24"/>
        </w:rPr>
        <w:t xml:space="preserve"> Ag/AgCl, where the less recombination </w:t>
      </w:r>
      <w:r w:rsidR="00130025" w:rsidRPr="00CD2B79">
        <w:rPr>
          <w:szCs w:val="24"/>
        </w:rPr>
        <w:t xml:space="preserve">and no dark current are observed, as seen in </w:t>
      </w:r>
      <w:r w:rsidR="00130025" w:rsidRPr="00CD2B79">
        <w:rPr>
          <w:color w:val="000000" w:themeColor="text1"/>
          <w:szCs w:val="24"/>
        </w:rPr>
        <w:t xml:space="preserve">Figure 4a </w:t>
      </w:r>
      <w:r w:rsidR="00130025" w:rsidRPr="00CD2B79">
        <w:rPr>
          <w:szCs w:val="24"/>
        </w:rPr>
        <w:t>in the main manuscript</w:t>
      </w:r>
      <w:r w:rsidRPr="00CD2B79">
        <w:rPr>
          <w:szCs w:val="24"/>
        </w:rPr>
        <w:t xml:space="preserve">. The voltage signal sensed by the Clark electrode was converted into mols of oxygen by the calibration curve shown in Figure </w:t>
      </w:r>
      <w:r w:rsidR="002A0251" w:rsidRPr="00CD2B79">
        <w:rPr>
          <w:szCs w:val="24"/>
        </w:rPr>
        <w:t>S4</w:t>
      </w:r>
      <w:r w:rsidRPr="00CD2B79">
        <w:rPr>
          <w:szCs w:val="24"/>
        </w:rPr>
        <w:t xml:space="preserve">. </w:t>
      </w:r>
    </w:p>
    <w:p w14:paraId="33BFF794" w14:textId="2A83ADD8" w:rsidR="002F56D1" w:rsidRPr="00CD2B79" w:rsidRDefault="007C1224" w:rsidP="002F56D1">
      <w:pPr>
        <w:keepNext/>
        <w:spacing w:beforeLines="50" w:before="120" w:afterLines="50" w:after="120"/>
        <w:jc w:val="center"/>
      </w:pPr>
      <w:r w:rsidRPr="00CD2B79">
        <w:rPr>
          <w:noProof/>
        </w:rPr>
        <w:lastRenderedPageBreak/>
        <w:drawing>
          <wp:inline distT="0" distB="0" distL="0" distR="0" wp14:anchorId="35232E86" wp14:editId="3C8F5D50">
            <wp:extent cx="2890044" cy="2520000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4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53038" w14:textId="2FC00CEB" w:rsidR="002F56D1" w:rsidRPr="00CD2B79" w:rsidRDefault="002F56D1" w:rsidP="00E715BD">
      <w:pPr>
        <w:pStyle w:val="Figurename"/>
      </w:pPr>
      <w:r w:rsidRPr="00CD2B79">
        <w:t>Figure S</w:t>
      </w:r>
      <w:r w:rsidRPr="00CD2B79">
        <w:fldChar w:fldCharType="begin"/>
      </w:r>
      <w:r w:rsidRPr="00CD2B79">
        <w:instrText xml:space="preserve"> SEQ Figure \* ARABIC </w:instrText>
      </w:r>
      <w:r w:rsidRPr="00CD2B79">
        <w:fldChar w:fldCharType="separate"/>
      </w:r>
      <w:r w:rsidR="00112C4A" w:rsidRPr="00CD2B79">
        <w:rPr>
          <w:noProof/>
        </w:rPr>
        <w:t>4</w:t>
      </w:r>
      <w:r w:rsidRPr="00CD2B79">
        <w:fldChar w:fldCharType="end"/>
      </w:r>
      <w:r w:rsidRPr="00CD2B79">
        <w:t>. Calibration curve for the Clark electrode injecting known volumes of air as O</w:t>
      </w:r>
      <w:r w:rsidRPr="00CD2B79">
        <w:rPr>
          <w:vertAlign w:val="subscript"/>
        </w:rPr>
        <w:t>2</w:t>
      </w:r>
      <w:r w:rsidRPr="00CD2B79">
        <w:t xml:space="preserve"> source.</w:t>
      </w:r>
    </w:p>
    <w:p w14:paraId="49C12024" w14:textId="6DB819B6" w:rsidR="002F56D1" w:rsidRPr="00CD2B79" w:rsidRDefault="002F56D1" w:rsidP="002F56D1">
      <w:pPr>
        <w:spacing w:beforeLines="50" w:before="120" w:afterLines="50" w:after="120"/>
        <w:rPr>
          <w:szCs w:val="24"/>
        </w:rPr>
      </w:pPr>
      <w:r w:rsidRPr="00CD2B79">
        <w:rPr>
          <w:szCs w:val="24"/>
        </w:rPr>
        <w:t xml:space="preserve">The theoretical amount of oxygen produced (blue line in Figure </w:t>
      </w:r>
      <w:r w:rsidR="009134D9" w:rsidRPr="00CD2B79">
        <w:rPr>
          <w:szCs w:val="24"/>
        </w:rPr>
        <w:t>S5</w:t>
      </w:r>
      <w:r w:rsidRPr="00CD2B79">
        <w:rPr>
          <w:szCs w:val="24"/>
        </w:rPr>
        <w:t xml:space="preserve">) during the experiment was calculated from the chronoamperometry (at 1.2 V </w:t>
      </w:r>
      <w:r w:rsidRPr="00CD2B79">
        <w:rPr>
          <w:i/>
          <w:szCs w:val="24"/>
        </w:rPr>
        <w:t>vs.</w:t>
      </w:r>
      <w:r w:rsidRPr="00CD2B79">
        <w:rPr>
          <w:szCs w:val="24"/>
        </w:rPr>
        <w:t xml:space="preserve"> Ag/AgCl) by integrating the area under the current data (black line in Figure </w:t>
      </w:r>
      <w:r w:rsidR="00907C58" w:rsidRPr="00CD2B79">
        <w:rPr>
          <w:szCs w:val="24"/>
        </w:rPr>
        <w:t>S5</w:t>
      </w:r>
      <w:r w:rsidRPr="00CD2B79">
        <w:rPr>
          <w:szCs w:val="24"/>
        </w:rPr>
        <w:t>), using the following equation:</w:t>
      </w:r>
    </w:p>
    <w:p w14:paraId="10FAEA29" w14:textId="276A20FC" w:rsidR="002F56D1" w:rsidRPr="00CD2B79" w:rsidRDefault="0069377D" w:rsidP="003C0126">
      <w:pPr>
        <w:spacing w:beforeLines="50" w:before="120" w:afterLines="50" w:after="120"/>
        <w:jc w:val="right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  <m:sub>
            <m:r>
              <w:rPr>
                <w:rFonts w:ascii="Cambria Math" w:hAnsi="Cambria Math"/>
                <w:szCs w:val="24"/>
              </w:rPr>
              <m:t>(theoretical)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Cs w:val="24"/>
              </w:rPr>
              <m:t>F∙n</m:t>
            </m:r>
          </m:den>
        </m:f>
      </m:oMath>
      <w:r w:rsidR="002F56D1" w:rsidRPr="00CD2B79">
        <w:rPr>
          <w:szCs w:val="24"/>
        </w:rPr>
        <w:tab/>
      </w:r>
      <w:r w:rsidR="002F56D1" w:rsidRPr="00CD2B79">
        <w:rPr>
          <w:szCs w:val="24"/>
        </w:rPr>
        <w:tab/>
      </w:r>
      <w:r w:rsidR="002F56D1" w:rsidRPr="00CD2B79">
        <w:rPr>
          <w:szCs w:val="24"/>
        </w:rPr>
        <w:tab/>
      </w:r>
      <w:r w:rsidR="002F56D1" w:rsidRPr="00CD2B79">
        <w:rPr>
          <w:szCs w:val="24"/>
        </w:rPr>
        <w:tab/>
      </w:r>
      <w:r w:rsidR="002F56D1" w:rsidRPr="00CD2B79">
        <w:rPr>
          <w:szCs w:val="24"/>
        </w:rPr>
        <w:tab/>
      </w:r>
      <w:r w:rsidR="002F56D1" w:rsidRPr="00CD2B79">
        <w:rPr>
          <w:szCs w:val="24"/>
        </w:rPr>
        <w:tab/>
      </w:r>
      <w:r w:rsidR="002F56D1" w:rsidRPr="00CD2B79">
        <w:rPr>
          <w:szCs w:val="24"/>
        </w:rPr>
        <w:tab/>
      </w:r>
      <w:r w:rsidR="002F56D1" w:rsidRPr="00CD2B79">
        <w:rPr>
          <w:szCs w:val="24"/>
        </w:rPr>
        <w:tab/>
      </w:r>
      <w:r w:rsidR="002F56D1" w:rsidRPr="00CD2B79">
        <w:rPr>
          <w:szCs w:val="24"/>
        </w:rPr>
        <w:tab/>
      </w:r>
      <w:r w:rsidR="003C0126" w:rsidRPr="00CD2B79">
        <w:rPr>
          <w:szCs w:val="24"/>
        </w:rPr>
        <w:t>(5)</w:t>
      </w:r>
    </w:p>
    <w:p w14:paraId="04F5DBA6" w14:textId="77777777" w:rsidR="002F56D1" w:rsidRPr="00CD2B79" w:rsidRDefault="002F56D1" w:rsidP="002F56D1">
      <w:pPr>
        <w:spacing w:beforeLines="50" w:before="120" w:afterLines="50" w:after="120"/>
        <w:rPr>
          <w:szCs w:val="24"/>
        </w:rPr>
      </w:pPr>
      <w:r w:rsidRPr="00CD2B79">
        <w:rPr>
          <w:szCs w:val="24"/>
        </w:rPr>
        <w:t xml:space="preserve">where </w:t>
      </w:r>
      <w:r w:rsidRPr="00CD2B79">
        <w:rPr>
          <w:i/>
          <w:szCs w:val="24"/>
        </w:rPr>
        <w:t>c</w:t>
      </w:r>
      <w:r w:rsidRPr="00CD2B79">
        <w:rPr>
          <w:szCs w:val="24"/>
        </w:rPr>
        <w:t xml:space="preserve"> is the integrated charge (Coulombs), </w:t>
      </w:r>
      <w:r w:rsidRPr="00CD2B79">
        <w:rPr>
          <w:i/>
          <w:szCs w:val="24"/>
        </w:rPr>
        <w:t>F</w:t>
      </w:r>
      <w:r w:rsidRPr="00CD2B79">
        <w:rPr>
          <w:szCs w:val="24"/>
        </w:rPr>
        <w:t xml:space="preserve"> is the Faraday constant (96485.3 C mol</w:t>
      </w:r>
      <w:r w:rsidRPr="00CD2B79">
        <w:rPr>
          <w:szCs w:val="24"/>
          <w:vertAlign w:val="superscript"/>
        </w:rPr>
        <w:t>-1</w:t>
      </w:r>
      <w:r w:rsidRPr="00CD2B79">
        <w:rPr>
          <w:szCs w:val="24"/>
        </w:rPr>
        <w:t xml:space="preserve">) and </w:t>
      </w:r>
      <w:r w:rsidRPr="00CD2B79">
        <w:rPr>
          <w:i/>
          <w:szCs w:val="24"/>
        </w:rPr>
        <w:t>n</w:t>
      </w:r>
      <w:r w:rsidRPr="00CD2B79">
        <w:rPr>
          <w:szCs w:val="24"/>
        </w:rPr>
        <w:t xml:space="preserve"> is the number of holes involved in the oxygen evolution reaction (4). </w:t>
      </w:r>
    </w:p>
    <w:p w14:paraId="7325AE30" w14:textId="478F7D63" w:rsidR="00DA020B" w:rsidRPr="00CD2B79" w:rsidRDefault="006C64DC" w:rsidP="00DA020B">
      <w:pPr>
        <w:keepNext/>
        <w:spacing w:beforeLines="50" w:before="120" w:afterLines="50" w:after="120"/>
        <w:jc w:val="center"/>
      </w:pPr>
      <w:r w:rsidRPr="00CD2B79">
        <w:rPr>
          <w:noProof/>
        </w:rPr>
        <w:drawing>
          <wp:inline distT="0" distB="0" distL="0" distR="0" wp14:anchorId="15741B20" wp14:editId="4F70FB14">
            <wp:extent cx="3427054" cy="25200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5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81DFC" w14:textId="225BE07B" w:rsidR="002F56D1" w:rsidRPr="00CD2B79" w:rsidRDefault="00DA020B" w:rsidP="00E715BD">
      <w:pPr>
        <w:pStyle w:val="Figurename"/>
      </w:pPr>
      <w:r w:rsidRPr="00CD2B79">
        <w:t>Figure S</w:t>
      </w:r>
      <w:r w:rsidRPr="00CD2B79">
        <w:fldChar w:fldCharType="begin"/>
      </w:r>
      <w:r w:rsidRPr="00CD2B79">
        <w:instrText xml:space="preserve"> SEQ Figure \* ARABIC </w:instrText>
      </w:r>
      <w:r w:rsidRPr="00CD2B79">
        <w:fldChar w:fldCharType="separate"/>
      </w:r>
      <w:r w:rsidR="00112C4A" w:rsidRPr="00CD2B79">
        <w:rPr>
          <w:noProof/>
        </w:rPr>
        <w:t>5</w:t>
      </w:r>
      <w:r w:rsidRPr="00CD2B79">
        <w:fldChar w:fldCharType="end"/>
      </w:r>
      <w:r w:rsidRPr="00CD2B79">
        <w:t xml:space="preserve">. </w:t>
      </w:r>
      <w:r w:rsidR="006C64DC" w:rsidRPr="00CD2B79">
        <w:t>(</w:t>
      </w:r>
      <w:r w:rsidRPr="00CD2B79">
        <w:t xml:space="preserve">a) Photocurrent measured as a function of time (chronoamperometry) at 1.2 V </w:t>
      </w:r>
      <w:r w:rsidRPr="00CD2B79">
        <w:rPr>
          <w:i/>
        </w:rPr>
        <w:t>vs.</w:t>
      </w:r>
      <w:r w:rsidRPr="00CD2B79">
        <w:t xml:space="preserve"> Ag/AgCl and </w:t>
      </w:r>
      <w:r w:rsidR="006C64DC" w:rsidRPr="00CD2B79">
        <w:t>(</w:t>
      </w:r>
      <w:r w:rsidRPr="00CD2B79">
        <w:t>b) amount of oxygen calculated from the chronoamperometric data.</w:t>
      </w:r>
    </w:p>
    <w:p w14:paraId="29F30AE8" w14:textId="2BA1BDAE" w:rsidR="002F56D1" w:rsidRPr="00CD2B79" w:rsidRDefault="002F56D1" w:rsidP="002F56D1">
      <w:pPr>
        <w:spacing w:beforeLines="50" w:before="120" w:afterLines="50" w:after="120"/>
        <w:rPr>
          <w:szCs w:val="24"/>
        </w:rPr>
      </w:pPr>
      <w:r w:rsidRPr="00CD2B79">
        <w:rPr>
          <w:szCs w:val="24"/>
        </w:rPr>
        <w:lastRenderedPageBreak/>
        <w:t xml:space="preserve">The chronoamperometries and linear sweep voltametries (LSV) performed for the Faradaic efficiency measurements and the ‘Co-Pi’ overlayer deposition were performed using a PGSTAT101 potentiostat (Metrohm Autolab). The LSVs were </w:t>
      </w:r>
      <w:r w:rsidR="00907C58" w:rsidRPr="00CD2B79">
        <w:rPr>
          <w:szCs w:val="24"/>
        </w:rPr>
        <w:t>performed</w:t>
      </w:r>
      <w:r w:rsidRPr="00CD2B79">
        <w:rPr>
          <w:szCs w:val="24"/>
        </w:rPr>
        <w:t xml:space="preserve"> at 10 mV s</w:t>
      </w:r>
      <w:r w:rsidRPr="00CD2B79">
        <w:rPr>
          <w:szCs w:val="24"/>
          <w:vertAlign w:val="superscript"/>
        </w:rPr>
        <w:t>-1</w:t>
      </w:r>
      <w:r w:rsidRPr="00CD2B79">
        <w:rPr>
          <w:szCs w:val="24"/>
        </w:rPr>
        <w:t>.</w:t>
      </w:r>
    </w:p>
    <w:p w14:paraId="5BB1545D" w14:textId="77777777" w:rsidR="002F56D1" w:rsidRPr="00CD2B79" w:rsidRDefault="002F56D1" w:rsidP="002F56D1">
      <w:pPr>
        <w:rPr>
          <w:b/>
        </w:rPr>
      </w:pPr>
      <w:r w:rsidRPr="00CD2B79">
        <w:rPr>
          <w:b/>
        </w:rPr>
        <w:t>Co-Pi overlayer deposition</w:t>
      </w:r>
    </w:p>
    <w:p w14:paraId="3CFE4E39" w14:textId="58AC72AA" w:rsidR="002F56D1" w:rsidRPr="00CD2B79" w:rsidRDefault="002F56D1" w:rsidP="002F56D1">
      <w:pPr>
        <w:spacing w:beforeLines="50" w:before="120" w:afterLines="50" w:after="120"/>
        <w:rPr>
          <w:szCs w:val="24"/>
        </w:rPr>
      </w:pPr>
      <w:r w:rsidRPr="00CD2B79">
        <w:rPr>
          <w:szCs w:val="24"/>
        </w:rPr>
        <w:t>A CoO</w:t>
      </w:r>
      <w:r w:rsidRPr="00CD2B79">
        <w:rPr>
          <w:szCs w:val="24"/>
          <w:vertAlign w:val="subscript"/>
        </w:rPr>
        <w:t>x</w:t>
      </w:r>
      <w:r w:rsidRPr="00CD2B79">
        <w:rPr>
          <w:szCs w:val="24"/>
        </w:rPr>
        <w:t xml:space="preserve"> overlayer ‘CoPi’ was deposited following the photo-assisted electrodeposition reported elsewhere</w:t>
      </w:r>
      <w:hyperlink w:anchor="_ENREF_2" w:tooltip="Barroso, 2012 #103" w:history="1">
        <w:r w:rsidR="002A0251" w:rsidRPr="00CD2B79">
          <w:rPr>
            <w:szCs w:val="24"/>
          </w:rPr>
          <w:fldChar w:fldCharType="begin">
            <w:fldData xml:space="preserve">PEVuZE5vdGU+PENpdGU+PEF1dGhvcj5CYXJyb3NvPC9BdXRob3I+PFllYXI+MjAxMjwvWWVhcj48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</w:fldData>
          </w:fldChar>
        </w:r>
        <w:r w:rsidR="002A0251" w:rsidRPr="00CD2B79">
          <w:rPr>
            <w:szCs w:val="24"/>
          </w:rPr>
          <w:instrText xml:space="preserve"> ADDIN EN.CITE </w:instrText>
        </w:r>
        <w:r w:rsidR="002A0251" w:rsidRPr="00CD2B79">
          <w:rPr>
            <w:szCs w:val="24"/>
          </w:rPr>
          <w:fldChar w:fldCharType="begin">
            <w:fldData xml:space="preserve">PEVuZE5vdGU+PENpdGU+PEF1dGhvcj5CYXJyb3NvPC9BdXRob3I+PFllYXI+MjAxMjwvWWVhcj48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</w:fldData>
          </w:fldChar>
        </w:r>
        <w:r w:rsidR="002A0251" w:rsidRPr="00CD2B79">
          <w:rPr>
            <w:szCs w:val="24"/>
          </w:rPr>
          <w:instrText xml:space="preserve"> ADDIN EN.CITE.DATA </w:instrText>
        </w:r>
        <w:r w:rsidR="002A0251" w:rsidRPr="00CD2B79">
          <w:rPr>
            <w:szCs w:val="24"/>
          </w:rPr>
        </w:r>
        <w:r w:rsidR="002A0251" w:rsidRPr="00CD2B79">
          <w:rPr>
            <w:szCs w:val="24"/>
          </w:rPr>
          <w:fldChar w:fldCharType="end"/>
        </w:r>
        <w:r w:rsidR="002A0251" w:rsidRPr="00CD2B79">
          <w:rPr>
            <w:szCs w:val="24"/>
          </w:rPr>
        </w:r>
        <w:r w:rsidR="002A0251" w:rsidRPr="00CD2B79">
          <w:rPr>
            <w:szCs w:val="24"/>
          </w:rPr>
          <w:fldChar w:fldCharType="separate"/>
        </w:r>
        <w:r w:rsidR="002A0251" w:rsidRPr="00CD2B79">
          <w:rPr>
            <w:noProof/>
            <w:szCs w:val="24"/>
            <w:vertAlign w:val="superscript"/>
          </w:rPr>
          <w:t>2-4</w:t>
        </w:r>
        <w:r w:rsidR="002A0251" w:rsidRPr="00CD2B79">
          <w:rPr>
            <w:szCs w:val="24"/>
          </w:rPr>
          <w:fldChar w:fldCharType="end"/>
        </w:r>
      </w:hyperlink>
      <w:r w:rsidRPr="00CD2B79">
        <w:rPr>
          <w:szCs w:val="24"/>
        </w:rPr>
        <w:t>. A solution of 0.5 mM of Co(NO</w:t>
      </w:r>
      <w:r w:rsidRPr="00CD2B79">
        <w:rPr>
          <w:szCs w:val="24"/>
          <w:vertAlign w:val="subscript"/>
        </w:rPr>
        <w:t>3</w:t>
      </w:r>
      <w:r w:rsidRPr="00CD2B79">
        <w:rPr>
          <w:szCs w:val="24"/>
        </w:rPr>
        <w:t>)</w:t>
      </w:r>
      <w:r w:rsidRPr="00CD2B79">
        <w:rPr>
          <w:szCs w:val="24"/>
          <w:vertAlign w:val="subscript"/>
        </w:rPr>
        <w:t>2</w:t>
      </w:r>
      <w:r w:rsidRPr="00CD2B79">
        <w:rPr>
          <w:szCs w:val="24"/>
        </w:rPr>
        <w:t>·6H</w:t>
      </w:r>
      <w:r w:rsidRPr="00CD2B79">
        <w:rPr>
          <w:szCs w:val="24"/>
          <w:vertAlign w:val="subscript"/>
        </w:rPr>
        <w:t>2</w:t>
      </w:r>
      <w:r w:rsidRPr="00CD2B79">
        <w:rPr>
          <w:szCs w:val="24"/>
        </w:rPr>
        <w:t>O (99.999%, Sigma-Aldrich) in 0.1 M phosphates buffer (pH 7) was used to perform a photo-assisted electrodeposition under a 365 nm LED, ~20 mW cm</w:t>
      </w:r>
      <w:r w:rsidRPr="00CD2B79">
        <w:rPr>
          <w:szCs w:val="24"/>
          <w:vertAlign w:val="superscript"/>
        </w:rPr>
        <w:t>-2</w:t>
      </w:r>
      <w:r w:rsidRPr="00CD2B79">
        <w:rPr>
          <w:szCs w:val="24"/>
        </w:rPr>
        <w:t xml:space="preserve">, illumination conditions and 1.0 V </w:t>
      </w:r>
      <w:r w:rsidRPr="00CD2B79">
        <w:rPr>
          <w:i/>
          <w:szCs w:val="24"/>
        </w:rPr>
        <w:t>vs.</w:t>
      </w:r>
      <w:r w:rsidRPr="00CD2B79">
        <w:rPr>
          <w:szCs w:val="24"/>
        </w:rPr>
        <w:t xml:space="preserve"> Ag/AgCl during 300 s, such chronoamperometric data is shown in Figure </w:t>
      </w:r>
      <w:r w:rsidR="006C4A19" w:rsidRPr="00CD2B79">
        <w:rPr>
          <w:szCs w:val="24"/>
        </w:rPr>
        <w:t>S6</w:t>
      </w:r>
      <w:r w:rsidRPr="00CD2B79">
        <w:rPr>
          <w:szCs w:val="24"/>
        </w:rPr>
        <w:t>.</w:t>
      </w:r>
    </w:p>
    <w:p w14:paraId="1CCC57EE" w14:textId="219E799E" w:rsidR="00DA020B" w:rsidRPr="00CD2B79" w:rsidRDefault="00613AC4" w:rsidP="00DA020B">
      <w:pPr>
        <w:keepNext/>
        <w:spacing w:beforeLines="50" w:before="120" w:afterLines="50" w:after="120"/>
        <w:jc w:val="center"/>
      </w:pPr>
      <w:r w:rsidRPr="00CD2B79">
        <w:rPr>
          <w:noProof/>
        </w:rPr>
        <w:drawing>
          <wp:inline distT="0" distB="0" distL="0" distR="0" wp14:anchorId="0DF8E99C" wp14:editId="60BF9347">
            <wp:extent cx="3139012" cy="2520000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1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461BA" w14:textId="77777777" w:rsidR="002A0251" w:rsidRPr="00CD2B79" w:rsidRDefault="00DA020B" w:rsidP="00E715BD">
      <w:pPr>
        <w:pStyle w:val="Figurename"/>
      </w:pPr>
      <w:r w:rsidRPr="00CD2B79">
        <w:t>Figure S</w:t>
      </w:r>
      <w:r w:rsidRPr="00CD2B79">
        <w:fldChar w:fldCharType="begin"/>
      </w:r>
      <w:r w:rsidRPr="00CD2B79">
        <w:instrText xml:space="preserve"> SEQ Figure \* ARABIC </w:instrText>
      </w:r>
      <w:r w:rsidRPr="00CD2B79">
        <w:fldChar w:fldCharType="separate"/>
      </w:r>
      <w:r w:rsidR="00526BB2" w:rsidRPr="00CD2B79">
        <w:rPr>
          <w:noProof/>
        </w:rPr>
        <w:t>6</w:t>
      </w:r>
      <w:r w:rsidRPr="00CD2B79">
        <w:fldChar w:fldCharType="end"/>
      </w:r>
      <w:r w:rsidRPr="00CD2B79">
        <w:t>. Chronoamperometric data for the photo-assisted electrodeposition of ‘Co-Pi’ overlayer on the Bi</w:t>
      </w:r>
      <w:r w:rsidRPr="00CD2B79">
        <w:rPr>
          <w:vertAlign w:val="subscript"/>
        </w:rPr>
        <w:t>2</w:t>
      </w:r>
      <w:r w:rsidRPr="00CD2B79">
        <w:t>Fe</w:t>
      </w:r>
      <w:r w:rsidRPr="00CD2B79">
        <w:rPr>
          <w:vertAlign w:val="subscript"/>
        </w:rPr>
        <w:t>4</w:t>
      </w:r>
      <w:r w:rsidRPr="00CD2B79">
        <w:t>O</w:t>
      </w:r>
      <w:r w:rsidRPr="00CD2B79">
        <w:rPr>
          <w:vertAlign w:val="subscript"/>
        </w:rPr>
        <w:t>9</w:t>
      </w:r>
      <w:r w:rsidRPr="00CD2B79">
        <w:t xml:space="preserve"> photoanode. The 96.4 C of charged passed correspond to the amount of Co deposited.</w:t>
      </w:r>
    </w:p>
    <w:p w14:paraId="6B187399" w14:textId="77777777" w:rsidR="002A0251" w:rsidRPr="00CD2B79" w:rsidRDefault="002A0251" w:rsidP="002A0251">
      <w:pPr>
        <w:pStyle w:val="Caption"/>
        <w:spacing w:after="0"/>
        <w:ind w:left="720" w:hanging="720"/>
        <w:rPr>
          <w:noProof/>
          <w:sz w:val="24"/>
          <w:szCs w:val="24"/>
        </w:rPr>
      </w:pPr>
      <w:r w:rsidRPr="00CD2B79">
        <w:rPr>
          <w:szCs w:val="24"/>
        </w:rPr>
        <w:fldChar w:fldCharType="begin"/>
      </w:r>
      <w:r w:rsidRPr="00CD2B79">
        <w:rPr>
          <w:szCs w:val="24"/>
        </w:rPr>
        <w:instrText xml:space="preserve"> ADDIN EN.REFLIST </w:instrText>
      </w:r>
      <w:r w:rsidRPr="00CD2B79">
        <w:rPr>
          <w:szCs w:val="24"/>
        </w:rPr>
        <w:fldChar w:fldCharType="separate"/>
      </w:r>
      <w:bookmarkStart w:id="0" w:name="_ENREF_1"/>
      <w:r w:rsidRPr="00CD2B79">
        <w:rPr>
          <w:noProof/>
          <w:sz w:val="24"/>
          <w:szCs w:val="24"/>
        </w:rPr>
        <w:t>1</w:t>
      </w:r>
      <w:r w:rsidRPr="00CD2B79">
        <w:rPr>
          <w:noProof/>
          <w:sz w:val="24"/>
          <w:szCs w:val="24"/>
        </w:rPr>
        <w:tab/>
        <w:t xml:space="preserve">Tauc, J., Grigorovici, R. &amp; Vancu, A. Optical properties and electronic structure of amorphous germanium. </w:t>
      </w:r>
      <w:r w:rsidRPr="00CD2B79">
        <w:rPr>
          <w:i/>
          <w:noProof/>
          <w:sz w:val="24"/>
          <w:szCs w:val="24"/>
        </w:rPr>
        <w:t>physica status solidi (b)</w:t>
      </w:r>
      <w:r w:rsidRPr="00CD2B79">
        <w:rPr>
          <w:noProof/>
          <w:sz w:val="24"/>
          <w:szCs w:val="24"/>
        </w:rPr>
        <w:t xml:space="preserve"> </w:t>
      </w:r>
      <w:r w:rsidRPr="00CD2B79">
        <w:rPr>
          <w:b/>
          <w:noProof/>
          <w:sz w:val="24"/>
          <w:szCs w:val="24"/>
        </w:rPr>
        <w:t>15</w:t>
      </w:r>
      <w:r w:rsidRPr="00CD2B79">
        <w:rPr>
          <w:noProof/>
          <w:sz w:val="24"/>
          <w:szCs w:val="24"/>
        </w:rPr>
        <w:t>, 627-637 (1966).</w:t>
      </w:r>
      <w:bookmarkEnd w:id="0"/>
    </w:p>
    <w:p w14:paraId="316DDD36" w14:textId="77777777" w:rsidR="002A0251" w:rsidRPr="00CD2B79" w:rsidRDefault="002A0251" w:rsidP="002A0251">
      <w:pPr>
        <w:pStyle w:val="Caption"/>
        <w:spacing w:after="0"/>
        <w:ind w:left="720" w:hanging="720"/>
        <w:rPr>
          <w:noProof/>
          <w:sz w:val="24"/>
          <w:szCs w:val="24"/>
        </w:rPr>
      </w:pPr>
      <w:bookmarkStart w:id="1" w:name="_ENREF_2"/>
      <w:r w:rsidRPr="00CD2B79">
        <w:rPr>
          <w:noProof/>
          <w:sz w:val="24"/>
          <w:szCs w:val="24"/>
        </w:rPr>
        <w:t>2</w:t>
      </w:r>
      <w:r w:rsidRPr="00CD2B79">
        <w:rPr>
          <w:noProof/>
          <w:sz w:val="24"/>
          <w:szCs w:val="24"/>
        </w:rPr>
        <w:tab/>
        <w:t>Barroso, M.</w:t>
      </w:r>
      <w:r w:rsidRPr="00CD2B79">
        <w:rPr>
          <w:i/>
          <w:noProof/>
          <w:sz w:val="24"/>
          <w:szCs w:val="24"/>
        </w:rPr>
        <w:t xml:space="preserve"> et al.</w:t>
      </w:r>
      <w:r w:rsidRPr="00CD2B79">
        <w:rPr>
          <w:noProof/>
          <w:sz w:val="24"/>
          <w:szCs w:val="24"/>
        </w:rPr>
        <w:t xml:space="preserve"> Dynamics of photogenerated holes in surface modified α-Fe2O3 photoanodes for solar water splitting. </w:t>
      </w:r>
      <w:r w:rsidRPr="00CD2B79">
        <w:rPr>
          <w:i/>
          <w:noProof/>
          <w:sz w:val="24"/>
          <w:szCs w:val="24"/>
        </w:rPr>
        <w:t>Proceedings of the National Academy of Sciences</w:t>
      </w:r>
      <w:r w:rsidRPr="00CD2B79">
        <w:rPr>
          <w:noProof/>
          <w:sz w:val="24"/>
          <w:szCs w:val="24"/>
        </w:rPr>
        <w:t xml:space="preserve"> </w:t>
      </w:r>
      <w:r w:rsidRPr="00CD2B79">
        <w:rPr>
          <w:b/>
          <w:noProof/>
          <w:sz w:val="24"/>
          <w:szCs w:val="24"/>
        </w:rPr>
        <w:t>109</w:t>
      </w:r>
      <w:r w:rsidRPr="00CD2B79">
        <w:rPr>
          <w:noProof/>
          <w:sz w:val="24"/>
          <w:szCs w:val="24"/>
        </w:rPr>
        <w:t>, 15640-15645 (2012).</w:t>
      </w:r>
      <w:bookmarkEnd w:id="1"/>
    </w:p>
    <w:p w14:paraId="213906FC" w14:textId="77777777" w:rsidR="002A0251" w:rsidRPr="00CD2B79" w:rsidRDefault="002A0251" w:rsidP="002A0251">
      <w:pPr>
        <w:pStyle w:val="Caption"/>
        <w:spacing w:after="0"/>
        <w:ind w:left="720" w:hanging="720"/>
        <w:rPr>
          <w:noProof/>
          <w:sz w:val="24"/>
          <w:szCs w:val="24"/>
        </w:rPr>
      </w:pPr>
      <w:bookmarkStart w:id="2" w:name="_ENREF_3"/>
      <w:r w:rsidRPr="00CD2B79">
        <w:rPr>
          <w:noProof/>
          <w:sz w:val="24"/>
          <w:szCs w:val="24"/>
        </w:rPr>
        <w:t>3</w:t>
      </w:r>
      <w:r w:rsidRPr="00CD2B79">
        <w:rPr>
          <w:noProof/>
          <w:sz w:val="24"/>
          <w:szCs w:val="24"/>
        </w:rPr>
        <w:tab/>
        <w:t xml:space="preserve">Zhong, D. K., Cornuz, M., Sivula, K., Grätzel, M. &amp; Gamelin, D. R. Photo-assisted electrodeposition of cobalt–phosphate (Co–Pi) catalyst on hematite photoanodes for solar water oxidation. </w:t>
      </w:r>
      <w:r w:rsidRPr="00CD2B79">
        <w:rPr>
          <w:i/>
          <w:noProof/>
          <w:sz w:val="24"/>
          <w:szCs w:val="24"/>
        </w:rPr>
        <w:t>Energy &amp; Environmental Science</w:t>
      </w:r>
      <w:r w:rsidRPr="00CD2B79">
        <w:rPr>
          <w:noProof/>
          <w:sz w:val="24"/>
          <w:szCs w:val="24"/>
        </w:rPr>
        <w:t xml:space="preserve"> </w:t>
      </w:r>
      <w:r w:rsidRPr="00CD2B79">
        <w:rPr>
          <w:b/>
          <w:noProof/>
          <w:sz w:val="24"/>
          <w:szCs w:val="24"/>
        </w:rPr>
        <w:t>4</w:t>
      </w:r>
      <w:r w:rsidRPr="00CD2B79">
        <w:rPr>
          <w:noProof/>
          <w:sz w:val="24"/>
          <w:szCs w:val="24"/>
        </w:rPr>
        <w:t>, 1759-1764 (2011).</w:t>
      </w:r>
      <w:bookmarkEnd w:id="2"/>
    </w:p>
    <w:p w14:paraId="030BC3C4" w14:textId="28E3AF7D" w:rsidR="002F56D1" w:rsidRPr="002F56D1" w:rsidRDefault="002A0251" w:rsidP="00D802DA">
      <w:pPr>
        <w:pStyle w:val="Caption"/>
        <w:ind w:left="720" w:hanging="720"/>
        <w:rPr>
          <w:szCs w:val="24"/>
        </w:rPr>
      </w:pPr>
      <w:bookmarkStart w:id="3" w:name="_ENREF_4"/>
      <w:r w:rsidRPr="00CD2B79">
        <w:rPr>
          <w:noProof/>
          <w:sz w:val="24"/>
          <w:szCs w:val="24"/>
        </w:rPr>
        <w:t>4</w:t>
      </w:r>
      <w:r w:rsidRPr="00CD2B79">
        <w:rPr>
          <w:noProof/>
          <w:sz w:val="24"/>
          <w:szCs w:val="24"/>
        </w:rPr>
        <w:tab/>
        <w:t>Kanan, M. W. &amp; Nocera, D. G. In situ formation of an oxygen-evolving catalyst in neutral water containing phosphate and Co</w:t>
      </w:r>
      <w:r w:rsidRPr="00CD2B79">
        <w:rPr>
          <w:noProof/>
          <w:sz w:val="24"/>
          <w:szCs w:val="24"/>
          <w:vertAlign w:val="superscript"/>
        </w:rPr>
        <w:t>2+</w:t>
      </w:r>
      <w:r w:rsidRPr="00CD2B79">
        <w:rPr>
          <w:noProof/>
          <w:sz w:val="24"/>
          <w:szCs w:val="24"/>
        </w:rPr>
        <w:t xml:space="preserve">. </w:t>
      </w:r>
      <w:r w:rsidRPr="00CD2B79">
        <w:rPr>
          <w:i/>
          <w:noProof/>
          <w:sz w:val="24"/>
          <w:szCs w:val="24"/>
        </w:rPr>
        <w:t>Science</w:t>
      </w:r>
      <w:r w:rsidRPr="00CD2B79">
        <w:rPr>
          <w:noProof/>
          <w:sz w:val="24"/>
          <w:szCs w:val="24"/>
        </w:rPr>
        <w:t xml:space="preserve"> </w:t>
      </w:r>
      <w:r w:rsidRPr="00CD2B79">
        <w:rPr>
          <w:b/>
          <w:noProof/>
          <w:sz w:val="24"/>
          <w:szCs w:val="24"/>
        </w:rPr>
        <w:t>321</w:t>
      </w:r>
      <w:r w:rsidRPr="00CD2B79">
        <w:rPr>
          <w:noProof/>
          <w:sz w:val="24"/>
          <w:szCs w:val="24"/>
        </w:rPr>
        <w:t>, 1072-1075 (2008).</w:t>
      </w:r>
      <w:bookmarkEnd w:id="3"/>
      <w:r w:rsidRPr="00CD2B79">
        <w:rPr>
          <w:szCs w:val="24"/>
        </w:rPr>
        <w:fldChar w:fldCharType="end"/>
      </w:r>
      <w:bookmarkStart w:id="4" w:name="_GoBack"/>
      <w:bookmarkEnd w:id="4"/>
    </w:p>
    <w:sectPr w:rsidR="002F56D1" w:rsidRPr="002F56D1" w:rsidSect="00197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75DF1" w14:textId="77777777" w:rsidR="0069377D" w:rsidRDefault="0069377D" w:rsidP="008C5A03">
      <w:pPr>
        <w:spacing w:after="0" w:line="240" w:lineRule="auto"/>
      </w:pPr>
      <w:r>
        <w:separator/>
      </w:r>
    </w:p>
  </w:endnote>
  <w:endnote w:type="continuationSeparator" w:id="0">
    <w:p w14:paraId="56E817FF" w14:textId="77777777" w:rsidR="0069377D" w:rsidRDefault="0069377D" w:rsidP="008C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719B8" w14:textId="77777777" w:rsidR="0069377D" w:rsidRDefault="0069377D" w:rsidP="008C5A03">
      <w:pPr>
        <w:spacing w:after="0" w:line="240" w:lineRule="auto"/>
      </w:pPr>
      <w:r>
        <w:separator/>
      </w:r>
    </w:p>
  </w:footnote>
  <w:footnote w:type="continuationSeparator" w:id="0">
    <w:p w14:paraId="37CB9BC3" w14:textId="77777777" w:rsidR="0069377D" w:rsidRDefault="0069377D" w:rsidP="008C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5apvxttbs9sraezet3pazfbprpezdwx09a9&quot;&gt;Bi2Fe4O9 reference&lt;record-ids&gt;&lt;item&gt;85&lt;/item&gt;&lt;item&gt;103&lt;/item&gt;&lt;item&gt;104&lt;/item&gt;&lt;item&gt;105&lt;/item&gt;&lt;/record-ids&gt;&lt;/item&gt;&lt;/Libraries&gt;"/>
  </w:docVars>
  <w:rsids>
    <w:rsidRoot w:val="00E57F2D"/>
    <w:rsid w:val="00005B15"/>
    <w:rsid w:val="0002331F"/>
    <w:rsid w:val="00030B8F"/>
    <w:rsid w:val="00034229"/>
    <w:rsid w:val="00037D1E"/>
    <w:rsid w:val="00053A5F"/>
    <w:rsid w:val="00072B2D"/>
    <w:rsid w:val="0009140E"/>
    <w:rsid w:val="000A003F"/>
    <w:rsid w:val="000A68B3"/>
    <w:rsid w:val="000C30E1"/>
    <w:rsid w:val="000C753D"/>
    <w:rsid w:val="00105013"/>
    <w:rsid w:val="00112C4A"/>
    <w:rsid w:val="00116BFA"/>
    <w:rsid w:val="00123692"/>
    <w:rsid w:val="00125756"/>
    <w:rsid w:val="00130025"/>
    <w:rsid w:val="00136F1A"/>
    <w:rsid w:val="0016464A"/>
    <w:rsid w:val="001814F5"/>
    <w:rsid w:val="00196A68"/>
    <w:rsid w:val="001970B9"/>
    <w:rsid w:val="001A0FC9"/>
    <w:rsid w:val="001B5D82"/>
    <w:rsid w:val="001C205C"/>
    <w:rsid w:val="001D0840"/>
    <w:rsid w:val="001D2A20"/>
    <w:rsid w:val="001D3C13"/>
    <w:rsid w:val="001D5317"/>
    <w:rsid w:val="001E70F1"/>
    <w:rsid w:val="00211233"/>
    <w:rsid w:val="00260B02"/>
    <w:rsid w:val="00263B7E"/>
    <w:rsid w:val="002968D6"/>
    <w:rsid w:val="002A0251"/>
    <w:rsid w:val="002A22AB"/>
    <w:rsid w:val="002A2758"/>
    <w:rsid w:val="002A6C94"/>
    <w:rsid w:val="002B4BA1"/>
    <w:rsid w:val="002B6F0D"/>
    <w:rsid w:val="002C62C8"/>
    <w:rsid w:val="002D6C89"/>
    <w:rsid w:val="002E70D7"/>
    <w:rsid w:val="002E7C97"/>
    <w:rsid w:val="002F56D1"/>
    <w:rsid w:val="003015E7"/>
    <w:rsid w:val="003213AD"/>
    <w:rsid w:val="003231F6"/>
    <w:rsid w:val="0035140F"/>
    <w:rsid w:val="003527BC"/>
    <w:rsid w:val="00354C53"/>
    <w:rsid w:val="003A58DF"/>
    <w:rsid w:val="003C0126"/>
    <w:rsid w:val="003C5C1B"/>
    <w:rsid w:val="003D6DBD"/>
    <w:rsid w:val="003F35B1"/>
    <w:rsid w:val="003F6157"/>
    <w:rsid w:val="00405F31"/>
    <w:rsid w:val="004209EE"/>
    <w:rsid w:val="004224C8"/>
    <w:rsid w:val="004363FD"/>
    <w:rsid w:val="00437DCC"/>
    <w:rsid w:val="0044505D"/>
    <w:rsid w:val="0045154F"/>
    <w:rsid w:val="0045257E"/>
    <w:rsid w:val="00481713"/>
    <w:rsid w:val="004A7838"/>
    <w:rsid w:val="004B6A7A"/>
    <w:rsid w:val="004C5DEC"/>
    <w:rsid w:val="004C6A1C"/>
    <w:rsid w:val="004D274D"/>
    <w:rsid w:val="004F1F48"/>
    <w:rsid w:val="004F7BED"/>
    <w:rsid w:val="00507A22"/>
    <w:rsid w:val="0051230A"/>
    <w:rsid w:val="0052494F"/>
    <w:rsid w:val="00526BB2"/>
    <w:rsid w:val="005459A6"/>
    <w:rsid w:val="005516D0"/>
    <w:rsid w:val="00555625"/>
    <w:rsid w:val="005734A9"/>
    <w:rsid w:val="0058021C"/>
    <w:rsid w:val="005B36C1"/>
    <w:rsid w:val="005B6321"/>
    <w:rsid w:val="005C484C"/>
    <w:rsid w:val="005D6075"/>
    <w:rsid w:val="005D76D7"/>
    <w:rsid w:val="006008EF"/>
    <w:rsid w:val="00611272"/>
    <w:rsid w:val="00613AC4"/>
    <w:rsid w:val="0061745B"/>
    <w:rsid w:val="00626352"/>
    <w:rsid w:val="00646102"/>
    <w:rsid w:val="0064628E"/>
    <w:rsid w:val="00647687"/>
    <w:rsid w:val="00650079"/>
    <w:rsid w:val="00666482"/>
    <w:rsid w:val="00680F2C"/>
    <w:rsid w:val="0069377D"/>
    <w:rsid w:val="006B5239"/>
    <w:rsid w:val="006C29A9"/>
    <w:rsid w:val="006C4A19"/>
    <w:rsid w:val="006C64DC"/>
    <w:rsid w:val="006D7D48"/>
    <w:rsid w:val="006E6513"/>
    <w:rsid w:val="006F7A80"/>
    <w:rsid w:val="0070397F"/>
    <w:rsid w:val="00705902"/>
    <w:rsid w:val="00721487"/>
    <w:rsid w:val="00736EDC"/>
    <w:rsid w:val="00740209"/>
    <w:rsid w:val="00743A60"/>
    <w:rsid w:val="00751B6C"/>
    <w:rsid w:val="00783C0F"/>
    <w:rsid w:val="0079550E"/>
    <w:rsid w:val="007B5135"/>
    <w:rsid w:val="007B67DC"/>
    <w:rsid w:val="007C1224"/>
    <w:rsid w:val="007C342F"/>
    <w:rsid w:val="007D0DC6"/>
    <w:rsid w:val="007E1BB6"/>
    <w:rsid w:val="007F54CB"/>
    <w:rsid w:val="00800018"/>
    <w:rsid w:val="008067A2"/>
    <w:rsid w:val="00812792"/>
    <w:rsid w:val="00814D46"/>
    <w:rsid w:val="00816CEB"/>
    <w:rsid w:val="008351EA"/>
    <w:rsid w:val="00836B8D"/>
    <w:rsid w:val="00840E48"/>
    <w:rsid w:val="008417D6"/>
    <w:rsid w:val="00871007"/>
    <w:rsid w:val="00894DA4"/>
    <w:rsid w:val="00896719"/>
    <w:rsid w:val="008A05A6"/>
    <w:rsid w:val="008C5A03"/>
    <w:rsid w:val="008E53E1"/>
    <w:rsid w:val="00907C58"/>
    <w:rsid w:val="009134D9"/>
    <w:rsid w:val="00921B3D"/>
    <w:rsid w:val="00931D87"/>
    <w:rsid w:val="009855C5"/>
    <w:rsid w:val="009A3BC9"/>
    <w:rsid w:val="009D433F"/>
    <w:rsid w:val="00A10098"/>
    <w:rsid w:val="00A13A4D"/>
    <w:rsid w:val="00A1403C"/>
    <w:rsid w:val="00A21693"/>
    <w:rsid w:val="00A25E21"/>
    <w:rsid w:val="00A344EF"/>
    <w:rsid w:val="00A50DB2"/>
    <w:rsid w:val="00A55864"/>
    <w:rsid w:val="00A757F4"/>
    <w:rsid w:val="00A876DF"/>
    <w:rsid w:val="00A944B9"/>
    <w:rsid w:val="00A97F65"/>
    <w:rsid w:val="00AB48EC"/>
    <w:rsid w:val="00AB55D1"/>
    <w:rsid w:val="00AD0AC3"/>
    <w:rsid w:val="00AD6DA7"/>
    <w:rsid w:val="00AF76BE"/>
    <w:rsid w:val="00B0553C"/>
    <w:rsid w:val="00B07FBB"/>
    <w:rsid w:val="00B12AFF"/>
    <w:rsid w:val="00B13CF8"/>
    <w:rsid w:val="00B14FA6"/>
    <w:rsid w:val="00B24A70"/>
    <w:rsid w:val="00B45ECF"/>
    <w:rsid w:val="00B52AA2"/>
    <w:rsid w:val="00B55F47"/>
    <w:rsid w:val="00B6688A"/>
    <w:rsid w:val="00B81CF3"/>
    <w:rsid w:val="00B97A52"/>
    <w:rsid w:val="00BA0607"/>
    <w:rsid w:val="00BA0A6B"/>
    <w:rsid w:val="00BA3364"/>
    <w:rsid w:val="00BA6BD6"/>
    <w:rsid w:val="00BB6878"/>
    <w:rsid w:val="00C23BDD"/>
    <w:rsid w:val="00C4585A"/>
    <w:rsid w:val="00C601EA"/>
    <w:rsid w:val="00C660CF"/>
    <w:rsid w:val="00C7062C"/>
    <w:rsid w:val="00C778DB"/>
    <w:rsid w:val="00C8073A"/>
    <w:rsid w:val="00C81498"/>
    <w:rsid w:val="00C82B3D"/>
    <w:rsid w:val="00C967EC"/>
    <w:rsid w:val="00CA07C3"/>
    <w:rsid w:val="00CB215A"/>
    <w:rsid w:val="00CC1C91"/>
    <w:rsid w:val="00CD2B79"/>
    <w:rsid w:val="00CE031F"/>
    <w:rsid w:val="00CE6CDF"/>
    <w:rsid w:val="00CF2AD4"/>
    <w:rsid w:val="00CF708B"/>
    <w:rsid w:val="00CF791C"/>
    <w:rsid w:val="00D014B7"/>
    <w:rsid w:val="00D06F77"/>
    <w:rsid w:val="00D074B0"/>
    <w:rsid w:val="00D3415A"/>
    <w:rsid w:val="00D36C09"/>
    <w:rsid w:val="00D61C62"/>
    <w:rsid w:val="00D62D92"/>
    <w:rsid w:val="00D77DD5"/>
    <w:rsid w:val="00D802DA"/>
    <w:rsid w:val="00D836CD"/>
    <w:rsid w:val="00D85A38"/>
    <w:rsid w:val="00DA020B"/>
    <w:rsid w:val="00DA52EF"/>
    <w:rsid w:val="00DA6A01"/>
    <w:rsid w:val="00DA6F77"/>
    <w:rsid w:val="00DB091E"/>
    <w:rsid w:val="00DB7CD3"/>
    <w:rsid w:val="00DC7234"/>
    <w:rsid w:val="00DD4AEF"/>
    <w:rsid w:val="00DE0B78"/>
    <w:rsid w:val="00DE4578"/>
    <w:rsid w:val="00DE4AE2"/>
    <w:rsid w:val="00E01E72"/>
    <w:rsid w:val="00E0247C"/>
    <w:rsid w:val="00E20954"/>
    <w:rsid w:val="00E273E3"/>
    <w:rsid w:val="00E3179B"/>
    <w:rsid w:val="00E57F2D"/>
    <w:rsid w:val="00E70C6D"/>
    <w:rsid w:val="00E715BD"/>
    <w:rsid w:val="00E766CF"/>
    <w:rsid w:val="00E916BE"/>
    <w:rsid w:val="00EA669B"/>
    <w:rsid w:val="00EC7605"/>
    <w:rsid w:val="00ED3330"/>
    <w:rsid w:val="00F04AC1"/>
    <w:rsid w:val="00F305F1"/>
    <w:rsid w:val="00F40733"/>
    <w:rsid w:val="00F57D7E"/>
    <w:rsid w:val="00F7159A"/>
    <w:rsid w:val="00FA36B2"/>
    <w:rsid w:val="00FA5EEE"/>
    <w:rsid w:val="00FB40CD"/>
    <w:rsid w:val="00FE2F60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D14D7"/>
  <w15:chartTrackingRefBased/>
  <w15:docId w15:val="{73D7C559-4243-4EEA-9019-E8C5A0CE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6E"/>
    <w:pPr>
      <w:spacing w:after="200" w:line="480" w:lineRule="auto"/>
      <w:jc w:val="both"/>
    </w:pPr>
    <w:rPr>
      <w:rFonts w:cs="Times New Roman"/>
      <w:kern w:val="0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9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A03"/>
    <w:pPr>
      <w:keepNext/>
      <w:keepLines/>
      <w:widowControl w:val="0"/>
      <w:spacing w:before="200" w:line="440" w:lineRule="exact"/>
      <w:outlineLvl w:val="2"/>
    </w:pPr>
    <w:rPr>
      <w:rFonts w:cstheme="minorBidi"/>
      <w:b/>
      <w:bCs/>
      <w:kern w:val="2"/>
      <w:sz w:val="28"/>
      <w:szCs w:val="32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209"/>
    <w:pPr>
      <w:keepNext/>
      <w:keepLines/>
      <w:spacing w:before="100" w:beforeAutospacing="1" w:afterLines="100" w:after="100"/>
      <w:jc w:val="center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5A0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5A03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C5A03"/>
    <w:rPr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40209"/>
    <w:rPr>
      <w:rFonts w:eastAsiaTheme="majorEastAsia" w:cstheme="majorBidi"/>
      <w:b/>
      <w:iCs/>
      <w:kern w:val="0"/>
      <w:sz w:val="20"/>
      <w:szCs w:val="22"/>
      <w:lang w:val="en-GB" w:eastAsia="en-GB"/>
    </w:rPr>
  </w:style>
  <w:style w:type="paragraph" w:styleId="NormalWeb">
    <w:name w:val="Normal (Web)"/>
    <w:basedOn w:val="Normal"/>
    <w:uiPriority w:val="99"/>
    <w:rsid w:val="008C5A03"/>
    <w:pPr>
      <w:spacing w:before="100" w:beforeAutospacing="1" w:after="100" w:afterAutospacing="1" w:line="240" w:lineRule="auto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8C5A03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8C5A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5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A03"/>
    <w:rPr>
      <w:rFonts w:ascii="Calibri" w:hAnsi="Calibri" w:cs="Times New Roman"/>
      <w:kern w:val="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A03"/>
    <w:rPr>
      <w:rFonts w:ascii="Calibri" w:hAnsi="Calibri" w:cs="Times New Roman"/>
      <w:b/>
      <w:bCs/>
      <w:kern w:val="0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C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03"/>
    <w:rPr>
      <w:rFonts w:ascii="Tahoma" w:hAnsi="Tahoma" w:cs="Tahoma"/>
      <w:kern w:val="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C5A03"/>
    <w:pPr>
      <w:widowControl w:val="0"/>
      <w:spacing w:after="0" w:line="240" w:lineRule="auto"/>
      <w:ind w:firstLineChars="200" w:firstLine="420"/>
    </w:pPr>
    <w:rPr>
      <w:rFonts w:cstheme="minorBidi"/>
      <w:kern w:val="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C5A03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8C5A0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2494F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E70F1"/>
    <w:pPr>
      <w:spacing w:line="240" w:lineRule="auto"/>
      <w:jc w:val="left"/>
    </w:pPr>
    <w:rPr>
      <w:iCs/>
      <w:sz w:val="22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251"/>
    <w:rPr>
      <w:color w:val="605E5C"/>
      <w:shd w:val="clear" w:color="auto" w:fill="E1DFDD"/>
    </w:rPr>
  </w:style>
  <w:style w:type="paragraph" w:customStyle="1" w:styleId="Figurename">
    <w:name w:val="Figure name"/>
    <w:basedOn w:val="Caption"/>
    <w:link w:val="Figurename0"/>
    <w:qFormat/>
    <w:rsid w:val="00E715BD"/>
    <w:pPr>
      <w:spacing w:after="240"/>
      <w:jc w:val="center"/>
    </w:pPr>
    <w:rPr>
      <w:b/>
    </w:rPr>
  </w:style>
  <w:style w:type="character" w:customStyle="1" w:styleId="CaptionChar">
    <w:name w:val="Caption Char"/>
    <w:basedOn w:val="DefaultParagraphFont"/>
    <w:link w:val="Caption"/>
    <w:uiPriority w:val="35"/>
    <w:rsid w:val="00E715BD"/>
    <w:rPr>
      <w:rFonts w:cs="Times New Roman"/>
      <w:iCs/>
      <w:kern w:val="0"/>
      <w:sz w:val="22"/>
      <w:szCs w:val="18"/>
      <w:lang w:val="en-GB" w:eastAsia="en-GB"/>
    </w:rPr>
  </w:style>
  <w:style w:type="character" w:customStyle="1" w:styleId="Figurename0">
    <w:name w:val="Figure name 字符"/>
    <w:basedOn w:val="CaptionChar"/>
    <w:link w:val="Figurename"/>
    <w:rsid w:val="00E715BD"/>
    <w:rPr>
      <w:rFonts w:cs="Times New Roman"/>
      <w:b/>
      <w:iCs/>
      <w:kern w:val="0"/>
      <w:sz w:val="22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briscoe@qmul.ac.uk" TargetMode="External"/><Relationship Id="rId11" Type="http://schemas.openxmlformats.org/officeDocument/2006/relationships/image" Target="media/image5.tiff"/><Relationship Id="rId5" Type="http://schemas.openxmlformats.org/officeDocument/2006/relationships/endnotes" Target="endnotes.xml"/><Relationship Id="rId10" Type="http://schemas.openxmlformats.org/officeDocument/2006/relationships/image" Target="media/image4.tif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yaqiong</dc:creator>
  <cp:keywords/>
  <dc:description/>
  <cp:lastModifiedBy>Joe Briscoe</cp:lastModifiedBy>
  <cp:revision>57</cp:revision>
  <dcterms:created xsi:type="dcterms:W3CDTF">2018-10-01T20:20:00Z</dcterms:created>
  <dcterms:modified xsi:type="dcterms:W3CDTF">2019-03-01T14:28:00Z</dcterms:modified>
</cp:coreProperties>
</file>