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E5553" w14:textId="4F5D622C" w:rsidR="00D12C57" w:rsidRPr="004E4BAD" w:rsidRDefault="004E4BAD" w:rsidP="004E4BAD">
      <w:pPr>
        <w:autoSpaceDE w:val="0"/>
        <w:autoSpaceDN w:val="0"/>
        <w:adjustRightInd w:val="0"/>
        <w:spacing w:after="0" w:line="240" w:lineRule="auto"/>
        <w:jc w:val="center"/>
        <w:rPr>
          <w:rFonts w:asciiTheme="majorBidi" w:hAnsiTheme="majorBidi" w:cstheme="majorBidi"/>
          <w:b/>
          <w:bCs/>
          <w:sz w:val="43"/>
          <w:szCs w:val="43"/>
        </w:rPr>
      </w:pPr>
      <w:r w:rsidRPr="004E4BAD">
        <w:rPr>
          <w:rFonts w:asciiTheme="majorBidi" w:hAnsiTheme="majorBidi" w:cstheme="majorBidi"/>
          <w:b/>
          <w:bCs/>
          <w:sz w:val="43"/>
          <w:szCs w:val="43"/>
        </w:rPr>
        <w:t xml:space="preserve">Integrating </w:t>
      </w:r>
      <w:r>
        <w:rPr>
          <w:rFonts w:asciiTheme="majorBidi" w:hAnsiTheme="majorBidi" w:cstheme="majorBidi"/>
          <w:b/>
          <w:bCs/>
          <w:sz w:val="43"/>
          <w:szCs w:val="43"/>
        </w:rPr>
        <w:t>t</w:t>
      </w:r>
      <w:r w:rsidRPr="004E4BAD">
        <w:rPr>
          <w:rFonts w:asciiTheme="majorBidi" w:hAnsiTheme="majorBidi" w:cstheme="majorBidi"/>
          <w:b/>
          <w:bCs/>
          <w:sz w:val="43"/>
          <w:szCs w:val="43"/>
        </w:rPr>
        <w:t xml:space="preserve">hree Pillars </w:t>
      </w:r>
      <w:r>
        <w:rPr>
          <w:rFonts w:asciiTheme="majorBidi" w:hAnsiTheme="majorBidi" w:cstheme="majorBidi"/>
          <w:b/>
          <w:bCs/>
          <w:sz w:val="43"/>
          <w:szCs w:val="43"/>
        </w:rPr>
        <w:t>o</w:t>
      </w:r>
      <w:r w:rsidRPr="004E4BAD">
        <w:rPr>
          <w:rFonts w:asciiTheme="majorBidi" w:hAnsiTheme="majorBidi" w:cstheme="majorBidi"/>
          <w:b/>
          <w:bCs/>
          <w:sz w:val="43"/>
          <w:szCs w:val="43"/>
        </w:rPr>
        <w:t xml:space="preserve">f Sustainability </w:t>
      </w:r>
      <w:r>
        <w:rPr>
          <w:rFonts w:asciiTheme="majorBidi" w:hAnsiTheme="majorBidi" w:cstheme="majorBidi"/>
          <w:b/>
          <w:bCs/>
          <w:sz w:val="43"/>
          <w:szCs w:val="43"/>
        </w:rPr>
        <w:t>f</w:t>
      </w:r>
      <w:r w:rsidRPr="004E4BAD">
        <w:rPr>
          <w:rFonts w:asciiTheme="majorBidi" w:hAnsiTheme="majorBidi" w:cstheme="majorBidi"/>
          <w:b/>
          <w:bCs/>
          <w:sz w:val="43"/>
          <w:szCs w:val="43"/>
        </w:rPr>
        <w:t xml:space="preserve">or Evaluating </w:t>
      </w:r>
      <w:r>
        <w:rPr>
          <w:rFonts w:asciiTheme="majorBidi" w:hAnsiTheme="majorBidi" w:cstheme="majorBidi"/>
          <w:b/>
          <w:bCs/>
          <w:sz w:val="43"/>
          <w:szCs w:val="43"/>
        </w:rPr>
        <w:t>t</w:t>
      </w:r>
      <w:r w:rsidRPr="004E4BAD">
        <w:rPr>
          <w:rFonts w:asciiTheme="majorBidi" w:hAnsiTheme="majorBidi" w:cstheme="majorBidi"/>
          <w:b/>
          <w:bCs/>
          <w:sz w:val="43"/>
          <w:szCs w:val="43"/>
        </w:rPr>
        <w:t>he Modular Construction Building</w:t>
      </w:r>
    </w:p>
    <w:p w14:paraId="331B08A8" w14:textId="77777777" w:rsidR="00D12C57" w:rsidRPr="004E4BAD" w:rsidRDefault="00D12C57" w:rsidP="004E4BAD">
      <w:pPr>
        <w:spacing w:after="0" w:line="240" w:lineRule="auto"/>
        <w:jc w:val="center"/>
        <w:rPr>
          <w:rFonts w:asciiTheme="majorBidi" w:hAnsiTheme="majorBidi" w:cstheme="majorBidi"/>
          <w:b/>
          <w:bCs/>
          <w:color w:val="222222"/>
          <w:sz w:val="20"/>
          <w:szCs w:val="20"/>
          <w:shd w:val="clear" w:color="auto" w:fill="FFFFFF"/>
        </w:rPr>
      </w:pPr>
    </w:p>
    <w:p w14:paraId="2126F340" w14:textId="77777777" w:rsidR="00D12C57" w:rsidRPr="004E4BAD" w:rsidRDefault="00D12C57" w:rsidP="00B9763F">
      <w:pPr>
        <w:spacing w:after="0" w:line="240" w:lineRule="auto"/>
        <w:jc w:val="center"/>
        <w:rPr>
          <w:rFonts w:asciiTheme="majorBidi" w:hAnsiTheme="majorBidi" w:cstheme="majorBidi"/>
          <w:b/>
          <w:bCs/>
          <w:color w:val="222222"/>
          <w:sz w:val="20"/>
          <w:szCs w:val="20"/>
          <w:shd w:val="clear" w:color="auto" w:fill="FFFFFF"/>
        </w:rPr>
      </w:pPr>
    </w:p>
    <w:p w14:paraId="7214222E" w14:textId="77777777" w:rsidR="00D12C57" w:rsidRPr="004E4BAD" w:rsidRDefault="00D12C57" w:rsidP="00B9763F">
      <w:pPr>
        <w:spacing w:after="0" w:line="240" w:lineRule="auto"/>
        <w:jc w:val="center"/>
        <w:rPr>
          <w:rFonts w:asciiTheme="majorBidi" w:hAnsiTheme="majorBidi" w:cstheme="majorBidi"/>
          <w:b/>
          <w:bCs/>
          <w:color w:val="222222"/>
          <w:sz w:val="20"/>
          <w:szCs w:val="20"/>
          <w:shd w:val="clear" w:color="auto" w:fill="FFFFFF"/>
        </w:rPr>
      </w:pPr>
    </w:p>
    <w:p w14:paraId="08070A25" w14:textId="4E6ACBAA" w:rsidR="00B9763F" w:rsidRPr="004275F6" w:rsidRDefault="00B9763F" w:rsidP="00B9763F">
      <w:pPr>
        <w:spacing w:after="0" w:line="240" w:lineRule="auto"/>
        <w:jc w:val="center"/>
        <w:rPr>
          <w:rFonts w:asciiTheme="majorBidi" w:hAnsiTheme="majorBidi" w:cstheme="majorBidi"/>
          <w:i/>
          <w:iCs/>
          <w:sz w:val="20"/>
          <w:szCs w:val="20"/>
        </w:rPr>
      </w:pPr>
      <w:r w:rsidRPr="004275F6">
        <w:rPr>
          <w:rFonts w:asciiTheme="majorBidi" w:hAnsiTheme="majorBidi" w:cstheme="majorBidi"/>
          <w:color w:val="222222"/>
          <w:sz w:val="20"/>
          <w:szCs w:val="20"/>
          <w:shd w:val="clear" w:color="auto" w:fill="FFFFFF"/>
        </w:rPr>
        <w:t xml:space="preserve"> </w:t>
      </w:r>
    </w:p>
    <w:p w14:paraId="111CEF15" w14:textId="77777777" w:rsidR="00B9763F" w:rsidRDefault="00B9763F" w:rsidP="00B9763F">
      <w:pPr>
        <w:pStyle w:val="Default"/>
        <w:jc w:val="center"/>
        <w:rPr>
          <w:rFonts w:asciiTheme="majorBidi" w:hAnsiTheme="majorBidi" w:cstheme="majorBidi"/>
          <w:i/>
          <w:color w:val="auto"/>
          <w:sz w:val="18"/>
          <w:szCs w:val="18"/>
        </w:rPr>
      </w:pPr>
    </w:p>
    <w:p w14:paraId="3C1697A8" w14:textId="77777777" w:rsidR="00B9763F" w:rsidRDefault="00B9763F" w:rsidP="00EE12FE">
      <w:pPr>
        <w:autoSpaceDE w:val="0"/>
        <w:autoSpaceDN w:val="0"/>
        <w:adjustRightInd w:val="0"/>
        <w:spacing w:after="0" w:line="276" w:lineRule="auto"/>
        <w:jc w:val="center"/>
        <w:rPr>
          <w:rFonts w:asciiTheme="majorBidi" w:eastAsia="Calibri" w:hAnsiTheme="majorBidi" w:cstheme="majorBidi"/>
          <w:b/>
          <w:sz w:val="24"/>
          <w:szCs w:val="24"/>
          <w:shd w:val="clear" w:color="auto" w:fill="FFFFFF"/>
        </w:rPr>
      </w:pPr>
    </w:p>
    <w:p w14:paraId="465DC904" w14:textId="77777777" w:rsidR="006A4F3B" w:rsidRDefault="006A4F3B" w:rsidP="00EE12FE">
      <w:pPr>
        <w:autoSpaceDE w:val="0"/>
        <w:autoSpaceDN w:val="0"/>
        <w:adjustRightInd w:val="0"/>
        <w:spacing w:after="0" w:line="276" w:lineRule="auto"/>
        <w:jc w:val="center"/>
        <w:rPr>
          <w:rFonts w:asciiTheme="majorBidi" w:eastAsia="Calibri" w:hAnsiTheme="majorBidi" w:cstheme="majorBidi"/>
          <w:b/>
          <w:sz w:val="24"/>
          <w:szCs w:val="24"/>
          <w:shd w:val="clear" w:color="auto" w:fill="FFFFFF"/>
        </w:rPr>
      </w:pPr>
    </w:p>
    <w:p w14:paraId="1B5A9FDD" w14:textId="77777777" w:rsidR="006A4F3B" w:rsidRDefault="006A4F3B" w:rsidP="00EE12FE">
      <w:pPr>
        <w:autoSpaceDE w:val="0"/>
        <w:autoSpaceDN w:val="0"/>
        <w:adjustRightInd w:val="0"/>
        <w:spacing w:after="0" w:line="276" w:lineRule="auto"/>
        <w:jc w:val="center"/>
        <w:rPr>
          <w:rFonts w:asciiTheme="majorBidi" w:eastAsia="Calibri" w:hAnsiTheme="majorBidi" w:cstheme="majorBidi"/>
          <w:b/>
          <w:sz w:val="24"/>
          <w:szCs w:val="24"/>
          <w:shd w:val="clear" w:color="auto" w:fill="FFFFFF"/>
        </w:rPr>
      </w:pPr>
    </w:p>
    <w:p w14:paraId="0E195A4A" w14:textId="77777777" w:rsidR="006A4F3B" w:rsidRPr="00823856" w:rsidRDefault="006A4F3B" w:rsidP="00EE12FE">
      <w:pPr>
        <w:autoSpaceDE w:val="0"/>
        <w:autoSpaceDN w:val="0"/>
        <w:adjustRightInd w:val="0"/>
        <w:spacing w:after="0" w:line="276" w:lineRule="auto"/>
        <w:jc w:val="center"/>
        <w:rPr>
          <w:rFonts w:asciiTheme="majorBidi" w:eastAsia="Calibri" w:hAnsiTheme="majorBidi" w:cstheme="majorBidi"/>
          <w:b/>
          <w:sz w:val="24"/>
          <w:szCs w:val="24"/>
          <w:shd w:val="clear" w:color="auto" w:fill="FFFFFF"/>
        </w:rPr>
      </w:pPr>
    </w:p>
    <w:p w14:paraId="6CFFB334" w14:textId="61E729CD" w:rsidR="007C3A91" w:rsidRPr="00823856" w:rsidRDefault="007C3A91" w:rsidP="00EE12FE">
      <w:pPr>
        <w:autoSpaceDE w:val="0"/>
        <w:autoSpaceDN w:val="0"/>
        <w:adjustRightInd w:val="0"/>
        <w:spacing w:after="0" w:line="276" w:lineRule="auto"/>
        <w:rPr>
          <w:rFonts w:asciiTheme="majorBidi" w:hAnsiTheme="majorBidi" w:cstheme="majorBidi"/>
          <w:b/>
          <w:bCs/>
          <w:sz w:val="24"/>
          <w:szCs w:val="24"/>
        </w:rPr>
      </w:pPr>
      <w:r w:rsidRPr="00823856">
        <w:rPr>
          <w:rFonts w:asciiTheme="majorBidi" w:hAnsiTheme="majorBidi" w:cstheme="majorBidi"/>
          <w:b/>
          <w:bCs/>
          <w:sz w:val="24"/>
          <w:szCs w:val="24"/>
        </w:rPr>
        <w:t>ABSTRACT</w:t>
      </w:r>
    </w:p>
    <w:p w14:paraId="02634C95" w14:textId="77777777" w:rsidR="00723FAA" w:rsidRDefault="00723FAA" w:rsidP="00723FAA">
      <w:pPr>
        <w:autoSpaceDE w:val="0"/>
        <w:autoSpaceDN w:val="0"/>
        <w:adjustRightInd w:val="0"/>
        <w:spacing w:after="0" w:line="276" w:lineRule="auto"/>
        <w:jc w:val="both"/>
        <w:rPr>
          <w:rFonts w:asciiTheme="majorBidi" w:hAnsiTheme="majorBidi" w:cstheme="majorBidi"/>
        </w:rPr>
      </w:pPr>
      <w:r w:rsidRPr="00C51DE0">
        <w:rPr>
          <w:rFonts w:asciiTheme="majorBidi" w:hAnsiTheme="majorBidi" w:cstheme="majorBidi"/>
          <w:b/>
          <w:bCs/>
        </w:rPr>
        <w:t>Design/methodology/approach:</w:t>
      </w:r>
      <w:r w:rsidRPr="00C51DE0">
        <w:rPr>
          <w:rFonts w:asciiTheme="majorBidi" w:hAnsiTheme="majorBidi" w:cstheme="majorBidi"/>
        </w:rPr>
        <w:t xml:space="preserve"> Transitioning the built environment to a circular economy is vital to achieving sustainability goals. Modular construction is perceived as the future of the construction industry, and in combination with objective sustainability, it is still in the evaluation phase.</w:t>
      </w:r>
    </w:p>
    <w:p w14:paraId="6DA41BDB" w14:textId="77777777" w:rsidR="00914F28" w:rsidRPr="00C51DE0" w:rsidRDefault="00914F28" w:rsidP="00723FAA">
      <w:pPr>
        <w:autoSpaceDE w:val="0"/>
        <w:autoSpaceDN w:val="0"/>
        <w:adjustRightInd w:val="0"/>
        <w:spacing w:after="0" w:line="276" w:lineRule="auto"/>
        <w:jc w:val="both"/>
        <w:rPr>
          <w:rFonts w:asciiTheme="majorBidi" w:hAnsiTheme="majorBidi" w:cstheme="majorBidi"/>
        </w:rPr>
      </w:pPr>
    </w:p>
    <w:p w14:paraId="367DA135" w14:textId="77777777" w:rsidR="00723FAA" w:rsidRDefault="00723FAA" w:rsidP="00723FAA">
      <w:pPr>
        <w:autoSpaceDE w:val="0"/>
        <w:autoSpaceDN w:val="0"/>
        <w:adjustRightInd w:val="0"/>
        <w:spacing w:after="0" w:line="276" w:lineRule="auto"/>
        <w:jc w:val="both"/>
        <w:rPr>
          <w:rFonts w:asciiTheme="majorBidi" w:hAnsiTheme="majorBidi" w:cstheme="majorBidi"/>
        </w:rPr>
      </w:pPr>
      <w:r w:rsidRPr="00C51DE0">
        <w:rPr>
          <w:rFonts w:asciiTheme="majorBidi" w:hAnsiTheme="majorBidi" w:cstheme="majorBidi"/>
          <w:b/>
          <w:bCs/>
        </w:rPr>
        <w:t>Purpose:</w:t>
      </w:r>
      <w:r w:rsidRPr="00C51DE0">
        <w:rPr>
          <w:rFonts w:asciiTheme="majorBidi" w:hAnsiTheme="majorBidi" w:cstheme="majorBidi"/>
        </w:rPr>
        <w:t xml:space="preserve"> So far, the sustainability performance of modular buildings </w:t>
      </w:r>
      <w:proofErr w:type="gramStart"/>
      <w:r w:rsidRPr="00C51DE0">
        <w:rPr>
          <w:rFonts w:asciiTheme="majorBidi" w:hAnsiTheme="majorBidi" w:cstheme="majorBidi"/>
        </w:rPr>
        <w:t>was</w:t>
      </w:r>
      <w:proofErr w:type="gramEnd"/>
      <w:r w:rsidRPr="00C51DE0">
        <w:rPr>
          <w:rFonts w:asciiTheme="majorBidi" w:hAnsiTheme="majorBidi" w:cstheme="majorBidi"/>
        </w:rPr>
        <w:t xml:space="preserve"> explored through a life cycle viewpoint. In this paper, a life cycle sustainability performance including the three-pillar evaluation framework was developed for different modular buildings. The materials are concrete, steel, and timber constructed as a modular construction method. The Multi-Criteria Decision-Making (MCDM) method was used to calculate the outranking streams for each modular.</w:t>
      </w:r>
    </w:p>
    <w:p w14:paraId="5C66B91E" w14:textId="77777777" w:rsidR="00914F28" w:rsidRPr="00C51DE0" w:rsidRDefault="00914F28" w:rsidP="00723FAA">
      <w:pPr>
        <w:autoSpaceDE w:val="0"/>
        <w:autoSpaceDN w:val="0"/>
        <w:adjustRightInd w:val="0"/>
        <w:spacing w:after="0" w:line="276" w:lineRule="auto"/>
        <w:jc w:val="both"/>
        <w:rPr>
          <w:rFonts w:asciiTheme="majorBidi" w:hAnsiTheme="majorBidi" w:cstheme="majorBidi"/>
        </w:rPr>
      </w:pPr>
    </w:p>
    <w:p w14:paraId="0C9E4720" w14:textId="77777777" w:rsidR="00723FAA" w:rsidRDefault="00723FAA" w:rsidP="00723FAA">
      <w:pPr>
        <w:autoSpaceDE w:val="0"/>
        <w:autoSpaceDN w:val="0"/>
        <w:adjustRightInd w:val="0"/>
        <w:spacing w:after="0" w:line="276" w:lineRule="auto"/>
        <w:jc w:val="both"/>
        <w:rPr>
          <w:rFonts w:asciiTheme="majorBidi" w:hAnsiTheme="majorBidi" w:cstheme="majorBidi"/>
        </w:rPr>
      </w:pPr>
      <w:r w:rsidRPr="00C51DE0">
        <w:rPr>
          <w:rFonts w:asciiTheme="majorBidi" w:hAnsiTheme="majorBidi" w:cstheme="majorBidi"/>
        </w:rPr>
        <w:t> </w:t>
      </w:r>
      <w:r w:rsidRPr="00C51DE0">
        <w:rPr>
          <w:rFonts w:asciiTheme="majorBidi" w:hAnsiTheme="majorBidi" w:cstheme="majorBidi"/>
          <w:b/>
          <w:bCs/>
        </w:rPr>
        <w:t>Findings:</w:t>
      </w:r>
      <w:r w:rsidRPr="00C51DE0">
        <w:rPr>
          <w:rFonts w:asciiTheme="majorBidi" w:hAnsiTheme="majorBidi" w:cstheme="majorBidi"/>
        </w:rPr>
        <w:t xml:space="preserve"> The calculated embodied impacts, and Global Warming Potential (GWP) showed that material production is the most critical phase (65-88% of embodied energy &amp; 64-86% of GWP). The result of embodied energy and GWP shows timber as an ideal choice. The result of the economic revealed that concrete is the most economical choice, while the social assessment shows that steel is the ideal material. The cost calculation shows that timber has a higher total cost by 7% and 11% higher than steel and concrete structures. Finally, MCDM revealed that steel has the best overall performance.</w:t>
      </w:r>
    </w:p>
    <w:p w14:paraId="22AE8065" w14:textId="77777777" w:rsidR="00914F28" w:rsidRPr="00C51DE0" w:rsidRDefault="00914F28" w:rsidP="00723FAA">
      <w:pPr>
        <w:autoSpaceDE w:val="0"/>
        <w:autoSpaceDN w:val="0"/>
        <w:adjustRightInd w:val="0"/>
        <w:spacing w:after="0" w:line="276" w:lineRule="auto"/>
        <w:jc w:val="both"/>
        <w:rPr>
          <w:rFonts w:asciiTheme="majorBidi" w:hAnsiTheme="majorBidi" w:cstheme="majorBidi"/>
        </w:rPr>
      </w:pPr>
    </w:p>
    <w:p w14:paraId="2F1B4B13" w14:textId="77777777" w:rsidR="00723FAA" w:rsidRPr="00C51DE0" w:rsidRDefault="00723FAA" w:rsidP="00723FAA">
      <w:pPr>
        <w:autoSpaceDE w:val="0"/>
        <w:autoSpaceDN w:val="0"/>
        <w:adjustRightInd w:val="0"/>
        <w:spacing w:after="0" w:line="276" w:lineRule="auto"/>
        <w:jc w:val="both"/>
        <w:rPr>
          <w:rFonts w:asciiTheme="majorBidi" w:hAnsiTheme="majorBidi" w:cstheme="majorBidi"/>
        </w:rPr>
      </w:pPr>
      <w:r w:rsidRPr="00C51DE0">
        <w:rPr>
          <w:rFonts w:asciiTheme="majorBidi" w:hAnsiTheme="majorBidi" w:cstheme="majorBidi"/>
          <w:b/>
          <w:bCs/>
        </w:rPr>
        <w:t>Originality/value</w:t>
      </w:r>
      <w:r w:rsidRPr="00C51DE0">
        <w:t xml:space="preserve">: </w:t>
      </w:r>
      <w:r w:rsidRPr="00C51DE0">
        <w:rPr>
          <w:rFonts w:asciiTheme="majorBidi" w:hAnsiTheme="majorBidi" w:cstheme="majorBidi"/>
        </w:rPr>
        <w:t>This research is valuable for construction professionals since it gives a deliberate framework for modular buildings' life cycle sustainability performance and assists with sustainable construction materials.</w:t>
      </w:r>
    </w:p>
    <w:p w14:paraId="451BF770" w14:textId="77777777" w:rsidR="00723FAA" w:rsidRPr="00823856" w:rsidRDefault="00723FAA" w:rsidP="00723FAA">
      <w:pPr>
        <w:spacing w:line="276" w:lineRule="auto"/>
        <w:jc w:val="both"/>
        <w:rPr>
          <w:rFonts w:asciiTheme="majorBidi" w:hAnsiTheme="majorBidi" w:cstheme="majorBidi"/>
          <w:b/>
          <w:bCs/>
          <w:i/>
          <w:iCs/>
          <w:sz w:val="24"/>
          <w:szCs w:val="24"/>
        </w:rPr>
      </w:pPr>
    </w:p>
    <w:p w14:paraId="094E0563" w14:textId="12CA0812" w:rsidR="00304110" w:rsidRDefault="00304110" w:rsidP="00EE12FE">
      <w:pPr>
        <w:spacing w:line="276" w:lineRule="auto"/>
        <w:jc w:val="both"/>
        <w:rPr>
          <w:rFonts w:asciiTheme="majorBidi" w:hAnsiTheme="majorBidi" w:cstheme="majorBidi"/>
          <w:b/>
          <w:bCs/>
          <w:i/>
          <w:iCs/>
          <w:sz w:val="24"/>
          <w:szCs w:val="24"/>
        </w:rPr>
      </w:pPr>
    </w:p>
    <w:p w14:paraId="0121734F" w14:textId="77777777" w:rsidR="005B35E7" w:rsidRPr="00823856" w:rsidRDefault="005B35E7" w:rsidP="00EE12FE">
      <w:pPr>
        <w:spacing w:line="276" w:lineRule="auto"/>
        <w:jc w:val="both"/>
        <w:rPr>
          <w:rFonts w:asciiTheme="majorBidi" w:hAnsiTheme="majorBidi" w:cstheme="majorBidi"/>
          <w:b/>
          <w:bCs/>
          <w:i/>
          <w:iCs/>
          <w:sz w:val="24"/>
          <w:szCs w:val="24"/>
        </w:rPr>
      </w:pPr>
    </w:p>
    <w:p w14:paraId="646F2550" w14:textId="2F12EBF8" w:rsidR="000F6EDC" w:rsidRPr="00823856" w:rsidRDefault="006647E3" w:rsidP="00EE12FE">
      <w:pPr>
        <w:spacing w:line="276" w:lineRule="auto"/>
        <w:rPr>
          <w:rFonts w:asciiTheme="majorBidi" w:hAnsiTheme="majorBidi" w:cstheme="majorBidi"/>
          <w:bCs/>
          <w:sz w:val="24"/>
          <w:szCs w:val="24"/>
        </w:rPr>
      </w:pPr>
      <w:r w:rsidRPr="00823856">
        <w:rPr>
          <w:rFonts w:asciiTheme="majorBidi" w:hAnsiTheme="majorBidi" w:cstheme="majorBidi"/>
          <w:b/>
          <w:bCs/>
          <w:i/>
          <w:iCs/>
          <w:sz w:val="24"/>
          <w:szCs w:val="24"/>
        </w:rPr>
        <w:t>Keyword:</w:t>
      </w:r>
      <w:r w:rsidRPr="00823856">
        <w:rPr>
          <w:rFonts w:asciiTheme="majorBidi" w:hAnsiTheme="majorBidi" w:cstheme="majorBidi"/>
          <w:bCs/>
          <w:i/>
          <w:iCs/>
          <w:sz w:val="24"/>
          <w:szCs w:val="24"/>
        </w:rPr>
        <w:t xml:space="preserve"> </w:t>
      </w:r>
      <w:r w:rsidR="008A2347" w:rsidRPr="00823856">
        <w:rPr>
          <w:rFonts w:asciiTheme="majorBidi" w:hAnsiTheme="majorBidi" w:cstheme="majorBidi"/>
          <w:bCs/>
          <w:sz w:val="24"/>
          <w:szCs w:val="24"/>
        </w:rPr>
        <w:t xml:space="preserve">Multi-criteria decision-making; </w:t>
      </w:r>
      <w:r w:rsidR="00304110" w:rsidRPr="00823856">
        <w:rPr>
          <w:rFonts w:asciiTheme="majorBidi" w:hAnsiTheme="majorBidi" w:cstheme="majorBidi"/>
          <w:bCs/>
          <w:sz w:val="24"/>
          <w:szCs w:val="24"/>
        </w:rPr>
        <w:t>Modular</w:t>
      </w:r>
      <w:r w:rsidR="00E72E16" w:rsidRPr="00823856">
        <w:rPr>
          <w:rFonts w:asciiTheme="majorBidi" w:hAnsiTheme="majorBidi" w:cstheme="majorBidi"/>
          <w:bCs/>
          <w:sz w:val="24"/>
          <w:szCs w:val="24"/>
        </w:rPr>
        <w:t xml:space="preserve"> </w:t>
      </w:r>
      <w:r w:rsidR="00BC2624" w:rsidRPr="00823856">
        <w:rPr>
          <w:rFonts w:asciiTheme="majorBidi" w:hAnsiTheme="majorBidi" w:cstheme="majorBidi"/>
          <w:bCs/>
          <w:sz w:val="24"/>
          <w:szCs w:val="24"/>
        </w:rPr>
        <w:t xml:space="preserve">Construction; </w:t>
      </w:r>
      <w:r w:rsidR="00304110" w:rsidRPr="00823856">
        <w:rPr>
          <w:rFonts w:asciiTheme="majorBidi" w:hAnsiTheme="majorBidi" w:cstheme="majorBidi"/>
          <w:bCs/>
          <w:sz w:val="24"/>
          <w:szCs w:val="24"/>
        </w:rPr>
        <w:t>Life Cycle Sustainability Analysis</w:t>
      </w:r>
      <w:r w:rsidR="00BC2624" w:rsidRPr="00823856">
        <w:rPr>
          <w:rFonts w:asciiTheme="majorBidi" w:hAnsiTheme="majorBidi" w:cstheme="majorBidi"/>
          <w:bCs/>
          <w:sz w:val="24"/>
          <w:szCs w:val="24"/>
        </w:rPr>
        <w:t xml:space="preserve">; </w:t>
      </w:r>
      <w:r w:rsidR="008A2347" w:rsidRPr="00823856">
        <w:rPr>
          <w:rFonts w:asciiTheme="majorBidi" w:hAnsiTheme="majorBidi" w:cstheme="majorBidi"/>
          <w:bCs/>
          <w:sz w:val="24"/>
          <w:szCs w:val="24"/>
        </w:rPr>
        <w:t xml:space="preserve">Life Cycle Cost; </w:t>
      </w:r>
      <w:r w:rsidR="00C3162A" w:rsidRPr="00823856">
        <w:rPr>
          <w:rFonts w:asciiTheme="majorBidi" w:hAnsiTheme="majorBidi" w:cstheme="majorBidi"/>
          <w:bCs/>
          <w:sz w:val="24"/>
          <w:szCs w:val="24"/>
        </w:rPr>
        <w:t xml:space="preserve">Social Life Cycle Assessment; </w:t>
      </w:r>
      <w:r w:rsidR="002D4DB7" w:rsidRPr="00823856">
        <w:rPr>
          <w:rFonts w:asciiTheme="majorBidi" w:hAnsiTheme="majorBidi" w:cstheme="majorBidi"/>
          <w:bCs/>
          <w:sz w:val="24"/>
          <w:szCs w:val="24"/>
        </w:rPr>
        <w:t xml:space="preserve">Life cycle </w:t>
      </w:r>
      <w:r w:rsidR="006950F9" w:rsidRPr="00823856">
        <w:rPr>
          <w:rFonts w:asciiTheme="majorBidi" w:hAnsiTheme="majorBidi" w:cstheme="majorBidi"/>
          <w:bCs/>
          <w:sz w:val="24"/>
          <w:szCs w:val="24"/>
        </w:rPr>
        <w:t>assessment.</w:t>
      </w:r>
      <w:r w:rsidR="00E27AF3" w:rsidRPr="00823856">
        <w:rPr>
          <w:rFonts w:asciiTheme="majorBidi" w:hAnsiTheme="majorBidi" w:cstheme="majorBidi"/>
          <w:bCs/>
          <w:sz w:val="24"/>
          <w:szCs w:val="24"/>
        </w:rPr>
        <w:t xml:space="preserve"> </w:t>
      </w:r>
    </w:p>
    <w:p w14:paraId="522A8958" w14:textId="77777777" w:rsidR="00EA1869" w:rsidRDefault="00EA1869" w:rsidP="00EE12FE">
      <w:pPr>
        <w:spacing w:line="276" w:lineRule="auto"/>
        <w:rPr>
          <w:rFonts w:asciiTheme="majorBidi" w:hAnsiTheme="majorBidi" w:cstheme="majorBidi"/>
          <w:sz w:val="24"/>
          <w:szCs w:val="24"/>
        </w:rPr>
      </w:pPr>
    </w:p>
    <w:p w14:paraId="24E38130" w14:textId="77777777" w:rsidR="005B35E7" w:rsidRDefault="005B35E7" w:rsidP="00EE12FE">
      <w:pPr>
        <w:spacing w:line="276" w:lineRule="auto"/>
        <w:rPr>
          <w:rFonts w:asciiTheme="majorBidi" w:hAnsiTheme="majorBidi" w:cstheme="majorBidi"/>
          <w:sz w:val="24"/>
          <w:szCs w:val="24"/>
        </w:rPr>
      </w:pPr>
    </w:p>
    <w:p w14:paraId="733E7BD9" w14:textId="2891AD0B" w:rsidR="00C540FB" w:rsidRPr="00823856" w:rsidRDefault="00C540FB" w:rsidP="00EE12FE">
      <w:pPr>
        <w:pStyle w:val="ListParagraph"/>
        <w:numPr>
          <w:ilvl w:val="0"/>
          <w:numId w:val="1"/>
        </w:numPr>
        <w:spacing w:line="276" w:lineRule="auto"/>
        <w:rPr>
          <w:rFonts w:asciiTheme="majorBidi" w:hAnsiTheme="majorBidi" w:cstheme="majorBidi"/>
          <w:b/>
          <w:bCs/>
          <w:sz w:val="24"/>
          <w:szCs w:val="24"/>
        </w:rPr>
      </w:pPr>
      <w:r w:rsidRPr="00823856">
        <w:rPr>
          <w:rFonts w:asciiTheme="majorBidi" w:hAnsiTheme="majorBidi" w:cstheme="majorBidi"/>
          <w:b/>
          <w:bCs/>
          <w:sz w:val="24"/>
          <w:szCs w:val="24"/>
        </w:rPr>
        <w:lastRenderedPageBreak/>
        <w:t xml:space="preserve">Introduction </w:t>
      </w:r>
    </w:p>
    <w:p w14:paraId="4F150DA2" w14:textId="56D74B03" w:rsidR="00A40681" w:rsidRPr="00A40681" w:rsidRDefault="00A40681" w:rsidP="00A40681">
      <w:pPr>
        <w:pStyle w:val="NormalWeb"/>
        <w:spacing w:after="0" w:afterAutospacing="0" w:line="276" w:lineRule="auto"/>
        <w:ind w:firstLine="720"/>
        <w:jc w:val="both"/>
        <w:rPr>
          <w:rFonts w:asciiTheme="majorBidi" w:hAnsiTheme="majorBidi" w:cstheme="majorBidi"/>
          <w:sz w:val="22"/>
          <w:szCs w:val="22"/>
        </w:rPr>
      </w:pPr>
      <w:r w:rsidRPr="0030796E">
        <w:rPr>
          <w:sz w:val="22"/>
          <w:szCs w:val="22"/>
        </w:rPr>
        <w:t>Over the past few decades, new buildings have been constructed at a faster rate due to an increasing population. By 2030, the value of construction is expected to rise by 14.41 trillion, up from 7.3 trillion in 2021 (Industry Forecast 2022-2030). Around 40% of all global resources are used by the building industry, along with 33</w:t>
      </w:r>
      <w:r w:rsidRPr="00A40681">
        <w:rPr>
          <w:rFonts w:asciiTheme="majorBidi" w:hAnsiTheme="majorBidi" w:cstheme="majorBidi"/>
          <w:sz w:val="22"/>
          <w:szCs w:val="22"/>
        </w:rPr>
        <w:t xml:space="preserve">% of all emissions and 40% of all waste </w:t>
      </w:r>
      <w:r w:rsidRPr="00A40681">
        <w:rPr>
          <w:rFonts w:asciiTheme="majorBidi" w:hAnsiTheme="majorBidi" w:cstheme="majorBidi"/>
          <w:sz w:val="22"/>
          <w:szCs w:val="22"/>
          <w:rtl/>
        </w:rPr>
        <w:t xml:space="preserve"> </w:t>
      </w:r>
      <w:sdt>
        <w:sdtPr>
          <w:rPr>
            <w:rFonts w:asciiTheme="majorBidi" w:hAnsiTheme="majorBidi" w:cstheme="majorBidi"/>
            <w:color w:val="000000"/>
            <w:sz w:val="22"/>
            <w:szCs w:val="22"/>
          </w:rPr>
          <w:tag w:val="MENDELEY_CITATION_v3_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"/>
          <w:id w:val="-1029949105"/>
          <w:placeholder>
            <w:docPart w:val="DA2F77B243DB440B8EA0B5B7BC0ED204"/>
          </w:placeholder>
        </w:sdtPr>
        <w:sdtContent>
          <w:r w:rsidRPr="00A40681">
            <w:rPr>
              <w:rFonts w:asciiTheme="majorBidi" w:hAnsiTheme="majorBidi" w:cstheme="majorBidi"/>
              <w:color w:val="000000"/>
              <w:sz w:val="22"/>
              <w:szCs w:val="22"/>
            </w:rPr>
            <w:t>(United Nations Environmental Program (UNEP), 2011; Levermore, G. 2008)</w:t>
          </w:r>
        </w:sdtContent>
      </w:sdt>
      <w:r w:rsidRPr="00A40681">
        <w:rPr>
          <w:rFonts w:asciiTheme="majorBidi" w:hAnsiTheme="majorBidi" w:cstheme="majorBidi"/>
          <w:sz w:val="22"/>
          <w:szCs w:val="22"/>
        </w:rPr>
        <w:t>. Due to this, construction industry CO</w:t>
      </w:r>
      <w:r w:rsidRPr="00A40681">
        <w:rPr>
          <w:rFonts w:asciiTheme="majorBidi" w:hAnsiTheme="majorBidi" w:cstheme="majorBidi"/>
          <w:sz w:val="22"/>
          <w:szCs w:val="22"/>
          <w:vertAlign w:val="subscript"/>
        </w:rPr>
        <w:t>2</w:t>
      </w:r>
      <w:r w:rsidRPr="00A40681">
        <w:rPr>
          <w:rFonts w:asciiTheme="majorBidi" w:hAnsiTheme="majorBidi" w:cstheme="majorBidi"/>
          <w:sz w:val="22"/>
          <w:szCs w:val="22"/>
        </w:rPr>
        <w:t xml:space="preserve"> emissions account for almost 40% of annual emissions. Respect for nature, environmental protection, and responsible economic and social management are the principles of sustainable development. According to the above statistic, sustainability is considered a vital strategy and tool for controlling resource consumption in the construction </w:t>
      </w:r>
      <w:proofErr w:type="gramStart"/>
      <w:r w:rsidRPr="00A40681">
        <w:rPr>
          <w:rFonts w:asciiTheme="majorBidi" w:hAnsiTheme="majorBidi" w:cstheme="majorBidi"/>
          <w:sz w:val="22"/>
          <w:szCs w:val="22"/>
        </w:rPr>
        <w:t>industry..</w:t>
      </w:r>
      <w:proofErr w:type="gramEnd"/>
    </w:p>
    <w:p w14:paraId="0CD72E80" w14:textId="1C5FA7DA" w:rsidR="003B6710" w:rsidRPr="00A40681" w:rsidRDefault="00A40681" w:rsidP="00B17FFA">
      <w:pPr>
        <w:spacing w:before="240" w:line="276" w:lineRule="auto"/>
        <w:ind w:firstLine="720"/>
        <w:jc w:val="both"/>
        <w:rPr>
          <w:rFonts w:asciiTheme="majorBidi" w:hAnsiTheme="majorBidi" w:cstheme="majorBidi"/>
        </w:rPr>
      </w:pPr>
      <w:r w:rsidRPr="00A40681">
        <w:rPr>
          <w:rFonts w:asciiTheme="majorBidi" w:hAnsiTheme="majorBidi" w:cstheme="majorBidi"/>
        </w:rPr>
        <w:t xml:space="preserve">The appropriate term for sustainability is not limited to the environmental impact of products or materials. Still, it covers all three aspects: environment, cost and social well-being. The most appropriate choice must be balanced among these three criteria </w:t>
      </w:r>
      <w:r w:rsidRPr="00A40681">
        <w:rPr>
          <w:rFonts w:asciiTheme="majorBidi" w:hAnsiTheme="majorBidi" w:cstheme="majorBidi"/>
        </w:rPr>
        <w:fldChar w:fldCharType="begin" w:fldLock="1"/>
      </w:r>
      <w:r w:rsidRPr="00A40681">
        <w:rPr>
          <w:rFonts w:asciiTheme="majorBidi" w:hAnsiTheme="majorBidi" w:cstheme="majorBidi"/>
        </w:rPr>
        <w:instrText>ADDIN CSL_CITATION {"citationItems":[{"id":"ITEM-1","itemData":{"DOI":"10.1007/s11367-021-01938-6","ISBN":"0123456789","ISSN":"0948-3349","author":[{"dropping-particle":"","family":"Balasbaneh","given":"Ali Tighnavard","non-dropping-particle":"","parse-names":false,"suffix":""},{"dropping-particle":"","family":"Sher","given":"Willy","non-dropping-particle":"","parse-names":false,"suffix":""}],"container-title":"The International Journal of Life Cycle Assessment","id":"ITEM-1","issue":"0123456789","issued":{"date-parts":[["2021"]]},"publisher":"Springer Berlin Heidelberg","title":"Life cycle sustainability assessment analysis of different concrete construction techniques for residential building in Malaysia","type":"article-journal"},"uris":["http://www.mendeley.com/documents/?uuid=f345c937-5140-429b-a798-d2059c48e7cc"]},{"id":"ITEM-2","itemData":{"DOI":"10.3390/su2103309","ISSN":"20711050","abstract":"Sustainability is nowadays accepted by all stakeholders as a guiding principle for both public policy making and corporate strategies. However, the biggest challenge for most organizations remains in the real and substantial implementation of the sustainability concept. The core of the implementation challenge is the question, how sustainability performance can be measured, especially for products and processes. This paper explores the current status of Life Cycle Sustainability Assessment (LCSA) for products and processes. For the environmental dimension well established tools like Life Cycle Assessment are available. For the economic and social dimension, there is still need for consistent and robust indicators and methods. In addition to measuring the individual sustainability dimensions, another challenge is a comprehensive, yet understandable presentation of the results. The \"Life Cycle Sustainability Dashboard\" and the \"Life Cycle Sustainability Triangle\" are presented as examples for communication tools for both experts and non expert stakeholders. © 2010 by the authors; licensee MDPI, Basel, Switzerland.","author":[{"dropping-particle":"","family":"Finkbeiner","given":"Matthias","non-dropping-particle":"","parse-names":false,"suffix":""},{"dropping-particle":"","family":"Schau","given":"Erwin M.","non-dropping-particle":"","parse-names":false,"suffix":""},{"dropping-particle":"","family":"Lehmann","given":"Annekatrin","non-dropping-particle":"","parse-names":false,"suffix":""},{"dropping-particle":"","family":"Traverso","given":"Marzia","non-dropping-particle":"","parse-names":false,"suffix":""}],"container-title":"Sustainability","id":"ITEM-2","issue":"10","issued":{"date-parts":[["2010"]]},"page":"3309-3322","title":"Towards life cycle sustainability assessment","type":"article-journal","volume":"2"},"uris":["http://www.mendeley.com/documents/?uuid=614a177e-7ea8-4c15-81b2-ab007433ff60"]}],"mendeley":{"formattedCitation":"(Balasbaneh &amp; Sher, 2021c; Finkbeiner et al., 2010)","plainTextFormattedCitation":"(Balasbaneh &amp; Sher, 2021c; Finkbeiner et al., 2010)","previouslyFormattedCitation":"(Balasbaneh &amp; Sher, 2021c; Finkbeiner et al., 2010)"},"properties":{"noteIndex":0},"schema":"https://github.com/citation-style-language/schema/raw/master/csl-citation.json"}</w:instrText>
      </w:r>
      <w:r w:rsidRPr="00A40681">
        <w:rPr>
          <w:rFonts w:asciiTheme="majorBidi" w:hAnsiTheme="majorBidi" w:cstheme="majorBidi"/>
        </w:rPr>
        <w:fldChar w:fldCharType="separate"/>
      </w:r>
      <w:r w:rsidRPr="00A40681">
        <w:rPr>
          <w:rFonts w:asciiTheme="majorBidi" w:hAnsiTheme="majorBidi" w:cstheme="majorBidi"/>
          <w:noProof/>
        </w:rPr>
        <w:t>(Balasbaneh &amp; Sher, 2021c; Finkbeiner et al., 2010)</w:t>
      </w:r>
      <w:r w:rsidRPr="00A40681">
        <w:rPr>
          <w:rFonts w:asciiTheme="majorBidi" w:hAnsiTheme="majorBidi" w:cstheme="majorBidi"/>
        </w:rPr>
        <w:fldChar w:fldCharType="end"/>
      </w:r>
      <w:r w:rsidRPr="00A40681">
        <w:rPr>
          <w:rFonts w:asciiTheme="majorBidi" w:hAnsiTheme="majorBidi" w:cstheme="majorBidi"/>
        </w:rPr>
        <w:t xml:space="preserve">. </w:t>
      </w:r>
      <w:r w:rsidR="00945DF9">
        <w:rPr>
          <w:rFonts w:asciiTheme="majorBidi" w:hAnsiTheme="majorBidi" w:cstheme="majorBidi"/>
        </w:rPr>
        <w:t>L</w:t>
      </w:r>
      <w:r w:rsidRPr="00A40681">
        <w:rPr>
          <w:rFonts w:asciiTheme="majorBidi" w:hAnsiTheme="majorBidi" w:cstheme="majorBidi"/>
        </w:rPr>
        <w:t xml:space="preserve">ife cycle sustainability assessment (LCSA) is comprised of three individual dimensions, namely, social life cycle assessment (S-LCA), life cycle costing (LCC), and life cycle assessment (LCA) </w:t>
      </w:r>
      <w:r w:rsidRPr="00A40681">
        <w:rPr>
          <w:rFonts w:asciiTheme="majorBidi" w:hAnsiTheme="majorBidi" w:cstheme="majorBidi"/>
        </w:rPr>
        <w:fldChar w:fldCharType="begin" w:fldLock="1"/>
      </w:r>
      <w:r w:rsidRPr="00A40681">
        <w:rPr>
          <w:rFonts w:asciiTheme="majorBidi" w:hAnsiTheme="majorBidi" w:cstheme="majorBidi"/>
        </w:rPr>
        <w:instrText>ADDIN CSL_CITATION {"citationItems":[{"id":"ITEM-1","itemData":{"DOI":"10.1007/s11367-022-02098-x","ISBN":"1136702202","ISSN":"16147502","abstract":"Purpose: We have to transform our societies and economic systems towards social, ecological, and economic (holistic) sustainability. Bioeconomy (BE) can contribute to sustainable development by substituting fossil-based products with renewable ones; however, sustainability is not intrinsic to BE. Methods: Therefore, we developed a holistic and integrated life cycle sustainability assessment (HILCSA) method containing 91 indicators, implemented in openLCA, using the Ecoinvent and SoCa database, and addressing 15 out of 17 Sustainable Development Goals. We applied it for the first time to show its capabilities by assessing the holistic sustainability of laminated veneer lumber (LVL) relative to hot-rolled steel beams. Results, discussion: Our results indicate that renewable bio-based construction materials can have a better holistic sustainability than fossil-based products for nearly all indicators, by less stressing the environment, having a less negative impact on society and being economically more efficient. However, fossil-based components of LVL such as phenolic resin are main contributors of negative impacts and should be reduced and replaced. Renewable resources from agriculture and forestry have significant impacts on land use (change). Conclusions: HILCSA demonstrates to be able to provide comprehensive sustainability assessments as well as aggregated results. BE substitutes indeed can improve sustainability; however, sustainability assessments and HILCSA need to be further developed to allow conclusions to be drawn about absolute sustainability of BE.","author":[{"dropping-particle":"","family":"Zeug","given":"Walther","non-dropping-particle":"","parse-names":false,"suffix":""},{"dropping-particle":"","family":"Bezama","given":"Alberto","non-dropping-particle":"","parse-names":false,"suffix":""},{"dropping-particle":"","family":"Thrän","given":"Daniela","non-dropping-particle":"","parse-names":false,"suffix":""}],"container-title":"International Journal of Life Cycle Assessment","id":"ITEM-1","issue":"12","issued":{"date-parts":[["2022"]]},"page":"1352-1375","publisher":"Springer Berlin Heidelberg","title":"Application of holistic and integrated LCSA: Case study on laminated veneer lumber production in Central Germany","type":"article-journal","volume":"27"},"uris":["http://www.mendeley.com/documents/?uuid=36434a61-ab09-4937-bfff-b104b5c43e5c"]}],"mendeley":{"formattedCitation":"(Zeug et al., 2022)","plainTextFormattedCitation":"(Zeug et al., 2022)","previouslyFormattedCitation":"(Zeug et al., 2022)"},"properties":{"noteIndex":0},"schema":"https://github.com/citation-style-language/schema/raw/master/csl-citation.json"}</w:instrText>
      </w:r>
      <w:r w:rsidRPr="00A40681">
        <w:rPr>
          <w:rFonts w:asciiTheme="majorBidi" w:hAnsiTheme="majorBidi" w:cstheme="majorBidi"/>
        </w:rPr>
        <w:fldChar w:fldCharType="separate"/>
      </w:r>
      <w:r w:rsidRPr="00A40681">
        <w:rPr>
          <w:rFonts w:asciiTheme="majorBidi" w:hAnsiTheme="majorBidi" w:cstheme="majorBidi"/>
          <w:noProof/>
        </w:rPr>
        <w:t>(Zeug et al., 2022)</w:t>
      </w:r>
      <w:r w:rsidRPr="00A40681">
        <w:rPr>
          <w:rFonts w:asciiTheme="majorBidi" w:hAnsiTheme="majorBidi" w:cstheme="majorBidi"/>
        </w:rPr>
        <w:fldChar w:fldCharType="end"/>
      </w:r>
      <w:r w:rsidRPr="00A40681">
        <w:rPr>
          <w:rFonts w:asciiTheme="majorBidi" w:hAnsiTheme="majorBidi" w:cstheme="majorBidi"/>
        </w:rPr>
        <w:t xml:space="preserve">. </w:t>
      </w:r>
      <w:r w:rsidR="003B6710" w:rsidRPr="00A40681">
        <w:rPr>
          <w:rFonts w:asciiTheme="majorBidi" w:hAnsiTheme="majorBidi" w:cstheme="majorBidi"/>
        </w:rPr>
        <w:t>Baleta et al., (2019) assessed that environmental issue</w:t>
      </w:r>
      <w:r w:rsidR="000E46BF" w:rsidRPr="00A40681">
        <w:rPr>
          <w:rFonts w:asciiTheme="majorBidi" w:hAnsiTheme="majorBidi" w:cstheme="majorBidi"/>
        </w:rPr>
        <w:t>s</w:t>
      </w:r>
      <w:r w:rsidR="003B6710" w:rsidRPr="00A40681">
        <w:rPr>
          <w:rFonts w:asciiTheme="majorBidi" w:hAnsiTheme="majorBidi" w:cstheme="majorBidi"/>
        </w:rPr>
        <w:t xml:space="preserve"> alone </w:t>
      </w:r>
      <w:r w:rsidR="000E46BF" w:rsidRPr="00A40681">
        <w:rPr>
          <w:rFonts w:asciiTheme="majorBidi" w:hAnsiTheme="majorBidi" w:cstheme="majorBidi"/>
        </w:rPr>
        <w:t>are</w:t>
      </w:r>
      <w:r w:rsidR="003B6710" w:rsidRPr="00A40681">
        <w:rPr>
          <w:rFonts w:asciiTheme="majorBidi" w:hAnsiTheme="majorBidi" w:cstheme="majorBidi"/>
        </w:rPr>
        <w:t xml:space="preserve"> not enough to encourage the construction sector to use specific materials or products.</w:t>
      </w:r>
      <w:r w:rsidR="000E46BF" w:rsidRPr="00A40681">
        <w:rPr>
          <w:rFonts w:asciiTheme="majorBidi" w:hAnsiTheme="majorBidi" w:cstheme="majorBidi"/>
        </w:rPr>
        <w:t xml:space="preserve"> O</w:t>
      </w:r>
      <w:r w:rsidR="003B6710" w:rsidRPr="00A40681">
        <w:rPr>
          <w:rFonts w:asciiTheme="majorBidi" w:hAnsiTheme="majorBidi" w:cstheme="majorBidi"/>
        </w:rPr>
        <w:t xml:space="preserve">ther sustainability criteria need to be considered and analyzed to </w:t>
      </w:r>
      <w:r w:rsidR="000E46BF" w:rsidRPr="00A40681">
        <w:rPr>
          <w:rFonts w:asciiTheme="majorBidi" w:hAnsiTheme="majorBidi" w:cstheme="majorBidi"/>
        </w:rPr>
        <w:t xml:space="preserve">justify the use of a </w:t>
      </w:r>
      <w:r w:rsidR="003B6710" w:rsidRPr="00A40681">
        <w:rPr>
          <w:rFonts w:asciiTheme="majorBidi" w:hAnsiTheme="majorBidi" w:cstheme="majorBidi"/>
        </w:rPr>
        <w:t xml:space="preserve">specific product </w:t>
      </w:r>
      <w:r w:rsidR="000E46BF" w:rsidRPr="00A40681">
        <w:rPr>
          <w:rFonts w:asciiTheme="majorBidi" w:hAnsiTheme="majorBidi" w:cstheme="majorBidi"/>
        </w:rPr>
        <w:t xml:space="preserve">for </w:t>
      </w:r>
      <w:r w:rsidR="003B6710" w:rsidRPr="00A40681">
        <w:rPr>
          <w:rFonts w:asciiTheme="majorBidi" w:hAnsiTheme="majorBidi" w:cstheme="majorBidi"/>
        </w:rPr>
        <w:t>ho</w:t>
      </w:r>
      <w:r w:rsidR="000E46BF" w:rsidRPr="00A40681">
        <w:rPr>
          <w:rFonts w:asciiTheme="majorBidi" w:hAnsiTheme="majorBidi" w:cstheme="majorBidi"/>
        </w:rPr>
        <w:t>me</w:t>
      </w:r>
      <w:r w:rsidR="003B6710" w:rsidRPr="00A40681">
        <w:rPr>
          <w:rFonts w:asciiTheme="majorBidi" w:hAnsiTheme="majorBidi" w:cstheme="majorBidi"/>
        </w:rPr>
        <w:t xml:space="preserve"> contractors or consumers</w:t>
      </w:r>
      <w:r w:rsidR="00BF5CDD" w:rsidRPr="00A40681">
        <w:rPr>
          <w:rFonts w:asciiTheme="majorBidi" w:hAnsiTheme="majorBidi" w:cstheme="majorBidi"/>
        </w:rPr>
        <w:t xml:space="preserve"> </w:t>
      </w:r>
      <w:r w:rsidR="00BF5CDD" w:rsidRPr="00A40681">
        <w:rPr>
          <w:rFonts w:asciiTheme="majorBidi" w:hAnsiTheme="majorBidi" w:cstheme="majorBidi"/>
        </w:rPr>
        <w:fldChar w:fldCharType="begin" w:fldLock="1"/>
      </w:r>
      <w:r w:rsidR="00BF5CDD" w:rsidRPr="00A40681">
        <w:rPr>
          <w:rFonts w:asciiTheme="majorBidi" w:hAnsiTheme="majorBidi" w:cstheme="majorBidi"/>
        </w:rPr>
        <w:instrText>ADDIN CSL_CITATION {"citationItems":[{"id":"ITEM-1","itemData":{"DOI":"10.1007/s10668-022-02707-7","ISBN":"0123456789","ISSN":"15732975","abstract":"The construction industry is one of the largest consumers of energy and materials, which leads to it being one of the highest sources of environmental emissions. Quantifying the impact of building materials is critical if strategies for mitigating environmental deterioration are to be developed. The lifecycle assessment (LCA) consequential methodology has been applied to evaluate different methods of constructing residential double-story buildings. The ReCiPe methodology has been used for life cycle inventory. Three different forms of mass timber construction have been considered including cross-laminated timber (CLT), nail-laminated timber (NLT), and dowel-laminated timber (DLT). These have been assessed as load-bearing panels or wood frame construction. We evaluated the global warming potential (GWP), embodied energy, and cost to identify the building type with the lowest impacts. The results revealed that total CO2 emissions for mass timbers for the construction stage are 130 CO2/M2, 118 CO2/M2, and 132 CO2/M2 of the panel for CLT, DLT, and NLT, respectively. The embodied energy emission is 1921 MJ/M2, 1902 MJ/M2, and 2130 MJ/M2 related to the CLT, DLT, and NLT, respectively, for this stage. The results also indicated that the carbon emission of DLT is lowest compared to the other two alternatives in the manufacturing and construction stages. However, when the entire life cycle is considered, NLT is the most favorable material. However, based on the life cycle cost (LCC), DLT has a lower cost. Finally, multiple-criteria decision-making (MCDM) was used to normalize the results and compare the alternatives. This showed DLT to be the best alternative, followed by CLT and NLT. In conclusion, the selection of building materials needs to prioritize regulations to reduce environmental and economic impacts.","author":[{"dropping-particle":"","family":"Balasbaneh","given":"Ali Tighnavard","non-dropping-particle":"","parse-names":false,"suffix":""},{"dropping-particle":"","family":"Sher","given":"Willy","non-dropping-particle":"","parse-names":false,"suffix":""}],"container-title":"Environment, Development and Sustainability","id":"ITEM-1","issue":"0123456789","issued":{"date-parts":[["2022"]]},"publisher":"Springer Netherlands","title":"Economic and environmental life cycle assessment of alternative mass timber walls to evaluate circular economy in building: MCDM method","type":"article-journal"},"uris":["http://www.mendeley.com/documents/?uuid=07e596d9-cc64-4ada-ba1d-8272c2b82d3f"]}],"mendeley":{"formattedCitation":"(Balasbaneh &amp; Sher, 2022)","plainTextFormattedCitation":"(Balasbaneh &amp; Sher, 2022)","previouslyFormattedCitation":"(Balasbaneh &amp; Sher, 2022)"},"properties":{"noteIndex":0},"schema":"https://github.com/citation-style-language/schema/raw/master/csl-citation.json"}</w:instrText>
      </w:r>
      <w:r w:rsidR="00BF5CDD" w:rsidRPr="00A40681">
        <w:rPr>
          <w:rFonts w:asciiTheme="majorBidi" w:hAnsiTheme="majorBidi" w:cstheme="majorBidi"/>
        </w:rPr>
        <w:fldChar w:fldCharType="separate"/>
      </w:r>
      <w:r w:rsidR="00BF5CDD" w:rsidRPr="00A40681">
        <w:rPr>
          <w:rFonts w:asciiTheme="majorBidi" w:hAnsiTheme="majorBidi" w:cstheme="majorBidi"/>
        </w:rPr>
        <w:t>(Balasbaneh &amp; Sher, 2022)</w:t>
      </w:r>
      <w:r w:rsidR="00BF5CDD" w:rsidRPr="00A40681">
        <w:rPr>
          <w:rFonts w:asciiTheme="majorBidi" w:hAnsiTheme="majorBidi" w:cstheme="majorBidi"/>
        </w:rPr>
        <w:fldChar w:fldCharType="end"/>
      </w:r>
      <w:r w:rsidR="003B6710" w:rsidRPr="00A40681">
        <w:rPr>
          <w:rFonts w:asciiTheme="majorBidi" w:hAnsiTheme="majorBidi" w:cstheme="majorBidi"/>
        </w:rPr>
        <w:t xml:space="preserve">.  Modular PPVC (Balasbaneh &amp; Sher, 2021a; Lawson et al., 2014) is a new technique for construction in many countries around the world, and this trend has </w:t>
      </w:r>
      <w:r w:rsidR="00494A48" w:rsidRPr="00A40681">
        <w:rPr>
          <w:rFonts w:asciiTheme="majorBidi" w:hAnsiTheme="majorBidi" w:cstheme="majorBidi"/>
        </w:rPr>
        <w:t>seen a recent</w:t>
      </w:r>
      <w:r w:rsidR="003B6710" w:rsidRPr="00A40681">
        <w:rPr>
          <w:rFonts w:asciiTheme="majorBidi" w:hAnsiTheme="majorBidi" w:cstheme="majorBidi"/>
        </w:rPr>
        <w:t xml:space="preserve"> increas</w:t>
      </w:r>
      <w:r w:rsidR="00494A48" w:rsidRPr="00A40681">
        <w:rPr>
          <w:rFonts w:asciiTheme="majorBidi" w:hAnsiTheme="majorBidi" w:cstheme="majorBidi"/>
        </w:rPr>
        <w:t>e of interest</w:t>
      </w:r>
      <w:r w:rsidR="003B6710" w:rsidRPr="00A40681">
        <w:rPr>
          <w:rFonts w:asciiTheme="majorBidi" w:hAnsiTheme="majorBidi" w:cstheme="majorBidi"/>
        </w:rPr>
        <w:t>. However, only a few studies have focused on modular ho</w:t>
      </w:r>
      <w:r w:rsidR="00494A48" w:rsidRPr="00A40681">
        <w:rPr>
          <w:rFonts w:asciiTheme="majorBidi" w:hAnsiTheme="majorBidi" w:cstheme="majorBidi"/>
        </w:rPr>
        <w:t>me construction</w:t>
      </w:r>
      <w:r w:rsidR="003B6710" w:rsidRPr="00A40681">
        <w:rPr>
          <w:rFonts w:asciiTheme="majorBidi" w:hAnsiTheme="majorBidi" w:cstheme="majorBidi"/>
        </w:rPr>
        <w:t xml:space="preserve"> and </w:t>
      </w:r>
      <w:r w:rsidR="00494A48" w:rsidRPr="00A40681">
        <w:rPr>
          <w:rFonts w:asciiTheme="majorBidi" w:hAnsiTheme="majorBidi" w:cstheme="majorBidi"/>
        </w:rPr>
        <w:t xml:space="preserve">the ones that do exist have </w:t>
      </w:r>
      <w:r w:rsidR="003B6710" w:rsidRPr="00A40681">
        <w:rPr>
          <w:rFonts w:asciiTheme="majorBidi" w:hAnsiTheme="majorBidi" w:cstheme="majorBidi"/>
        </w:rPr>
        <w:t xml:space="preserve">contradictory findings (Tavares et al., 2019b). </w:t>
      </w:r>
    </w:p>
    <w:p w14:paraId="235CC78A" w14:textId="6672DECF" w:rsidR="003B6710" w:rsidRPr="00A40681" w:rsidRDefault="00E004BE" w:rsidP="00B17FFA">
      <w:pPr>
        <w:spacing w:line="276" w:lineRule="auto"/>
        <w:ind w:firstLine="720"/>
        <w:jc w:val="both"/>
        <w:rPr>
          <w:rFonts w:asciiTheme="majorBidi" w:hAnsiTheme="majorBidi" w:cstheme="majorBidi"/>
        </w:rPr>
      </w:pPr>
      <w:r w:rsidRPr="00A40681">
        <w:rPr>
          <w:rFonts w:asciiTheme="majorBidi" w:hAnsiTheme="majorBidi" w:cstheme="majorBidi"/>
        </w:rPr>
        <w:t>In view of the points above</w:t>
      </w:r>
      <w:r w:rsidR="003B6710" w:rsidRPr="00A40681">
        <w:rPr>
          <w:rFonts w:asciiTheme="majorBidi" w:hAnsiTheme="majorBidi" w:cstheme="majorBidi"/>
        </w:rPr>
        <w:t xml:space="preserve">, </w:t>
      </w:r>
      <w:r w:rsidRPr="00A40681">
        <w:rPr>
          <w:rFonts w:asciiTheme="majorBidi" w:hAnsiTheme="majorBidi" w:cstheme="majorBidi"/>
        </w:rPr>
        <w:t xml:space="preserve">it is clear that significant attention should be made towards improving </w:t>
      </w:r>
      <w:r w:rsidR="003B6710" w:rsidRPr="00A40681">
        <w:rPr>
          <w:rFonts w:asciiTheme="majorBidi" w:hAnsiTheme="majorBidi" w:cstheme="majorBidi"/>
        </w:rPr>
        <w:t>the construction industry</w:t>
      </w:r>
      <w:r w:rsidRPr="00A40681">
        <w:rPr>
          <w:rFonts w:asciiTheme="majorBidi" w:hAnsiTheme="majorBidi" w:cstheme="majorBidi"/>
        </w:rPr>
        <w:t xml:space="preserve"> in terms of sustainability and reducing its negative impacts towards the environment, economy, and society</w:t>
      </w:r>
      <w:r w:rsidR="00BF5CDD" w:rsidRPr="00A40681">
        <w:rPr>
          <w:rFonts w:asciiTheme="majorBidi" w:hAnsiTheme="majorBidi" w:cstheme="majorBidi"/>
        </w:rPr>
        <w:t xml:space="preserve"> </w:t>
      </w:r>
      <w:r w:rsidR="00BF5CDD" w:rsidRPr="00A40681">
        <w:rPr>
          <w:rFonts w:asciiTheme="majorBidi" w:hAnsiTheme="majorBidi" w:cstheme="majorBidi"/>
        </w:rPr>
        <w:fldChar w:fldCharType="begin" w:fldLock="1"/>
      </w:r>
      <w:r w:rsidR="00BF5CDD" w:rsidRPr="00A40681">
        <w:rPr>
          <w:rFonts w:asciiTheme="majorBidi" w:hAnsiTheme="majorBidi" w:cstheme="majorBidi"/>
        </w:rPr>
        <w:instrText>ADDIN CSL_CITATION {"citationItems":[{"id":"ITEM-1","itemData":{"DOI":"10.1016/j.jobe.2022.104005","ISSN":"23527102","abstract":"The increasing request for energy-saving and saving materials and growing concern related to the impacts of materials used on environmental and economical has driven the construction industry toward redesigning critical structural systems and elements. This research proposes solutions for mitigating ecological effects and sustainable built environments. For example, the floor slab is considered the top environmental impact emission after walls compared to other non-load-bearing elements among different building components. Therefore, this research expands the new slab comprising Glued laminated timber (GLT) with concrete as a novel lightweight flooring system. The related methodology includes life cycle assessment (LCA) and life cycle cost (LCC) analysis. Thus, the environmental and economic impacts of three common slab systems were compared to the proposed slab. The evaluation results revealed that GLT-concrete has lower emissions in all environmental categories, namely: Global warming potential (GWP), Eutrophication Potential (EP), human toxicity potential (HTP), fossil depletion potential (FDP), terrestrial Ecotoxicity (TE), and Acidification Potential (AP). Likewise, Embodied energy value showed that GLT-concrete has a lower value by 26%, 9%, and 24% than Lightweight steel slab, Precast reinforced slab, and Cofradal slab. Finally, the result of LCC shows a new GLT-concrete slab despite having a higher construction cost, but by considering the end of life scenario as reuse, it will have a lower total cost. Thus, current research can expand the assessment of environmentally friendly floor structures and step toward sustainable construction.","author":[{"dropping-particle":"","family":"Tighnavard Balasbaneh","given":"Ali","non-dropping-particle":"","parse-names":false,"suffix":""},{"dropping-particle":"","family":"Sher","given":"Willy","non-dropping-particle":"","parse-names":false,"suffix":""},{"dropping-particle":"","family":"Yeoh","given":"David","non-dropping-particle":"","parse-names":false,"suffix":""},{"dropping-particle":"","family":"Koushfar","given":"Kiarash","non-dropping-particle":"","parse-names":false,"suffix":""}],"container-title":"Journal of Building Engineering","id":"ITEM-1","issue":"January","issued":{"date-parts":[["2022"]]},"title":"LCA &amp; LCC analysis of hybrid glued laminated Timber–Concrete composite floor slab system","type":"article-journal","volume":"49"},"uris":["http://www.mendeley.com/documents/?uuid=863af33c-6912-48cd-a1cc-885b0d818367"]}],"mendeley":{"formattedCitation":"(Tighnavard Balasbaneh et al., 2022)","plainTextFormattedCitation":"(Tighnavard Balasbaneh et al., 2022)"},"properties":{"noteIndex":0},"schema":"https://github.com/citation-style-language/schema/raw/master/csl-citation.json"}</w:instrText>
      </w:r>
      <w:r w:rsidR="00BF5CDD" w:rsidRPr="00A40681">
        <w:rPr>
          <w:rFonts w:asciiTheme="majorBidi" w:hAnsiTheme="majorBidi" w:cstheme="majorBidi"/>
        </w:rPr>
        <w:fldChar w:fldCharType="separate"/>
      </w:r>
      <w:r w:rsidR="00BF5CDD" w:rsidRPr="00A40681">
        <w:rPr>
          <w:rFonts w:asciiTheme="majorBidi" w:hAnsiTheme="majorBidi" w:cstheme="majorBidi"/>
          <w:noProof/>
        </w:rPr>
        <w:t>(Tighnavard Balasbaneh et al., 2022)</w:t>
      </w:r>
      <w:r w:rsidR="00BF5CDD" w:rsidRPr="00A40681">
        <w:rPr>
          <w:rFonts w:asciiTheme="majorBidi" w:hAnsiTheme="majorBidi" w:cstheme="majorBidi"/>
        </w:rPr>
        <w:fldChar w:fldCharType="end"/>
      </w:r>
      <w:r w:rsidRPr="00A40681">
        <w:rPr>
          <w:rFonts w:asciiTheme="majorBidi" w:hAnsiTheme="majorBidi" w:cstheme="majorBidi"/>
        </w:rPr>
        <w:t>.</w:t>
      </w:r>
      <w:r w:rsidR="003B6710" w:rsidRPr="00A40681">
        <w:rPr>
          <w:rFonts w:asciiTheme="majorBidi" w:hAnsiTheme="majorBidi" w:cstheme="majorBidi"/>
        </w:rPr>
        <w:t xml:space="preserve"> </w:t>
      </w:r>
      <w:r w:rsidRPr="00A40681">
        <w:rPr>
          <w:rFonts w:asciiTheme="majorBidi" w:hAnsiTheme="majorBidi" w:cstheme="majorBidi"/>
        </w:rPr>
        <w:t>C</w:t>
      </w:r>
      <w:r w:rsidR="003B6710" w:rsidRPr="00A40681">
        <w:rPr>
          <w:rFonts w:asciiTheme="majorBidi" w:hAnsiTheme="majorBidi" w:cstheme="majorBidi"/>
        </w:rPr>
        <w:t xml:space="preserve">onstruction techniques </w:t>
      </w:r>
      <w:r w:rsidRPr="00A40681">
        <w:rPr>
          <w:rFonts w:asciiTheme="majorBidi" w:hAnsiTheme="majorBidi" w:cstheme="majorBidi"/>
        </w:rPr>
        <w:t>can be grouped into two major categories:</w:t>
      </w:r>
      <w:r w:rsidR="003B6710" w:rsidRPr="00A40681">
        <w:rPr>
          <w:rFonts w:asciiTheme="majorBidi" w:hAnsiTheme="majorBidi" w:cstheme="majorBidi"/>
        </w:rPr>
        <w:t xml:space="preserve"> modular and onsite. Onsite construction is a conventional method in which all raw materials are sent to </w:t>
      </w:r>
      <w:r w:rsidRPr="00A40681">
        <w:rPr>
          <w:rFonts w:asciiTheme="majorBidi" w:hAnsiTheme="majorBidi" w:cstheme="majorBidi"/>
        </w:rPr>
        <w:t xml:space="preserve">a </w:t>
      </w:r>
      <w:r w:rsidR="003B6710" w:rsidRPr="00A40681">
        <w:rPr>
          <w:rFonts w:asciiTheme="majorBidi" w:hAnsiTheme="majorBidi" w:cstheme="majorBidi"/>
        </w:rPr>
        <w:t xml:space="preserve">site for building construction. </w:t>
      </w:r>
      <w:r w:rsidRPr="00A40681">
        <w:rPr>
          <w:rFonts w:asciiTheme="majorBidi" w:hAnsiTheme="majorBidi" w:cstheme="majorBidi"/>
        </w:rPr>
        <w:t>Conversely, o</w:t>
      </w:r>
      <w:r w:rsidR="003B6710" w:rsidRPr="00A40681">
        <w:rPr>
          <w:rFonts w:asciiTheme="majorBidi" w:hAnsiTheme="majorBidi" w:cstheme="majorBidi"/>
        </w:rPr>
        <w:t xml:space="preserve">ff-site construction refers to manufacturing building elements that are then transported to </w:t>
      </w:r>
      <w:r w:rsidRPr="00A40681">
        <w:rPr>
          <w:rFonts w:asciiTheme="majorBidi" w:hAnsiTheme="majorBidi" w:cstheme="majorBidi"/>
        </w:rPr>
        <w:t xml:space="preserve">a </w:t>
      </w:r>
      <w:r w:rsidR="003B6710" w:rsidRPr="00A40681">
        <w:rPr>
          <w:rFonts w:asciiTheme="majorBidi" w:hAnsiTheme="majorBidi" w:cstheme="majorBidi"/>
        </w:rPr>
        <w:t>site for</w:t>
      </w:r>
      <w:r w:rsidRPr="00A40681">
        <w:rPr>
          <w:rFonts w:asciiTheme="majorBidi" w:hAnsiTheme="majorBidi" w:cstheme="majorBidi"/>
        </w:rPr>
        <w:t xml:space="preserve"> final</w:t>
      </w:r>
      <w:r w:rsidR="003B6710" w:rsidRPr="00A40681">
        <w:rPr>
          <w:rFonts w:asciiTheme="majorBidi" w:hAnsiTheme="majorBidi" w:cstheme="majorBidi"/>
        </w:rPr>
        <w:t xml:space="preserve"> installation. The scope of </w:t>
      </w:r>
      <w:r w:rsidRPr="00A40681">
        <w:rPr>
          <w:rFonts w:asciiTheme="majorBidi" w:hAnsiTheme="majorBidi" w:cstheme="majorBidi"/>
        </w:rPr>
        <w:t xml:space="preserve">this </w:t>
      </w:r>
      <w:r w:rsidR="003B6710" w:rsidRPr="00A40681">
        <w:rPr>
          <w:rFonts w:asciiTheme="majorBidi" w:hAnsiTheme="majorBidi" w:cstheme="majorBidi"/>
        </w:rPr>
        <w:t>research assessed the modular construction recognized as off-site building manufacturing</w:t>
      </w:r>
      <w:r w:rsidR="00A54783" w:rsidRPr="00A40681">
        <w:rPr>
          <w:rFonts w:asciiTheme="majorBidi" w:hAnsiTheme="majorBidi" w:cstheme="majorBidi"/>
        </w:rPr>
        <w:t xml:space="preserve"> </w:t>
      </w:r>
      <w:r w:rsidR="00A54783" w:rsidRPr="00A40681">
        <w:rPr>
          <w:rFonts w:asciiTheme="majorBidi" w:hAnsiTheme="majorBidi" w:cstheme="majorBidi"/>
        </w:rPr>
        <w:fldChar w:fldCharType="begin" w:fldLock="1"/>
      </w:r>
      <w:r w:rsidR="00F16B57" w:rsidRPr="00A40681">
        <w:rPr>
          <w:rFonts w:asciiTheme="majorBidi" w:hAnsiTheme="majorBidi" w:cstheme="majorBidi"/>
        </w:rPr>
        <w:instrText>ADDIN CSL_CITATION {"citationItems":[{"id":"ITEM-1","itemData":{"DOI":"10.1016/j.jobe.2019.101087","ISSN":"2352-7102","author":[{"dropping-particle":"","family":"Srisangeerthanan","given":"Sriskanthan","non-dropping-particle":"","parse-names":false,"suffix":""},{"dropping-particle":"","family":"Hashemi","given":"M Javad","non-dropping-particle":"","parse-names":false,"suffix":""},{"dropping-particle":"","family":"Rajeev","given":"Pathmanathan","non-dropping-particle":"","parse-names":false,"suffix":""},{"dropping-particle":"","family":"Gad","given":"Emad","non-dropping-particle":"","parse-names":false,"suffix":""},{"dropping-particle":"","family":"Fernando","given":"Saman","non-dropping-particle":"","parse-names":false,"suffix":""}],"container-title":"Journal of Building Engineering","id":"ITEM-1","issue":"December 2018","issued":{"date-parts":[["2020"]]},"page":"101087","publisher":"Elsevier Ltd","title":"Review of performance requirements for inter-module connections in multi-story modular buildings","type":"article-journal","volume":"28"},"uris":["http://www.mendeley.com/documents/?uuid=6d32f9f3-7f34-4f7a-98ef-d9d8a33e6542"]}],"mendeley":{"formattedCitation":"(Srisangeerthanan et al., 2020)","plainTextFormattedCitation":"(Srisangeerthanan et al., 2020)","previouslyFormattedCitation":"(Srisangeerthanan et al., 2020)"},"properties":{"noteIndex":0},"schema":"https://github.com/citation-style-language/schema/raw/master/csl-citation.json"}</w:instrText>
      </w:r>
      <w:r w:rsidR="00A54783" w:rsidRPr="00A40681">
        <w:rPr>
          <w:rFonts w:asciiTheme="majorBidi" w:hAnsiTheme="majorBidi" w:cstheme="majorBidi"/>
        </w:rPr>
        <w:fldChar w:fldCharType="separate"/>
      </w:r>
      <w:r w:rsidR="00A54783" w:rsidRPr="00A40681">
        <w:rPr>
          <w:rFonts w:asciiTheme="majorBidi" w:hAnsiTheme="majorBidi" w:cstheme="majorBidi"/>
          <w:noProof/>
        </w:rPr>
        <w:t>(Srisangeerthanan et al., 2020)</w:t>
      </w:r>
      <w:r w:rsidR="00A54783" w:rsidRPr="00A40681">
        <w:rPr>
          <w:rFonts w:asciiTheme="majorBidi" w:hAnsiTheme="majorBidi" w:cstheme="majorBidi"/>
        </w:rPr>
        <w:fldChar w:fldCharType="end"/>
      </w:r>
      <w:r w:rsidR="00A54783" w:rsidRPr="00A40681">
        <w:rPr>
          <w:rFonts w:asciiTheme="majorBidi" w:hAnsiTheme="majorBidi" w:cstheme="majorBidi"/>
        </w:rPr>
        <w:t xml:space="preserve">. </w:t>
      </w:r>
      <w:r w:rsidR="003B6710" w:rsidRPr="00A40681">
        <w:rPr>
          <w:rFonts w:asciiTheme="majorBidi" w:hAnsiTheme="majorBidi" w:cstheme="majorBidi"/>
        </w:rPr>
        <w:t xml:space="preserve">A limited number of studies have addressed and compared different modular prefabricated buildings. For example, </w:t>
      </w:r>
      <w:r w:rsidRPr="00A40681">
        <w:rPr>
          <w:rFonts w:asciiTheme="majorBidi" w:hAnsiTheme="majorBidi" w:cstheme="majorBidi"/>
        </w:rPr>
        <w:t xml:space="preserve">a comparison by </w:t>
      </w:r>
      <w:r w:rsidR="003B6710" w:rsidRPr="00A40681">
        <w:rPr>
          <w:rFonts w:asciiTheme="majorBidi" w:hAnsiTheme="majorBidi" w:cstheme="majorBidi"/>
        </w:rPr>
        <w:t xml:space="preserve">Atmaca &amp; Atmaca (2016) </w:t>
      </w:r>
      <w:r w:rsidRPr="00A40681">
        <w:rPr>
          <w:rFonts w:asciiTheme="majorBidi" w:hAnsiTheme="majorBidi" w:cstheme="majorBidi"/>
        </w:rPr>
        <w:t>between</w:t>
      </w:r>
      <w:r w:rsidR="003B6710" w:rsidRPr="00A40681">
        <w:rPr>
          <w:rFonts w:asciiTheme="majorBidi" w:hAnsiTheme="majorBidi" w:cstheme="majorBidi"/>
        </w:rPr>
        <w:t xml:space="preserve"> prefabricated and container houses constructed with steel showed that prefabricated</w:t>
      </w:r>
      <w:r w:rsidRPr="00A40681">
        <w:rPr>
          <w:rFonts w:asciiTheme="majorBidi" w:hAnsiTheme="majorBidi" w:cstheme="majorBidi"/>
        </w:rPr>
        <w:t xml:space="preserve"> houses</w:t>
      </w:r>
      <w:r w:rsidR="003B6710" w:rsidRPr="00A40681">
        <w:rPr>
          <w:rFonts w:asciiTheme="majorBidi" w:hAnsiTheme="majorBidi" w:cstheme="majorBidi"/>
        </w:rPr>
        <w:t xml:space="preserve"> ha</w:t>
      </w:r>
      <w:r w:rsidRPr="00A40681">
        <w:rPr>
          <w:rFonts w:asciiTheme="majorBidi" w:hAnsiTheme="majorBidi" w:cstheme="majorBidi"/>
        </w:rPr>
        <w:t>ve</w:t>
      </w:r>
      <w:r w:rsidR="003B6710" w:rsidRPr="00A40681">
        <w:rPr>
          <w:rFonts w:asciiTheme="majorBidi" w:hAnsiTheme="majorBidi" w:cstheme="majorBidi"/>
        </w:rPr>
        <w:t xml:space="preserve"> 25% l</w:t>
      </w:r>
      <w:r w:rsidR="00C96CA4" w:rsidRPr="00A40681">
        <w:rPr>
          <w:rFonts w:asciiTheme="majorBidi" w:hAnsiTheme="majorBidi" w:cstheme="majorBidi"/>
        </w:rPr>
        <w:t>ower</w:t>
      </w:r>
      <w:r w:rsidR="003B6710" w:rsidRPr="00A40681">
        <w:rPr>
          <w:rFonts w:asciiTheme="majorBidi" w:hAnsiTheme="majorBidi" w:cstheme="majorBidi"/>
        </w:rPr>
        <w:t xml:space="preserve"> environmental impact and 30% lower cost.</w:t>
      </w:r>
    </w:p>
    <w:p w14:paraId="3D5F5288" w14:textId="2A6C5563" w:rsidR="005448AF" w:rsidRPr="00823856" w:rsidRDefault="00C96CA4" w:rsidP="00B17FFA">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Reviewing </w:t>
      </w:r>
      <w:r w:rsidR="00EF1564" w:rsidRPr="00823856">
        <w:rPr>
          <w:rFonts w:asciiTheme="majorBidi" w:hAnsiTheme="majorBidi" w:cstheme="majorBidi"/>
          <w:sz w:val="24"/>
          <w:szCs w:val="24"/>
        </w:rPr>
        <w:t xml:space="preserve">previous </w:t>
      </w:r>
      <w:r w:rsidRPr="00823856">
        <w:rPr>
          <w:rFonts w:asciiTheme="majorBidi" w:hAnsiTheme="majorBidi" w:cstheme="majorBidi"/>
          <w:sz w:val="24"/>
          <w:szCs w:val="24"/>
        </w:rPr>
        <w:t xml:space="preserve">research on </w:t>
      </w:r>
      <w:r w:rsidR="00EF1564" w:rsidRPr="00823856">
        <w:rPr>
          <w:rFonts w:asciiTheme="majorBidi" w:hAnsiTheme="majorBidi" w:cstheme="majorBidi"/>
          <w:sz w:val="24"/>
          <w:szCs w:val="24"/>
        </w:rPr>
        <w:t xml:space="preserve">prefabricated </w:t>
      </w:r>
      <w:r w:rsidRPr="00823856">
        <w:rPr>
          <w:rFonts w:asciiTheme="majorBidi" w:hAnsiTheme="majorBidi" w:cstheme="majorBidi"/>
          <w:sz w:val="24"/>
          <w:szCs w:val="24"/>
        </w:rPr>
        <w:t>construction,</w:t>
      </w:r>
      <w:r w:rsidR="00EF1564" w:rsidRPr="00823856">
        <w:rPr>
          <w:rFonts w:asciiTheme="majorBidi" w:hAnsiTheme="majorBidi" w:cstheme="majorBidi"/>
          <w:sz w:val="24"/>
          <w:szCs w:val="24"/>
        </w:rPr>
        <w:t xml:space="preserve"> </w:t>
      </w:r>
      <w:r w:rsidRPr="00823856">
        <w:rPr>
          <w:rFonts w:asciiTheme="majorBidi" w:hAnsiTheme="majorBidi" w:cstheme="majorBidi"/>
          <w:sz w:val="24"/>
          <w:szCs w:val="24"/>
        </w:rPr>
        <w:t xml:space="preserve">some indicated that </w:t>
      </w:r>
      <w:r w:rsidR="00EF1564" w:rsidRPr="00823856">
        <w:rPr>
          <w:rFonts w:asciiTheme="majorBidi" w:hAnsiTheme="majorBidi" w:cstheme="majorBidi"/>
          <w:sz w:val="24"/>
          <w:szCs w:val="24"/>
        </w:rPr>
        <w:t xml:space="preserve">steel </w:t>
      </w:r>
      <w:r w:rsidRPr="00823856">
        <w:rPr>
          <w:rFonts w:asciiTheme="majorBidi" w:hAnsiTheme="majorBidi" w:cstheme="majorBidi"/>
          <w:sz w:val="24"/>
          <w:szCs w:val="24"/>
        </w:rPr>
        <w:t>has</w:t>
      </w:r>
      <w:r w:rsidR="00EF1564" w:rsidRPr="00823856">
        <w:rPr>
          <w:rFonts w:asciiTheme="majorBidi" w:hAnsiTheme="majorBidi" w:cstheme="majorBidi"/>
          <w:sz w:val="24"/>
          <w:szCs w:val="24"/>
        </w:rPr>
        <w:t xml:space="preserve"> the highest environmental impact (Bonamente et al., 2014), while others introduced concrete as having the highest environmental impact (Tavares et al., 2019). Pons et al. (2011) believed that prefabricated</w:t>
      </w:r>
      <w:r w:rsidR="00EB0BC4" w:rsidRPr="00823856">
        <w:rPr>
          <w:rFonts w:asciiTheme="majorBidi" w:hAnsiTheme="majorBidi" w:cstheme="majorBidi"/>
          <w:sz w:val="24"/>
          <w:szCs w:val="24"/>
        </w:rPr>
        <w:t xml:space="preserve"> concrete</w:t>
      </w:r>
      <w:r w:rsidR="00EF1564" w:rsidRPr="00823856">
        <w:rPr>
          <w:rFonts w:asciiTheme="majorBidi" w:hAnsiTheme="majorBidi" w:cstheme="majorBidi"/>
          <w:sz w:val="24"/>
          <w:szCs w:val="24"/>
        </w:rPr>
        <w:t xml:space="preserve"> has a higher impact during production and construction while timber and steel</w:t>
      </w:r>
      <w:r w:rsidR="00EB0BC4" w:rsidRPr="00823856">
        <w:rPr>
          <w:rFonts w:asciiTheme="majorBidi" w:hAnsiTheme="majorBidi" w:cstheme="majorBidi"/>
          <w:sz w:val="24"/>
          <w:szCs w:val="24"/>
        </w:rPr>
        <w:t xml:space="preserve"> has a higher impact</w:t>
      </w:r>
      <w:r w:rsidR="00EF1564" w:rsidRPr="00823856">
        <w:rPr>
          <w:rFonts w:asciiTheme="majorBidi" w:hAnsiTheme="majorBidi" w:cstheme="majorBidi"/>
          <w:sz w:val="24"/>
          <w:szCs w:val="24"/>
        </w:rPr>
        <w:t xml:space="preserve"> in the maintenance phase</w:t>
      </w:r>
      <w:r w:rsidR="00EB0BC4" w:rsidRPr="00823856">
        <w:rPr>
          <w:rFonts w:asciiTheme="majorBidi" w:hAnsiTheme="majorBidi" w:cstheme="majorBidi"/>
          <w:sz w:val="24"/>
          <w:szCs w:val="24"/>
        </w:rPr>
        <w:t xml:space="preserve"> of a building</w:t>
      </w:r>
      <w:r w:rsidR="00EF1564" w:rsidRPr="00823856">
        <w:rPr>
          <w:rFonts w:asciiTheme="majorBidi" w:hAnsiTheme="majorBidi" w:cstheme="majorBidi"/>
          <w:sz w:val="24"/>
          <w:szCs w:val="24"/>
        </w:rPr>
        <w:t>. Shinde &amp; Darade (2018) compared the prefabricated evaluation of steel and reinforced concrete. The</w:t>
      </w:r>
      <w:r w:rsidR="00EB0BC4" w:rsidRPr="00823856">
        <w:rPr>
          <w:rFonts w:asciiTheme="majorBidi" w:hAnsiTheme="majorBidi" w:cstheme="majorBidi"/>
          <w:sz w:val="24"/>
          <w:szCs w:val="24"/>
        </w:rPr>
        <w:t>ir</w:t>
      </w:r>
      <w:r w:rsidR="00EF1564" w:rsidRPr="00823856">
        <w:rPr>
          <w:rFonts w:asciiTheme="majorBidi" w:hAnsiTheme="majorBidi" w:cstheme="majorBidi"/>
          <w:sz w:val="24"/>
          <w:szCs w:val="24"/>
        </w:rPr>
        <w:t xml:space="preserve"> result</w:t>
      </w:r>
      <w:r w:rsidR="00EB0BC4" w:rsidRPr="00823856">
        <w:rPr>
          <w:rFonts w:asciiTheme="majorBidi" w:hAnsiTheme="majorBidi" w:cstheme="majorBidi"/>
          <w:sz w:val="24"/>
          <w:szCs w:val="24"/>
        </w:rPr>
        <w:t>s</w:t>
      </w:r>
      <w:r w:rsidR="00EF1564" w:rsidRPr="00823856">
        <w:rPr>
          <w:rFonts w:asciiTheme="majorBidi" w:hAnsiTheme="majorBidi" w:cstheme="majorBidi"/>
          <w:sz w:val="24"/>
          <w:szCs w:val="24"/>
        </w:rPr>
        <w:t xml:space="preserve"> showed that concrete </w:t>
      </w:r>
      <w:r w:rsidR="00EB0BC4" w:rsidRPr="00823856">
        <w:rPr>
          <w:rFonts w:asciiTheme="majorBidi" w:hAnsiTheme="majorBidi" w:cstheme="majorBidi"/>
          <w:sz w:val="24"/>
          <w:szCs w:val="24"/>
        </w:rPr>
        <w:t xml:space="preserve">contributes </w:t>
      </w:r>
      <w:r w:rsidR="00EF1564" w:rsidRPr="00823856">
        <w:rPr>
          <w:rFonts w:asciiTheme="majorBidi" w:hAnsiTheme="majorBidi" w:cstheme="majorBidi"/>
          <w:sz w:val="24"/>
          <w:szCs w:val="24"/>
        </w:rPr>
        <w:t>higher CO</w:t>
      </w:r>
      <w:r w:rsidR="00EF1564" w:rsidRPr="00823856">
        <w:rPr>
          <w:rFonts w:asciiTheme="majorBidi" w:hAnsiTheme="majorBidi" w:cstheme="majorBidi"/>
          <w:sz w:val="24"/>
          <w:szCs w:val="24"/>
          <w:vertAlign w:val="subscript"/>
        </w:rPr>
        <w:t>2</w:t>
      </w:r>
      <w:r w:rsidR="00EF1564" w:rsidRPr="00823856">
        <w:rPr>
          <w:rFonts w:asciiTheme="majorBidi" w:hAnsiTheme="majorBidi" w:cstheme="majorBidi"/>
          <w:sz w:val="24"/>
          <w:szCs w:val="24"/>
        </w:rPr>
        <w:t xml:space="preserve"> emission than steel in the stage of material production. Aye et al. (2012) believe that prefabricated steel has higher embodied energy than modular concrete. </w:t>
      </w:r>
      <w:r w:rsidR="00EB0BC4" w:rsidRPr="00823856">
        <w:rPr>
          <w:rFonts w:asciiTheme="majorBidi" w:hAnsiTheme="majorBidi" w:cstheme="majorBidi"/>
          <w:sz w:val="24"/>
          <w:szCs w:val="24"/>
        </w:rPr>
        <w:t>T</w:t>
      </w:r>
      <w:r w:rsidR="00EF1564" w:rsidRPr="00823856">
        <w:rPr>
          <w:rFonts w:asciiTheme="majorBidi" w:hAnsiTheme="majorBidi" w:cstheme="majorBidi"/>
          <w:sz w:val="24"/>
          <w:szCs w:val="24"/>
        </w:rPr>
        <w:t xml:space="preserve">his </w:t>
      </w:r>
      <w:r w:rsidR="00EF1564" w:rsidRPr="00823856">
        <w:rPr>
          <w:rFonts w:asciiTheme="majorBidi" w:hAnsiTheme="majorBidi" w:cstheme="majorBidi"/>
          <w:sz w:val="24"/>
          <w:szCs w:val="24"/>
        </w:rPr>
        <w:lastRenderedPageBreak/>
        <w:t>led to a comprehensive assessment of modular building</w:t>
      </w:r>
      <w:r w:rsidR="00EB0BC4" w:rsidRPr="00823856">
        <w:rPr>
          <w:rFonts w:asciiTheme="majorBidi" w:hAnsiTheme="majorBidi" w:cstheme="majorBidi"/>
          <w:sz w:val="24"/>
          <w:szCs w:val="24"/>
        </w:rPr>
        <w:t>s constructed</w:t>
      </w:r>
      <w:r w:rsidR="00EF1564" w:rsidRPr="00823856">
        <w:rPr>
          <w:rFonts w:asciiTheme="majorBidi" w:hAnsiTheme="majorBidi" w:cstheme="majorBidi"/>
          <w:sz w:val="24"/>
          <w:szCs w:val="24"/>
        </w:rPr>
        <w:t xml:space="preserve"> with alternative materials for the complete </w:t>
      </w:r>
      <w:r w:rsidR="00EB0BC4" w:rsidRPr="00823856">
        <w:rPr>
          <w:rFonts w:asciiTheme="majorBidi" w:hAnsiTheme="majorBidi" w:cstheme="majorBidi"/>
          <w:sz w:val="24"/>
          <w:szCs w:val="24"/>
        </w:rPr>
        <w:t xml:space="preserve">cradle to grave </w:t>
      </w:r>
      <w:r w:rsidR="00EF1564" w:rsidRPr="00823856">
        <w:rPr>
          <w:rFonts w:asciiTheme="majorBidi" w:hAnsiTheme="majorBidi" w:cstheme="majorBidi"/>
          <w:sz w:val="24"/>
          <w:szCs w:val="24"/>
        </w:rPr>
        <w:t xml:space="preserve">life span of </w:t>
      </w:r>
      <w:r w:rsidR="00EB0BC4" w:rsidRPr="00823856">
        <w:rPr>
          <w:rFonts w:asciiTheme="majorBidi" w:hAnsiTheme="majorBidi" w:cstheme="majorBidi"/>
          <w:sz w:val="24"/>
          <w:szCs w:val="24"/>
        </w:rPr>
        <w:t xml:space="preserve">the </w:t>
      </w:r>
      <w:r w:rsidR="00EF1564" w:rsidRPr="00823856">
        <w:rPr>
          <w:rFonts w:asciiTheme="majorBidi" w:hAnsiTheme="majorBidi" w:cstheme="majorBidi"/>
          <w:sz w:val="24"/>
          <w:szCs w:val="24"/>
        </w:rPr>
        <w:t>building</w:t>
      </w:r>
      <w:r w:rsidR="00EB0BC4" w:rsidRPr="00823856">
        <w:rPr>
          <w:rFonts w:asciiTheme="majorBidi" w:hAnsiTheme="majorBidi" w:cstheme="majorBidi"/>
          <w:noProof/>
          <w:sz w:val="24"/>
          <w:szCs w:val="24"/>
        </w:rPr>
        <w:t>.</w:t>
      </w:r>
    </w:p>
    <w:p w14:paraId="60C468B3" w14:textId="77777777" w:rsidR="00B17FFA" w:rsidRDefault="00EB0BC4" w:rsidP="00B9763F">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Previous attempts on the evaluation of off-site construction includes research by</w:t>
      </w:r>
      <w:r w:rsidR="006709BE" w:rsidRPr="00823856">
        <w:rPr>
          <w:rFonts w:asciiTheme="majorBidi" w:hAnsiTheme="majorBidi" w:cstheme="majorBidi"/>
          <w:sz w:val="24"/>
          <w:szCs w:val="24"/>
        </w:rPr>
        <w:t xml:space="preserve"> Kawecki (2010) </w:t>
      </w:r>
      <w:r w:rsidRPr="00823856">
        <w:rPr>
          <w:rFonts w:asciiTheme="majorBidi" w:hAnsiTheme="majorBidi" w:cstheme="majorBidi"/>
          <w:sz w:val="24"/>
          <w:szCs w:val="24"/>
        </w:rPr>
        <w:t xml:space="preserve">on </w:t>
      </w:r>
      <w:r w:rsidR="006709BE" w:rsidRPr="00823856">
        <w:rPr>
          <w:rFonts w:asciiTheme="majorBidi" w:hAnsiTheme="majorBidi" w:cstheme="majorBidi"/>
          <w:sz w:val="24"/>
          <w:szCs w:val="24"/>
        </w:rPr>
        <w:t xml:space="preserve">the GWP of modular timber </w:t>
      </w:r>
      <w:r w:rsidRPr="00823856">
        <w:rPr>
          <w:rFonts w:asciiTheme="majorBidi" w:hAnsiTheme="majorBidi" w:cstheme="majorBidi"/>
          <w:sz w:val="24"/>
          <w:szCs w:val="24"/>
        </w:rPr>
        <w:t xml:space="preserve">during </w:t>
      </w:r>
      <w:r w:rsidR="006709BE" w:rsidRPr="00823856">
        <w:rPr>
          <w:rFonts w:asciiTheme="majorBidi" w:hAnsiTheme="majorBidi" w:cstheme="majorBidi"/>
          <w:sz w:val="24"/>
          <w:szCs w:val="24"/>
        </w:rPr>
        <w:t xml:space="preserve">its production stage. </w:t>
      </w:r>
      <w:r w:rsidRPr="00823856">
        <w:rPr>
          <w:rFonts w:asciiTheme="majorBidi" w:hAnsiTheme="majorBidi" w:cstheme="majorBidi"/>
          <w:sz w:val="24"/>
          <w:szCs w:val="24"/>
        </w:rPr>
        <w:t>The study</w:t>
      </w:r>
      <w:r w:rsidR="006709BE" w:rsidRPr="00823856">
        <w:rPr>
          <w:rFonts w:asciiTheme="majorBidi" w:hAnsiTheme="majorBidi" w:cstheme="majorBidi"/>
          <w:sz w:val="24"/>
          <w:szCs w:val="24"/>
        </w:rPr>
        <w:t xml:space="preserve"> revealed that electricity was found to be the largest energy source </w:t>
      </w:r>
      <w:r w:rsidRPr="00823856">
        <w:rPr>
          <w:rFonts w:asciiTheme="majorBidi" w:hAnsiTheme="majorBidi" w:cstheme="majorBidi"/>
          <w:sz w:val="24"/>
          <w:szCs w:val="24"/>
        </w:rPr>
        <w:t>during the</w:t>
      </w:r>
      <w:r w:rsidR="006709BE" w:rsidRPr="00823856">
        <w:rPr>
          <w:rFonts w:asciiTheme="majorBidi" w:hAnsiTheme="majorBidi" w:cstheme="majorBidi"/>
          <w:sz w:val="24"/>
          <w:szCs w:val="24"/>
        </w:rPr>
        <w:t xml:space="preserve"> fabrication process. </w:t>
      </w:r>
      <w:r w:rsidR="00A47F06" w:rsidRPr="00823856">
        <w:rPr>
          <w:rFonts w:asciiTheme="majorBidi" w:hAnsiTheme="majorBidi" w:cstheme="majorBidi"/>
          <w:sz w:val="24"/>
          <w:szCs w:val="24"/>
        </w:rPr>
        <w:t xml:space="preserve">Life Cycle Assessment (LCA) by </w:t>
      </w:r>
      <w:r w:rsidR="006709BE" w:rsidRPr="00823856">
        <w:rPr>
          <w:rFonts w:asciiTheme="majorBidi" w:hAnsiTheme="majorBidi" w:cstheme="majorBidi"/>
          <w:sz w:val="24"/>
          <w:szCs w:val="24"/>
        </w:rPr>
        <w:t xml:space="preserve">Faludi et al. (2012) </w:t>
      </w:r>
      <w:r w:rsidR="00A47F06" w:rsidRPr="00823856">
        <w:rPr>
          <w:rFonts w:asciiTheme="majorBidi" w:hAnsiTheme="majorBidi" w:cstheme="majorBidi"/>
          <w:sz w:val="24"/>
          <w:szCs w:val="24"/>
        </w:rPr>
        <w:t>on</w:t>
      </w:r>
      <w:r w:rsidR="006709BE" w:rsidRPr="00823856">
        <w:rPr>
          <w:rFonts w:asciiTheme="majorBidi" w:hAnsiTheme="majorBidi" w:cstheme="majorBidi"/>
          <w:sz w:val="24"/>
          <w:szCs w:val="24"/>
        </w:rPr>
        <w:t xml:space="preserve"> prefabricated modular commercial buildings in California showed that transportation and end-of-life disposal impacts are of low to negligible importance. Aye, et al. (2012) compared the</w:t>
      </w:r>
      <w:r w:rsidR="00A47F06" w:rsidRPr="00823856">
        <w:rPr>
          <w:rFonts w:asciiTheme="majorBidi" w:hAnsiTheme="majorBidi" w:cstheme="majorBidi"/>
          <w:sz w:val="24"/>
          <w:szCs w:val="24"/>
        </w:rPr>
        <w:t xml:space="preserve"> cradle to grave</w:t>
      </w:r>
      <w:r w:rsidR="006709BE" w:rsidRPr="00823856">
        <w:rPr>
          <w:rFonts w:asciiTheme="majorBidi" w:hAnsiTheme="majorBidi" w:cstheme="majorBidi"/>
          <w:sz w:val="24"/>
          <w:szCs w:val="24"/>
        </w:rPr>
        <w:t xml:space="preserve"> </w:t>
      </w:r>
      <w:r w:rsidR="00A47F06" w:rsidRPr="00823856">
        <w:rPr>
          <w:rFonts w:asciiTheme="majorBidi" w:hAnsiTheme="majorBidi" w:cstheme="majorBidi"/>
          <w:sz w:val="24"/>
          <w:szCs w:val="24"/>
        </w:rPr>
        <w:t xml:space="preserve">material </w:t>
      </w:r>
      <w:r w:rsidR="006709BE" w:rsidRPr="00823856">
        <w:rPr>
          <w:rFonts w:asciiTheme="majorBidi" w:hAnsiTheme="majorBidi" w:cstheme="majorBidi"/>
          <w:sz w:val="24"/>
          <w:szCs w:val="24"/>
        </w:rPr>
        <w:t xml:space="preserve">environmental impact of modular construction </w:t>
      </w:r>
      <w:r w:rsidR="00A47F06" w:rsidRPr="00823856">
        <w:rPr>
          <w:rFonts w:asciiTheme="majorBidi" w:hAnsiTheme="majorBidi" w:cstheme="majorBidi"/>
          <w:sz w:val="24"/>
          <w:szCs w:val="24"/>
        </w:rPr>
        <w:t xml:space="preserve">by </w:t>
      </w:r>
      <w:r w:rsidR="006709BE" w:rsidRPr="00823856">
        <w:rPr>
          <w:rFonts w:asciiTheme="majorBidi" w:hAnsiTheme="majorBidi" w:cstheme="majorBidi"/>
          <w:sz w:val="24"/>
          <w:szCs w:val="24"/>
        </w:rPr>
        <w:t xml:space="preserve">steel and timber </w:t>
      </w:r>
      <w:r w:rsidR="00A47F06" w:rsidRPr="00823856">
        <w:rPr>
          <w:rFonts w:asciiTheme="majorBidi" w:hAnsiTheme="majorBidi" w:cstheme="majorBidi"/>
          <w:sz w:val="24"/>
          <w:szCs w:val="24"/>
        </w:rPr>
        <w:t>against</w:t>
      </w:r>
      <w:r w:rsidR="006709BE" w:rsidRPr="00823856">
        <w:rPr>
          <w:rFonts w:asciiTheme="majorBidi" w:hAnsiTheme="majorBidi" w:cstheme="majorBidi"/>
          <w:sz w:val="24"/>
          <w:szCs w:val="24"/>
        </w:rPr>
        <w:t xml:space="preserve"> conventional concrete construction. The result showed that although modular steel reduced material consumption by up to 78% compared to conventional concrete, it increased embodied energy. Kamali et al. (2019) compared modular construction versus conventional production materials (material production stage). The</w:t>
      </w:r>
      <w:r w:rsidR="00A47F06" w:rsidRPr="00823856">
        <w:rPr>
          <w:rFonts w:asciiTheme="majorBidi" w:hAnsiTheme="majorBidi" w:cstheme="majorBidi"/>
          <w:sz w:val="24"/>
          <w:szCs w:val="24"/>
        </w:rPr>
        <w:t>ir</w:t>
      </w:r>
      <w:r w:rsidR="006709BE" w:rsidRPr="00823856">
        <w:rPr>
          <w:rFonts w:asciiTheme="majorBidi" w:hAnsiTheme="majorBidi" w:cstheme="majorBidi"/>
          <w:sz w:val="24"/>
          <w:szCs w:val="24"/>
        </w:rPr>
        <w:t xml:space="preserve"> result</w:t>
      </w:r>
      <w:r w:rsidR="00A47F06" w:rsidRPr="00823856">
        <w:rPr>
          <w:rFonts w:asciiTheme="majorBidi" w:hAnsiTheme="majorBidi" w:cstheme="majorBidi"/>
          <w:sz w:val="24"/>
          <w:szCs w:val="24"/>
        </w:rPr>
        <w:t>s</w:t>
      </w:r>
      <w:r w:rsidR="006709BE" w:rsidRPr="00823856">
        <w:rPr>
          <w:rFonts w:asciiTheme="majorBidi" w:hAnsiTheme="majorBidi" w:cstheme="majorBidi"/>
          <w:sz w:val="24"/>
          <w:szCs w:val="24"/>
        </w:rPr>
        <w:t xml:space="preserve"> showed that </w:t>
      </w:r>
      <w:r w:rsidR="00A47F06" w:rsidRPr="00823856">
        <w:rPr>
          <w:rFonts w:asciiTheme="majorBidi" w:hAnsiTheme="majorBidi" w:cstheme="majorBidi"/>
          <w:sz w:val="24"/>
          <w:szCs w:val="24"/>
        </w:rPr>
        <w:t xml:space="preserve">while some </w:t>
      </w:r>
      <w:r w:rsidR="006709BE" w:rsidRPr="00823856">
        <w:rPr>
          <w:rFonts w:asciiTheme="majorBidi" w:hAnsiTheme="majorBidi" w:cstheme="majorBidi"/>
          <w:sz w:val="24"/>
          <w:szCs w:val="24"/>
        </w:rPr>
        <w:t>modular building</w:t>
      </w:r>
      <w:r w:rsidR="00A47F06" w:rsidRPr="00823856">
        <w:rPr>
          <w:rFonts w:asciiTheme="majorBidi" w:hAnsiTheme="majorBidi" w:cstheme="majorBidi"/>
          <w:sz w:val="24"/>
          <w:szCs w:val="24"/>
        </w:rPr>
        <w:t xml:space="preserve">s have a lower </w:t>
      </w:r>
      <w:r w:rsidR="006709BE" w:rsidRPr="00823856">
        <w:rPr>
          <w:rFonts w:asciiTheme="majorBidi" w:hAnsiTheme="majorBidi" w:cstheme="majorBidi"/>
          <w:sz w:val="24"/>
          <w:szCs w:val="24"/>
        </w:rPr>
        <w:t xml:space="preserve">environmental impact, none of conventional </w:t>
      </w:r>
      <w:r w:rsidR="00A47F06" w:rsidRPr="00823856">
        <w:rPr>
          <w:rFonts w:asciiTheme="majorBidi" w:hAnsiTheme="majorBidi" w:cstheme="majorBidi"/>
          <w:sz w:val="24"/>
          <w:szCs w:val="24"/>
        </w:rPr>
        <w:t>or</w:t>
      </w:r>
      <w:r w:rsidR="006709BE" w:rsidRPr="00823856">
        <w:rPr>
          <w:rFonts w:asciiTheme="majorBidi" w:hAnsiTheme="majorBidi" w:cstheme="majorBidi"/>
          <w:sz w:val="24"/>
          <w:szCs w:val="24"/>
        </w:rPr>
        <w:t xml:space="preserve"> modular </w:t>
      </w:r>
      <w:r w:rsidR="00A47F06" w:rsidRPr="00823856">
        <w:rPr>
          <w:rFonts w:asciiTheme="majorBidi" w:hAnsiTheme="majorBidi" w:cstheme="majorBidi"/>
          <w:sz w:val="24"/>
          <w:szCs w:val="24"/>
        </w:rPr>
        <w:t xml:space="preserve">methods have </w:t>
      </w:r>
      <w:r w:rsidR="006709BE" w:rsidRPr="00823856">
        <w:rPr>
          <w:rFonts w:asciiTheme="majorBidi" w:hAnsiTheme="majorBidi" w:cstheme="majorBidi"/>
          <w:sz w:val="24"/>
          <w:szCs w:val="24"/>
        </w:rPr>
        <w:t>absolute zero-emission</w:t>
      </w:r>
      <w:r w:rsidR="00A47F06" w:rsidRPr="00823856">
        <w:rPr>
          <w:rFonts w:asciiTheme="majorBidi" w:hAnsiTheme="majorBidi" w:cstheme="majorBidi"/>
          <w:sz w:val="24"/>
          <w:szCs w:val="24"/>
        </w:rPr>
        <w:t>s</w:t>
      </w:r>
      <w:r w:rsidR="006709BE" w:rsidRPr="00823856">
        <w:rPr>
          <w:rFonts w:asciiTheme="majorBidi" w:hAnsiTheme="majorBidi" w:cstheme="majorBidi"/>
          <w:sz w:val="24"/>
          <w:szCs w:val="24"/>
        </w:rPr>
        <w:t xml:space="preserve">. </w:t>
      </w:r>
      <w:r w:rsidR="00A47F06" w:rsidRPr="00823856">
        <w:rPr>
          <w:rFonts w:asciiTheme="majorBidi" w:hAnsiTheme="majorBidi" w:cstheme="majorBidi"/>
          <w:sz w:val="24"/>
          <w:szCs w:val="24"/>
        </w:rPr>
        <w:t>The focus of m</w:t>
      </w:r>
      <w:r w:rsidR="006709BE" w:rsidRPr="00823856">
        <w:rPr>
          <w:rFonts w:asciiTheme="majorBidi" w:hAnsiTheme="majorBidi" w:cstheme="majorBidi"/>
          <w:sz w:val="24"/>
          <w:szCs w:val="24"/>
        </w:rPr>
        <w:t>ost modular building</w:t>
      </w:r>
      <w:r w:rsidR="00A47F06" w:rsidRPr="00823856">
        <w:rPr>
          <w:rFonts w:asciiTheme="majorBidi" w:hAnsiTheme="majorBidi" w:cstheme="majorBidi"/>
          <w:sz w:val="24"/>
          <w:szCs w:val="24"/>
        </w:rPr>
        <w:t>s</w:t>
      </w:r>
      <w:r w:rsidR="006709BE" w:rsidRPr="00823856">
        <w:rPr>
          <w:rFonts w:asciiTheme="majorBidi" w:hAnsiTheme="majorBidi" w:cstheme="majorBidi"/>
          <w:sz w:val="24"/>
          <w:szCs w:val="24"/>
        </w:rPr>
        <w:t xml:space="preserve"> </w:t>
      </w:r>
      <w:proofErr w:type="gramStart"/>
      <w:r w:rsidR="00A47F06" w:rsidRPr="00823856">
        <w:rPr>
          <w:rFonts w:asciiTheme="majorBidi" w:hAnsiTheme="majorBidi" w:cstheme="majorBidi"/>
          <w:sz w:val="24"/>
          <w:szCs w:val="24"/>
        </w:rPr>
        <w:t>are</w:t>
      </w:r>
      <w:proofErr w:type="gramEnd"/>
      <w:r w:rsidR="006709BE" w:rsidRPr="00823856">
        <w:rPr>
          <w:rFonts w:asciiTheme="majorBidi" w:hAnsiTheme="majorBidi" w:cstheme="majorBidi"/>
          <w:sz w:val="24"/>
          <w:szCs w:val="24"/>
        </w:rPr>
        <w:t xml:space="preserve"> limited to</w:t>
      </w:r>
      <w:r w:rsidR="00A47F06" w:rsidRPr="00823856">
        <w:rPr>
          <w:rFonts w:asciiTheme="majorBidi" w:hAnsiTheme="majorBidi" w:cstheme="majorBidi"/>
          <w:sz w:val="24"/>
          <w:szCs w:val="24"/>
        </w:rPr>
        <w:t>wards</w:t>
      </w:r>
      <w:r w:rsidR="006709BE" w:rsidRPr="00823856">
        <w:rPr>
          <w:rFonts w:asciiTheme="majorBidi" w:hAnsiTheme="majorBidi" w:cstheme="majorBidi"/>
          <w:sz w:val="24"/>
          <w:szCs w:val="24"/>
        </w:rPr>
        <w:t xml:space="preserve"> the production stage</w:t>
      </w:r>
      <w:r w:rsidR="00A47F06" w:rsidRPr="00823856">
        <w:rPr>
          <w:rFonts w:asciiTheme="majorBidi" w:hAnsiTheme="majorBidi" w:cstheme="majorBidi"/>
          <w:sz w:val="24"/>
          <w:szCs w:val="24"/>
        </w:rPr>
        <w:t>.</w:t>
      </w:r>
      <w:r w:rsidR="006709BE" w:rsidRPr="00823856">
        <w:rPr>
          <w:rFonts w:asciiTheme="majorBidi" w:hAnsiTheme="majorBidi" w:cstheme="majorBidi"/>
          <w:sz w:val="24"/>
          <w:szCs w:val="24"/>
        </w:rPr>
        <w:t xml:space="preserve"> </w:t>
      </w:r>
      <w:r w:rsidR="00A47F06" w:rsidRPr="00823856">
        <w:rPr>
          <w:rFonts w:asciiTheme="majorBidi" w:hAnsiTheme="majorBidi" w:cstheme="majorBidi"/>
          <w:sz w:val="24"/>
          <w:szCs w:val="24"/>
        </w:rPr>
        <w:t>F</w:t>
      </w:r>
      <w:r w:rsidR="006709BE" w:rsidRPr="00823856">
        <w:rPr>
          <w:rFonts w:asciiTheme="majorBidi" w:hAnsiTheme="majorBidi" w:cstheme="majorBidi"/>
          <w:sz w:val="24"/>
          <w:szCs w:val="24"/>
        </w:rPr>
        <w:t>or example, Tavares et al. (2019) compared four modular buildings using different materials within the production stage boundary. The</w:t>
      </w:r>
      <w:r w:rsidR="00A47F06" w:rsidRPr="00823856">
        <w:rPr>
          <w:rFonts w:asciiTheme="majorBidi" w:hAnsiTheme="majorBidi" w:cstheme="majorBidi"/>
          <w:sz w:val="24"/>
          <w:szCs w:val="24"/>
        </w:rPr>
        <w:t>ir</w:t>
      </w:r>
      <w:r w:rsidR="006709BE" w:rsidRPr="00823856">
        <w:rPr>
          <w:rFonts w:asciiTheme="majorBidi" w:hAnsiTheme="majorBidi" w:cstheme="majorBidi"/>
          <w:sz w:val="24"/>
          <w:szCs w:val="24"/>
        </w:rPr>
        <w:t xml:space="preserve"> finding</w:t>
      </w:r>
      <w:r w:rsidR="00A47F06" w:rsidRPr="00823856">
        <w:rPr>
          <w:rFonts w:asciiTheme="majorBidi" w:hAnsiTheme="majorBidi" w:cstheme="majorBidi"/>
          <w:sz w:val="24"/>
          <w:szCs w:val="24"/>
        </w:rPr>
        <w:t>s</w:t>
      </w:r>
      <w:r w:rsidR="006709BE" w:rsidRPr="00823856">
        <w:rPr>
          <w:rFonts w:asciiTheme="majorBidi" w:hAnsiTheme="majorBidi" w:cstheme="majorBidi"/>
          <w:sz w:val="24"/>
          <w:szCs w:val="24"/>
        </w:rPr>
        <w:t xml:space="preserve"> revealed that lightweight steel frames (LSF) and timber have lower CO</w:t>
      </w:r>
      <w:r w:rsidR="006709BE" w:rsidRPr="00823856">
        <w:rPr>
          <w:rFonts w:asciiTheme="majorBidi" w:hAnsiTheme="majorBidi" w:cstheme="majorBidi"/>
          <w:sz w:val="24"/>
          <w:szCs w:val="24"/>
          <w:vertAlign w:val="subscript"/>
        </w:rPr>
        <w:t>2</w:t>
      </w:r>
      <w:r w:rsidR="006709BE" w:rsidRPr="00823856">
        <w:rPr>
          <w:rFonts w:asciiTheme="majorBidi" w:hAnsiTheme="majorBidi" w:cstheme="majorBidi"/>
          <w:sz w:val="24"/>
          <w:szCs w:val="24"/>
        </w:rPr>
        <w:t xml:space="preserve"> emissions than steel and concrete. </w:t>
      </w:r>
    </w:p>
    <w:p w14:paraId="68573369" w14:textId="4471E513" w:rsidR="00C85E58" w:rsidRPr="00823856" w:rsidRDefault="009A63AB" w:rsidP="00EE12FE">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Limited research is available in</w:t>
      </w:r>
      <w:r w:rsidR="00EB1F11" w:rsidRPr="00823856">
        <w:rPr>
          <w:rFonts w:asciiTheme="majorBidi" w:hAnsiTheme="majorBidi" w:cstheme="majorBidi"/>
          <w:sz w:val="24"/>
          <w:szCs w:val="24"/>
        </w:rPr>
        <w:t xml:space="preserve"> the</w:t>
      </w:r>
      <w:r w:rsidRPr="00823856">
        <w:rPr>
          <w:rFonts w:asciiTheme="majorBidi" w:hAnsiTheme="majorBidi" w:cstheme="majorBidi"/>
          <w:sz w:val="24"/>
          <w:szCs w:val="24"/>
        </w:rPr>
        <w:t xml:space="preserve"> literature relat</w:t>
      </w:r>
      <w:r w:rsidR="00EB1F11" w:rsidRPr="00823856">
        <w:rPr>
          <w:rFonts w:asciiTheme="majorBidi" w:hAnsiTheme="majorBidi" w:cstheme="majorBidi"/>
          <w:sz w:val="24"/>
          <w:szCs w:val="24"/>
        </w:rPr>
        <w:t>ing</w:t>
      </w:r>
      <w:r w:rsidRPr="00823856">
        <w:rPr>
          <w:rFonts w:asciiTheme="majorBidi" w:hAnsiTheme="majorBidi" w:cstheme="majorBidi"/>
          <w:sz w:val="24"/>
          <w:szCs w:val="24"/>
        </w:rPr>
        <w:t xml:space="preserve"> to the Social Life Cycle Assessment (SLCA) assessment of modular building</w:t>
      </w:r>
      <w:r w:rsidR="00EB1F11" w:rsidRPr="00823856">
        <w:rPr>
          <w:rFonts w:asciiTheme="majorBidi" w:hAnsiTheme="majorBidi" w:cstheme="majorBidi"/>
          <w:sz w:val="24"/>
          <w:szCs w:val="24"/>
        </w:rPr>
        <w:t>s</w:t>
      </w:r>
      <w:r w:rsidRPr="00823856">
        <w:rPr>
          <w:rFonts w:asciiTheme="majorBidi" w:hAnsiTheme="majorBidi" w:cstheme="majorBidi"/>
          <w:sz w:val="24"/>
          <w:szCs w:val="24"/>
        </w:rPr>
        <w:t>. SLCA is regarded as equally important to life cycle assessment</w:t>
      </w:r>
      <w:r w:rsidR="00EB1F11" w:rsidRPr="00823856">
        <w:rPr>
          <w:rFonts w:asciiTheme="majorBidi" w:hAnsiTheme="majorBidi" w:cstheme="majorBidi"/>
          <w:sz w:val="24"/>
          <w:szCs w:val="24"/>
        </w:rPr>
        <w:t xml:space="preserve"> in terms of both the environment and costs</w:t>
      </w:r>
      <w:r w:rsidRPr="00823856">
        <w:rPr>
          <w:rFonts w:asciiTheme="majorBidi" w:hAnsiTheme="majorBidi" w:cstheme="majorBidi"/>
          <w:sz w:val="24"/>
          <w:szCs w:val="24"/>
        </w:rPr>
        <w:t>. Hosseinijou et al. (2014) assessed the SLCA of steel and concrete materials for in-site construction, and the</w:t>
      </w:r>
      <w:r w:rsidR="00EB1F11" w:rsidRPr="00823856">
        <w:rPr>
          <w:rFonts w:asciiTheme="majorBidi" w:hAnsiTheme="majorBidi" w:cstheme="majorBidi"/>
          <w:sz w:val="24"/>
          <w:szCs w:val="24"/>
        </w:rPr>
        <w:t>ir</w:t>
      </w:r>
      <w:r w:rsidRPr="00823856">
        <w:rPr>
          <w:rFonts w:asciiTheme="majorBidi" w:hAnsiTheme="majorBidi" w:cstheme="majorBidi"/>
          <w:sz w:val="24"/>
          <w:szCs w:val="24"/>
        </w:rPr>
        <w:t xml:space="preserve"> results showed that steel has a better performance in this category. Hammad et al. (2019) compared some SLCA factors such as injury risk and noise pollution. The</w:t>
      </w:r>
      <w:r w:rsidR="00EB1F11" w:rsidRPr="00823856">
        <w:rPr>
          <w:rFonts w:asciiTheme="majorBidi" w:hAnsiTheme="majorBidi" w:cstheme="majorBidi"/>
          <w:sz w:val="24"/>
          <w:szCs w:val="24"/>
        </w:rPr>
        <w:t>ir</w:t>
      </w:r>
      <w:r w:rsidRPr="00823856">
        <w:rPr>
          <w:rFonts w:asciiTheme="majorBidi" w:hAnsiTheme="majorBidi" w:cstheme="majorBidi"/>
          <w:sz w:val="24"/>
          <w:szCs w:val="24"/>
        </w:rPr>
        <w:t xml:space="preserve"> result</w:t>
      </w:r>
      <w:r w:rsidR="00EB1F11" w:rsidRPr="00823856">
        <w:rPr>
          <w:rFonts w:asciiTheme="majorBidi" w:hAnsiTheme="majorBidi" w:cstheme="majorBidi"/>
          <w:sz w:val="24"/>
          <w:szCs w:val="24"/>
        </w:rPr>
        <w:t>s</w:t>
      </w:r>
      <w:r w:rsidRPr="00823856">
        <w:rPr>
          <w:rFonts w:asciiTheme="majorBidi" w:hAnsiTheme="majorBidi" w:cstheme="majorBidi"/>
          <w:sz w:val="24"/>
          <w:szCs w:val="24"/>
        </w:rPr>
        <w:t xml:space="preserve"> revealed that modular construction has a better overall performance compared to the conventional method. Liu et al. (2019) </w:t>
      </w:r>
      <w:r w:rsidR="005651ED" w:rsidRPr="00823856">
        <w:rPr>
          <w:rFonts w:asciiTheme="majorBidi" w:hAnsiTheme="majorBidi" w:cstheme="majorBidi"/>
          <w:sz w:val="24"/>
          <w:szCs w:val="24"/>
        </w:rPr>
        <w:t xml:space="preserve">assessed two construction methods: the </w:t>
      </w:r>
      <w:r w:rsidRPr="00823856">
        <w:rPr>
          <w:rFonts w:asciiTheme="majorBidi" w:hAnsiTheme="majorBidi" w:cstheme="majorBidi"/>
          <w:sz w:val="24"/>
          <w:szCs w:val="24"/>
        </w:rPr>
        <w:t>semi-prefabricated reinforced concrete and PPVC structure</w:t>
      </w:r>
      <w:r w:rsidR="005651ED" w:rsidRPr="00823856">
        <w:rPr>
          <w:rFonts w:asciiTheme="majorBidi" w:hAnsiTheme="majorBidi" w:cstheme="majorBidi"/>
          <w:sz w:val="24"/>
          <w:szCs w:val="24"/>
        </w:rPr>
        <w:t>.</w:t>
      </w:r>
      <w:r w:rsidRPr="00823856">
        <w:rPr>
          <w:rFonts w:asciiTheme="majorBidi" w:hAnsiTheme="majorBidi" w:cstheme="majorBidi"/>
          <w:sz w:val="24"/>
          <w:szCs w:val="24"/>
        </w:rPr>
        <w:t xml:space="preserve"> </w:t>
      </w:r>
      <w:r w:rsidR="005651ED" w:rsidRPr="00823856">
        <w:rPr>
          <w:rFonts w:asciiTheme="majorBidi" w:hAnsiTheme="majorBidi" w:cstheme="majorBidi"/>
          <w:sz w:val="24"/>
          <w:szCs w:val="24"/>
        </w:rPr>
        <w:t>The</w:t>
      </w:r>
      <w:r w:rsidRPr="00823856">
        <w:rPr>
          <w:rFonts w:asciiTheme="majorBidi" w:hAnsiTheme="majorBidi" w:cstheme="majorBidi"/>
          <w:sz w:val="24"/>
          <w:szCs w:val="24"/>
        </w:rPr>
        <w:t xml:space="preserve"> first case study was manufactured in Singapore and the second was sent from China. </w:t>
      </w:r>
      <w:r w:rsidR="005651ED" w:rsidRPr="00823856">
        <w:rPr>
          <w:rFonts w:asciiTheme="majorBidi" w:hAnsiTheme="majorBidi" w:cstheme="majorBidi"/>
          <w:sz w:val="24"/>
          <w:szCs w:val="24"/>
        </w:rPr>
        <w:t>Results</w:t>
      </w:r>
      <w:r w:rsidRPr="00823856">
        <w:rPr>
          <w:rFonts w:asciiTheme="majorBidi" w:hAnsiTheme="majorBidi" w:cstheme="majorBidi"/>
          <w:sz w:val="24"/>
          <w:szCs w:val="24"/>
        </w:rPr>
        <w:t xml:space="preserve"> showed that PPVC has a better performance </w:t>
      </w:r>
      <w:r w:rsidR="005651ED" w:rsidRPr="00823856">
        <w:rPr>
          <w:rFonts w:asciiTheme="majorBidi" w:hAnsiTheme="majorBidi" w:cstheme="majorBidi"/>
          <w:sz w:val="24"/>
          <w:szCs w:val="24"/>
        </w:rPr>
        <w:t xml:space="preserve">during </w:t>
      </w:r>
      <w:r w:rsidRPr="00823856">
        <w:rPr>
          <w:rFonts w:asciiTheme="majorBidi" w:hAnsiTheme="majorBidi" w:cstheme="majorBidi"/>
          <w:sz w:val="24"/>
          <w:szCs w:val="24"/>
        </w:rPr>
        <w:t xml:space="preserve">the material extraction phase. </w:t>
      </w:r>
    </w:p>
    <w:p w14:paraId="3C1B8052" w14:textId="28965673" w:rsidR="005F7BD5" w:rsidRPr="00823856" w:rsidRDefault="00ED01BC" w:rsidP="00EE12FE">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Nevertheless, there are some limitations on the </w:t>
      </w:r>
      <w:r w:rsidR="005651ED" w:rsidRPr="00823856">
        <w:rPr>
          <w:rFonts w:asciiTheme="majorBidi" w:hAnsiTheme="majorBidi" w:cstheme="majorBidi"/>
          <w:sz w:val="24"/>
          <w:szCs w:val="24"/>
        </w:rPr>
        <w:t xml:space="preserve">application </w:t>
      </w:r>
      <w:r w:rsidRPr="00823856">
        <w:rPr>
          <w:rFonts w:asciiTheme="majorBidi" w:hAnsiTheme="majorBidi" w:cstheme="majorBidi"/>
          <w:sz w:val="24"/>
          <w:szCs w:val="24"/>
        </w:rPr>
        <w:t xml:space="preserve">of modular building, such as the transportation (Choi et al. 2019) and making the components fit together (Bildsten, 2011). However, numerous advantages over offsite construction such as lower construction material wastage, fewer number of workers on-site, lower energy consumption, higher construction safety, faster construction process and </w:t>
      </w:r>
      <w:r w:rsidR="005651ED" w:rsidRPr="00823856">
        <w:rPr>
          <w:rFonts w:asciiTheme="majorBidi" w:hAnsiTheme="majorBidi" w:cstheme="majorBidi"/>
          <w:sz w:val="24"/>
          <w:szCs w:val="24"/>
        </w:rPr>
        <w:t xml:space="preserve">faster </w:t>
      </w:r>
      <w:r w:rsidRPr="00823856">
        <w:rPr>
          <w:rFonts w:asciiTheme="majorBidi" w:hAnsiTheme="majorBidi" w:cstheme="majorBidi"/>
          <w:sz w:val="24"/>
          <w:szCs w:val="24"/>
        </w:rPr>
        <w:t>construction speed (Kyjaková and Bašková 2014 &amp; Quale et al. 2012) make it preferable to be used by the construction sector. There is a lack of comprehensive research in the literature to assess other sustainability criteria, such as the cost and social aspects of different modular PPVC. This research evaluates alternative materials for modular construction methods (PPVC) by considering different sustainability criteria (GWP, cost</w:t>
      </w:r>
      <w:r w:rsidR="00A84EC9" w:rsidRPr="00823856">
        <w:rPr>
          <w:rFonts w:asciiTheme="majorBidi" w:hAnsiTheme="majorBidi" w:cstheme="majorBidi"/>
          <w:sz w:val="24"/>
          <w:szCs w:val="24"/>
        </w:rPr>
        <w:t>,</w:t>
      </w:r>
      <w:r w:rsidRPr="00823856">
        <w:rPr>
          <w:rFonts w:asciiTheme="majorBidi" w:hAnsiTheme="majorBidi" w:cstheme="majorBidi"/>
          <w:sz w:val="24"/>
          <w:szCs w:val="24"/>
        </w:rPr>
        <w:t xml:space="preserve"> social, </w:t>
      </w:r>
      <w:r w:rsidR="005651ED" w:rsidRPr="00823856">
        <w:rPr>
          <w:rFonts w:asciiTheme="majorBidi" w:hAnsiTheme="majorBidi" w:cstheme="majorBidi"/>
          <w:sz w:val="24"/>
          <w:szCs w:val="24"/>
        </w:rPr>
        <w:t>e</w:t>
      </w:r>
      <w:r w:rsidRPr="00823856">
        <w:rPr>
          <w:rFonts w:asciiTheme="majorBidi" w:hAnsiTheme="majorBidi" w:cstheme="majorBidi"/>
          <w:sz w:val="24"/>
          <w:szCs w:val="24"/>
        </w:rPr>
        <w:t xml:space="preserve">tc.) to reveal the best </w:t>
      </w:r>
      <w:r w:rsidR="005651ED" w:rsidRPr="00823856">
        <w:rPr>
          <w:rFonts w:asciiTheme="majorBidi" w:hAnsiTheme="majorBidi" w:cstheme="majorBidi"/>
          <w:sz w:val="24"/>
          <w:szCs w:val="24"/>
        </w:rPr>
        <w:t>options</w:t>
      </w:r>
      <w:r w:rsidRPr="00823856">
        <w:rPr>
          <w:rFonts w:asciiTheme="majorBidi" w:hAnsiTheme="majorBidi" w:cstheme="majorBidi"/>
          <w:sz w:val="24"/>
          <w:szCs w:val="24"/>
        </w:rPr>
        <w:t xml:space="preserve">.  </w:t>
      </w:r>
    </w:p>
    <w:p w14:paraId="4B5A55FA" w14:textId="05C07CB3" w:rsidR="005F7BD5" w:rsidRPr="00823856" w:rsidRDefault="005F7BD5" w:rsidP="00EE12FE">
      <w:pPr>
        <w:pStyle w:val="ListParagraph"/>
        <w:numPr>
          <w:ilvl w:val="0"/>
          <w:numId w:val="1"/>
        </w:numPr>
        <w:spacing w:line="276" w:lineRule="auto"/>
        <w:rPr>
          <w:rFonts w:asciiTheme="majorBidi" w:hAnsiTheme="majorBidi" w:cstheme="majorBidi"/>
          <w:b/>
          <w:bCs/>
          <w:sz w:val="24"/>
          <w:szCs w:val="24"/>
        </w:rPr>
      </w:pPr>
      <w:r w:rsidRPr="00823856">
        <w:rPr>
          <w:rFonts w:asciiTheme="majorBidi" w:hAnsiTheme="majorBidi" w:cstheme="majorBidi"/>
          <w:b/>
          <w:bCs/>
          <w:sz w:val="24"/>
          <w:szCs w:val="24"/>
        </w:rPr>
        <w:lastRenderedPageBreak/>
        <w:t>Methodology</w:t>
      </w:r>
    </w:p>
    <w:p w14:paraId="48CC9AD4" w14:textId="360F6EB4" w:rsidR="00197BCC" w:rsidRPr="00823856" w:rsidRDefault="009A63AB" w:rsidP="00EE12FE">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The standard building was chosen as a case study to assess the modular building</w:t>
      </w:r>
      <w:r w:rsidR="007158E3" w:rsidRPr="00823856">
        <w:rPr>
          <w:rFonts w:asciiTheme="majorBidi" w:hAnsiTheme="majorBidi" w:cstheme="majorBidi"/>
          <w:sz w:val="24"/>
          <w:szCs w:val="24"/>
        </w:rPr>
        <w:t xml:space="preserve"> construction</w:t>
      </w:r>
      <w:r w:rsidRPr="00823856">
        <w:rPr>
          <w:rFonts w:asciiTheme="majorBidi" w:hAnsiTheme="majorBidi" w:cstheme="majorBidi"/>
          <w:sz w:val="24"/>
          <w:szCs w:val="24"/>
        </w:rPr>
        <w:t xml:space="preserve"> in Malaysia to fill</w:t>
      </w:r>
      <w:r w:rsidR="007158E3" w:rsidRPr="00823856">
        <w:rPr>
          <w:rFonts w:asciiTheme="majorBidi" w:hAnsiTheme="majorBidi" w:cstheme="majorBidi"/>
          <w:sz w:val="24"/>
          <w:szCs w:val="24"/>
        </w:rPr>
        <w:t xml:space="preserve"> current gaps in</w:t>
      </w:r>
      <w:r w:rsidRPr="00823856">
        <w:rPr>
          <w:rFonts w:asciiTheme="majorBidi" w:hAnsiTheme="majorBidi" w:cstheme="majorBidi"/>
          <w:sz w:val="24"/>
          <w:szCs w:val="24"/>
        </w:rPr>
        <w:t xml:space="preserve"> research. All case studies have a high degree of </w:t>
      </w:r>
      <w:r w:rsidR="007158E3" w:rsidRPr="00823856">
        <w:rPr>
          <w:rFonts w:asciiTheme="majorBidi" w:hAnsiTheme="majorBidi" w:cstheme="majorBidi"/>
          <w:sz w:val="24"/>
          <w:szCs w:val="24"/>
        </w:rPr>
        <w:t xml:space="preserve">modular </w:t>
      </w:r>
      <w:r w:rsidRPr="00823856">
        <w:rPr>
          <w:rFonts w:asciiTheme="majorBidi" w:hAnsiTheme="majorBidi" w:cstheme="majorBidi"/>
          <w:sz w:val="24"/>
          <w:szCs w:val="24"/>
        </w:rPr>
        <w:t xml:space="preserve">prefabrication. Data was collected for alternative materials using the same house plan and size to </w:t>
      </w:r>
      <w:r w:rsidR="007158E3" w:rsidRPr="00823856">
        <w:rPr>
          <w:rFonts w:asciiTheme="majorBidi" w:hAnsiTheme="majorBidi" w:cstheme="majorBidi"/>
          <w:sz w:val="24"/>
          <w:szCs w:val="24"/>
        </w:rPr>
        <w:t xml:space="preserve">accurately </w:t>
      </w:r>
      <w:r w:rsidRPr="00823856">
        <w:rPr>
          <w:rFonts w:asciiTheme="majorBidi" w:hAnsiTheme="majorBidi" w:cstheme="majorBidi"/>
          <w:sz w:val="24"/>
          <w:szCs w:val="24"/>
        </w:rPr>
        <w:t xml:space="preserve">reveal the differences between each material. Hence, the </w:t>
      </w:r>
      <w:r w:rsidR="007158E3" w:rsidRPr="00823856">
        <w:rPr>
          <w:rFonts w:asciiTheme="majorBidi" w:hAnsiTheme="majorBidi" w:cstheme="majorBidi"/>
          <w:sz w:val="24"/>
          <w:szCs w:val="24"/>
        </w:rPr>
        <w:t xml:space="preserve">scenarios used in the </w:t>
      </w:r>
      <w:r w:rsidRPr="00823856">
        <w:rPr>
          <w:rFonts w:asciiTheme="majorBidi" w:hAnsiTheme="majorBidi" w:cstheme="majorBidi"/>
          <w:sz w:val="24"/>
          <w:szCs w:val="24"/>
        </w:rPr>
        <w:t xml:space="preserve">analysis could be generalized </w:t>
      </w:r>
      <w:r w:rsidR="007158E3" w:rsidRPr="00823856">
        <w:rPr>
          <w:rFonts w:asciiTheme="majorBidi" w:hAnsiTheme="majorBidi" w:cstheme="majorBidi"/>
          <w:sz w:val="24"/>
          <w:szCs w:val="24"/>
        </w:rPr>
        <w:t>to</w:t>
      </w:r>
      <w:r w:rsidRPr="00823856">
        <w:rPr>
          <w:rFonts w:asciiTheme="majorBidi" w:hAnsiTheme="majorBidi" w:cstheme="majorBidi"/>
          <w:sz w:val="24"/>
          <w:szCs w:val="24"/>
        </w:rPr>
        <w:t xml:space="preserve"> a broader capacit</w:t>
      </w:r>
      <w:r w:rsidR="007158E3" w:rsidRPr="00823856">
        <w:rPr>
          <w:rFonts w:asciiTheme="majorBidi" w:hAnsiTheme="majorBidi" w:cstheme="majorBidi"/>
          <w:sz w:val="24"/>
          <w:szCs w:val="24"/>
        </w:rPr>
        <w:t xml:space="preserve">y, </w:t>
      </w:r>
      <w:r w:rsidRPr="00823856">
        <w:rPr>
          <w:rFonts w:asciiTheme="majorBidi" w:hAnsiTheme="majorBidi" w:cstheme="majorBidi"/>
          <w:sz w:val="24"/>
          <w:szCs w:val="24"/>
        </w:rPr>
        <w:t>represent</w:t>
      </w:r>
      <w:r w:rsidR="007158E3" w:rsidRPr="00823856">
        <w:rPr>
          <w:rFonts w:asciiTheme="majorBidi" w:hAnsiTheme="majorBidi" w:cstheme="majorBidi"/>
          <w:sz w:val="24"/>
          <w:szCs w:val="24"/>
        </w:rPr>
        <w:t>ing</w:t>
      </w:r>
      <w:r w:rsidRPr="00823856">
        <w:rPr>
          <w:rFonts w:asciiTheme="majorBidi" w:hAnsiTheme="majorBidi" w:cstheme="majorBidi"/>
          <w:sz w:val="24"/>
          <w:szCs w:val="24"/>
        </w:rPr>
        <w:t xml:space="preserve"> modular buildings currently manufactured in South Asia countries. The methodological framework used in this research is presented and shown in Figure 1. </w:t>
      </w:r>
      <w:proofErr w:type="gramStart"/>
      <w:r w:rsidRPr="00823856">
        <w:rPr>
          <w:rFonts w:asciiTheme="majorBidi" w:hAnsiTheme="majorBidi" w:cstheme="majorBidi"/>
          <w:sz w:val="24"/>
          <w:szCs w:val="24"/>
        </w:rPr>
        <w:t>The sustainability</w:t>
      </w:r>
      <w:proofErr w:type="gramEnd"/>
      <w:r w:rsidRPr="00823856">
        <w:rPr>
          <w:rFonts w:asciiTheme="majorBidi" w:hAnsiTheme="majorBidi" w:cstheme="majorBidi"/>
          <w:sz w:val="24"/>
          <w:szCs w:val="24"/>
        </w:rPr>
        <w:t xml:space="preserve"> research seeks to distinguish a method to </w:t>
      </w:r>
      <w:r w:rsidR="007158E3" w:rsidRPr="00823856">
        <w:rPr>
          <w:rFonts w:asciiTheme="majorBidi" w:hAnsiTheme="majorBidi" w:cstheme="majorBidi"/>
          <w:sz w:val="24"/>
          <w:szCs w:val="24"/>
        </w:rPr>
        <w:t xml:space="preserve">accurately </w:t>
      </w:r>
      <w:r w:rsidRPr="00823856">
        <w:rPr>
          <w:rFonts w:asciiTheme="majorBidi" w:hAnsiTheme="majorBidi" w:cstheme="majorBidi"/>
          <w:sz w:val="24"/>
          <w:szCs w:val="24"/>
        </w:rPr>
        <w:t xml:space="preserve">measure </w:t>
      </w:r>
      <w:r w:rsidR="007158E3" w:rsidRPr="00823856">
        <w:rPr>
          <w:rFonts w:asciiTheme="majorBidi" w:hAnsiTheme="majorBidi" w:cstheme="majorBidi"/>
          <w:sz w:val="24"/>
          <w:szCs w:val="24"/>
        </w:rPr>
        <w:t xml:space="preserve">not only </w:t>
      </w:r>
      <w:r w:rsidRPr="00823856">
        <w:rPr>
          <w:rFonts w:asciiTheme="majorBidi" w:hAnsiTheme="majorBidi" w:cstheme="majorBidi"/>
          <w:sz w:val="24"/>
          <w:szCs w:val="24"/>
        </w:rPr>
        <w:t>the environmental</w:t>
      </w:r>
      <w:r w:rsidR="007158E3" w:rsidRPr="00823856">
        <w:rPr>
          <w:rFonts w:asciiTheme="majorBidi" w:hAnsiTheme="majorBidi" w:cstheme="majorBidi"/>
          <w:sz w:val="24"/>
          <w:szCs w:val="24"/>
        </w:rPr>
        <w:t xml:space="preserve"> and social</w:t>
      </w:r>
      <w:r w:rsidRPr="00823856">
        <w:rPr>
          <w:rFonts w:asciiTheme="majorBidi" w:hAnsiTheme="majorBidi" w:cstheme="majorBidi"/>
          <w:sz w:val="24"/>
          <w:szCs w:val="24"/>
        </w:rPr>
        <w:t xml:space="preserve"> impact</w:t>
      </w:r>
      <w:r w:rsidR="007158E3" w:rsidRPr="00823856">
        <w:rPr>
          <w:rFonts w:asciiTheme="majorBidi" w:hAnsiTheme="majorBidi" w:cstheme="majorBidi"/>
          <w:sz w:val="24"/>
          <w:szCs w:val="24"/>
        </w:rPr>
        <w:t>s</w:t>
      </w:r>
      <w:r w:rsidRPr="00823856">
        <w:rPr>
          <w:rFonts w:asciiTheme="majorBidi" w:hAnsiTheme="majorBidi" w:cstheme="majorBidi"/>
          <w:sz w:val="24"/>
          <w:szCs w:val="24"/>
        </w:rPr>
        <w:t xml:space="preserve"> </w:t>
      </w:r>
      <w:r w:rsidR="007158E3" w:rsidRPr="00823856">
        <w:rPr>
          <w:rFonts w:asciiTheme="majorBidi" w:hAnsiTheme="majorBidi" w:cstheme="majorBidi"/>
          <w:sz w:val="24"/>
          <w:szCs w:val="24"/>
        </w:rPr>
        <w:t>but also</w:t>
      </w:r>
      <w:r w:rsidRPr="00823856">
        <w:rPr>
          <w:rFonts w:asciiTheme="majorBidi" w:hAnsiTheme="majorBidi" w:cstheme="majorBidi"/>
          <w:sz w:val="24"/>
          <w:szCs w:val="24"/>
        </w:rPr>
        <w:t xml:space="preserve"> </w:t>
      </w:r>
      <w:r w:rsidR="007158E3" w:rsidRPr="00823856">
        <w:rPr>
          <w:rFonts w:asciiTheme="majorBidi" w:hAnsiTheme="majorBidi" w:cstheme="majorBidi"/>
          <w:sz w:val="24"/>
          <w:szCs w:val="24"/>
        </w:rPr>
        <w:t>cost</w:t>
      </w:r>
      <w:r w:rsidRPr="00823856">
        <w:rPr>
          <w:rFonts w:asciiTheme="majorBidi" w:hAnsiTheme="majorBidi" w:cstheme="majorBidi"/>
          <w:sz w:val="24"/>
          <w:szCs w:val="24"/>
        </w:rPr>
        <w:t xml:space="preserve"> </w:t>
      </w:r>
      <w:r w:rsidR="007158E3" w:rsidRPr="00823856">
        <w:rPr>
          <w:rFonts w:asciiTheme="majorBidi" w:hAnsiTheme="majorBidi" w:cstheme="majorBidi"/>
          <w:sz w:val="24"/>
          <w:szCs w:val="24"/>
        </w:rPr>
        <w:t xml:space="preserve">to be </w:t>
      </w:r>
      <w:r w:rsidRPr="00823856">
        <w:rPr>
          <w:rFonts w:asciiTheme="majorBidi" w:hAnsiTheme="majorBidi" w:cstheme="majorBidi"/>
          <w:sz w:val="24"/>
          <w:szCs w:val="24"/>
        </w:rPr>
        <w:t>compatible with proper terms towards the best outcome.</w:t>
      </w:r>
      <w:r w:rsidR="00EE6E7E" w:rsidRPr="00823856">
        <w:rPr>
          <w:rFonts w:asciiTheme="majorBidi" w:hAnsiTheme="majorBidi" w:cstheme="majorBidi"/>
          <w:sz w:val="24"/>
          <w:szCs w:val="24"/>
        </w:rPr>
        <w:t xml:space="preserve"> </w:t>
      </w:r>
    </w:p>
    <w:p w14:paraId="31F38B44" w14:textId="6AA560DE" w:rsidR="00034B1E" w:rsidRPr="00823856" w:rsidRDefault="00034B1E" w:rsidP="00823856">
      <w:pPr>
        <w:spacing w:line="276" w:lineRule="auto"/>
        <w:ind w:firstLine="720"/>
        <w:jc w:val="center"/>
        <w:rPr>
          <w:rFonts w:asciiTheme="majorBidi" w:hAnsiTheme="majorBidi" w:cstheme="majorBidi"/>
          <w:sz w:val="24"/>
          <w:szCs w:val="24"/>
        </w:rPr>
      </w:pPr>
      <w:r w:rsidRPr="00823856">
        <w:rPr>
          <w:rFonts w:asciiTheme="majorBidi" w:hAnsiTheme="majorBidi" w:cstheme="majorBidi"/>
          <w:noProof/>
        </w:rPr>
        <w:drawing>
          <wp:inline distT="0" distB="0" distL="0" distR="0" wp14:anchorId="65821590" wp14:editId="4A822B40">
            <wp:extent cx="5220335" cy="2468880"/>
            <wp:effectExtent l="0" t="0" r="0" b="7620"/>
            <wp:docPr id="16" name="Picture 16" descr="C:\Users\Ali\Dropbox\24-IF 3PPVC\Screenshot 2021-06-22 082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ropbox\24-IF 3PPVC\Screenshot 2021-06-22 0826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5630" cy="2476114"/>
                    </a:xfrm>
                    <a:prstGeom prst="rect">
                      <a:avLst/>
                    </a:prstGeom>
                    <a:noFill/>
                    <a:ln>
                      <a:noFill/>
                    </a:ln>
                  </pic:spPr>
                </pic:pic>
              </a:graphicData>
            </a:graphic>
          </wp:inline>
        </w:drawing>
      </w:r>
    </w:p>
    <w:p w14:paraId="2CA944F7" w14:textId="1CBDCC8B" w:rsidR="00044F2D" w:rsidRPr="00823856" w:rsidRDefault="00F575AE" w:rsidP="000B5555">
      <w:pPr>
        <w:spacing w:line="276" w:lineRule="auto"/>
        <w:jc w:val="center"/>
        <w:rPr>
          <w:rFonts w:asciiTheme="majorBidi" w:hAnsiTheme="majorBidi" w:cstheme="majorBidi"/>
          <w:sz w:val="24"/>
          <w:szCs w:val="24"/>
        </w:rPr>
      </w:pPr>
      <w:r w:rsidRPr="00823856">
        <w:rPr>
          <w:rFonts w:asciiTheme="majorBidi" w:hAnsiTheme="majorBidi" w:cstheme="majorBidi"/>
          <w:sz w:val="24"/>
          <w:szCs w:val="24"/>
        </w:rPr>
        <w:t>Figure 1:</w:t>
      </w:r>
      <w:r w:rsidR="00197BCC" w:rsidRPr="00823856">
        <w:rPr>
          <w:rFonts w:asciiTheme="majorBidi" w:hAnsiTheme="majorBidi" w:cstheme="majorBidi"/>
          <w:sz w:val="24"/>
          <w:szCs w:val="24"/>
        </w:rPr>
        <w:t xml:space="preserve"> </w:t>
      </w:r>
      <w:r w:rsidRPr="00823856">
        <w:rPr>
          <w:rFonts w:asciiTheme="majorBidi" w:hAnsiTheme="majorBidi" w:cstheme="majorBidi"/>
          <w:sz w:val="24"/>
          <w:szCs w:val="24"/>
        </w:rPr>
        <w:t>M</w:t>
      </w:r>
      <w:r w:rsidR="00D456E5" w:rsidRPr="00823856">
        <w:rPr>
          <w:rFonts w:asciiTheme="majorBidi" w:hAnsiTheme="majorBidi" w:cstheme="majorBidi"/>
          <w:sz w:val="24"/>
          <w:szCs w:val="24"/>
        </w:rPr>
        <w:t>ethodological framework</w:t>
      </w:r>
      <w:r w:rsidR="000C11AB" w:rsidRPr="00823856">
        <w:rPr>
          <w:rFonts w:asciiTheme="majorBidi" w:hAnsiTheme="majorBidi" w:cstheme="majorBidi"/>
          <w:sz w:val="24"/>
          <w:szCs w:val="24"/>
        </w:rPr>
        <w:t xml:space="preserve"> of </w:t>
      </w:r>
      <w:r w:rsidR="00197BCC" w:rsidRPr="00823856">
        <w:rPr>
          <w:rFonts w:asciiTheme="majorBidi" w:hAnsiTheme="majorBidi" w:cstheme="majorBidi"/>
          <w:sz w:val="24"/>
          <w:szCs w:val="24"/>
        </w:rPr>
        <w:t xml:space="preserve">life cycle </w:t>
      </w:r>
      <w:r w:rsidR="000C11AB" w:rsidRPr="00823856">
        <w:rPr>
          <w:rFonts w:asciiTheme="majorBidi" w:hAnsiTheme="majorBidi" w:cstheme="majorBidi"/>
          <w:sz w:val="24"/>
          <w:szCs w:val="24"/>
        </w:rPr>
        <w:t>study</w:t>
      </w:r>
      <w:r w:rsidR="0086759A" w:rsidRPr="00823856">
        <w:rPr>
          <w:rFonts w:asciiTheme="majorBidi" w:hAnsiTheme="majorBidi" w:cstheme="majorBidi"/>
          <w:sz w:val="24"/>
          <w:szCs w:val="24"/>
        </w:rPr>
        <w:t xml:space="preserve"> illustrating the steps of this study.</w:t>
      </w:r>
    </w:p>
    <w:p w14:paraId="568F24FA" w14:textId="096DB355" w:rsidR="00772181" w:rsidRPr="00823856" w:rsidRDefault="003C6CF7" w:rsidP="00D96B6B">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Performing a q</w:t>
      </w:r>
      <w:r w:rsidR="001502D8" w:rsidRPr="00823856">
        <w:rPr>
          <w:rFonts w:asciiTheme="majorBidi" w:hAnsiTheme="majorBidi" w:cstheme="majorBidi"/>
          <w:sz w:val="24"/>
          <w:szCs w:val="24"/>
        </w:rPr>
        <w:t xml:space="preserve">uantitative evaluation of all environmental impacts could be time-consuming and requires </w:t>
      </w:r>
      <w:r w:rsidRPr="00823856">
        <w:rPr>
          <w:rFonts w:asciiTheme="majorBidi" w:hAnsiTheme="majorBidi" w:cstheme="majorBidi"/>
          <w:sz w:val="24"/>
          <w:szCs w:val="24"/>
        </w:rPr>
        <w:t xml:space="preserve">a level of </w:t>
      </w:r>
      <w:r w:rsidR="001502D8" w:rsidRPr="00823856">
        <w:rPr>
          <w:rFonts w:asciiTheme="majorBidi" w:hAnsiTheme="majorBidi" w:cstheme="majorBidi"/>
          <w:sz w:val="24"/>
          <w:szCs w:val="24"/>
        </w:rPr>
        <w:t xml:space="preserve">proficiency to </w:t>
      </w:r>
      <w:r w:rsidRPr="00823856">
        <w:rPr>
          <w:rFonts w:asciiTheme="majorBidi" w:hAnsiTheme="majorBidi" w:cstheme="majorBidi"/>
          <w:sz w:val="24"/>
          <w:szCs w:val="24"/>
        </w:rPr>
        <w:t>analyze</w:t>
      </w:r>
      <w:r w:rsidR="001502D8" w:rsidRPr="00823856">
        <w:rPr>
          <w:rFonts w:asciiTheme="majorBidi" w:hAnsiTheme="majorBidi" w:cstheme="majorBidi"/>
          <w:sz w:val="24"/>
          <w:szCs w:val="24"/>
        </w:rPr>
        <w:t xml:space="preserve"> </w:t>
      </w:r>
      <w:r w:rsidRPr="00823856">
        <w:rPr>
          <w:rFonts w:asciiTheme="majorBidi" w:hAnsiTheme="majorBidi" w:cstheme="majorBidi"/>
          <w:sz w:val="24"/>
          <w:szCs w:val="24"/>
        </w:rPr>
        <w:t xml:space="preserve">all the </w:t>
      </w:r>
      <w:r w:rsidR="001502D8" w:rsidRPr="00823856">
        <w:rPr>
          <w:rFonts w:asciiTheme="majorBidi" w:hAnsiTheme="majorBidi" w:cstheme="majorBidi"/>
          <w:sz w:val="24"/>
          <w:szCs w:val="24"/>
        </w:rPr>
        <w:t xml:space="preserve">numerous impacts. </w:t>
      </w:r>
      <w:r w:rsidR="00BB36A7" w:rsidRPr="00823856">
        <w:rPr>
          <w:rFonts w:asciiTheme="majorBidi" w:hAnsiTheme="majorBidi" w:cstheme="majorBidi"/>
          <w:sz w:val="24"/>
          <w:szCs w:val="24"/>
        </w:rPr>
        <w:t xml:space="preserve">This study consists of four stages. </w:t>
      </w:r>
      <w:r w:rsidRPr="00823856">
        <w:rPr>
          <w:rFonts w:asciiTheme="majorBidi" w:hAnsiTheme="majorBidi" w:cstheme="majorBidi"/>
          <w:sz w:val="24"/>
          <w:szCs w:val="24"/>
        </w:rPr>
        <w:t xml:space="preserve">In stage 1, </w:t>
      </w:r>
      <w:r w:rsidR="001502D8" w:rsidRPr="00823856">
        <w:rPr>
          <w:rFonts w:asciiTheme="majorBidi" w:hAnsiTheme="majorBidi" w:cstheme="majorBidi"/>
          <w:sz w:val="24"/>
          <w:szCs w:val="24"/>
        </w:rPr>
        <w:t>two environmental issues</w:t>
      </w:r>
      <w:r w:rsidR="00BB36A7" w:rsidRPr="00823856">
        <w:rPr>
          <w:rFonts w:asciiTheme="majorBidi" w:hAnsiTheme="majorBidi" w:cstheme="majorBidi"/>
          <w:sz w:val="24"/>
          <w:szCs w:val="24"/>
        </w:rPr>
        <w:t xml:space="preserve"> are covered</w:t>
      </w:r>
      <w:r w:rsidR="001502D8" w:rsidRPr="00823856">
        <w:rPr>
          <w:rFonts w:asciiTheme="majorBidi" w:hAnsiTheme="majorBidi" w:cstheme="majorBidi"/>
          <w:sz w:val="24"/>
          <w:szCs w:val="24"/>
        </w:rPr>
        <w:t>: embodied energy and GWP (carbon dioxide emission</w:t>
      </w:r>
      <w:r w:rsidRPr="00823856">
        <w:rPr>
          <w:rFonts w:asciiTheme="majorBidi" w:hAnsiTheme="majorBidi" w:cstheme="majorBidi"/>
          <w:sz w:val="24"/>
          <w:szCs w:val="24"/>
        </w:rPr>
        <w:t>s</w:t>
      </w:r>
      <w:r w:rsidR="001502D8" w:rsidRPr="00823856">
        <w:rPr>
          <w:rFonts w:asciiTheme="majorBidi" w:hAnsiTheme="majorBidi" w:cstheme="majorBidi"/>
          <w:sz w:val="24"/>
          <w:szCs w:val="24"/>
        </w:rPr>
        <w:t xml:space="preserve">) </w:t>
      </w:r>
      <w:proofErr w:type="gramStart"/>
      <w:r w:rsidR="001502D8" w:rsidRPr="00823856">
        <w:rPr>
          <w:rFonts w:asciiTheme="majorBidi" w:hAnsiTheme="majorBidi" w:cstheme="majorBidi"/>
          <w:sz w:val="24"/>
          <w:szCs w:val="24"/>
        </w:rPr>
        <w:t xml:space="preserve">in </w:t>
      </w:r>
      <w:r w:rsidR="00BB36A7" w:rsidRPr="00823856">
        <w:rPr>
          <w:rFonts w:asciiTheme="majorBidi" w:hAnsiTheme="majorBidi" w:cstheme="majorBidi"/>
          <w:sz w:val="24"/>
          <w:szCs w:val="24"/>
        </w:rPr>
        <w:t xml:space="preserve">order </w:t>
      </w:r>
      <w:r w:rsidR="001502D8" w:rsidRPr="00823856">
        <w:rPr>
          <w:rFonts w:asciiTheme="majorBidi" w:hAnsiTheme="majorBidi" w:cstheme="majorBidi"/>
          <w:sz w:val="24"/>
          <w:szCs w:val="24"/>
        </w:rPr>
        <w:t>to</w:t>
      </w:r>
      <w:proofErr w:type="gramEnd"/>
      <w:r w:rsidR="001502D8" w:rsidRPr="00823856">
        <w:rPr>
          <w:rFonts w:asciiTheme="majorBidi" w:hAnsiTheme="majorBidi" w:cstheme="majorBidi"/>
          <w:sz w:val="24"/>
          <w:szCs w:val="24"/>
        </w:rPr>
        <w:t xml:space="preserve"> evaluate the environmental burden. </w:t>
      </w:r>
      <w:r w:rsidRPr="00823856">
        <w:rPr>
          <w:rFonts w:asciiTheme="majorBidi" w:hAnsiTheme="majorBidi" w:cstheme="majorBidi"/>
          <w:sz w:val="24"/>
          <w:szCs w:val="24"/>
        </w:rPr>
        <w:t>The intent is not</w:t>
      </w:r>
      <w:r w:rsidR="001502D8" w:rsidRPr="00823856">
        <w:rPr>
          <w:rFonts w:asciiTheme="majorBidi" w:hAnsiTheme="majorBidi" w:cstheme="majorBidi"/>
          <w:sz w:val="24"/>
          <w:szCs w:val="24"/>
        </w:rPr>
        <w:t xml:space="preserve"> to replace those two environmental impacts with other impacts but to give fast and reliable results to those designing modular unit</w:t>
      </w:r>
      <w:r w:rsidRPr="00823856">
        <w:rPr>
          <w:rFonts w:asciiTheme="majorBidi" w:hAnsiTheme="majorBidi" w:cstheme="majorBidi"/>
          <w:sz w:val="24"/>
          <w:szCs w:val="24"/>
        </w:rPr>
        <w:t>s</w:t>
      </w:r>
      <w:r w:rsidR="001502D8" w:rsidRPr="00823856">
        <w:rPr>
          <w:rFonts w:asciiTheme="majorBidi" w:hAnsiTheme="majorBidi" w:cstheme="majorBidi"/>
          <w:sz w:val="24"/>
          <w:szCs w:val="24"/>
        </w:rPr>
        <w:t>. Stage 2 is related to the Life Cycle Cost (LCC) evaluation of three different case studies and the economical option</w:t>
      </w:r>
      <w:r w:rsidRPr="00823856">
        <w:rPr>
          <w:rFonts w:asciiTheme="majorBidi" w:hAnsiTheme="majorBidi" w:cstheme="majorBidi"/>
          <w:sz w:val="24"/>
          <w:szCs w:val="24"/>
        </w:rPr>
        <w:t>s</w:t>
      </w:r>
      <w:r w:rsidR="001502D8" w:rsidRPr="00823856">
        <w:rPr>
          <w:rFonts w:asciiTheme="majorBidi" w:hAnsiTheme="majorBidi" w:cstheme="majorBidi"/>
          <w:sz w:val="24"/>
          <w:szCs w:val="24"/>
        </w:rPr>
        <w:t xml:space="preserve">. </w:t>
      </w:r>
      <w:r w:rsidR="00BC31EC" w:rsidRPr="00823856">
        <w:rPr>
          <w:rFonts w:asciiTheme="majorBidi" w:hAnsiTheme="majorBidi" w:cstheme="majorBidi"/>
          <w:sz w:val="24"/>
          <w:szCs w:val="24"/>
        </w:rPr>
        <w:t>Subsequently,</w:t>
      </w:r>
      <w:r w:rsidR="001502D8" w:rsidRPr="00823856">
        <w:rPr>
          <w:rFonts w:asciiTheme="majorBidi" w:hAnsiTheme="majorBidi" w:cstheme="majorBidi"/>
          <w:sz w:val="24"/>
          <w:szCs w:val="24"/>
        </w:rPr>
        <w:t xml:space="preserve"> stage 3 evaluates the SLCA of different scenarios to consider the best choice for workers and consumers. </w:t>
      </w:r>
      <w:r w:rsidR="00BC31EC" w:rsidRPr="00823856">
        <w:rPr>
          <w:rFonts w:asciiTheme="majorBidi" w:hAnsiTheme="majorBidi" w:cstheme="majorBidi"/>
          <w:sz w:val="24"/>
          <w:szCs w:val="24"/>
        </w:rPr>
        <w:t>M</w:t>
      </w:r>
      <w:r w:rsidR="001502D8" w:rsidRPr="00823856">
        <w:rPr>
          <w:rFonts w:asciiTheme="majorBidi" w:hAnsiTheme="majorBidi" w:cstheme="majorBidi"/>
          <w:sz w:val="24"/>
          <w:szCs w:val="24"/>
        </w:rPr>
        <w:t>aterial</w:t>
      </w:r>
      <w:r w:rsidR="00BC31EC" w:rsidRPr="00823856">
        <w:rPr>
          <w:rFonts w:asciiTheme="majorBidi" w:hAnsiTheme="majorBidi" w:cstheme="majorBidi"/>
          <w:sz w:val="24"/>
          <w:szCs w:val="24"/>
        </w:rPr>
        <w:t>s</w:t>
      </w:r>
      <w:r w:rsidR="001502D8" w:rsidRPr="00823856">
        <w:rPr>
          <w:rFonts w:asciiTheme="majorBidi" w:hAnsiTheme="majorBidi" w:cstheme="majorBidi"/>
          <w:sz w:val="24"/>
          <w:szCs w:val="24"/>
        </w:rPr>
        <w:t xml:space="preserve"> selection</w:t>
      </w:r>
      <w:r w:rsidR="00BC31EC" w:rsidRPr="00823856">
        <w:rPr>
          <w:rFonts w:asciiTheme="majorBidi" w:hAnsiTheme="majorBidi" w:cstheme="majorBidi"/>
          <w:sz w:val="24"/>
          <w:szCs w:val="24"/>
        </w:rPr>
        <w:t xml:space="preserve"> for construction</w:t>
      </w:r>
      <w:r w:rsidR="001502D8" w:rsidRPr="00823856">
        <w:rPr>
          <w:rFonts w:asciiTheme="majorBidi" w:hAnsiTheme="majorBidi" w:cstheme="majorBidi"/>
          <w:sz w:val="24"/>
          <w:szCs w:val="24"/>
        </w:rPr>
        <w:t xml:space="preserve"> could be a complex decision-oriented with problem-solving in which an expert's opinion is needed along with comparative validation</w:t>
      </w:r>
      <w:r w:rsidR="00BC31EC" w:rsidRPr="00823856">
        <w:rPr>
          <w:rFonts w:asciiTheme="majorBidi" w:hAnsiTheme="majorBidi" w:cstheme="majorBidi"/>
          <w:sz w:val="24"/>
          <w:szCs w:val="24"/>
        </w:rPr>
        <w:t>s</w:t>
      </w:r>
      <w:r w:rsidR="001502D8" w:rsidRPr="00823856">
        <w:rPr>
          <w:rFonts w:asciiTheme="majorBidi" w:hAnsiTheme="majorBidi" w:cstheme="majorBidi"/>
          <w:sz w:val="24"/>
          <w:szCs w:val="24"/>
        </w:rPr>
        <w:t xml:space="preserve"> (Zarandi et al., 2011). </w:t>
      </w:r>
      <w:r w:rsidR="006A439E">
        <w:rPr>
          <w:rFonts w:asciiTheme="majorBidi" w:hAnsiTheme="majorBidi" w:cstheme="majorBidi"/>
          <w:sz w:val="24"/>
          <w:szCs w:val="24"/>
        </w:rPr>
        <w:t>Finally</w:t>
      </w:r>
      <w:r w:rsidR="001502D8" w:rsidRPr="00823856">
        <w:rPr>
          <w:rFonts w:asciiTheme="majorBidi" w:hAnsiTheme="majorBidi" w:cstheme="majorBidi"/>
          <w:sz w:val="24"/>
          <w:szCs w:val="24"/>
        </w:rPr>
        <w:t xml:space="preserve">, the Multi-criteria decision-making (MCDM) </w:t>
      </w:r>
      <w:r w:rsidR="00BC31EC" w:rsidRPr="00823856">
        <w:rPr>
          <w:rFonts w:asciiTheme="majorBidi" w:hAnsiTheme="majorBidi" w:cstheme="majorBidi"/>
          <w:sz w:val="24"/>
          <w:szCs w:val="24"/>
        </w:rPr>
        <w:t xml:space="preserve">with </w:t>
      </w:r>
      <w:r w:rsidR="001502D8" w:rsidRPr="00823856">
        <w:rPr>
          <w:rFonts w:asciiTheme="majorBidi" w:hAnsiTheme="majorBidi" w:cstheme="majorBidi"/>
          <w:sz w:val="24"/>
          <w:szCs w:val="24"/>
        </w:rPr>
        <w:t xml:space="preserve">PROMETHEE (Preference Ranking Organization Method for Enrichment Evaluation) method </w:t>
      </w:r>
      <w:r w:rsidR="00BC31EC" w:rsidRPr="00823856">
        <w:rPr>
          <w:rFonts w:asciiTheme="majorBidi" w:hAnsiTheme="majorBidi" w:cstheme="majorBidi"/>
          <w:sz w:val="24"/>
          <w:szCs w:val="24"/>
        </w:rPr>
        <w:t xml:space="preserve">is used </w:t>
      </w:r>
      <w:r w:rsidR="001502D8" w:rsidRPr="00823856">
        <w:rPr>
          <w:rFonts w:asciiTheme="majorBidi" w:hAnsiTheme="majorBidi" w:cstheme="majorBidi"/>
          <w:sz w:val="24"/>
          <w:szCs w:val="24"/>
        </w:rPr>
        <w:t xml:space="preserve">to find the </w:t>
      </w:r>
      <w:r w:rsidR="00BC31EC" w:rsidRPr="00823856">
        <w:rPr>
          <w:rFonts w:asciiTheme="majorBidi" w:hAnsiTheme="majorBidi" w:cstheme="majorBidi"/>
          <w:sz w:val="24"/>
          <w:szCs w:val="24"/>
        </w:rPr>
        <w:t xml:space="preserve">most optimum </w:t>
      </w:r>
      <w:r w:rsidR="001502D8" w:rsidRPr="00823856">
        <w:rPr>
          <w:rFonts w:asciiTheme="majorBidi" w:hAnsiTheme="majorBidi" w:cstheme="majorBidi"/>
          <w:sz w:val="24"/>
          <w:szCs w:val="24"/>
        </w:rPr>
        <w:t xml:space="preserve">solution (Brans et al., 1986). </w:t>
      </w:r>
    </w:p>
    <w:p w14:paraId="7DB0A1F1" w14:textId="77777777" w:rsidR="00EA1869" w:rsidRDefault="00EA1869" w:rsidP="00EE12FE">
      <w:pPr>
        <w:spacing w:line="276" w:lineRule="auto"/>
        <w:ind w:firstLine="720"/>
        <w:jc w:val="both"/>
        <w:rPr>
          <w:rFonts w:asciiTheme="majorBidi" w:hAnsiTheme="majorBidi" w:cstheme="majorBidi"/>
          <w:sz w:val="24"/>
          <w:szCs w:val="24"/>
        </w:rPr>
      </w:pPr>
    </w:p>
    <w:p w14:paraId="1091943D" w14:textId="77777777" w:rsidR="00EA31B3" w:rsidRPr="00823856" w:rsidRDefault="00EA31B3" w:rsidP="00EE12FE">
      <w:pPr>
        <w:spacing w:line="276" w:lineRule="auto"/>
        <w:ind w:firstLine="720"/>
        <w:jc w:val="both"/>
        <w:rPr>
          <w:rFonts w:asciiTheme="majorBidi" w:hAnsiTheme="majorBidi" w:cstheme="majorBidi"/>
          <w:sz w:val="24"/>
          <w:szCs w:val="24"/>
        </w:rPr>
      </w:pPr>
    </w:p>
    <w:p w14:paraId="6B2DB313" w14:textId="722D5D39" w:rsidR="00322BEC" w:rsidRPr="00823856" w:rsidRDefault="0087572A" w:rsidP="00EE12FE">
      <w:pPr>
        <w:pStyle w:val="ListParagraph"/>
        <w:numPr>
          <w:ilvl w:val="1"/>
          <w:numId w:val="1"/>
        </w:numPr>
        <w:autoSpaceDE w:val="0"/>
        <w:autoSpaceDN w:val="0"/>
        <w:adjustRightInd w:val="0"/>
        <w:spacing w:line="276" w:lineRule="auto"/>
        <w:jc w:val="both"/>
        <w:rPr>
          <w:rFonts w:asciiTheme="majorBidi" w:hAnsiTheme="majorBidi" w:cstheme="majorBidi"/>
          <w:b/>
          <w:bCs/>
          <w:sz w:val="24"/>
          <w:szCs w:val="24"/>
        </w:rPr>
      </w:pPr>
      <w:r w:rsidRPr="00823856">
        <w:rPr>
          <w:rFonts w:asciiTheme="majorBidi" w:hAnsiTheme="majorBidi" w:cstheme="majorBidi"/>
          <w:b/>
          <w:bCs/>
          <w:i/>
          <w:iCs/>
          <w:sz w:val="24"/>
          <w:szCs w:val="24"/>
        </w:rPr>
        <w:lastRenderedPageBreak/>
        <w:t>Life Cycle Assessment</w:t>
      </w:r>
    </w:p>
    <w:p w14:paraId="51ED7E51" w14:textId="293F0784" w:rsidR="00733C50" w:rsidRDefault="000162AB" w:rsidP="00EA31B3">
      <w:pPr>
        <w:pStyle w:val="mb-25"/>
        <w:spacing w:line="276" w:lineRule="auto"/>
        <w:ind w:firstLine="720"/>
        <w:jc w:val="both"/>
        <w:rPr>
          <w:rFonts w:asciiTheme="majorBidi" w:hAnsiTheme="majorBidi" w:cstheme="majorBidi"/>
        </w:rPr>
      </w:pPr>
      <w:r w:rsidRPr="00CF28E0">
        <w:rPr>
          <w:color w:val="000000" w:themeColor="text1"/>
          <w:sz w:val="22"/>
          <w:szCs w:val="22"/>
        </w:rPr>
        <w:t xml:space="preserve">Life cycle assessment (LCA) was conducted to evaluate the CE of wooden materials for two construction cycles. Analyzing processes, products and alternative activities with LCA has become a recognized international approach. Environmental performance and loads are assessed throughout the life cycle of products using this methodology </w:t>
      </w:r>
      <w:r w:rsidRPr="00CF28E0">
        <w:rPr>
          <w:color w:val="000000" w:themeColor="text1"/>
          <w:sz w:val="22"/>
          <w:szCs w:val="22"/>
        </w:rPr>
        <w:fldChar w:fldCharType="begin" w:fldLock="1"/>
      </w:r>
      <w:r w:rsidRPr="00CF28E0">
        <w:rPr>
          <w:color w:val="000000" w:themeColor="text1"/>
          <w:sz w:val="22"/>
          <w:szCs w:val="22"/>
        </w:rPr>
        <w:instrText>ADDIN CSL_CITATION {"citationItems":[{"id":"ITEM-1","itemData":{"DOI":"10.1007/s11356-022-18647-8","ISBN":"0123456789","ISSN":"0944-1344","author":[{"dropping-particle":"","family":"Balasbaneh","given":"Ali Tighnavard","non-dropping-particle":"","parse-names":false,"suffix":""},{"dropping-particle":"","family":"Yeoh","given":"David","non-dropping-particle":"","parse-names":false,"suffix":""},{"dropping-particle":"","family":"Ramli","given":"Mohd Zamri","non-dropping-particle":"","parse-names":false,"suffix":""},{"dropping-particle":"","family":"Valdi","given":"Mohammad Hossein Taghizadeh","non-dropping-particle":"","parse-names":false,"suffix":""}],"container-title":"Environmental Science and Pollution Research","id":"ITEM-1","issue":"0123456789","issued":{"date-parts":[["2022"]]},"publisher":"Springer Berlin Heidelberg","title":"Different alternative retrofit to improving the sustainability of building in tropical climate: multi-criteria decision-making","type":"article-journal"},"uris":["http://www.mendeley.com/documents/?uuid=e83bfcb1-2500-4e73-a2ce-24c1de91f914"]},{"id":"ITEM-2","itemData":{"DOI":"10.3390/su13063401","ISSN":"20711050","abstract":"The objective of this paper was to quantify and compare the environmental impacts associated with alternative designs of typical North American low and mid-rise buildings. Two scenarios were considered: a traditional structural steel frame or an all-wood mass timber design, utilizing engineered wood products for both gravity and lateral load resistance. The boundary of the quantitative analysis was cradle-to-grave with considerations taken to discuss end-of-life and material reuse scenarios. The TRACI methodology was followed to conduct a Life Cycle Impact Assessment (LCIA) analysis that translates building quantities to environmental impact indicators using the Athena Impact Estimator for Buildings Life Cycle analysis software tool and Athena’s Life Cycle Inventory database. The results of the analysis show that mass timber buildings have an advantage with respect to several environmental impact categories, including eutrophication potential, human health particulate, and global warming potential where a 31% to 41% reduction was found from mass timber to steel designs, neglecting potential carbon sequestration benefits from the timber products. However, it was also found that the steel buildings have a lower impact with respect to the environmental impact categories of smog potential, acidification potential, and ozone depletion potential, where a 48% to 58% reduction was found from the steel to the mass timber building designs.","author":[{"dropping-particle":"","family":"Allan","given":"Kevin","non-dropping-particle":"","parse-names":false,"suffix":""},{"dropping-particle":"","family":"Phillips","given":"Adam R.","non-dropping-particle":"","parse-names":false,"suffix":""}],"container-title":"Sustainability (Switzerland)","id":"ITEM-2","issue":"6","issued":{"date-parts":[["2021"]]},"title":"Comparative cradle-to-grave life cycle assessment of low and mid-rise mass timber buildings with equivalent structural steel alternatives","type":"article-journal","volume":"13"},"uris":["http://www.mendeley.com/documents/?uuid=25f8dc4a-fc53-492b-a66b-d0ee3d0a7953"]}],"mendeley":{"formattedCitation":"(Allan &amp; Phillips, 2021; Balasbaneh et al., 2022)","plainTextFormattedCitation":"(Allan &amp; Phillips, 2021; Balasbaneh et al., 2022)","previouslyFormattedCitation":"(Allan &amp; Phillips, 2021; Balasbaneh et al., 2022)"},"properties":{"noteIndex":0},"schema":"https://github.com/citation-style-language/schema/raw/master/csl-citation.json"}</w:instrText>
      </w:r>
      <w:r w:rsidRPr="00CF28E0">
        <w:rPr>
          <w:color w:val="000000" w:themeColor="text1"/>
          <w:sz w:val="22"/>
          <w:szCs w:val="22"/>
        </w:rPr>
        <w:fldChar w:fldCharType="separate"/>
      </w:r>
      <w:r w:rsidRPr="00CF28E0">
        <w:rPr>
          <w:noProof/>
          <w:color w:val="000000" w:themeColor="text1"/>
          <w:sz w:val="22"/>
          <w:szCs w:val="22"/>
        </w:rPr>
        <w:t>(Allan &amp; Phillips, 2021; Balasbaneh et al., 2022)</w:t>
      </w:r>
      <w:r w:rsidRPr="00CF28E0">
        <w:rPr>
          <w:color w:val="000000" w:themeColor="text1"/>
          <w:sz w:val="22"/>
          <w:szCs w:val="22"/>
        </w:rPr>
        <w:fldChar w:fldCharType="end"/>
      </w:r>
      <w:r w:rsidRPr="00CF28E0">
        <w:rPr>
          <w:color w:val="000000" w:themeColor="text1"/>
          <w:sz w:val="22"/>
          <w:szCs w:val="22"/>
        </w:rPr>
        <w:t>. LCA is currently used to assess impact and sustainability.</w:t>
      </w:r>
      <w:r w:rsidR="00733C50">
        <w:rPr>
          <w:color w:val="000000" w:themeColor="text1"/>
          <w:sz w:val="22"/>
          <w:szCs w:val="22"/>
        </w:rPr>
        <w:t xml:space="preserve"> </w:t>
      </w:r>
      <w:r w:rsidR="0069088E" w:rsidRPr="00823856">
        <w:rPr>
          <w:rFonts w:asciiTheme="majorBidi" w:hAnsiTheme="majorBidi" w:cstheme="majorBidi"/>
        </w:rPr>
        <w:t>Table 1 shows the system boundaries corresponding to the life cycle modules</w:t>
      </w:r>
      <w:r w:rsidR="00733C50">
        <w:rPr>
          <w:rFonts w:asciiTheme="majorBidi" w:hAnsiTheme="majorBidi" w:cstheme="majorBidi"/>
        </w:rPr>
        <w:t>.</w:t>
      </w:r>
    </w:p>
    <w:p w14:paraId="39BC9D3E" w14:textId="22D2BAEE" w:rsidR="005C5614" w:rsidRPr="00823856" w:rsidRDefault="005C5614" w:rsidP="00823856">
      <w:pPr>
        <w:autoSpaceDE w:val="0"/>
        <w:autoSpaceDN w:val="0"/>
        <w:adjustRightInd w:val="0"/>
        <w:spacing w:after="0" w:line="276" w:lineRule="auto"/>
        <w:jc w:val="center"/>
        <w:rPr>
          <w:rFonts w:asciiTheme="majorBidi" w:hAnsiTheme="majorBidi" w:cstheme="majorBidi"/>
          <w:sz w:val="24"/>
          <w:szCs w:val="24"/>
        </w:rPr>
      </w:pPr>
      <w:r w:rsidRPr="00823856">
        <w:rPr>
          <w:rFonts w:asciiTheme="majorBidi" w:hAnsiTheme="majorBidi" w:cstheme="majorBidi"/>
          <w:sz w:val="24"/>
          <w:szCs w:val="24"/>
        </w:rPr>
        <w:t xml:space="preserve">Table 1:  </w:t>
      </w:r>
      <w:r w:rsidR="001B48F7" w:rsidRPr="00823856">
        <w:rPr>
          <w:rFonts w:asciiTheme="majorBidi" w:hAnsiTheme="majorBidi" w:cstheme="majorBidi"/>
          <w:sz w:val="24"/>
          <w:szCs w:val="24"/>
        </w:rPr>
        <w:t>A</w:t>
      </w:r>
      <w:r w:rsidRPr="00823856">
        <w:rPr>
          <w:rFonts w:asciiTheme="majorBidi" w:hAnsiTheme="majorBidi" w:cstheme="majorBidi"/>
          <w:sz w:val="24"/>
          <w:szCs w:val="24"/>
        </w:rPr>
        <w:t xml:space="preserve"> modular building's life cycle stages </w:t>
      </w:r>
      <w:r w:rsidR="000E44BF" w:rsidRPr="00823856">
        <w:rPr>
          <w:rFonts w:asciiTheme="majorBidi" w:hAnsiTheme="majorBidi" w:cstheme="majorBidi"/>
          <w:sz w:val="24"/>
          <w:szCs w:val="24"/>
        </w:rPr>
        <w:t>EN</w:t>
      </w:r>
      <w:r w:rsidR="009C52DB" w:rsidRPr="00823856">
        <w:rPr>
          <w:rFonts w:asciiTheme="majorBidi" w:hAnsiTheme="majorBidi" w:cstheme="majorBidi"/>
          <w:sz w:val="24"/>
          <w:szCs w:val="24"/>
        </w:rPr>
        <w:t xml:space="preserve"> </w:t>
      </w:r>
      <w:r w:rsidR="000E44BF" w:rsidRPr="00823856">
        <w:rPr>
          <w:rFonts w:asciiTheme="majorBidi" w:hAnsiTheme="majorBidi" w:cstheme="majorBidi"/>
          <w:sz w:val="24"/>
          <w:szCs w:val="24"/>
        </w:rPr>
        <w:t>15804 and EN</w:t>
      </w:r>
      <w:r w:rsidR="009C52DB" w:rsidRPr="00823856">
        <w:rPr>
          <w:rFonts w:asciiTheme="majorBidi" w:hAnsiTheme="majorBidi" w:cstheme="majorBidi"/>
          <w:sz w:val="24"/>
          <w:szCs w:val="24"/>
        </w:rPr>
        <w:t xml:space="preserve"> </w:t>
      </w:r>
      <w:r w:rsidR="000E44BF" w:rsidRPr="00823856">
        <w:rPr>
          <w:rFonts w:asciiTheme="majorBidi" w:hAnsiTheme="majorBidi" w:cstheme="majorBidi"/>
          <w:sz w:val="24"/>
          <w:szCs w:val="24"/>
        </w:rPr>
        <w:t>15978</w:t>
      </w:r>
    </w:p>
    <w:p w14:paraId="777F0924" w14:textId="37FFCCA3" w:rsidR="00034B1E" w:rsidRPr="00823856" w:rsidRDefault="00034B1E" w:rsidP="00823856">
      <w:pPr>
        <w:autoSpaceDE w:val="0"/>
        <w:autoSpaceDN w:val="0"/>
        <w:adjustRightInd w:val="0"/>
        <w:spacing w:after="0" w:line="276" w:lineRule="auto"/>
        <w:jc w:val="center"/>
        <w:rPr>
          <w:rFonts w:asciiTheme="majorBidi" w:hAnsiTheme="majorBidi" w:cstheme="majorBidi"/>
          <w:sz w:val="24"/>
          <w:szCs w:val="24"/>
        </w:rPr>
      </w:pPr>
      <w:r w:rsidRPr="00823856">
        <w:rPr>
          <w:rFonts w:asciiTheme="majorBidi" w:hAnsiTheme="majorBidi" w:cstheme="majorBidi"/>
          <w:noProof/>
          <w:sz w:val="18"/>
          <w:szCs w:val="18"/>
        </w:rPr>
        <w:drawing>
          <wp:inline distT="0" distB="0" distL="0" distR="0" wp14:anchorId="6B5A5424" wp14:editId="035ADB7F">
            <wp:extent cx="5519057" cy="196469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1861" cy="1965688"/>
                    </a:xfrm>
                    <a:prstGeom prst="rect">
                      <a:avLst/>
                    </a:prstGeom>
                  </pic:spPr>
                </pic:pic>
              </a:graphicData>
            </a:graphic>
          </wp:inline>
        </w:drawing>
      </w:r>
    </w:p>
    <w:p w14:paraId="1998B3D7" w14:textId="77777777" w:rsidR="004E294A" w:rsidRDefault="004E294A" w:rsidP="00EE12FE">
      <w:pPr>
        <w:autoSpaceDE w:val="0"/>
        <w:autoSpaceDN w:val="0"/>
        <w:adjustRightInd w:val="0"/>
        <w:spacing w:after="0" w:line="276" w:lineRule="auto"/>
        <w:ind w:firstLine="720"/>
        <w:jc w:val="both"/>
        <w:rPr>
          <w:rFonts w:asciiTheme="majorBidi" w:hAnsiTheme="majorBidi" w:cstheme="majorBidi"/>
          <w:sz w:val="24"/>
          <w:szCs w:val="24"/>
        </w:rPr>
      </w:pPr>
    </w:p>
    <w:p w14:paraId="7396BFE3" w14:textId="69165A72" w:rsidR="00790422" w:rsidRPr="00823856" w:rsidRDefault="009C52DB" w:rsidP="00EE12FE">
      <w:pPr>
        <w:autoSpaceDE w:val="0"/>
        <w:autoSpaceDN w:val="0"/>
        <w:adjustRightInd w:val="0"/>
        <w:spacing w:after="0" w:line="276" w:lineRule="auto"/>
        <w:ind w:firstLine="720"/>
        <w:jc w:val="both"/>
        <w:rPr>
          <w:rFonts w:asciiTheme="majorBidi" w:hAnsiTheme="majorBidi" w:cstheme="majorBidi"/>
          <w:sz w:val="24"/>
          <w:szCs w:val="24"/>
          <w:shd w:val="clear" w:color="auto" w:fill="FFFFFF"/>
        </w:rPr>
      </w:pPr>
      <w:r w:rsidRPr="00823856">
        <w:rPr>
          <w:rFonts w:asciiTheme="majorBidi" w:hAnsiTheme="majorBidi" w:cstheme="majorBidi"/>
          <w:sz w:val="24"/>
          <w:szCs w:val="24"/>
        </w:rPr>
        <w:t>B</w:t>
      </w:r>
      <w:r w:rsidR="00C27569" w:rsidRPr="00823856">
        <w:rPr>
          <w:rFonts w:asciiTheme="majorBidi" w:hAnsiTheme="majorBidi" w:cstheme="majorBidi"/>
          <w:sz w:val="24"/>
          <w:szCs w:val="24"/>
        </w:rPr>
        <w:t xml:space="preserve">ased on ISO 14040 and </w:t>
      </w:r>
      <w:r w:rsidRPr="00823856">
        <w:rPr>
          <w:rFonts w:asciiTheme="majorBidi" w:hAnsiTheme="majorBidi" w:cstheme="majorBidi"/>
          <w:sz w:val="24"/>
          <w:szCs w:val="24"/>
        </w:rPr>
        <w:t xml:space="preserve">ISO </w:t>
      </w:r>
      <w:r w:rsidR="00C27569" w:rsidRPr="00823856">
        <w:rPr>
          <w:rFonts w:asciiTheme="majorBidi" w:hAnsiTheme="majorBidi" w:cstheme="majorBidi"/>
          <w:sz w:val="24"/>
          <w:szCs w:val="24"/>
        </w:rPr>
        <w:t xml:space="preserve">14044 </w:t>
      </w:r>
      <w:r w:rsidRPr="00823856">
        <w:rPr>
          <w:rFonts w:asciiTheme="majorBidi" w:hAnsiTheme="majorBidi" w:cstheme="majorBidi"/>
          <w:sz w:val="24"/>
          <w:szCs w:val="24"/>
        </w:rPr>
        <w:t>standards, the LCA study consists of four stages</w:t>
      </w:r>
      <w:r w:rsidR="00C27569" w:rsidRPr="00823856">
        <w:rPr>
          <w:rFonts w:asciiTheme="majorBidi" w:hAnsiTheme="majorBidi" w:cstheme="majorBidi"/>
          <w:sz w:val="24"/>
          <w:szCs w:val="24"/>
        </w:rPr>
        <w:t xml:space="preserve">. These stages are goal and scope, inventory analysis (section 2.2.1), impact assessment (section 2.2.2), and interpretation. </w:t>
      </w:r>
      <w:r w:rsidR="00790422" w:rsidRPr="00823856">
        <w:rPr>
          <w:rFonts w:asciiTheme="majorBidi" w:hAnsiTheme="majorBidi" w:cstheme="majorBidi"/>
          <w:sz w:val="24"/>
          <w:szCs w:val="24"/>
        </w:rPr>
        <w:t xml:space="preserve">The main goal of this study </w:t>
      </w:r>
      <w:r w:rsidRPr="00823856">
        <w:rPr>
          <w:rFonts w:asciiTheme="majorBidi" w:hAnsiTheme="majorBidi" w:cstheme="majorBidi"/>
          <w:sz w:val="24"/>
          <w:szCs w:val="24"/>
        </w:rPr>
        <w:t xml:space="preserve">is </w:t>
      </w:r>
      <w:r w:rsidR="00790422" w:rsidRPr="00823856">
        <w:rPr>
          <w:rFonts w:asciiTheme="majorBidi" w:hAnsiTheme="majorBidi" w:cstheme="majorBidi"/>
          <w:sz w:val="24"/>
          <w:szCs w:val="24"/>
        </w:rPr>
        <w:t>to evaluate three different types of volumetric construction materials to provide an accurate sustainability evaluation at the beginning of product development decision-making. The three materials selected</w:t>
      </w:r>
      <w:r w:rsidRPr="00823856">
        <w:rPr>
          <w:rFonts w:asciiTheme="majorBidi" w:hAnsiTheme="majorBidi" w:cstheme="majorBidi"/>
          <w:sz w:val="24"/>
          <w:szCs w:val="24"/>
        </w:rPr>
        <w:t xml:space="preserve"> were</w:t>
      </w:r>
      <w:r w:rsidR="00790422" w:rsidRPr="00823856">
        <w:rPr>
          <w:rFonts w:asciiTheme="majorBidi" w:hAnsiTheme="majorBidi" w:cstheme="majorBidi"/>
          <w:sz w:val="24"/>
          <w:szCs w:val="24"/>
        </w:rPr>
        <w:t xml:space="preserve"> steel</w:t>
      </w:r>
      <w:r w:rsidRPr="00823856">
        <w:rPr>
          <w:rFonts w:asciiTheme="majorBidi" w:hAnsiTheme="majorBidi" w:cstheme="majorBidi"/>
          <w:sz w:val="24"/>
          <w:szCs w:val="24"/>
        </w:rPr>
        <w:t>, concrete and timber</w:t>
      </w:r>
      <w:r w:rsidR="00790422" w:rsidRPr="00823856">
        <w:rPr>
          <w:rFonts w:asciiTheme="majorBidi" w:hAnsiTheme="majorBidi" w:cstheme="majorBidi"/>
          <w:sz w:val="24"/>
          <w:szCs w:val="24"/>
        </w:rPr>
        <w:t xml:space="preserve">. Concrete and timber </w:t>
      </w:r>
      <w:r w:rsidRPr="00823856">
        <w:rPr>
          <w:rFonts w:asciiTheme="majorBidi" w:hAnsiTheme="majorBidi" w:cstheme="majorBidi"/>
          <w:sz w:val="24"/>
          <w:szCs w:val="24"/>
        </w:rPr>
        <w:t>used were</w:t>
      </w:r>
      <w:r w:rsidR="00790422" w:rsidRPr="00823856">
        <w:rPr>
          <w:rFonts w:asciiTheme="majorBidi" w:hAnsiTheme="majorBidi" w:cstheme="majorBidi"/>
          <w:sz w:val="24"/>
          <w:szCs w:val="24"/>
        </w:rPr>
        <w:t xml:space="preserve"> prefabricated prefinished volumetric construction</w:t>
      </w:r>
      <w:r w:rsidRPr="00823856">
        <w:rPr>
          <w:rFonts w:asciiTheme="majorBidi" w:hAnsiTheme="majorBidi" w:cstheme="majorBidi"/>
          <w:sz w:val="24"/>
          <w:szCs w:val="24"/>
        </w:rPr>
        <w:t xml:space="preserve"> materials</w:t>
      </w:r>
      <w:r w:rsidR="00790422" w:rsidRPr="00823856">
        <w:rPr>
          <w:rFonts w:asciiTheme="majorBidi" w:hAnsiTheme="majorBidi" w:cstheme="majorBidi"/>
          <w:sz w:val="24"/>
          <w:szCs w:val="24"/>
        </w:rPr>
        <w:t xml:space="preserve">. </w:t>
      </w:r>
      <w:r w:rsidR="00C27569" w:rsidRPr="00823856">
        <w:rPr>
          <w:rFonts w:asciiTheme="majorBidi" w:hAnsiTheme="majorBidi" w:cstheme="majorBidi"/>
          <w:sz w:val="24"/>
          <w:szCs w:val="24"/>
          <w:shd w:val="clear" w:color="auto" w:fill="FFFFFF"/>
        </w:rPr>
        <w:t>Life cycle interpretation is the final step in the LCA study, and result</w:t>
      </w:r>
      <w:r w:rsidRPr="00823856">
        <w:rPr>
          <w:rFonts w:asciiTheme="majorBidi" w:hAnsiTheme="majorBidi" w:cstheme="majorBidi"/>
          <w:sz w:val="24"/>
          <w:szCs w:val="24"/>
          <w:shd w:val="clear" w:color="auto" w:fill="FFFFFF"/>
        </w:rPr>
        <w:t>s</w:t>
      </w:r>
      <w:r w:rsidR="00C27569" w:rsidRPr="00823856">
        <w:rPr>
          <w:rFonts w:asciiTheme="majorBidi" w:hAnsiTheme="majorBidi" w:cstheme="majorBidi"/>
          <w:sz w:val="24"/>
          <w:szCs w:val="24"/>
          <w:shd w:val="clear" w:color="auto" w:fill="FFFFFF"/>
        </w:rPr>
        <w:t xml:space="preserve"> </w:t>
      </w:r>
      <w:r w:rsidRPr="00823856">
        <w:rPr>
          <w:rFonts w:asciiTheme="majorBidi" w:hAnsiTheme="majorBidi" w:cstheme="majorBidi"/>
          <w:sz w:val="24"/>
          <w:szCs w:val="24"/>
          <w:shd w:val="clear" w:color="auto" w:fill="FFFFFF"/>
        </w:rPr>
        <w:t xml:space="preserve">are </w:t>
      </w:r>
      <w:r w:rsidR="00C27569" w:rsidRPr="00823856">
        <w:rPr>
          <w:rFonts w:asciiTheme="majorBidi" w:hAnsiTheme="majorBidi" w:cstheme="majorBidi"/>
          <w:sz w:val="24"/>
          <w:szCs w:val="24"/>
          <w:shd w:val="clear" w:color="auto" w:fill="FFFFFF"/>
        </w:rPr>
        <w:t xml:space="preserve">presented in </w:t>
      </w:r>
      <w:r w:rsidRPr="00823856">
        <w:rPr>
          <w:rFonts w:asciiTheme="majorBidi" w:hAnsiTheme="majorBidi" w:cstheme="majorBidi"/>
          <w:sz w:val="24"/>
          <w:szCs w:val="24"/>
          <w:shd w:val="clear" w:color="auto" w:fill="FFFFFF"/>
        </w:rPr>
        <w:t>sections</w:t>
      </w:r>
      <w:r w:rsidR="00C27569" w:rsidRPr="00823856">
        <w:rPr>
          <w:rFonts w:asciiTheme="majorBidi" w:hAnsiTheme="majorBidi" w:cstheme="majorBidi"/>
          <w:sz w:val="24"/>
          <w:szCs w:val="24"/>
          <w:shd w:val="clear" w:color="auto" w:fill="FFFFFF"/>
        </w:rPr>
        <w:t xml:space="preserve"> 4.1 and 4.2 respectively. </w:t>
      </w:r>
      <w:r w:rsidRPr="00823856">
        <w:rPr>
          <w:rFonts w:asciiTheme="majorBidi" w:hAnsiTheme="majorBidi" w:cstheme="majorBidi"/>
          <w:sz w:val="24"/>
          <w:szCs w:val="24"/>
          <w:shd w:val="clear" w:color="auto" w:fill="FFFFFF"/>
        </w:rPr>
        <w:t>LCA i</w:t>
      </w:r>
      <w:r w:rsidR="00C27569" w:rsidRPr="00823856">
        <w:rPr>
          <w:rFonts w:asciiTheme="majorBidi" w:hAnsiTheme="majorBidi" w:cstheme="majorBidi"/>
          <w:sz w:val="24"/>
          <w:szCs w:val="24"/>
          <w:shd w:val="clear" w:color="auto" w:fill="FFFFFF"/>
        </w:rPr>
        <w:t>s a systematic method where</w:t>
      </w:r>
      <w:r w:rsidRPr="00823856">
        <w:rPr>
          <w:rFonts w:asciiTheme="majorBidi" w:hAnsiTheme="majorBidi" w:cstheme="majorBidi"/>
          <w:sz w:val="24"/>
          <w:szCs w:val="24"/>
          <w:shd w:val="clear" w:color="auto" w:fill="FFFFFF"/>
        </w:rPr>
        <w:t>by</w:t>
      </w:r>
      <w:r w:rsidR="00C27569" w:rsidRPr="00823856">
        <w:rPr>
          <w:rFonts w:asciiTheme="majorBidi" w:hAnsiTheme="majorBidi" w:cstheme="majorBidi"/>
          <w:sz w:val="24"/>
          <w:szCs w:val="24"/>
          <w:shd w:val="clear" w:color="auto" w:fill="FFFFFF"/>
        </w:rPr>
        <w:t xml:space="preserve"> the outcomes of the</w:t>
      </w:r>
      <w:r w:rsidRPr="00823856">
        <w:rPr>
          <w:rFonts w:asciiTheme="majorBidi" w:hAnsiTheme="majorBidi" w:cstheme="majorBidi"/>
          <w:sz w:val="24"/>
          <w:szCs w:val="24"/>
          <w:shd w:val="clear" w:color="auto" w:fill="FFFFFF"/>
        </w:rPr>
        <w:t xml:space="preserve"> life cycle inventory</w:t>
      </w:r>
      <w:r w:rsidR="00C27569" w:rsidRPr="00823856">
        <w:rPr>
          <w:rFonts w:asciiTheme="majorBidi" w:hAnsiTheme="majorBidi" w:cstheme="majorBidi"/>
          <w:sz w:val="24"/>
          <w:szCs w:val="24"/>
          <w:shd w:val="clear" w:color="auto" w:fill="FFFFFF"/>
        </w:rPr>
        <w:t xml:space="preserve"> </w:t>
      </w:r>
      <w:r w:rsidRPr="00823856">
        <w:rPr>
          <w:rFonts w:asciiTheme="majorBidi" w:hAnsiTheme="majorBidi" w:cstheme="majorBidi"/>
          <w:sz w:val="24"/>
          <w:szCs w:val="24"/>
          <w:shd w:val="clear" w:color="auto" w:fill="FFFFFF"/>
        </w:rPr>
        <w:t>(</w:t>
      </w:r>
      <w:r w:rsidR="00C27569" w:rsidRPr="00823856">
        <w:rPr>
          <w:rFonts w:asciiTheme="majorBidi" w:hAnsiTheme="majorBidi" w:cstheme="majorBidi"/>
          <w:sz w:val="24"/>
          <w:szCs w:val="24"/>
          <w:shd w:val="clear" w:color="auto" w:fill="FFFFFF"/>
        </w:rPr>
        <w:t>LCI</w:t>
      </w:r>
      <w:r w:rsidRPr="00823856">
        <w:rPr>
          <w:rFonts w:asciiTheme="majorBidi" w:hAnsiTheme="majorBidi" w:cstheme="majorBidi"/>
          <w:sz w:val="24"/>
          <w:szCs w:val="24"/>
          <w:shd w:val="clear" w:color="auto" w:fill="FFFFFF"/>
        </w:rPr>
        <w:t>)</w:t>
      </w:r>
      <w:r w:rsidR="00C27569" w:rsidRPr="00823856">
        <w:rPr>
          <w:rFonts w:asciiTheme="majorBidi" w:hAnsiTheme="majorBidi" w:cstheme="majorBidi"/>
          <w:sz w:val="24"/>
          <w:szCs w:val="24"/>
          <w:shd w:val="clear" w:color="auto" w:fill="FFFFFF"/>
        </w:rPr>
        <w:t xml:space="preserve"> and the </w:t>
      </w:r>
      <w:r w:rsidRPr="00823856">
        <w:rPr>
          <w:rFonts w:asciiTheme="majorBidi" w:hAnsiTheme="majorBidi" w:cstheme="majorBidi"/>
          <w:sz w:val="24"/>
          <w:szCs w:val="24"/>
          <w:shd w:val="clear" w:color="auto" w:fill="FFFFFF"/>
        </w:rPr>
        <w:t>life cycle impact assessment (</w:t>
      </w:r>
      <w:r w:rsidR="00C27569" w:rsidRPr="00823856">
        <w:rPr>
          <w:rFonts w:asciiTheme="majorBidi" w:hAnsiTheme="majorBidi" w:cstheme="majorBidi"/>
          <w:sz w:val="24"/>
          <w:szCs w:val="24"/>
          <w:shd w:val="clear" w:color="auto" w:fill="FFFFFF"/>
        </w:rPr>
        <w:t>LCIA</w:t>
      </w:r>
      <w:r w:rsidRPr="00823856">
        <w:rPr>
          <w:rFonts w:asciiTheme="majorBidi" w:hAnsiTheme="majorBidi" w:cstheme="majorBidi"/>
          <w:sz w:val="24"/>
          <w:szCs w:val="24"/>
          <w:shd w:val="clear" w:color="auto" w:fill="FFFFFF"/>
        </w:rPr>
        <w:t>)</w:t>
      </w:r>
      <w:r w:rsidR="00C27569" w:rsidRPr="00823856">
        <w:rPr>
          <w:rFonts w:asciiTheme="majorBidi" w:hAnsiTheme="majorBidi" w:cstheme="majorBidi"/>
          <w:sz w:val="24"/>
          <w:szCs w:val="24"/>
          <w:shd w:val="clear" w:color="auto" w:fill="FFFFFF"/>
        </w:rPr>
        <w:t xml:space="preserve"> are </w:t>
      </w:r>
      <w:r w:rsidRPr="00823856">
        <w:rPr>
          <w:rFonts w:asciiTheme="majorBidi" w:hAnsiTheme="majorBidi" w:cstheme="majorBidi"/>
          <w:sz w:val="24"/>
          <w:szCs w:val="24"/>
          <w:shd w:val="clear" w:color="auto" w:fill="FFFFFF"/>
        </w:rPr>
        <w:t>categorized</w:t>
      </w:r>
      <w:r w:rsidR="00C27569" w:rsidRPr="00823856">
        <w:rPr>
          <w:rFonts w:asciiTheme="majorBidi" w:hAnsiTheme="majorBidi" w:cstheme="majorBidi"/>
          <w:sz w:val="24"/>
          <w:szCs w:val="24"/>
          <w:shd w:val="clear" w:color="auto" w:fill="FFFFFF"/>
        </w:rPr>
        <w:t>, quantified, checked, and evaluated. Interpretations will result in appropriate conclusions and recommendations.</w:t>
      </w:r>
    </w:p>
    <w:p w14:paraId="296A16D5" w14:textId="77777777" w:rsidR="00EA1869" w:rsidRPr="00823856" w:rsidRDefault="00EA1869" w:rsidP="00EE12FE">
      <w:pPr>
        <w:autoSpaceDE w:val="0"/>
        <w:autoSpaceDN w:val="0"/>
        <w:adjustRightInd w:val="0"/>
        <w:spacing w:after="0" w:line="276" w:lineRule="auto"/>
        <w:ind w:firstLine="720"/>
        <w:jc w:val="both"/>
        <w:rPr>
          <w:rFonts w:asciiTheme="majorBidi" w:hAnsiTheme="majorBidi" w:cstheme="majorBidi"/>
          <w:sz w:val="24"/>
          <w:szCs w:val="24"/>
          <w:shd w:val="clear" w:color="auto" w:fill="FFFFFF"/>
        </w:rPr>
      </w:pPr>
    </w:p>
    <w:p w14:paraId="3F4B4168" w14:textId="637B7B3B" w:rsidR="0087572A" w:rsidRPr="00823856" w:rsidRDefault="000F2C6F" w:rsidP="00EE12FE">
      <w:pPr>
        <w:pStyle w:val="ListParagraph"/>
        <w:numPr>
          <w:ilvl w:val="2"/>
          <w:numId w:val="14"/>
        </w:numPr>
        <w:autoSpaceDE w:val="0"/>
        <w:autoSpaceDN w:val="0"/>
        <w:adjustRightInd w:val="0"/>
        <w:spacing w:line="276" w:lineRule="auto"/>
        <w:jc w:val="both"/>
        <w:rPr>
          <w:rFonts w:asciiTheme="majorBidi" w:hAnsiTheme="majorBidi" w:cstheme="majorBidi"/>
          <w:b/>
          <w:bCs/>
          <w:sz w:val="24"/>
          <w:szCs w:val="24"/>
        </w:rPr>
      </w:pPr>
      <w:r w:rsidRPr="00823856">
        <w:rPr>
          <w:rFonts w:asciiTheme="majorBidi" w:hAnsiTheme="majorBidi" w:cstheme="majorBidi"/>
          <w:b/>
          <w:bCs/>
          <w:i/>
          <w:iCs/>
          <w:sz w:val="24"/>
          <w:szCs w:val="24"/>
        </w:rPr>
        <w:t xml:space="preserve">Life Cycle Inventory </w:t>
      </w:r>
      <w:r w:rsidR="009C52DB" w:rsidRPr="00823856">
        <w:rPr>
          <w:rFonts w:asciiTheme="majorBidi" w:hAnsiTheme="majorBidi" w:cstheme="majorBidi"/>
          <w:b/>
          <w:bCs/>
          <w:i/>
          <w:iCs/>
          <w:sz w:val="24"/>
          <w:szCs w:val="24"/>
        </w:rPr>
        <w:t>(LC</w:t>
      </w:r>
      <w:r w:rsidR="00022D05" w:rsidRPr="00823856">
        <w:rPr>
          <w:rFonts w:asciiTheme="majorBidi" w:hAnsiTheme="majorBidi" w:cstheme="majorBidi"/>
          <w:b/>
          <w:bCs/>
          <w:i/>
          <w:iCs/>
          <w:sz w:val="24"/>
          <w:szCs w:val="24"/>
        </w:rPr>
        <w:t>I)</w:t>
      </w:r>
    </w:p>
    <w:p w14:paraId="754CF31A" w14:textId="77777777" w:rsidR="00E42E61" w:rsidRPr="00CF28E0" w:rsidRDefault="00E42E61" w:rsidP="00E42E61">
      <w:pPr>
        <w:pStyle w:val="mb-25"/>
        <w:spacing w:before="0" w:beforeAutospacing="0" w:after="0" w:afterAutospacing="0" w:line="276" w:lineRule="auto"/>
        <w:ind w:firstLine="720"/>
        <w:jc w:val="both"/>
        <w:rPr>
          <w:rFonts w:asciiTheme="majorBidi" w:hAnsiTheme="majorBidi"/>
          <w:color w:val="000000" w:themeColor="text1"/>
          <w:sz w:val="22"/>
          <w:szCs w:val="22"/>
        </w:rPr>
      </w:pPr>
      <w:r w:rsidRPr="00CF28E0">
        <w:rPr>
          <w:color w:val="000000" w:themeColor="text1"/>
          <w:sz w:val="22"/>
          <w:szCs w:val="22"/>
        </w:rPr>
        <w:t xml:space="preserve">In product life cycle analyses (LCIs), input and output flows are accounted for as part of a life cycle inventory. Several inputs and outputs are involved, including inputs of water, energy, and raw materials and outputs of air, land, and water. Using Ecoinvent (a database that supports sustainability assessments) certain variables can be altered based </w:t>
      </w:r>
      <w:r w:rsidRPr="00CF28E0">
        <w:rPr>
          <w:rStyle w:val="issue-underline"/>
          <w:color w:val="000000" w:themeColor="text1"/>
          <w:sz w:val="22"/>
          <w:szCs w:val="22"/>
        </w:rPr>
        <w:t xml:space="preserve">on </w:t>
      </w:r>
      <w:r w:rsidRPr="00CF28E0">
        <w:rPr>
          <w:color w:val="000000" w:themeColor="text1"/>
          <w:sz w:val="22"/>
          <w:szCs w:val="22"/>
        </w:rPr>
        <w:t xml:space="preserve">site-specific information. It is possible to modify the wood dataset at the batching plant by changing the amounts and types of materials, as well as the methods of waste treatment. The life cycle inventory used in this study contains process data collected from Malaysian sources and Ecoinvent data supplemented with Malaysian data </w:t>
      </w:r>
      <w:sdt>
        <w:sdtPr>
          <w:rPr>
            <w:color w:val="000000" w:themeColor="text1"/>
            <w:sz w:val="22"/>
            <w:szCs w:val="22"/>
          </w:rPr>
          <w:tag w:val="MENDELEY_CITATION_v3_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"/>
          <w:id w:val="461312723"/>
          <w:placeholder>
            <w:docPart w:val="D73AF01F3B1C448288AB148F06B90084"/>
          </w:placeholder>
        </w:sdtPr>
        <w:sdtEndPr>
          <w:rPr>
            <w:sz w:val="24"/>
            <w:szCs w:val="24"/>
          </w:rPr>
        </w:sdtEndPr>
        <w:sdtContent>
          <w:r w:rsidRPr="00CF28E0">
            <w:rPr>
              <w:color w:val="000000" w:themeColor="text1"/>
            </w:rPr>
            <w:t>(Frischknecht &amp; Rebitzer, 2005)</w:t>
          </w:r>
        </w:sdtContent>
      </w:sdt>
      <w:r w:rsidRPr="00CF28E0">
        <w:rPr>
          <w:rFonts w:asciiTheme="majorBidi" w:hAnsiTheme="majorBidi"/>
          <w:color w:val="000000" w:themeColor="text1"/>
          <w:sz w:val="22"/>
          <w:szCs w:val="22"/>
        </w:rPr>
        <w:t>.</w:t>
      </w:r>
    </w:p>
    <w:p w14:paraId="24171592" w14:textId="77777777" w:rsidR="00E42E61" w:rsidRPr="00CF28E0" w:rsidRDefault="00E42E61" w:rsidP="00E42E61">
      <w:pPr>
        <w:pStyle w:val="mb-25"/>
        <w:spacing w:before="0" w:beforeAutospacing="0" w:after="0" w:afterAutospacing="0" w:line="276" w:lineRule="auto"/>
        <w:ind w:firstLine="720"/>
        <w:jc w:val="both"/>
        <w:rPr>
          <w:color w:val="000000" w:themeColor="text1"/>
        </w:rPr>
      </w:pPr>
      <w:r w:rsidRPr="00CF28E0">
        <w:rPr>
          <w:color w:val="000000" w:themeColor="text1"/>
          <w:sz w:val="22"/>
          <w:szCs w:val="22"/>
        </w:rPr>
        <w:lastRenderedPageBreak/>
        <w:t xml:space="preserve">This model is based on the consequential life cycle inventory principle and is decision-based. An environmental impact assessment of changing multiple products is </w:t>
      </w:r>
      <w:proofErr w:type="gramStart"/>
      <w:r w:rsidRPr="00CF28E0">
        <w:rPr>
          <w:color w:val="000000" w:themeColor="text1"/>
          <w:sz w:val="22"/>
          <w:szCs w:val="22"/>
        </w:rPr>
        <w:t>taken into account</w:t>
      </w:r>
      <w:proofErr w:type="gramEnd"/>
      <w:r w:rsidRPr="00CF28E0">
        <w:rPr>
          <w:color w:val="000000" w:themeColor="text1"/>
          <w:sz w:val="22"/>
          <w:szCs w:val="22"/>
        </w:rPr>
        <w:t xml:space="preserve"> in consequential LCA </w:t>
      </w:r>
      <w:sdt>
        <w:sdtPr>
          <w:rPr>
            <w:color w:val="000000" w:themeColor="text1"/>
            <w:sz w:val="22"/>
            <w:szCs w:val="22"/>
          </w:rPr>
          <w:tag w:val="MENDELEY_CITATION_v3_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"/>
          <w:id w:val="-2050756408"/>
          <w:placeholder>
            <w:docPart w:val="D73AF01F3B1C448288AB148F06B90084"/>
          </w:placeholder>
        </w:sdtPr>
        <w:sdtEndPr>
          <w:rPr>
            <w:sz w:val="24"/>
            <w:szCs w:val="24"/>
          </w:rPr>
        </w:sdtEndPr>
        <w:sdtContent>
          <w:r w:rsidRPr="00CF28E0">
            <w:rPr>
              <w:color w:val="000000" w:themeColor="text1"/>
            </w:rPr>
            <w:t>(Ghose et al., 2017)</w:t>
          </w:r>
        </w:sdtContent>
      </w:sdt>
      <w:r w:rsidRPr="00CF28E0">
        <w:rPr>
          <w:rFonts w:asciiTheme="majorBidi" w:hAnsiTheme="majorBidi" w:cstheme="majorBidi"/>
          <w:color w:val="000000" w:themeColor="text1"/>
          <w:sz w:val="22"/>
          <w:szCs w:val="22"/>
        </w:rPr>
        <w:t xml:space="preserve">. </w:t>
      </w:r>
      <w:r w:rsidRPr="00CF28E0">
        <w:rPr>
          <w:color w:val="000000" w:themeColor="text1"/>
          <w:sz w:val="22"/>
          <w:szCs w:val="22"/>
        </w:rPr>
        <w:t xml:space="preserve">A consequential LCA perspective is appropriate when considering economic cause-and-effect chains arising from changing production systems. This is important when evaluating future environmental impact policies. Reuse and recycling at the end of life are included in the system boundary of the consequential approach. </w:t>
      </w:r>
      <w:r w:rsidRPr="00CF28E0">
        <w:rPr>
          <w:color w:val="000000" w:themeColor="text1"/>
        </w:rPr>
        <w:t xml:space="preserve">Using an attributional (cut-off) approach, the first producer does not receive any credit for materials that are recycled (D3) at the end of a building's life </w:t>
      </w:r>
      <w:sdt>
        <w:sdtPr>
          <w:rPr>
            <w:color w:val="000000" w:themeColor="text1"/>
          </w:rPr>
          <w:tag w:val="MENDELEY_CITATION_v3_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"/>
          <w:id w:val="1845128577"/>
          <w:placeholder>
            <w:docPart w:val="D73AF01F3B1C448288AB148F06B90084"/>
          </w:placeholder>
        </w:sdtPr>
        <w:sdtContent>
          <w:r w:rsidRPr="00CF28E0">
            <w:rPr>
              <w:color w:val="000000" w:themeColor="text1"/>
            </w:rPr>
            <w:t>(Taufiq et al., 2021)</w:t>
          </w:r>
        </w:sdtContent>
      </w:sdt>
      <w:r w:rsidRPr="00CF28E0">
        <w:rPr>
          <w:color w:val="000000" w:themeColor="text1"/>
        </w:rPr>
        <w:t xml:space="preserve">. During the primary stage of the life cycle, the benefits and loads of recycled wood are not considered. The consequential model differs from attributional modeling and is based on multi-output products. Consequently, recyclable materials are reused for other purposes. All emissions to land, water, and air from a specific substance are included. To produce an accurate local result, the Ecoinvent database was adjusted to Malaysian circumstances using mixed local electricity information as recommended by </w:t>
      </w:r>
      <w:sdt>
        <w:sdtPr>
          <w:rPr>
            <w:color w:val="000000" w:themeColor="text1"/>
          </w:rPr>
          <w:tag w:val="MENDELEY_CITATION_v3_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"/>
          <w:id w:val="1101533089"/>
          <w:placeholder>
            <w:docPart w:val="D73AF01F3B1C448288AB148F06B90084"/>
          </w:placeholder>
        </w:sdtPr>
        <w:sdtContent>
          <w:r w:rsidRPr="00CF28E0">
            <w:rPr>
              <w:color w:val="000000" w:themeColor="text1"/>
            </w:rPr>
            <w:t>(Horváth &amp; Szalay, n.d.)</w:t>
          </w:r>
        </w:sdtContent>
      </w:sdt>
      <w:r w:rsidRPr="00CF28E0">
        <w:rPr>
          <w:color w:val="000000" w:themeColor="text1"/>
        </w:rPr>
        <w:t xml:space="preserve"> </w:t>
      </w:r>
    </w:p>
    <w:p w14:paraId="7259C362" w14:textId="77777777" w:rsidR="00E42E61" w:rsidRDefault="00E42E61" w:rsidP="00EE12FE">
      <w:pPr>
        <w:pStyle w:val="Default"/>
        <w:spacing w:line="276" w:lineRule="auto"/>
        <w:ind w:firstLine="720"/>
        <w:jc w:val="both"/>
        <w:rPr>
          <w:rFonts w:asciiTheme="majorBidi" w:hAnsiTheme="majorBidi" w:cstheme="majorBidi"/>
          <w:color w:val="auto"/>
        </w:rPr>
      </w:pPr>
    </w:p>
    <w:p w14:paraId="1F5E8A5B" w14:textId="77777777" w:rsidR="00E42E61" w:rsidRPr="00823856" w:rsidRDefault="00E42E61" w:rsidP="00EE12FE">
      <w:pPr>
        <w:pStyle w:val="Default"/>
        <w:spacing w:line="276" w:lineRule="auto"/>
        <w:ind w:firstLine="720"/>
        <w:jc w:val="both"/>
        <w:rPr>
          <w:rFonts w:asciiTheme="majorBidi" w:hAnsiTheme="majorBidi" w:cstheme="majorBidi"/>
          <w:color w:val="auto"/>
        </w:rPr>
      </w:pPr>
    </w:p>
    <w:p w14:paraId="07B3B590" w14:textId="22B599B6" w:rsidR="000F2C6F" w:rsidRPr="00823856" w:rsidRDefault="000F2C6F" w:rsidP="00EE12FE">
      <w:pPr>
        <w:pStyle w:val="ListParagraph"/>
        <w:numPr>
          <w:ilvl w:val="2"/>
          <w:numId w:val="14"/>
        </w:numPr>
        <w:spacing w:line="276" w:lineRule="auto"/>
        <w:rPr>
          <w:rFonts w:asciiTheme="majorBidi" w:hAnsiTheme="majorBidi" w:cstheme="majorBidi"/>
          <w:sz w:val="24"/>
          <w:szCs w:val="24"/>
        </w:rPr>
      </w:pPr>
      <w:r w:rsidRPr="00823856">
        <w:rPr>
          <w:rFonts w:asciiTheme="majorBidi" w:hAnsiTheme="majorBidi" w:cstheme="majorBidi"/>
          <w:b/>
          <w:bCs/>
          <w:i/>
          <w:iCs/>
          <w:sz w:val="24"/>
          <w:szCs w:val="24"/>
        </w:rPr>
        <w:t>Life Cycle Impact Assessment</w:t>
      </w:r>
      <w:r w:rsidR="00022D05" w:rsidRPr="00823856">
        <w:rPr>
          <w:rFonts w:asciiTheme="majorBidi" w:hAnsiTheme="majorBidi" w:cstheme="majorBidi"/>
          <w:b/>
          <w:bCs/>
          <w:i/>
          <w:iCs/>
          <w:sz w:val="24"/>
          <w:szCs w:val="24"/>
        </w:rPr>
        <w:t xml:space="preserve"> (LCIA)</w:t>
      </w:r>
    </w:p>
    <w:p w14:paraId="7074DDFE" w14:textId="7767FBB7" w:rsidR="001D50BD" w:rsidRPr="00823856" w:rsidRDefault="0069088E" w:rsidP="00D24770">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LCIA evaluation is based on the results of inventory investigation to determine the environmental impact of buildings (Henkel, 2005). LCIA is the third phase of the LCA, and its purpose is to provide additional information to help assess a product system’s LCI results to </w:t>
      </w:r>
      <w:r w:rsidR="006675C9" w:rsidRPr="00823856">
        <w:rPr>
          <w:rFonts w:asciiTheme="majorBidi" w:hAnsiTheme="majorBidi" w:cstheme="majorBidi"/>
          <w:sz w:val="24"/>
          <w:szCs w:val="24"/>
        </w:rPr>
        <w:t xml:space="preserve">better </w:t>
      </w:r>
      <w:r w:rsidRPr="00823856">
        <w:rPr>
          <w:rFonts w:asciiTheme="majorBidi" w:hAnsiTheme="majorBidi" w:cstheme="majorBidi"/>
          <w:sz w:val="24"/>
          <w:szCs w:val="24"/>
        </w:rPr>
        <w:t xml:space="preserve">understand its environmental significance. The LCIA method is used by the </w:t>
      </w:r>
      <w:r w:rsidR="006675C9" w:rsidRPr="00823856">
        <w:rPr>
          <w:rFonts w:asciiTheme="majorBidi" w:hAnsiTheme="majorBidi" w:cstheme="majorBidi"/>
          <w:sz w:val="24"/>
          <w:szCs w:val="24"/>
        </w:rPr>
        <w:t>ReCiPe</w:t>
      </w:r>
      <w:r w:rsidR="006675C9" w:rsidRPr="00823856" w:rsidDel="006675C9">
        <w:rPr>
          <w:rFonts w:asciiTheme="majorBidi" w:hAnsiTheme="majorBidi" w:cstheme="majorBidi"/>
          <w:sz w:val="24"/>
          <w:szCs w:val="24"/>
        </w:rPr>
        <w:t xml:space="preserve"> </w:t>
      </w:r>
      <w:r w:rsidRPr="00823856">
        <w:rPr>
          <w:rFonts w:asciiTheme="majorBidi" w:hAnsiTheme="majorBidi" w:cstheme="majorBidi"/>
          <w:sz w:val="24"/>
          <w:szCs w:val="24"/>
        </w:rPr>
        <w:t>Midpoint (H) to assess the GWP. LCA evaluates and reports GWP to indicate the degree to which a building may contribute to climate change</w:t>
      </w:r>
      <w:r w:rsidR="006675C9" w:rsidRPr="00823856">
        <w:rPr>
          <w:rFonts w:asciiTheme="majorBidi" w:hAnsiTheme="majorBidi" w:cstheme="majorBidi"/>
          <w:sz w:val="24"/>
          <w:szCs w:val="24"/>
        </w:rPr>
        <w:t xml:space="preserve"> over its lifetime</w:t>
      </w:r>
      <w:r w:rsidRPr="00823856">
        <w:rPr>
          <w:rFonts w:asciiTheme="majorBidi" w:hAnsiTheme="majorBidi" w:cstheme="majorBidi"/>
          <w:sz w:val="24"/>
          <w:szCs w:val="24"/>
        </w:rPr>
        <w:t xml:space="preserve">. </w:t>
      </w:r>
      <w:r w:rsidR="00865615" w:rsidRPr="00823856">
        <w:rPr>
          <w:rFonts w:asciiTheme="majorBidi" w:hAnsiTheme="majorBidi" w:cstheme="majorBidi"/>
          <w:sz w:val="24"/>
          <w:szCs w:val="24"/>
        </w:rPr>
        <w:t xml:space="preserve">Different fuel sources for </w:t>
      </w:r>
      <w:r w:rsidR="007A6814" w:rsidRPr="00823856">
        <w:rPr>
          <w:rFonts w:asciiTheme="majorBidi" w:hAnsiTheme="majorBidi" w:cstheme="majorBidi"/>
          <w:sz w:val="24"/>
          <w:szCs w:val="24"/>
        </w:rPr>
        <w:t xml:space="preserve">producing </w:t>
      </w:r>
      <w:r w:rsidR="00865615" w:rsidRPr="00823856">
        <w:rPr>
          <w:rFonts w:asciiTheme="majorBidi" w:hAnsiTheme="majorBidi" w:cstheme="majorBidi"/>
          <w:sz w:val="24"/>
          <w:szCs w:val="24"/>
        </w:rPr>
        <w:t>material</w:t>
      </w:r>
      <w:r w:rsidR="007A6814" w:rsidRPr="00823856">
        <w:rPr>
          <w:rFonts w:asciiTheme="majorBidi" w:hAnsiTheme="majorBidi" w:cstheme="majorBidi"/>
          <w:sz w:val="24"/>
          <w:szCs w:val="24"/>
        </w:rPr>
        <w:t>s</w:t>
      </w:r>
      <w:r w:rsidR="00865615" w:rsidRPr="00823856">
        <w:rPr>
          <w:rFonts w:asciiTheme="majorBidi" w:hAnsiTheme="majorBidi" w:cstheme="majorBidi"/>
          <w:sz w:val="24"/>
          <w:szCs w:val="24"/>
        </w:rPr>
        <w:t xml:space="preserve"> </w:t>
      </w:r>
      <w:r w:rsidR="007A6814" w:rsidRPr="00823856">
        <w:rPr>
          <w:rFonts w:asciiTheme="majorBidi" w:hAnsiTheme="majorBidi" w:cstheme="majorBidi"/>
          <w:sz w:val="24"/>
          <w:szCs w:val="24"/>
        </w:rPr>
        <w:t>including</w:t>
      </w:r>
      <w:r w:rsidR="00865615" w:rsidRPr="00823856">
        <w:rPr>
          <w:rFonts w:asciiTheme="majorBidi" w:hAnsiTheme="majorBidi" w:cstheme="majorBidi"/>
          <w:sz w:val="24"/>
          <w:szCs w:val="24"/>
        </w:rPr>
        <w:t xml:space="preserve"> renewable </w:t>
      </w:r>
      <w:r w:rsidR="007A6814" w:rsidRPr="00823856">
        <w:rPr>
          <w:rFonts w:asciiTheme="majorBidi" w:hAnsiTheme="majorBidi" w:cstheme="majorBidi"/>
          <w:sz w:val="24"/>
          <w:szCs w:val="24"/>
        </w:rPr>
        <w:t>s</w:t>
      </w:r>
      <w:r w:rsidR="00865615" w:rsidRPr="00823856">
        <w:rPr>
          <w:rFonts w:asciiTheme="majorBidi" w:hAnsiTheme="majorBidi" w:cstheme="majorBidi"/>
          <w:sz w:val="24"/>
          <w:szCs w:val="24"/>
        </w:rPr>
        <w:t xml:space="preserve">ources and </w:t>
      </w:r>
      <w:r w:rsidR="007A6814" w:rsidRPr="00823856">
        <w:rPr>
          <w:rFonts w:asciiTheme="majorBidi" w:hAnsiTheme="majorBidi" w:cstheme="majorBidi"/>
          <w:sz w:val="24"/>
          <w:szCs w:val="24"/>
        </w:rPr>
        <w:t xml:space="preserve">non-renewable sources such as </w:t>
      </w:r>
      <w:r w:rsidR="00865615" w:rsidRPr="00823856">
        <w:rPr>
          <w:rFonts w:asciiTheme="majorBidi" w:hAnsiTheme="majorBidi" w:cstheme="majorBidi"/>
          <w:sz w:val="24"/>
          <w:szCs w:val="24"/>
        </w:rPr>
        <w:t xml:space="preserve">coal result in various impacts on GWP or embodied energy. In Malaysia, the electricity consumed in producing materials such as prefabricated concrete </w:t>
      </w:r>
      <w:r w:rsidR="007A6814" w:rsidRPr="00823856">
        <w:rPr>
          <w:rFonts w:asciiTheme="majorBidi" w:hAnsiTheme="majorBidi" w:cstheme="majorBidi"/>
          <w:sz w:val="24"/>
          <w:szCs w:val="24"/>
        </w:rPr>
        <w:t xml:space="preserve">is mainly generated from of </w:t>
      </w:r>
      <w:r w:rsidR="00865615" w:rsidRPr="00823856">
        <w:rPr>
          <w:rFonts w:asciiTheme="majorBidi" w:hAnsiTheme="majorBidi" w:cstheme="majorBidi"/>
          <w:sz w:val="24"/>
          <w:szCs w:val="24"/>
        </w:rPr>
        <w:t>fossil fuel</w:t>
      </w:r>
      <w:r w:rsidR="007A6814" w:rsidRPr="00823856">
        <w:rPr>
          <w:rFonts w:asciiTheme="majorBidi" w:hAnsiTheme="majorBidi" w:cstheme="majorBidi"/>
          <w:sz w:val="24"/>
          <w:szCs w:val="24"/>
        </w:rPr>
        <w:t>s,</w:t>
      </w:r>
      <w:r w:rsidR="00865615" w:rsidRPr="00823856">
        <w:rPr>
          <w:rFonts w:asciiTheme="majorBidi" w:hAnsiTheme="majorBidi" w:cstheme="majorBidi"/>
          <w:sz w:val="24"/>
          <w:szCs w:val="24"/>
        </w:rPr>
        <w:t xml:space="preserve"> apportioned as 96.63% of the national electricity produced in 2014. </w:t>
      </w:r>
      <w:r w:rsidR="007A6814" w:rsidRPr="00823856">
        <w:rPr>
          <w:rFonts w:asciiTheme="majorBidi" w:hAnsiTheme="majorBidi" w:cstheme="majorBidi"/>
          <w:sz w:val="24"/>
          <w:szCs w:val="24"/>
        </w:rPr>
        <w:t>In Malaysia, fossil fuels are the primary source of e</w:t>
      </w:r>
      <w:r w:rsidR="00865615" w:rsidRPr="00823856">
        <w:rPr>
          <w:rFonts w:asciiTheme="majorBidi" w:hAnsiTheme="majorBidi" w:cstheme="majorBidi"/>
          <w:sz w:val="24"/>
          <w:szCs w:val="24"/>
        </w:rPr>
        <w:t>lectricity generation (Balasbaneh et al., 2020b)</w:t>
      </w:r>
      <w:r w:rsidR="00EA31B3">
        <w:rPr>
          <w:rFonts w:asciiTheme="majorBidi" w:hAnsiTheme="majorBidi" w:cstheme="majorBidi"/>
          <w:sz w:val="24"/>
          <w:szCs w:val="24"/>
        </w:rPr>
        <w:t>.</w:t>
      </w:r>
    </w:p>
    <w:p w14:paraId="0449C71E" w14:textId="77777777" w:rsidR="00EA1869" w:rsidRPr="00823856" w:rsidRDefault="00EA1869" w:rsidP="00EE12FE">
      <w:pPr>
        <w:spacing w:line="276" w:lineRule="auto"/>
        <w:ind w:firstLine="720"/>
        <w:jc w:val="both"/>
        <w:rPr>
          <w:rFonts w:asciiTheme="majorBidi" w:hAnsiTheme="majorBidi" w:cstheme="majorBidi"/>
          <w:sz w:val="24"/>
          <w:szCs w:val="24"/>
        </w:rPr>
      </w:pPr>
    </w:p>
    <w:p w14:paraId="2B1B176A" w14:textId="0D995DFF" w:rsidR="00B2130A" w:rsidRPr="00823856" w:rsidRDefault="00B2130A" w:rsidP="00EE12FE">
      <w:pPr>
        <w:pStyle w:val="ListParagraph"/>
        <w:numPr>
          <w:ilvl w:val="1"/>
          <w:numId w:val="14"/>
        </w:numPr>
        <w:autoSpaceDE w:val="0"/>
        <w:autoSpaceDN w:val="0"/>
        <w:adjustRightInd w:val="0"/>
        <w:spacing w:line="276" w:lineRule="auto"/>
        <w:rPr>
          <w:rFonts w:asciiTheme="majorBidi" w:hAnsiTheme="majorBidi" w:cstheme="majorBidi"/>
          <w:b/>
          <w:bCs/>
          <w:sz w:val="24"/>
          <w:szCs w:val="24"/>
        </w:rPr>
      </w:pPr>
      <w:r w:rsidRPr="00823856">
        <w:rPr>
          <w:rFonts w:asciiTheme="majorBidi" w:hAnsiTheme="majorBidi" w:cstheme="majorBidi"/>
          <w:b/>
          <w:bCs/>
          <w:i/>
          <w:iCs/>
          <w:sz w:val="24"/>
          <w:szCs w:val="24"/>
        </w:rPr>
        <w:t>Life Cycle Cost Analysis</w:t>
      </w:r>
    </w:p>
    <w:p w14:paraId="6E51627F" w14:textId="77777777" w:rsidR="008938C5" w:rsidRPr="00CF28E0" w:rsidRDefault="008938C5" w:rsidP="008938C5">
      <w:pPr>
        <w:pStyle w:val="mb-25"/>
        <w:spacing w:line="276" w:lineRule="auto"/>
        <w:ind w:firstLine="720"/>
        <w:jc w:val="both"/>
        <w:rPr>
          <w:color w:val="000000" w:themeColor="text1"/>
        </w:rPr>
      </w:pPr>
      <w:r w:rsidRPr="00CF28E0">
        <w:rPr>
          <w:color w:val="000000" w:themeColor="text1"/>
        </w:rPr>
        <w:t xml:space="preserve">The CE offers an approach to create a more sustainable environment. </w:t>
      </w:r>
      <w:proofErr w:type="gramStart"/>
      <w:r w:rsidRPr="00CF28E0">
        <w:rPr>
          <w:color w:val="000000" w:themeColor="text1"/>
        </w:rPr>
        <w:t>With regard to</w:t>
      </w:r>
      <w:proofErr w:type="gramEnd"/>
      <w:r w:rsidRPr="00CF28E0">
        <w:rPr>
          <w:color w:val="000000" w:themeColor="text1"/>
        </w:rPr>
        <w:t xml:space="preserve"> the construction industry, such an approach should not be limited to an environmental assessment but should include an economic assessment aligned to the CE LCC model </w:t>
      </w:r>
      <w:sdt>
        <w:sdtPr>
          <w:rPr>
            <w:color w:val="000000" w:themeColor="text1"/>
          </w:rPr>
          <w:tag w:val="MENDELEY_CITATION_v3_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"/>
          <w:id w:val="763113384"/>
          <w:placeholder>
            <w:docPart w:val="EA8E25D049B548CAB9904D99F60FCBF8"/>
          </w:placeholder>
        </w:sdtPr>
        <w:sdtContent>
          <w:r w:rsidRPr="00CF28E0">
            <w:rPr>
              <w:color w:val="000000" w:themeColor="text1"/>
            </w:rPr>
            <w:t>(Wouterszoon Jansen et al., 2020)</w:t>
          </w:r>
        </w:sdtContent>
      </w:sdt>
      <w:r w:rsidRPr="00CF28E0">
        <w:rPr>
          <w:color w:val="000000" w:themeColor="text1"/>
        </w:rPr>
        <w:t xml:space="preserve">. For this study the economic value of alternative methods of salvaging waste wood were analysed. The total yearly economic profit (revenues minus cost) was calculated for each sector. The cost of demolition is represented by the labour cost and the cost of transporting waste materials to a factory. Both the LCC model and the LCA model used in this investigation have been divided into four main phases based on the most crucial cost items: the acquisition of raw materials; the costs associated with production, transportation, and finally the costs associated with dismantling </w:t>
      </w:r>
      <w:r w:rsidRPr="00CF28E0">
        <w:rPr>
          <w:color w:val="000000" w:themeColor="text1"/>
        </w:rPr>
        <w:lastRenderedPageBreak/>
        <w:t xml:space="preserve">or deconstructing the product. </w:t>
      </w:r>
      <w:proofErr w:type="gramStart"/>
      <w:r w:rsidRPr="00CF28E0">
        <w:rPr>
          <w:color w:val="000000" w:themeColor="text1"/>
        </w:rPr>
        <w:t>LCC</w:t>
      </w:r>
      <w:proofErr w:type="gramEnd"/>
      <w:r w:rsidRPr="00CF28E0">
        <w:rPr>
          <w:color w:val="000000" w:themeColor="text1"/>
        </w:rPr>
        <w:t xml:space="preserve"> as applied here, refers to all the costs and incomes of a particular waste incurred by the owner of the waste. </w:t>
      </w:r>
    </w:p>
    <w:p w14:paraId="5FEF9841" w14:textId="6720C13B" w:rsidR="00B2130A" w:rsidRPr="00823856" w:rsidRDefault="00E432C7" w:rsidP="00EE12FE">
      <w:pPr>
        <w:pStyle w:val="ListParagraph"/>
        <w:numPr>
          <w:ilvl w:val="1"/>
          <w:numId w:val="14"/>
        </w:numPr>
        <w:spacing w:line="276" w:lineRule="auto"/>
        <w:jc w:val="both"/>
        <w:rPr>
          <w:rFonts w:asciiTheme="majorBidi" w:hAnsiTheme="majorBidi" w:cstheme="majorBidi"/>
          <w:sz w:val="24"/>
          <w:szCs w:val="24"/>
        </w:rPr>
      </w:pPr>
      <w:r w:rsidRPr="00823856">
        <w:rPr>
          <w:rFonts w:asciiTheme="majorBidi" w:hAnsiTheme="majorBidi" w:cstheme="majorBidi"/>
          <w:b/>
          <w:bCs/>
          <w:sz w:val="24"/>
          <w:szCs w:val="24"/>
        </w:rPr>
        <w:t>S</w:t>
      </w:r>
      <w:r w:rsidR="00F10156">
        <w:rPr>
          <w:rFonts w:asciiTheme="majorBidi" w:hAnsiTheme="majorBidi" w:cstheme="majorBidi"/>
          <w:b/>
          <w:bCs/>
          <w:sz w:val="24"/>
          <w:szCs w:val="24"/>
        </w:rPr>
        <w:t>-LCA</w:t>
      </w:r>
    </w:p>
    <w:p w14:paraId="50B2579D" w14:textId="77777777" w:rsidR="00003F9A" w:rsidRPr="00003F9A" w:rsidRDefault="00003F9A" w:rsidP="00EE12FE">
      <w:pPr>
        <w:spacing w:line="276" w:lineRule="auto"/>
        <w:ind w:right="90" w:firstLine="720"/>
        <w:jc w:val="both"/>
        <w:rPr>
          <w:rFonts w:asciiTheme="majorBidi" w:hAnsiTheme="majorBidi" w:cstheme="majorBidi"/>
        </w:rPr>
      </w:pPr>
      <w:r w:rsidRPr="00003F9A">
        <w:rPr>
          <w:rFonts w:asciiTheme="majorBidi" w:hAnsiTheme="majorBidi" w:cstheme="majorBidi"/>
        </w:rPr>
        <w:t xml:space="preserve">Sustainability assessment includes SLCA as the third pillar. An Analytic Hierarchy Process (AHP) is a method of ranking the importance of all criteria related to modular systems in line with UNEP/SETAC "guidelines for SLCA of products." The AHP evaluates all criteria pertaining to modular systems based on UNEP/SETAC "guidelines for SLCA of products." AHP is a method of determining and ranking all criteria related to modular systems. Thus, it was used in evaluating the life cycle effect of three modular materials and comparing them. In this study, workers, local communities, society, and consumers were selected as appropriate items for the social aspect (Benoît et al., 2010). In this assessment, four groups of stakeholders were identified, whereas in previous assessments, only three stakeholders were </w:t>
      </w:r>
      <w:proofErr w:type="gramStart"/>
      <w:r w:rsidRPr="00003F9A">
        <w:rPr>
          <w:rFonts w:asciiTheme="majorBidi" w:hAnsiTheme="majorBidi" w:cstheme="majorBidi"/>
        </w:rPr>
        <w:t>taken into account</w:t>
      </w:r>
      <w:proofErr w:type="gramEnd"/>
      <w:r w:rsidRPr="00003F9A">
        <w:rPr>
          <w:rFonts w:asciiTheme="majorBidi" w:hAnsiTheme="majorBidi" w:cstheme="majorBidi"/>
        </w:rPr>
        <w:t>. According to UNEP/SETAC (2009), the questions for social aspects of alternative modular materials were derived from their research, which considered more specific questions, such as cleaning comfort, reduced sound production, or beauty.</w:t>
      </w:r>
    </w:p>
    <w:p w14:paraId="61A8BA1E" w14:textId="0694E521" w:rsidR="007E4B0B" w:rsidRDefault="00003F9A" w:rsidP="00EE12FE">
      <w:pPr>
        <w:spacing w:line="276" w:lineRule="auto"/>
        <w:ind w:right="90" w:firstLine="720"/>
        <w:jc w:val="both"/>
        <w:rPr>
          <w:rFonts w:asciiTheme="majorBidi" w:hAnsiTheme="majorBidi" w:cstheme="majorBidi"/>
        </w:rPr>
      </w:pPr>
      <w:proofErr w:type="gramStart"/>
      <w:r w:rsidRPr="00003F9A">
        <w:rPr>
          <w:rFonts w:asciiTheme="majorBidi" w:hAnsiTheme="majorBidi" w:cstheme="majorBidi"/>
        </w:rPr>
        <w:t>In order to</w:t>
      </w:r>
      <w:proofErr w:type="gramEnd"/>
      <w:r w:rsidRPr="00003F9A">
        <w:rPr>
          <w:rFonts w:asciiTheme="majorBidi" w:hAnsiTheme="majorBidi" w:cstheme="majorBidi"/>
        </w:rPr>
        <w:t xml:space="preserve"> produce a single index of SLCA subcategories, pairwise comparisons of elements in the problem hierarchy were performed. On the social network, a scoring system ranging from 1 to 9 was applied, with each number indicating how significant (inclination) every component is relative to the others. In the hierarchy, the following scoring system is used for pairwise comparison: 1 is unconcerned, 3 is moderately important, 5 is important, 7 is important, and 9 is extremely important. As a result, the best choice had the highest score. The selection of specialists was based on their ability to cover all aspects.</w:t>
      </w:r>
    </w:p>
    <w:p w14:paraId="111BF08D" w14:textId="77777777" w:rsidR="00EA31B3" w:rsidRPr="00003F9A" w:rsidRDefault="00EA31B3" w:rsidP="00EE12FE">
      <w:pPr>
        <w:spacing w:line="276" w:lineRule="auto"/>
        <w:ind w:right="90" w:firstLine="720"/>
        <w:jc w:val="both"/>
        <w:rPr>
          <w:rFonts w:asciiTheme="majorBidi" w:hAnsiTheme="majorBidi" w:cstheme="majorBidi"/>
        </w:rPr>
      </w:pPr>
    </w:p>
    <w:p w14:paraId="2E173A38" w14:textId="77777777" w:rsidR="00B2130A" w:rsidRPr="00823856" w:rsidRDefault="00B2130A" w:rsidP="00EE12FE">
      <w:pPr>
        <w:pStyle w:val="ListParagraph"/>
        <w:numPr>
          <w:ilvl w:val="1"/>
          <w:numId w:val="14"/>
        </w:numPr>
        <w:autoSpaceDE w:val="0"/>
        <w:autoSpaceDN w:val="0"/>
        <w:adjustRightInd w:val="0"/>
        <w:spacing w:after="0" w:line="276" w:lineRule="auto"/>
        <w:rPr>
          <w:rFonts w:asciiTheme="majorBidi" w:hAnsiTheme="majorBidi" w:cstheme="majorBidi"/>
          <w:b/>
          <w:bCs/>
          <w:sz w:val="24"/>
          <w:szCs w:val="24"/>
        </w:rPr>
      </w:pPr>
      <w:r w:rsidRPr="00823856">
        <w:rPr>
          <w:rFonts w:asciiTheme="majorBidi" w:hAnsiTheme="majorBidi" w:cstheme="majorBidi"/>
          <w:b/>
          <w:bCs/>
          <w:i/>
          <w:iCs/>
          <w:sz w:val="24"/>
          <w:szCs w:val="24"/>
        </w:rPr>
        <w:t>Multi-Criteria Decision-making</w:t>
      </w:r>
    </w:p>
    <w:p w14:paraId="46701FF2" w14:textId="77777777" w:rsidR="00003F9A" w:rsidRPr="00003F9A" w:rsidRDefault="00003F9A" w:rsidP="00003F9A">
      <w:pPr>
        <w:autoSpaceDE w:val="0"/>
        <w:autoSpaceDN w:val="0"/>
        <w:adjustRightInd w:val="0"/>
        <w:spacing w:before="240" w:after="0" w:line="276" w:lineRule="auto"/>
        <w:ind w:firstLine="720"/>
        <w:jc w:val="lowKashida"/>
        <w:rPr>
          <w:rFonts w:asciiTheme="majorBidi" w:hAnsiTheme="majorBidi" w:cstheme="majorBidi"/>
          <w:sz w:val="24"/>
          <w:szCs w:val="24"/>
        </w:rPr>
      </w:pPr>
      <w:r w:rsidRPr="00003F9A">
        <w:rPr>
          <w:rFonts w:asciiTheme="majorBidi" w:hAnsiTheme="majorBidi" w:cstheme="majorBidi"/>
          <w:sz w:val="24"/>
          <w:szCs w:val="24"/>
        </w:rPr>
        <w:t>The MCDA method involves allocating priorities based on a set of individual criteria with different units when many alternatives are available (Hermann et al., 2007). Kaklauskas et al. (2006) applied AHP and MCDM methods to discover the best modular construction option. Using an AHP model, Turskis et al. (2009) investigated the system of values and weights of criteria based on case studies. By using PROMETHEE, we were able to characterize the best and most appropriate material for modules in the construction sector using the four parameters (GWP, embodied energy, LCC, and S-LCA).</w:t>
      </w:r>
    </w:p>
    <w:p w14:paraId="39B10FBC" w14:textId="7FCBEDE9" w:rsidR="001B6D29" w:rsidRDefault="00003F9A" w:rsidP="00EE12FE">
      <w:pPr>
        <w:autoSpaceDE w:val="0"/>
        <w:autoSpaceDN w:val="0"/>
        <w:adjustRightInd w:val="0"/>
        <w:spacing w:after="0" w:line="276" w:lineRule="auto"/>
        <w:ind w:firstLine="720"/>
        <w:jc w:val="lowKashida"/>
        <w:rPr>
          <w:rFonts w:asciiTheme="majorBidi" w:hAnsiTheme="majorBidi" w:cstheme="majorBidi"/>
          <w:sz w:val="24"/>
          <w:szCs w:val="24"/>
        </w:rPr>
      </w:pPr>
      <w:r w:rsidRPr="00003F9A">
        <w:rPr>
          <w:rFonts w:asciiTheme="majorBidi" w:hAnsiTheme="majorBidi" w:cstheme="majorBidi"/>
          <w:sz w:val="24"/>
          <w:szCs w:val="24"/>
        </w:rPr>
        <w:t>Sixty-two specialists from three specializations in the construction sector from Johor Bahru state in Malaysia were analyzed to determine three distinct modular parameters. For the evaluation of their priorities, the specialists filled out the questionnaire about the weighting of the criteria. Comparative analyses were carried out using an outright discernment scale, which indicates how much one component rules another regarding a specific attribute (Saaty, 2008). In line with Saaty (2008), the criteria that will be used in the pairwise comparison matrix are: CO2 emissions (Y1), embodied energy (Y2), cost (Y3), and social impact (Y4). Table 2 shows the relevant matrix for comparing four different criteria.</w:t>
      </w:r>
    </w:p>
    <w:p w14:paraId="7D7802D1" w14:textId="77777777" w:rsidR="00EA31B3" w:rsidRPr="00823856" w:rsidRDefault="00EA31B3" w:rsidP="00EE12FE">
      <w:pPr>
        <w:autoSpaceDE w:val="0"/>
        <w:autoSpaceDN w:val="0"/>
        <w:adjustRightInd w:val="0"/>
        <w:spacing w:after="0" w:line="276" w:lineRule="auto"/>
        <w:ind w:firstLine="720"/>
        <w:jc w:val="lowKashida"/>
        <w:rPr>
          <w:rFonts w:asciiTheme="majorBidi" w:hAnsiTheme="majorBidi" w:cstheme="majorBidi"/>
          <w:sz w:val="24"/>
          <w:szCs w:val="24"/>
        </w:rPr>
      </w:pPr>
    </w:p>
    <w:p w14:paraId="05D02FE5" w14:textId="6A6F6377" w:rsidR="00C7633F" w:rsidRPr="00823856" w:rsidRDefault="00C7633F" w:rsidP="00823856">
      <w:pPr>
        <w:autoSpaceDE w:val="0"/>
        <w:autoSpaceDN w:val="0"/>
        <w:adjustRightInd w:val="0"/>
        <w:spacing w:before="240" w:after="0" w:line="276" w:lineRule="auto"/>
        <w:jc w:val="center"/>
        <w:rPr>
          <w:rFonts w:asciiTheme="majorBidi" w:hAnsiTheme="majorBidi" w:cstheme="majorBidi"/>
          <w:sz w:val="24"/>
          <w:szCs w:val="24"/>
        </w:rPr>
      </w:pPr>
      <w:r w:rsidRPr="00823856">
        <w:rPr>
          <w:rFonts w:asciiTheme="majorBidi" w:hAnsiTheme="majorBidi" w:cstheme="majorBidi"/>
          <w:sz w:val="24"/>
          <w:szCs w:val="24"/>
        </w:rPr>
        <w:lastRenderedPageBreak/>
        <w:t>Table 2</w:t>
      </w:r>
      <w:r w:rsidR="00034B1E" w:rsidRPr="00823856">
        <w:rPr>
          <w:rFonts w:asciiTheme="majorBidi" w:hAnsiTheme="majorBidi" w:cstheme="majorBidi"/>
          <w:sz w:val="24"/>
          <w:szCs w:val="24"/>
        </w:rPr>
        <w:t>:</w:t>
      </w:r>
      <w:r w:rsidRPr="00823856">
        <w:rPr>
          <w:rFonts w:asciiTheme="majorBidi" w:hAnsiTheme="majorBidi" w:cstheme="majorBidi"/>
          <w:sz w:val="24"/>
          <w:szCs w:val="24"/>
        </w:rPr>
        <w:t xml:space="preserve"> </w:t>
      </w:r>
      <w:r w:rsidR="005372DE" w:rsidRPr="00823856">
        <w:rPr>
          <w:rFonts w:asciiTheme="majorBidi" w:hAnsiTheme="majorBidi" w:cstheme="majorBidi"/>
          <w:sz w:val="24"/>
          <w:szCs w:val="24"/>
        </w:rPr>
        <w:t>The</w:t>
      </w:r>
      <w:r w:rsidR="00B56CFB" w:rsidRPr="00823856">
        <w:rPr>
          <w:rFonts w:asciiTheme="majorBidi" w:hAnsiTheme="majorBidi" w:cstheme="majorBidi"/>
          <w:sz w:val="24"/>
          <w:szCs w:val="24"/>
        </w:rPr>
        <w:t xml:space="preserve"> matrix for comparing four objectives</w:t>
      </w:r>
    </w:p>
    <w:tbl>
      <w:tblPr>
        <w:tblStyle w:val="TableGrid"/>
        <w:tblW w:w="0" w:type="auto"/>
        <w:jc w:val="center"/>
        <w:tblLook w:val="04A0" w:firstRow="1" w:lastRow="0" w:firstColumn="1" w:lastColumn="0" w:noHBand="0" w:noVBand="1"/>
      </w:tblPr>
      <w:tblGrid>
        <w:gridCol w:w="1056"/>
        <w:gridCol w:w="1008"/>
        <w:gridCol w:w="1008"/>
        <w:gridCol w:w="1008"/>
        <w:gridCol w:w="1008"/>
        <w:gridCol w:w="1008"/>
      </w:tblGrid>
      <w:tr w:rsidR="00823856" w:rsidRPr="00823856" w14:paraId="3DCE8733" w14:textId="77777777" w:rsidTr="00C50AE0">
        <w:trPr>
          <w:jc w:val="center"/>
        </w:trPr>
        <w:tc>
          <w:tcPr>
            <w:tcW w:w="1056" w:type="dxa"/>
          </w:tcPr>
          <w:p w14:paraId="01142FD9"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 xml:space="preserve">Parameters </w:t>
            </w:r>
          </w:p>
        </w:tc>
        <w:tc>
          <w:tcPr>
            <w:tcW w:w="1008" w:type="dxa"/>
          </w:tcPr>
          <w:p w14:paraId="7E7C5592"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weight</w:t>
            </w:r>
          </w:p>
        </w:tc>
        <w:tc>
          <w:tcPr>
            <w:tcW w:w="1008" w:type="dxa"/>
          </w:tcPr>
          <w:p w14:paraId="02EBB5A9"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Y1</w:t>
            </w:r>
          </w:p>
        </w:tc>
        <w:tc>
          <w:tcPr>
            <w:tcW w:w="1008" w:type="dxa"/>
          </w:tcPr>
          <w:p w14:paraId="27A4B78A"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Y2</w:t>
            </w:r>
          </w:p>
        </w:tc>
        <w:tc>
          <w:tcPr>
            <w:tcW w:w="1008" w:type="dxa"/>
          </w:tcPr>
          <w:p w14:paraId="7521E3E0"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Y3</w:t>
            </w:r>
          </w:p>
        </w:tc>
        <w:tc>
          <w:tcPr>
            <w:tcW w:w="1008" w:type="dxa"/>
          </w:tcPr>
          <w:p w14:paraId="303008CE"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Y4</w:t>
            </w:r>
          </w:p>
        </w:tc>
      </w:tr>
      <w:tr w:rsidR="00823856" w:rsidRPr="00823856" w14:paraId="0A2714BF" w14:textId="77777777" w:rsidTr="00C50AE0">
        <w:trPr>
          <w:jc w:val="center"/>
        </w:trPr>
        <w:tc>
          <w:tcPr>
            <w:tcW w:w="1056" w:type="dxa"/>
          </w:tcPr>
          <w:p w14:paraId="37258A7E"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Y1</w:t>
            </w:r>
          </w:p>
        </w:tc>
        <w:tc>
          <w:tcPr>
            <w:tcW w:w="1008" w:type="dxa"/>
          </w:tcPr>
          <w:p w14:paraId="363ECAE2"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V1</w:t>
            </w:r>
          </w:p>
        </w:tc>
        <w:tc>
          <w:tcPr>
            <w:tcW w:w="1008" w:type="dxa"/>
          </w:tcPr>
          <w:p w14:paraId="21FA020A"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r w:rsidRPr="00823856">
              <w:rPr>
                <w:rFonts w:asciiTheme="majorBidi" w:hAnsiTheme="majorBidi" w:cstheme="majorBidi"/>
                <w:i/>
                <w:iCs/>
                <w:sz w:val="18"/>
                <w:szCs w:val="18"/>
              </w:rPr>
              <w:t>1</w:t>
            </w:r>
          </w:p>
        </w:tc>
        <w:tc>
          <w:tcPr>
            <w:tcW w:w="1008" w:type="dxa"/>
          </w:tcPr>
          <w:p w14:paraId="0F2D0D7B"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c>
          <w:tcPr>
            <w:tcW w:w="1008" w:type="dxa"/>
          </w:tcPr>
          <w:p w14:paraId="4E6AE4F9"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c>
          <w:tcPr>
            <w:tcW w:w="1008" w:type="dxa"/>
          </w:tcPr>
          <w:p w14:paraId="75DF149F"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r>
      <w:tr w:rsidR="00823856" w:rsidRPr="00823856" w14:paraId="2E6851FA" w14:textId="77777777" w:rsidTr="00C50AE0">
        <w:trPr>
          <w:jc w:val="center"/>
        </w:trPr>
        <w:tc>
          <w:tcPr>
            <w:tcW w:w="1056" w:type="dxa"/>
          </w:tcPr>
          <w:p w14:paraId="185395F7"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Y2</w:t>
            </w:r>
          </w:p>
        </w:tc>
        <w:tc>
          <w:tcPr>
            <w:tcW w:w="1008" w:type="dxa"/>
          </w:tcPr>
          <w:p w14:paraId="59ACEF82"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V2</w:t>
            </w:r>
          </w:p>
        </w:tc>
        <w:tc>
          <w:tcPr>
            <w:tcW w:w="1008" w:type="dxa"/>
          </w:tcPr>
          <w:p w14:paraId="5A6D32B4"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c>
          <w:tcPr>
            <w:tcW w:w="1008" w:type="dxa"/>
          </w:tcPr>
          <w:p w14:paraId="2A3F137C"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r w:rsidRPr="00823856">
              <w:rPr>
                <w:rFonts w:asciiTheme="majorBidi" w:hAnsiTheme="majorBidi" w:cstheme="majorBidi"/>
                <w:i/>
                <w:iCs/>
                <w:sz w:val="18"/>
                <w:szCs w:val="18"/>
              </w:rPr>
              <w:t>1</w:t>
            </w:r>
          </w:p>
        </w:tc>
        <w:tc>
          <w:tcPr>
            <w:tcW w:w="1008" w:type="dxa"/>
          </w:tcPr>
          <w:p w14:paraId="50DB4BB2"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c>
          <w:tcPr>
            <w:tcW w:w="1008" w:type="dxa"/>
          </w:tcPr>
          <w:p w14:paraId="07F3C8BB"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r>
      <w:tr w:rsidR="00823856" w:rsidRPr="00823856" w14:paraId="0413433C" w14:textId="77777777" w:rsidTr="00C50AE0">
        <w:trPr>
          <w:jc w:val="center"/>
        </w:trPr>
        <w:tc>
          <w:tcPr>
            <w:tcW w:w="1056" w:type="dxa"/>
          </w:tcPr>
          <w:p w14:paraId="731DA574"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Y3</w:t>
            </w:r>
          </w:p>
        </w:tc>
        <w:tc>
          <w:tcPr>
            <w:tcW w:w="1008" w:type="dxa"/>
          </w:tcPr>
          <w:p w14:paraId="536157D6"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V3</w:t>
            </w:r>
          </w:p>
        </w:tc>
        <w:tc>
          <w:tcPr>
            <w:tcW w:w="1008" w:type="dxa"/>
          </w:tcPr>
          <w:p w14:paraId="5873A0F4"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c>
          <w:tcPr>
            <w:tcW w:w="1008" w:type="dxa"/>
          </w:tcPr>
          <w:p w14:paraId="66F2A647"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c>
          <w:tcPr>
            <w:tcW w:w="1008" w:type="dxa"/>
          </w:tcPr>
          <w:p w14:paraId="05E1D261"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r w:rsidRPr="00823856">
              <w:rPr>
                <w:rFonts w:asciiTheme="majorBidi" w:hAnsiTheme="majorBidi" w:cstheme="majorBidi"/>
                <w:i/>
                <w:iCs/>
                <w:sz w:val="18"/>
                <w:szCs w:val="18"/>
              </w:rPr>
              <w:t>1</w:t>
            </w:r>
          </w:p>
        </w:tc>
        <w:tc>
          <w:tcPr>
            <w:tcW w:w="1008" w:type="dxa"/>
          </w:tcPr>
          <w:p w14:paraId="43508BE2"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r>
      <w:tr w:rsidR="00823856" w:rsidRPr="00823856" w14:paraId="4BA3ACEF" w14:textId="77777777" w:rsidTr="00C50AE0">
        <w:trPr>
          <w:jc w:val="center"/>
        </w:trPr>
        <w:tc>
          <w:tcPr>
            <w:tcW w:w="1056" w:type="dxa"/>
          </w:tcPr>
          <w:p w14:paraId="7206F803"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Y4</w:t>
            </w:r>
          </w:p>
        </w:tc>
        <w:tc>
          <w:tcPr>
            <w:tcW w:w="1008" w:type="dxa"/>
          </w:tcPr>
          <w:p w14:paraId="1065732B" w14:textId="77777777" w:rsidR="00034B1E" w:rsidRPr="00823856" w:rsidRDefault="00034B1E" w:rsidP="00C50AE0">
            <w:pPr>
              <w:autoSpaceDE w:val="0"/>
              <w:autoSpaceDN w:val="0"/>
              <w:adjustRightInd w:val="0"/>
              <w:rPr>
                <w:rFonts w:asciiTheme="majorBidi" w:hAnsiTheme="majorBidi" w:cstheme="majorBidi"/>
                <w:i/>
                <w:iCs/>
                <w:sz w:val="18"/>
                <w:szCs w:val="18"/>
              </w:rPr>
            </w:pPr>
            <w:r w:rsidRPr="00823856">
              <w:rPr>
                <w:rFonts w:asciiTheme="majorBidi" w:hAnsiTheme="majorBidi" w:cstheme="majorBidi"/>
                <w:i/>
                <w:iCs/>
                <w:sz w:val="18"/>
                <w:szCs w:val="18"/>
              </w:rPr>
              <w:t>V4</w:t>
            </w:r>
          </w:p>
        </w:tc>
        <w:tc>
          <w:tcPr>
            <w:tcW w:w="1008" w:type="dxa"/>
          </w:tcPr>
          <w:p w14:paraId="1EFFF7A3"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c>
          <w:tcPr>
            <w:tcW w:w="1008" w:type="dxa"/>
          </w:tcPr>
          <w:p w14:paraId="5CCBF8D6"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c>
          <w:tcPr>
            <w:tcW w:w="1008" w:type="dxa"/>
          </w:tcPr>
          <w:p w14:paraId="181614AB"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p>
        </w:tc>
        <w:tc>
          <w:tcPr>
            <w:tcW w:w="1008" w:type="dxa"/>
          </w:tcPr>
          <w:p w14:paraId="22239F51" w14:textId="77777777" w:rsidR="00034B1E" w:rsidRPr="00823856" w:rsidRDefault="00034B1E" w:rsidP="00C50AE0">
            <w:pPr>
              <w:autoSpaceDE w:val="0"/>
              <w:autoSpaceDN w:val="0"/>
              <w:adjustRightInd w:val="0"/>
              <w:jc w:val="center"/>
              <w:rPr>
                <w:rFonts w:asciiTheme="majorBidi" w:hAnsiTheme="majorBidi" w:cstheme="majorBidi"/>
                <w:i/>
                <w:iCs/>
                <w:sz w:val="18"/>
                <w:szCs w:val="18"/>
              </w:rPr>
            </w:pPr>
            <w:r w:rsidRPr="00823856">
              <w:rPr>
                <w:rFonts w:asciiTheme="majorBidi" w:hAnsiTheme="majorBidi" w:cstheme="majorBidi"/>
                <w:i/>
                <w:iCs/>
                <w:sz w:val="18"/>
                <w:szCs w:val="18"/>
              </w:rPr>
              <w:t>1</w:t>
            </w:r>
          </w:p>
        </w:tc>
      </w:tr>
    </w:tbl>
    <w:p w14:paraId="2DF1CB56" w14:textId="5AE70ABF" w:rsidR="00765714" w:rsidRPr="00823856" w:rsidRDefault="00A254F0" w:rsidP="00003F9A">
      <w:pPr>
        <w:spacing w:before="240" w:line="276" w:lineRule="auto"/>
        <w:ind w:firstLine="720"/>
        <w:jc w:val="lowKashida"/>
        <w:rPr>
          <w:rFonts w:asciiTheme="majorBidi" w:hAnsiTheme="majorBidi" w:cstheme="majorBidi"/>
          <w:sz w:val="24"/>
          <w:szCs w:val="24"/>
        </w:rPr>
      </w:pPr>
      <w:r w:rsidRPr="00A254F0">
        <w:rPr>
          <w:rFonts w:asciiTheme="majorBidi" w:hAnsiTheme="majorBidi" w:cstheme="majorBidi"/>
          <w:sz w:val="24"/>
          <w:szCs w:val="24"/>
        </w:rPr>
        <w:t xml:space="preserve">When comparing two parameters pairwise, the inclination scale ranged from 9 to 1. It is important to ensure that the calculated Consistency Ratio (CR) is less than 0.1 </w:t>
      </w:r>
      <w:proofErr w:type="gramStart"/>
      <w:r w:rsidRPr="00A254F0">
        <w:rPr>
          <w:rFonts w:asciiTheme="majorBidi" w:hAnsiTheme="majorBidi" w:cstheme="majorBidi"/>
          <w:sz w:val="24"/>
          <w:szCs w:val="24"/>
        </w:rPr>
        <w:t>in order to</w:t>
      </w:r>
      <w:proofErr w:type="gramEnd"/>
      <w:r w:rsidRPr="00A254F0">
        <w:rPr>
          <w:rFonts w:asciiTheme="majorBidi" w:hAnsiTheme="majorBidi" w:cstheme="majorBidi"/>
          <w:sz w:val="24"/>
          <w:szCs w:val="24"/>
        </w:rPr>
        <w:t xml:space="preserve"> ensure consistency of the comparison framework. Based on a given evaluation matrix and a random matrix, CR is defined as the ratio between consistency.</w:t>
      </w:r>
      <w:r>
        <w:t xml:space="preserve"> </w:t>
      </w:r>
      <w:r w:rsidR="009815AE" w:rsidRPr="00823856">
        <w:rPr>
          <w:rFonts w:asciiTheme="majorBidi" w:hAnsiTheme="majorBidi" w:cstheme="majorBidi"/>
          <w:sz w:val="24"/>
          <w:szCs w:val="24"/>
        </w:rPr>
        <w:t xml:space="preserve">If the CR is much more than 0.1, the judgments are untrustworthy because they are too close </w:t>
      </w:r>
      <w:r w:rsidR="00E27553" w:rsidRPr="00823856">
        <w:rPr>
          <w:rFonts w:asciiTheme="majorBidi" w:hAnsiTheme="majorBidi" w:cstheme="majorBidi"/>
          <w:sz w:val="24"/>
          <w:szCs w:val="24"/>
        </w:rPr>
        <w:t>and indicate</w:t>
      </w:r>
      <w:r w:rsidR="009815AE" w:rsidRPr="00823856">
        <w:rPr>
          <w:rFonts w:asciiTheme="majorBidi" w:hAnsiTheme="majorBidi" w:cstheme="majorBidi"/>
          <w:sz w:val="24"/>
          <w:szCs w:val="24"/>
        </w:rPr>
        <w:t xml:space="preserve"> randomness, </w:t>
      </w:r>
      <w:r w:rsidR="00E27553" w:rsidRPr="00823856">
        <w:rPr>
          <w:rFonts w:asciiTheme="majorBidi" w:hAnsiTheme="majorBidi" w:cstheme="majorBidi"/>
          <w:sz w:val="24"/>
          <w:szCs w:val="24"/>
        </w:rPr>
        <w:t>leading to the</w:t>
      </w:r>
      <w:r w:rsidR="009815AE" w:rsidRPr="00823856">
        <w:rPr>
          <w:rFonts w:asciiTheme="majorBidi" w:hAnsiTheme="majorBidi" w:cstheme="majorBidi"/>
          <w:sz w:val="24"/>
          <w:szCs w:val="24"/>
        </w:rPr>
        <w:t xml:space="preserve"> exercise </w:t>
      </w:r>
      <w:r w:rsidR="00325D9E" w:rsidRPr="00823856">
        <w:rPr>
          <w:rFonts w:asciiTheme="majorBidi" w:hAnsiTheme="majorBidi" w:cstheme="majorBidi"/>
          <w:sz w:val="24"/>
          <w:szCs w:val="24"/>
        </w:rPr>
        <w:t xml:space="preserve">being </w:t>
      </w:r>
      <w:r w:rsidR="009815AE" w:rsidRPr="00823856">
        <w:rPr>
          <w:rFonts w:asciiTheme="majorBidi" w:hAnsiTheme="majorBidi" w:cstheme="majorBidi"/>
          <w:sz w:val="24"/>
          <w:szCs w:val="24"/>
        </w:rPr>
        <w:t xml:space="preserve">valueless or </w:t>
      </w:r>
      <w:r w:rsidR="00325D9E" w:rsidRPr="00823856">
        <w:rPr>
          <w:rFonts w:asciiTheme="majorBidi" w:hAnsiTheme="majorBidi" w:cstheme="majorBidi"/>
          <w:sz w:val="24"/>
          <w:szCs w:val="24"/>
        </w:rPr>
        <w:t>needing to be</w:t>
      </w:r>
      <w:r w:rsidR="009815AE" w:rsidRPr="00823856">
        <w:rPr>
          <w:rFonts w:asciiTheme="majorBidi" w:hAnsiTheme="majorBidi" w:cstheme="majorBidi"/>
          <w:sz w:val="24"/>
          <w:szCs w:val="24"/>
        </w:rPr>
        <w:t xml:space="preserve"> repeated.</w:t>
      </w:r>
      <w:r w:rsidR="00003F9A">
        <w:rPr>
          <w:rFonts w:asciiTheme="majorBidi" w:hAnsiTheme="majorBidi" w:cstheme="majorBidi"/>
          <w:sz w:val="24"/>
          <w:szCs w:val="24"/>
        </w:rPr>
        <w:t xml:space="preserve"> </w:t>
      </w:r>
      <w:r w:rsidR="00402DBE" w:rsidRPr="00823856">
        <w:rPr>
          <w:rFonts w:asciiTheme="majorBidi" w:hAnsiTheme="majorBidi" w:cstheme="majorBidi"/>
          <w:sz w:val="24"/>
          <w:szCs w:val="24"/>
        </w:rPr>
        <w:t>Numerous works in the literature have focused on applying PROMETHEE</w:t>
      </w:r>
      <w:r w:rsidR="00325D9E" w:rsidRPr="00823856">
        <w:rPr>
          <w:rFonts w:asciiTheme="majorBidi" w:hAnsiTheme="majorBidi" w:cstheme="majorBidi"/>
          <w:sz w:val="24"/>
          <w:szCs w:val="24"/>
        </w:rPr>
        <w:t xml:space="preserve"> </w:t>
      </w:r>
      <w:r w:rsidR="00402DBE" w:rsidRPr="00823856">
        <w:rPr>
          <w:rFonts w:asciiTheme="majorBidi" w:hAnsiTheme="majorBidi" w:cstheme="majorBidi"/>
          <w:sz w:val="24"/>
          <w:szCs w:val="24"/>
        </w:rPr>
        <w:t>as a trusted MCDM method for solving environment management.</w:t>
      </w:r>
      <w:r w:rsidR="00C32159" w:rsidRPr="00823856">
        <w:rPr>
          <w:rFonts w:asciiTheme="majorBidi" w:hAnsiTheme="majorBidi" w:cstheme="majorBidi"/>
          <w:sz w:val="24"/>
          <w:szCs w:val="24"/>
        </w:rPr>
        <w:t xml:space="preserve"> </w:t>
      </w:r>
      <w:r w:rsidR="00325D9E" w:rsidRPr="00823856">
        <w:rPr>
          <w:rFonts w:asciiTheme="majorBidi" w:hAnsiTheme="majorBidi" w:cstheme="majorBidi"/>
          <w:sz w:val="24"/>
          <w:szCs w:val="24"/>
        </w:rPr>
        <w:t>Its steps are as follows:</w:t>
      </w:r>
    </w:p>
    <w:p w14:paraId="3A34DD85" w14:textId="5FAB7182" w:rsidR="00DC1C5D" w:rsidRPr="00823856" w:rsidRDefault="00C32159" w:rsidP="00EE12FE">
      <w:pPr>
        <w:spacing w:line="276" w:lineRule="auto"/>
        <w:ind w:firstLine="720"/>
        <w:jc w:val="lowKashida"/>
        <w:rPr>
          <w:rFonts w:asciiTheme="majorBidi" w:hAnsiTheme="majorBidi" w:cstheme="majorBidi"/>
          <w:sz w:val="24"/>
          <w:szCs w:val="24"/>
        </w:rPr>
      </w:pPr>
      <w:r w:rsidRPr="00823856">
        <w:rPr>
          <w:rFonts w:asciiTheme="majorBidi" w:hAnsiTheme="majorBidi" w:cstheme="majorBidi"/>
          <w:b/>
          <w:bCs/>
          <w:sz w:val="24"/>
          <w:szCs w:val="24"/>
        </w:rPr>
        <w:t>Step 1</w:t>
      </w:r>
      <w:r w:rsidR="00D03C52" w:rsidRPr="00823856">
        <w:rPr>
          <w:rFonts w:asciiTheme="majorBidi" w:hAnsiTheme="majorBidi" w:cstheme="majorBidi"/>
          <w:b/>
          <w:bCs/>
          <w:sz w:val="24"/>
          <w:szCs w:val="24"/>
        </w:rPr>
        <w:t>:</w:t>
      </w:r>
      <w:r w:rsidRPr="00823856">
        <w:rPr>
          <w:rFonts w:asciiTheme="majorBidi" w:hAnsiTheme="majorBidi" w:cstheme="majorBidi"/>
          <w:sz w:val="24"/>
          <w:szCs w:val="24"/>
        </w:rPr>
        <w:t xml:space="preserve"> </w:t>
      </w:r>
      <w:r w:rsidR="002F6E01" w:rsidRPr="00823856">
        <w:rPr>
          <w:rFonts w:asciiTheme="majorBidi" w:hAnsiTheme="majorBidi" w:cstheme="majorBidi"/>
          <w:sz w:val="24"/>
          <w:szCs w:val="24"/>
        </w:rPr>
        <w:t>A</w:t>
      </w:r>
      <w:r w:rsidRPr="00823856">
        <w:rPr>
          <w:rFonts w:asciiTheme="majorBidi" w:hAnsiTheme="majorBidi" w:cstheme="majorBidi"/>
          <w:sz w:val="24"/>
          <w:szCs w:val="24"/>
        </w:rPr>
        <w:t>ccomplishing the normali</w:t>
      </w:r>
      <w:r w:rsidR="002F6E01" w:rsidRPr="00823856">
        <w:rPr>
          <w:rFonts w:asciiTheme="majorBidi" w:hAnsiTheme="majorBidi" w:cstheme="majorBidi"/>
          <w:sz w:val="24"/>
          <w:szCs w:val="24"/>
        </w:rPr>
        <w:t xml:space="preserve">zation by </w:t>
      </w:r>
      <w:r w:rsidRPr="00823856">
        <w:rPr>
          <w:rFonts w:asciiTheme="majorBidi" w:hAnsiTheme="majorBidi" w:cstheme="majorBidi"/>
          <w:sz w:val="24"/>
          <w:szCs w:val="24"/>
        </w:rPr>
        <w:t xml:space="preserve">evaluation matrix that </w:t>
      </w:r>
      <w:r w:rsidR="000A5E27" w:rsidRPr="00823856">
        <w:rPr>
          <w:rFonts w:asciiTheme="majorBidi" w:hAnsiTheme="majorBidi" w:cstheme="majorBidi"/>
          <w:sz w:val="24"/>
          <w:szCs w:val="24"/>
        </w:rPr>
        <w:t>was</w:t>
      </w:r>
      <w:r w:rsidRPr="00823856">
        <w:rPr>
          <w:rFonts w:asciiTheme="majorBidi" w:hAnsiTheme="majorBidi" w:cstheme="majorBidi"/>
          <w:sz w:val="24"/>
          <w:szCs w:val="24"/>
        </w:rPr>
        <w:t xml:space="preserve"> extracted from each previous step</w:t>
      </w:r>
      <w:r w:rsidR="00325D9E" w:rsidRPr="00823856">
        <w:rPr>
          <w:rFonts w:asciiTheme="majorBidi" w:hAnsiTheme="majorBidi" w:cstheme="majorBidi"/>
          <w:sz w:val="24"/>
          <w:szCs w:val="24"/>
        </w:rPr>
        <w:t>. E</w:t>
      </w:r>
      <w:r w:rsidR="00DC1C5D" w:rsidRPr="00823856">
        <w:rPr>
          <w:rFonts w:asciiTheme="majorBidi" w:hAnsiTheme="majorBidi" w:cstheme="majorBidi"/>
          <w:sz w:val="24"/>
          <w:szCs w:val="24"/>
        </w:rPr>
        <w:t>quation</w:t>
      </w:r>
      <w:r w:rsidR="00F70838" w:rsidRPr="00823856">
        <w:rPr>
          <w:rFonts w:asciiTheme="majorBidi" w:hAnsiTheme="majorBidi" w:cstheme="majorBidi"/>
          <w:sz w:val="24"/>
          <w:szCs w:val="24"/>
        </w:rPr>
        <w:t xml:space="preserve"> </w:t>
      </w:r>
      <w:r w:rsidR="00433EB2" w:rsidRPr="00823856">
        <w:rPr>
          <w:rFonts w:asciiTheme="majorBidi" w:hAnsiTheme="majorBidi" w:cstheme="majorBidi"/>
          <w:sz w:val="24"/>
          <w:szCs w:val="24"/>
        </w:rPr>
        <w:t>2</w:t>
      </w:r>
      <w:r w:rsidR="00F70838" w:rsidRPr="00823856">
        <w:rPr>
          <w:rFonts w:asciiTheme="majorBidi" w:hAnsiTheme="majorBidi" w:cstheme="majorBidi"/>
          <w:sz w:val="24"/>
          <w:szCs w:val="24"/>
        </w:rPr>
        <w:t xml:space="preserve"> </w:t>
      </w:r>
      <w:r w:rsidR="002F6E01" w:rsidRPr="00823856">
        <w:rPr>
          <w:rFonts w:asciiTheme="majorBidi" w:hAnsiTheme="majorBidi" w:cstheme="majorBidi"/>
          <w:sz w:val="24"/>
          <w:szCs w:val="24"/>
        </w:rPr>
        <w:t>is</w:t>
      </w:r>
      <w:r w:rsidR="00DC1C5D" w:rsidRPr="00823856">
        <w:rPr>
          <w:rFonts w:asciiTheme="majorBidi" w:hAnsiTheme="majorBidi" w:cstheme="majorBidi"/>
          <w:sz w:val="24"/>
          <w:szCs w:val="24"/>
        </w:rPr>
        <w:t xml:space="preserve"> related to the beneficial criteria </w:t>
      </w:r>
      <w:r w:rsidR="002F6E01" w:rsidRPr="00823856">
        <w:rPr>
          <w:rFonts w:asciiTheme="majorBidi" w:hAnsiTheme="majorBidi" w:cstheme="majorBidi"/>
          <w:sz w:val="24"/>
          <w:szCs w:val="24"/>
        </w:rPr>
        <w:t>while</w:t>
      </w:r>
      <w:r w:rsidR="00DC1C5D" w:rsidRPr="00823856">
        <w:rPr>
          <w:rFonts w:asciiTheme="majorBidi" w:hAnsiTheme="majorBidi" w:cstheme="majorBidi"/>
          <w:sz w:val="24"/>
          <w:szCs w:val="24"/>
        </w:rPr>
        <w:t xml:space="preserve"> </w:t>
      </w:r>
      <w:r w:rsidRPr="00823856">
        <w:rPr>
          <w:rFonts w:asciiTheme="majorBidi" w:hAnsiTheme="majorBidi" w:cstheme="majorBidi"/>
          <w:sz w:val="24"/>
          <w:szCs w:val="24"/>
        </w:rPr>
        <w:t>e</w:t>
      </w:r>
      <w:r w:rsidR="00DC1C5D" w:rsidRPr="00823856">
        <w:rPr>
          <w:rFonts w:asciiTheme="majorBidi" w:hAnsiTheme="majorBidi" w:cstheme="majorBidi"/>
          <w:sz w:val="24"/>
          <w:szCs w:val="24"/>
        </w:rPr>
        <w:t xml:space="preserve">quation </w:t>
      </w:r>
      <w:r w:rsidR="00433EB2" w:rsidRPr="00823856">
        <w:rPr>
          <w:rFonts w:asciiTheme="majorBidi" w:hAnsiTheme="majorBidi" w:cstheme="majorBidi"/>
          <w:sz w:val="24"/>
          <w:szCs w:val="24"/>
        </w:rPr>
        <w:t>3</w:t>
      </w:r>
      <w:r w:rsidR="00DC1C5D" w:rsidRPr="00823856">
        <w:rPr>
          <w:rFonts w:asciiTheme="majorBidi" w:hAnsiTheme="majorBidi" w:cstheme="majorBidi"/>
          <w:sz w:val="24"/>
          <w:szCs w:val="24"/>
        </w:rPr>
        <w:t xml:space="preserve"> </w:t>
      </w:r>
      <w:r w:rsidR="00E87DE6" w:rsidRPr="00823856">
        <w:rPr>
          <w:rFonts w:asciiTheme="majorBidi" w:hAnsiTheme="majorBidi" w:cstheme="majorBidi"/>
          <w:sz w:val="24"/>
          <w:szCs w:val="24"/>
        </w:rPr>
        <w:t>assesses</w:t>
      </w:r>
      <w:r w:rsidR="00DC1C5D" w:rsidRPr="00823856">
        <w:rPr>
          <w:rFonts w:asciiTheme="majorBidi" w:hAnsiTheme="majorBidi" w:cstheme="majorBidi"/>
          <w:sz w:val="24"/>
          <w:szCs w:val="24"/>
        </w:rPr>
        <w:t xml:space="preserve"> non-beneficial </w:t>
      </w:r>
      <w:r w:rsidR="000C6332" w:rsidRPr="00823856">
        <w:rPr>
          <w:rFonts w:asciiTheme="majorBidi" w:hAnsiTheme="majorBidi" w:cstheme="majorBidi"/>
          <w:sz w:val="24"/>
          <w:szCs w:val="24"/>
        </w:rPr>
        <w:t>criteria</w:t>
      </w:r>
      <w:r w:rsidR="00DC1C5D" w:rsidRPr="00823856">
        <w:rPr>
          <w:rFonts w:asciiTheme="majorBidi" w:hAnsiTheme="majorBidi" w:cstheme="majorBidi"/>
          <w:sz w:val="24"/>
          <w:szCs w:val="24"/>
        </w:rPr>
        <w:t xml:space="preserve"> (if any). </w:t>
      </w:r>
    </w:p>
    <w:p w14:paraId="49982BF0" w14:textId="6B670DD7" w:rsidR="000652C8" w:rsidRPr="00823856" w:rsidRDefault="00000000" w:rsidP="00EE12FE">
      <w:pPr>
        <w:spacing w:line="276" w:lineRule="auto"/>
        <w:ind w:firstLine="720"/>
        <w:jc w:val="lowKashida"/>
        <w:rPr>
          <w:rFonts w:asciiTheme="majorBidi" w:eastAsiaTheme="minorEastAsia"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R</m:t>
            </m:r>
          </m:e>
          <m:sub>
            <m:r>
              <w:rPr>
                <w:rFonts w:ascii="Cambria Math" w:hAnsi="Cambria Math" w:cstheme="majorBidi"/>
                <w:sz w:val="24"/>
                <w:szCs w:val="24"/>
              </w:rPr>
              <m:t>ij</m:t>
            </m:r>
          </m:sub>
        </m:sSub>
        <m: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ij</m:t>
                </m:r>
              </m:sub>
            </m:sSub>
            <m: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min</m:t>
                </m:r>
                <m:ctrlPr>
                  <w:rPr>
                    <w:rFonts w:ascii="Cambria Math" w:hAnsi="Cambria Math" w:cstheme="majorBidi"/>
                    <w:i/>
                    <w:sz w:val="24"/>
                    <w:szCs w:val="24"/>
                  </w:rPr>
                </m:ctrlPr>
              </m:fName>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ij</m:t>
                        </m:r>
                      </m:sub>
                    </m:sSub>
                  </m:e>
                </m:d>
              </m:e>
            </m:func>
            <m:r>
              <w:rPr>
                <w:rFonts w:ascii="Cambria Math" w:hAnsi="Cambria Math" w:cstheme="majorBidi"/>
                <w:sz w:val="24"/>
                <w:szCs w:val="24"/>
              </w:rPr>
              <m:t>]</m:t>
            </m:r>
          </m:num>
          <m:den>
            <m: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max</m:t>
                </m:r>
                <m:ctrlPr>
                  <w:rPr>
                    <w:rFonts w:ascii="Cambria Math" w:hAnsi="Cambria Math" w:cstheme="majorBidi"/>
                    <w:i/>
                    <w:sz w:val="24"/>
                    <w:szCs w:val="24"/>
                  </w:rPr>
                </m:ctrlPr>
              </m:fName>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ij</m:t>
                        </m:r>
                      </m:sub>
                    </m:sSub>
                  </m:e>
                </m:d>
              </m:e>
            </m:func>
            <m: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min</m:t>
                </m:r>
                <m:ctrlPr>
                  <w:rPr>
                    <w:rFonts w:ascii="Cambria Math" w:hAnsi="Cambria Math" w:cstheme="majorBidi"/>
                    <w:i/>
                    <w:sz w:val="24"/>
                    <w:szCs w:val="24"/>
                  </w:rPr>
                </m:ctrlPr>
              </m:fName>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ij</m:t>
                        </m:r>
                      </m:sub>
                    </m:sSub>
                  </m:e>
                </m:d>
              </m:e>
            </m:func>
            <m:r>
              <w:rPr>
                <w:rFonts w:ascii="Cambria Math" w:hAnsi="Cambria Math" w:cstheme="majorBidi"/>
                <w:sz w:val="24"/>
                <w:szCs w:val="24"/>
              </w:rPr>
              <m:t>]</m:t>
            </m:r>
          </m:den>
        </m:f>
        <m:r>
          <w:rPr>
            <w:rFonts w:ascii="Cambria Math" w:hAnsi="Cambria Math" w:cstheme="majorBidi"/>
            <w:sz w:val="24"/>
            <w:szCs w:val="24"/>
          </w:rPr>
          <m:t xml:space="preserve"> (i=1, 2, …, m;j=1, 2, …,n)</m:t>
        </m:r>
      </m:oMath>
      <w:r w:rsidR="00043889" w:rsidRPr="00823856">
        <w:rPr>
          <w:rFonts w:asciiTheme="majorBidi" w:eastAsiaTheme="minorEastAsia" w:hAnsiTheme="majorBidi" w:cstheme="majorBidi"/>
          <w:sz w:val="24"/>
          <w:szCs w:val="24"/>
        </w:rPr>
        <w:t xml:space="preserve">              </w:t>
      </w:r>
      <w:r w:rsidR="00423EA1" w:rsidRPr="00823856">
        <w:rPr>
          <w:rFonts w:asciiTheme="majorBidi" w:eastAsiaTheme="minorEastAsia" w:hAnsiTheme="majorBidi" w:cstheme="majorBidi"/>
          <w:sz w:val="24"/>
          <w:szCs w:val="24"/>
        </w:rPr>
        <w:t xml:space="preserve">                             Eq</w:t>
      </w:r>
      <w:r w:rsidR="00043889" w:rsidRPr="00823856">
        <w:rPr>
          <w:rFonts w:asciiTheme="majorBidi" w:eastAsiaTheme="minorEastAsia" w:hAnsiTheme="majorBidi" w:cstheme="majorBidi"/>
          <w:sz w:val="24"/>
          <w:szCs w:val="24"/>
        </w:rPr>
        <w:t xml:space="preserve"> (</w:t>
      </w:r>
      <w:r w:rsidR="002A7CA2" w:rsidRPr="00823856">
        <w:rPr>
          <w:rFonts w:asciiTheme="majorBidi" w:eastAsiaTheme="minorEastAsia" w:hAnsiTheme="majorBidi" w:cstheme="majorBidi"/>
          <w:sz w:val="24"/>
          <w:szCs w:val="24"/>
        </w:rPr>
        <w:t>2</w:t>
      </w:r>
      <w:r w:rsidR="00043889" w:rsidRPr="00823856">
        <w:rPr>
          <w:rFonts w:asciiTheme="majorBidi" w:eastAsiaTheme="minorEastAsia" w:hAnsiTheme="majorBidi" w:cstheme="majorBidi"/>
          <w:sz w:val="24"/>
          <w:szCs w:val="24"/>
        </w:rPr>
        <w:t>)</w:t>
      </w:r>
    </w:p>
    <w:p w14:paraId="2AAE423B" w14:textId="18B7901C" w:rsidR="00043889" w:rsidRPr="00823856" w:rsidRDefault="00000000" w:rsidP="00EE12FE">
      <w:pPr>
        <w:spacing w:line="276" w:lineRule="auto"/>
        <w:ind w:firstLine="720"/>
        <w:jc w:val="lowKashida"/>
        <w:rPr>
          <w:rFonts w:asciiTheme="majorBidi" w:eastAsiaTheme="minorEastAsia" w:hAnsiTheme="majorBidi" w:cstheme="majorBidi"/>
          <w:sz w:val="24"/>
          <w:szCs w:val="24"/>
        </w:rPr>
      </w:pPr>
      <m:oMath>
        <m:sSub>
          <m:sSubPr>
            <m:ctrlPr>
              <w:rPr>
                <w:rFonts w:ascii="Cambria Math" w:hAnsi="Cambria Math" w:cstheme="majorBidi"/>
                <w:sz w:val="24"/>
                <w:szCs w:val="24"/>
              </w:rPr>
            </m:ctrlPr>
          </m:sSubPr>
          <m:e>
            <m:r>
              <w:rPr>
                <w:rFonts w:ascii="Cambria Math" w:hAnsi="Cambria Math" w:cstheme="majorBidi"/>
                <w:sz w:val="24"/>
                <w:szCs w:val="24"/>
              </w:rPr>
              <m:t>R</m:t>
            </m:r>
          </m:e>
          <m:sub>
            <m:r>
              <w:rPr>
                <w:rFonts w:ascii="Cambria Math" w:hAnsi="Cambria Math" w:cstheme="majorBidi"/>
                <w:sz w:val="24"/>
                <w:szCs w:val="24"/>
              </w:rPr>
              <m:t>ij</m:t>
            </m:r>
          </m:sub>
        </m:sSub>
        <m:r>
          <w:rPr>
            <w:rFonts w:ascii="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m:t>
            </m:r>
            <m:sSub>
              <m:sSubPr>
                <m:ctrlPr>
                  <w:rPr>
                    <w:rFonts w:ascii="Cambria Math" w:hAnsi="Cambria Math" w:cstheme="majorBidi"/>
                    <w:i/>
                    <w:sz w:val="24"/>
                    <w:szCs w:val="24"/>
                  </w:rPr>
                </m:ctrlPr>
              </m:sSubPr>
              <m:e>
                <m:r>
                  <m:rPr>
                    <m:sty m:val="p"/>
                  </m:rPr>
                  <w:rPr>
                    <w:rFonts w:ascii="Cambria Math" w:hAnsi="Cambria Math" w:cstheme="majorBidi"/>
                    <w:sz w:val="24"/>
                    <w:szCs w:val="24"/>
                  </w:rPr>
                  <m:t>max⁡</m:t>
                </m:r>
                <m:r>
                  <w:rPr>
                    <w:rFonts w:ascii="Cambria Math" w:hAnsi="Cambria Math" w:cstheme="majorBidi"/>
                    <w:sz w:val="24"/>
                    <w:szCs w:val="24"/>
                  </w:rPr>
                  <m:t>(x</m:t>
                </m:r>
              </m:e>
              <m:sub>
                <m:r>
                  <w:rPr>
                    <w:rFonts w:ascii="Cambria Math" w:hAnsi="Cambria Math" w:cstheme="majorBidi"/>
                    <w:sz w:val="24"/>
                    <w:szCs w:val="24"/>
                  </w:rPr>
                  <m:t>ij</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ij</m:t>
                </m:r>
              </m:sub>
            </m:sSub>
            <m:r>
              <w:rPr>
                <w:rFonts w:ascii="Cambria Math" w:hAnsi="Cambria Math" w:cstheme="majorBidi"/>
                <w:sz w:val="24"/>
                <w:szCs w:val="24"/>
              </w:rPr>
              <m:t>]</m:t>
            </m:r>
          </m:num>
          <m:den>
            <m: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max</m:t>
                </m:r>
                <m:ctrlPr>
                  <w:rPr>
                    <w:rFonts w:ascii="Cambria Math" w:hAnsi="Cambria Math" w:cstheme="majorBidi"/>
                    <w:i/>
                    <w:sz w:val="24"/>
                    <w:szCs w:val="24"/>
                  </w:rPr>
                </m:ctrlPr>
              </m:fName>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ij</m:t>
                        </m:r>
                      </m:sub>
                    </m:sSub>
                  </m:e>
                </m:d>
              </m:e>
            </m:func>
            <m:r>
              <w:rPr>
                <w:rFonts w:ascii="Cambria Math" w:hAnsi="Cambria Math" w:cstheme="majorBidi"/>
                <w:sz w:val="24"/>
                <w:szCs w:val="24"/>
              </w:rPr>
              <m:t>-</m:t>
            </m:r>
            <m:func>
              <m:funcPr>
                <m:ctrlPr>
                  <w:rPr>
                    <w:rFonts w:ascii="Cambria Math" w:hAnsi="Cambria Math" w:cstheme="majorBidi"/>
                    <w:sz w:val="24"/>
                    <w:szCs w:val="24"/>
                  </w:rPr>
                </m:ctrlPr>
              </m:funcPr>
              <m:fName>
                <m:r>
                  <m:rPr>
                    <m:sty m:val="p"/>
                  </m:rPr>
                  <w:rPr>
                    <w:rFonts w:ascii="Cambria Math" w:hAnsi="Cambria Math" w:cstheme="majorBidi"/>
                    <w:sz w:val="24"/>
                    <w:szCs w:val="24"/>
                  </w:rPr>
                  <m:t>min</m:t>
                </m:r>
                <m:ctrlPr>
                  <w:rPr>
                    <w:rFonts w:ascii="Cambria Math" w:hAnsi="Cambria Math" w:cstheme="majorBidi"/>
                    <w:i/>
                    <w:sz w:val="24"/>
                    <w:szCs w:val="24"/>
                  </w:rPr>
                </m:ctrlPr>
              </m:fName>
              <m:e>
                <m:d>
                  <m:dPr>
                    <m:ctrlPr>
                      <w:rPr>
                        <w:rFonts w:ascii="Cambria Math" w:hAnsi="Cambria Math" w:cstheme="majorBidi"/>
                        <w:i/>
                        <w:sz w:val="24"/>
                        <w:szCs w:val="24"/>
                      </w:rPr>
                    </m:ctrlPr>
                  </m:dPr>
                  <m:e>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ij</m:t>
                        </m:r>
                      </m:sub>
                    </m:sSub>
                  </m:e>
                </m:d>
              </m:e>
            </m:func>
            <m:r>
              <w:rPr>
                <w:rFonts w:ascii="Cambria Math" w:hAnsi="Cambria Math" w:cstheme="majorBidi"/>
                <w:sz w:val="24"/>
                <w:szCs w:val="24"/>
              </w:rPr>
              <m:t>]</m:t>
            </m:r>
          </m:den>
        </m:f>
        <m:r>
          <w:rPr>
            <w:rFonts w:ascii="Cambria Math" w:hAnsi="Cambria Math" w:cstheme="majorBidi"/>
            <w:sz w:val="24"/>
            <w:szCs w:val="24"/>
          </w:rPr>
          <m:t xml:space="preserve"> (i=1, 2, …, m;j=1, 2, …,n)</m:t>
        </m:r>
      </m:oMath>
      <w:r w:rsidR="00043889" w:rsidRPr="00823856">
        <w:rPr>
          <w:rFonts w:asciiTheme="majorBidi" w:eastAsiaTheme="minorEastAsia" w:hAnsiTheme="majorBidi" w:cstheme="majorBidi"/>
          <w:sz w:val="24"/>
          <w:szCs w:val="24"/>
        </w:rPr>
        <w:t xml:space="preserve">              </w:t>
      </w:r>
      <w:r w:rsidR="00423EA1" w:rsidRPr="00823856">
        <w:rPr>
          <w:rFonts w:asciiTheme="majorBidi" w:eastAsiaTheme="minorEastAsia" w:hAnsiTheme="majorBidi" w:cstheme="majorBidi"/>
          <w:sz w:val="24"/>
          <w:szCs w:val="24"/>
        </w:rPr>
        <w:t xml:space="preserve">                             Eq</w:t>
      </w:r>
      <w:r w:rsidR="00043889" w:rsidRPr="00823856">
        <w:rPr>
          <w:rFonts w:asciiTheme="majorBidi" w:eastAsiaTheme="minorEastAsia" w:hAnsiTheme="majorBidi" w:cstheme="majorBidi"/>
          <w:sz w:val="24"/>
          <w:szCs w:val="24"/>
        </w:rPr>
        <w:t xml:space="preserve"> (</w:t>
      </w:r>
      <w:r w:rsidR="002A7CA2" w:rsidRPr="00823856">
        <w:rPr>
          <w:rFonts w:asciiTheme="majorBidi" w:eastAsiaTheme="minorEastAsia" w:hAnsiTheme="majorBidi" w:cstheme="majorBidi"/>
          <w:sz w:val="24"/>
          <w:szCs w:val="24"/>
        </w:rPr>
        <w:t>3</w:t>
      </w:r>
      <w:r w:rsidR="00043889" w:rsidRPr="00823856">
        <w:rPr>
          <w:rFonts w:asciiTheme="majorBidi" w:eastAsiaTheme="minorEastAsia" w:hAnsiTheme="majorBidi" w:cstheme="majorBidi"/>
          <w:sz w:val="24"/>
          <w:szCs w:val="24"/>
        </w:rPr>
        <w:t>)</w:t>
      </w:r>
    </w:p>
    <w:p w14:paraId="23B86832" w14:textId="4593E863" w:rsidR="00AF0862" w:rsidRPr="00823856" w:rsidRDefault="00765714" w:rsidP="00EE12FE">
      <w:pPr>
        <w:spacing w:line="276" w:lineRule="auto"/>
        <w:jc w:val="lowKashida"/>
        <w:rPr>
          <w:rFonts w:asciiTheme="majorBidi" w:hAnsiTheme="majorBidi" w:cstheme="majorBidi"/>
          <w:sz w:val="24"/>
          <w:szCs w:val="24"/>
        </w:rPr>
      </w:pPr>
      <w:r w:rsidRPr="00823856">
        <w:rPr>
          <w:rFonts w:asciiTheme="majorBidi" w:hAnsiTheme="majorBidi" w:cstheme="majorBidi"/>
          <w:sz w:val="24"/>
          <w:szCs w:val="24"/>
        </w:rPr>
        <w:t xml:space="preserve">     </w:t>
      </w:r>
      <w:r w:rsidRPr="00823856">
        <w:rPr>
          <w:rFonts w:asciiTheme="majorBidi" w:hAnsiTheme="majorBidi" w:cstheme="majorBidi"/>
          <w:sz w:val="24"/>
          <w:szCs w:val="24"/>
        </w:rPr>
        <w:tab/>
      </w:r>
      <w:r w:rsidR="00C40FA6" w:rsidRPr="00823856">
        <w:rPr>
          <w:rFonts w:asciiTheme="majorBidi" w:hAnsiTheme="majorBidi" w:cstheme="majorBidi"/>
          <w:b/>
          <w:bCs/>
          <w:sz w:val="24"/>
          <w:szCs w:val="24"/>
        </w:rPr>
        <w:t>Step 2</w:t>
      </w:r>
      <w:r w:rsidR="00D03C52" w:rsidRPr="00823856">
        <w:rPr>
          <w:rFonts w:asciiTheme="majorBidi" w:hAnsiTheme="majorBidi" w:cstheme="majorBidi"/>
          <w:b/>
          <w:bCs/>
          <w:sz w:val="24"/>
          <w:szCs w:val="24"/>
        </w:rPr>
        <w:t>:</w:t>
      </w:r>
      <w:r w:rsidR="00C40FA6" w:rsidRPr="00823856">
        <w:rPr>
          <w:rFonts w:asciiTheme="majorBidi" w:hAnsiTheme="majorBidi" w:cstheme="majorBidi"/>
          <w:sz w:val="24"/>
          <w:szCs w:val="24"/>
        </w:rPr>
        <w:t xml:space="preserve"> </w:t>
      </w:r>
      <w:r w:rsidR="00FE6A28" w:rsidRPr="00823856">
        <w:rPr>
          <w:rFonts w:asciiTheme="majorBidi" w:hAnsiTheme="majorBidi" w:cstheme="majorBidi"/>
          <w:sz w:val="24"/>
          <w:szCs w:val="24"/>
        </w:rPr>
        <w:t>calculating</w:t>
      </w:r>
      <w:r w:rsidR="00C40FA6" w:rsidRPr="00823856">
        <w:rPr>
          <w:rFonts w:asciiTheme="majorBidi" w:hAnsiTheme="majorBidi" w:cstheme="majorBidi"/>
          <w:sz w:val="24"/>
          <w:szCs w:val="24"/>
        </w:rPr>
        <w:t xml:space="preserve"> and </w:t>
      </w:r>
      <w:r w:rsidR="008330F6" w:rsidRPr="00823856">
        <w:rPr>
          <w:rFonts w:asciiTheme="majorBidi" w:hAnsiTheme="majorBidi" w:cstheme="majorBidi"/>
          <w:sz w:val="24"/>
          <w:szCs w:val="24"/>
        </w:rPr>
        <w:t>deducting</w:t>
      </w:r>
      <w:r w:rsidR="00C40FA6" w:rsidRPr="00823856">
        <w:rPr>
          <w:rFonts w:asciiTheme="majorBidi" w:hAnsiTheme="majorBidi" w:cstheme="majorBidi"/>
          <w:sz w:val="24"/>
          <w:szCs w:val="24"/>
        </w:rPr>
        <w:t xml:space="preserve"> each differen</w:t>
      </w:r>
      <w:r w:rsidR="00325D9E" w:rsidRPr="00823856">
        <w:rPr>
          <w:rFonts w:asciiTheme="majorBidi" w:hAnsiTheme="majorBidi" w:cstheme="majorBidi"/>
          <w:sz w:val="24"/>
          <w:szCs w:val="24"/>
        </w:rPr>
        <w:t>t</w:t>
      </w:r>
      <w:r w:rsidR="00C40FA6" w:rsidRPr="00823856">
        <w:rPr>
          <w:rFonts w:asciiTheme="majorBidi" w:hAnsiTheme="majorBidi" w:cstheme="majorBidi"/>
          <w:sz w:val="24"/>
          <w:szCs w:val="24"/>
        </w:rPr>
        <w:t xml:space="preserve"> alternative with respect to other alternatives. </w:t>
      </w:r>
    </w:p>
    <w:p w14:paraId="1D08FFCB" w14:textId="1E4D8EB2" w:rsidR="00043889" w:rsidRPr="00823856" w:rsidRDefault="00C40FA6" w:rsidP="00EE12FE">
      <w:pPr>
        <w:spacing w:line="276" w:lineRule="auto"/>
        <w:ind w:firstLine="720"/>
        <w:jc w:val="lowKashida"/>
        <w:rPr>
          <w:rFonts w:asciiTheme="majorBidi" w:hAnsiTheme="majorBidi" w:cstheme="majorBidi"/>
          <w:sz w:val="24"/>
          <w:szCs w:val="24"/>
        </w:rPr>
      </w:pPr>
      <w:r w:rsidRPr="00823856">
        <w:rPr>
          <w:rFonts w:asciiTheme="majorBidi" w:hAnsiTheme="majorBidi" w:cstheme="majorBidi"/>
          <w:b/>
          <w:bCs/>
          <w:sz w:val="24"/>
          <w:szCs w:val="24"/>
        </w:rPr>
        <w:t>Step 3</w:t>
      </w:r>
      <w:r w:rsidR="00AF0862" w:rsidRPr="00823856">
        <w:rPr>
          <w:rFonts w:asciiTheme="majorBidi" w:hAnsiTheme="majorBidi" w:cstheme="majorBidi"/>
          <w:sz w:val="24"/>
          <w:szCs w:val="24"/>
        </w:rPr>
        <w:t>:</w:t>
      </w:r>
      <w:r w:rsidRPr="00823856">
        <w:rPr>
          <w:rFonts w:asciiTheme="majorBidi" w:hAnsiTheme="majorBidi" w:cstheme="majorBidi"/>
          <w:sz w:val="24"/>
          <w:szCs w:val="24"/>
        </w:rPr>
        <w:t xml:space="preserve"> calculating the prefe</w:t>
      </w:r>
      <w:r w:rsidR="00AC74D9" w:rsidRPr="00823856">
        <w:rPr>
          <w:rFonts w:asciiTheme="majorBidi" w:hAnsiTheme="majorBidi" w:cstheme="majorBidi"/>
          <w:sz w:val="24"/>
          <w:szCs w:val="24"/>
        </w:rPr>
        <w:t>re</w:t>
      </w:r>
      <w:r w:rsidRPr="00823856">
        <w:rPr>
          <w:rFonts w:asciiTheme="majorBidi" w:hAnsiTheme="majorBidi" w:cstheme="majorBidi"/>
          <w:sz w:val="24"/>
          <w:szCs w:val="24"/>
        </w:rPr>
        <w:t xml:space="preserve">nce function </w:t>
      </w:r>
      <w:r w:rsidR="008330F6" w:rsidRPr="00823856">
        <w:rPr>
          <w:rFonts w:asciiTheme="majorBidi" w:hAnsiTheme="majorBidi" w:cstheme="majorBidi"/>
          <w:sz w:val="24"/>
          <w:szCs w:val="24"/>
        </w:rPr>
        <w:t>using</w:t>
      </w:r>
      <w:r w:rsidRPr="00823856">
        <w:rPr>
          <w:rFonts w:asciiTheme="majorBidi" w:hAnsiTheme="majorBidi" w:cstheme="majorBidi"/>
          <w:sz w:val="24"/>
          <w:szCs w:val="24"/>
        </w:rPr>
        <w:t xml:space="preserve"> equation</w:t>
      </w:r>
      <w:r w:rsidR="00325D9E" w:rsidRPr="00823856">
        <w:rPr>
          <w:rFonts w:asciiTheme="majorBidi" w:hAnsiTheme="majorBidi" w:cstheme="majorBidi"/>
          <w:sz w:val="24"/>
          <w:szCs w:val="24"/>
        </w:rPr>
        <w:t>s</w:t>
      </w:r>
      <w:r w:rsidRPr="00823856">
        <w:rPr>
          <w:rFonts w:asciiTheme="majorBidi" w:hAnsiTheme="majorBidi" w:cstheme="majorBidi"/>
          <w:sz w:val="24"/>
          <w:szCs w:val="24"/>
        </w:rPr>
        <w:t xml:space="preserve"> </w:t>
      </w:r>
      <w:r w:rsidR="00433EB2" w:rsidRPr="00823856">
        <w:rPr>
          <w:rFonts w:asciiTheme="majorBidi" w:hAnsiTheme="majorBidi" w:cstheme="majorBidi"/>
          <w:sz w:val="24"/>
          <w:szCs w:val="24"/>
        </w:rPr>
        <w:t>4</w:t>
      </w:r>
      <w:r w:rsidRPr="00823856">
        <w:rPr>
          <w:rFonts w:asciiTheme="majorBidi" w:hAnsiTheme="majorBidi" w:cstheme="majorBidi"/>
          <w:sz w:val="24"/>
          <w:szCs w:val="24"/>
        </w:rPr>
        <w:t xml:space="preserve"> and </w:t>
      </w:r>
      <w:r w:rsidR="00433EB2" w:rsidRPr="00823856">
        <w:rPr>
          <w:rFonts w:asciiTheme="majorBidi" w:hAnsiTheme="majorBidi" w:cstheme="majorBidi"/>
          <w:sz w:val="24"/>
          <w:szCs w:val="24"/>
        </w:rPr>
        <w:t>6</w:t>
      </w:r>
      <w:r w:rsidRPr="00823856">
        <w:rPr>
          <w:rFonts w:asciiTheme="majorBidi" w:hAnsiTheme="majorBidi" w:cstheme="majorBidi"/>
          <w:sz w:val="24"/>
          <w:szCs w:val="24"/>
        </w:rPr>
        <w:t xml:space="preserve">. </w:t>
      </w:r>
    </w:p>
    <w:p w14:paraId="5A3AE752" w14:textId="5F762520" w:rsidR="00A90780" w:rsidRPr="00823856" w:rsidRDefault="00A90780" w:rsidP="00EE12FE">
      <w:pPr>
        <w:spacing w:line="276" w:lineRule="auto"/>
        <w:jc w:val="lowKashida"/>
        <w:rPr>
          <w:rFonts w:asciiTheme="majorBidi" w:hAnsiTheme="majorBidi" w:cstheme="majorBidi"/>
          <w:sz w:val="24"/>
          <w:szCs w:val="24"/>
        </w:rPr>
      </w:pPr>
    </w:p>
    <w:p w14:paraId="527B2779" w14:textId="0A7C8DB7" w:rsidR="00A90780" w:rsidRPr="00823856" w:rsidRDefault="00000000" w:rsidP="00EE12FE">
      <w:pPr>
        <w:spacing w:line="276" w:lineRule="auto"/>
        <w:ind w:left="720"/>
        <w:jc w:val="lowKashida"/>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d>
          <m:dPr>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 xml:space="preserve">=0                                   if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aj</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bj</m:t>
            </m:r>
          </m:sub>
        </m:sSub>
      </m:oMath>
      <w:r w:rsidR="00A90780" w:rsidRPr="00823856">
        <w:rPr>
          <w:rFonts w:asciiTheme="majorBidi" w:eastAsiaTheme="minorEastAsia" w:hAnsiTheme="majorBidi" w:cstheme="majorBidi"/>
          <w:sz w:val="24"/>
          <w:szCs w:val="24"/>
        </w:rPr>
        <w:t xml:space="preserve">                                              </w:t>
      </w:r>
      <w:r w:rsidR="009D306A" w:rsidRPr="00823856">
        <w:rPr>
          <w:rFonts w:asciiTheme="majorBidi" w:eastAsiaTheme="minorEastAsia" w:hAnsiTheme="majorBidi" w:cstheme="majorBidi"/>
          <w:sz w:val="24"/>
          <w:szCs w:val="24"/>
        </w:rPr>
        <w:t xml:space="preserve">     </w:t>
      </w:r>
      <w:r w:rsidR="00A90780" w:rsidRPr="00823856">
        <w:rPr>
          <w:rFonts w:asciiTheme="majorBidi" w:eastAsiaTheme="minorEastAsia" w:hAnsiTheme="majorBidi" w:cstheme="majorBidi"/>
          <w:sz w:val="24"/>
          <w:szCs w:val="24"/>
        </w:rPr>
        <w:t xml:space="preserve">      </w:t>
      </w:r>
      <w:r w:rsidR="009D306A" w:rsidRPr="00823856">
        <w:rPr>
          <w:rFonts w:asciiTheme="majorBidi" w:eastAsiaTheme="minorEastAsia" w:hAnsiTheme="majorBidi" w:cstheme="majorBidi"/>
          <w:sz w:val="24"/>
          <w:szCs w:val="24"/>
        </w:rPr>
        <w:t xml:space="preserve">   </w:t>
      </w:r>
      <w:r w:rsidR="00423EA1" w:rsidRPr="00823856">
        <w:rPr>
          <w:rFonts w:asciiTheme="majorBidi" w:eastAsiaTheme="minorEastAsia" w:hAnsiTheme="majorBidi" w:cstheme="majorBidi"/>
          <w:sz w:val="24"/>
          <w:szCs w:val="24"/>
        </w:rPr>
        <w:t>Eq</w:t>
      </w:r>
      <w:r w:rsidR="00A90780" w:rsidRPr="00823856">
        <w:rPr>
          <w:rFonts w:asciiTheme="majorBidi" w:eastAsiaTheme="minorEastAsia" w:hAnsiTheme="majorBidi" w:cstheme="majorBidi"/>
          <w:sz w:val="24"/>
          <w:szCs w:val="24"/>
        </w:rPr>
        <w:t xml:space="preserve"> (</w:t>
      </w:r>
      <w:r w:rsidR="002A7CA2" w:rsidRPr="00823856">
        <w:rPr>
          <w:rFonts w:asciiTheme="majorBidi" w:eastAsiaTheme="minorEastAsia" w:hAnsiTheme="majorBidi" w:cstheme="majorBidi"/>
          <w:sz w:val="24"/>
          <w:szCs w:val="24"/>
        </w:rPr>
        <w:t>4</w:t>
      </w:r>
      <w:r w:rsidR="00A90780" w:rsidRPr="00823856">
        <w:rPr>
          <w:rFonts w:asciiTheme="majorBidi" w:eastAsiaTheme="minorEastAsia" w:hAnsiTheme="majorBidi" w:cstheme="majorBidi"/>
          <w:sz w:val="24"/>
          <w:szCs w:val="24"/>
        </w:rPr>
        <w:t>)</w:t>
      </w:r>
    </w:p>
    <w:p w14:paraId="39C2D84E" w14:textId="2846ECBA" w:rsidR="00A90780" w:rsidRPr="00823856" w:rsidRDefault="00000000" w:rsidP="00EE12FE">
      <w:pPr>
        <w:spacing w:line="276" w:lineRule="auto"/>
        <w:ind w:left="720"/>
        <w:jc w:val="lowKashida"/>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d>
          <m:dPr>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m:t>
        </m:r>
        <m:d>
          <m:dPr>
            <m:ctrlPr>
              <w:rPr>
                <w:rFonts w:ascii="Cambria Math" w:hAnsi="Cambria Math" w:cstheme="majorBidi"/>
                <w:i/>
                <w:sz w:val="24"/>
                <w:szCs w:val="24"/>
              </w:rPr>
            </m:ctrlPr>
          </m:dPr>
          <m:e>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aj</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bj</m:t>
                </m:r>
              </m:sub>
            </m:sSub>
            <m:r>
              <w:rPr>
                <w:rFonts w:ascii="Cambria Math" w:hAnsi="Cambria Math" w:cstheme="majorBidi"/>
                <w:sz w:val="24"/>
                <w:szCs w:val="24"/>
              </w:rPr>
              <m:t xml:space="preserve"> </m:t>
            </m:r>
          </m:e>
        </m:d>
        <m:r>
          <w:rPr>
            <w:rFonts w:ascii="Cambria Math" w:hAnsi="Cambria Math" w:cstheme="majorBidi"/>
            <w:sz w:val="24"/>
            <w:szCs w:val="24"/>
          </w:rPr>
          <m:t xml:space="preserve">            if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aj</m:t>
            </m:r>
          </m:sub>
        </m:sSub>
        <m:r>
          <w:rPr>
            <w:rFonts w:ascii="Cambria Math" w:hAnsi="Cambria Math" w:cstheme="majorBidi"/>
            <w:sz w:val="24"/>
            <w:szCs w:val="24"/>
          </w:rPr>
          <m:t xml:space="preserve">&gt; </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bj</m:t>
            </m:r>
          </m:sub>
        </m:sSub>
      </m:oMath>
      <w:r w:rsidR="00A90780" w:rsidRPr="00823856">
        <w:rPr>
          <w:rFonts w:asciiTheme="majorBidi" w:eastAsiaTheme="minorEastAsia" w:hAnsiTheme="majorBidi" w:cstheme="majorBidi"/>
          <w:sz w:val="24"/>
          <w:szCs w:val="24"/>
        </w:rPr>
        <w:t xml:space="preserve">                                                    </w:t>
      </w:r>
      <w:r w:rsidR="009D306A" w:rsidRPr="00823856">
        <w:rPr>
          <w:rFonts w:asciiTheme="majorBidi" w:eastAsiaTheme="minorEastAsia" w:hAnsiTheme="majorBidi" w:cstheme="majorBidi"/>
          <w:sz w:val="24"/>
          <w:szCs w:val="24"/>
        </w:rPr>
        <w:t xml:space="preserve">      </w:t>
      </w:r>
      <w:r w:rsidR="00A90780" w:rsidRPr="00823856">
        <w:rPr>
          <w:rFonts w:asciiTheme="majorBidi" w:eastAsiaTheme="minorEastAsia" w:hAnsiTheme="majorBidi" w:cstheme="majorBidi"/>
          <w:sz w:val="24"/>
          <w:szCs w:val="24"/>
        </w:rPr>
        <w:t xml:space="preserve"> </w:t>
      </w:r>
      <w:r w:rsidR="00796131" w:rsidRPr="00823856">
        <w:rPr>
          <w:rFonts w:asciiTheme="majorBidi" w:eastAsiaTheme="minorEastAsia" w:hAnsiTheme="majorBidi" w:cstheme="majorBidi"/>
          <w:sz w:val="24"/>
          <w:szCs w:val="24"/>
        </w:rPr>
        <w:t xml:space="preserve"> </w:t>
      </w:r>
      <w:r w:rsidR="00423EA1" w:rsidRPr="00823856">
        <w:rPr>
          <w:rFonts w:asciiTheme="majorBidi" w:eastAsiaTheme="minorEastAsia" w:hAnsiTheme="majorBidi" w:cstheme="majorBidi"/>
          <w:sz w:val="24"/>
          <w:szCs w:val="24"/>
        </w:rPr>
        <w:t xml:space="preserve"> Eq</w:t>
      </w:r>
      <w:r w:rsidR="00A90780" w:rsidRPr="00823856">
        <w:rPr>
          <w:rFonts w:asciiTheme="majorBidi" w:eastAsiaTheme="minorEastAsia" w:hAnsiTheme="majorBidi" w:cstheme="majorBidi"/>
          <w:sz w:val="24"/>
          <w:szCs w:val="24"/>
        </w:rPr>
        <w:t xml:space="preserve"> (</w:t>
      </w:r>
      <w:r w:rsidR="002A7CA2" w:rsidRPr="00823856">
        <w:rPr>
          <w:rFonts w:asciiTheme="majorBidi" w:eastAsiaTheme="minorEastAsia" w:hAnsiTheme="majorBidi" w:cstheme="majorBidi"/>
          <w:sz w:val="24"/>
          <w:szCs w:val="24"/>
        </w:rPr>
        <w:t>5</w:t>
      </w:r>
      <w:r w:rsidR="00A90780" w:rsidRPr="00823856">
        <w:rPr>
          <w:rFonts w:asciiTheme="majorBidi" w:eastAsiaTheme="minorEastAsia" w:hAnsiTheme="majorBidi" w:cstheme="majorBidi"/>
          <w:sz w:val="24"/>
          <w:szCs w:val="24"/>
        </w:rPr>
        <w:t>)</w:t>
      </w:r>
    </w:p>
    <w:p w14:paraId="6A6B5744" w14:textId="59532EF1" w:rsidR="000652C8" w:rsidRPr="00823856" w:rsidRDefault="000D46F6" w:rsidP="00EE12FE">
      <w:pPr>
        <w:spacing w:line="276" w:lineRule="auto"/>
        <w:ind w:firstLine="720"/>
        <w:jc w:val="lowKashida"/>
        <w:rPr>
          <w:rFonts w:asciiTheme="majorBidi" w:hAnsiTheme="majorBidi" w:cstheme="majorBidi"/>
          <w:sz w:val="24"/>
          <w:szCs w:val="24"/>
        </w:rPr>
      </w:pPr>
      <w:r w:rsidRPr="00823856">
        <w:rPr>
          <w:rFonts w:asciiTheme="majorBidi" w:hAnsiTheme="majorBidi" w:cstheme="majorBidi"/>
          <w:sz w:val="24"/>
          <w:szCs w:val="24"/>
        </w:rPr>
        <w:t>The</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d>
          <m:dPr>
            <m:ctrlPr>
              <w:rPr>
                <w:rFonts w:ascii="Cambria Math" w:hAnsi="Cambria Math" w:cstheme="majorBidi"/>
                <w:i/>
                <w:sz w:val="24"/>
                <w:szCs w:val="24"/>
              </w:rPr>
            </m:ctrlPr>
          </m:dPr>
          <m:e>
            <m:r>
              <w:rPr>
                <w:rFonts w:ascii="Cambria Math" w:hAnsi="Cambria Math" w:cstheme="majorBidi"/>
                <w:sz w:val="24"/>
                <w:szCs w:val="24"/>
              </w:rPr>
              <m:t>a,b</m:t>
            </m:r>
          </m:e>
        </m:d>
      </m:oMath>
      <w:r w:rsidRPr="00823856">
        <w:rPr>
          <w:rFonts w:asciiTheme="majorBidi" w:hAnsiTheme="majorBidi" w:cstheme="majorBidi"/>
          <w:sz w:val="24"/>
          <w:szCs w:val="24"/>
        </w:rPr>
        <w:t xml:space="preserve"> is the preference of alternative </w:t>
      </w:r>
      <w:r w:rsidR="003F123A" w:rsidRPr="00823856">
        <w:rPr>
          <w:rFonts w:asciiTheme="majorBidi" w:hAnsiTheme="majorBidi" w:cstheme="majorBidi"/>
          <w:sz w:val="24"/>
          <w:szCs w:val="24"/>
        </w:rPr>
        <w:t>concerning to</w:t>
      </w:r>
      <w:r w:rsidRPr="00823856">
        <w:rPr>
          <w:rFonts w:asciiTheme="majorBidi" w:hAnsiTheme="majorBidi" w:cstheme="majorBidi"/>
          <w:sz w:val="24"/>
          <w:szCs w:val="24"/>
        </w:rPr>
        <w:t xml:space="preserve"> alternative b on each criterion.</w:t>
      </w:r>
    </w:p>
    <w:p w14:paraId="16662752" w14:textId="6A68E7CB" w:rsidR="000652C8" w:rsidRPr="00823856" w:rsidRDefault="00765714" w:rsidP="00EE12FE">
      <w:pPr>
        <w:spacing w:line="276" w:lineRule="auto"/>
        <w:ind w:firstLine="720"/>
        <w:jc w:val="lowKashida"/>
        <w:rPr>
          <w:rFonts w:asciiTheme="majorBidi" w:hAnsiTheme="majorBidi" w:cstheme="majorBidi"/>
          <w:sz w:val="24"/>
          <w:szCs w:val="24"/>
        </w:rPr>
      </w:pPr>
      <w:r w:rsidRPr="00823856">
        <w:rPr>
          <w:rFonts w:asciiTheme="majorBidi" w:hAnsiTheme="majorBidi" w:cstheme="majorBidi"/>
          <w:b/>
          <w:bCs/>
          <w:sz w:val="24"/>
          <w:szCs w:val="24"/>
        </w:rPr>
        <w:t xml:space="preserve">Step </w:t>
      </w:r>
      <w:r w:rsidR="00AF0862" w:rsidRPr="00823856">
        <w:rPr>
          <w:rFonts w:asciiTheme="majorBidi" w:hAnsiTheme="majorBidi" w:cstheme="majorBidi"/>
          <w:b/>
          <w:bCs/>
          <w:sz w:val="24"/>
          <w:szCs w:val="24"/>
        </w:rPr>
        <w:t>4</w:t>
      </w:r>
      <w:r w:rsidR="00D03C52" w:rsidRPr="00823856">
        <w:rPr>
          <w:rFonts w:asciiTheme="majorBidi" w:hAnsiTheme="majorBidi" w:cstheme="majorBidi"/>
          <w:b/>
          <w:bCs/>
          <w:sz w:val="24"/>
          <w:szCs w:val="24"/>
        </w:rPr>
        <w:t>:</w:t>
      </w:r>
      <w:r w:rsidR="00E81EF3" w:rsidRPr="00823856">
        <w:rPr>
          <w:rFonts w:asciiTheme="majorBidi" w:hAnsiTheme="majorBidi" w:cstheme="majorBidi"/>
          <w:sz w:val="24"/>
          <w:szCs w:val="24"/>
        </w:rPr>
        <w:t xml:space="preserve"> calculat</w:t>
      </w:r>
      <w:r w:rsidR="00FE6A28" w:rsidRPr="00823856">
        <w:rPr>
          <w:rFonts w:asciiTheme="majorBidi" w:hAnsiTheme="majorBidi" w:cstheme="majorBidi"/>
          <w:sz w:val="24"/>
          <w:szCs w:val="24"/>
        </w:rPr>
        <w:t>ing the</w:t>
      </w:r>
      <w:r w:rsidR="00E81EF3" w:rsidRPr="00823856">
        <w:rPr>
          <w:rFonts w:asciiTheme="majorBidi" w:hAnsiTheme="majorBidi" w:cstheme="majorBidi"/>
          <w:sz w:val="24"/>
          <w:szCs w:val="24"/>
        </w:rPr>
        <w:t xml:space="preserve"> aggregate preferences </w:t>
      </w:r>
      <w:r w:rsidR="00433EB2" w:rsidRPr="00823856">
        <w:rPr>
          <w:rFonts w:asciiTheme="majorBidi" w:hAnsiTheme="majorBidi" w:cstheme="majorBidi"/>
          <w:sz w:val="24"/>
          <w:szCs w:val="24"/>
        </w:rPr>
        <w:t>by using equation 6:</w:t>
      </w:r>
    </w:p>
    <w:p w14:paraId="61CA44BA" w14:textId="5A9A4943" w:rsidR="00A2105C" w:rsidRPr="00823856" w:rsidRDefault="0009395B" w:rsidP="00EE12FE">
      <w:pPr>
        <w:spacing w:line="276" w:lineRule="auto"/>
        <w:ind w:left="720"/>
        <w:jc w:val="lowKashida"/>
        <w:rPr>
          <w:rFonts w:asciiTheme="majorBidi" w:hAnsiTheme="majorBidi" w:cstheme="majorBidi"/>
          <w:sz w:val="24"/>
          <w:szCs w:val="24"/>
        </w:rPr>
      </w:pPr>
      <m:oMath>
        <m:r>
          <w:rPr>
            <w:rFonts w:ascii="Cambria Math" w:hAnsi="Cambria Math" w:cstheme="majorBidi"/>
            <w:sz w:val="24"/>
            <w:szCs w:val="24"/>
          </w:rPr>
          <m:t>π(a,b)=</m:t>
        </m:r>
        <m:d>
          <m:dPr>
            <m:begChr m:val="["/>
            <m:endChr m:val="]"/>
            <m:ctrlPr>
              <w:rPr>
                <w:rFonts w:ascii="Cambria Math" w:hAnsi="Cambria Math" w:cstheme="majorBidi"/>
                <w:i/>
                <w:sz w:val="24"/>
                <w:szCs w:val="24"/>
              </w:rPr>
            </m:ctrlPr>
          </m:dPr>
          <m:e>
            <m:m>
              <m:mPr>
                <m:mcs>
                  <m:mc>
                    <m:mcPr>
                      <m:count m:val="1"/>
                      <m:mcJc m:val="center"/>
                    </m:mcPr>
                  </m:mc>
                </m:mcs>
                <m:ctrlPr>
                  <w:rPr>
                    <w:rFonts w:ascii="Cambria Math" w:hAnsi="Cambria Math" w:cstheme="majorBidi"/>
                    <w:i/>
                    <w:sz w:val="24"/>
                    <w:szCs w:val="24"/>
                  </w:rPr>
                </m:ctrlPr>
              </m:mPr>
              <m:mr>
                <m:e>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j</m:t>
                          </m:r>
                        </m:sub>
                      </m:sSub>
                    </m:e>
                  </m:nary>
                </m:e>
              </m:mr>
            </m:m>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r>
              <w:rPr>
                <w:rFonts w:ascii="Cambria Math" w:hAnsi="Cambria Math" w:cstheme="majorBidi"/>
                <w:sz w:val="24"/>
                <w:szCs w:val="24"/>
              </w:rPr>
              <m:t xml:space="preserve"> (a,b)</m:t>
            </m:r>
          </m:e>
        </m:d>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j=1</m:t>
            </m:r>
          </m:sub>
          <m:sup>
            <m:r>
              <w:rPr>
                <w:rFonts w:ascii="Cambria Math" w:hAnsi="Cambria Math" w:cstheme="majorBidi"/>
                <w:sz w:val="24"/>
                <w:szCs w:val="24"/>
              </w:rPr>
              <m:t>n</m:t>
            </m:r>
          </m:sup>
          <m:e>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j</m:t>
                </m:r>
              </m:sub>
            </m:sSub>
          </m:e>
        </m:nary>
      </m:oMath>
      <w:r w:rsidR="00A2105C" w:rsidRPr="00823856">
        <w:rPr>
          <w:rFonts w:asciiTheme="majorBidi" w:eastAsiaTheme="minorEastAsia" w:hAnsiTheme="majorBidi" w:cstheme="majorBidi"/>
          <w:sz w:val="24"/>
          <w:szCs w:val="24"/>
        </w:rPr>
        <w:t xml:space="preserve">                                        </w:t>
      </w:r>
      <w:r w:rsidR="00423EA1" w:rsidRPr="00823856">
        <w:rPr>
          <w:rFonts w:asciiTheme="majorBidi" w:eastAsiaTheme="minorEastAsia" w:hAnsiTheme="majorBidi" w:cstheme="majorBidi"/>
          <w:sz w:val="24"/>
          <w:szCs w:val="24"/>
        </w:rPr>
        <w:t xml:space="preserve">                        </w:t>
      </w:r>
      <w:r w:rsidR="00F66366" w:rsidRPr="00823856">
        <w:rPr>
          <w:rFonts w:asciiTheme="majorBidi" w:eastAsiaTheme="minorEastAsia" w:hAnsiTheme="majorBidi" w:cstheme="majorBidi"/>
          <w:sz w:val="24"/>
          <w:szCs w:val="24"/>
        </w:rPr>
        <w:t xml:space="preserve">  </w:t>
      </w:r>
      <w:r w:rsidR="00423EA1" w:rsidRPr="00823856">
        <w:rPr>
          <w:rFonts w:asciiTheme="majorBidi" w:eastAsiaTheme="minorEastAsia" w:hAnsiTheme="majorBidi" w:cstheme="majorBidi"/>
          <w:sz w:val="24"/>
          <w:szCs w:val="24"/>
        </w:rPr>
        <w:t xml:space="preserve">     Eq</w:t>
      </w:r>
      <w:r w:rsidR="00A2105C" w:rsidRPr="00823856">
        <w:rPr>
          <w:rFonts w:asciiTheme="majorBidi" w:eastAsiaTheme="minorEastAsia" w:hAnsiTheme="majorBidi" w:cstheme="majorBidi"/>
          <w:sz w:val="24"/>
          <w:szCs w:val="24"/>
        </w:rPr>
        <w:t xml:space="preserve"> (</w:t>
      </w:r>
      <w:r w:rsidR="002A7CA2" w:rsidRPr="00823856">
        <w:rPr>
          <w:rFonts w:asciiTheme="majorBidi" w:eastAsiaTheme="minorEastAsia" w:hAnsiTheme="majorBidi" w:cstheme="majorBidi"/>
          <w:sz w:val="24"/>
          <w:szCs w:val="24"/>
        </w:rPr>
        <w:t>6</w:t>
      </w:r>
      <w:r w:rsidR="00A2105C" w:rsidRPr="00823856">
        <w:rPr>
          <w:rFonts w:asciiTheme="majorBidi" w:eastAsiaTheme="minorEastAsia" w:hAnsiTheme="majorBidi" w:cstheme="majorBidi"/>
          <w:sz w:val="24"/>
          <w:szCs w:val="24"/>
        </w:rPr>
        <w:t>)</w:t>
      </w:r>
    </w:p>
    <w:p w14:paraId="365D7EC2" w14:textId="4AA02CE8" w:rsidR="00E81EF3" w:rsidRPr="00823856" w:rsidRDefault="00E92E8D" w:rsidP="00EE12FE">
      <w:pPr>
        <w:spacing w:line="276" w:lineRule="auto"/>
        <w:ind w:firstLine="720"/>
        <w:jc w:val="lowKashida"/>
        <w:rPr>
          <w:rFonts w:asciiTheme="majorBidi" w:hAnsiTheme="majorBidi" w:cstheme="majorBidi"/>
          <w:sz w:val="24"/>
          <w:szCs w:val="24"/>
        </w:rPr>
      </w:pPr>
      <w:r w:rsidRPr="00823856">
        <w:rPr>
          <w:rFonts w:asciiTheme="majorBidi" w:hAnsiTheme="majorBidi" w:cstheme="majorBidi"/>
          <w:sz w:val="24"/>
          <w:szCs w:val="24"/>
        </w:rPr>
        <w:t xml:space="preserve">Where </w:t>
      </w:r>
      <m:oMath>
        <m:r>
          <w:rPr>
            <w:rFonts w:ascii="Cambria Math" w:hAnsi="Cambria Math" w:cstheme="majorBidi"/>
            <w:sz w:val="24"/>
            <w:szCs w:val="24"/>
          </w:rPr>
          <m:t>π(a,b)</m:t>
        </m:r>
      </m:oMath>
      <w:r w:rsidR="00325D9E" w:rsidRPr="00823856">
        <w:rPr>
          <w:rFonts w:asciiTheme="majorBidi" w:eastAsiaTheme="minorEastAsia" w:hAnsiTheme="majorBidi" w:cstheme="majorBidi"/>
          <w:sz w:val="24"/>
          <w:szCs w:val="24"/>
        </w:rPr>
        <w:t xml:space="preserve"> </w:t>
      </w:r>
      <w:r w:rsidRPr="00823856">
        <w:rPr>
          <w:rFonts w:asciiTheme="majorBidi" w:eastAsiaTheme="minorEastAsia" w:hAnsiTheme="majorBidi" w:cstheme="majorBidi"/>
          <w:sz w:val="24"/>
          <w:szCs w:val="24"/>
        </w:rPr>
        <w:t>of a over b (from 0</w:t>
      </w:r>
      <w:r w:rsidR="00765714" w:rsidRPr="00823856">
        <w:rPr>
          <w:rFonts w:asciiTheme="majorBidi" w:eastAsiaTheme="minorEastAsia" w:hAnsiTheme="majorBidi" w:cstheme="majorBidi"/>
          <w:sz w:val="24"/>
          <w:szCs w:val="24"/>
        </w:rPr>
        <w:t xml:space="preserve"> to 1) is defined as a weighted sum </w:t>
      </w:r>
      <m:oMath>
        <m:sSub>
          <m:sSubPr>
            <m:ctrlPr>
              <w:rPr>
                <w:rFonts w:ascii="Cambria Math" w:hAnsi="Cambria Math" w:cstheme="majorBidi"/>
                <w:i/>
                <w:sz w:val="24"/>
                <w:szCs w:val="24"/>
              </w:rPr>
            </m:ctrlPr>
          </m:sSubPr>
          <m:e>
            <m:r>
              <w:rPr>
                <w:rFonts w:ascii="Cambria Math" w:hAnsi="Cambria Math" w:cstheme="majorBidi"/>
                <w:sz w:val="24"/>
                <w:szCs w:val="24"/>
              </w:rPr>
              <m:t>P</m:t>
            </m:r>
          </m:e>
          <m:sub>
            <m:r>
              <w:rPr>
                <w:rFonts w:ascii="Cambria Math" w:hAnsi="Cambria Math" w:cstheme="majorBidi"/>
                <w:sz w:val="24"/>
                <w:szCs w:val="24"/>
              </w:rPr>
              <m:t>j</m:t>
            </m:r>
          </m:sub>
        </m:sSub>
        <m:r>
          <w:rPr>
            <w:rFonts w:ascii="Cambria Math" w:hAnsi="Cambria Math" w:cstheme="majorBidi"/>
            <w:sz w:val="24"/>
            <w:szCs w:val="24"/>
          </w:rPr>
          <m:t xml:space="preserve"> (a,b)</m:t>
        </m:r>
      </m:oMath>
      <w:r w:rsidR="00765714" w:rsidRPr="00823856">
        <w:rPr>
          <w:rFonts w:asciiTheme="majorBidi" w:eastAsiaTheme="minorEastAsia" w:hAnsiTheme="majorBidi" w:cstheme="majorBidi"/>
          <w:sz w:val="24"/>
          <w:szCs w:val="24"/>
        </w:rPr>
        <w:t xml:space="preserve"> for each criterion and </w:t>
      </w:r>
      <m:oMath>
        <m:sSub>
          <m:sSubPr>
            <m:ctrlPr>
              <w:rPr>
                <w:rFonts w:ascii="Cambria Math" w:hAnsi="Cambria Math" w:cstheme="majorBidi"/>
                <w:i/>
                <w:sz w:val="24"/>
                <w:szCs w:val="24"/>
              </w:rPr>
            </m:ctrlPr>
          </m:sSubPr>
          <m:e>
            <m:r>
              <w:rPr>
                <w:rFonts w:ascii="Cambria Math" w:hAnsi="Cambria Math" w:cstheme="majorBidi"/>
                <w:sz w:val="24"/>
                <w:szCs w:val="24"/>
              </w:rPr>
              <m:t>w</m:t>
            </m:r>
          </m:e>
          <m:sub>
            <m:r>
              <w:rPr>
                <w:rFonts w:ascii="Cambria Math" w:hAnsi="Cambria Math" w:cstheme="majorBidi"/>
                <w:sz w:val="24"/>
                <w:szCs w:val="24"/>
              </w:rPr>
              <m:t>j</m:t>
            </m:r>
          </m:sub>
        </m:sSub>
      </m:oMath>
      <w:r w:rsidR="00765714" w:rsidRPr="00823856">
        <w:rPr>
          <w:rFonts w:asciiTheme="majorBidi" w:eastAsiaTheme="minorEastAsia" w:hAnsiTheme="majorBidi" w:cstheme="majorBidi"/>
          <w:sz w:val="24"/>
          <w:szCs w:val="24"/>
        </w:rPr>
        <w:t xml:space="preserve"> is the weight associated with </w:t>
      </w:r>
      <m:oMath>
        <m:sSup>
          <m:sSupPr>
            <m:ctrlPr>
              <w:rPr>
                <w:rFonts w:ascii="Cambria Math" w:eastAsiaTheme="minorEastAsia" w:hAnsi="Cambria Math" w:cstheme="majorBidi"/>
                <w:i/>
                <w:sz w:val="24"/>
                <w:szCs w:val="24"/>
              </w:rPr>
            </m:ctrlPr>
          </m:sSupPr>
          <m:e>
            <m:r>
              <w:rPr>
                <w:rFonts w:ascii="Cambria Math" w:eastAsiaTheme="minorEastAsia" w:hAnsi="Cambria Math" w:cstheme="majorBidi"/>
                <w:sz w:val="24"/>
                <w:szCs w:val="24"/>
              </w:rPr>
              <m:t>j</m:t>
            </m:r>
          </m:e>
          <m:sup>
            <m:r>
              <w:rPr>
                <w:rFonts w:ascii="Cambria Math" w:eastAsiaTheme="minorEastAsia" w:hAnsi="Cambria Math" w:cstheme="majorBidi"/>
                <w:sz w:val="24"/>
                <w:szCs w:val="24"/>
              </w:rPr>
              <m:t>th</m:t>
            </m:r>
          </m:sup>
        </m:sSup>
      </m:oMath>
      <w:r w:rsidR="00765714" w:rsidRPr="00823856">
        <w:rPr>
          <w:rFonts w:asciiTheme="majorBidi" w:eastAsiaTheme="minorEastAsia" w:hAnsiTheme="majorBidi" w:cstheme="majorBidi"/>
          <w:sz w:val="24"/>
          <w:szCs w:val="24"/>
        </w:rPr>
        <w:t xml:space="preserve">criteriaon. </w:t>
      </w:r>
    </w:p>
    <w:p w14:paraId="387EF601" w14:textId="21D53BEA" w:rsidR="000652C8" w:rsidRPr="00823856" w:rsidRDefault="00E72B61" w:rsidP="00EE12FE">
      <w:pPr>
        <w:spacing w:line="276" w:lineRule="auto"/>
        <w:ind w:firstLine="720"/>
        <w:jc w:val="lowKashida"/>
        <w:rPr>
          <w:rFonts w:asciiTheme="majorBidi" w:hAnsiTheme="majorBidi" w:cstheme="majorBidi"/>
          <w:sz w:val="24"/>
          <w:szCs w:val="24"/>
        </w:rPr>
      </w:pPr>
      <w:r w:rsidRPr="00823856">
        <w:rPr>
          <w:rFonts w:asciiTheme="majorBidi" w:hAnsiTheme="majorBidi" w:cstheme="majorBidi"/>
          <w:b/>
          <w:bCs/>
          <w:sz w:val="24"/>
          <w:szCs w:val="24"/>
        </w:rPr>
        <w:t xml:space="preserve">Step </w:t>
      </w:r>
      <w:r w:rsidR="00AF0862" w:rsidRPr="00823856">
        <w:rPr>
          <w:rFonts w:asciiTheme="majorBidi" w:hAnsiTheme="majorBidi" w:cstheme="majorBidi"/>
          <w:b/>
          <w:bCs/>
          <w:sz w:val="24"/>
          <w:szCs w:val="24"/>
        </w:rPr>
        <w:t>5</w:t>
      </w:r>
      <w:r w:rsidRPr="00823856">
        <w:rPr>
          <w:rFonts w:asciiTheme="majorBidi" w:hAnsiTheme="majorBidi" w:cstheme="majorBidi"/>
          <w:sz w:val="24"/>
          <w:szCs w:val="24"/>
        </w:rPr>
        <w:t xml:space="preserve">: Calculating the outranking flows </w:t>
      </w:r>
      <w:r w:rsidR="008330F6" w:rsidRPr="00823856">
        <w:rPr>
          <w:rFonts w:asciiTheme="majorBidi" w:hAnsiTheme="majorBidi" w:cstheme="majorBidi"/>
          <w:sz w:val="24"/>
          <w:szCs w:val="24"/>
        </w:rPr>
        <w:t>to</w:t>
      </w:r>
      <w:r w:rsidRPr="00823856">
        <w:rPr>
          <w:rFonts w:asciiTheme="majorBidi" w:hAnsiTheme="majorBidi" w:cstheme="majorBidi"/>
          <w:sz w:val="24"/>
          <w:szCs w:val="24"/>
        </w:rPr>
        <w:t xml:space="preserve"> d</w:t>
      </w:r>
      <w:r w:rsidR="006C42AB" w:rsidRPr="00823856">
        <w:rPr>
          <w:rFonts w:asciiTheme="majorBidi" w:hAnsiTheme="majorBidi" w:cstheme="majorBidi"/>
          <w:sz w:val="24"/>
          <w:szCs w:val="24"/>
        </w:rPr>
        <w:t>etermine leaving (positive)</w:t>
      </w:r>
      <w:r w:rsidR="000B2833" w:rsidRPr="00823856">
        <w:rPr>
          <w:rFonts w:asciiTheme="majorBidi" w:hAnsiTheme="majorBidi" w:cstheme="majorBidi"/>
          <w:sz w:val="24"/>
          <w:szCs w:val="24"/>
        </w:rPr>
        <w:t xml:space="preserve"> </w:t>
      </w:r>
      <m:oMath>
        <m:sSup>
          <m:sSupPr>
            <m:ctrlPr>
              <w:rPr>
                <w:rFonts w:ascii="Cambria Math" w:hAnsi="Cambria Math" w:cstheme="majorBidi"/>
                <w:i/>
                <w:sz w:val="24"/>
                <w:szCs w:val="24"/>
              </w:rPr>
            </m:ctrlPr>
          </m:sSupPr>
          <m:e>
            <m:r>
              <w:rPr>
                <w:rFonts w:ascii="Cambria Math" w:hAnsi="Cambria Math" w:cstheme="majorBidi"/>
                <w:sz w:val="24"/>
                <w:szCs w:val="24"/>
              </w:rPr>
              <m:t>φ</m:t>
            </m:r>
          </m:e>
          <m:sup>
            <m:r>
              <w:rPr>
                <w:rFonts w:ascii="Cambria Math" w:hAnsi="Cambria Math" w:cstheme="majorBidi"/>
                <w:sz w:val="24"/>
                <w:szCs w:val="24"/>
              </w:rPr>
              <m:t>+</m:t>
            </m:r>
          </m:sup>
        </m:sSup>
      </m:oMath>
      <w:r w:rsidR="006C42AB" w:rsidRPr="00823856">
        <w:rPr>
          <w:rFonts w:asciiTheme="majorBidi" w:hAnsiTheme="majorBidi" w:cstheme="majorBidi"/>
          <w:sz w:val="24"/>
          <w:szCs w:val="24"/>
        </w:rPr>
        <w:t xml:space="preserve"> and entering (negative)</w:t>
      </w:r>
      <m:oMath>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φ</m:t>
            </m:r>
          </m:e>
          <m:sup>
            <m:r>
              <w:rPr>
                <w:rFonts w:ascii="Cambria Math" w:hAnsi="Cambria Math" w:cstheme="majorBidi"/>
                <w:sz w:val="24"/>
                <w:szCs w:val="24"/>
              </w:rPr>
              <m:t>-</m:t>
            </m:r>
          </m:sup>
        </m:sSup>
      </m:oMath>
      <w:r w:rsidR="000B2833" w:rsidRPr="00823856">
        <w:rPr>
          <w:rFonts w:asciiTheme="majorBidi" w:hAnsiTheme="majorBidi" w:cstheme="majorBidi"/>
          <w:sz w:val="24"/>
          <w:szCs w:val="24"/>
        </w:rPr>
        <w:t xml:space="preserve"> </w:t>
      </w:r>
      <w:r w:rsidR="006C42AB" w:rsidRPr="00823856">
        <w:rPr>
          <w:rFonts w:asciiTheme="majorBidi" w:hAnsiTheme="majorBidi" w:cstheme="majorBidi"/>
          <w:sz w:val="24"/>
          <w:szCs w:val="24"/>
        </w:rPr>
        <w:t xml:space="preserve"> flow for </w:t>
      </w:r>
      <w:r w:rsidR="006C42AB" w:rsidRPr="00823856">
        <w:rPr>
          <w:rFonts w:asciiTheme="majorBidi" w:hAnsiTheme="majorBidi" w:cstheme="majorBidi"/>
          <w:i/>
          <w:iCs/>
          <w:sz w:val="24"/>
          <w:szCs w:val="24"/>
        </w:rPr>
        <w:t>a</w:t>
      </w:r>
      <w:r w:rsidRPr="00823856">
        <w:rPr>
          <w:rFonts w:asciiTheme="majorBidi" w:hAnsiTheme="majorBidi" w:cstheme="majorBidi"/>
          <w:sz w:val="24"/>
          <w:szCs w:val="24"/>
          <w:vertAlign w:val="superscript"/>
        </w:rPr>
        <w:t>th</w:t>
      </w:r>
      <w:r w:rsidRPr="00823856">
        <w:rPr>
          <w:rFonts w:asciiTheme="majorBidi" w:hAnsiTheme="majorBidi" w:cstheme="majorBidi"/>
          <w:sz w:val="24"/>
          <w:szCs w:val="24"/>
        </w:rPr>
        <w:t xml:space="preserve"> alternatives</w:t>
      </w:r>
      <w:r w:rsidR="00433EB2" w:rsidRPr="00823856">
        <w:rPr>
          <w:rFonts w:asciiTheme="majorBidi" w:hAnsiTheme="majorBidi" w:cstheme="majorBidi"/>
          <w:sz w:val="24"/>
          <w:szCs w:val="24"/>
        </w:rPr>
        <w:t xml:space="preserve"> (equation 7)</w:t>
      </w:r>
      <w:r w:rsidRPr="00823856">
        <w:rPr>
          <w:rFonts w:asciiTheme="majorBidi" w:hAnsiTheme="majorBidi" w:cstheme="majorBidi"/>
          <w:sz w:val="24"/>
          <w:szCs w:val="24"/>
        </w:rPr>
        <w:t>.</w:t>
      </w:r>
    </w:p>
    <w:p w14:paraId="354E389F" w14:textId="244187E4" w:rsidR="00406399" w:rsidRPr="00823856" w:rsidRDefault="00000000" w:rsidP="00EE12FE">
      <w:pPr>
        <w:spacing w:line="276" w:lineRule="auto"/>
        <w:ind w:firstLine="720"/>
        <w:jc w:val="lowKashida"/>
        <w:rPr>
          <w:rFonts w:asciiTheme="majorBidi" w:eastAsiaTheme="minorEastAsia" w:hAnsiTheme="majorBidi" w:cstheme="majorBidi"/>
          <w:sz w:val="24"/>
          <w:szCs w:val="24"/>
        </w:rPr>
      </w:pPr>
      <m:oMath>
        <m:sSup>
          <m:sSupPr>
            <m:ctrlPr>
              <w:rPr>
                <w:rFonts w:ascii="Cambria Math" w:hAnsi="Cambria Math" w:cstheme="majorBidi"/>
                <w:i/>
                <w:sz w:val="24"/>
                <w:szCs w:val="24"/>
              </w:rPr>
            </m:ctrlPr>
          </m:sSupPr>
          <m:e>
            <m:r>
              <w:rPr>
                <w:rFonts w:ascii="Cambria Math" w:hAnsi="Cambria Math" w:cstheme="majorBidi"/>
                <w:sz w:val="24"/>
                <w:szCs w:val="24"/>
              </w:rPr>
              <m:t>φ</m:t>
            </m:r>
          </m:e>
          <m:sup>
            <m:r>
              <w:rPr>
                <w:rFonts w:ascii="Cambria Math" w:hAnsi="Cambria Math" w:cstheme="majorBidi"/>
                <w:sz w:val="24"/>
                <w:szCs w:val="24"/>
              </w:rPr>
              <m:t>+</m:t>
            </m:r>
          </m:sup>
        </m:sSup>
        <m:d>
          <m:dPr>
            <m:ctrlPr>
              <w:rPr>
                <w:rFonts w:ascii="Cambria Math" w:hAnsi="Cambria Math" w:cstheme="majorBidi"/>
                <w:i/>
                <w:sz w:val="24"/>
                <w:szCs w:val="24"/>
              </w:rPr>
            </m:ctrlPr>
          </m:dPr>
          <m:e>
            <m:r>
              <w:rPr>
                <w:rFonts w:ascii="Cambria Math" w:hAnsi="Cambria Math" w:cstheme="majorBidi"/>
                <w:sz w:val="24"/>
                <w:szCs w:val="24"/>
              </w:rPr>
              <m:t>a</m:t>
            </m:r>
          </m:e>
        </m:d>
        <m:r>
          <w:rPr>
            <w:rFonts w:ascii="Cambria Math" w:eastAsia="Cambria Math" w:hAnsi="Cambria Math" w:cstheme="majorBidi"/>
            <w:sz w:val="24"/>
            <w:szCs w:val="24"/>
          </w:rPr>
          <m:t xml:space="preserve"> and </m:t>
        </m:r>
        <m:sSup>
          <m:sSupPr>
            <m:ctrlPr>
              <w:rPr>
                <w:rFonts w:ascii="Cambria Math" w:hAnsi="Cambria Math" w:cstheme="majorBidi"/>
                <w:i/>
                <w:sz w:val="24"/>
                <w:szCs w:val="24"/>
              </w:rPr>
            </m:ctrlPr>
          </m:sSupPr>
          <m:e>
            <m:r>
              <w:rPr>
                <w:rFonts w:ascii="Cambria Math" w:hAnsi="Cambria Math" w:cstheme="majorBidi"/>
                <w:sz w:val="24"/>
                <w:szCs w:val="24"/>
              </w:rPr>
              <m:t>φ</m:t>
            </m:r>
          </m:e>
          <m:sup>
            <m:r>
              <w:rPr>
                <w:rFonts w:ascii="Cambria Math" w:hAnsi="Cambria Math" w:cstheme="majorBidi"/>
                <w:sz w:val="24"/>
                <w:szCs w:val="24"/>
              </w:rPr>
              <m:t>-</m:t>
            </m:r>
          </m:sup>
        </m:sSup>
        <m:r>
          <w:rPr>
            <w:rFonts w:ascii="Cambria Math" w:hAnsi="Cambria Math" w:cstheme="majorBidi"/>
            <w:sz w:val="24"/>
            <w:szCs w:val="24"/>
          </w:rPr>
          <m:t>(a)</m:t>
        </m:r>
        <m:r>
          <w:rPr>
            <w:rFonts w:ascii="Cambria Math" w:eastAsia="Cambria Math" w:hAnsi="Cambria Math" w:cstheme="majorBidi"/>
            <w:sz w:val="24"/>
            <w:szCs w:val="24"/>
          </w:rPr>
          <m:t>=</m:t>
        </m:r>
        <m:f>
          <m:fPr>
            <m:ctrlPr>
              <w:rPr>
                <w:rFonts w:ascii="Cambria Math" w:hAnsi="Cambria Math" w:cstheme="majorBidi"/>
                <w:sz w:val="24"/>
                <w:szCs w:val="24"/>
              </w:rPr>
            </m:ctrlPr>
          </m:fPr>
          <m:num>
            <m:r>
              <w:rPr>
                <w:rFonts w:ascii="Cambria Math" w:hAnsi="Cambria Math" w:cstheme="majorBidi"/>
                <w:sz w:val="24"/>
                <w:szCs w:val="24"/>
              </w:rPr>
              <m:t>1</m:t>
            </m:r>
          </m:num>
          <m:den>
            <m:r>
              <w:rPr>
                <w:rFonts w:ascii="Cambria Math" w:hAnsi="Cambria Math" w:cstheme="majorBidi"/>
                <w:sz w:val="24"/>
                <w:szCs w:val="24"/>
              </w:rPr>
              <m:t>m-1</m:t>
            </m:r>
          </m:den>
        </m:f>
        <m:nary>
          <m:naryPr>
            <m:chr m:val="∑"/>
            <m:grow m:val="1"/>
            <m:ctrlPr>
              <w:rPr>
                <w:rFonts w:ascii="Cambria Math" w:eastAsiaTheme="minorEastAsia" w:hAnsi="Cambria Math" w:cstheme="majorBidi"/>
                <w:sz w:val="24"/>
                <w:szCs w:val="24"/>
              </w:rPr>
            </m:ctrlPr>
          </m:naryPr>
          <m:sub>
            <m:r>
              <w:rPr>
                <w:rFonts w:ascii="Cambria Math" w:eastAsia="Cambria Math" w:hAnsi="Cambria Math" w:cstheme="majorBidi"/>
                <w:sz w:val="24"/>
                <w:szCs w:val="24"/>
              </w:rPr>
              <m:t>b=1</m:t>
            </m:r>
          </m:sub>
          <m:sup>
            <m:r>
              <w:rPr>
                <w:rFonts w:ascii="Cambria Math" w:eastAsia="Cambria Math" w:hAnsi="Cambria Math" w:cstheme="majorBidi"/>
                <w:sz w:val="24"/>
                <w:szCs w:val="24"/>
              </w:rPr>
              <m:t>m</m:t>
            </m:r>
          </m:sup>
          <m:e>
            <m:r>
              <w:rPr>
                <w:rFonts w:ascii="Cambria Math" w:hAnsi="Cambria Math" w:cstheme="majorBidi"/>
                <w:sz w:val="24"/>
                <w:szCs w:val="24"/>
              </w:rPr>
              <m:t xml:space="preserve"> π</m:t>
            </m:r>
            <m:d>
              <m:dPr>
                <m:ctrlPr>
                  <w:rPr>
                    <w:rFonts w:ascii="Cambria Math" w:hAnsi="Cambria Math" w:cstheme="majorBidi"/>
                    <w:i/>
                    <w:sz w:val="24"/>
                    <w:szCs w:val="24"/>
                  </w:rPr>
                </m:ctrlPr>
              </m:dPr>
              <m:e>
                <m:r>
                  <w:rPr>
                    <w:rFonts w:ascii="Cambria Math" w:hAnsi="Cambria Math" w:cstheme="majorBidi"/>
                    <w:sz w:val="24"/>
                    <w:szCs w:val="24"/>
                  </w:rPr>
                  <m:t>a-b</m:t>
                </m:r>
              </m:e>
            </m:d>
            <m:r>
              <w:rPr>
                <w:rFonts w:ascii="Cambria Math" w:hAnsi="Cambria Math" w:cstheme="majorBidi"/>
                <w:sz w:val="24"/>
                <w:szCs w:val="24"/>
              </w:rPr>
              <m:t xml:space="preserve">         (a≠b)</m:t>
            </m:r>
          </m:e>
        </m:nary>
      </m:oMath>
      <w:r w:rsidR="00D701D4" w:rsidRPr="00823856">
        <w:rPr>
          <w:rFonts w:asciiTheme="majorBidi" w:eastAsiaTheme="minorEastAsia" w:hAnsiTheme="majorBidi" w:cstheme="majorBidi"/>
          <w:sz w:val="24"/>
          <w:szCs w:val="24"/>
        </w:rPr>
        <w:t xml:space="preserve">              </w:t>
      </w:r>
      <w:r w:rsidR="00423EA1" w:rsidRPr="00823856">
        <w:rPr>
          <w:rFonts w:asciiTheme="majorBidi" w:eastAsiaTheme="minorEastAsia" w:hAnsiTheme="majorBidi" w:cstheme="majorBidi"/>
          <w:sz w:val="24"/>
          <w:szCs w:val="24"/>
        </w:rPr>
        <w:t xml:space="preserve">                        </w:t>
      </w:r>
      <w:r w:rsidR="00F66366" w:rsidRPr="00823856">
        <w:rPr>
          <w:rFonts w:asciiTheme="majorBidi" w:eastAsiaTheme="minorEastAsia" w:hAnsiTheme="majorBidi" w:cstheme="majorBidi"/>
          <w:sz w:val="24"/>
          <w:szCs w:val="24"/>
        </w:rPr>
        <w:t xml:space="preserve">   </w:t>
      </w:r>
      <w:r w:rsidR="00423EA1" w:rsidRPr="00823856">
        <w:rPr>
          <w:rFonts w:asciiTheme="majorBidi" w:eastAsiaTheme="minorEastAsia" w:hAnsiTheme="majorBidi" w:cstheme="majorBidi"/>
          <w:sz w:val="24"/>
          <w:szCs w:val="24"/>
        </w:rPr>
        <w:t xml:space="preserve">  Eq</w:t>
      </w:r>
      <w:r w:rsidR="0009395B" w:rsidRPr="00823856">
        <w:rPr>
          <w:rFonts w:asciiTheme="majorBidi" w:eastAsiaTheme="minorEastAsia" w:hAnsiTheme="majorBidi" w:cstheme="majorBidi"/>
          <w:sz w:val="24"/>
          <w:szCs w:val="24"/>
        </w:rPr>
        <w:t xml:space="preserve"> (</w:t>
      </w:r>
      <w:r w:rsidR="002A7CA2" w:rsidRPr="00823856">
        <w:rPr>
          <w:rFonts w:asciiTheme="majorBidi" w:eastAsiaTheme="minorEastAsia" w:hAnsiTheme="majorBidi" w:cstheme="majorBidi"/>
          <w:sz w:val="24"/>
          <w:szCs w:val="24"/>
        </w:rPr>
        <w:t>7</w:t>
      </w:r>
      <w:r w:rsidR="0009395B" w:rsidRPr="00823856">
        <w:rPr>
          <w:rFonts w:asciiTheme="majorBidi" w:eastAsiaTheme="minorEastAsia" w:hAnsiTheme="majorBidi" w:cstheme="majorBidi"/>
          <w:sz w:val="24"/>
          <w:szCs w:val="24"/>
        </w:rPr>
        <w:t>)</w:t>
      </w:r>
    </w:p>
    <w:p w14:paraId="56E1E6C8" w14:textId="40F53725" w:rsidR="002D561C" w:rsidRPr="00823856" w:rsidRDefault="00D03C52" w:rsidP="00EE12FE">
      <w:pPr>
        <w:spacing w:line="276" w:lineRule="auto"/>
        <w:ind w:firstLine="720"/>
        <w:jc w:val="lowKashida"/>
        <w:rPr>
          <w:rFonts w:asciiTheme="majorBidi" w:eastAsiaTheme="minorEastAsia" w:hAnsiTheme="majorBidi" w:cstheme="majorBidi"/>
          <w:sz w:val="24"/>
          <w:szCs w:val="24"/>
        </w:rPr>
      </w:pPr>
      <w:r w:rsidRPr="00823856">
        <w:rPr>
          <w:rFonts w:asciiTheme="majorBidi" w:eastAsiaTheme="minorEastAsia" w:hAnsiTheme="majorBidi" w:cstheme="majorBidi"/>
          <w:b/>
          <w:bCs/>
          <w:sz w:val="24"/>
          <w:szCs w:val="24"/>
        </w:rPr>
        <w:t xml:space="preserve">Stage </w:t>
      </w:r>
      <w:r w:rsidR="00AF0862" w:rsidRPr="00823856">
        <w:rPr>
          <w:rFonts w:asciiTheme="majorBidi" w:eastAsiaTheme="minorEastAsia" w:hAnsiTheme="majorBidi" w:cstheme="majorBidi"/>
          <w:b/>
          <w:bCs/>
          <w:sz w:val="24"/>
          <w:szCs w:val="24"/>
        </w:rPr>
        <w:t>6</w:t>
      </w:r>
      <w:r w:rsidRPr="00823856">
        <w:rPr>
          <w:rFonts w:asciiTheme="majorBidi" w:eastAsiaTheme="minorEastAsia" w:hAnsiTheme="majorBidi" w:cstheme="majorBidi"/>
          <w:b/>
          <w:bCs/>
          <w:sz w:val="24"/>
          <w:szCs w:val="24"/>
        </w:rPr>
        <w:t>:</w:t>
      </w:r>
      <w:r w:rsidR="00794117" w:rsidRPr="00823856">
        <w:rPr>
          <w:rFonts w:asciiTheme="majorBidi" w:eastAsiaTheme="minorEastAsia" w:hAnsiTheme="majorBidi" w:cstheme="majorBidi"/>
          <w:sz w:val="24"/>
          <w:szCs w:val="24"/>
        </w:rPr>
        <w:t xml:space="preserve"> </w:t>
      </w:r>
      <w:r w:rsidR="00406399" w:rsidRPr="00823856">
        <w:rPr>
          <w:rFonts w:asciiTheme="majorBidi" w:eastAsiaTheme="minorEastAsia" w:hAnsiTheme="majorBidi" w:cstheme="majorBidi"/>
          <w:sz w:val="24"/>
          <w:szCs w:val="24"/>
        </w:rPr>
        <w:t xml:space="preserve">Calculating the net outranking </w:t>
      </w:r>
      <w:r w:rsidR="00D701D4" w:rsidRPr="00823856">
        <w:rPr>
          <w:rFonts w:asciiTheme="majorBidi" w:eastAsiaTheme="minorEastAsia" w:hAnsiTheme="majorBidi" w:cstheme="majorBidi"/>
          <w:sz w:val="24"/>
          <w:szCs w:val="24"/>
        </w:rPr>
        <w:t>flow</w:t>
      </w:r>
      <w:r w:rsidR="003F123A" w:rsidRPr="00823856">
        <w:rPr>
          <w:rFonts w:asciiTheme="majorBidi" w:eastAsiaTheme="minorEastAsia" w:hAnsiTheme="majorBidi" w:cstheme="majorBidi"/>
          <w:sz w:val="24"/>
          <w:szCs w:val="24"/>
        </w:rPr>
        <w:t xml:space="preserve"> related to t</w:t>
      </w:r>
      <w:r w:rsidR="00D701D4" w:rsidRPr="00823856">
        <w:rPr>
          <w:rFonts w:asciiTheme="majorBidi" w:eastAsiaTheme="minorEastAsia" w:hAnsiTheme="majorBidi" w:cstheme="majorBidi"/>
          <w:sz w:val="24"/>
          <w:szCs w:val="24"/>
        </w:rPr>
        <w:t>he PROMETHEE II complete ranking</w:t>
      </w:r>
      <w:r w:rsidR="00433EB2" w:rsidRPr="00823856">
        <w:rPr>
          <w:rFonts w:asciiTheme="majorBidi" w:eastAsiaTheme="minorEastAsia" w:hAnsiTheme="majorBidi" w:cstheme="majorBidi"/>
          <w:sz w:val="24"/>
          <w:szCs w:val="24"/>
        </w:rPr>
        <w:t xml:space="preserve"> by </w:t>
      </w:r>
      <w:r w:rsidR="00433EB2" w:rsidRPr="00823856">
        <w:rPr>
          <w:rFonts w:asciiTheme="majorBidi" w:hAnsiTheme="majorBidi" w:cstheme="majorBidi"/>
          <w:sz w:val="24"/>
          <w:szCs w:val="24"/>
        </w:rPr>
        <w:t>(equation 8).</w:t>
      </w:r>
    </w:p>
    <w:p w14:paraId="5F9E84AD" w14:textId="23A17020" w:rsidR="00434758" w:rsidRPr="00823856" w:rsidRDefault="002D561C" w:rsidP="00EE12FE">
      <w:pPr>
        <w:spacing w:line="276" w:lineRule="auto"/>
        <w:ind w:firstLine="720"/>
        <w:jc w:val="lowKashida"/>
        <w:rPr>
          <w:rFonts w:asciiTheme="majorBidi" w:eastAsiaTheme="minorEastAsia" w:hAnsiTheme="majorBidi" w:cstheme="majorBidi"/>
          <w:sz w:val="24"/>
          <w:szCs w:val="24"/>
        </w:rPr>
      </w:pPr>
      <m:oMath>
        <m:r>
          <w:rPr>
            <w:rFonts w:ascii="Cambria Math" w:hAnsi="Cambria Math" w:cstheme="majorBidi"/>
            <w:sz w:val="24"/>
            <w:szCs w:val="24"/>
          </w:rPr>
          <m:t>φ</m:t>
        </m:r>
        <m:d>
          <m:dPr>
            <m:ctrlPr>
              <w:rPr>
                <w:rFonts w:ascii="Cambria Math" w:hAnsi="Cambria Math" w:cstheme="majorBidi"/>
                <w:i/>
                <w:sz w:val="24"/>
                <w:szCs w:val="24"/>
              </w:rPr>
            </m:ctrlPr>
          </m:dPr>
          <m:e>
            <m:r>
              <w:rPr>
                <w:rFonts w:ascii="Cambria Math" w:hAnsi="Cambria Math" w:cstheme="majorBidi"/>
                <w:sz w:val="24"/>
                <w:szCs w:val="24"/>
              </w:rPr>
              <m:t>a</m:t>
            </m:r>
          </m:e>
        </m:d>
        <m:r>
          <w:rPr>
            <w:rFonts w:ascii="Cambria Math" w:eastAsiaTheme="minorEastAsia"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φ</m:t>
            </m:r>
          </m:e>
          <m:sup>
            <m:r>
              <w:rPr>
                <w:rFonts w:ascii="Cambria Math" w:hAnsi="Cambria Math" w:cstheme="majorBidi"/>
                <w:sz w:val="24"/>
                <w:szCs w:val="24"/>
              </w:rPr>
              <m:t>+</m:t>
            </m:r>
          </m:sup>
        </m:sSup>
        <m:d>
          <m:dPr>
            <m:ctrlPr>
              <w:rPr>
                <w:rFonts w:ascii="Cambria Math" w:hAnsi="Cambria Math" w:cstheme="majorBidi"/>
                <w:i/>
                <w:sz w:val="24"/>
                <w:szCs w:val="24"/>
              </w:rPr>
            </m:ctrlPr>
          </m:dPr>
          <m:e>
            <m:r>
              <w:rPr>
                <w:rFonts w:ascii="Cambria Math" w:hAnsi="Cambria Math" w:cstheme="majorBidi"/>
                <w:sz w:val="24"/>
                <w:szCs w:val="24"/>
              </w:rPr>
              <m:t>a</m:t>
            </m:r>
          </m:e>
        </m:d>
        <m:r>
          <w:rPr>
            <w:rFonts w:ascii="Cambria Math" w:hAnsi="Cambria Math" w:cstheme="majorBidi"/>
            <w:sz w:val="24"/>
            <w:szCs w:val="24"/>
          </w:rPr>
          <m:t xml:space="preserve">- </m:t>
        </m:r>
        <m:sSup>
          <m:sSupPr>
            <m:ctrlPr>
              <w:rPr>
                <w:rFonts w:ascii="Cambria Math" w:hAnsi="Cambria Math" w:cstheme="majorBidi"/>
                <w:i/>
                <w:sz w:val="24"/>
                <w:szCs w:val="24"/>
              </w:rPr>
            </m:ctrlPr>
          </m:sSupPr>
          <m:e>
            <m:r>
              <w:rPr>
                <w:rFonts w:ascii="Cambria Math" w:hAnsi="Cambria Math" w:cstheme="majorBidi"/>
                <w:sz w:val="24"/>
                <w:szCs w:val="24"/>
              </w:rPr>
              <m:t>φ</m:t>
            </m:r>
          </m:e>
          <m:sup>
            <m:r>
              <w:rPr>
                <w:rFonts w:ascii="Cambria Math" w:hAnsi="Cambria Math" w:cstheme="majorBidi"/>
                <w:sz w:val="24"/>
                <w:szCs w:val="24"/>
              </w:rPr>
              <m:t>-</m:t>
            </m:r>
          </m:sup>
        </m:sSup>
        <m:r>
          <w:rPr>
            <w:rFonts w:ascii="Cambria Math" w:hAnsi="Cambria Math" w:cstheme="majorBidi"/>
            <w:sz w:val="24"/>
            <w:szCs w:val="24"/>
          </w:rPr>
          <m:t>(a)</m:t>
        </m:r>
      </m:oMath>
      <w:r w:rsidR="0095463F" w:rsidRPr="00823856">
        <w:rPr>
          <w:rFonts w:asciiTheme="majorBidi" w:eastAsiaTheme="minorEastAsia" w:hAnsiTheme="majorBidi" w:cstheme="majorBidi"/>
          <w:sz w:val="24"/>
          <w:szCs w:val="24"/>
        </w:rPr>
        <w:t xml:space="preserve">                                                                                </w:t>
      </w:r>
      <w:r w:rsidR="00EB4DB4" w:rsidRPr="00823856">
        <w:rPr>
          <w:rFonts w:asciiTheme="majorBidi" w:eastAsiaTheme="minorEastAsia" w:hAnsiTheme="majorBidi" w:cstheme="majorBidi"/>
          <w:sz w:val="24"/>
          <w:szCs w:val="24"/>
        </w:rPr>
        <w:t xml:space="preserve">   </w:t>
      </w:r>
      <w:r w:rsidR="0095463F" w:rsidRPr="00823856">
        <w:rPr>
          <w:rFonts w:asciiTheme="majorBidi" w:eastAsiaTheme="minorEastAsia" w:hAnsiTheme="majorBidi" w:cstheme="majorBidi"/>
          <w:sz w:val="24"/>
          <w:szCs w:val="24"/>
        </w:rPr>
        <w:t xml:space="preserve">      </w:t>
      </w:r>
      <w:r w:rsidR="00F66366" w:rsidRPr="00823856">
        <w:rPr>
          <w:rFonts w:asciiTheme="majorBidi" w:eastAsiaTheme="minorEastAsia" w:hAnsiTheme="majorBidi" w:cstheme="majorBidi"/>
          <w:sz w:val="24"/>
          <w:szCs w:val="24"/>
        </w:rPr>
        <w:t xml:space="preserve">  </w:t>
      </w:r>
      <w:r w:rsidR="0095463F" w:rsidRPr="00823856">
        <w:rPr>
          <w:rFonts w:asciiTheme="majorBidi" w:eastAsiaTheme="minorEastAsia" w:hAnsiTheme="majorBidi" w:cstheme="majorBidi"/>
          <w:sz w:val="24"/>
          <w:szCs w:val="24"/>
        </w:rPr>
        <w:t xml:space="preserve">  </w:t>
      </w:r>
      <w:r w:rsidR="00BE0D6B" w:rsidRPr="00823856">
        <w:rPr>
          <w:rFonts w:asciiTheme="majorBidi" w:eastAsiaTheme="minorEastAsia" w:hAnsiTheme="majorBidi" w:cstheme="majorBidi"/>
          <w:sz w:val="24"/>
          <w:szCs w:val="24"/>
        </w:rPr>
        <w:t>E</w:t>
      </w:r>
      <w:r w:rsidR="00514860" w:rsidRPr="00823856">
        <w:rPr>
          <w:rFonts w:asciiTheme="majorBidi" w:eastAsiaTheme="minorEastAsia" w:hAnsiTheme="majorBidi" w:cstheme="majorBidi"/>
          <w:sz w:val="24"/>
          <w:szCs w:val="24"/>
        </w:rPr>
        <w:t>q</w:t>
      </w:r>
      <w:r w:rsidR="00B351BB" w:rsidRPr="00823856">
        <w:rPr>
          <w:rFonts w:asciiTheme="majorBidi" w:eastAsiaTheme="minorEastAsia" w:hAnsiTheme="majorBidi" w:cstheme="majorBidi"/>
          <w:sz w:val="24"/>
          <w:szCs w:val="24"/>
        </w:rPr>
        <w:t xml:space="preserve"> </w:t>
      </w:r>
      <w:r w:rsidR="0095463F" w:rsidRPr="00823856">
        <w:rPr>
          <w:rFonts w:asciiTheme="majorBidi" w:eastAsiaTheme="minorEastAsia" w:hAnsiTheme="majorBidi" w:cstheme="majorBidi"/>
          <w:sz w:val="24"/>
          <w:szCs w:val="24"/>
        </w:rPr>
        <w:t>(</w:t>
      </w:r>
      <w:r w:rsidR="002A7CA2" w:rsidRPr="00823856">
        <w:rPr>
          <w:rFonts w:asciiTheme="majorBidi" w:eastAsiaTheme="minorEastAsia" w:hAnsiTheme="majorBidi" w:cstheme="majorBidi"/>
          <w:sz w:val="24"/>
          <w:szCs w:val="24"/>
        </w:rPr>
        <w:t>8</w:t>
      </w:r>
      <w:r w:rsidR="0095463F" w:rsidRPr="00823856">
        <w:rPr>
          <w:rFonts w:asciiTheme="majorBidi" w:eastAsiaTheme="minorEastAsia" w:hAnsiTheme="majorBidi" w:cstheme="majorBidi"/>
          <w:sz w:val="24"/>
          <w:szCs w:val="24"/>
        </w:rPr>
        <w:t>)</w:t>
      </w:r>
    </w:p>
    <w:p w14:paraId="7A09C715" w14:textId="5646E718" w:rsidR="00BE0D6B" w:rsidRPr="00823856" w:rsidRDefault="001A69A9" w:rsidP="00EE12FE">
      <w:pPr>
        <w:spacing w:line="276" w:lineRule="auto"/>
        <w:ind w:firstLine="720"/>
        <w:jc w:val="lowKashida"/>
        <w:rPr>
          <w:rFonts w:asciiTheme="majorBidi" w:hAnsiTheme="majorBidi" w:cstheme="majorBidi"/>
          <w:sz w:val="24"/>
          <w:szCs w:val="24"/>
        </w:rPr>
      </w:pPr>
      <w:r w:rsidRPr="00823856">
        <w:rPr>
          <w:rFonts w:asciiTheme="majorBidi" w:hAnsiTheme="majorBidi" w:cstheme="majorBidi"/>
          <w:sz w:val="24"/>
          <w:szCs w:val="24"/>
        </w:rPr>
        <w:t xml:space="preserve">Where </w:t>
      </w:r>
      <m:oMath>
        <m:r>
          <w:rPr>
            <w:rFonts w:ascii="Cambria Math" w:hAnsi="Cambria Math" w:cstheme="majorBidi"/>
            <w:sz w:val="24"/>
            <w:szCs w:val="24"/>
          </w:rPr>
          <m:t>φ</m:t>
        </m:r>
        <m:d>
          <m:dPr>
            <m:ctrlPr>
              <w:rPr>
                <w:rFonts w:ascii="Cambria Math" w:hAnsi="Cambria Math" w:cstheme="majorBidi"/>
                <w:i/>
                <w:sz w:val="24"/>
                <w:szCs w:val="24"/>
              </w:rPr>
            </m:ctrlPr>
          </m:dPr>
          <m:e>
            <m:r>
              <w:rPr>
                <w:rFonts w:ascii="Cambria Math" w:hAnsi="Cambria Math" w:cstheme="majorBidi"/>
                <w:sz w:val="24"/>
                <w:szCs w:val="24"/>
              </w:rPr>
              <m:t>a</m:t>
            </m:r>
          </m:e>
        </m:d>
      </m:oMath>
      <w:r w:rsidRPr="00823856">
        <w:rPr>
          <w:rFonts w:asciiTheme="majorBidi" w:hAnsiTheme="majorBidi" w:cstheme="majorBidi"/>
          <w:sz w:val="24"/>
          <w:szCs w:val="24"/>
        </w:rPr>
        <w:t xml:space="preserve"> is the net outranking flow for each alternative</w:t>
      </w:r>
      <w:r w:rsidR="00325D9E" w:rsidRPr="00823856">
        <w:rPr>
          <w:rFonts w:asciiTheme="majorBidi" w:hAnsiTheme="majorBidi" w:cstheme="majorBidi"/>
          <w:sz w:val="24"/>
          <w:szCs w:val="24"/>
        </w:rPr>
        <w:t>.</w:t>
      </w:r>
    </w:p>
    <w:p w14:paraId="79047D31" w14:textId="77777777" w:rsidR="00034B1E" w:rsidRDefault="00034B1E" w:rsidP="00EE12FE">
      <w:pPr>
        <w:spacing w:line="276" w:lineRule="auto"/>
        <w:ind w:firstLine="720"/>
        <w:jc w:val="lowKashida"/>
        <w:rPr>
          <w:rFonts w:asciiTheme="majorBidi" w:hAnsiTheme="majorBidi" w:cstheme="majorBidi"/>
          <w:sz w:val="24"/>
          <w:szCs w:val="24"/>
        </w:rPr>
      </w:pPr>
    </w:p>
    <w:p w14:paraId="78AFBB6B" w14:textId="77777777" w:rsidR="00003F9A" w:rsidRPr="00823856" w:rsidRDefault="00003F9A" w:rsidP="00EE12FE">
      <w:pPr>
        <w:spacing w:line="276" w:lineRule="auto"/>
        <w:ind w:firstLine="720"/>
        <w:jc w:val="lowKashida"/>
        <w:rPr>
          <w:rFonts w:asciiTheme="majorBidi" w:hAnsiTheme="majorBidi" w:cstheme="majorBidi"/>
          <w:sz w:val="24"/>
          <w:szCs w:val="24"/>
        </w:rPr>
      </w:pPr>
    </w:p>
    <w:p w14:paraId="1A56098D" w14:textId="77777777" w:rsidR="005B07FB" w:rsidRPr="00823856" w:rsidRDefault="00D03868" w:rsidP="00EE12FE">
      <w:pPr>
        <w:pStyle w:val="ListParagraph"/>
        <w:numPr>
          <w:ilvl w:val="0"/>
          <w:numId w:val="1"/>
        </w:numPr>
        <w:spacing w:line="276" w:lineRule="auto"/>
        <w:rPr>
          <w:rFonts w:asciiTheme="majorBidi" w:hAnsiTheme="majorBidi" w:cstheme="majorBidi"/>
          <w:b/>
          <w:bCs/>
          <w:sz w:val="24"/>
          <w:szCs w:val="24"/>
        </w:rPr>
      </w:pPr>
      <w:r w:rsidRPr="00823856">
        <w:rPr>
          <w:rFonts w:asciiTheme="majorBidi" w:hAnsiTheme="majorBidi" w:cstheme="majorBidi"/>
          <w:b/>
          <w:bCs/>
          <w:sz w:val="24"/>
          <w:szCs w:val="24"/>
        </w:rPr>
        <w:t xml:space="preserve">Case study </w:t>
      </w:r>
    </w:p>
    <w:p w14:paraId="52292CEB" w14:textId="7C339D99" w:rsidR="00212784" w:rsidRPr="00823856" w:rsidRDefault="00212784" w:rsidP="00EE12FE">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Modular manufacturing </w:t>
      </w:r>
      <w:r w:rsidR="00325D9E" w:rsidRPr="00823856">
        <w:rPr>
          <w:rFonts w:asciiTheme="majorBidi" w:hAnsiTheme="majorBidi" w:cstheme="majorBidi"/>
          <w:sz w:val="24"/>
          <w:szCs w:val="24"/>
        </w:rPr>
        <w:t>consists of</w:t>
      </w:r>
      <w:r w:rsidRPr="00823856">
        <w:rPr>
          <w:rFonts w:asciiTheme="majorBidi" w:hAnsiTheme="majorBidi" w:cstheme="majorBidi"/>
          <w:sz w:val="24"/>
          <w:szCs w:val="24"/>
        </w:rPr>
        <w:t xml:space="preserve"> pre-assembl</w:t>
      </w:r>
      <w:r w:rsidR="00325D9E" w:rsidRPr="00823856">
        <w:rPr>
          <w:rFonts w:asciiTheme="majorBidi" w:hAnsiTheme="majorBidi" w:cstheme="majorBidi"/>
          <w:sz w:val="24"/>
          <w:szCs w:val="24"/>
        </w:rPr>
        <w:t xml:space="preserve">ing </w:t>
      </w:r>
      <w:r w:rsidRPr="00823856">
        <w:rPr>
          <w:rFonts w:asciiTheme="majorBidi" w:hAnsiTheme="majorBidi" w:cstheme="majorBidi"/>
          <w:sz w:val="24"/>
          <w:szCs w:val="24"/>
        </w:rPr>
        <w:t xml:space="preserve">volumetric units and </w:t>
      </w:r>
      <w:r w:rsidR="00325D9E" w:rsidRPr="00823856">
        <w:rPr>
          <w:rFonts w:asciiTheme="majorBidi" w:hAnsiTheme="majorBidi" w:cstheme="majorBidi"/>
          <w:sz w:val="24"/>
          <w:szCs w:val="24"/>
        </w:rPr>
        <w:t>transferring the unit</w:t>
      </w:r>
      <w:r w:rsidRPr="00823856">
        <w:rPr>
          <w:rFonts w:asciiTheme="majorBidi" w:hAnsiTheme="majorBidi" w:cstheme="majorBidi"/>
          <w:sz w:val="24"/>
          <w:szCs w:val="24"/>
        </w:rPr>
        <w:t xml:space="preserve">s to </w:t>
      </w:r>
      <w:r w:rsidR="00325D9E" w:rsidRPr="00823856">
        <w:rPr>
          <w:rFonts w:asciiTheme="majorBidi" w:hAnsiTheme="majorBidi" w:cstheme="majorBidi"/>
          <w:sz w:val="24"/>
          <w:szCs w:val="24"/>
        </w:rPr>
        <w:t>a</w:t>
      </w:r>
      <w:r w:rsidRPr="00823856">
        <w:rPr>
          <w:rFonts w:asciiTheme="majorBidi" w:hAnsiTheme="majorBidi" w:cstheme="majorBidi"/>
          <w:sz w:val="24"/>
          <w:szCs w:val="24"/>
        </w:rPr>
        <w:t xml:space="preserve"> site to</w:t>
      </w:r>
      <w:r w:rsidR="00325D9E" w:rsidRPr="00823856">
        <w:rPr>
          <w:rFonts w:asciiTheme="majorBidi" w:hAnsiTheme="majorBidi" w:cstheme="majorBidi"/>
          <w:sz w:val="24"/>
          <w:szCs w:val="24"/>
        </w:rPr>
        <w:t xml:space="preserve"> be</w:t>
      </w:r>
      <w:r w:rsidRPr="00823856">
        <w:rPr>
          <w:rFonts w:asciiTheme="majorBidi" w:hAnsiTheme="majorBidi" w:cstheme="majorBidi"/>
          <w:sz w:val="24"/>
          <w:szCs w:val="24"/>
        </w:rPr>
        <w:t xml:space="preserve"> install</w:t>
      </w:r>
      <w:r w:rsidR="00325D9E" w:rsidRPr="00823856">
        <w:rPr>
          <w:rFonts w:asciiTheme="majorBidi" w:hAnsiTheme="majorBidi" w:cstheme="majorBidi"/>
          <w:sz w:val="24"/>
          <w:szCs w:val="24"/>
        </w:rPr>
        <w:t>ed</w:t>
      </w:r>
      <w:r w:rsidRPr="00823856">
        <w:rPr>
          <w:rFonts w:asciiTheme="majorBidi" w:hAnsiTheme="majorBidi" w:cstheme="majorBidi"/>
          <w:sz w:val="24"/>
          <w:szCs w:val="24"/>
        </w:rPr>
        <w:t xml:space="preserve"> as a load-bearing block. The single-story building was chosen for evaluation in this study. The comparative analysis was performed among three common building materials: light steel frame, concrete, and timber. The dimension</w:t>
      </w:r>
      <w:r w:rsidR="00325D9E" w:rsidRPr="00823856">
        <w:rPr>
          <w:rFonts w:asciiTheme="majorBidi" w:hAnsiTheme="majorBidi" w:cstheme="majorBidi"/>
          <w:sz w:val="24"/>
          <w:szCs w:val="24"/>
        </w:rPr>
        <w:t>s</w:t>
      </w:r>
      <w:r w:rsidRPr="00823856">
        <w:rPr>
          <w:rFonts w:asciiTheme="majorBidi" w:hAnsiTheme="majorBidi" w:cstheme="majorBidi"/>
          <w:sz w:val="24"/>
          <w:szCs w:val="24"/>
        </w:rPr>
        <w:t xml:space="preserve"> of the residential building </w:t>
      </w:r>
      <w:proofErr w:type="gramStart"/>
      <w:r w:rsidRPr="00823856">
        <w:rPr>
          <w:rFonts w:asciiTheme="majorBidi" w:hAnsiTheme="majorBidi" w:cstheme="majorBidi"/>
          <w:sz w:val="24"/>
          <w:szCs w:val="24"/>
        </w:rPr>
        <w:t>was</w:t>
      </w:r>
      <w:proofErr w:type="gramEnd"/>
      <w:r w:rsidRPr="00823856">
        <w:rPr>
          <w:rFonts w:asciiTheme="majorBidi" w:hAnsiTheme="majorBidi" w:cstheme="majorBidi"/>
          <w:sz w:val="24"/>
          <w:szCs w:val="24"/>
        </w:rPr>
        <w:t xml:space="preserve"> 18</w:t>
      </w:r>
      <w:r w:rsidR="00325D9E" w:rsidRPr="00823856">
        <w:rPr>
          <w:rFonts w:asciiTheme="majorBidi" w:hAnsiTheme="majorBidi" w:cstheme="majorBidi"/>
          <w:sz w:val="24"/>
          <w:szCs w:val="24"/>
        </w:rPr>
        <w:t xml:space="preserve"> m</w:t>
      </w:r>
      <w:r w:rsidR="00325D9E" w:rsidRPr="00823856">
        <w:rPr>
          <w:rFonts w:asciiTheme="majorBidi" w:hAnsiTheme="majorBidi" w:cstheme="majorBidi"/>
          <w:sz w:val="24"/>
          <w:szCs w:val="24"/>
          <w:vertAlign w:val="superscript"/>
        </w:rPr>
        <w:t>2</w:t>
      </w:r>
      <w:r w:rsidR="00325D9E" w:rsidRPr="00823856">
        <w:rPr>
          <w:rFonts w:asciiTheme="majorBidi" w:hAnsiTheme="majorBidi" w:cstheme="majorBidi"/>
          <w:sz w:val="24"/>
          <w:szCs w:val="24"/>
        </w:rPr>
        <w:t xml:space="preserve"> by </w:t>
      </w:r>
      <w:r w:rsidRPr="00823856">
        <w:rPr>
          <w:rFonts w:asciiTheme="majorBidi" w:hAnsiTheme="majorBidi" w:cstheme="majorBidi"/>
          <w:sz w:val="24"/>
          <w:szCs w:val="24"/>
        </w:rPr>
        <w:t>8 m</w:t>
      </w:r>
      <w:r w:rsidRPr="00823856">
        <w:rPr>
          <w:rFonts w:asciiTheme="majorBidi" w:hAnsiTheme="majorBidi" w:cstheme="majorBidi"/>
          <w:sz w:val="24"/>
          <w:szCs w:val="24"/>
          <w:vertAlign w:val="superscript"/>
        </w:rPr>
        <w:t>2</w:t>
      </w:r>
      <w:r w:rsidRPr="00823856">
        <w:rPr>
          <w:rFonts w:asciiTheme="majorBidi" w:hAnsiTheme="majorBidi" w:cstheme="majorBidi"/>
          <w:sz w:val="24"/>
          <w:szCs w:val="24"/>
        </w:rPr>
        <w:t>. The characterization and detail of every single material attributed to three main modul</w:t>
      </w:r>
      <w:r w:rsidR="00325D9E" w:rsidRPr="00823856">
        <w:rPr>
          <w:rFonts w:asciiTheme="majorBidi" w:hAnsiTheme="majorBidi" w:cstheme="majorBidi"/>
          <w:sz w:val="24"/>
          <w:szCs w:val="24"/>
        </w:rPr>
        <w:t>es</w:t>
      </w:r>
      <w:r w:rsidRPr="00823856">
        <w:rPr>
          <w:rFonts w:asciiTheme="majorBidi" w:hAnsiTheme="majorBidi" w:cstheme="majorBidi"/>
          <w:sz w:val="24"/>
          <w:szCs w:val="24"/>
        </w:rPr>
        <w:t xml:space="preserve"> are depicted in </w:t>
      </w:r>
      <w:r w:rsidR="00325D9E" w:rsidRPr="00823856">
        <w:rPr>
          <w:rFonts w:asciiTheme="majorBidi" w:hAnsiTheme="majorBidi" w:cstheme="majorBidi"/>
          <w:sz w:val="24"/>
          <w:szCs w:val="24"/>
        </w:rPr>
        <w:t>T</w:t>
      </w:r>
      <w:r w:rsidRPr="00823856">
        <w:rPr>
          <w:rFonts w:asciiTheme="majorBidi" w:hAnsiTheme="majorBidi" w:cstheme="majorBidi"/>
          <w:sz w:val="24"/>
          <w:szCs w:val="24"/>
        </w:rPr>
        <w:t xml:space="preserve">able 3. </w:t>
      </w:r>
    </w:p>
    <w:p w14:paraId="6F8EFB4C" w14:textId="0A33D461" w:rsidR="00034B1E" w:rsidRPr="00A254F0" w:rsidRDefault="00212784" w:rsidP="00A254F0">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Case study 1 is related to modular lightweight steel frame construction. The first stage consists of material extraction, transportation of material to the factory, on-site construction and installation, and transportation (A1-A6). </w:t>
      </w:r>
      <w:r w:rsidR="00325D9E" w:rsidRPr="00823856">
        <w:rPr>
          <w:rFonts w:asciiTheme="majorBidi" w:hAnsiTheme="majorBidi" w:cstheme="majorBidi"/>
          <w:sz w:val="24"/>
          <w:szCs w:val="24"/>
        </w:rPr>
        <w:t>C</w:t>
      </w:r>
      <w:r w:rsidRPr="00823856">
        <w:rPr>
          <w:rFonts w:asciiTheme="majorBidi" w:hAnsiTheme="majorBidi" w:cstheme="majorBidi"/>
          <w:sz w:val="24"/>
          <w:szCs w:val="24"/>
        </w:rPr>
        <w:t xml:space="preserve">onnections between modules </w:t>
      </w:r>
      <w:r w:rsidR="00325D9E" w:rsidRPr="00823856">
        <w:rPr>
          <w:rFonts w:asciiTheme="majorBidi" w:hAnsiTheme="majorBidi" w:cstheme="majorBidi"/>
          <w:sz w:val="24"/>
          <w:szCs w:val="24"/>
        </w:rPr>
        <w:t>are made with a</w:t>
      </w:r>
      <w:r w:rsidRPr="00823856">
        <w:rPr>
          <w:rFonts w:asciiTheme="majorBidi" w:hAnsiTheme="majorBidi" w:cstheme="majorBidi"/>
          <w:sz w:val="24"/>
          <w:szCs w:val="24"/>
        </w:rPr>
        <w:t xml:space="preserve"> bolt and tie plate assembly. The second modular is concrete construction, and its density is 2400 kg/m³. The starter bar comes from underneath the slab and passes through the hollow core. The first stage of concrete evaluation is related to raw material extraction, such as sand, cement, </w:t>
      </w:r>
      <w:r w:rsidR="00325D9E" w:rsidRPr="00823856">
        <w:rPr>
          <w:rFonts w:asciiTheme="majorBidi" w:hAnsiTheme="majorBidi" w:cstheme="majorBidi"/>
          <w:sz w:val="24"/>
          <w:szCs w:val="24"/>
        </w:rPr>
        <w:t>e</w:t>
      </w:r>
      <w:r w:rsidRPr="00823856">
        <w:rPr>
          <w:rFonts w:asciiTheme="majorBidi" w:hAnsiTheme="majorBidi" w:cstheme="majorBidi"/>
          <w:sz w:val="24"/>
          <w:szCs w:val="24"/>
        </w:rPr>
        <w:t xml:space="preserve">tc., which are transported to the factory. The manufacturing of the </w:t>
      </w:r>
      <w:r w:rsidR="00325D9E" w:rsidRPr="00823856">
        <w:rPr>
          <w:rFonts w:asciiTheme="majorBidi" w:hAnsiTheme="majorBidi" w:cstheme="majorBidi"/>
          <w:sz w:val="24"/>
          <w:szCs w:val="24"/>
        </w:rPr>
        <w:t xml:space="preserve">entire </w:t>
      </w:r>
      <w:r w:rsidRPr="00823856">
        <w:rPr>
          <w:rFonts w:asciiTheme="majorBidi" w:hAnsiTheme="majorBidi" w:cstheme="majorBidi"/>
          <w:sz w:val="24"/>
          <w:szCs w:val="24"/>
        </w:rPr>
        <w:t xml:space="preserve">module occurs in the factory (A1-A3). The next stage </w:t>
      </w:r>
      <w:r w:rsidR="00325D9E" w:rsidRPr="00823856">
        <w:rPr>
          <w:rFonts w:asciiTheme="majorBidi" w:hAnsiTheme="majorBidi" w:cstheme="majorBidi"/>
          <w:sz w:val="24"/>
          <w:szCs w:val="24"/>
        </w:rPr>
        <w:t xml:space="preserve">consists of </w:t>
      </w:r>
      <w:r w:rsidRPr="00823856">
        <w:rPr>
          <w:rFonts w:asciiTheme="majorBidi" w:hAnsiTheme="majorBidi" w:cstheme="majorBidi"/>
          <w:sz w:val="24"/>
          <w:szCs w:val="24"/>
        </w:rPr>
        <w:t xml:space="preserve">transporting all the modules to the </w:t>
      </w:r>
      <w:r w:rsidR="00325D9E" w:rsidRPr="00823856">
        <w:rPr>
          <w:rFonts w:asciiTheme="majorBidi" w:hAnsiTheme="majorBidi" w:cstheme="majorBidi"/>
          <w:sz w:val="24"/>
          <w:szCs w:val="24"/>
        </w:rPr>
        <w:t xml:space="preserve">construction </w:t>
      </w:r>
      <w:r w:rsidRPr="00823856">
        <w:rPr>
          <w:rFonts w:asciiTheme="majorBidi" w:hAnsiTheme="majorBidi" w:cstheme="majorBidi"/>
          <w:sz w:val="24"/>
          <w:szCs w:val="24"/>
        </w:rPr>
        <w:t xml:space="preserve">site located 250 km from the factory (A4). A high-load truck is commonly used as the primary vehicle type for transportation, particularly when considering prefabricated components' large volume and weight. Secondly, the modules were hoisted and assembled using a </w:t>
      </w:r>
      <w:r w:rsidR="00325D9E" w:rsidRPr="00823856">
        <w:rPr>
          <w:rFonts w:asciiTheme="majorBidi" w:hAnsiTheme="majorBidi" w:cstheme="majorBidi"/>
          <w:sz w:val="24"/>
          <w:szCs w:val="24"/>
        </w:rPr>
        <w:t xml:space="preserve">260-ton </w:t>
      </w:r>
      <w:r w:rsidRPr="00823856">
        <w:rPr>
          <w:rFonts w:asciiTheme="majorBidi" w:hAnsiTheme="majorBidi" w:cstheme="majorBidi"/>
          <w:sz w:val="24"/>
          <w:szCs w:val="24"/>
        </w:rPr>
        <w:t xml:space="preserve">tower crane (A5-A6) and on-site machinery in which the use of </w:t>
      </w:r>
      <w:r w:rsidR="00325D9E" w:rsidRPr="00823856">
        <w:rPr>
          <w:rFonts w:asciiTheme="majorBidi" w:hAnsiTheme="majorBidi" w:cstheme="majorBidi"/>
          <w:sz w:val="24"/>
          <w:szCs w:val="24"/>
        </w:rPr>
        <w:t xml:space="preserve">a </w:t>
      </w:r>
      <w:r w:rsidRPr="00823856">
        <w:rPr>
          <w:rFonts w:asciiTheme="majorBidi" w:hAnsiTheme="majorBidi" w:cstheme="majorBidi"/>
          <w:sz w:val="24"/>
          <w:szCs w:val="24"/>
        </w:rPr>
        <w:t>crane was considered for PPVC.</w:t>
      </w:r>
      <w:r w:rsidR="00C03D3E" w:rsidRPr="00823856">
        <w:rPr>
          <w:rFonts w:asciiTheme="majorBidi" w:hAnsiTheme="majorBidi" w:cstheme="majorBidi"/>
          <w:sz w:val="24"/>
          <w:szCs w:val="24"/>
          <w:shd w:val="clear" w:color="auto" w:fill="FFFFFF"/>
        </w:rPr>
        <w:t xml:space="preserve"> </w:t>
      </w:r>
    </w:p>
    <w:p w14:paraId="214BDA7C" w14:textId="09486FF1" w:rsidR="003833D3" w:rsidRPr="00823856" w:rsidRDefault="0012355D" w:rsidP="00EE12FE">
      <w:pPr>
        <w:spacing w:line="276" w:lineRule="auto"/>
        <w:ind w:firstLine="720"/>
        <w:jc w:val="both"/>
        <w:rPr>
          <w:sz w:val="24"/>
          <w:szCs w:val="24"/>
        </w:rPr>
      </w:pPr>
      <w:r w:rsidRPr="00823856">
        <w:rPr>
          <w:rFonts w:asciiTheme="majorBidi" w:hAnsiTheme="majorBidi" w:cstheme="majorBidi"/>
          <w:sz w:val="24"/>
          <w:szCs w:val="24"/>
          <w:shd w:val="clear" w:color="auto" w:fill="FFFFFF"/>
        </w:rPr>
        <w:t xml:space="preserve">The maintenance phase includes regular painting and maintenance </w:t>
      </w:r>
      <w:r w:rsidR="00454246" w:rsidRPr="00823856">
        <w:rPr>
          <w:rFonts w:asciiTheme="majorBidi" w:hAnsiTheme="majorBidi" w:cstheme="majorBidi"/>
          <w:sz w:val="24"/>
          <w:szCs w:val="24"/>
          <w:shd w:val="clear" w:color="auto" w:fill="FFFFFF"/>
        </w:rPr>
        <w:t>over a building life span of</w:t>
      </w:r>
      <w:r w:rsidRPr="00823856">
        <w:rPr>
          <w:rFonts w:asciiTheme="majorBidi" w:hAnsiTheme="majorBidi" w:cstheme="majorBidi"/>
          <w:sz w:val="24"/>
          <w:szCs w:val="24"/>
          <w:shd w:val="clear" w:color="auto" w:fill="FFFFFF"/>
        </w:rPr>
        <w:t xml:space="preserve"> 50 year</w:t>
      </w:r>
      <w:r w:rsidR="00454246" w:rsidRPr="00823856">
        <w:rPr>
          <w:rFonts w:asciiTheme="majorBidi" w:hAnsiTheme="majorBidi" w:cstheme="majorBidi"/>
          <w:sz w:val="24"/>
          <w:szCs w:val="24"/>
          <w:shd w:val="clear" w:color="auto" w:fill="FFFFFF"/>
        </w:rPr>
        <w:t>s</w:t>
      </w:r>
      <w:r w:rsidRPr="00823856">
        <w:rPr>
          <w:rFonts w:asciiTheme="majorBidi" w:hAnsiTheme="majorBidi" w:cstheme="majorBidi"/>
          <w:sz w:val="24"/>
          <w:szCs w:val="24"/>
          <w:shd w:val="clear" w:color="auto" w:fill="FFFFFF"/>
        </w:rPr>
        <w:t xml:space="preserve"> (B1). Maintenance comprises </w:t>
      </w:r>
      <w:r w:rsidR="00454246" w:rsidRPr="00823856">
        <w:rPr>
          <w:rFonts w:asciiTheme="majorBidi" w:hAnsiTheme="majorBidi" w:cstheme="majorBidi"/>
          <w:sz w:val="24"/>
          <w:szCs w:val="24"/>
          <w:shd w:val="clear" w:color="auto" w:fill="FFFFFF"/>
        </w:rPr>
        <w:t xml:space="preserve">of </w:t>
      </w:r>
      <w:r w:rsidRPr="00823856">
        <w:rPr>
          <w:rFonts w:asciiTheme="majorBidi" w:hAnsiTheme="majorBidi" w:cstheme="majorBidi"/>
          <w:sz w:val="24"/>
          <w:szCs w:val="24"/>
          <w:shd w:val="clear" w:color="auto" w:fill="FFFFFF"/>
        </w:rPr>
        <w:t>minor renovation</w:t>
      </w:r>
      <w:r w:rsidR="00454246" w:rsidRPr="00823856">
        <w:rPr>
          <w:rFonts w:asciiTheme="majorBidi" w:hAnsiTheme="majorBidi" w:cstheme="majorBidi"/>
          <w:sz w:val="24"/>
          <w:szCs w:val="24"/>
          <w:shd w:val="clear" w:color="auto" w:fill="FFFFFF"/>
        </w:rPr>
        <w:t>s</w:t>
      </w:r>
      <w:r w:rsidRPr="00823856">
        <w:rPr>
          <w:rFonts w:asciiTheme="majorBidi" w:hAnsiTheme="majorBidi" w:cstheme="majorBidi"/>
          <w:sz w:val="24"/>
          <w:szCs w:val="24"/>
          <w:shd w:val="clear" w:color="auto" w:fill="FFFFFF"/>
        </w:rPr>
        <w:t xml:space="preserve"> and painting done every 6 to 25 years, with minor repair</w:t>
      </w:r>
      <w:r w:rsidR="00454246" w:rsidRPr="00823856">
        <w:rPr>
          <w:rFonts w:asciiTheme="majorBidi" w:hAnsiTheme="majorBidi" w:cstheme="majorBidi"/>
          <w:sz w:val="24"/>
          <w:szCs w:val="24"/>
          <w:shd w:val="clear" w:color="auto" w:fill="FFFFFF"/>
        </w:rPr>
        <w:t>s</w:t>
      </w:r>
      <w:r w:rsidRPr="00823856">
        <w:rPr>
          <w:rFonts w:asciiTheme="majorBidi" w:hAnsiTheme="majorBidi" w:cstheme="majorBidi"/>
          <w:sz w:val="24"/>
          <w:szCs w:val="24"/>
          <w:shd w:val="clear" w:color="auto" w:fill="FFFFFF"/>
        </w:rPr>
        <w:t xml:space="preserve"> being </w:t>
      </w:r>
      <w:r w:rsidR="00454246" w:rsidRPr="00823856">
        <w:rPr>
          <w:rFonts w:asciiTheme="majorBidi" w:hAnsiTheme="majorBidi" w:cstheme="majorBidi"/>
          <w:sz w:val="24"/>
          <w:szCs w:val="24"/>
          <w:shd w:val="clear" w:color="auto" w:fill="FFFFFF"/>
        </w:rPr>
        <w:t>in intervals up to</w:t>
      </w:r>
      <w:r w:rsidRPr="00823856">
        <w:rPr>
          <w:rFonts w:asciiTheme="majorBidi" w:hAnsiTheme="majorBidi" w:cstheme="majorBidi"/>
          <w:sz w:val="24"/>
          <w:szCs w:val="24"/>
          <w:shd w:val="clear" w:color="auto" w:fill="FFFFFF"/>
        </w:rPr>
        <w:t xml:space="preserve"> 25 years, four times over </w:t>
      </w:r>
      <w:r w:rsidR="00454246" w:rsidRPr="00823856">
        <w:rPr>
          <w:rFonts w:asciiTheme="majorBidi" w:hAnsiTheme="majorBidi" w:cstheme="majorBidi"/>
          <w:sz w:val="24"/>
          <w:szCs w:val="24"/>
          <w:shd w:val="clear" w:color="auto" w:fill="FFFFFF"/>
        </w:rPr>
        <w:t xml:space="preserve">the building’s </w:t>
      </w:r>
      <w:proofErr w:type="gramStart"/>
      <w:r w:rsidRPr="00823856">
        <w:rPr>
          <w:rFonts w:asciiTheme="majorBidi" w:hAnsiTheme="majorBidi" w:cstheme="majorBidi"/>
          <w:sz w:val="24"/>
          <w:szCs w:val="24"/>
          <w:shd w:val="clear" w:color="auto" w:fill="FFFFFF"/>
        </w:rPr>
        <w:t>50 year</w:t>
      </w:r>
      <w:proofErr w:type="gramEnd"/>
      <w:r w:rsidRPr="00823856">
        <w:rPr>
          <w:rFonts w:asciiTheme="majorBidi" w:hAnsiTheme="majorBidi" w:cstheme="majorBidi"/>
          <w:sz w:val="24"/>
          <w:szCs w:val="24"/>
          <w:shd w:val="clear" w:color="auto" w:fill="FFFFFF"/>
        </w:rPr>
        <w:t xml:space="preserve"> lifetime (Szalay, 2007). Due to the </w:t>
      </w:r>
      <w:r w:rsidR="00454246" w:rsidRPr="00823856">
        <w:rPr>
          <w:rFonts w:asciiTheme="majorBidi" w:hAnsiTheme="majorBidi" w:cstheme="majorBidi"/>
          <w:sz w:val="24"/>
          <w:szCs w:val="24"/>
          <w:shd w:val="clear" w:color="auto" w:fill="FFFFFF"/>
        </w:rPr>
        <w:t xml:space="preserve">unavailability </w:t>
      </w:r>
      <w:r w:rsidRPr="00823856">
        <w:rPr>
          <w:rFonts w:asciiTheme="majorBidi" w:hAnsiTheme="majorBidi" w:cstheme="majorBidi"/>
          <w:sz w:val="24"/>
          <w:szCs w:val="24"/>
          <w:shd w:val="clear" w:color="auto" w:fill="FFFFFF"/>
        </w:rPr>
        <w:t xml:space="preserve">of </w:t>
      </w:r>
      <w:r w:rsidR="00454246" w:rsidRPr="00823856">
        <w:rPr>
          <w:rFonts w:asciiTheme="majorBidi" w:hAnsiTheme="majorBidi" w:cstheme="majorBidi"/>
          <w:sz w:val="24"/>
          <w:szCs w:val="24"/>
          <w:shd w:val="clear" w:color="auto" w:fill="FFFFFF"/>
        </w:rPr>
        <w:t xml:space="preserve">specific </w:t>
      </w:r>
      <w:r w:rsidRPr="00823856">
        <w:rPr>
          <w:rFonts w:asciiTheme="majorBidi" w:hAnsiTheme="majorBidi" w:cstheme="majorBidi"/>
          <w:sz w:val="24"/>
          <w:szCs w:val="24"/>
          <w:shd w:val="clear" w:color="auto" w:fill="FFFFFF"/>
        </w:rPr>
        <w:t xml:space="preserve">modular maintenance, 5 % of the main components </w:t>
      </w:r>
      <w:r w:rsidR="00454246" w:rsidRPr="00823856">
        <w:rPr>
          <w:rFonts w:asciiTheme="majorBidi" w:hAnsiTheme="majorBidi" w:cstheme="majorBidi"/>
          <w:sz w:val="24"/>
          <w:szCs w:val="24"/>
          <w:shd w:val="clear" w:color="auto" w:fill="FFFFFF"/>
        </w:rPr>
        <w:t xml:space="preserve">require </w:t>
      </w:r>
      <w:r w:rsidRPr="00823856">
        <w:rPr>
          <w:rFonts w:asciiTheme="majorBidi" w:hAnsiTheme="majorBidi" w:cstheme="majorBidi"/>
          <w:sz w:val="24"/>
          <w:szCs w:val="24"/>
          <w:shd w:val="clear" w:color="auto" w:fill="FFFFFF"/>
        </w:rPr>
        <w:t>repair</w:t>
      </w:r>
      <w:r w:rsidR="00454246" w:rsidRPr="00823856">
        <w:rPr>
          <w:rFonts w:asciiTheme="majorBidi" w:hAnsiTheme="majorBidi" w:cstheme="majorBidi"/>
          <w:sz w:val="24"/>
          <w:szCs w:val="24"/>
          <w:shd w:val="clear" w:color="auto" w:fill="FFFFFF"/>
        </w:rPr>
        <w:t>s</w:t>
      </w:r>
      <w:r w:rsidRPr="00823856">
        <w:rPr>
          <w:rFonts w:asciiTheme="majorBidi" w:hAnsiTheme="majorBidi" w:cstheme="majorBidi"/>
          <w:sz w:val="24"/>
          <w:szCs w:val="24"/>
          <w:shd w:val="clear" w:color="auto" w:fill="FFFFFF"/>
        </w:rPr>
        <w:t xml:space="preserve">. The demolition phase (C1-C2) </w:t>
      </w:r>
      <w:r w:rsidR="00454246" w:rsidRPr="00823856">
        <w:rPr>
          <w:rFonts w:asciiTheme="majorBidi" w:hAnsiTheme="majorBidi" w:cstheme="majorBidi"/>
          <w:sz w:val="24"/>
          <w:szCs w:val="24"/>
          <w:shd w:val="clear" w:color="auto" w:fill="FFFFFF"/>
        </w:rPr>
        <w:t xml:space="preserve">also considers </w:t>
      </w:r>
      <w:r w:rsidRPr="00823856">
        <w:rPr>
          <w:rFonts w:asciiTheme="majorBidi" w:hAnsiTheme="majorBidi" w:cstheme="majorBidi"/>
          <w:sz w:val="24"/>
          <w:szCs w:val="24"/>
          <w:shd w:val="clear" w:color="auto" w:fill="FFFFFF"/>
        </w:rPr>
        <w:t>the disassembly and transportation of materials to the landfill (D3). The foundation of the building was not considered in system boundary, and therefore, it is not considered for assessment in this research. However, this item was considered the same for all alternatives since this study compares wall frame materials for construction.</w:t>
      </w:r>
      <w:r w:rsidR="003833D3" w:rsidRPr="00823856">
        <w:rPr>
          <w:sz w:val="24"/>
          <w:szCs w:val="24"/>
        </w:rPr>
        <w:t xml:space="preserve"> </w:t>
      </w:r>
    </w:p>
    <w:p w14:paraId="60C6B1E7" w14:textId="2A97DA9B" w:rsidR="00F42639" w:rsidRPr="00814E41" w:rsidRDefault="00082E54" w:rsidP="00823856">
      <w:pPr>
        <w:spacing w:after="0" w:line="276" w:lineRule="auto"/>
        <w:jc w:val="center"/>
        <w:rPr>
          <w:rFonts w:asciiTheme="majorBidi" w:hAnsiTheme="majorBidi" w:cstheme="majorBidi"/>
          <w:sz w:val="20"/>
          <w:szCs w:val="20"/>
        </w:rPr>
      </w:pPr>
      <w:r w:rsidRPr="00814E41">
        <w:rPr>
          <w:rFonts w:asciiTheme="majorBidi" w:hAnsiTheme="majorBidi" w:cstheme="majorBidi"/>
          <w:sz w:val="20"/>
          <w:szCs w:val="20"/>
        </w:rPr>
        <w:lastRenderedPageBreak/>
        <w:t>Table 3</w:t>
      </w:r>
      <w:r w:rsidR="00034B1E" w:rsidRPr="00814E41">
        <w:rPr>
          <w:rFonts w:asciiTheme="majorBidi" w:hAnsiTheme="majorBidi" w:cstheme="majorBidi"/>
          <w:sz w:val="20"/>
          <w:szCs w:val="20"/>
        </w:rPr>
        <w:t>:</w:t>
      </w:r>
      <w:r w:rsidRPr="00814E41">
        <w:rPr>
          <w:rFonts w:asciiTheme="majorBidi" w:hAnsiTheme="majorBidi" w:cstheme="majorBidi"/>
          <w:sz w:val="20"/>
          <w:szCs w:val="20"/>
        </w:rPr>
        <w:t xml:space="preserve"> Characterization of building material details</w:t>
      </w:r>
    </w:p>
    <w:tbl>
      <w:tblPr>
        <w:tblStyle w:val="TableGrid"/>
        <w:tblW w:w="0" w:type="auto"/>
        <w:jc w:val="center"/>
        <w:tblLook w:val="04A0" w:firstRow="1" w:lastRow="0" w:firstColumn="1" w:lastColumn="0" w:noHBand="0" w:noVBand="1"/>
      </w:tblPr>
      <w:tblGrid>
        <w:gridCol w:w="846"/>
        <w:gridCol w:w="3241"/>
        <w:gridCol w:w="1553"/>
        <w:gridCol w:w="1411"/>
        <w:gridCol w:w="1412"/>
      </w:tblGrid>
      <w:tr w:rsidR="00814E41" w:rsidRPr="00F5545F" w14:paraId="5D32A3AC" w14:textId="77777777" w:rsidTr="007F38F7">
        <w:trPr>
          <w:trHeight w:val="20"/>
          <w:jc w:val="center"/>
        </w:trPr>
        <w:tc>
          <w:tcPr>
            <w:tcW w:w="0" w:type="auto"/>
            <w:shd w:val="clear" w:color="auto" w:fill="AEAAAA" w:themeFill="background2" w:themeFillShade="BF"/>
            <w:vAlign w:val="center"/>
          </w:tcPr>
          <w:p w14:paraId="41F36E5E" w14:textId="77777777" w:rsidR="00814E41" w:rsidRPr="00F5545F" w:rsidRDefault="00814E41" w:rsidP="007F38F7">
            <w:pPr>
              <w:rPr>
                <w:rFonts w:asciiTheme="majorBidi" w:hAnsiTheme="majorBidi" w:cstheme="majorBidi"/>
                <w:b/>
                <w:bCs/>
                <w:i/>
                <w:iCs/>
                <w:sz w:val="18"/>
                <w:szCs w:val="18"/>
              </w:rPr>
            </w:pPr>
            <w:r w:rsidRPr="00F5545F">
              <w:rPr>
                <w:rFonts w:asciiTheme="majorBidi" w:hAnsiTheme="majorBidi" w:cstheme="majorBidi"/>
                <w:b/>
                <w:bCs/>
                <w:i/>
                <w:iCs/>
                <w:sz w:val="18"/>
                <w:szCs w:val="18"/>
              </w:rPr>
              <w:t xml:space="preserve">Types </w:t>
            </w:r>
          </w:p>
        </w:tc>
        <w:tc>
          <w:tcPr>
            <w:tcW w:w="0" w:type="auto"/>
            <w:shd w:val="clear" w:color="auto" w:fill="AEAAAA" w:themeFill="background2" w:themeFillShade="BF"/>
            <w:vAlign w:val="center"/>
          </w:tcPr>
          <w:p w14:paraId="32DDD8E0" w14:textId="77777777" w:rsidR="00814E41" w:rsidRPr="00F5545F" w:rsidRDefault="00814E41" w:rsidP="007F38F7">
            <w:pPr>
              <w:rPr>
                <w:rFonts w:asciiTheme="majorBidi" w:hAnsiTheme="majorBidi" w:cstheme="majorBidi"/>
                <w:b/>
                <w:bCs/>
                <w:i/>
                <w:iCs/>
                <w:sz w:val="18"/>
                <w:szCs w:val="18"/>
              </w:rPr>
            </w:pPr>
            <w:r w:rsidRPr="00F5545F">
              <w:rPr>
                <w:rFonts w:asciiTheme="majorBidi" w:hAnsiTheme="majorBidi" w:cstheme="majorBidi"/>
                <w:b/>
                <w:bCs/>
                <w:i/>
                <w:iCs/>
                <w:sz w:val="18"/>
                <w:szCs w:val="18"/>
              </w:rPr>
              <w:t>Material</w:t>
            </w:r>
          </w:p>
        </w:tc>
        <w:tc>
          <w:tcPr>
            <w:tcW w:w="0" w:type="auto"/>
            <w:shd w:val="clear" w:color="auto" w:fill="AEAAAA" w:themeFill="background2" w:themeFillShade="BF"/>
            <w:vAlign w:val="center"/>
          </w:tcPr>
          <w:p w14:paraId="03D5E338" w14:textId="77777777" w:rsidR="00814E41" w:rsidRPr="00F5545F" w:rsidRDefault="00814E41" w:rsidP="007F38F7">
            <w:pPr>
              <w:autoSpaceDE w:val="0"/>
              <w:autoSpaceDN w:val="0"/>
              <w:adjustRightInd w:val="0"/>
              <w:rPr>
                <w:rFonts w:asciiTheme="majorBidi" w:hAnsiTheme="majorBidi" w:cstheme="majorBidi"/>
                <w:b/>
                <w:bCs/>
                <w:i/>
                <w:iCs/>
                <w:sz w:val="18"/>
                <w:szCs w:val="18"/>
              </w:rPr>
            </w:pPr>
            <w:r w:rsidRPr="00F5545F">
              <w:rPr>
                <w:rFonts w:asciiTheme="majorBidi" w:hAnsiTheme="majorBidi" w:cstheme="majorBidi"/>
                <w:b/>
                <w:bCs/>
                <w:i/>
                <w:iCs/>
                <w:sz w:val="18"/>
                <w:szCs w:val="18"/>
              </w:rPr>
              <w:t xml:space="preserve">Weight per </w:t>
            </w:r>
            <w:r w:rsidRPr="00F5545F">
              <w:rPr>
                <w:rFonts w:asciiTheme="majorBidi" w:hAnsiTheme="majorBidi" w:cstheme="majorBidi"/>
                <w:b/>
                <w:bCs/>
                <w:i/>
                <w:iCs/>
                <w:sz w:val="20"/>
                <w:szCs w:val="20"/>
              </w:rPr>
              <w:t>kg/m</w:t>
            </w:r>
            <w:r w:rsidRPr="00F5545F">
              <w:rPr>
                <w:rFonts w:asciiTheme="majorBidi" w:hAnsiTheme="majorBidi" w:cstheme="majorBidi"/>
                <w:b/>
                <w:bCs/>
                <w:i/>
                <w:iCs/>
                <w:sz w:val="20"/>
                <w:szCs w:val="20"/>
                <w:vertAlign w:val="superscript"/>
              </w:rPr>
              <w:t>2</w:t>
            </w:r>
          </w:p>
        </w:tc>
        <w:tc>
          <w:tcPr>
            <w:tcW w:w="0" w:type="auto"/>
            <w:shd w:val="clear" w:color="auto" w:fill="AEAAAA" w:themeFill="background2" w:themeFillShade="BF"/>
            <w:vAlign w:val="center"/>
          </w:tcPr>
          <w:p w14:paraId="3F7A86A7" w14:textId="77777777" w:rsidR="00814E41" w:rsidRPr="00F5545F" w:rsidRDefault="00814E41" w:rsidP="007F38F7">
            <w:pPr>
              <w:autoSpaceDE w:val="0"/>
              <w:autoSpaceDN w:val="0"/>
              <w:adjustRightInd w:val="0"/>
              <w:rPr>
                <w:rFonts w:asciiTheme="majorBidi" w:hAnsiTheme="majorBidi" w:cstheme="majorBidi"/>
                <w:b/>
                <w:bCs/>
                <w:i/>
                <w:iCs/>
                <w:sz w:val="18"/>
                <w:szCs w:val="18"/>
              </w:rPr>
            </w:pPr>
            <w:r w:rsidRPr="00F5545F">
              <w:rPr>
                <w:rFonts w:asciiTheme="majorBidi" w:hAnsiTheme="majorBidi" w:cstheme="majorBidi"/>
                <w:b/>
                <w:bCs/>
                <w:i/>
                <w:iCs/>
                <w:sz w:val="18"/>
                <w:szCs w:val="18"/>
              </w:rPr>
              <w:t>Thickness (mm)</w:t>
            </w:r>
          </w:p>
        </w:tc>
        <w:tc>
          <w:tcPr>
            <w:tcW w:w="0" w:type="auto"/>
            <w:shd w:val="clear" w:color="auto" w:fill="AEAAAA" w:themeFill="background2" w:themeFillShade="BF"/>
            <w:vAlign w:val="center"/>
          </w:tcPr>
          <w:p w14:paraId="5A8C8E0E" w14:textId="77777777" w:rsidR="00814E41" w:rsidRPr="00F5545F" w:rsidRDefault="00814E41" w:rsidP="007F38F7">
            <w:pPr>
              <w:autoSpaceDE w:val="0"/>
              <w:autoSpaceDN w:val="0"/>
              <w:adjustRightInd w:val="0"/>
              <w:rPr>
                <w:rFonts w:asciiTheme="majorBidi" w:hAnsiTheme="majorBidi" w:cstheme="majorBidi"/>
                <w:b/>
                <w:bCs/>
                <w:i/>
                <w:iCs/>
                <w:sz w:val="18"/>
                <w:szCs w:val="18"/>
              </w:rPr>
            </w:pPr>
            <w:r w:rsidRPr="00F5545F">
              <w:rPr>
                <w:rFonts w:asciiTheme="majorBidi" w:hAnsiTheme="majorBidi" w:cstheme="majorBidi"/>
                <w:b/>
                <w:bCs/>
                <w:i/>
                <w:iCs/>
                <w:sz w:val="18"/>
                <w:szCs w:val="18"/>
              </w:rPr>
              <w:t>Total weight-Kg</w:t>
            </w:r>
          </w:p>
        </w:tc>
      </w:tr>
      <w:tr w:rsidR="00814E41" w:rsidRPr="00F5545F" w14:paraId="7EAC8EEF" w14:textId="77777777" w:rsidTr="007F38F7">
        <w:trPr>
          <w:trHeight w:val="20"/>
          <w:jc w:val="center"/>
        </w:trPr>
        <w:tc>
          <w:tcPr>
            <w:tcW w:w="0" w:type="auto"/>
            <w:vMerge w:val="restart"/>
            <w:vAlign w:val="center"/>
          </w:tcPr>
          <w:p w14:paraId="7ABDEF99" w14:textId="77777777" w:rsidR="00814E41" w:rsidRPr="00F5545F" w:rsidRDefault="00814E41" w:rsidP="007F38F7">
            <w:pPr>
              <w:rPr>
                <w:rFonts w:asciiTheme="majorBidi" w:hAnsiTheme="majorBidi" w:cstheme="majorBidi"/>
                <w:b/>
                <w:bCs/>
                <w:i/>
                <w:iCs/>
                <w:sz w:val="18"/>
                <w:szCs w:val="18"/>
              </w:rPr>
            </w:pPr>
            <w:r w:rsidRPr="00F5545F">
              <w:rPr>
                <w:rFonts w:asciiTheme="majorBidi" w:hAnsiTheme="majorBidi" w:cstheme="majorBidi"/>
                <w:i/>
                <w:iCs/>
                <w:sz w:val="18"/>
                <w:szCs w:val="18"/>
              </w:rPr>
              <w:t>S-PPVC</w:t>
            </w:r>
          </w:p>
        </w:tc>
        <w:tc>
          <w:tcPr>
            <w:tcW w:w="0" w:type="auto"/>
            <w:vAlign w:val="center"/>
          </w:tcPr>
          <w:p w14:paraId="639DB2EC"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Light Steel Stud Frame Walls and ceiling</w:t>
            </w:r>
          </w:p>
        </w:tc>
        <w:tc>
          <w:tcPr>
            <w:tcW w:w="0" w:type="auto"/>
            <w:vAlign w:val="center"/>
          </w:tcPr>
          <w:p w14:paraId="33E5E8C4"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14</w:t>
            </w:r>
          </w:p>
        </w:tc>
        <w:tc>
          <w:tcPr>
            <w:tcW w:w="0" w:type="auto"/>
            <w:vAlign w:val="center"/>
          </w:tcPr>
          <w:p w14:paraId="161F89A9"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20</w:t>
            </w:r>
          </w:p>
        </w:tc>
        <w:tc>
          <w:tcPr>
            <w:tcW w:w="0" w:type="auto"/>
            <w:vAlign w:val="center"/>
          </w:tcPr>
          <w:p w14:paraId="52F0E5CB"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8174</w:t>
            </w:r>
          </w:p>
        </w:tc>
      </w:tr>
      <w:tr w:rsidR="00814E41" w:rsidRPr="00F5545F" w14:paraId="16EB5D8B" w14:textId="77777777" w:rsidTr="007F38F7">
        <w:trPr>
          <w:trHeight w:val="20"/>
          <w:jc w:val="center"/>
        </w:trPr>
        <w:tc>
          <w:tcPr>
            <w:tcW w:w="0" w:type="auto"/>
            <w:vMerge/>
            <w:vAlign w:val="center"/>
          </w:tcPr>
          <w:p w14:paraId="3CF46022"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0618D531"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Plasterboards</w:t>
            </w:r>
          </w:p>
        </w:tc>
        <w:tc>
          <w:tcPr>
            <w:tcW w:w="0" w:type="auto"/>
            <w:vAlign w:val="center"/>
          </w:tcPr>
          <w:p w14:paraId="01B76E4E"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5.4</w:t>
            </w:r>
          </w:p>
        </w:tc>
        <w:tc>
          <w:tcPr>
            <w:tcW w:w="0" w:type="auto"/>
            <w:vAlign w:val="center"/>
          </w:tcPr>
          <w:p w14:paraId="750F4DF8"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10</w:t>
            </w:r>
          </w:p>
        </w:tc>
        <w:tc>
          <w:tcPr>
            <w:tcW w:w="0" w:type="auto"/>
            <w:vAlign w:val="center"/>
          </w:tcPr>
          <w:p w14:paraId="672F26AB"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1166.4</w:t>
            </w:r>
          </w:p>
        </w:tc>
      </w:tr>
      <w:tr w:rsidR="00814E41" w:rsidRPr="00F5545F" w14:paraId="756B1BE6" w14:textId="77777777" w:rsidTr="007F38F7">
        <w:trPr>
          <w:trHeight w:val="20"/>
          <w:jc w:val="center"/>
        </w:trPr>
        <w:tc>
          <w:tcPr>
            <w:tcW w:w="0" w:type="auto"/>
            <w:vMerge/>
            <w:vAlign w:val="center"/>
          </w:tcPr>
          <w:p w14:paraId="5E7054CB"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1671CB89"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Mineral wool</w:t>
            </w:r>
          </w:p>
        </w:tc>
        <w:tc>
          <w:tcPr>
            <w:tcW w:w="0" w:type="auto"/>
            <w:vAlign w:val="center"/>
          </w:tcPr>
          <w:p w14:paraId="269A0DCE"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40</w:t>
            </w:r>
          </w:p>
        </w:tc>
        <w:tc>
          <w:tcPr>
            <w:tcW w:w="0" w:type="auto"/>
            <w:vAlign w:val="center"/>
          </w:tcPr>
          <w:p w14:paraId="7F1052CD"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35</w:t>
            </w:r>
          </w:p>
        </w:tc>
        <w:tc>
          <w:tcPr>
            <w:tcW w:w="0" w:type="auto"/>
            <w:vAlign w:val="center"/>
          </w:tcPr>
          <w:p w14:paraId="304580CE"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8640</w:t>
            </w:r>
          </w:p>
        </w:tc>
      </w:tr>
      <w:tr w:rsidR="00814E41" w:rsidRPr="00F5545F" w14:paraId="59E76859" w14:textId="77777777" w:rsidTr="007F38F7">
        <w:trPr>
          <w:trHeight w:val="20"/>
          <w:jc w:val="center"/>
        </w:trPr>
        <w:tc>
          <w:tcPr>
            <w:tcW w:w="0" w:type="auto"/>
            <w:vMerge/>
            <w:vAlign w:val="center"/>
          </w:tcPr>
          <w:p w14:paraId="291A482F"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704FEFD7"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OSB sheathing boards</w:t>
            </w:r>
          </w:p>
        </w:tc>
        <w:tc>
          <w:tcPr>
            <w:tcW w:w="0" w:type="auto"/>
            <w:vAlign w:val="center"/>
          </w:tcPr>
          <w:p w14:paraId="45B0F0DC"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7.7</w:t>
            </w:r>
          </w:p>
        </w:tc>
        <w:tc>
          <w:tcPr>
            <w:tcW w:w="0" w:type="auto"/>
            <w:vAlign w:val="center"/>
          </w:tcPr>
          <w:p w14:paraId="3014F52D"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10</w:t>
            </w:r>
          </w:p>
        </w:tc>
        <w:tc>
          <w:tcPr>
            <w:tcW w:w="0" w:type="auto"/>
            <w:vAlign w:val="center"/>
          </w:tcPr>
          <w:p w14:paraId="2F0E7D3D"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1663.2</w:t>
            </w:r>
          </w:p>
        </w:tc>
      </w:tr>
      <w:tr w:rsidR="00814E41" w:rsidRPr="00F5545F" w14:paraId="2191A591" w14:textId="77777777" w:rsidTr="007F38F7">
        <w:trPr>
          <w:trHeight w:val="20"/>
          <w:jc w:val="center"/>
        </w:trPr>
        <w:tc>
          <w:tcPr>
            <w:tcW w:w="0" w:type="auto"/>
            <w:vMerge w:val="restart"/>
            <w:vAlign w:val="center"/>
          </w:tcPr>
          <w:p w14:paraId="1D9AFA59" w14:textId="77777777" w:rsidR="00814E41" w:rsidRPr="00F5545F" w:rsidRDefault="00814E41" w:rsidP="007F38F7">
            <w:pPr>
              <w:rPr>
                <w:rFonts w:asciiTheme="majorBidi" w:hAnsiTheme="majorBidi" w:cstheme="majorBidi"/>
                <w:b/>
                <w:bCs/>
                <w:i/>
                <w:iCs/>
                <w:sz w:val="18"/>
                <w:szCs w:val="18"/>
              </w:rPr>
            </w:pPr>
            <w:r w:rsidRPr="00F5545F">
              <w:rPr>
                <w:rFonts w:asciiTheme="majorBidi" w:hAnsiTheme="majorBidi" w:cstheme="majorBidi"/>
                <w:i/>
                <w:iCs/>
                <w:sz w:val="18"/>
                <w:szCs w:val="18"/>
              </w:rPr>
              <w:t>C-PPVC</w:t>
            </w:r>
          </w:p>
        </w:tc>
        <w:tc>
          <w:tcPr>
            <w:tcW w:w="0" w:type="auto"/>
            <w:vAlign w:val="center"/>
          </w:tcPr>
          <w:p w14:paraId="5D82DDE7"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Concrete panels &amp; slab</w:t>
            </w:r>
          </w:p>
        </w:tc>
        <w:tc>
          <w:tcPr>
            <w:tcW w:w="0" w:type="auto"/>
            <w:vAlign w:val="center"/>
          </w:tcPr>
          <w:p w14:paraId="0087E241"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320</w:t>
            </w:r>
          </w:p>
        </w:tc>
        <w:tc>
          <w:tcPr>
            <w:tcW w:w="0" w:type="auto"/>
            <w:vAlign w:val="center"/>
          </w:tcPr>
          <w:p w14:paraId="77FF8A56"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20</w:t>
            </w:r>
          </w:p>
        </w:tc>
        <w:tc>
          <w:tcPr>
            <w:tcW w:w="0" w:type="auto"/>
            <w:vAlign w:val="center"/>
          </w:tcPr>
          <w:p w14:paraId="216B0453"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194,560</w:t>
            </w:r>
          </w:p>
        </w:tc>
      </w:tr>
      <w:tr w:rsidR="00814E41" w:rsidRPr="00F5545F" w14:paraId="414293E6" w14:textId="77777777" w:rsidTr="007F38F7">
        <w:trPr>
          <w:trHeight w:val="20"/>
          <w:jc w:val="center"/>
        </w:trPr>
        <w:tc>
          <w:tcPr>
            <w:tcW w:w="0" w:type="auto"/>
            <w:vMerge/>
            <w:vAlign w:val="center"/>
          </w:tcPr>
          <w:p w14:paraId="6B89751A"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135E66F3"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Reinforcing bars at both faces of all walls</w:t>
            </w:r>
          </w:p>
        </w:tc>
        <w:tc>
          <w:tcPr>
            <w:tcW w:w="0" w:type="auto"/>
            <w:vAlign w:val="center"/>
          </w:tcPr>
          <w:p w14:paraId="27A03F89"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1024</w:t>
            </w:r>
          </w:p>
        </w:tc>
        <w:tc>
          <w:tcPr>
            <w:tcW w:w="0" w:type="auto"/>
            <w:vAlign w:val="center"/>
          </w:tcPr>
          <w:p w14:paraId="49B23AA5"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 xml:space="preserve">200 mm centers </w:t>
            </w:r>
          </w:p>
        </w:tc>
        <w:tc>
          <w:tcPr>
            <w:tcW w:w="0" w:type="auto"/>
            <w:vAlign w:val="center"/>
          </w:tcPr>
          <w:p w14:paraId="5580978B"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45056</w:t>
            </w:r>
          </w:p>
        </w:tc>
      </w:tr>
      <w:tr w:rsidR="00814E41" w:rsidRPr="00F5545F" w14:paraId="4704276C" w14:textId="77777777" w:rsidTr="007F38F7">
        <w:trPr>
          <w:trHeight w:val="20"/>
          <w:jc w:val="center"/>
        </w:trPr>
        <w:tc>
          <w:tcPr>
            <w:tcW w:w="0" w:type="auto"/>
            <w:vMerge/>
            <w:vAlign w:val="center"/>
          </w:tcPr>
          <w:p w14:paraId="3230C7AE"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146931FC"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Reinforcing bars both faces of ceiling</w:t>
            </w:r>
          </w:p>
        </w:tc>
        <w:tc>
          <w:tcPr>
            <w:tcW w:w="0" w:type="auto"/>
            <w:vAlign w:val="center"/>
          </w:tcPr>
          <w:p w14:paraId="22AF46DF"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1024</w:t>
            </w:r>
          </w:p>
        </w:tc>
        <w:tc>
          <w:tcPr>
            <w:tcW w:w="0" w:type="auto"/>
            <w:vAlign w:val="center"/>
          </w:tcPr>
          <w:p w14:paraId="393EA6F0"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200 mm centers</w:t>
            </w:r>
          </w:p>
        </w:tc>
        <w:tc>
          <w:tcPr>
            <w:tcW w:w="0" w:type="auto"/>
            <w:vAlign w:val="center"/>
          </w:tcPr>
          <w:p w14:paraId="33971B6E"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18022.4</w:t>
            </w:r>
          </w:p>
        </w:tc>
      </w:tr>
      <w:tr w:rsidR="00814E41" w:rsidRPr="00F5545F" w14:paraId="73471987" w14:textId="77777777" w:rsidTr="007F38F7">
        <w:trPr>
          <w:trHeight w:val="20"/>
          <w:jc w:val="center"/>
        </w:trPr>
        <w:tc>
          <w:tcPr>
            <w:tcW w:w="0" w:type="auto"/>
            <w:vMerge w:val="restart"/>
            <w:vAlign w:val="center"/>
          </w:tcPr>
          <w:p w14:paraId="0569399F" w14:textId="77777777" w:rsidR="00814E41" w:rsidRPr="00F5545F" w:rsidRDefault="00814E41" w:rsidP="007F38F7">
            <w:pPr>
              <w:rPr>
                <w:rFonts w:asciiTheme="majorBidi" w:hAnsiTheme="majorBidi" w:cstheme="majorBidi"/>
                <w:b/>
                <w:bCs/>
                <w:i/>
                <w:iCs/>
                <w:sz w:val="18"/>
                <w:szCs w:val="18"/>
              </w:rPr>
            </w:pPr>
            <w:r w:rsidRPr="00F5545F">
              <w:rPr>
                <w:rFonts w:asciiTheme="majorBidi" w:hAnsiTheme="majorBidi" w:cstheme="majorBidi"/>
                <w:i/>
                <w:iCs/>
                <w:sz w:val="18"/>
                <w:szCs w:val="18"/>
              </w:rPr>
              <w:t>T-PPVC</w:t>
            </w:r>
          </w:p>
          <w:p w14:paraId="30D44501"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5A6812B3"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Wooden planks &amp; structures</w:t>
            </w:r>
          </w:p>
        </w:tc>
        <w:tc>
          <w:tcPr>
            <w:tcW w:w="0" w:type="auto"/>
            <w:vAlign w:val="center"/>
          </w:tcPr>
          <w:p w14:paraId="65A246F9"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70</w:t>
            </w:r>
          </w:p>
        </w:tc>
        <w:tc>
          <w:tcPr>
            <w:tcW w:w="0" w:type="auto"/>
            <w:vAlign w:val="center"/>
          </w:tcPr>
          <w:p w14:paraId="1D89B885"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22</w:t>
            </w:r>
          </w:p>
        </w:tc>
        <w:tc>
          <w:tcPr>
            <w:tcW w:w="0" w:type="auto"/>
            <w:vAlign w:val="center"/>
          </w:tcPr>
          <w:p w14:paraId="477875AC"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40310.4</w:t>
            </w:r>
          </w:p>
        </w:tc>
      </w:tr>
      <w:tr w:rsidR="00814E41" w:rsidRPr="00F5545F" w14:paraId="39CB5807" w14:textId="77777777" w:rsidTr="007F38F7">
        <w:trPr>
          <w:trHeight w:val="20"/>
          <w:jc w:val="center"/>
        </w:trPr>
        <w:tc>
          <w:tcPr>
            <w:tcW w:w="0" w:type="auto"/>
            <w:vMerge/>
            <w:vAlign w:val="center"/>
          </w:tcPr>
          <w:p w14:paraId="09AB4C47"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0B99F991"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Waterproof membrane</w:t>
            </w:r>
          </w:p>
        </w:tc>
        <w:tc>
          <w:tcPr>
            <w:tcW w:w="0" w:type="auto"/>
            <w:vAlign w:val="center"/>
          </w:tcPr>
          <w:p w14:paraId="2D07E4E0"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1.4</w:t>
            </w:r>
          </w:p>
        </w:tc>
        <w:tc>
          <w:tcPr>
            <w:tcW w:w="0" w:type="auto"/>
            <w:vAlign w:val="center"/>
          </w:tcPr>
          <w:p w14:paraId="22E43DDE"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10</w:t>
            </w:r>
          </w:p>
        </w:tc>
        <w:tc>
          <w:tcPr>
            <w:tcW w:w="0" w:type="auto"/>
            <w:vAlign w:val="center"/>
          </w:tcPr>
          <w:p w14:paraId="292634FB"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31350</w:t>
            </w:r>
          </w:p>
        </w:tc>
      </w:tr>
      <w:tr w:rsidR="00814E41" w:rsidRPr="00F5545F" w14:paraId="6183C5A7" w14:textId="77777777" w:rsidTr="007F38F7">
        <w:trPr>
          <w:trHeight w:val="20"/>
          <w:jc w:val="center"/>
        </w:trPr>
        <w:tc>
          <w:tcPr>
            <w:tcW w:w="0" w:type="auto"/>
            <w:vMerge/>
            <w:vAlign w:val="center"/>
          </w:tcPr>
          <w:p w14:paraId="48FCCC06"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252BE6F6"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OSB panels for floor</w:t>
            </w:r>
          </w:p>
        </w:tc>
        <w:tc>
          <w:tcPr>
            <w:tcW w:w="0" w:type="auto"/>
            <w:vAlign w:val="center"/>
          </w:tcPr>
          <w:p w14:paraId="20482A9C"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7.7</w:t>
            </w:r>
          </w:p>
        </w:tc>
        <w:tc>
          <w:tcPr>
            <w:tcW w:w="0" w:type="auto"/>
            <w:vAlign w:val="center"/>
          </w:tcPr>
          <w:p w14:paraId="0B9761D7"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10</w:t>
            </w:r>
          </w:p>
        </w:tc>
        <w:tc>
          <w:tcPr>
            <w:tcW w:w="0" w:type="auto"/>
            <w:vAlign w:val="center"/>
          </w:tcPr>
          <w:p w14:paraId="49912D4D"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71136</w:t>
            </w:r>
          </w:p>
        </w:tc>
      </w:tr>
      <w:tr w:rsidR="00814E41" w:rsidRPr="00F5545F" w14:paraId="2B46DE91" w14:textId="77777777" w:rsidTr="007F38F7">
        <w:trPr>
          <w:trHeight w:val="20"/>
          <w:jc w:val="center"/>
        </w:trPr>
        <w:tc>
          <w:tcPr>
            <w:tcW w:w="0" w:type="auto"/>
            <w:vMerge/>
            <w:vAlign w:val="center"/>
          </w:tcPr>
          <w:p w14:paraId="174279FA"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6C4E2B48"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Internal insulation</w:t>
            </w:r>
          </w:p>
        </w:tc>
        <w:tc>
          <w:tcPr>
            <w:tcW w:w="0" w:type="auto"/>
            <w:vAlign w:val="center"/>
          </w:tcPr>
          <w:p w14:paraId="0DDF6398"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25</w:t>
            </w:r>
          </w:p>
        </w:tc>
        <w:tc>
          <w:tcPr>
            <w:tcW w:w="0" w:type="auto"/>
            <w:vAlign w:val="center"/>
          </w:tcPr>
          <w:p w14:paraId="4DFC6A33"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15</w:t>
            </w:r>
          </w:p>
        </w:tc>
        <w:tc>
          <w:tcPr>
            <w:tcW w:w="0" w:type="auto"/>
            <w:vAlign w:val="center"/>
          </w:tcPr>
          <w:p w14:paraId="67831844"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12320</w:t>
            </w:r>
          </w:p>
        </w:tc>
      </w:tr>
      <w:tr w:rsidR="00814E41" w:rsidRPr="00F5545F" w14:paraId="0A54B197" w14:textId="77777777" w:rsidTr="007F38F7">
        <w:trPr>
          <w:trHeight w:val="20"/>
          <w:jc w:val="center"/>
        </w:trPr>
        <w:tc>
          <w:tcPr>
            <w:tcW w:w="0" w:type="auto"/>
            <w:vMerge/>
            <w:vAlign w:val="center"/>
          </w:tcPr>
          <w:p w14:paraId="58D52FCD"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05979E1F"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Vapor control layer</w:t>
            </w:r>
          </w:p>
        </w:tc>
        <w:tc>
          <w:tcPr>
            <w:tcW w:w="0" w:type="auto"/>
            <w:vAlign w:val="center"/>
          </w:tcPr>
          <w:p w14:paraId="2499CC27"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2.1</w:t>
            </w:r>
          </w:p>
        </w:tc>
        <w:tc>
          <w:tcPr>
            <w:tcW w:w="0" w:type="auto"/>
            <w:vAlign w:val="center"/>
          </w:tcPr>
          <w:p w14:paraId="3B39B32F"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10</w:t>
            </w:r>
          </w:p>
        </w:tc>
        <w:tc>
          <w:tcPr>
            <w:tcW w:w="0" w:type="auto"/>
            <w:vAlign w:val="center"/>
          </w:tcPr>
          <w:p w14:paraId="2F9BE2B3"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13000</w:t>
            </w:r>
          </w:p>
        </w:tc>
      </w:tr>
      <w:tr w:rsidR="00814E41" w:rsidRPr="00F5545F" w14:paraId="414BF856" w14:textId="77777777" w:rsidTr="007F38F7">
        <w:trPr>
          <w:trHeight w:val="20"/>
          <w:jc w:val="center"/>
        </w:trPr>
        <w:tc>
          <w:tcPr>
            <w:tcW w:w="0" w:type="auto"/>
            <w:vMerge/>
            <w:vAlign w:val="center"/>
          </w:tcPr>
          <w:p w14:paraId="6E2DA90C" w14:textId="77777777" w:rsidR="00814E41" w:rsidRPr="00F5545F" w:rsidRDefault="00814E41" w:rsidP="007F38F7">
            <w:pPr>
              <w:rPr>
                <w:rFonts w:asciiTheme="majorBidi" w:hAnsiTheme="majorBidi" w:cstheme="majorBidi"/>
                <w:b/>
                <w:bCs/>
                <w:i/>
                <w:iCs/>
                <w:sz w:val="18"/>
                <w:szCs w:val="18"/>
              </w:rPr>
            </w:pPr>
          </w:p>
        </w:tc>
        <w:tc>
          <w:tcPr>
            <w:tcW w:w="0" w:type="auto"/>
            <w:vAlign w:val="center"/>
          </w:tcPr>
          <w:p w14:paraId="68BB1E3A"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 xml:space="preserve">Plasterboard </w:t>
            </w:r>
          </w:p>
        </w:tc>
        <w:tc>
          <w:tcPr>
            <w:tcW w:w="0" w:type="auto"/>
            <w:vAlign w:val="center"/>
          </w:tcPr>
          <w:p w14:paraId="6D83946C"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5.4</w:t>
            </w:r>
          </w:p>
        </w:tc>
        <w:tc>
          <w:tcPr>
            <w:tcW w:w="0" w:type="auto"/>
            <w:vAlign w:val="center"/>
          </w:tcPr>
          <w:p w14:paraId="6BE1EF03"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10</w:t>
            </w:r>
          </w:p>
        </w:tc>
        <w:tc>
          <w:tcPr>
            <w:tcW w:w="0" w:type="auto"/>
            <w:vAlign w:val="center"/>
          </w:tcPr>
          <w:p w14:paraId="559B48FD" w14:textId="77777777" w:rsidR="00814E41" w:rsidRPr="00F5545F" w:rsidRDefault="00814E41" w:rsidP="007F38F7">
            <w:pPr>
              <w:rPr>
                <w:rFonts w:asciiTheme="majorBidi" w:hAnsiTheme="majorBidi" w:cstheme="majorBidi"/>
                <w:i/>
                <w:iCs/>
                <w:sz w:val="18"/>
                <w:szCs w:val="18"/>
              </w:rPr>
            </w:pPr>
            <w:r w:rsidRPr="00F5545F">
              <w:rPr>
                <w:rFonts w:asciiTheme="majorBidi" w:hAnsiTheme="majorBidi" w:cstheme="majorBidi"/>
                <w:i/>
                <w:iCs/>
                <w:sz w:val="18"/>
                <w:szCs w:val="18"/>
              </w:rPr>
              <w:t>7931.52</w:t>
            </w:r>
          </w:p>
        </w:tc>
      </w:tr>
    </w:tbl>
    <w:p w14:paraId="34D6AA7C" w14:textId="502618C8" w:rsidR="00034B1E" w:rsidRPr="00823856" w:rsidRDefault="00034B1E" w:rsidP="00EE12FE">
      <w:pPr>
        <w:spacing w:after="0" w:line="276" w:lineRule="auto"/>
        <w:rPr>
          <w:rFonts w:asciiTheme="majorBidi" w:hAnsiTheme="majorBidi" w:cstheme="majorBidi"/>
          <w:sz w:val="24"/>
          <w:szCs w:val="24"/>
        </w:rPr>
      </w:pPr>
    </w:p>
    <w:p w14:paraId="1A65BCA0" w14:textId="47D86D7E" w:rsidR="002E6439" w:rsidRPr="00823856" w:rsidRDefault="002E6439" w:rsidP="00EE12FE">
      <w:pPr>
        <w:spacing w:line="276" w:lineRule="auto"/>
        <w:ind w:firstLine="720"/>
        <w:jc w:val="both"/>
        <w:rPr>
          <w:rFonts w:ascii="Times New Roman" w:eastAsia="Times New Roman" w:hAnsi="Times New Roman" w:cs="Times New Roman"/>
          <w:sz w:val="24"/>
          <w:szCs w:val="24"/>
        </w:rPr>
      </w:pPr>
      <w:r w:rsidRPr="00823856">
        <w:rPr>
          <w:rFonts w:ascii="Times New Roman" w:eastAsia="Times New Roman" w:hAnsi="Times New Roman" w:cs="Times New Roman"/>
          <w:sz w:val="24"/>
          <w:szCs w:val="24"/>
        </w:rPr>
        <w:t xml:space="preserve">Modular timber typically consists of the wall stud and </w:t>
      </w:r>
      <w:r w:rsidR="00454246" w:rsidRPr="00823856">
        <w:rPr>
          <w:rFonts w:ascii="Times New Roman" w:eastAsia="Times New Roman" w:hAnsi="Times New Roman" w:cs="Times New Roman"/>
          <w:sz w:val="24"/>
          <w:szCs w:val="24"/>
        </w:rPr>
        <w:t>a</w:t>
      </w:r>
      <w:r w:rsidRPr="00823856">
        <w:rPr>
          <w:rFonts w:ascii="Times New Roman" w:eastAsia="Times New Roman" w:hAnsi="Times New Roman" w:cs="Times New Roman"/>
          <w:sz w:val="24"/>
          <w:szCs w:val="24"/>
        </w:rPr>
        <w:t xml:space="preserve"> layer of plasterboard attached to the interior side, also sheathed with orientated strand board (OSB) applied for the floor. Timber panels </w:t>
      </w:r>
      <w:proofErr w:type="gramStart"/>
      <w:r w:rsidRPr="00823856">
        <w:rPr>
          <w:rFonts w:ascii="Times New Roman" w:eastAsia="Times New Roman" w:hAnsi="Times New Roman" w:cs="Times New Roman"/>
          <w:sz w:val="24"/>
          <w:szCs w:val="24"/>
        </w:rPr>
        <w:t>have to</w:t>
      </w:r>
      <w:proofErr w:type="gramEnd"/>
      <w:r w:rsidRPr="00823856">
        <w:rPr>
          <w:rFonts w:ascii="Times New Roman" w:eastAsia="Times New Roman" w:hAnsi="Times New Roman" w:cs="Times New Roman"/>
          <w:sz w:val="24"/>
          <w:szCs w:val="24"/>
        </w:rPr>
        <w:t xml:space="preserve"> be adequately tied at their strong points (typically corner</w:t>
      </w:r>
      <w:r w:rsidR="00454246" w:rsidRPr="00823856">
        <w:rPr>
          <w:rFonts w:ascii="Times New Roman" w:eastAsia="Times New Roman" w:hAnsi="Times New Roman" w:cs="Times New Roman"/>
          <w:sz w:val="24"/>
          <w:szCs w:val="24"/>
        </w:rPr>
        <w:t>s</w:t>
      </w:r>
      <w:r w:rsidRPr="00823856">
        <w:rPr>
          <w:rFonts w:ascii="Times New Roman" w:eastAsia="Times New Roman" w:hAnsi="Times New Roman" w:cs="Times New Roman"/>
          <w:sz w:val="24"/>
          <w:szCs w:val="24"/>
        </w:rPr>
        <w:t xml:space="preserve">) to lift them from the factory and transported to the site for installation. </w:t>
      </w:r>
      <w:r w:rsidR="00454246" w:rsidRPr="00823856">
        <w:rPr>
          <w:rFonts w:ascii="Times New Roman" w:eastAsia="Times New Roman" w:hAnsi="Times New Roman" w:cs="Times New Roman"/>
          <w:sz w:val="24"/>
          <w:szCs w:val="24"/>
        </w:rPr>
        <w:t>Based on consultations</w:t>
      </w:r>
      <w:r w:rsidRPr="00823856">
        <w:rPr>
          <w:rFonts w:ascii="Times New Roman" w:eastAsia="Times New Roman" w:hAnsi="Times New Roman" w:cs="Times New Roman"/>
          <w:sz w:val="24"/>
          <w:szCs w:val="24"/>
        </w:rPr>
        <w:t xml:space="preserve"> with demolition contractors and scholars specializing in this field, timber combustion and steel recycling were identified as the most probable scenarios for each material. </w:t>
      </w:r>
      <w:r w:rsidR="00454246" w:rsidRPr="00823856">
        <w:rPr>
          <w:rFonts w:ascii="Times New Roman" w:eastAsia="Times New Roman" w:hAnsi="Times New Roman" w:cs="Times New Roman"/>
          <w:sz w:val="24"/>
          <w:szCs w:val="24"/>
        </w:rPr>
        <w:t>It is assumed that</w:t>
      </w:r>
      <w:r w:rsidRPr="00823856">
        <w:rPr>
          <w:rFonts w:ascii="Times New Roman" w:eastAsia="Times New Roman" w:hAnsi="Times New Roman" w:cs="Times New Roman"/>
          <w:sz w:val="24"/>
          <w:szCs w:val="24"/>
        </w:rPr>
        <w:t xml:space="preserve"> 75% of mineral wool was considered for recycling, and the rest sent to landfill. </w:t>
      </w:r>
    </w:p>
    <w:p w14:paraId="591C488C" w14:textId="1D42B4C3" w:rsidR="002E6439" w:rsidRPr="00823856" w:rsidRDefault="00454246" w:rsidP="00EE12FE">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To avoid inconsistencies in results, it was assumed that 50% of wood would be reused and 50% used to replace fossil fuels. </w:t>
      </w:r>
      <w:r w:rsidR="002E6439" w:rsidRPr="00823856">
        <w:rPr>
          <w:rFonts w:asciiTheme="majorBidi" w:hAnsiTheme="majorBidi" w:cstheme="majorBidi"/>
          <w:sz w:val="24"/>
          <w:szCs w:val="24"/>
        </w:rPr>
        <w:t xml:space="preserve">The concrete was crushed and exposed to the atmosphere for four months to increase carbonation and later used for below-ground filling. The steel bar was also </w:t>
      </w:r>
      <w:r w:rsidRPr="00823856">
        <w:rPr>
          <w:rFonts w:asciiTheme="majorBidi" w:hAnsiTheme="majorBidi" w:cstheme="majorBidi"/>
          <w:sz w:val="24"/>
          <w:szCs w:val="24"/>
        </w:rPr>
        <w:t>recycled</w:t>
      </w:r>
      <w:r w:rsidR="002E6439" w:rsidRPr="00823856">
        <w:rPr>
          <w:rFonts w:asciiTheme="majorBidi" w:hAnsiTheme="majorBidi" w:cstheme="majorBidi"/>
          <w:sz w:val="24"/>
          <w:szCs w:val="24"/>
        </w:rPr>
        <w:t xml:space="preserve"> for end-of-life scenarios. The data for electricity production in Malaysia was taken from Energy Commission Malaysia (2019). The electricity input for the prefabrication of one module at the plant was calculated based on the plant</w:t>
      </w:r>
      <w:r w:rsidRPr="00823856">
        <w:rPr>
          <w:rFonts w:asciiTheme="majorBidi" w:hAnsiTheme="majorBidi" w:cstheme="majorBidi"/>
          <w:sz w:val="24"/>
          <w:szCs w:val="24"/>
        </w:rPr>
        <w:t>’s</w:t>
      </w:r>
      <w:r w:rsidR="002E6439" w:rsidRPr="00823856">
        <w:rPr>
          <w:rFonts w:asciiTheme="majorBidi" w:hAnsiTheme="majorBidi" w:cstheme="majorBidi"/>
          <w:sz w:val="24"/>
          <w:szCs w:val="24"/>
        </w:rPr>
        <w:t xml:space="preserve"> electricity bill and the number of produced modules. A factor that was not included in this assessment was the wastage of materials. The amount of waste was not being considered due to the lack of information about this </w:t>
      </w:r>
      <w:proofErr w:type="gramStart"/>
      <w:r w:rsidR="002E6439" w:rsidRPr="00823856">
        <w:rPr>
          <w:rFonts w:asciiTheme="majorBidi" w:hAnsiTheme="majorBidi" w:cstheme="majorBidi"/>
          <w:sz w:val="24"/>
          <w:szCs w:val="24"/>
        </w:rPr>
        <w:t>particular stage</w:t>
      </w:r>
      <w:proofErr w:type="gramEnd"/>
      <w:r w:rsidR="002E6439" w:rsidRPr="00823856">
        <w:rPr>
          <w:rFonts w:asciiTheme="majorBidi" w:hAnsiTheme="majorBidi" w:cstheme="majorBidi"/>
          <w:sz w:val="24"/>
          <w:szCs w:val="24"/>
        </w:rPr>
        <w:t>. In addition, system activities (e.g., refurbishment) were also ignored as there was a lack of information regarding this stage.</w:t>
      </w:r>
    </w:p>
    <w:p w14:paraId="7D3E6DF5" w14:textId="77777777" w:rsidR="00454246" w:rsidRPr="00823856" w:rsidRDefault="00454246" w:rsidP="00EE12FE">
      <w:pPr>
        <w:spacing w:line="276" w:lineRule="auto"/>
        <w:ind w:firstLine="720"/>
        <w:jc w:val="both"/>
        <w:rPr>
          <w:rFonts w:asciiTheme="majorBidi" w:hAnsiTheme="majorBidi" w:cstheme="majorBidi"/>
          <w:sz w:val="24"/>
          <w:szCs w:val="24"/>
        </w:rPr>
      </w:pPr>
    </w:p>
    <w:p w14:paraId="4DD6A12F" w14:textId="7E23846A" w:rsidR="00513560" w:rsidRPr="00823856" w:rsidRDefault="00F30181" w:rsidP="00EE12FE">
      <w:pPr>
        <w:pStyle w:val="ListParagraph"/>
        <w:numPr>
          <w:ilvl w:val="0"/>
          <w:numId w:val="1"/>
        </w:numPr>
        <w:autoSpaceDE w:val="0"/>
        <w:autoSpaceDN w:val="0"/>
        <w:adjustRightInd w:val="0"/>
        <w:spacing w:line="276" w:lineRule="auto"/>
        <w:rPr>
          <w:rFonts w:asciiTheme="majorBidi" w:hAnsiTheme="majorBidi" w:cstheme="majorBidi"/>
          <w:b/>
          <w:bCs/>
          <w:i/>
          <w:iCs/>
          <w:sz w:val="24"/>
          <w:szCs w:val="24"/>
        </w:rPr>
      </w:pPr>
      <w:r w:rsidRPr="00823856">
        <w:rPr>
          <w:rFonts w:asciiTheme="majorBidi" w:hAnsiTheme="majorBidi" w:cstheme="majorBidi"/>
          <w:b/>
          <w:bCs/>
          <w:i/>
          <w:iCs/>
          <w:sz w:val="24"/>
          <w:szCs w:val="24"/>
        </w:rPr>
        <w:t>Results and Discussion</w:t>
      </w:r>
    </w:p>
    <w:p w14:paraId="5B0D59D4" w14:textId="7D44770C" w:rsidR="0047378C" w:rsidRPr="00823856" w:rsidRDefault="0047378C"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As </w:t>
      </w:r>
      <w:r w:rsidR="00404717" w:rsidRPr="00823856">
        <w:rPr>
          <w:rFonts w:asciiTheme="majorBidi" w:hAnsiTheme="majorBidi" w:cstheme="majorBidi"/>
          <w:sz w:val="24"/>
          <w:szCs w:val="24"/>
        </w:rPr>
        <w:t xml:space="preserve">previously </w:t>
      </w:r>
      <w:r w:rsidRPr="00823856">
        <w:rPr>
          <w:rFonts w:asciiTheme="majorBidi" w:hAnsiTheme="majorBidi" w:cstheme="majorBidi"/>
          <w:sz w:val="24"/>
          <w:szCs w:val="24"/>
        </w:rPr>
        <w:t xml:space="preserve">mentioned, three modular prefabricated buildings were chosen for </w:t>
      </w:r>
      <w:r w:rsidR="00404717" w:rsidRPr="00823856">
        <w:rPr>
          <w:rFonts w:asciiTheme="majorBidi" w:hAnsiTheme="majorBidi" w:cstheme="majorBidi"/>
          <w:sz w:val="24"/>
          <w:szCs w:val="24"/>
        </w:rPr>
        <w:t xml:space="preserve">the </w:t>
      </w:r>
      <w:r w:rsidRPr="00823856">
        <w:rPr>
          <w:rFonts w:asciiTheme="majorBidi" w:hAnsiTheme="majorBidi" w:cstheme="majorBidi"/>
          <w:sz w:val="24"/>
          <w:szCs w:val="24"/>
        </w:rPr>
        <w:t xml:space="preserve">sustainability assessment: </w:t>
      </w:r>
      <w:r w:rsidR="00457C20" w:rsidRPr="00823856">
        <w:rPr>
          <w:rFonts w:asciiTheme="majorBidi" w:hAnsiTheme="majorBidi" w:cstheme="majorBidi"/>
          <w:sz w:val="24"/>
          <w:szCs w:val="24"/>
        </w:rPr>
        <w:t>lightweight steel frame</w:t>
      </w:r>
      <w:r w:rsidRPr="00823856">
        <w:rPr>
          <w:rFonts w:asciiTheme="majorBidi" w:hAnsiTheme="majorBidi" w:cstheme="majorBidi"/>
          <w:sz w:val="24"/>
          <w:szCs w:val="24"/>
        </w:rPr>
        <w:t xml:space="preserve"> prefabricated prefinished volumetric construction (S-PPVC), concrete prefabricated prefinished volumetric construction (C-PPVC), and timber prefabricated prefinished volumetric construction (T-PPVC), in which four criteria were assessed.</w:t>
      </w:r>
    </w:p>
    <w:p w14:paraId="1C7FA227" w14:textId="77777777" w:rsidR="00EA1869" w:rsidRDefault="00EA1869" w:rsidP="00EE12FE">
      <w:pPr>
        <w:autoSpaceDE w:val="0"/>
        <w:autoSpaceDN w:val="0"/>
        <w:adjustRightInd w:val="0"/>
        <w:spacing w:line="276" w:lineRule="auto"/>
        <w:ind w:firstLine="720"/>
        <w:jc w:val="both"/>
        <w:rPr>
          <w:rFonts w:asciiTheme="majorBidi" w:hAnsiTheme="majorBidi" w:cstheme="majorBidi"/>
          <w:sz w:val="24"/>
          <w:szCs w:val="24"/>
        </w:rPr>
      </w:pPr>
    </w:p>
    <w:p w14:paraId="2EC8B711" w14:textId="77777777" w:rsidR="00EA31B3" w:rsidRPr="00823856" w:rsidRDefault="00EA31B3" w:rsidP="00EE12FE">
      <w:pPr>
        <w:autoSpaceDE w:val="0"/>
        <w:autoSpaceDN w:val="0"/>
        <w:adjustRightInd w:val="0"/>
        <w:spacing w:line="276" w:lineRule="auto"/>
        <w:ind w:firstLine="720"/>
        <w:jc w:val="both"/>
        <w:rPr>
          <w:rFonts w:asciiTheme="majorBidi" w:hAnsiTheme="majorBidi" w:cstheme="majorBidi"/>
          <w:sz w:val="24"/>
          <w:szCs w:val="24"/>
        </w:rPr>
      </w:pPr>
    </w:p>
    <w:p w14:paraId="4A38C318" w14:textId="6B90B370" w:rsidR="00F30181" w:rsidRPr="00823856" w:rsidRDefault="00245FB1" w:rsidP="00EE12FE">
      <w:pPr>
        <w:pStyle w:val="ListParagraph"/>
        <w:numPr>
          <w:ilvl w:val="1"/>
          <w:numId w:val="1"/>
        </w:numPr>
        <w:autoSpaceDE w:val="0"/>
        <w:autoSpaceDN w:val="0"/>
        <w:adjustRightInd w:val="0"/>
        <w:spacing w:line="276" w:lineRule="auto"/>
        <w:rPr>
          <w:rFonts w:asciiTheme="majorBidi" w:hAnsiTheme="majorBidi" w:cstheme="majorBidi"/>
          <w:b/>
          <w:bCs/>
          <w:i/>
          <w:iCs/>
          <w:sz w:val="24"/>
          <w:szCs w:val="24"/>
        </w:rPr>
      </w:pPr>
      <w:r w:rsidRPr="00823856">
        <w:rPr>
          <w:rFonts w:asciiTheme="majorBidi" w:hAnsiTheme="majorBidi" w:cstheme="majorBidi"/>
          <w:b/>
          <w:bCs/>
          <w:i/>
          <w:iCs/>
          <w:sz w:val="24"/>
          <w:szCs w:val="24"/>
        </w:rPr>
        <w:lastRenderedPageBreak/>
        <w:t xml:space="preserve">Global warming potential </w:t>
      </w:r>
    </w:p>
    <w:p w14:paraId="49CC3F9D" w14:textId="2DFF7082" w:rsidR="00241743" w:rsidRPr="00823856" w:rsidRDefault="00241743"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The </w:t>
      </w:r>
      <w:r w:rsidR="00404717" w:rsidRPr="00823856">
        <w:rPr>
          <w:rFonts w:asciiTheme="majorBidi" w:hAnsiTheme="majorBidi" w:cstheme="majorBidi"/>
          <w:sz w:val="24"/>
          <w:szCs w:val="24"/>
        </w:rPr>
        <w:t xml:space="preserve">LCA </w:t>
      </w:r>
      <w:r w:rsidRPr="00823856">
        <w:rPr>
          <w:rFonts w:asciiTheme="majorBidi" w:hAnsiTheme="majorBidi" w:cstheme="majorBidi"/>
          <w:sz w:val="24"/>
          <w:szCs w:val="24"/>
        </w:rPr>
        <w:t>result</w:t>
      </w:r>
      <w:r w:rsidR="00404717" w:rsidRPr="00823856">
        <w:rPr>
          <w:rFonts w:asciiTheme="majorBidi" w:hAnsiTheme="majorBidi" w:cstheme="majorBidi"/>
          <w:sz w:val="24"/>
          <w:szCs w:val="24"/>
        </w:rPr>
        <w:t>s are</w:t>
      </w:r>
      <w:r w:rsidRPr="00823856">
        <w:rPr>
          <w:rFonts w:asciiTheme="majorBidi" w:hAnsiTheme="majorBidi" w:cstheme="majorBidi"/>
          <w:sz w:val="24"/>
          <w:szCs w:val="24"/>
        </w:rPr>
        <w:t xml:space="preserve"> discussed in this section to identify which modular building assemblage has minimum</w:t>
      </w:r>
      <w:r w:rsidR="00404717" w:rsidRPr="00823856">
        <w:rPr>
          <w:rFonts w:asciiTheme="majorBidi" w:hAnsiTheme="majorBidi" w:cstheme="majorBidi"/>
          <w:sz w:val="24"/>
          <w:szCs w:val="24"/>
        </w:rPr>
        <w:t xml:space="preserve"> cradle to grave</w:t>
      </w:r>
      <w:r w:rsidRPr="00823856">
        <w:rPr>
          <w:rFonts w:asciiTheme="majorBidi" w:hAnsiTheme="majorBidi" w:cstheme="majorBidi"/>
          <w:sz w:val="24"/>
          <w:szCs w:val="24"/>
        </w:rPr>
        <w:t xml:space="preserve"> environmental impacts. The result of LCA on GWP for different life cycle phases is shown in Table 4. The result shows that the</w:t>
      </w:r>
      <w:r w:rsidR="00404717" w:rsidRPr="00823856">
        <w:rPr>
          <w:rFonts w:asciiTheme="majorBidi" w:hAnsiTheme="majorBidi" w:cstheme="majorBidi"/>
          <w:sz w:val="24"/>
          <w:szCs w:val="24"/>
        </w:rPr>
        <w:t xml:space="preserve"> production stage for all modular buildings </w:t>
      </w:r>
      <w:proofErr w:type="gramStart"/>
      <w:r w:rsidR="00404717" w:rsidRPr="00823856">
        <w:rPr>
          <w:rFonts w:asciiTheme="majorBidi" w:hAnsiTheme="majorBidi" w:cstheme="majorBidi"/>
          <w:sz w:val="24"/>
          <w:szCs w:val="24"/>
        </w:rPr>
        <w:t>contribute</w:t>
      </w:r>
      <w:proofErr w:type="gramEnd"/>
      <w:r w:rsidR="00404717" w:rsidRPr="00823856">
        <w:rPr>
          <w:rFonts w:asciiTheme="majorBidi" w:hAnsiTheme="majorBidi" w:cstheme="majorBidi"/>
          <w:sz w:val="24"/>
          <w:szCs w:val="24"/>
        </w:rPr>
        <w:t xml:space="preserve"> to the</w:t>
      </w:r>
      <w:r w:rsidRPr="00823856">
        <w:rPr>
          <w:rFonts w:asciiTheme="majorBidi" w:hAnsiTheme="majorBidi" w:cstheme="majorBidi"/>
          <w:sz w:val="24"/>
          <w:szCs w:val="24"/>
        </w:rPr>
        <w:t xml:space="preserve"> highest emission. </w:t>
      </w:r>
      <w:r w:rsidR="00404717" w:rsidRPr="00823856">
        <w:rPr>
          <w:rFonts w:asciiTheme="majorBidi" w:hAnsiTheme="majorBidi" w:cstheme="majorBidi"/>
          <w:sz w:val="24"/>
          <w:szCs w:val="24"/>
        </w:rPr>
        <w:t>I</w:t>
      </w:r>
      <w:r w:rsidRPr="00823856">
        <w:rPr>
          <w:rFonts w:asciiTheme="majorBidi" w:hAnsiTheme="majorBidi" w:cstheme="majorBidi"/>
          <w:sz w:val="24"/>
          <w:szCs w:val="24"/>
        </w:rPr>
        <w:t>n this stage</w:t>
      </w:r>
      <w:r w:rsidR="00404717" w:rsidRPr="00823856">
        <w:rPr>
          <w:rFonts w:asciiTheme="majorBidi" w:hAnsiTheme="majorBidi" w:cstheme="majorBidi"/>
          <w:sz w:val="24"/>
          <w:szCs w:val="24"/>
        </w:rPr>
        <w:t>,</w:t>
      </w:r>
      <w:r w:rsidRPr="00823856">
        <w:rPr>
          <w:rFonts w:asciiTheme="majorBidi" w:hAnsiTheme="majorBidi" w:cstheme="majorBidi"/>
          <w:sz w:val="24"/>
          <w:szCs w:val="24"/>
        </w:rPr>
        <w:t xml:space="preserve"> steel </w:t>
      </w:r>
      <w:r w:rsidR="00404717" w:rsidRPr="00823856">
        <w:rPr>
          <w:rFonts w:asciiTheme="majorBidi" w:hAnsiTheme="majorBidi" w:cstheme="majorBidi"/>
          <w:sz w:val="24"/>
          <w:szCs w:val="24"/>
        </w:rPr>
        <w:t xml:space="preserve">contributes 17% </w:t>
      </w:r>
      <w:r w:rsidRPr="00823856">
        <w:rPr>
          <w:rFonts w:asciiTheme="majorBidi" w:hAnsiTheme="majorBidi" w:cstheme="majorBidi"/>
          <w:sz w:val="24"/>
          <w:szCs w:val="24"/>
        </w:rPr>
        <w:t>higher emission</w:t>
      </w:r>
      <w:r w:rsidR="00404717" w:rsidRPr="00823856">
        <w:rPr>
          <w:rFonts w:asciiTheme="majorBidi" w:hAnsiTheme="majorBidi" w:cstheme="majorBidi"/>
          <w:sz w:val="24"/>
          <w:szCs w:val="24"/>
        </w:rPr>
        <w:t>s</w:t>
      </w:r>
      <w:r w:rsidRPr="00823856">
        <w:rPr>
          <w:rFonts w:asciiTheme="majorBidi" w:hAnsiTheme="majorBidi" w:cstheme="majorBidi"/>
          <w:sz w:val="24"/>
          <w:szCs w:val="24"/>
        </w:rPr>
        <w:t xml:space="preserve"> </w:t>
      </w:r>
      <w:r w:rsidR="00404717" w:rsidRPr="00823856">
        <w:rPr>
          <w:rFonts w:asciiTheme="majorBidi" w:hAnsiTheme="majorBidi" w:cstheme="majorBidi"/>
          <w:sz w:val="24"/>
          <w:szCs w:val="24"/>
        </w:rPr>
        <w:t xml:space="preserve">compared to concrete </w:t>
      </w:r>
      <w:r w:rsidRPr="00823856">
        <w:rPr>
          <w:rFonts w:asciiTheme="majorBidi" w:hAnsiTheme="majorBidi" w:cstheme="majorBidi"/>
          <w:sz w:val="24"/>
          <w:szCs w:val="24"/>
        </w:rPr>
        <w:t>and 30%</w:t>
      </w:r>
      <w:r w:rsidR="00404717" w:rsidRPr="00823856">
        <w:rPr>
          <w:rFonts w:asciiTheme="majorBidi" w:hAnsiTheme="majorBidi" w:cstheme="majorBidi"/>
          <w:sz w:val="24"/>
          <w:szCs w:val="24"/>
        </w:rPr>
        <w:t xml:space="preserve"> higher than</w:t>
      </w:r>
      <w:r w:rsidRPr="00823856">
        <w:rPr>
          <w:rFonts w:asciiTheme="majorBidi" w:hAnsiTheme="majorBidi" w:cstheme="majorBidi"/>
          <w:sz w:val="24"/>
          <w:szCs w:val="24"/>
        </w:rPr>
        <w:t xml:space="preserve"> timber modul</w:t>
      </w:r>
      <w:r w:rsidR="00404717" w:rsidRPr="00823856">
        <w:rPr>
          <w:rFonts w:asciiTheme="majorBidi" w:hAnsiTheme="majorBidi" w:cstheme="majorBidi"/>
          <w:sz w:val="24"/>
          <w:szCs w:val="24"/>
        </w:rPr>
        <w:t>es</w:t>
      </w:r>
      <w:r w:rsidRPr="00823856">
        <w:rPr>
          <w:rFonts w:asciiTheme="majorBidi" w:hAnsiTheme="majorBidi" w:cstheme="majorBidi"/>
          <w:sz w:val="24"/>
          <w:szCs w:val="24"/>
        </w:rPr>
        <w:t xml:space="preserve">. Transportation is one of the critical stages of modular building </w:t>
      </w:r>
      <w:r w:rsidR="00404717" w:rsidRPr="00823856">
        <w:rPr>
          <w:rFonts w:asciiTheme="majorBidi" w:hAnsiTheme="majorBidi" w:cstheme="majorBidi"/>
          <w:sz w:val="24"/>
          <w:szCs w:val="24"/>
        </w:rPr>
        <w:t xml:space="preserve">construction and </w:t>
      </w:r>
      <w:r w:rsidRPr="00823856">
        <w:rPr>
          <w:rFonts w:asciiTheme="majorBidi" w:hAnsiTheme="majorBidi" w:cstheme="majorBidi"/>
          <w:sz w:val="24"/>
          <w:szCs w:val="24"/>
        </w:rPr>
        <w:t xml:space="preserve">contributed </w:t>
      </w:r>
      <w:r w:rsidR="00404717" w:rsidRPr="00823856">
        <w:rPr>
          <w:rFonts w:asciiTheme="majorBidi" w:hAnsiTheme="majorBidi" w:cstheme="majorBidi"/>
          <w:sz w:val="24"/>
          <w:szCs w:val="24"/>
        </w:rPr>
        <w:t>between</w:t>
      </w:r>
      <w:r w:rsidRPr="00823856">
        <w:rPr>
          <w:rFonts w:asciiTheme="majorBidi" w:hAnsiTheme="majorBidi" w:cstheme="majorBidi"/>
          <w:sz w:val="24"/>
          <w:szCs w:val="24"/>
        </w:rPr>
        <w:t xml:space="preserve"> 9% to 12% of production emissions. </w:t>
      </w:r>
      <w:r w:rsidR="00404717" w:rsidRPr="00823856">
        <w:rPr>
          <w:rFonts w:asciiTheme="majorBidi" w:hAnsiTheme="majorBidi" w:cstheme="majorBidi"/>
          <w:sz w:val="24"/>
          <w:szCs w:val="24"/>
        </w:rPr>
        <w:t>Emissions during t</w:t>
      </w:r>
      <w:r w:rsidRPr="00823856">
        <w:rPr>
          <w:rFonts w:asciiTheme="majorBidi" w:hAnsiTheme="majorBidi" w:cstheme="majorBidi"/>
          <w:sz w:val="24"/>
          <w:szCs w:val="24"/>
        </w:rPr>
        <w:t xml:space="preserve">he transportation phase </w:t>
      </w:r>
      <w:proofErr w:type="gramStart"/>
      <w:r w:rsidR="00404717" w:rsidRPr="00823856">
        <w:rPr>
          <w:rFonts w:asciiTheme="majorBidi" w:hAnsiTheme="majorBidi" w:cstheme="majorBidi"/>
          <w:sz w:val="24"/>
          <w:szCs w:val="24"/>
        </w:rPr>
        <w:t>is</w:t>
      </w:r>
      <w:proofErr w:type="gramEnd"/>
      <w:r w:rsidR="00404717" w:rsidRPr="00823856">
        <w:rPr>
          <w:rFonts w:asciiTheme="majorBidi" w:hAnsiTheme="majorBidi" w:cstheme="majorBidi"/>
          <w:sz w:val="24"/>
          <w:szCs w:val="24"/>
        </w:rPr>
        <w:t xml:space="preserve"> highly dependent</w:t>
      </w:r>
      <w:r w:rsidRPr="00823856">
        <w:rPr>
          <w:rFonts w:asciiTheme="majorBidi" w:hAnsiTheme="majorBidi" w:cstheme="majorBidi"/>
          <w:sz w:val="24"/>
          <w:szCs w:val="24"/>
        </w:rPr>
        <w:t xml:space="preserve"> </w:t>
      </w:r>
      <w:r w:rsidR="00404717" w:rsidRPr="00823856">
        <w:rPr>
          <w:rFonts w:asciiTheme="majorBidi" w:hAnsiTheme="majorBidi" w:cstheme="majorBidi"/>
          <w:sz w:val="24"/>
          <w:szCs w:val="24"/>
        </w:rPr>
        <w:t xml:space="preserve">on </w:t>
      </w:r>
      <w:r w:rsidRPr="00823856">
        <w:rPr>
          <w:rFonts w:asciiTheme="majorBidi" w:hAnsiTheme="majorBidi" w:cstheme="majorBidi"/>
          <w:sz w:val="24"/>
          <w:szCs w:val="24"/>
        </w:rPr>
        <w:t xml:space="preserve">the distance of the modular factory and the weight of components. </w:t>
      </w:r>
    </w:p>
    <w:p w14:paraId="7563E54D" w14:textId="0E99DDEB" w:rsidR="0062124E" w:rsidRPr="00823856" w:rsidRDefault="00241743"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The </w:t>
      </w:r>
      <w:r w:rsidR="00404717" w:rsidRPr="00823856">
        <w:rPr>
          <w:rFonts w:asciiTheme="majorBidi" w:hAnsiTheme="majorBidi" w:cstheme="majorBidi"/>
          <w:sz w:val="24"/>
          <w:szCs w:val="24"/>
        </w:rPr>
        <w:t>end-of-life</w:t>
      </w:r>
      <w:r w:rsidRPr="00823856">
        <w:rPr>
          <w:rFonts w:asciiTheme="majorBidi" w:hAnsiTheme="majorBidi" w:cstheme="majorBidi"/>
          <w:sz w:val="24"/>
          <w:szCs w:val="24"/>
        </w:rPr>
        <w:t xml:space="preserve"> </w:t>
      </w:r>
      <w:r w:rsidR="00404717" w:rsidRPr="00823856">
        <w:rPr>
          <w:rFonts w:asciiTheme="majorBidi" w:hAnsiTheme="majorBidi" w:cstheme="majorBidi"/>
          <w:sz w:val="24"/>
          <w:szCs w:val="24"/>
        </w:rPr>
        <w:t xml:space="preserve">stage </w:t>
      </w:r>
      <w:r w:rsidRPr="00823856">
        <w:rPr>
          <w:rFonts w:asciiTheme="majorBidi" w:hAnsiTheme="majorBidi" w:cstheme="majorBidi"/>
          <w:sz w:val="24"/>
          <w:szCs w:val="24"/>
        </w:rPr>
        <w:t>involves the recycling of steel, mineral wool, and plasterboard for S-PPVC. It was assumed that the materials were recycled, having net emission benefits (negative values). The end of life of S-PPVC potentially decreases the overall emission</w:t>
      </w:r>
      <w:r w:rsidR="00A47A75" w:rsidRPr="00823856">
        <w:rPr>
          <w:rFonts w:asciiTheme="majorBidi" w:hAnsiTheme="majorBidi" w:cstheme="majorBidi"/>
          <w:sz w:val="24"/>
          <w:szCs w:val="24"/>
        </w:rPr>
        <w:t xml:space="preserve"> </w:t>
      </w:r>
      <w:r w:rsidRPr="00823856">
        <w:rPr>
          <w:rFonts w:asciiTheme="majorBidi" w:hAnsiTheme="majorBidi" w:cstheme="majorBidi"/>
          <w:sz w:val="24"/>
          <w:szCs w:val="24"/>
        </w:rPr>
        <w:t>from th</w:t>
      </w:r>
      <w:r w:rsidR="00404717" w:rsidRPr="00823856">
        <w:rPr>
          <w:rFonts w:asciiTheme="majorBidi" w:hAnsiTheme="majorBidi" w:cstheme="majorBidi"/>
          <w:sz w:val="24"/>
          <w:szCs w:val="24"/>
        </w:rPr>
        <w:t xml:space="preserve">e </w:t>
      </w:r>
      <w:r w:rsidRPr="00823856">
        <w:rPr>
          <w:rFonts w:asciiTheme="majorBidi" w:hAnsiTheme="majorBidi" w:cstheme="majorBidi"/>
          <w:sz w:val="24"/>
          <w:szCs w:val="24"/>
        </w:rPr>
        <w:t>modul</w:t>
      </w:r>
      <w:r w:rsidR="00404717" w:rsidRPr="00823856">
        <w:rPr>
          <w:rFonts w:asciiTheme="majorBidi" w:hAnsiTheme="majorBidi" w:cstheme="majorBidi"/>
          <w:sz w:val="24"/>
          <w:szCs w:val="24"/>
        </w:rPr>
        <w:t>e</w:t>
      </w:r>
      <w:r w:rsidRPr="00823856">
        <w:rPr>
          <w:rFonts w:asciiTheme="majorBidi" w:hAnsiTheme="majorBidi" w:cstheme="majorBidi"/>
          <w:sz w:val="24"/>
          <w:szCs w:val="24"/>
        </w:rPr>
        <w:t xml:space="preserve">. Steel </w:t>
      </w:r>
      <w:r w:rsidR="00A76441" w:rsidRPr="00823856">
        <w:rPr>
          <w:rFonts w:asciiTheme="majorBidi" w:hAnsiTheme="majorBidi" w:cstheme="majorBidi"/>
          <w:sz w:val="24"/>
          <w:szCs w:val="24"/>
        </w:rPr>
        <w:t>contributes the highest emission</w:t>
      </w:r>
      <w:r w:rsidR="00A47A75" w:rsidRPr="00823856">
        <w:rPr>
          <w:rFonts w:asciiTheme="majorBidi" w:hAnsiTheme="majorBidi" w:cstheme="majorBidi"/>
          <w:sz w:val="24"/>
          <w:szCs w:val="24"/>
        </w:rPr>
        <w:t xml:space="preserve"> reduction benefits</w:t>
      </w:r>
      <w:r w:rsidR="00A76441" w:rsidRPr="00823856">
        <w:rPr>
          <w:rFonts w:asciiTheme="majorBidi" w:hAnsiTheme="majorBidi" w:cstheme="majorBidi"/>
          <w:sz w:val="24"/>
          <w:szCs w:val="24"/>
        </w:rPr>
        <w:t xml:space="preserve"> </w:t>
      </w:r>
      <w:r w:rsidRPr="00823856">
        <w:rPr>
          <w:rFonts w:asciiTheme="majorBidi" w:hAnsiTheme="majorBidi" w:cstheme="majorBidi"/>
          <w:sz w:val="24"/>
          <w:szCs w:val="24"/>
        </w:rPr>
        <w:t xml:space="preserve">at </w:t>
      </w:r>
      <w:r w:rsidR="00A76441" w:rsidRPr="00823856">
        <w:rPr>
          <w:rFonts w:asciiTheme="majorBidi" w:hAnsiTheme="majorBidi" w:cstheme="majorBidi"/>
          <w:sz w:val="24"/>
          <w:szCs w:val="24"/>
        </w:rPr>
        <w:t>its</w:t>
      </w:r>
      <w:r w:rsidRPr="00823856">
        <w:rPr>
          <w:rFonts w:asciiTheme="majorBidi" w:hAnsiTheme="majorBidi" w:cstheme="majorBidi"/>
          <w:sz w:val="24"/>
          <w:szCs w:val="24"/>
        </w:rPr>
        <w:t xml:space="preserve"> end-of-life stage </w:t>
      </w:r>
      <w:r w:rsidR="00404717" w:rsidRPr="00823856">
        <w:rPr>
          <w:rFonts w:asciiTheme="majorBidi" w:hAnsiTheme="majorBidi" w:cstheme="majorBidi"/>
          <w:sz w:val="24"/>
          <w:szCs w:val="24"/>
        </w:rPr>
        <w:t>compared to</w:t>
      </w:r>
      <w:r w:rsidRPr="00823856">
        <w:rPr>
          <w:rFonts w:asciiTheme="majorBidi" w:hAnsiTheme="majorBidi" w:cstheme="majorBidi"/>
          <w:sz w:val="24"/>
          <w:szCs w:val="24"/>
        </w:rPr>
        <w:t xml:space="preserve"> modular timber and concrete. The end of life of C-PPVC has a positive impact on its GWP emission</w:t>
      </w:r>
      <w:r w:rsidR="00A76441" w:rsidRPr="00823856">
        <w:rPr>
          <w:rFonts w:asciiTheme="majorBidi" w:hAnsiTheme="majorBidi" w:cstheme="majorBidi"/>
          <w:sz w:val="24"/>
          <w:szCs w:val="24"/>
        </w:rPr>
        <w:t>s,</w:t>
      </w:r>
      <w:r w:rsidRPr="00823856">
        <w:rPr>
          <w:rFonts w:asciiTheme="majorBidi" w:hAnsiTheme="majorBidi" w:cstheme="majorBidi"/>
          <w:sz w:val="24"/>
          <w:szCs w:val="24"/>
        </w:rPr>
        <w:t xml:space="preserve"> </w:t>
      </w:r>
      <w:r w:rsidR="00A76441" w:rsidRPr="00823856">
        <w:rPr>
          <w:rFonts w:asciiTheme="majorBidi" w:hAnsiTheme="majorBidi" w:cstheme="majorBidi"/>
          <w:sz w:val="24"/>
          <w:szCs w:val="24"/>
        </w:rPr>
        <w:t>contributed from</w:t>
      </w:r>
      <w:r w:rsidRPr="00823856">
        <w:rPr>
          <w:rFonts w:asciiTheme="majorBidi" w:hAnsiTheme="majorBidi" w:cstheme="majorBidi"/>
          <w:sz w:val="24"/>
          <w:szCs w:val="24"/>
        </w:rPr>
        <w:t xml:space="preserve"> the recycling of </w:t>
      </w:r>
      <w:r w:rsidR="00A76441" w:rsidRPr="00823856">
        <w:rPr>
          <w:rFonts w:asciiTheme="majorBidi" w:hAnsiTheme="majorBidi" w:cstheme="majorBidi"/>
          <w:sz w:val="24"/>
          <w:szCs w:val="24"/>
        </w:rPr>
        <w:t xml:space="preserve">reinforcing </w:t>
      </w:r>
      <w:r w:rsidRPr="00823856">
        <w:rPr>
          <w:rFonts w:asciiTheme="majorBidi" w:hAnsiTheme="majorBidi" w:cstheme="majorBidi"/>
          <w:sz w:val="24"/>
          <w:szCs w:val="24"/>
        </w:rPr>
        <w:t>steel bar</w:t>
      </w:r>
      <w:r w:rsidR="00A76441" w:rsidRPr="00823856">
        <w:rPr>
          <w:rFonts w:asciiTheme="majorBidi" w:hAnsiTheme="majorBidi" w:cstheme="majorBidi"/>
          <w:sz w:val="24"/>
          <w:szCs w:val="24"/>
        </w:rPr>
        <w:t>s</w:t>
      </w:r>
      <w:r w:rsidRPr="00823856">
        <w:rPr>
          <w:rFonts w:asciiTheme="majorBidi" w:hAnsiTheme="majorBidi" w:cstheme="majorBidi"/>
          <w:sz w:val="24"/>
          <w:szCs w:val="24"/>
        </w:rPr>
        <w:t xml:space="preserve"> </w:t>
      </w:r>
      <w:r w:rsidR="00A76441" w:rsidRPr="00823856">
        <w:rPr>
          <w:rFonts w:asciiTheme="majorBidi" w:hAnsiTheme="majorBidi" w:cstheme="majorBidi"/>
          <w:sz w:val="24"/>
          <w:szCs w:val="24"/>
        </w:rPr>
        <w:t>a</w:t>
      </w:r>
      <w:r w:rsidRPr="00823856">
        <w:rPr>
          <w:rFonts w:asciiTheme="majorBidi" w:hAnsiTheme="majorBidi" w:cstheme="majorBidi"/>
          <w:sz w:val="24"/>
          <w:szCs w:val="24"/>
        </w:rPr>
        <w:t xml:space="preserve">fter being transferred to </w:t>
      </w:r>
      <w:r w:rsidR="00A76441" w:rsidRPr="00823856">
        <w:rPr>
          <w:rFonts w:asciiTheme="majorBidi" w:hAnsiTheme="majorBidi" w:cstheme="majorBidi"/>
          <w:sz w:val="24"/>
          <w:szCs w:val="24"/>
        </w:rPr>
        <w:t>a</w:t>
      </w:r>
      <w:r w:rsidRPr="00823856">
        <w:rPr>
          <w:rFonts w:asciiTheme="majorBidi" w:hAnsiTheme="majorBidi" w:cstheme="majorBidi"/>
          <w:sz w:val="24"/>
          <w:szCs w:val="24"/>
        </w:rPr>
        <w:t xml:space="preserve"> recycling factory, and the concrete</w:t>
      </w:r>
      <w:r w:rsidR="00A76441" w:rsidRPr="00823856">
        <w:rPr>
          <w:rFonts w:asciiTheme="majorBidi" w:hAnsiTheme="majorBidi" w:cstheme="majorBidi"/>
          <w:sz w:val="24"/>
          <w:szCs w:val="24"/>
        </w:rPr>
        <w:t xml:space="preserve"> is</w:t>
      </w:r>
      <w:r w:rsidRPr="00823856">
        <w:rPr>
          <w:rFonts w:asciiTheme="majorBidi" w:hAnsiTheme="majorBidi" w:cstheme="majorBidi"/>
          <w:sz w:val="24"/>
          <w:szCs w:val="24"/>
        </w:rPr>
        <w:t xml:space="preserve"> sent to </w:t>
      </w:r>
      <w:r w:rsidR="00A76441" w:rsidRPr="00823856">
        <w:rPr>
          <w:rFonts w:asciiTheme="majorBidi" w:hAnsiTheme="majorBidi" w:cstheme="majorBidi"/>
          <w:sz w:val="24"/>
          <w:szCs w:val="24"/>
        </w:rPr>
        <w:t>a</w:t>
      </w:r>
      <w:r w:rsidRPr="00823856">
        <w:rPr>
          <w:rFonts w:asciiTheme="majorBidi" w:hAnsiTheme="majorBidi" w:cstheme="majorBidi"/>
          <w:sz w:val="24"/>
          <w:szCs w:val="24"/>
        </w:rPr>
        <w:t xml:space="preserve"> landfill. As mentioned above, timber recovered during demolition and combusted to recover energy that </w:t>
      </w:r>
      <w:r w:rsidR="00A76441" w:rsidRPr="00823856">
        <w:rPr>
          <w:rFonts w:asciiTheme="majorBidi" w:hAnsiTheme="majorBidi" w:cstheme="majorBidi"/>
          <w:sz w:val="24"/>
          <w:szCs w:val="24"/>
        </w:rPr>
        <w:t>provides positive</w:t>
      </w:r>
      <w:r w:rsidRPr="00823856">
        <w:rPr>
          <w:rFonts w:asciiTheme="majorBidi" w:hAnsiTheme="majorBidi" w:cstheme="majorBidi"/>
          <w:sz w:val="24"/>
          <w:szCs w:val="24"/>
        </w:rPr>
        <w:t xml:space="preserve"> emission benefit</w:t>
      </w:r>
      <w:r w:rsidR="00A76441" w:rsidRPr="00823856">
        <w:rPr>
          <w:rFonts w:asciiTheme="majorBidi" w:hAnsiTheme="majorBidi" w:cstheme="majorBidi"/>
          <w:sz w:val="24"/>
          <w:szCs w:val="24"/>
        </w:rPr>
        <w:t>s</w:t>
      </w:r>
      <w:r w:rsidRPr="00823856">
        <w:rPr>
          <w:rFonts w:asciiTheme="majorBidi" w:hAnsiTheme="majorBidi" w:cstheme="majorBidi"/>
          <w:sz w:val="24"/>
          <w:szCs w:val="24"/>
        </w:rPr>
        <w:t>. The end-of-life scenario contribute</w:t>
      </w:r>
      <w:r w:rsidR="00A47A75" w:rsidRPr="00823856">
        <w:rPr>
          <w:rFonts w:asciiTheme="majorBidi" w:hAnsiTheme="majorBidi" w:cstheme="majorBidi"/>
          <w:sz w:val="24"/>
          <w:szCs w:val="24"/>
        </w:rPr>
        <w:t>s</w:t>
      </w:r>
      <w:r w:rsidRPr="00823856">
        <w:rPr>
          <w:rFonts w:asciiTheme="majorBidi" w:hAnsiTheme="majorBidi" w:cstheme="majorBidi"/>
          <w:sz w:val="24"/>
          <w:szCs w:val="24"/>
        </w:rPr>
        <w:t xml:space="preserve"> to 36%, 8%, and 18% of overall production emissions for S-PPVC, C-PPVC, and T-PPVC</w:t>
      </w:r>
      <w:r w:rsidR="00A76441" w:rsidRPr="00823856">
        <w:rPr>
          <w:rFonts w:asciiTheme="majorBidi" w:hAnsiTheme="majorBidi" w:cstheme="majorBidi"/>
          <w:sz w:val="24"/>
          <w:szCs w:val="24"/>
        </w:rPr>
        <w:t xml:space="preserve"> respectively</w:t>
      </w:r>
      <w:r w:rsidRPr="00823856">
        <w:rPr>
          <w:rFonts w:asciiTheme="majorBidi" w:hAnsiTheme="majorBidi" w:cstheme="majorBidi"/>
          <w:sz w:val="24"/>
          <w:szCs w:val="24"/>
        </w:rPr>
        <w:t xml:space="preserve">. Therefore, it can be expressed that steel </w:t>
      </w:r>
      <w:r w:rsidR="00A47A75" w:rsidRPr="00823856">
        <w:rPr>
          <w:rFonts w:asciiTheme="majorBidi" w:hAnsiTheme="majorBidi" w:cstheme="majorBidi"/>
          <w:sz w:val="24"/>
          <w:szCs w:val="24"/>
        </w:rPr>
        <w:t>contributes the highest emission reduction benefits</w:t>
      </w:r>
      <w:r w:rsidRPr="00823856">
        <w:rPr>
          <w:rFonts w:asciiTheme="majorBidi" w:hAnsiTheme="majorBidi" w:cstheme="majorBidi"/>
          <w:sz w:val="24"/>
          <w:szCs w:val="24"/>
        </w:rPr>
        <w:t xml:space="preserve"> impact from its final stage. The result</w:t>
      </w:r>
      <w:r w:rsidR="00A47A75" w:rsidRPr="00823856">
        <w:rPr>
          <w:rFonts w:asciiTheme="majorBidi" w:hAnsiTheme="majorBidi" w:cstheme="majorBidi"/>
          <w:sz w:val="24"/>
          <w:szCs w:val="24"/>
        </w:rPr>
        <w:t>s</w:t>
      </w:r>
      <w:r w:rsidRPr="00823856">
        <w:rPr>
          <w:rFonts w:asciiTheme="majorBidi" w:hAnsiTheme="majorBidi" w:cstheme="majorBidi"/>
          <w:sz w:val="24"/>
          <w:szCs w:val="24"/>
        </w:rPr>
        <w:t xml:space="preserve"> in </w:t>
      </w:r>
      <w:r w:rsidR="00A47A75" w:rsidRPr="00823856">
        <w:rPr>
          <w:rFonts w:asciiTheme="majorBidi" w:hAnsiTheme="majorBidi" w:cstheme="majorBidi"/>
          <w:sz w:val="24"/>
          <w:szCs w:val="24"/>
        </w:rPr>
        <w:t>T</w:t>
      </w:r>
      <w:r w:rsidRPr="00823856">
        <w:rPr>
          <w:rFonts w:asciiTheme="majorBidi" w:hAnsiTheme="majorBidi" w:cstheme="majorBidi"/>
          <w:sz w:val="24"/>
          <w:szCs w:val="24"/>
        </w:rPr>
        <w:t xml:space="preserve">able 4 </w:t>
      </w:r>
      <w:proofErr w:type="gramStart"/>
      <w:r w:rsidRPr="00823856">
        <w:rPr>
          <w:rFonts w:asciiTheme="majorBidi" w:hAnsiTheme="majorBidi" w:cstheme="majorBidi"/>
          <w:sz w:val="24"/>
          <w:szCs w:val="24"/>
        </w:rPr>
        <w:t>is</w:t>
      </w:r>
      <w:proofErr w:type="gramEnd"/>
      <w:r w:rsidRPr="00823856">
        <w:rPr>
          <w:rFonts w:asciiTheme="majorBidi" w:hAnsiTheme="majorBidi" w:cstheme="majorBidi"/>
          <w:sz w:val="24"/>
          <w:szCs w:val="24"/>
        </w:rPr>
        <w:t xml:space="preserve"> </w:t>
      </w:r>
      <w:r w:rsidR="00A47A75" w:rsidRPr="00823856">
        <w:rPr>
          <w:rFonts w:asciiTheme="majorBidi" w:hAnsiTheme="majorBidi" w:cstheme="majorBidi"/>
          <w:sz w:val="24"/>
          <w:szCs w:val="24"/>
        </w:rPr>
        <w:t>summarize the</w:t>
      </w:r>
      <w:r w:rsidRPr="00823856">
        <w:rPr>
          <w:rFonts w:asciiTheme="majorBidi" w:hAnsiTheme="majorBidi" w:cstheme="majorBidi"/>
          <w:sz w:val="24"/>
          <w:szCs w:val="24"/>
        </w:rPr>
        <w:t xml:space="preserve"> product stage (A1, A2, and A3), transportation (A4), On-site (A5), maintenance (B2), and end of life</w:t>
      </w:r>
      <w:r w:rsidR="00A47A75" w:rsidRPr="00823856">
        <w:rPr>
          <w:rFonts w:asciiTheme="majorBidi" w:hAnsiTheme="majorBidi" w:cstheme="majorBidi"/>
          <w:sz w:val="24"/>
          <w:szCs w:val="24"/>
        </w:rPr>
        <w:t xml:space="preserve"> emissions</w:t>
      </w:r>
      <w:r w:rsidRPr="00823856">
        <w:rPr>
          <w:rFonts w:asciiTheme="majorBidi" w:hAnsiTheme="majorBidi" w:cstheme="majorBidi"/>
          <w:sz w:val="24"/>
          <w:szCs w:val="24"/>
        </w:rPr>
        <w:t>, which come along with benefits and loads (C1, C2, D1, D2, D3, and D4).</w:t>
      </w:r>
      <w:r w:rsidR="00D47011" w:rsidRPr="00823856">
        <w:rPr>
          <w:rFonts w:asciiTheme="majorBidi" w:hAnsiTheme="majorBidi" w:cstheme="majorBidi"/>
          <w:sz w:val="24"/>
          <w:szCs w:val="24"/>
        </w:rPr>
        <w:t xml:space="preserve"> </w:t>
      </w:r>
    </w:p>
    <w:p w14:paraId="573628EA" w14:textId="3FE33D23" w:rsidR="00D70487" w:rsidRPr="00823856" w:rsidRDefault="00245FB1" w:rsidP="00823856">
      <w:pPr>
        <w:autoSpaceDE w:val="0"/>
        <w:autoSpaceDN w:val="0"/>
        <w:adjustRightInd w:val="0"/>
        <w:spacing w:after="0" w:line="276" w:lineRule="auto"/>
        <w:ind w:left="1080" w:hanging="990"/>
        <w:jc w:val="center"/>
        <w:rPr>
          <w:rFonts w:asciiTheme="majorBidi" w:hAnsiTheme="majorBidi" w:cstheme="majorBidi"/>
          <w:sz w:val="24"/>
          <w:szCs w:val="24"/>
        </w:rPr>
      </w:pPr>
      <w:r w:rsidRPr="00823856">
        <w:rPr>
          <w:rFonts w:asciiTheme="majorBidi" w:hAnsiTheme="majorBidi" w:cstheme="majorBidi"/>
          <w:sz w:val="24"/>
          <w:szCs w:val="24"/>
        </w:rPr>
        <w:t>Table 4</w:t>
      </w:r>
      <w:r w:rsidR="00034B1E" w:rsidRPr="00823856">
        <w:rPr>
          <w:rFonts w:asciiTheme="majorBidi" w:hAnsiTheme="majorBidi" w:cstheme="majorBidi"/>
          <w:sz w:val="24"/>
          <w:szCs w:val="24"/>
        </w:rPr>
        <w:t>:</w:t>
      </w:r>
      <w:r w:rsidRPr="00823856">
        <w:rPr>
          <w:rFonts w:asciiTheme="majorBidi" w:hAnsiTheme="majorBidi" w:cstheme="majorBidi"/>
          <w:sz w:val="24"/>
          <w:szCs w:val="24"/>
        </w:rPr>
        <w:t xml:space="preserve"> Global warming potential</w:t>
      </w:r>
      <w:r w:rsidR="00D70487" w:rsidRPr="00823856">
        <w:rPr>
          <w:rFonts w:asciiTheme="majorBidi" w:hAnsiTheme="majorBidi" w:cstheme="majorBidi"/>
          <w:sz w:val="24"/>
          <w:szCs w:val="24"/>
        </w:rPr>
        <w:t xml:space="preserve"> emission of modular steel, concrete and timber (PPVC)</w:t>
      </w:r>
    </w:p>
    <w:tbl>
      <w:tblPr>
        <w:tblW w:w="0" w:type="auto"/>
        <w:jc w:val="center"/>
        <w:shd w:val="clear" w:color="auto" w:fill="BFBFBF" w:themeFill="background1" w:themeFillShade="BF"/>
        <w:tblLook w:val="04A0" w:firstRow="1" w:lastRow="0" w:firstColumn="1" w:lastColumn="0" w:noHBand="0" w:noVBand="1"/>
      </w:tblPr>
      <w:tblGrid>
        <w:gridCol w:w="1080"/>
        <w:gridCol w:w="572"/>
        <w:gridCol w:w="1345"/>
        <w:gridCol w:w="1017"/>
        <w:gridCol w:w="866"/>
        <w:gridCol w:w="1266"/>
        <w:gridCol w:w="1050"/>
      </w:tblGrid>
      <w:tr w:rsidR="003A61E5" w:rsidRPr="00F5545F" w14:paraId="4F6D6940" w14:textId="77777777" w:rsidTr="007F38F7">
        <w:trPr>
          <w:trHeight w:val="486"/>
          <w:jc w:val="center"/>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CE178EB"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 GWP</w:t>
            </w:r>
          </w:p>
        </w:tc>
        <w:tc>
          <w:tcPr>
            <w:tcW w:w="57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0E89F2D"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hAnsiTheme="majorBidi" w:cstheme="majorBidi"/>
                <w:sz w:val="20"/>
                <w:szCs w:val="20"/>
              </w:rPr>
              <w:t>Unit</w:t>
            </w:r>
          </w:p>
        </w:tc>
        <w:tc>
          <w:tcPr>
            <w:tcW w:w="134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72F1F9E"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 xml:space="preserve">Production  </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DCD8EC"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 xml:space="preserve">Transport </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47ACA19"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 xml:space="preserve">On-site </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A7FE4B"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 xml:space="preserve">Maintenance </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8D35B97"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 xml:space="preserve">End of life </w:t>
            </w:r>
          </w:p>
        </w:tc>
      </w:tr>
      <w:tr w:rsidR="003A61E5" w:rsidRPr="00F5545F" w14:paraId="05DDDEEA" w14:textId="77777777" w:rsidTr="007F38F7">
        <w:trPr>
          <w:trHeight w:val="48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6B9B56"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S-PPVC</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4232F8FA"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hAnsiTheme="majorBidi" w:cstheme="majorBidi"/>
                <w:sz w:val="20"/>
                <w:szCs w:val="20"/>
              </w:rPr>
              <w:t>Kg CO</w:t>
            </w:r>
            <w:r w:rsidRPr="00F5545F">
              <w:rPr>
                <w:rFonts w:asciiTheme="majorBidi" w:hAnsiTheme="majorBidi" w:cstheme="majorBidi"/>
                <w:sz w:val="20"/>
                <w:szCs w:val="20"/>
                <w:vertAlign w:val="subscript"/>
              </w:rPr>
              <w:t>2eq</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865448"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11256.5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5C103F"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1014.04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E7FC4E"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210.526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C717C0"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562.8229297</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E6EB4F"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-4100</w:t>
            </w:r>
          </w:p>
        </w:tc>
      </w:tr>
      <w:tr w:rsidR="003A61E5" w:rsidRPr="00F5545F" w14:paraId="5546676C" w14:textId="77777777" w:rsidTr="007F38F7">
        <w:trPr>
          <w:trHeight w:val="48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BD66BD"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C-PPVC</w:t>
            </w:r>
          </w:p>
        </w:tc>
        <w:tc>
          <w:tcPr>
            <w:tcW w:w="572" w:type="dxa"/>
            <w:vMerge/>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14:paraId="1C1B2F30" w14:textId="77777777" w:rsidR="003A61E5" w:rsidRPr="00F5545F" w:rsidRDefault="003A61E5" w:rsidP="007F38F7">
            <w:pPr>
              <w:spacing w:after="0" w:line="240" w:lineRule="auto"/>
              <w:jc w:val="right"/>
              <w:rPr>
                <w:rFonts w:asciiTheme="majorBidi" w:eastAsia="Times New Roman" w:hAnsiTheme="majorBidi" w:cstheme="majorBidi"/>
                <w:i/>
                <w:iCs/>
                <w:sz w:val="20"/>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EE05B3"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9294.15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B5D85E3"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1014.04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E6117B"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210.526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39887B"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464.7073684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35A6A1"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-800</w:t>
            </w:r>
          </w:p>
        </w:tc>
      </w:tr>
      <w:tr w:rsidR="003A61E5" w:rsidRPr="00F5545F" w14:paraId="42310133" w14:textId="77777777" w:rsidTr="007F38F7">
        <w:trPr>
          <w:trHeight w:val="48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FA7AAC" w14:textId="77777777" w:rsidR="003A61E5" w:rsidRPr="00F5545F" w:rsidRDefault="003A61E5" w:rsidP="007F38F7">
            <w:pPr>
              <w:spacing w:after="0" w:line="240" w:lineRule="auto"/>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T-PPVC</w:t>
            </w:r>
          </w:p>
        </w:tc>
        <w:tc>
          <w:tcPr>
            <w:tcW w:w="57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C332" w14:textId="77777777" w:rsidR="003A61E5" w:rsidRPr="00F5545F" w:rsidRDefault="003A61E5" w:rsidP="007F38F7">
            <w:pPr>
              <w:spacing w:after="0" w:line="240" w:lineRule="auto"/>
              <w:jc w:val="right"/>
              <w:rPr>
                <w:rFonts w:asciiTheme="majorBidi" w:eastAsia="Times New Roman" w:hAnsiTheme="majorBidi" w:cstheme="majorBidi"/>
                <w:i/>
                <w:iCs/>
                <w:sz w:val="20"/>
                <w:szCs w:val="20"/>
              </w:rPr>
            </w:pP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D1D2C" w14:textId="77777777" w:rsidR="003A61E5" w:rsidRPr="00F5545F" w:rsidRDefault="003A61E5" w:rsidP="007F38F7">
            <w:pPr>
              <w:spacing w:after="0"/>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7890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A4E9D0"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1014.04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4AABFAE"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210.526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885E5D"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294.5438596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B98DBB1" w14:textId="77777777" w:rsidR="003A61E5" w:rsidRPr="00F5545F" w:rsidRDefault="003A61E5" w:rsidP="007F38F7">
            <w:pPr>
              <w:spacing w:after="0" w:line="240" w:lineRule="auto"/>
              <w:jc w:val="center"/>
              <w:rPr>
                <w:rFonts w:asciiTheme="majorBidi" w:eastAsia="Times New Roman" w:hAnsiTheme="majorBidi" w:cstheme="majorBidi"/>
                <w:i/>
                <w:iCs/>
                <w:sz w:val="20"/>
                <w:szCs w:val="20"/>
              </w:rPr>
            </w:pPr>
            <w:r w:rsidRPr="00F5545F">
              <w:rPr>
                <w:rFonts w:asciiTheme="majorBidi" w:eastAsia="Times New Roman" w:hAnsiTheme="majorBidi" w:cstheme="majorBidi"/>
                <w:i/>
                <w:iCs/>
                <w:sz w:val="20"/>
                <w:szCs w:val="20"/>
              </w:rPr>
              <w:t>-1456.14</w:t>
            </w:r>
          </w:p>
        </w:tc>
      </w:tr>
    </w:tbl>
    <w:p w14:paraId="5E3838B2" w14:textId="0C318A08" w:rsidR="00A47A75" w:rsidRPr="00823856" w:rsidRDefault="00A47A75" w:rsidP="00823856">
      <w:pPr>
        <w:autoSpaceDE w:val="0"/>
        <w:autoSpaceDN w:val="0"/>
        <w:adjustRightInd w:val="0"/>
        <w:spacing w:after="0" w:line="276" w:lineRule="auto"/>
        <w:ind w:left="1080" w:hanging="990"/>
        <w:jc w:val="center"/>
        <w:rPr>
          <w:rFonts w:asciiTheme="majorBidi" w:hAnsiTheme="majorBidi" w:cstheme="majorBidi"/>
          <w:sz w:val="24"/>
          <w:szCs w:val="24"/>
        </w:rPr>
      </w:pPr>
    </w:p>
    <w:p w14:paraId="60B5C3AC" w14:textId="59E9E2E2" w:rsidR="00645387" w:rsidRPr="00823856" w:rsidRDefault="0081067A" w:rsidP="00EE12FE">
      <w:pPr>
        <w:spacing w:before="240" w:line="276" w:lineRule="auto"/>
        <w:ind w:firstLine="720"/>
        <w:jc w:val="both"/>
        <w:rPr>
          <w:rFonts w:asciiTheme="majorBidi" w:eastAsia="Times New Roman" w:hAnsiTheme="majorBidi" w:cstheme="majorBidi"/>
          <w:sz w:val="24"/>
          <w:szCs w:val="24"/>
        </w:rPr>
      </w:pPr>
      <w:r w:rsidRPr="00823856">
        <w:rPr>
          <w:rFonts w:asciiTheme="majorBidi" w:hAnsiTheme="majorBidi" w:cstheme="majorBidi"/>
          <w:sz w:val="24"/>
          <w:szCs w:val="24"/>
        </w:rPr>
        <w:t xml:space="preserve">Figure </w:t>
      </w:r>
      <w:r w:rsidR="00A254F0">
        <w:rPr>
          <w:rFonts w:asciiTheme="majorBidi" w:hAnsiTheme="majorBidi" w:cstheme="majorBidi"/>
          <w:sz w:val="24"/>
          <w:szCs w:val="24"/>
        </w:rPr>
        <w:t>2</w:t>
      </w:r>
      <w:r w:rsidRPr="00823856">
        <w:rPr>
          <w:rFonts w:asciiTheme="majorBidi" w:hAnsiTheme="majorBidi" w:cstheme="majorBidi"/>
          <w:sz w:val="24"/>
          <w:szCs w:val="24"/>
        </w:rPr>
        <w:t xml:space="preserve"> shows the GWP emission</w:t>
      </w:r>
      <w:r w:rsidR="00A47A75" w:rsidRPr="00823856">
        <w:rPr>
          <w:rFonts w:asciiTheme="majorBidi" w:hAnsiTheme="majorBidi" w:cstheme="majorBidi"/>
          <w:sz w:val="24"/>
          <w:szCs w:val="24"/>
        </w:rPr>
        <w:t>s</w:t>
      </w:r>
      <w:r w:rsidRPr="00823856">
        <w:rPr>
          <w:rFonts w:asciiTheme="majorBidi" w:hAnsiTheme="majorBidi" w:cstheme="majorBidi"/>
          <w:sz w:val="24"/>
          <w:szCs w:val="24"/>
        </w:rPr>
        <w:t xml:space="preserve"> for each stage of modular building</w:t>
      </w:r>
      <w:r w:rsidR="00A47A75" w:rsidRPr="00823856">
        <w:rPr>
          <w:rFonts w:asciiTheme="majorBidi" w:hAnsiTheme="majorBidi" w:cstheme="majorBidi"/>
          <w:sz w:val="24"/>
          <w:szCs w:val="24"/>
        </w:rPr>
        <w:t xml:space="preserve"> construction</w:t>
      </w:r>
      <w:r w:rsidRPr="00823856">
        <w:rPr>
          <w:rFonts w:asciiTheme="majorBidi" w:hAnsiTheme="majorBidi" w:cstheme="majorBidi"/>
          <w:sz w:val="24"/>
          <w:szCs w:val="24"/>
        </w:rPr>
        <w:t xml:space="preserve"> </w:t>
      </w:r>
      <w:r w:rsidR="00A47A75" w:rsidRPr="00823856">
        <w:rPr>
          <w:rFonts w:asciiTheme="majorBidi" w:hAnsiTheme="majorBidi" w:cstheme="majorBidi"/>
          <w:sz w:val="24"/>
          <w:szCs w:val="24"/>
        </w:rPr>
        <w:t xml:space="preserve">over </w:t>
      </w:r>
      <w:r w:rsidRPr="00823856">
        <w:rPr>
          <w:rFonts w:asciiTheme="majorBidi" w:hAnsiTheme="majorBidi" w:cstheme="majorBidi"/>
          <w:sz w:val="24"/>
          <w:szCs w:val="24"/>
        </w:rPr>
        <w:t xml:space="preserve">a 50-year life span. The total emission GWP </w:t>
      </w:r>
      <w:r w:rsidR="00A47A75" w:rsidRPr="00823856">
        <w:rPr>
          <w:rFonts w:asciiTheme="majorBidi" w:hAnsiTheme="majorBidi" w:cstheme="majorBidi"/>
          <w:sz w:val="24"/>
          <w:szCs w:val="24"/>
        </w:rPr>
        <w:t xml:space="preserve">emissions </w:t>
      </w:r>
      <w:r w:rsidRPr="00823856">
        <w:rPr>
          <w:rFonts w:asciiTheme="majorBidi" w:hAnsiTheme="majorBidi" w:cstheme="majorBidi"/>
          <w:sz w:val="24"/>
          <w:szCs w:val="24"/>
        </w:rPr>
        <w:t>for the case studies are 8043 Kg CO2eq, </w:t>
      </w:r>
      <w:r w:rsidRPr="00823856">
        <w:rPr>
          <w:rStyle w:val="Emphasis"/>
          <w:rFonts w:asciiTheme="majorBidi" w:hAnsiTheme="majorBidi" w:cstheme="majorBidi"/>
          <w:i w:val="0"/>
          <w:iCs w:val="0"/>
          <w:sz w:val="24"/>
          <w:szCs w:val="24"/>
        </w:rPr>
        <w:t>10183 </w:t>
      </w:r>
      <w:r w:rsidRPr="00823856">
        <w:rPr>
          <w:rFonts w:asciiTheme="majorBidi" w:hAnsiTheme="majorBidi" w:cstheme="majorBidi"/>
          <w:sz w:val="24"/>
          <w:szCs w:val="24"/>
        </w:rPr>
        <w:t>Kg CO2eq, and </w:t>
      </w:r>
      <w:r w:rsidRPr="00823856">
        <w:rPr>
          <w:rStyle w:val="Emphasis"/>
          <w:rFonts w:asciiTheme="majorBidi" w:hAnsiTheme="majorBidi" w:cstheme="majorBidi"/>
          <w:i w:val="0"/>
          <w:iCs w:val="0"/>
          <w:sz w:val="24"/>
          <w:szCs w:val="24"/>
        </w:rPr>
        <w:t>7953</w:t>
      </w:r>
      <w:r w:rsidRPr="00823856">
        <w:rPr>
          <w:rFonts w:asciiTheme="majorBidi" w:hAnsiTheme="majorBidi" w:cstheme="majorBidi"/>
          <w:sz w:val="24"/>
          <w:szCs w:val="24"/>
        </w:rPr>
        <w:t> Kg CO2eq</w:t>
      </w:r>
      <w:r w:rsidR="00A47A75" w:rsidRPr="00823856">
        <w:rPr>
          <w:rFonts w:asciiTheme="majorBidi" w:hAnsiTheme="majorBidi" w:cstheme="majorBidi"/>
          <w:sz w:val="24"/>
          <w:szCs w:val="24"/>
        </w:rPr>
        <w:t xml:space="preserve"> </w:t>
      </w:r>
      <w:r w:rsidRPr="00823856">
        <w:rPr>
          <w:rFonts w:asciiTheme="majorBidi" w:hAnsiTheme="majorBidi" w:cstheme="majorBidi"/>
          <w:sz w:val="24"/>
          <w:szCs w:val="24"/>
        </w:rPr>
        <w:t>for S-PPVC C-PPVC and T-PPVC</w:t>
      </w:r>
      <w:r w:rsidR="00A47A75" w:rsidRPr="00823856">
        <w:rPr>
          <w:rFonts w:asciiTheme="majorBidi" w:hAnsiTheme="majorBidi" w:cstheme="majorBidi"/>
          <w:sz w:val="24"/>
          <w:szCs w:val="24"/>
        </w:rPr>
        <w:t xml:space="preserve"> respectively</w:t>
      </w:r>
      <w:r w:rsidRPr="00823856">
        <w:rPr>
          <w:rFonts w:asciiTheme="majorBidi" w:hAnsiTheme="majorBidi" w:cstheme="majorBidi"/>
          <w:sz w:val="24"/>
          <w:szCs w:val="24"/>
        </w:rPr>
        <w:t>. The highest emission</w:t>
      </w:r>
      <w:r w:rsidR="00A47A75" w:rsidRPr="00823856">
        <w:rPr>
          <w:rFonts w:asciiTheme="majorBidi" w:hAnsiTheme="majorBidi" w:cstheme="majorBidi"/>
          <w:sz w:val="24"/>
          <w:szCs w:val="24"/>
        </w:rPr>
        <w:t>s are contributed by</w:t>
      </w:r>
      <w:r w:rsidRPr="00823856">
        <w:rPr>
          <w:rFonts w:asciiTheme="majorBidi" w:hAnsiTheme="majorBidi" w:cstheme="majorBidi"/>
          <w:sz w:val="24"/>
          <w:szCs w:val="24"/>
        </w:rPr>
        <w:t xml:space="preserve"> modular concrete, followed by modular steel and timber. The emission from steel and the modular building has a negligible difference despite their significant differences in the production stage. This is due to the end-of-life scenario for steel recycling with a positive net of its total carbon emission. The concrete production stage had a lower emission compared to steel. However, its entire life cycle, such as maintenance and end of </w:t>
      </w:r>
      <w:r w:rsidRPr="00823856">
        <w:rPr>
          <w:rFonts w:asciiTheme="majorBidi" w:hAnsiTheme="majorBidi" w:cstheme="majorBidi"/>
          <w:sz w:val="24"/>
          <w:szCs w:val="24"/>
        </w:rPr>
        <w:lastRenderedPageBreak/>
        <w:t>life, was ultimately revealed as having the highest modular structure compared to the alternatives. Steel modular has 13% higher carbon emission as opposed to modular timber. Timber is the most preferred choice as it has less carbon dioxide emission than other alternatives. </w:t>
      </w:r>
    </w:p>
    <w:p w14:paraId="1DDC3490" w14:textId="77777777" w:rsidR="00034B1E" w:rsidRPr="00823856" w:rsidRDefault="00034B1E" w:rsidP="00EE12FE">
      <w:pPr>
        <w:autoSpaceDE w:val="0"/>
        <w:autoSpaceDN w:val="0"/>
        <w:adjustRightInd w:val="0"/>
        <w:spacing w:after="0" w:line="276" w:lineRule="auto"/>
        <w:ind w:left="180"/>
        <w:jc w:val="center"/>
        <w:rPr>
          <w:rFonts w:asciiTheme="majorBidi" w:hAnsiTheme="majorBidi" w:cstheme="majorBidi"/>
          <w:sz w:val="24"/>
          <w:szCs w:val="24"/>
        </w:rPr>
      </w:pPr>
    </w:p>
    <w:p w14:paraId="3A2DA1EA" w14:textId="505B02A9" w:rsidR="00034B1E" w:rsidRPr="00823856" w:rsidRDefault="00034B1E" w:rsidP="00EE12FE">
      <w:pPr>
        <w:autoSpaceDE w:val="0"/>
        <w:autoSpaceDN w:val="0"/>
        <w:adjustRightInd w:val="0"/>
        <w:spacing w:after="0" w:line="276" w:lineRule="auto"/>
        <w:ind w:left="180"/>
        <w:jc w:val="center"/>
        <w:rPr>
          <w:rFonts w:asciiTheme="majorBidi" w:hAnsiTheme="majorBidi" w:cstheme="majorBidi"/>
          <w:sz w:val="24"/>
          <w:szCs w:val="24"/>
        </w:rPr>
      </w:pPr>
      <w:r w:rsidRPr="00823856">
        <w:rPr>
          <w:noProof/>
        </w:rPr>
        <w:drawing>
          <wp:inline distT="0" distB="0" distL="0" distR="0" wp14:anchorId="4E81F924" wp14:editId="6B3FBB8F">
            <wp:extent cx="4572000" cy="30099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19B615" w14:textId="12DFFCFF" w:rsidR="00CE4467" w:rsidRPr="00823856" w:rsidRDefault="001D135C" w:rsidP="004F4637">
      <w:pPr>
        <w:autoSpaceDE w:val="0"/>
        <w:autoSpaceDN w:val="0"/>
        <w:adjustRightInd w:val="0"/>
        <w:spacing w:after="0" w:line="276" w:lineRule="auto"/>
        <w:ind w:left="180"/>
        <w:rPr>
          <w:rFonts w:asciiTheme="majorBidi" w:hAnsiTheme="majorBidi" w:cstheme="majorBidi"/>
          <w:sz w:val="24"/>
          <w:szCs w:val="24"/>
        </w:rPr>
      </w:pPr>
      <w:r w:rsidRPr="00823856">
        <w:rPr>
          <w:rFonts w:asciiTheme="majorBidi" w:hAnsiTheme="majorBidi" w:cstheme="majorBidi"/>
          <w:sz w:val="24"/>
          <w:szCs w:val="24"/>
        </w:rPr>
        <w:t xml:space="preserve">Figure </w:t>
      </w:r>
      <w:r w:rsidR="00A254F0">
        <w:rPr>
          <w:rFonts w:asciiTheme="majorBidi" w:hAnsiTheme="majorBidi" w:cstheme="majorBidi"/>
          <w:sz w:val="24"/>
          <w:szCs w:val="24"/>
        </w:rPr>
        <w:t>2</w:t>
      </w:r>
      <w:r w:rsidR="00034B1E" w:rsidRPr="00823856">
        <w:rPr>
          <w:rFonts w:asciiTheme="majorBidi" w:hAnsiTheme="majorBidi" w:cstheme="majorBidi"/>
          <w:sz w:val="24"/>
          <w:szCs w:val="24"/>
        </w:rPr>
        <w:t>:</w:t>
      </w:r>
      <w:r w:rsidR="00747D2C" w:rsidRPr="00823856">
        <w:rPr>
          <w:rFonts w:asciiTheme="majorBidi" w:hAnsiTheme="majorBidi" w:cstheme="majorBidi"/>
          <w:sz w:val="24"/>
          <w:szCs w:val="24"/>
        </w:rPr>
        <w:t xml:space="preserve"> </w:t>
      </w:r>
      <w:r w:rsidR="004216A1" w:rsidRPr="00823856">
        <w:rPr>
          <w:rFonts w:asciiTheme="majorBidi" w:hAnsiTheme="majorBidi" w:cstheme="majorBidi"/>
          <w:sz w:val="24"/>
          <w:szCs w:val="24"/>
        </w:rPr>
        <w:t>Carbon</w:t>
      </w:r>
      <w:r w:rsidR="00747D2C" w:rsidRPr="00823856">
        <w:rPr>
          <w:rFonts w:asciiTheme="majorBidi" w:hAnsiTheme="majorBidi" w:cstheme="majorBidi"/>
          <w:sz w:val="24"/>
          <w:szCs w:val="24"/>
        </w:rPr>
        <w:t xml:space="preserve"> emission </w:t>
      </w:r>
      <w:r w:rsidR="004D06B8" w:rsidRPr="00823856">
        <w:rPr>
          <w:rFonts w:asciiTheme="majorBidi" w:hAnsiTheme="majorBidi" w:cstheme="majorBidi"/>
          <w:sz w:val="24"/>
          <w:szCs w:val="24"/>
        </w:rPr>
        <w:t>of modular</w:t>
      </w:r>
      <w:r w:rsidR="00747D2C" w:rsidRPr="00823856">
        <w:rPr>
          <w:rFonts w:asciiTheme="majorBidi" w:hAnsiTheme="majorBidi" w:cstheme="majorBidi"/>
          <w:sz w:val="24"/>
          <w:szCs w:val="24"/>
        </w:rPr>
        <w:t xml:space="preserve"> </w:t>
      </w:r>
      <w:r w:rsidR="00132103" w:rsidRPr="00823856">
        <w:rPr>
          <w:rFonts w:asciiTheme="majorBidi" w:hAnsiTheme="majorBidi" w:cstheme="majorBidi"/>
          <w:sz w:val="24"/>
          <w:szCs w:val="24"/>
        </w:rPr>
        <w:t>steel (S-PPVC), concrete (C-PPVC) and timber (T-PPVC)</w:t>
      </w:r>
    </w:p>
    <w:p w14:paraId="2F9F8834" w14:textId="77777777" w:rsidR="00EA1869" w:rsidRPr="00823856" w:rsidRDefault="00EA1869" w:rsidP="004F4637">
      <w:pPr>
        <w:autoSpaceDE w:val="0"/>
        <w:autoSpaceDN w:val="0"/>
        <w:adjustRightInd w:val="0"/>
        <w:spacing w:after="0" w:line="276" w:lineRule="auto"/>
        <w:ind w:left="180"/>
        <w:rPr>
          <w:rFonts w:asciiTheme="majorBidi" w:hAnsiTheme="majorBidi" w:cstheme="majorBidi"/>
          <w:sz w:val="24"/>
          <w:szCs w:val="24"/>
        </w:rPr>
      </w:pPr>
    </w:p>
    <w:p w14:paraId="67286FDF" w14:textId="197E4C60" w:rsidR="00846D89" w:rsidRPr="00823856" w:rsidRDefault="00AE7510" w:rsidP="00EE12FE">
      <w:pPr>
        <w:pStyle w:val="ListParagraph"/>
        <w:numPr>
          <w:ilvl w:val="1"/>
          <w:numId w:val="1"/>
        </w:numPr>
        <w:autoSpaceDE w:val="0"/>
        <w:autoSpaceDN w:val="0"/>
        <w:adjustRightInd w:val="0"/>
        <w:spacing w:before="240" w:after="0" w:line="276" w:lineRule="auto"/>
        <w:rPr>
          <w:rFonts w:asciiTheme="majorBidi" w:hAnsiTheme="majorBidi" w:cstheme="majorBidi"/>
          <w:b/>
          <w:bCs/>
          <w:i/>
          <w:iCs/>
          <w:sz w:val="24"/>
          <w:szCs w:val="24"/>
        </w:rPr>
      </w:pPr>
      <w:r w:rsidRPr="00823856">
        <w:rPr>
          <w:rFonts w:asciiTheme="majorBidi" w:hAnsiTheme="majorBidi" w:cstheme="majorBidi"/>
          <w:b/>
          <w:bCs/>
          <w:i/>
          <w:iCs/>
          <w:sz w:val="24"/>
          <w:szCs w:val="24"/>
        </w:rPr>
        <w:t xml:space="preserve">Embodied Energy </w:t>
      </w:r>
    </w:p>
    <w:p w14:paraId="0A5CE6CC" w14:textId="6811D684" w:rsidR="004C6086" w:rsidRDefault="001F0B91" w:rsidP="00EE12FE">
      <w:pPr>
        <w:autoSpaceDE w:val="0"/>
        <w:autoSpaceDN w:val="0"/>
        <w:adjustRightInd w:val="0"/>
        <w:spacing w:before="240" w:line="276" w:lineRule="auto"/>
        <w:ind w:firstLine="720"/>
        <w:jc w:val="both"/>
        <w:rPr>
          <w:rFonts w:asciiTheme="majorBidi" w:eastAsia="Times New Roman" w:hAnsiTheme="majorBidi" w:cstheme="majorBidi"/>
          <w:sz w:val="24"/>
          <w:szCs w:val="24"/>
        </w:rPr>
      </w:pPr>
      <w:r w:rsidRPr="00823856">
        <w:rPr>
          <w:rFonts w:asciiTheme="majorBidi" w:hAnsiTheme="majorBidi" w:cstheme="majorBidi"/>
          <w:sz w:val="24"/>
          <w:szCs w:val="24"/>
        </w:rPr>
        <w:t xml:space="preserve">To </w:t>
      </w:r>
      <w:r w:rsidR="00034B1E" w:rsidRPr="00823856">
        <w:rPr>
          <w:rFonts w:asciiTheme="majorBidi" w:hAnsiTheme="majorBidi" w:cstheme="majorBidi"/>
          <w:sz w:val="24"/>
          <w:szCs w:val="24"/>
        </w:rPr>
        <w:t>obtain</w:t>
      </w:r>
      <w:r w:rsidRPr="00823856">
        <w:rPr>
          <w:rFonts w:asciiTheme="majorBidi" w:hAnsiTheme="majorBidi" w:cstheme="majorBidi"/>
          <w:sz w:val="24"/>
          <w:szCs w:val="24"/>
        </w:rPr>
        <w:t xml:space="preserve"> a holistic understanding of energy consumption and its associated GWP emission</w:t>
      </w:r>
      <w:r w:rsidR="00034B1E" w:rsidRPr="00823856">
        <w:rPr>
          <w:rFonts w:asciiTheme="majorBidi" w:hAnsiTheme="majorBidi" w:cstheme="majorBidi"/>
          <w:sz w:val="24"/>
          <w:szCs w:val="24"/>
        </w:rPr>
        <w:t>s</w:t>
      </w:r>
      <w:r w:rsidRPr="00823856">
        <w:rPr>
          <w:rFonts w:asciiTheme="majorBidi" w:hAnsiTheme="majorBidi" w:cstheme="majorBidi"/>
          <w:sz w:val="24"/>
          <w:szCs w:val="24"/>
        </w:rPr>
        <w:t>, embodied energy must also be considered. Table 5 shows</w:t>
      </w:r>
      <w:r w:rsidR="00034B1E" w:rsidRPr="00823856">
        <w:rPr>
          <w:rFonts w:asciiTheme="majorBidi" w:hAnsiTheme="majorBidi" w:cstheme="majorBidi"/>
          <w:sz w:val="24"/>
          <w:szCs w:val="24"/>
        </w:rPr>
        <w:t xml:space="preserve"> embodied energy</w:t>
      </w:r>
      <w:r w:rsidRPr="00823856">
        <w:rPr>
          <w:rFonts w:asciiTheme="majorBidi" w:hAnsiTheme="majorBidi" w:cstheme="majorBidi"/>
          <w:sz w:val="24"/>
          <w:szCs w:val="24"/>
        </w:rPr>
        <w:t xml:space="preserve"> emissions </w:t>
      </w:r>
      <w:r w:rsidR="00034B1E" w:rsidRPr="00823856">
        <w:rPr>
          <w:rFonts w:asciiTheme="majorBidi" w:hAnsiTheme="majorBidi" w:cstheme="majorBidi"/>
          <w:sz w:val="24"/>
          <w:szCs w:val="24"/>
        </w:rPr>
        <w:t>from</w:t>
      </w:r>
      <w:r w:rsidRPr="00823856">
        <w:rPr>
          <w:rFonts w:asciiTheme="majorBidi" w:hAnsiTheme="majorBidi" w:cstheme="majorBidi"/>
          <w:sz w:val="24"/>
          <w:szCs w:val="24"/>
        </w:rPr>
        <w:t xml:space="preserve"> three different modular buildings. Material production and transportation are responsible for most embodied energy (cradle-to-site) followed by an on-site activity. Transportation </w:t>
      </w:r>
      <w:r w:rsidR="00034B1E" w:rsidRPr="00823856">
        <w:rPr>
          <w:rFonts w:asciiTheme="majorBidi" w:hAnsiTheme="majorBidi" w:cstheme="majorBidi"/>
          <w:sz w:val="24"/>
          <w:szCs w:val="24"/>
        </w:rPr>
        <w:t>has a significantly lower</w:t>
      </w:r>
      <w:r w:rsidRPr="00823856">
        <w:rPr>
          <w:rFonts w:asciiTheme="majorBidi" w:hAnsiTheme="majorBidi" w:cstheme="majorBidi"/>
          <w:sz w:val="24"/>
          <w:szCs w:val="24"/>
        </w:rPr>
        <w:t xml:space="preserve"> impact compared to the production stage (1.7% </w:t>
      </w:r>
      <w:r w:rsidR="00034B1E" w:rsidRPr="00823856">
        <w:rPr>
          <w:rFonts w:asciiTheme="majorBidi" w:hAnsiTheme="majorBidi" w:cstheme="majorBidi"/>
          <w:sz w:val="24"/>
          <w:szCs w:val="24"/>
        </w:rPr>
        <w:t xml:space="preserve">to </w:t>
      </w:r>
      <w:r w:rsidRPr="00823856">
        <w:rPr>
          <w:rFonts w:asciiTheme="majorBidi" w:hAnsiTheme="majorBidi" w:cstheme="majorBidi"/>
          <w:sz w:val="24"/>
          <w:szCs w:val="24"/>
        </w:rPr>
        <w:t>2%</w:t>
      </w:r>
      <w:r w:rsidR="00034B1E" w:rsidRPr="00823856">
        <w:rPr>
          <w:rFonts w:asciiTheme="majorBidi" w:hAnsiTheme="majorBidi" w:cstheme="majorBidi"/>
          <w:sz w:val="24"/>
          <w:szCs w:val="24"/>
        </w:rPr>
        <w:t xml:space="preserve"> of total embodied energy</w:t>
      </w:r>
      <w:r w:rsidRPr="00823856">
        <w:rPr>
          <w:rFonts w:asciiTheme="majorBidi" w:hAnsiTheme="majorBidi" w:cstheme="majorBidi"/>
          <w:sz w:val="24"/>
          <w:szCs w:val="24"/>
        </w:rPr>
        <w:t xml:space="preserve">), while on-site </w:t>
      </w:r>
      <w:r w:rsidR="00EA1869" w:rsidRPr="00823856">
        <w:rPr>
          <w:rFonts w:asciiTheme="majorBidi" w:hAnsiTheme="majorBidi" w:cstheme="majorBidi"/>
          <w:sz w:val="24"/>
          <w:szCs w:val="24"/>
        </w:rPr>
        <w:t>construction</w:t>
      </w:r>
      <w:r w:rsidRPr="00823856">
        <w:rPr>
          <w:rFonts w:asciiTheme="majorBidi" w:hAnsiTheme="majorBidi" w:cstheme="majorBidi"/>
          <w:sz w:val="24"/>
          <w:szCs w:val="24"/>
        </w:rPr>
        <w:t xml:space="preserve">, which includes cranes, contributed to only 0.07% to 1.2% of total embodied energy. Comparing material production and its cumulative </w:t>
      </w:r>
      <w:r w:rsidR="00EA1869" w:rsidRPr="00823856">
        <w:rPr>
          <w:rFonts w:asciiTheme="majorBidi" w:hAnsiTheme="majorBidi" w:cstheme="majorBidi"/>
          <w:sz w:val="24"/>
          <w:szCs w:val="24"/>
        </w:rPr>
        <w:t>effects when</w:t>
      </w:r>
      <w:r w:rsidRPr="00823856">
        <w:rPr>
          <w:rFonts w:asciiTheme="majorBidi" w:hAnsiTheme="majorBidi" w:cstheme="majorBidi"/>
          <w:sz w:val="24"/>
          <w:szCs w:val="24"/>
        </w:rPr>
        <w:t xml:space="preserve"> adding modular production shows that it increases 4% of embodied energy for all case studies. In other words, transportation and on-site</w:t>
      </w:r>
      <w:r w:rsidR="00EA1869" w:rsidRPr="00823856">
        <w:rPr>
          <w:rFonts w:asciiTheme="majorBidi" w:hAnsiTheme="majorBidi" w:cstheme="majorBidi"/>
          <w:sz w:val="24"/>
          <w:szCs w:val="24"/>
        </w:rPr>
        <w:t xml:space="preserve"> construction</w:t>
      </w:r>
      <w:r w:rsidRPr="00823856">
        <w:rPr>
          <w:rFonts w:asciiTheme="majorBidi" w:hAnsiTheme="majorBidi" w:cstheme="majorBidi"/>
          <w:sz w:val="24"/>
          <w:szCs w:val="24"/>
        </w:rPr>
        <w:t xml:space="preserve"> increased the impact by 8275 MJ, 8475 MJ, and 6545 MJ</w:t>
      </w:r>
      <w:r w:rsidR="00EA1869" w:rsidRPr="00823856">
        <w:rPr>
          <w:rFonts w:asciiTheme="majorBidi" w:hAnsiTheme="majorBidi" w:cstheme="majorBidi"/>
          <w:sz w:val="24"/>
          <w:szCs w:val="24"/>
        </w:rPr>
        <w:t xml:space="preserve"> </w:t>
      </w:r>
      <w:r w:rsidRPr="00823856">
        <w:rPr>
          <w:rFonts w:asciiTheme="majorBidi" w:hAnsiTheme="majorBidi" w:cstheme="majorBidi"/>
          <w:sz w:val="24"/>
          <w:szCs w:val="24"/>
        </w:rPr>
        <w:t>for modular steel, concrete, and timber</w:t>
      </w:r>
      <w:r w:rsidR="00EA1869" w:rsidRPr="00823856">
        <w:rPr>
          <w:rFonts w:asciiTheme="majorBidi" w:eastAsia="Times New Roman" w:hAnsiTheme="majorBidi" w:cstheme="majorBidi"/>
          <w:sz w:val="24"/>
          <w:szCs w:val="24"/>
        </w:rPr>
        <w:t xml:space="preserve"> respectively.</w:t>
      </w:r>
    </w:p>
    <w:p w14:paraId="3EAE9465" w14:textId="77777777" w:rsidR="00EA31B3" w:rsidRDefault="00EA31B3" w:rsidP="00EE12FE">
      <w:pPr>
        <w:autoSpaceDE w:val="0"/>
        <w:autoSpaceDN w:val="0"/>
        <w:adjustRightInd w:val="0"/>
        <w:spacing w:before="240" w:line="276" w:lineRule="auto"/>
        <w:ind w:firstLine="720"/>
        <w:jc w:val="both"/>
        <w:rPr>
          <w:rFonts w:asciiTheme="majorBidi" w:eastAsia="Times New Roman" w:hAnsiTheme="majorBidi" w:cstheme="majorBidi"/>
          <w:sz w:val="24"/>
          <w:szCs w:val="24"/>
        </w:rPr>
      </w:pPr>
    </w:p>
    <w:p w14:paraId="1FC04744" w14:textId="77777777" w:rsidR="00EA31B3" w:rsidRDefault="00EA31B3" w:rsidP="00EE12FE">
      <w:pPr>
        <w:autoSpaceDE w:val="0"/>
        <w:autoSpaceDN w:val="0"/>
        <w:adjustRightInd w:val="0"/>
        <w:spacing w:before="240" w:line="276" w:lineRule="auto"/>
        <w:ind w:firstLine="720"/>
        <w:jc w:val="both"/>
        <w:rPr>
          <w:rFonts w:asciiTheme="majorBidi" w:eastAsia="Times New Roman" w:hAnsiTheme="majorBidi" w:cstheme="majorBidi"/>
          <w:sz w:val="24"/>
          <w:szCs w:val="24"/>
        </w:rPr>
      </w:pPr>
    </w:p>
    <w:p w14:paraId="30C99444" w14:textId="77777777" w:rsidR="00EA31B3" w:rsidRPr="00823856" w:rsidRDefault="00EA31B3" w:rsidP="00EE12FE">
      <w:pPr>
        <w:autoSpaceDE w:val="0"/>
        <w:autoSpaceDN w:val="0"/>
        <w:adjustRightInd w:val="0"/>
        <w:spacing w:before="240" w:line="276" w:lineRule="auto"/>
        <w:ind w:firstLine="720"/>
        <w:jc w:val="both"/>
        <w:rPr>
          <w:rFonts w:asciiTheme="majorBidi" w:eastAsia="Times New Roman" w:hAnsiTheme="majorBidi" w:cstheme="majorBidi"/>
          <w:sz w:val="24"/>
          <w:szCs w:val="24"/>
        </w:rPr>
      </w:pPr>
    </w:p>
    <w:p w14:paraId="35AEEFF3" w14:textId="511479CD" w:rsidR="00082E54" w:rsidRPr="00823856" w:rsidRDefault="00082E54" w:rsidP="00823856">
      <w:pPr>
        <w:autoSpaceDE w:val="0"/>
        <w:autoSpaceDN w:val="0"/>
        <w:adjustRightInd w:val="0"/>
        <w:spacing w:after="0" w:line="276" w:lineRule="auto"/>
        <w:jc w:val="center"/>
        <w:rPr>
          <w:rFonts w:asciiTheme="majorBidi" w:hAnsiTheme="majorBidi" w:cstheme="majorBidi"/>
          <w:sz w:val="24"/>
          <w:szCs w:val="24"/>
        </w:rPr>
      </w:pPr>
      <w:r w:rsidRPr="00823856">
        <w:rPr>
          <w:rFonts w:asciiTheme="majorBidi" w:hAnsiTheme="majorBidi" w:cstheme="majorBidi"/>
          <w:sz w:val="24"/>
          <w:szCs w:val="24"/>
        </w:rPr>
        <w:lastRenderedPageBreak/>
        <w:t>Table 5</w:t>
      </w:r>
      <w:r w:rsidR="00034B1E" w:rsidRPr="00823856">
        <w:rPr>
          <w:rFonts w:asciiTheme="majorBidi" w:hAnsiTheme="majorBidi" w:cstheme="majorBidi"/>
          <w:sz w:val="24"/>
          <w:szCs w:val="24"/>
        </w:rPr>
        <w:t>:</w:t>
      </w:r>
      <w:r w:rsidRPr="00823856">
        <w:rPr>
          <w:rFonts w:asciiTheme="majorBidi" w:hAnsiTheme="majorBidi" w:cstheme="majorBidi"/>
          <w:sz w:val="24"/>
          <w:szCs w:val="24"/>
        </w:rPr>
        <w:t xml:space="preserve"> Embodied energy of modular steel, concrete and timber (PPVC)</w:t>
      </w:r>
    </w:p>
    <w:tbl>
      <w:tblPr>
        <w:tblStyle w:val="TableGrid"/>
        <w:tblW w:w="7460" w:type="dxa"/>
        <w:jc w:val="center"/>
        <w:tblLook w:val="04A0" w:firstRow="1" w:lastRow="0" w:firstColumn="1" w:lastColumn="0" w:noHBand="0" w:noVBand="1"/>
      </w:tblPr>
      <w:tblGrid>
        <w:gridCol w:w="1296"/>
        <w:gridCol w:w="598"/>
        <w:gridCol w:w="1351"/>
        <w:gridCol w:w="1038"/>
        <w:gridCol w:w="826"/>
        <w:gridCol w:w="1281"/>
        <w:gridCol w:w="1070"/>
      </w:tblGrid>
      <w:tr w:rsidR="003A61E5" w:rsidRPr="00F5545F" w14:paraId="0A81BC58" w14:textId="77777777" w:rsidTr="007F38F7">
        <w:trPr>
          <w:trHeight w:val="442"/>
          <w:jc w:val="center"/>
        </w:trPr>
        <w:tc>
          <w:tcPr>
            <w:tcW w:w="1296" w:type="dxa"/>
            <w:shd w:val="clear" w:color="auto" w:fill="BFBFBF" w:themeFill="background1" w:themeFillShade="BF"/>
            <w:noWrap/>
            <w:vAlign w:val="center"/>
            <w:hideMark/>
          </w:tcPr>
          <w:p w14:paraId="4A06BABE"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hAnsiTheme="majorBidi" w:cstheme="majorBidi"/>
                <w:sz w:val="18"/>
                <w:szCs w:val="18"/>
              </w:rPr>
              <w:t xml:space="preserve">Embodied energy </w:t>
            </w:r>
          </w:p>
        </w:tc>
        <w:tc>
          <w:tcPr>
            <w:tcW w:w="598" w:type="dxa"/>
            <w:shd w:val="clear" w:color="auto" w:fill="BFBFBF" w:themeFill="background1" w:themeFillShade="BF"/>
            <w:vAlign w:val="center"/>
          </w:tcPr>
          <w:p w14:paraId="7F36E17D"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hAnsiTheme="majorBidi" w:cstheme="majorBidi"/>
                <w:sz w:val="18"/>
                <w:szCs w:val="18"/>
              </w:rPr>
              <w:t>Unit</w:t>
            </w:r>
          </w:p>
        </w:tc>
        <w:tc>
          <w:tcPr>
            <w:tcW w:w="1351" w:type="dxa"/>
            <w:shd w:val="clear" w:color="auto" w:fill="BFBFBF" w:themeFill="background1" w:themeFillShade="BF"/>
            <w:noWrap/>
            <w:vAlign w:val="center"/>
            <w:hideMark/>
          </w:tcPr>
          <w:p w14:paraId="777569C6"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 xml:space="preserve">Production </w:t>
            </w:r>
          </w:p>
        </w:tc>
        <w:tc>
          <w:tcPr>
            <w:tcW w:w="0" w:type="auto"/>
            <w:shd w:val="clear" w:color="auto" w:fill="BFBFBF" w:themeFill="background1" w:themeFillShade="BF"/>
            <w:noWrap/>
            <w:vAlign w:val="center"/>
            <w:hideMark/>
          </w:tcPr>
          <w:p w14:paraId="6E67CA63"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 xml:space="preserve">Transport </w:t>
            </w:r>
          </w:p>
        </w:tc>
        <w:tc>
          <w:tcPr>
            <w:tcW w:w="0" w:type="auto"/>
            <w:shd w:val="clear" w:color="auto" w:fill="BFBFBF" w:themeFill="background1" w:themeFillShade="BF"/>
            <w:noWrap/>
            <w:vAlign w:val="center"/>
            <w:hideMark/>
          </w:tcPr>
          <w:p w14:paraId="1ECC22BD"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 xml:space="preserve">On-site </w:t>
            </w:r>
          </w:p>
        </w:tc>
        <w:tc>
          <w:tcPr>
            <w:tcW w:w="0" w:type="auto"/>
            <w:shd w:val="clear" w:color="auto" w:fill="BFBFBF" w:themeFill="background1" w:themeFillShade="BF"/>
            <w:noWrap/>
            <w:vAlign w:val="center"/>
            <w:hideMark/>
          </w:tcPr>
          <w:p w14:paraId="185D805C"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 xml:space="preserve">Maintenance </w:t>
            </w:r>
          </w:p>
        </w:tc>
        <w:tc>
          <w:tcPr>
            <w:tcW w:w="0" w:type="auto"/>
            <w:shd w:val="clear" w:color="auto" w:fill="BFBFBF" w:themeFill="background1" w:themeFillShade="BF"/>
            <w:noWrap/>
            <w:vAlign w:val="center"/>
            <w:hideMark/>
          </w:tcPr>
          <w:p w14:paraId="5611F8C7"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 xml:space="preserve">End of life </w:t>
            </w:r>
          </w:p>
        </w:tc>
      </w:tr>
      <w:tr w:rsidR="003A61E5" w:rsidRPr="00F5545F" w14:paraId="4BC8267C" w14:textId="77777777" w:rsidTr="007F38F7">
        <w:trPr>
          <w:trHeight w:val="442"/>
          <w:jc w:val="center"/>
        </w:trPr>
        <w:tc>
          <w:tcPr>
            <w:tcW w:w="1296" w:type="dxa"/>
            <w:noWrap/>
            <w:vAlign w:val="center"/>
            <w:hideMark/>
          </w:tcPr>
          <w:p w14:paraId="2E232B7A"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S-PPVC</w:t>
            </w:r>
          </w:p>
        </w:tc>
        <w:tc>
          <w:tcPr>
            <w:tcW w:w="598" w:type="dxa"/>
            <w:vMerge w:val="restart"/>
            <w:textDirection w:val="btLr"/>
            <w:vAlign w:val="center"/>
          </w:tcPr>
          <w:p w14:paraId="1647A0F1"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hAnsiTheme="majorBidi" w:cstheme="majorBidi"/>
                <w:sz w:val="18"/>
                <w:szCs w:val="18"/>
              </w:rPr>
              <w:t>MJ</w:t>
            </w:r>
          </w:p>
        </w:tc>
        <w:tc>
          <w:tcPr>
            <w:tcW w:w="1351" w:type="dxa"/>
            <w:noWrap/>
            <w:vAlign w:val="center"/>
            <w:hideMark/>
          </w:tcPr>
          <w:p w14:paraId="54F60B2D"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320340</w:t>
            </w:r>
          </w:p>
        </w:tc>
        <w:tc>
          <w:tcPr>
            <w:tcW w:w="0" w:type="auto"/>
            <w:noWrap/>
            <w:vAlign w:val="center"/>
            <w:hideMark/>
          </w:tcPr>
          <w:p w14:paraId="7E179E14"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5687</w:t>
            </w:r>
          </w:p>
        </w:tc>
        <w:tc>
          <w:tcPr>
            <w:tcW w:w="0" w:type="auto"/>
            <w:noWrap/>
            <w:vAlign w:val="center"/>
            <w:hideMark/>
          </w:tcPr>
          <w:p w14:paraId="6B185236"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2587.5</w:t>
            </w:r>
          </w:p>
        </w:tc>
        <w:tc>
          <w:tcPr>
            <w:tcW w:w="0" w:type="auto"/>
            <w:noWrap/>
            <w:vAlign w:val="center"/>
            <w:hideMark/>
          </w:tcPr>
          <w:p w14:paraId="1F16BFA8"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9441</w:t>
            </w:r>
          </w:p>
        </w:tc>
        <w:tc>
          <w:tcPr>
            <w:tcW w:w="0" w:type="auto"/>
            <w:noWrap/>
            <w:vAlign w:val="center"/>
            <w:hideMark/>
          </w:tcPr>
          <w:p w14:paraId="46C34202"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-96000</w:t>
            </w:r>
          </w:p>
        </w:tc>
      </w:tr>
      <w:tr w:rsidR="003A61E5" w:rsidRPr="00F5545F" w14:paraId="5BE7F9F1" w14:textId="77777777" w:rsidTr="007F38F7">
        <w:trPr>
          <w:trHeight w:val="356"/>
          <w:jc w:val="center"/>
        </w:trPr>
        <w:tc>
          <w:tcPr>
            <w:tcW w:w="1296" w:type="dxa"/>
            <w:noWrap/>
            <w:vAlign w:val="center"/>
            <w:hideMark/>
          </w:tcPr>
          <w:p w14:paraId="58794221"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C-PPVC</w:t>
            </w:r>
          </w:p>
        </w:tc>
        <w:tc>
          <w:tcPr>
            <w:tcW w:w="598" w:type="dxa"/>
            <w:vMerge/>
            <w:vAlign w:val="center"/>
          </w:tcPr>
          <w:p w14:paraId="3EEAD916" w14:textId="77777777" w:rsidR="003A61E5" w:rsidRPr="00F5545F" w:rsidRDefault="003A61E5" w:rsidP="007F38F7">
            <w:pPr>
              <w:rPr>
                <w:rFonts w:asciiTheme="majorBidi" w:eastAsia="Times New Roman" w:hAnsiTheme="majorBidi" w:cstheme="majorBidi"/>
                <w:i/>
                <w:iCs/>
                <w:sz w:val="18"/>
                <w:szCs w:val="18"/>
              </w:rPr>
            </w:pPr>
          </w:p>
        </w:tc>
        <w:tc>
          <w:tcPr>
            <w:tcW w:w="1351" w:type="dxa"/>
            <w:noWrap/>
            <w:vAlign w:val="center"/>
            <w:hideMark/>
          </w:tcPr>
          <w:p w14:paraId="5296E673"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283739</w:t>
            </w:r>
          </w:p>
        </w:tc>
        <w:tc>
          <w:tcPr>
            <w:tcW w:w="0" w:type="auto"/>
            <w:noWrap/>
            <w:vAlign w:val="center"/>
            <w:hideMark/>
          </w:tcPr>
          <w:p w14:paraId="0213B23B"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5687</w:t>
            </w:r>
          </w:p>
        </w:tc>
        <w:tc>
          <w:tcPr>
            <w:tcW w:w="0" w:type="auto"/>
            <w:noWrap/>
            <w:vAlign w:val="center"/>
            <w:hideMark/>
          </w:tcPr>
          <w:p w14:paraId="48A93CDA"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2787.5</w:t>
            </w:r>
          </w:p>
        </w:tc>
        <w:tc>
          <w:tcPr>
            <w:tcW w:w="0" w:type="auto"/>
            <w:noWrap/>
            <w:vAlign w:val="center"/>
            <w:hideMark/>
          </w:tcPr>
          <w:p w14:paraId="1F90529D"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9352</w:t>
            </w:r>
          </w:p>
        </w:tc>
        <w:tc>
          <w:tcPr>
            <w:tcW w:w="0" w:type="auto"/>
            <w:noWrap/>
            <w:vAlign w:val="center"/>
            <w:hideMark/>
          </w:tcPr>
          <w:p w14:paraId="7EBE0C3A"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-42000</w:t>
            </w:r>
          </w:p>
        </w:tc>
      </w:tr>
      <w:tr w:rsidR="003A61E5" w:rsidRPr="00F5545F" w14:paraId="619519E6" w14:textId="77777777" w:rsidTr="007F38F7">
        <w:trPr>
          <w:trHeight w:val="442"/>
          <w:jc w:val="center"/>
        </w:trPr>
        <w:tc>
          <w:tcPr>
            <w:tcW w:w="1296" w:type="dxa"/>
            <w:noWrap/>
            <w:vAlign w:val="center"/>
            <w:hideMark/>
          </w:tcPr>
          <w:p w14:paraId="6D6C698A" w14:textId="77777777" w:rsidR="003A61E5" w:rsidRPr="00F5545F" w:rsidRDefault="003A61E5" w:rsidP="007F38F7">
            <w:pP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T-PPVC</w:t>
            </w:r>
          </w:p>
        </w:tc>
        <w:tc>
          <w:tcPr>
            <w:tcW w:w="598" w:type="dxa"/>
            <w:vMerge/>
            <w:vAlign w:val="center"/>
          </w:tcPr>
          <w:p w14:paraId="7319CEE9" w14:textId="77777777" w:rsidR="003A61E5" w:rsidRPr="00F5545F" w:rsidRDefault="003A61E5" w:rsidP="007F38F7">
            <w:pPr>
              <w:rPr>
                <w:rFonts w:asciiTheme="majorBidi" w:eastAsia="Times New Roman" w:hAnsiTheme="majorBidi" w:cstheme="majorBidi"/>
                <w:i/>
                <w:iCs/>
                <w:sz w:val="18"/>
                <w:szCs w:val="18"/>
              </w:rPr>
            </w:pPr>
          </w:p>
        </w:tc>
        <w:tc>
          <w:tcPr>
            <w:tcW w:w="1351" w:type="dxa"/>
            <w:noWrap/>
            <w:vAlign w:val="center"/>
            <w:hideMark/>
          </w:tcPr>
          <w:p w14:paraId="4023C38B"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240450</w:t>
            </w:r>
          </w:p>
        </w:tc>
        <w:tc>
          <w:tcPr>
            <w:tcW w:w="0" w:type="auto"/>
            <w:noWrap/>
            <w:vAlign w:val="center"/>
            <w:hideMark/>
          </w:tcPr>
          <w:p w14:paraId="371191ED"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4687</w:t>
            </w:r>
          </w:p>
        </w:tc>
        <w:tc>
          <w:tcPr>
            <w:tcW w:w="0" w:type="auto"/>
            <w:noWrap/>
            <w:vAlign w:val="center"/>
            <w:hideMark/>
          </w:tcPr>
          <w:p w14:paraId="3817F030"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1857.5</w:t>
            </w:r>
          </w:p>
        </w:tc>
        <w:tc>
          <w:tcPr>
            <w:tcW w:w="0" w:type="auto"/>
            <w:noWrap/>
            <w:vAlign w:val="center"/>
            <w:hideMark/>
          </w:tcPr>
          <w:p w14:paraId="09663908"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9086</w:t>
            </w:r>
          </w:p>
        </w:tc>
        <w:tc>
          <w:tcPr>
            <w:tcW w:w="0" w:type="auto"/>
            <w:noWrap/>
            <w:vAlign w:val="center"/>
            <w:hideMark/>
          </w:tcPr>
          <w:p w14:paraId="31A6A859" w14:textId="77777777" w:rsidR="003A61E5" w:rsidRPr="00F5545F" w:rsidRDefault="003A61E5" w:rsidP="007F38F7">
            <w:pPr>
              <w:jc w:val="center"/>
              <w:rPr>
                <w:rFonts w:asciiTheme="majorBidi" w:eastAsia="Times New Roman" w:hAnsiTheme="majorBidi" w:cstheme="majorBidi"/>
                <w:i/>
                <w:iCs/>
                <w:sz w:val="18"/>
                <w:szCs w:val="18"/>
              </w:rPr>
            </w:pPr>
            <w:r w:rsidRPr="00F5545F">
              <w:rPr>
                <w:rFonts w:asciiTheme="majorBidi" w:eastAsia="Times New Roman" w:hAnsiTheme="majorBidi" w:cstheme="majorBidi"/>
                <w:i/>
                <w:iCs/>
                <w:sz w:val="18"/>
                <w:szCs w:val="18"/>
              </w:rPr>
              <w:t>-46000</w:t>
            </w:r>
          </w:p>
        </w:tc>
      </w:tr>
    </w:tbl>
    <w:p w14:paraId="02E45AEE" w14:textId="2A1F571A" w:rsidR="00034B1E" w:rsidRPr="00823856" w:rsidRDefault="00034B1E" w:rsidP="00EE12FE">
      <w:pPr>
        <w:autoSpaceDE w:val="0"/>
        <w:autoSpaceDN w:val="0"/>
        <w:adjustRightInd w:val="0"/>
        <w:spacing w:after="0" w:line="276" w:lineRule="auto"/>
        <w:ind w:left="900"/>
        <w:rPr>
          <w:rFonts w:asciiTheme="majorBidi" w:hAnsiTheme="majorBidi" w:cstheme="majorBidi"/>
          <w:sz w:val="24"/>
          <w:szCs w:val="24"/>
        </w:rPr>
      </w:pPr>
    </w:p>
    <w:p w14:paraId="6354115C" w14:textId="69C34283" w:rsidR="00002C0F" w:rsidRPr="00823856" w:rsidRDefault="00CD4ED0" w:rsidP="00EE12FE">
      <w:pPr>
        <w:autoSpaceDE w:val="0"/>
        <w:autoSpaceDN w:val="0"/>
        <w:adjustRightInd w:val="0"/>
        <w:spacing w:before="240" w:after="0"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Transportation and onsite process</w:t>
      </w:r>
      <w:r w:rsidR="00EA1869" w:rsidRPr="00823856">
        <w:rPr>
          <w:rFonts w:asciiTheme="majorBidi" w:hAnsiTheme="majorBidi" w:cstheme="majorBidi"/>
          <w:sz w:val="24"/>
          <w:szCs w:val="24"/>
        </w:rPr>
        <w:t>es</w:t>
      </w:r>
      <w:r w:rsidRPr="00823856">
        <w:rPr>
          <w:rFonts w:asciiTheme="majorBidi" w:hAnsiTheme="majorBidi" w:cstheme="majorBidi"/>
          <w:sz w:val="24"/>
          <w:szCs w:val="24"/>
        </w:rPr>
        <w:t xml:space="preserve"> have similar impacts and contributed </w:t>
      </w:r>
      <w:r w:rsidR="00EA1869" w:rsidRPr="00823856">
        <w:rPr>
          <w:rFonts w:asciiTheme="majorBidi" w:hAnsiTheme="majorBidi" w:cstheme="majorBidi"/>
          <w:sz w:val="24"/>
          <w:szCs w:val="24"/>
        </w:rPr>
        <w:t xml:space="preserve">to </w:t>
      </w:r>
      <w:r w:rsidRPr="00823856">
        <w:rPr>
          <w:rFonts w:asciiTheme="majorBidi" w:hAnsiTheme="majorBidi" w:cstheme="majorBidi"/>
          <w:sz w:val="24"/>
          <w:szCs w:val="24"/>
        </w:rPr>
        <w:t>2.3</w:t>
      </w:r>
      <w:r w:rsidR="00EA1869" w:rsidRPr="00823856">
        <w:rPr>
          <w:rFonts w:asciiTheme="majorBidi" w:hAnsiTheme="majorBidi" w:cstheme="majorBidi"/>
          <w:sz w:val="24"/>
          <w:szCs w:val="24"/>
        </w:rPr>
        <w:t>%</w:t>
      </w:r>
      <w:r w:rsidRPr="00823856">
        <w:rPr>
          <w:rFonts w:asciiTheme="majorBidi" w:hAnsiTheme="majorBidi" w:cstheme="majorBidi"/>
          <w:sz w:val="24"/>
          <w:szCs w:val="24"/>
        </w:rPr>
        <w:t xml:space="preserve"> and 1.2</w:t>
      </w:r>
      <w:r w:rsidR="00EA1869" w:rsidRPr="00823856">
        <w:rPr>
          <w:rFonts w:asciiTheme="majorBidi" w:hAnsiTheme="majorBidi" w:cstheme="majorBidi"/>
          <w:sz w:val="24"/>
          <w:szCs w:val="24"/>
        </w:rPr>
        <w:t>%</w:t>
      </w:r>
      <w:r w:rsidRPr="00823856">
        <w:rPr>
          <w:rFonts w:asciiTheme="majorBidi" w:hAnsiTheme="majorBidi" w:cstheme="majorBidi"/>
          <w:sz w:val="24"/>
          <w:szCs w:val="24"/>
        </w:rPr>
        <w:t xml:space="preserve"> of total emission</w:t>
      </w:r>
      <w:r w:rsidR="00EA1869" w:rsidRPr="00823856">
        <w:rPr>
          <w:rFonts w:asciiTheme="majorBidi" w:hAnsiTheme="majorBidi" w:cstheme="majorBidi"/>
          <w:sz w:val="24"/>
          <w:szCs w:val="24"/>
        </w:rPr>
        <w:t>s respectively</w:t>
      </w:r>
      <w:r w:rsidRPr="00823856">
        <w:rPr>
          <w:rFonts w:asciiTheme="majorBidi" w:hAnsiTheme="majorBidi" w:cstheme="majorBidi"/>
          <w:sz w:val="24"/>
          <w:szCs w:val="24"/>
        </w:rPr>
        <w:t>. The maintenance phase for timber had a higher contribution of 4.3% of total emission and followed by concrete and steel with 3.9% and 3.6% respectively. The result shows that steel has the highest production emission</w:t>
      </w:r>
      <w:r w:rsidR="00EA1869" w:rsidRPr="00823856">
        <w:rPr>
          <w:rFonts w:asciiTheme="majorBidi" w:hAnsiTheme="majorBidi" w:cstheme="majorBidi"/>
          <w:sz w:val="24"/>
          <w:szCs w:val="24"/>
        </w:rPr>
        <w:t>s</w:t>
      </w:r>
      <w:r w:rsidRPr="00823856">
        <w:rPr>
          <w:rFonts w:asciiTheme="majorBidi" w:hAnsiTheme="majorBidi" w:cstheme="majorBidi"/>
          <w:sz w:val="24"/>
          <w:szCs w:val="24"/>
        </w:rPr>
        <w:t>, followed by modular concrete and timber. S-PPVC has a higher embodied emission than C-PPVC by 11% and 24% higher than T-PPVC. In comparison, the end-of-life scenario significantly impacted total emission</w:t>
      </w:r>
      <w:r w:rsidR="000B5555" w:rsidRPr="00823856">
        <w:rPr>
          <w:rFonts w:asciiTheme="majorBidi" w:hAnsiTheme="majorBidi" w:cstheme="majorBidi"/>
          <w:sz w:val="24"/>
          <w:szCs w:val="24"/>
        </w:rPr>
        <w:t>s</w:t>
      </w:r>
      <w:r w:rsidRPr="00823856">
        <w:rPr>
          <w:rFonts w:asciiTheme="majorBidi" w:hAnsiTheme="majorBidi" w:cstheme="majorBidi"/>
          <w:sz w:val="24"/>
          <w:szCs w:val="24"/>
        </w:rPr>
        <w:t xml:space="preserve"> when steel recycling was considered for S-PPVC.</w:t>
      </w:r>
    </w:p>
    <w:p w14:paraId="35D142CB" w14:textId="77777777" w:rsidR="000B5555" w:rsidRPr="00823856" w:rsidRDefault="000B5555" w:rsidP="000B5555">
      <w:pPr>
        <w:autoSpaceDE w:val="0"/>
        <w:autoSpaceDN w:val="0"/>
        <w:adjustRightInd w:val="0"/>
        <w:spacing w:before="240" w:after="0" w:line="276" w:lineRule="auto"/>
        <w:ind w:firstLine="720"/>
        <w:jc w:val="both"/>
        <w:rPr>
          <w:rFonts w:asciiTheme="majorBidi" w:hAnsiTheme="majorBidi" w:cstheme="majorBidi"/>
          <w:sz w:val="24"/>
          <w:szCs w:val="24"/>
        </w:rPr>
      </w:pPr>
      <w:r w:rsidRPr="00823856">
        <w:rPr>
          <w:rFonts w:asciiTheme="majorBidi" w:hAnsiTheme="majorBidi" w:cstheme="majorBidi"/>
          <w:noProof/>
        </w:rPr>
        <w:drawing>
          <wp:inline distT="0" distB="0" distL="0" distR="0" wp14:anchorId="60AD8B5B" wp14:editId="7CC80B7B">
            <wp:extent cx="4961890" cy="3200400"/>
            <wp:effectExtent l="0" t="0" r="1016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FC2F40" w14:textId="7E67AC58" w:rsidR="000B5555" w:rsidRPr="00823856" w:rsidRDefault="000B5555" w:rsidP="00EA31B3">
      <w:pPr>
        <w:autoSpaceDE w:val="0"/>
        <w:autoSpaceDN w:val="0"/>
        <w:adjustRightInd w:val="0"/>
        <w:spacing w:after="0" w:line="276" w:lineRule="auto"/>
        <w:ind w:left="540"/>
        <w:jc w:val="center"/>
        <w:rPr>
          <w:rFonts w:asciiTheme="majorBidi" w:hAnsiTheme="majorBidi" w:cstheme="majorBidi"/>
          <w:sz w:val="24"/>
          <w:szCs w:val="24"/>
        </w:rPr>
      </w:pPr>
      <w:r w:rsidRPr="00823856">
        <w:rPr>
          <w:rFonts w:asciiTheme="majorBidi" w:hAnsiTheme="majorBidi" w:cstheme="majorBidi"/>
          <w:sz w:val="24"/>
          <w:szCs w:val="24"/>
        </w:rPr>
        <w:t xml:space="preserve">Figure </w:t>
      </w:r>
      <w:r w:rsidR="00A254F0">
        <w:rPr>
          <w:rFonts w:asciiTheme="majorBidi" w:hAnsiTheme="majorBidi" w:cstheme="majorBidi"/>
          <w:sz w:val="24"/>
          <w:szCs w:val="24"/>
        </w:rPr>
        <w:t>3</w:t>
      </w:r>
      <w:r w:rsidRPr="00823856">
        <w:rPr>
          <w:rFonts w:asciiTheme="majorBidi" w:hAnsiTheme="majorBidi" w:cstheme="majorBidi"/>
          <w:i/>
          <w:iCs/>
          <w:sz w:val="24"/>
          <w:szCs w:val="24"/>
        </w:rPr>
        <w:t>:</w:t>
      </w:r>
      <w:r w:rsidRPr="00823856">
        <w:rPr>
          <w:rFonts w:asciiTheme="majorBidi" w:hAnsiTheme="majorBidi" w:cstheme="majorBidi"/>
          <w:sz w:val="24"/>
          <w:szCs w:val="24"/>
        </w:rPr>
        <w:t xml:space="preserve"> Embodied energy of modular steel (S-PPVC), concrete (C-PPVC) and timber (T-PPVC)</w:t>
      </w:r>
    </w:p>
    <w:p w14:paraId="4495CC22" w14:textId="77777777" w:rsidR="00EA31B3" w:rsidRPr="00823856" w:rsidRDefault="00EA31B3" w:rsidP="00EA31B3">
      <w:pPr>
        <w:autoSpaceDE w:val="0"/>
        <w:autoSpaceDN w:val="0"/>
        <w:adjustRightInd w:val="0"/>
        <w:spacing w:before="240" w:after="0"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The recycling of steel had an offset impact which covered 30% of total production embodied energy, while recycling concrete steel bars only contributed to a 14% offset impact. Timber combustion for energy recovery at the end of life contributed to 20% of production embodied energy. This shows that proper recycling may decrease the total impact of the product for different construction materials. However, steel benefits from a higher offset impact with its recycling. Figure </w:t>
      </w:r>
      <w:r>
        <w:rPr>
          <w:rFonts w:asciiTheme="majorBidi" w:hAnsiTheme="majorBidi" w:cstheme="majorBidi"/>
          <w:sz w:val="24"/>
          <w:szCs w:val="24"/>
        </w:rPr>
        <w:t>3</w:t>
      </w:r>
      <w:r w:rsidRPr="00823856">
        <w:rPr>
          <w:rFonts w:asciiTheme="majorBidi" w:hAnsiTheme="majorBidi" w:cstheme="majorBidi"/>
          <w:sz w:val="24"/>
          <w:szCs w:val="24"/>
        </w:rPr>
        <w:t xml:space="preserve"> shows the total embodied energy impact for all case studies at each life stage. </w:t>
      </w:r>
      <w:r w:rsidRPr="00823856">
        <w:rPr>
          <w:rFonts w:asciiTheme="majorBidi" w:hAnsiTheme="majorBidi" w:cstheme="majorBidi"/>
          <w:sz w:val="24"/>
          <w:szCs w:val="24"/>
        </w:rPr>
        <w:lastRenderedPageBreak/>
        <w:t xml:space="preserve">The results show that despite the higher impact of steel during its production stage, its total impact was lower than concrete primarily due to the end-of-life scenario that considered recycling and reusing of steel. The total embodied energy was 242,057 MJ, 259,566 MJ, and 210,082 for modular steel, concrete, and timber respectively. Modular concrete had 7% higher embodied energy than modular steel and 23% higher than modular timber. Therefore, timber is the most optimum choice as it releases the least embodied energy compared to other alternatives. </w:t>
      </w:r>
    </w:p>
    <w:p w14:paraId="74235C2F" w14:textId="77777777" w:rsidR="00EA31B3" w:rsidRPr="00823856" w:rsidRDefault="00EA31B3" w:rsidP="00EE12FE">
      <w:pPr>
        <w:autoSpaceDE w:val="0"/>
        <w:autoSpaceDN w:val="0"/>
        <w:adjustRightInd w:val="0"/>
        <w:spacing w:before="240" w:after="0" w:line="276" w:lineRule="auto"/>
        <w:ind w:firstLine="720"/>
        <w:jc w:val="both"/>
        <w:rPr>
          <w:rFonts w:asciiTheme="majorBidi" w:hAnsiTheme="majorBidi" w:cstheme="majorBidi"/>
          <w:sz w:val="24"/>
          <w:szCs w:val="24"/>
        </w:rPr>
      </w:pPr>
    </w:p>
    <w:p w14:paraId="73548F3B" w14:textId="5773D506" w:rsidR="00645387" w:rsidRPr="00823856" w:rsidRDefault="006B1D07" w:rsidP="00EE12FE">
      <w:pPr>
        <w:pStyle w:val="ListParagraph"/>
        <w:numPr>
          <w:ilvl w:val="1"/>
          <w:numId w:val="17"/>
        </w:numPr>
        <w:autoSpaceDE w:val="0"/>
        <w:autoSpaceDN w:val="0"/>
        <w:adjustRightInd w:val="0"/>
        <w:spacing w:before="240" w:line="276" w:lineRule="auto"/>
        <w:rPr>
          <w:rFonts w:asciiTheme="majorBidi" w:hAnsiTheme="majorBidi" w:cstheme="majorBidi"/>
          <w:b/>
          <w:bCs/>
          <w:i/>
          <w:iCs/>
          <w:sz w:val="24"/>
          <w:szCs w:val="24"/>
        </w:rPr>
      </w:pPr>
      <w:r w:rsidRPr="00823856">
        <w:rPr>
          <w:rFonts w:asciiTheme="majorBidi" w:hAnsiTheme="majorBidi" w:cstheme="majorBidi"/>
          <w:sz w:val="24"/>
          <w:szCs w:val="24"/>
        </w:rPr>
        <w:t xml:space="preserve"> </w:t>
      </w:r>
      <w:r w:rsidR="00F30181" w:rsidRPr="00823856">
        <w:rPr>
          <w:rFonts w:asciiTheme="majorBidi" w:hAnsiTheme="majorBidi" w:cstheme="majorBidi"/>
          <w:b/>
          <w:bCs/>
          <w:i/>
          <w:iCs/>
          <w:sz w:val="24"/>
          <w:szCs w:val="24"/>
        </w:rPr>
        <w:t>Life Cycle Cost</w:t>
      </w:r>
    </w:p>
    <w:p w14:paraId="7AEE1C45" w14:textId="3CCEFE3A" w:rsidR="00315013" w:rsidRPr="00823856" w:rsidRDefault="00315013" w:rsidP="00EE12FE">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Table 6 shows the cost of each modular construction building per m</w:t>
      </w:r>
      <w:r w:rsidRPr="00823856">
        <w:rPr>
          <w:rFonts w:asciiTheme="majorBidi" w:hAnsiTheme="majorBidi" w:cstheme="majorBidi"/>
          <w:sz w:val="24"/>
          <w:szCs w:val="24"/>
          <w:vertAlign w:val="superscript"/>
        </w:rPr>
        <w:t>2</w:t>
      </w:r>
      <w:r w:rsidRPr="00823856">
        <w:rPr>
          <w:rFonts w:asciiTheme="majorBidi" w:hAnsiTheme="majorBidi" w:cstheme="majorBidi"/>
          <w:sz w:val="24"/>
          <w:szCs w:val="24"/>
        </w:rPr>
        <w:t xml:space="preserve"> </w:t>
      </w:r>
      <w:r w:rsidR="000B5555" w:rsidRPr="00823856">
        <w:rPr>
          <w:rFonts w:asciiTheme="majorBidi" w:hAnsiTheme="majorBidi" w:cstheme="majorBidi"/>
          <w:sz w:val="24"/>
          <w:szCs w:val="24"/>
        </w:rPr>
        <w:t>in</w:t>
      </w:r>
      <w:r w:rsidRPr="00823856">
        <w:rPr>
          <w:rFonts w:asciiTheme="majorBidi" w:hAnsiTheme="majorBidi" w:cstheme="majorBidi"/>
          <w:sz w:val="24"/>
          <w:szCs w:val="24"/>
        </w:rPr>
        <w:t xml:space="preserve"> MYR. The concrete was a ready mixed grade 40 that costs 36 MYR per m</w:t>
      </w:r>
      <w:r w:rsidRPr="00823856">
        <w:rPr>
          <w:rFonts w:asciiTheme="majorBidi" w:hAnsiTheme="majorBidi" w:cstheme="majorBidi"/>
          <w:sz w:val="24"/>
          <w:szCs w:val="24"/>
          <w:vertAlign w:val="superscript"/>
        </w:rPr>
        <w:t>3</w:t>
      </w:r>
      <w:r w:rsidRPr="00823856">
        <w:rPr>
          <w:rFonts w:asciiTheme="majorBidi" w:hAnsiTheme="majorBidi" w:cstheme="majorBidi"/>
          <w:sz w:val="24"/>
          <w:szCs w:val="24"/>
        </w:rPr>
        <w:t xml:space="preserve"> plus an extra 2 MYR for pump mix. Preliminary results indicated that although wood is cheaper than concrete and steel for every m</w:t>
      </w:r>
      <w:r w:rsidRPr="00823856">
        <w:rPr>
          <w:rFonts w:asciiTheme="majorBidi" w:hAnsiTheme="majorBidi" w:cstheme="majorBidi"/>
          <w:sz w:val="24"/>
          <w:szCs w:val="24"/>
          <w:vertAlign w:val="superscript"/>
        </w:rPr>
        <w:t>2</w:t>
      </w:r>
      <w:r w:rsidRPr="00823856">
        <w:rPr>
          <w:rFonts w:asciiTheme="majorBidi" w:hAnsiTheme="majorBidi" w:cstheme="majorBidi"/>
          <w:sz w:val="24"/>
          <w:szCs w:val="24"/>
        </w:rPr>
        <w:t xml:space="preserve">, constructing modular timber is more costly due to the extra material used for timber components. </w:t>
      </w:r>
      <w:r w:rsidR="000B5555" w:rsidRPr="00823856">
        <w:rPr>
          <w:rFonts w:asciiTheme="majorBidi" w:hAnsiTheme="majorBidi" w:cstheme="majorBidi"/>
          <w:sz w:val="24"/>
          <w:szCs w:val="24"/>
        </w:rPr>
        <w:t>Additionally</w:t>
      </w:r>
      <w:r w:rsidRPr="00823856">
        <w:rPr>
          <w:rFonts w:asciiTheme="majorBidi" w:hAnsiTheme="majorBidi" w:cstheme="majorBidi"/>
          <w:sz w:val="24"/>
          <w:szCs w:val="24"/>
        </w:rPr>
        <w:t xml:space="preserve">, the wages for modular timber construction were 22% and 33% higher than steel and concrete </w:t>
      </w:r>
      <w:r w:rsidR="000B5555" w:rsidRPr="00823856">
        <w:rPr>
          <w:rFonts w:asciiTheme="majorBidi" w:hAnsiTheme="majorBidi" w:cstheme="majorBidi"/>
          <w:sz w:val="24"/>
          <w:szCs w:val="24"/>
        </w:rPr>
        <w:t xml:space="preserve">respectively </w:t>
      </w:r>
      <w:r w:rsidRPr="00823856">
        <w:rPr>
          <w:rFonts w:asciiTheme="majorBidi" w:hAnsiTheme="majorBidi" w:cstheme="majorBidi"/>
          <w:sz w:val="24"/>
          <w:szCs w:val="24"/>
        </w:rPr>
        <w:t>for every m</w:t>
      </w:r>
      <w:r w:rsidRPr="00823856">
        <w:rPr>
          <w:rFonts w:asciiTheme="majorBidi" w:hAnsiTheme="majorBidi" w:cstheme="majorBidi"/>
          <w:sz w:val="24"/>
          <w:szCs w:val="24"/>
          <w:vertAlign w:val="superscript"/>
        </w:rPr>
        <w:t>2</w:t>
      </w:r>
      <w:r w:rsidRPr="00823856">
        <w:rPr>
          <w:rFonts w:asciiTheme="majorBidi" w:hAnsiTheme="majorBidi" w:cstheme="majorBidi"/>
          <w:sz w:val="24"/>
          <w:szCs w:val="24"/>
        </w:rPr>
        <w:t>. The construction costs for timber for every m</w:t>
      </w:r>
      <w:r w:rsidRPr="00823856">
        <w:rPr>
          <w:rFonts w:asciiTheme="majorBidi" w:hAnsiTheme="majorBidi" w:cstheme="majorBidi"/>
          <w:sz w:val="24"/>
          <w:szCs w:val="24"/>
          <w:vertAlign w:val="superscript"/>
        </w:rPr>
        <w:t>2</w:t>
      </w:r>
      <w:r w:rsidRPr="00823856">
        <w:rPr>
          <w:rFonts w:asciiTheme="majorBidi" w:hAnsiTheme="majorBidi" w:cstheme="majorBidi"/>
          <w:sz w:val="24"/>
          <w:szCs w:val="24"/>
        </w:rPr>
        <w:t xml:space="preserve"> were 10% and 13% higher than concrete and steel, respectively. The total construction and production costs to prepare the modul</w:t>
      </w:r>
      <w:r w:rsidR="00A208D0" w:rsidRPr="00823856">
        <w:rPr>
          <w:rFonts w:asciiTheme="majorBidi" w:hAnsiTheme="majorBidi" w:cstheme="majorBidi"/>
          <w:sz w:val="24"/>
          <w:szCs w:val="24"/>
        </w:rPr>
        <w:t>e</w:t>
      </w:r>
      <w:r w:rsidRPr="00823856">
        <w:rPr>
          <w:rFonts w:asciiTheme="majorBidi" w:hAnsiTheme="majorBidi" w:cstheme="majorBidi"/>
          <w:sz w:val="24"/>
          <w:szCs w:val="24"/>
        </w:rPr>
        <w:t xml:space="preserve"> in the factory were different for each case study. </w:t>
      </w:r>
      <w:r w:rsidR="00A208D0" w:rsidRPr="00823856">
        <w:rPr>
          <w:rFonts w:asciiTheme="majorBidi" w:hAnsiTheme="majorBidi" w:cstheme="majorBidi"/>
          <w:sz w:val="24"/>
          <w:szCs w:val="24"/>
        </w:rPr>
        <w:t>T</w:t>
      </w:r>
      <w:r w:rsidRPr="00823856">
        <w:rPr>
          <w:rFonts w:asciiTheme="majorBidi" w:hAnsiTheme="majorBidi" w:cstheme="majorBidi"/>
          <w:sz w:val="24"/>
          <w:szCs w:val="24"/>
        </w:rPr>
        <w:t>he cost of</w:t>
      </w:r>
      <w:r w:rsidR="00A208D0" w:rsidRPr="00823856">
        <w:rPr>
          <w:rFonts w:asciiTheme="majorBidi" w:hAnsiTheme="majorBidi" w:cstheme="majorBidi"/>
          <w:sz w:val="24"/>
          <w:szCs w:val="24"/>
        </w:rPr>
        <w:t xml:space="preserve"> the module’s </w:t>
      </w:r>
      <w:r w:rsidRPr="00823856">
        <w:rPr>
          <w:rFonts w:asciiTheme="majorBidi" w:hAnsiTheme="majorBidi" w:cstheme="majorBidi"/>
          <w:sz w:val="24"/>
          <w:szCs w:val="24"/>
        </w:rPr>
        <w:t>factory</w:t>
      </w:r>
      <w:r w:rsidR="00A208D0" w:rsidRPr="00823856">
        <w:rPr>
          <w:rFonts w:asciiTheme="majorBidi" w:hAnsiTheme="majorBidi" w:cstheme="majorBidi"/>
          <w:sz w:val="24"/>
          <w:szCs w:val="24"/>
        </w:rPr>
        <w:t xml:space="preserve"> preparation</w:t>
      </w:r>
      <w:r w:rsidRPr="00823856">
        <w:rPr>
          <w:rFonts w:asciiTheme="majorBidi" w:hAnsiTheme="majorBidi" w:cstheme="majorBidi"/>
          <w:sz w:val="24"/>
          <w:szCs w:val="24"/>
        </w:rPr>
        <w:t xml:space="preserve"> before being delivered to the site was 63</w:t>
      </w:r>
      <w:r w:rsidR="00A208D0" w:rsidRPr="00823856">
        <w:rPr>
          <w:rFonts w:asciiTheme="majorBidi" w:hAnsiTheme="majorBidi" w:cstheme="majorBidi"/>
          <w:sz w:val="24"/>
          <w:szCs w:val="24"/>
        </w:rPr>
        <w:t>,</w:t>
      </w:r>
      <w:r w:rsidRPr="00823856">
        <w:rPr>
          <w:rFonts w:asciiTheme="majorBidi" w:hAnsiTheme="majorBidi" w:cstheme="majorBidi"/>
          <w:sz w:val="24"/>
          <w:szCs w:val="24"/>
        </w:rPr>
        <w:t>846 MYR, and 59</w:t>
      </w:r>
      <w:r w:rsidR="00A208D0" w:rsidRPr="00823856">
        <w:rPr>
          <w:rFonts w:asciiTheme="majorBidi" w:hAnsiTheme="majorBidi" w:cstheme="majorBidi"/>
          <w:sz w:val="24"/>
          <w:szCs w:val="24"/>
        </w:rPr>
        <w:t>,</w:t>
      </w:r>
      <w:r w:rsidRPr="00823856">
        <w:rPr>
          <w:rFonts w:asciiTheme="majorBidi" w:hAnsiTheme="majorBidi" w:cstheme="majorBidi"/>
          <w:sz w:val="24"/>
          <w:szCs w:val="24"/>
        </w:rPr>
        <w:t xml:space="preserve">073 </w:t>
      </w:r>
      <w:r w:rsidR="00A208D0" w:rsidRPr="00823856">
        <w:rPr>
          <w:rFonts w:asciiTheme="majorBidi" w:hAnsiTheme="majorBidi" w:cstheme="majorBidi"/>
          <w:sz w:val="24"/>
          <w:szCs w:val="24"/>
        </w:rPr>
        <w:t xml:space="preserve">MYR </w:t>
      </w:r>
      <w:r w:rsidRPr="00823856">
        <w:rPr>
          <w:rFonts w:asciiTheme="majorBidi" w:hAnsiTheme="majorBidi" w:cstheme="majorBidi"/>
          <w:sz w:val="24"/>
          <w:szCs w:val="24"/>
        </w:rPr>
        <w:t>and 7</w:t>
      </w:r>
      <w:r w:rsidR="006A7906" w:rsidRPr="00823856">
        <w:rPr>
          <w:rFonts w:asciiTheme="majorBidi" w:hAnsiTheme="majorBidi" w:cstheme="majorBidi"/>
          <w:sz w:val="24"/>
          <w:szCs w:val="24"/>
        </w:rPr>
        <w:t>0</w:t>
      </w:r>
      <w:r w:rsidR="00A208D0" w:rsidRPr="00823856">
        <w:rPr>
          <w:rFonts w:asciiTheme="majorBidi" w:hAnsiTheme="majorBidi" w:cstheme="majorBidi"/>
          <w:sz w:val="24"/>
          <w:szCs w:val="24"/>
        </w:rPr>
        <w:t>,</w:t>
      </w:r>
      <w:r w:rsidR="006A7906" w:rsidRPr="00823856">
        <w:rPr>
          <w:rFonts w:asciiTheme="majorBidi" w:hAnsiTheme="majorBidi" w:cstheme="majorBidi"/>
          <w:sz w:val="24"/>
          <w:szCs w:val="24"/>
        </w:rPr>
        <w:t>700</w:t>
      </w:r>
      <w:r w:rsidRPr="00823856">
        <w:rPr>
          <w:rFonts w:asciiTheme="majorBidi" w:hAnsiTheme="majorBidi" w:cstheme="majorBidi"/>
          <w:sz w:val="24"/>
          <w:szCs w:val="24"/>
        </w:rPr>
        <w:t xml:space="preserve"> MYR for</w:t>
      </w:r>
      <w:r w:rsidR="00A208D0" w:rsidRPr="00823856">
        <w:rPr>
          <w:rFonts w:asciiTheme="majorBidi" w:hAnsiTheme="majorBidi" w:cstheme="majorBidi"/>
          <w:sz w:val="24"/>
          <w:szCs w:val="24"/>
        </w:rPr>
        <w:t xml:space="preserve"> steel,</w:t>
      </w:r>
      <w:r w:rsidRPr="00823856">
        <w:rPr>
          <w:rFonts w:asciiTheme="majorBidi" w:hAnsiTheme="majorBidi" w:cstheme="majorBidi"/>
          <w:sz w:val="24"/>
          <w:szCs w:val="24"/>
        </w:rPr>
        <w:t xml:space="preserve"> concrete and timber respectively. This shows that modular concrete has a lower preliminary </w:t>
      </w:r>
      <w:r w:rsidR="00A208D0" w:rsidRPr="00823856">
        <w:rPr>
          <w:rFonts w:asciiTheme="majorBidi" w:hAnsiTheme="majorBidi" w:cstheme="majorBidi"/>
          <w:sz w:val="24"/>
          <w:szCs w:val="24"/>
        </w:rPr>
        <w:t xml:space="preserve">production </w:t>
      </w:r>
      <w:r w:rsidRPr="00823856">
        <w:rPr>
          <w:rFonts w:asciiTheme="majorBidi" w:hAnsiTheme="majorBidi" w:cstheme="majorBidi"/>
          <w:sz w:val="24"/>
          <w:szCs w:val="24"/>
        </w:rPr>
        <w:t xml:space="preserve">cost by 7% </w:t>
      </w:r>
      <w:r w:rsidR="00A208D0" w:rsidRPr="00823856">
        <w:rPr>
          <w:rFonts w:asciiTheme="majorBidi" w:hAnsiTheme="majorBidi" w:cstheme="majorBidi"/>
          <w:sz w:val="24"/>
          <w:szCs w:val="24"/>
        </w:rPr>
        <w:t>compared to</w:t>
      </w:r>
      <w:r w:rsidRPr="00823856">
        <w:rPr>
          <w:rFonts w:asciiTheme="majorBidi" w:hAnsiTheme="majorBidi" w:cstheme="majorBidi"/>
          <w:sz w:val="24"/>
          <w:szCs w:val="24"/>
        </w:rPr>
        <w:t xml:space="preserve"> modular steel.</w:t>
      </w:r>
    </w:p>
    <w:p w14:paraId="2F760ED0" w14:textId="266CEBD0" w:rsidR="00B81A5B" w:rsidRDefault="00254B39" w:rsidP="00EE12FE">
      <w:pPr>
        <w:autoSpaceDE w:val="0"/>
        <w:autoSpaceDN w:val="0"/>
        <w:adjustRightInd w:val="0"/>
        <w:spacing w:after="0" w:line="276" w:lineRule="auto"/>
        <w:ind w:left="90" w:firstLine="540"/>
        <w:rPr>
          <w:rFonts w:asciiTheme="majorBidi" w:hAnsiTheme="majorBidi" w:cstheme="majorBidi"/>
          <w:sz w:val="20"/>
          <w:szCs w:val="20"/>
        </w:rPr>
      </w:pPr>
      <w:r w:rsidRPr="003A61E5">
        <w:rPr>
          <w:rFonts w:asciiTheme="majorBidi" w:hAnsiTheme="majorBidi" w:cstheme="majorBidi"/>
          <w:sz w:val="20"/>
          <w:szCs w:val="20"/>
        </w:rPr>
        <w:t xml:space="preserve">Table 6, cost estimation of modular steel, concrete and timber (PPVC) construction phase </w:t>
      </w:r>
    </w:p>
    <w:tbl>
      <w:tblPr>
        <w:tblStyle w:val="TableGrid"/>
        <w:tblpPr w:leftFromText="180" w:rightFromText="180" w:vertAnchor="text" w:tblpXSpec="center" w:tblpY="1"/>
        <w:tblOverlap w:val="never"/>
        <w:tblW w:w="6780" w:type="dxa"/>
        <w:tblLook w:val="04A0" w:firstRow="1" w:lastRow="0" w:firstColumn="1" w:lastColumn="0" w:noHBand="0" w:noVBand="1"/>
      </w:tblPr>
      <w:tblGrid>
        <w:gridCol w:w="843"/>
        <w:gridCol w:w="3211"/>
        <w:gridCol w:w="1655"/>
        <w:gridCol w:w="1071"/>
      </w:tblGrid>
      <w:tr w:rsidR="003A61E5" w:rsidRPr="00F5545F" w14:paraId="3A381CA0" w14:textId="77777777" w:rsidTr="007F38F7">
        <w:trPr>
          <w:trHeight w:val="26"/>
        </w:trPr>
        <w:tc>
          <w:tcPr>
            <w:tcW w:w="0" w:type="auto"/>
            <w:shd w:val="clear" w:color="auto" w:fill="AEAAAA" w:themeFill="background2" w:themeFillShade="BF"/>
            <w:vAlign w:val="center"/>
          </w:tcPr>
          <w:p w14:paraId="33FEE827" w14:textId="77777777" w:rsidR="003A61E5" w:rsidRPr="00F5545F" w:rsidRDefault="003A61E5" w:rsidP="007F38F7">
            <w:pPr>
              <w:rPr>
                <w:rFonts w:asciiTheme="majorBidi" w:hAnsiTheme="majorBidi" w:cstheme="majorBidi"/>
                <w:b/>
                <w:bCs/>
                <w:i/>
                <w:iCs/>
                <w:sz w:val="18"/>
                <w:szCs w:val="18"/>
              </w:rPr>
            </w:pPr>
            <w:r w:rsidRPr="00F5545F">
              <w:rPr>
                <w:rFonts w:asciiTheme="majorBidi" w:hAnsiTheme="majorBidi" w:cstheme="majorBidi"/>
                <w:b/>
                <w:bCs/>
                <w:i/>
                <w:iCs/>
                <w:sz w:val="18"/>
                <w:szCs w:val="18"/>
              </w:rPr>
              <w:t xml:space="preserve">Types </w:t>
            </w:r>
          </w:p>
        </w:tc>
        <w:tc>
          <w:tcPr>
            <w:tcW w:w="0" w:type="auto"/>
            <w:shd w:val="clear" w:color="auto" w:fill="AEAAAA" w:themeFill="background2" w:themeFillShade="BF"/>
            <w:vAlign w:val="center"/>
          </w:tcPr>
          <w:p w14:paraId="551CF9A2" w14:textId="77777777" w:rsidR="003A61E5" w:rsidRPr="00F5545F" w:rsidRDefault="003A61E5" w:rsidP="007F38F7">
            <w:pPr>
              <w:rPr>
                <w:rFonts w:asciiTheme="majorBidi" w:hAnsiTheme="majorBidi" w:cstheme="majorBidi"/>
                <w:b/>
                <w:bCs/>
                <w:i/>
                <w:iCs/>
                <w:sz w:val="18"/>
                <w:szCs w:val="18"/>
              </w:rPr>
            </w:pPr>
            <w:r w:rsidRPr="00F5545F">
              <w:rPr>
                <w:rFonts w:asciiTheme="majorBidi" w:hAnsiTheme="majorBidi" w:cstheme="majorBidi"/>
                <w:b/>
                <w:bCs/>
                <w:i/>
                <w:iCs/>
                <w:sz w:val="18"/>
                <w:szCs w:val="18"/>
              </w:rPr>
              <w:t>Material</w:t>
            </w:r>
          </w:p>
        </w:tc>
        <w:tc>
          <w:tcPr>
            <w:tcW w:w="1655" w:type="dxa"/>
            <w:shd w:val="clear" w:color="auto" w:fill="AEAAAA" w:themeFill="background2" w:themeFillShade="BF"/>
            <w:vAlign w:val="center"/>
          </w:tcPr>
          <w:p w14:paraId="53A1910B" w14:textId="77777777" w:rsidR="003A61E5" w:rsidRPr="00F5545F" w:rsidRDefault="003A61E5" w:rsidP="007F38F7">
            <w:pPr>
              <w:autoSpaceDE w:val="0"/>
              <w:autoSpaceDN w:val="0"/>
              <w:adjustRightInd w:val="0"/>
              <w:rPr>
                <w:rFonts w:asciiTheme="majorBidi" w:hAnsiTheme="majorBidi" w:cstheme="majorBidi"/>
                <w:b/>
                <w:bCs/>
                <w:i/>
                <w:iCs/>
                <w:sz w:val="18"/>
                <w:szCs w:val="18"/>
              </w:rPr>
            </w:pPr>
            <w:r w:rsidRPr="00F5545F">
              <w:rPr>
                <w:rFonts w:asciiTheme="majorBidi" w:hAnsiTheme="majorBidi" w:cstheme="majorBidi"/>
                <w:b/>
                <w:bCs/>
                <w:sz w:val="16"/>
                <w:szCs w:val="16"/>
              </w:rPr>
              <w:t>Cost of construction per m</w:t>
            </w:r>
            <w:r w:rsidRPr="00F5545F">
              <w:rPr>
                <w:rFonts w:asciiTheme="majorBidi" w:hAnsiTheme="majorBidi" w:cstheme="majorBidi"/>
                <w:b/>
                <w:bCs/>
                <w:sz w:val="16"/>
                <w:szCs w:val="16"/>
                <w:vertAlign w:val="superscript"/>
              </w:rPr>
              <w:t>2</w:t>
            </w:r>
            <w:r w:rsidRPr="00F5545F">
              <w:rPr>
                <w:rFonts w:asciiTheme="majorBidi" w:hAnsiTheme="majorBidi" w:cstheme="majorBidi"/>
                <w:b/>
                <w:bCs/>
                <w:sz w:val="16"/>
                <w:szCs w:val="16"/>
              </w:rPr>
              <w:t xml:space="preserve"> -MYR</w:t>
            </w:r>
          </w:p>
        </w:tc>
        <w:tc>
          <w:tcPr>
            <w:tcW w:w="1071" w:type="dxa"/>
            <w:shd w:val="clear" w:color="auto" w:fill="AEAAAA" w:themeFill="background2" w:themeFillShade="BF"/>
          </w:tcPr>
          <w:p w14:paraId="784640FD" w14:textId="77777777" w:rsidR="003A61E5" w:rsidRPr="00F5545F" w:rsidRDefault="003A61E5" w:rsidP="007F38F7">
            <w:pPr>
              <w:autoSpaceDE w:val="0"/>
              <w:autoSpaceDN w:val="0"/>
              <w:adjustRightInd w:val="0"/>
              <w:rPr>
                <w:rFonts w:asciiTheme="majorBidi" w:hAnsiTheme="majorBidi" w:cstheme="majorBidi"/>
                <w:b/>
                <w:bCs/>
                <w:i/>
                <w:iCs/>
                <w:sz w:val="18"/>
                <w:szCs w:val="18"/>
              </w:rPr>
            </w:pPr>
            <w:r w:rsidRPr="00F5545F">
              <w:rPr>
                <w:rFonts w:asciiTheme="majorBidi" w:hAnsiTheme="majorBidi" w:cstheme="majorBidi"/>
                <w:b/>
                <w:bCs/>
                <w:sz w:val="16"/>
                <w:szCs w:val="16"/>
              </w:rPr>
              <w:t>Total Cost /MYR</w:t>
            </w:r>
          </w:p>
        </w:tc>
      </w:tr>
      <w:tr w:rsidR="003A61E5" w:rsidRPr="00F5545F" w14:paraId="26AD4613" w14:textId="77777777" w:rsidTr="007F38F7">
        <w:trPr>
          <w:trHeight w:val="26"/>
        </w:trPr>
        <w:tc>
          <w:tcPr>
            <w:tcW w:w="0" w:type="auto"/>
            <w:vMerge w:val="restart"/>
            <w:vAlign w:val="center"/>
          </w:tcPr>
          <w:p w14:paraId="15AF0390" w14:textId="77777777" w:rsidR="003A61E5" w:rsidRPr="00F5545F" w:rsidRDefault="003A61E5" w:rsidP="007F38F7">
            <w:pPr>
              <w:rPr>
                <w:rFonts w:asciiTheme="majorBidi" w:hAnsiTheme="majorBidi" w:cstheme="majorBidi"/>
                <w:b/>
                <w:bCs/>
                <w:i/>
                <w:iCs/>
                <w:sz w:val="18"/>
                <w:szCs w:val="18"/>
              </w:rPr>
            </w:pPr>
            <w:r w:rsidRPr="00F5545F">
              <w:rPr>
                <w:rFonts w:asciiTheme="majorBidi" w:hAnsiTheme="majorBidi" w:cstheme="majorBidi"/>
                <w:i/>
                <w:iCs/>
                <w:sz w:val="18"/>
                <w:szCs w:val="18"/>
              </w:rPr>
              <w:t>S-PPVC</w:t>
            </w:r>
          </w:p>
          <w:p w14:paraId="76287231"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08B1BB90"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Light Steel Stud Frame Walls and ceiling</w:t>
            </w:r>
          </w:p>
        </w:tc>
        <w:tc>
          <w:tcPr>
            <w:tcW w:w="1655" w:type="dxa"/>
            <w:vAlign w:val="center"/>
          </w:tcPr>
          <w:p w14:paraId="25753D3C"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31</w:t>
            </w:r>
          </w:p>
        </w:tc>
        <w:tc>
          <w:tcPr>
            <w:tcW w:w="1071" w:type="dxa"/>
            <w:vMerge w:val="restart"/>
            <w:vAlign w:val="center"/>
          </w:tcPr>
          <w:p w14:paraId="1DBAE9EF" w14:textId="77777777" w:rsidR="003A61E5" w:rsidRPr="00F5545F" w:rsidRDefault="003A61E5"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105.01</w:t>
            </w:r>
          </w:p>
        </w:tc>
      </w:tr>
      <w:tr w:rsidR="003A61E5" w:rsidRPr="00F5545F" w14:paraId="0EBA1971" w14:textId="77777777" w:rsidTr="007F38F7">
        <w:trPr>
          <w:trHeight w:val="26"/>
        </w:trPr>
        <w:tc>
          <w:tcPr>
            <w:tcW w:w="0" w:type="auto"/>
            <w:vMerge/>
            <w:vAlign w:val="center"/>
          </w:tcPr>
          <w:p w14:paraId="60660EFB"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4659A958"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Plasterboards</w:t>
            </w:r>
          </w:p>
        </w:tc>
        <w:tc>
          <w:tcPr>
            <w:tcW w:w="1655" w:type="dxa"/>
            <w:vAlign w:val="center"/>
          </w:tcPr>
          <w:p w14:paraId="78C27FF7"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23</w:t>
            </w:r>
          </w:p>
        </w:tc>
        <w:tc>
          <w:tcPr>
            <w:tcW w:w="1071" w:type="dxa"/>
            <w:vMerge/>
            <w:vAlign w:val="center"/>
          </w:tcPr>
          <w:p w14:paraId="58B40F41" w14:textId="77777777" w:rsidR="003A61E5" w:rsidRPr="00F5545F" w:rsidRDefault="003A61E5" w:rsidP="007F38F7">
            <w:pPr>
              <w:jc w:val="center"/>
              <w:rPr>
                <w:rFonts w:asciiTheme="majorBidi" w:hAnsiTheme="majorBidi" w:cstheme="majorBidi"/>
                <w:i/>
                <w:iCs/>
                <w:sz w:val="18"/>
                <w:szCs w:val="18"/>
              </w:rPr>
            </w:pPr>
          </w:p>
        </w:tc>
      </w:tr>
      <w:tr w:rsidR="003A61E5" w:rsidRPr="00F5545F" w14:paraId="3E0117AF" w14:textId="77777777" w:rsidTr="007F38F7">
        <w:trPr>
          <w:trHeight w:val="26"/>
        </w:trPr>
        <w:tc>
          <w:tcPr>
            <w:tcW w:w="0" w:type="auto"/>
            <w:vMerge/>
            <w:vAlign w:val="center"/>
          </w:tcPr>
          <w:p w14:paraId="146EBBF3"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772D2015"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Mineral wool</w:t>
            </w:r>
          </w:p>
        </w:tc>
        <w:tc>
          <w:tcPr>
            <w:tcW w:w="1655" w:type="dxa"/>
            <w:vAlign w:val="center"/>
          </w:tcPr>
          <w:p w14:paraId="1934B86C"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12</w:t>
            </w:r>
          </w:p>
        </w:tc>
        <w:tc>
          <w:tcPr>
            <w:tcW w:w="1071" w:type="dxa"/>
            <w:vMerge/>
            <w:vAlign w:val="center"/>
          </w:tcPr>
          <w:p w14:paraId="1693C534" w14:textId="77777777" w:rsidR="003A61E5" w:rsidRPr="00F5545F" w:rsidRDefault="003A61E5" w:rsidP="007F38F7">
            <w:pPr>
              <w:jc w:val="center"/>
              <w:rPr>
                <w:rFonts w:asciiTheme="majorBidi" w:hAnsiTheme="majorBidi" w:cstheme="majorBidi"/>
                <w:i/>
                <w:iCs/>
                <w:sz w:val="18"/>
                <w:szCs w:val="18"/>
              </w:rPr>
            </w:pPr>
          </w:p>
        </w:tc>
      </w:tr>
      <w:tr w:rsidR="003A61E5" w:rsidRPr="00F5545F" w14:paraId="3FDB39A5" w14:textId="77777777" w:rsidTr="007F38F7">
        <w:trPr>
          <w:trHeight w:val="26"/>
        </w:trPr>
        <w:tc>
          <w:tcPr>
            <w:tcW w:w="0" w:type="auto"/>
            <w:vMerge/>
            <w:vAlign w:val="center"/>
          </w:tcPr>
          <w:p w14:paraId="4AF66C77"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6AABED8A"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OSB sheathing boards</w:t>
            </w:r>
          </w:p>
        </w:tc>
        <w:tc>
          <w:tcPr>
            <w:tcW w:w="1655" w:type="dxa"/>
            <w:vAlign w:val="center"/>
          </w:tcPr>
          <w:p w14:paraId="60C4BEF1"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10.01</w:t>
            </w:r>
          </w:p>
        </w:tc>
        <w:tc>
          <w:tcPr>
            <w:tcW w:w="1071" w:type="dxa"/>
            <w:vMerge/>
            <w:vAlign w:val="center"/>
          </w:tcPr>
          <w:p w14:paraId="76DE0E65" w14:textId="77777777" w:rsidR="003A61E5" w:rsidRPr="00F5545F" w:rsidRDefault="003A61E5" w:rsidP="007F38F7">
            <w:pPr>
              <w:jc w:val="center"/>
              <w:rPr>
                <w:rFonts w:asciiTheme="majorBidi" w:hAnsiTheme="majorBidi" w:cstheme="majorBidi"/>
                <w:i/>
                <w:iCs/>
                <w:sz w:val="18"/>
                <w:szCs w:val="18"/>
              </w:rPr>
            </w:pPr>
          </w:p>
        </w:tc>
      </w:tr>
      <w:tr w:rsidR="003A61E5" w:rsidRPr="00F5545F" w14:paraId="245D4172" w14:textId="77777777" w:rsidTr="007F38F7">
        <w:trPr>
          <w:trHeight w:val="326"/>
        </w:trPr>
        <w:tc>
          <w:tcPr>
            <w:tcW w:w="0" w:type="auto"/>
            <w:vMerge/>
            <w:vAlign w:val="center"/>
          </w:tcPr>
          <w:p w14:paraId="583F39A5"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0C934C75"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 xml:space="preserve">Wages </w:t>
            </w:r>
          </w:p>
        </w:tc>
        <w:tc>
          <w:tcPr>
            <w:tcW w:w="1655" w:type="dxa"/>
            <w:vAlign w:val="center"/>
          </w:tcPr>
          <w:p w14:paraId="09E8CBFF"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37</w:t>
            </w:r>
          </w:p>
        </w:tc>
        <w:tc>
          <w:tcPr>
            <w:tcW w:w="1071" w:type="dxa"/>
            <w:vMerge/>
            <w:vAlign w:val="center"/>
          </w:tcPr>
          <w:p w14:paraId="42E69E8C" w14:textId="77777777" w:rsidR="003A61E5" w:rsidRPr="00F5545F" w:rsidRDefault="003A61E5" w:rsidP="007F38F7">
            <w:pPr>
              <w:jc w:val="center"/>
              <w:rPr>
                <w:rFonts w:asciiTheme="majorBidi" w:hAnsiTheme="majorBidi" w:cstheme="majorBidi"/>
                <w:i/>
                <w:iCs/>
                <w:sz w:val="18"/>
                <w:szCs w:val="18"/>
              </w:rPr>
            </w:pPr>
          </w:p>
        </w:tc>
      </w:tr>
      <w:tr w:rsidR="003A61E5" w:rsidRPr="00F5545F" w14:paraId="4B64464C" w14:textId="77777777" w:rsidTr="007F38F7">
        <w:trPr>
          <w:trHeight w:val="26"/>
        </w:trPr>
        <w:tc>
          <w:tcPr>
            <w:tcW w:w="0" w:type="auto"/>
            <w:vMerge w:val="restart"/>
            <w:vAlign w:val="center"/>
          </w:tcPr>
          <w:p w14:paraId="28A46B10" w14:textId="77777777" w:rsidR="003A61E5" w:rsidRPr="00F5545F" w:rsidRDefault="003A61E5" w:rsidP="007F38F7">
            <w:pPr>
              <w:rPr>
                <w:rFonts w:asciiTheme="majorBidi" w:hAnsiTheme="majorBidi" w:cstheme="majorBidi"/>
                <w:b/>
                <w:bCs/>
                <w:i/>
                <w:iCs/>
                <w:sz w:val="18"/>
                <w:szCs w:val="18"/>
              </w:rPr>
            </w:pPr>
            <w:r w:rsidRPr="00F5545F">
              <w:rPr>
                <w:rFonts w:asciiTheme="majorBidi" w:hAnsiTheme="majorBidi" w:cstheme="majorBidi"/>
                <w:i/>
                <w:iCs/>
                <w:sz w:val="18"/>
                <w:szCs w:val="18"/>
              </w:rPr>
              <w:t>C-PPVC</w:t>
            </w:r>
          </w:p>
        </w:tc>
        <w:tc>
          <w:tcPr>
            <w:tcW w:w="0" w:type="auto"/>
            <w:vAlign w:val="center"/>
          </w:tcPr>
          <w:p w14:paraId="46AC0494"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Concrete panels &amp; slab</w:t>
            </w:r>
          </w:p>
        </w:tc>
        <w:tc>
          <w:tcPr>
            <w:tcW w:w="1655" w:type="dxa"/>
            <w:vAlign w:val="center"/>
          </w:tcPr>
          <w:p w14:paraId="50386B58"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47.8</w:t>
            </w:r>
          </w:p>
        </w:tc>
        <w:tc>
          <w:tcPr>
            <w:tcW w:w="1071" w:type="dxa"/>
            <w:vMerge w:val="restart"/>
            <w:vAlign w:val="center"/>
          </w:tcPr>
          <w:p w14:paraId="1F7AF70C" w14:textId="77777777" w:rsidR="003A61E5" w:rsidRPr="00F5545F" w:rsidRDefault="003A61E5"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97.16</w:t>
            </w:r>
          </w:p>
        </w:tc>
      </w:tr>
      <w:tr w:rsidR="003A61E5" w:rsidRPr="00F5545F" w14:paraId="5CEDA8CF" w14:textId="77777777" w:rsidTr="007F38F7">
        <w:trPr>
          <w:trHeight w:val="26"/>
        </w:trPr>
        <w:tc>
          <w:tcPr>
            <w:tcW w:w="0" w:type="auto"/>
            <w:vMerge/>
            <w:vAlign w:val="center"/>
          </w:tcPr>
          <w:p w14:paraId="60E9C1A0"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02B6062C"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Reinforcing bars at both faces of all walls</w:t>
            </w:r>
          </w:p>
        </w:tc>
        <w:tc>
          <w:tcPr>
            <w:tcW w:w="1655" w:type="dxa"/>
            <w:vAlign w:val="center"/>
          </w:tcPr>
          <w:p w14:paraId="1C1780CE"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2.18</w:t>
            </w:r>
          </w:p>
        </w:tc>
        <w:tc>
          <w:tcPr>
            <w:tcW w:w="1071" w:type="dxa"/>
            <w:vMerge/>
            <w:vAlign w:val="center"/>
          </w:tcPr>
          <w:p w14:paraId="4CB528DE" w14:textId="77777777" w:rsidR="003A61E5" w:rsidRPr="00F5545F" w:rsidRDefault="003A61E5" w:rsidP="007F38F7">
            <w:pPr>
              <w:jc w:val="center"/>
              <w:rPr>
                <w:rFonts w:asciiTheme="majorBidi" w:hAnsiTheme="majorBidi" w:cstheme="majorBidi"/>
                <w:i/>
                <w:iCs/>
                <w:sz w:val="18"/>
                <w:szCs w:val="18"/>
              </w:rPr>
            </w:pPr>
          </w:p>
        </w:tc>
      </w:tr>
      <w:tr w:rsidR="003A61E5" w:rsidRPr="00F5545F" w14:paraId="15FAFCD4" w14:textId="77777777" w:rsidTr="007F38F7">
        <w:trPr>
          <w:trHeight w:val="26"/>
        </w:trPr>
        <w:tc>
          <w:tcPr>
            <w:tcW w:w="0" w:type="auto"/>
            <w:vMerge/>
            <w:vAlign w:val="center"/>
          </w:tcPr>
          <w:p w14:paraId="2471F713"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432060A1"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Reinforcing bars both faces of ceiling</w:t>
            </w:r>
          </w:p>
        </w:tc>
        <w:tc>
          <w:tcPr>
            <w:tcW w:w="1655" w:type="dxa"/>
            <w:vAlign w:val="center"/>
          </w:tcPr>
          <w:p w14:paraId="4C27DA54"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2.18</w:t>
            </w:r>
          </w:p>
        </w:tc>
        <w:tc>
          <w:tcPr>
            <w:tcW w:w="1071" w:type="dxa"/>
            <w:vMerge/>
            <w:vAlign w:val="center"/>
          </w:tcPr>
          <w:p w14:paraId="2FEF9A30" w14:textId="77777777" w:rsidR="003A61E5" w:rsidRPr="00F5545F" w:rsidRDefault="003A61E5" w:rsidP="007F38F7">
            <w:pPr>
              <w:jc w:val="center"/>
              <w:rPr>
                <w:rFonts w:asciiTheme="majorBidi" w:hAnsiTheme="majorBidi" w:cstheme="majorBidi"/>
                <w:i/>
                <w:iCs/>
                <w:sz w:val="18"/>
                <w:szCs w:val="18"/>
              </w:rPr>
            </w:pPr>
          </w:p>
        </w:tc>
      </w:tr>
      <w:tr w:rsidR="003A61E5" w:rsidRPr="00F5545F" w14:paraId="0395024D" w14:textId="77777777" w:rsidTr="007F38F7">
        <w:trPr>
          <w:trHeight w:val="315"/>
        </w:trPr>
        <w:tc>
          <w:tcPr>
            <w:tcW w:w="0" w:type="auto"/>
            <w:vMerge/>
            <w:vAlign w:val="center"/>
          </w:tcPr>
          <w:p w14:paraId="58C21F3D"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2A355947"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 xml:space="preserve">Wages </w:t>
            </w:r>
          </w:p>
        </w:tc>
        <w:tc>
          <w:tcPr>
            <w:tcW w:w="1655" w:type="dxa"/>
            <w:vAlign w:val="center"/>
          </w:tcPr>
          <w:p w14:paraId="5BAEC4C5"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45</w:t>
            </w:r>
          </w:p>
        </w:tc>
        <w:tc>
          <w:tcPr>
            <w:tcW w:w="1071" w:type="dxa"/>
            <w:vMerge/>
            <w:tcBorders>
              <w:bottom w:val="single" w:sz="4" w:space="0" w:color="auto"/>
            </w:tcBorders>
            <w:vAlign w:val="center"/>
          </w:tcPr>
          <w:p w14:paraId="5ABF9A73" w14:textId="77777777" w:rsidR="003A61E5" w:rsidRPr="00F5545F" w:rsidRDefault="003A61E5" w:rsidP="007F38F7">
            <w:pPr>
              <w:jc w:val="center"/>
              <w:rPr>
                <w:rFonts w:asciiTheme="majorBidi" w:hAnsiTheme="majorBidi" w:cstheme="majorBidi"/>
                <w:i/>
                <w:iCs/>
                <w:sz w:val="18"/>
                <w:szCs w:val="18"/>
              </w:rPr>
            </w:pPr>
          </w:p>
        </w:tc>
      </w:tr>
      <w:tr w:rsidR="003A61E5" w:rsidRPr="00F5545F" w14:paraId="55E5DBB5" w14:textId="77777777" w:rsidTr="007F38F7">
        <w:trPr>
          <w:trHeight w:val="26"/>
        </w:trPr>
        <w:tc>
          <w:tcPr>
            <w:tcW w:w="0" w:type="auto"/>
            <w:vMerge w:val="restart"/>
            <w:vAlign w:val="center"/>
          </w:tcPr>
          <w:p w14:paraId="0685F342" w14:textId="77777777" w:rsidR="003A61E5" w:rsidRPr="00F5545F" w:rsidRDefault="003A61E5" w:rsidP="007F38F7">
            <w:pPr>
              <w:rPr>
                <w:rFonts w:asciiTheme="majorBidi" w:hAnsiTheme="majorBidi" w:cstheme="majorBidi"/>
                <w:b/>
                <w:bCs/>
                <w:i/>
                <w:iCs/>
                <w:sz w:val="18"/>
                <w:szCs w:val="18"/>
              </w:rPr>
            </w:pPr>
            <w:r w:rsidRPr="00F5545F">
              <w:rPr>
                <w:rFonts w:asciiTheme="majorBidi" w:hAnsiTheme="majorBidi" w:cstheme="majorBidi"/>
                <w:i/>
                <w:iCs/>
                <w:sz w:val="18"/>
                <w:szCs w:val="18"/>
              </w:rPr>
              <w:t>T-PPVC</w:t>
            </w:r>
          </w:p>
          <w:p w14:paraId="5BD1CFB1"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1B19934B"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Wooden planks &amp; structures</w:t>
            </w:r>
          </w:p>
        </w:tc>
        <w:tc>
          <w:tcPr>
            <w:tcW w:w="1655" w:type="dxa"/>
            <w:tcBorders>
              <w:right w:val="single" w:sz="4" w:space="0" w:color="auto"/>
            </w:tcBorders>
            <w:vAlign w:val="center"/>
          </w:tcPr>
          <w:p w14:paraId="3F345D7E"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18.01</w:t>
            </w:r>
          </w:p>
        </w:tc>
        <w:tc>
          <w:tcPr>
            <w:tcW w:w="1071" w:type="dxa"/>
            <w:vMerge w:val="restart"/>
            <w:tcBorders>
              <w:top w:val="single" w:sz="4" w:space="0" w:color="auto"/>
              <w:left w:val="single" w:sz="4" w:space="0" w:color="auto"/>
              <w:bottom w:val="single" w:sz="4" w:space="0" w:color="auto"/>
              <w:right w:val="single" w:sz="4" w:space="0" w:color="auto"/>
            </w:tcBorders>
            <w:vAlign w:val="center"/>
          </w:tcPr>
          <w:p w14:paraId="56F37BEB" w14:textId="77777777" w:rsidR="003A61E5" w:rsidRPr="00F5545F" w:rsidRDefault="003A61E5"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116.5</w:t>
            </w:r>
          </w:p>
        </w:tc>
      </w:tr>
      <w:tr w:rsidR="003A61E5" w:rsidRPr="00F5545F" w14:paraId="41875988" w14:textId="77777777" w:rsidTr="007F38F7">
        <w:trPr>
          <w:trHeight w:val="26"/>
        </w:trPr>
        <w:tc>
          <w:tcPr>
            <w:tcW w:w="0" w:type="auto"/>
            <w:vMerge/>
            <w:vAlign w:val="center"/>
          </w:tcPr>
          <w:p w14:paraId="6E2A99D3"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735C2325"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Waterproof membrane</w:t>
            </w:r>
          </w:p>
        </w:tc>
        <w:tc>
          <w:tcPr>
            <w:tcW w:w="1655" w:type="dxa"/>
            <w:tcBorders>
              <w:right w:val="single" w:sz="4" w:space="0" w:color="auto"/>
            </w:tcBorders>
            <w:vAlign w:val="center"/>
          </w:tcPr>
          <w:p w14:paraId="30BD2712"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15.5</w:t>
            </w:r>
          </w:p>
        </w:tc>
        <w:tc>
          <w:tcPr>
            <w:tcW w:w="1071" w:type="dxa"/>
            <w:vMerge/>
            <w:tcBorders>
              <w:top w:val="single" w:sz="4" w:space="0" w:color="auto"/>
              <w:left w:val="single" w:sz="4" w:space="0" w:color="auto"/>
              <w:bottom w:val="single" w:sz="4" w:space="0" w:color="auto"/>
              <w:right w:val="single" w:sz="4" w:space="0" w:color="auto"/>
            </w:tcBorders>
            <w:vAlign w:val="center"/>
          </w:tcPr>
          <w:p w14:paraId="6390B547" w14:textId="77777777" w:rsidR="003A61E5" w:rsidRPr="00F5545F" w:rsidRDefault="003A61E5" w:rsidP="007F38F7">
            <w:pPr>
              <w:rPr>
                <w:rFonts w:asciiTheme="majorBidi" w:hAnsiTheme="majorBidi" w:cstheme="majorBidi"/>
                <w:i/>
                <w:iCs/>
                <w:sz w:val="18"/>
                <w:szCs w:val="18"/>
              </w:rPr>
            </w:pPr>
          </w:p>
        </w:tc>
      </w:tr>
      <w:tr w:rsidR="003A61E5" w:rsidRPr="00F5545F" w14:paraId="16CCF88B" w14:textId="77777777" w:rsidTr="007F38F7">
        <w:trPr>
          <w:trHeight w:val="26"/>
        </w:trPr>
        <w:tc>
          <w:tcPr>
            <w:tcW w:w="0" w:type="auto"/>
            <w:vMerge/>
            <w:vAlign w:val="center"/>
          </w:tcPr>
          <w:p w14:paraId="0082901A"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2BDED2D2"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OSB panels for floor</w:t>
            </w:r>
          </w:p>
        </w:tc>
        <w:tc>
          <w:tcPr>
            <w:tcW w:w="1655" w:type="dxa"/>
            <w:tcBorders>
              <w:right w:val="single" w:sz="4" w:space="0" w:color="auto"/>
            </w:tcBorders>
            <w:vAlign w:val="center"/>
          </w:tcPr>
          <w:p w14:paraId="1E4A7D90"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7.01</w:t>
            </w:r>
          </w:p>
        </w:tc>
        <w:tc>
          <w:tcPr>
            <w:tcW w:w="1071" w:type="dxa"/>
            <w:vMerge/>
            <w:tcBorders>
              <w:top w:val="single" w:sz="4" w:space="0" w:color="auto"/>
              <w:left w:val="single" w:sz="4" w:space="0" w:color="auto"/>
              <w:bottom w:val="single" w:sz="4" w:space="0" w:color="auto"/>
              <w:right w:val="single" w:sz="4" w:space="0" w:color="auto"/>
            </w:tcBorders>
            <w:vAlign w:val="center"/>
          </w:tcPr>
          <w:p w14:paraId="2ABFAFEE" w14:textId="77777777" w:rsidR="003A61E5" w:rsidRPr="00F5545F" w:rsidRDefault="003A61E5" w:rsidP="007F38F7">
            <w:pPr>
              <w:rPr>
                <w:rFonts w:asciiTheme="majorBidi" w:hAnsiTheme="majorBidi" w:cstheme="majorBidi"/>
                <w:i/>
                <w:iCs/>
                <w:sz w:val="18"/>
                <w:szCs w:val="18"/>
              </w:rPr>
            </w:pPr>
          </w:p>
        </w:tc>
      </w:tr>
      <w:tr w:rsidR="003A61E5" w:rsidRPr="00F5545F" w14:paraId="18D5FF25" w14:textId="77777777" w:rsidTr="007F38F7">
        <w:trPr>
          <w:trHeight w:val="26"/>
        </w:trPr>
        <w:tc>
          <w:tcPr>
            <w:tcW w:w="0" w:type="auto"/>
            <w:vMerge/>
            <w:vAlign w:val="center"/>
          </w:tcPr>
          <w:p w14:paraId="5067BBBB"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3699E537"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Internal insulation</w:t>
            </w:r>
          </w:p>
        </w:tc>
        <w:tc>
          <w:tcPr>
            <w:tcW w:w="1655" w:type="dxa"/>
            <w:tcBorders>
              <w:right w:val="single" w:sz="4" w:space="0" w:color="auto"/>
            </w:tcBorders>
            <w:vAlign w:val="center"/>
          </w:tcPr>
          <w:p w14:paraId="48FB3CE8"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9</w:t>
            </w:r>
          </w:p>
        </w:tc>
        <w:tc>
          <w:tcPr>
            <w:tcW w:w="1071" w:type="dxa"/>
            <w:vMerge/>
            <w:tcBorders>
              <w:top w:val="single" w:sz="4" w:space="0" w:color="auto"/>
              <w:left w:val="single" w:sz="4" w:space="0" w:color="auto"/>
              <w:bottom w:val="single" w:sz="4" w:space="0" w:color="auto"/>
              <w:right w:val="single" w:sz="4" w:space="0" w:color="auto"/>
            </w:tcBorders>
            <w:vAlign w:val="center"/>
          </w:tcPr>
          <w:p w14:paraId="695C6686" w14:textId="77777777" w:rsidR="003A61E5" w:rsidRPr="00F5545F" w:rsidRDefault="003A61E5" w:rsidP="007F38F7">
            <w:pPr>
              <w:rPr>
                <w:rFonts w:asciiTheme="majorBidi" w:hAnsiTheme="majorBidi" w:cstheme="majorBidi"/>
                <w:i/>
                <w:iCs/>
                <w:sz w:val="18"/>
                <w:szCs w:val="18"/>
              </w:rPr>
            </w:pPr>
          </w:p>
        </w:tc>
      </w:tr>
      <w:tr w:rsidR="003A61E5" w:rsidRPr="00F5545F" w14:paraId="4E498DDC" w14:textId="77777777" w:rsidTr="007F38F7">
        <w:trPr>
          <w:trHeight w:val="26"/>
        </w:trPr>
        <w:tc>
          <w:tcPr>
            <w:tcW w:w="0" w:type="auto"/>
            <w:vMerge/>
            <w:vAlign w:val="center"/>
          </w:tcPr>
          <w:p w14:paraId="64A9E776"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65217C79"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Vapour control layer</w:t>
            </w:r>
          </w:p>
        </w:tc>
        <w:tc>
          <w:tcPr>
            <w:tcW w:w="1655" w:type="dxa"/>
            <w:tcBorders>
              <w:right w:val="single" w:sz="4" w:space="0" w:color="auto"/>
            </w:tcBorders>
            <w:vAlign w:val="center"/>
          </w:tcPr>
          <w:p w14:paraId="50B1094B"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12</w:t>
            </w:r>
          </w:p>
        </w:tc>
        <w:tc>
          <w:tcPr>
            <w:tcW w:w="1071" w:type="dxa"/>
            <w:vMerge/>
            <w:tcBorders>
              <w:top w:val="single" w:sz="4" w:space="0" w:color="auto"/>
              <w:left w:val="single" w:sz="4" w:space="0" w:color="auto"/>
              <w:bottom w:val="single" w:sz="4" w:space="0" w:color="auto"/>
              <w:right w:val="single" w:sz="4" w:space="0" w:color="auto"/>
            </w:tcBorders>
            <w:vAlign w:val="center"/>
          </w:tcPr>
          <w:p w14:paraId="32BE6C32" w14:textId="77777777" w:rsidR="003A61E5" w:rsidRPr="00F5545F" w:rsidRDefault="003A61E5" w:rsidP="007F38F7">
            <w:pPr>
              <w:rPr>
                <w:rFonts w:asciiTheme="majorBidi" w:hAnsiTheme="majorBidi" w:cstheme="majorBidi"/>
                <w:i/>
                <w:iCs/>
                <w:sz w:val="18"/>
                <w:szCs w:val="18"/>
              </w:rPr>
            </w:pPr>
          </w:p>
        </w:tc>
      </w:tr>
      <w:tr w:rsidR="003A61E5" w:rsidRPr="00F5545F" w14:paraId="775DB17D" w14:textId="77777777" w:rsidTr="007F38F7">
        <w:trPr>
          <w:trHeight w:val="26"/>
        </w:trPr>
        <w:tc>
          <w:tcPr>
            <w:tcW w:w="0" w:type="auto"/>
            <w:vMerge/>
            <w:vAlign w:val="center"/>
          </w:tcPr>
          <w:p w14:paraId="76D406A3"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3F0F93A0"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 xml:space="preserve">Plasterboard </w:t>
            </w:r>
          </w:p>
        </w:tc>
        <w:tc>
          <w:tcPr>
            <w:tcW w:w="1655" w:type="dxa"/>
            <w:tcBorders>
              <w:right w:val="single" w:sz="4" w:space="0" w:color="auto"/>
            </w:tcBorders>
            <w:vAlign w:val="center"/>
          </w:tcPr>
          <w:p w14:paraId="539F3711"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10</w:t>
            </w:r>
          </w:p>
        </w:tc>
        <w:tc>
          <w:tcPr>
            <w:tcW w:w="1071" w:type="dxa"/>
            <w:vMerge/>
            <w:tcBorders>
              <w:top w:val="single" w:sz="4" w:space="0" w:color="auto"/>
              <w:left w:val="single" w:sz="4" w:space="0" w:color="auto"/>
              <w:bottom w:val="single" w:sz="4" w:space="0" w:color="auto"/>
              <w:right w:val="single" w:sz="4" w:space="0" w:color="auto"/>
            </w:tcBorders>
            <w:vAlign w:val="center"/>
          </w:tcPr>
          <w:p w14:paraId="1E106E21" w14:textId="77777777" w:rsidR="003A61E5" w:rsidRPr="00F5545F" w:rsidRDefault="003A61E5" w:rsidP="007F38F7">
            <w:pPr>
              <w:rPr>
                <w:rFonts w:asciiTheme="majorBidi" w:hAnsiTheme="majorBidi" w:cstheme="majorBidi"/>
                <w:i/>
                <w:iCs/>
                <w:sz w:val="18"/>
                <w:szCs w:val="18"/>
              </w:rPr>
            </w:pPr>
          </w:p>
        </w:tc>
      </w:tr>
      <w:tr w:rsidR="003A61E5" w:rsidRPr="00F5545F" w14:paraId="24831CAB" w14:textId="77777777" w:rsidTr="007F38F7">
        <w:trPr>
          <w:trHeight w:val="291"/>
        </w:trPr>
        <w:tc>
          <w:tcPr>
            <w:tcW w:w="0" w:type="auto"/>
            <w:vMerge/>
            <w:vAlign w:val="center"/>
          </w:tcPr>
          <w:p w14:paraId="606F0FE1" w14:textId="77777777" w:rsidR="003A61E5" w:rsidRPr="00F5545F" w:rsidRDefault="003A61E5" w:rsidP="007F38F7">
            <w:pPr>
              <w:rPr>
                <w:rFonts w:asciiTheme="majorBidi" w:hAnsiTheme="majorBidi" w:cstheme="majorBidi"/>
                <w:b/>
                <w:bCs/>
                <w:i/>
                <w:iCs/>
                <w:sz w:val="18"/>
                <w:szCs w:val="18"/>
              </w:rPr>
            </w:pPr>
          </w:p>
        </w:tc>
        <w:tc>
          <w:tcPr>
            <w:tcW w:w="0" w:type="auto"/>
            <w:vAlign w:val="center"/>
          </w:tcPr>
          <w:p w14:paraId="1FC1142A"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 xml:space="preserve">Wages </w:t>
            </w:r>
          </w:p>
        </w:tc>
        <w:tc>
          <w:tcPr>
            <w:tcW w:w="1655" w:type="dxa"/>
            <w:tcBorders>
              <w:right w:val="single" w:sz="4" w:space="0" w:color="auto"/>
            </w:tcBorders>
            <w:vAlign w:val="center"/>
          </w:tcPr>
          <w:p w14:paraId="4D2F588A" w14:textId="77777777" w:rsidR="003A61E5" w:rsidRPr="00F5545F" w:rsidRDefault="003A61E5" w:rsidP="007F38F7">
            <w:pPr>
              <w:rPr>
                <w:rFonts w:asciiTheme="majorBidi" w:hAnsiTheme="majorBidi" w:cstheme="majorBidi"/>
                <w:i/>
                <w:iCs/>
                <w:sz w:val="18"/>
                <w:szCs w:val="18"/>
              </w:rPr>
            </w:pPr>
            <w:r w:rsidRPr="00F5545F">
              <w:rPr>
                <w:rFonts w:asciiTheme="majorBidi" w:hAnsiTheme="majorBidi" w:cstheme="majorBidi"/>
                <w:i/>
                <w:iCs/>
                <w:sz w:val="18"/>
                <w:szCs w:val="18"/>
              </w:rPr>
              <w:t>45</w:t>
            </w:r>
          </w:p>
        </w:tc>
        <w:tc>
          <w:tcPr>
            <w:tcW w:w="1071" w:type="dxa"/>
            <w:vMerge/>
            <w:tcBorders>
              <w:top w:val="single" w:sz="4" w:space="0" w:color="auto"/>
              <w:left w:val="single" w:sz="4" w:space="0" w:color="auto"/>
              <w:bottom w:val="single" w:sz="4" w:space="0" w:color="auto"/>
              <w:right w:val="single" w:sz="4" w:space="0" w:color="auto"/>
            </w:tcBorders>
            <w:vAlign w:val="center"/>
          </w:tcPr>
          <w:p w14:paraId="2C647256" w14:textId="77777777" w:rsidR="003A61E5" w:rsidRPr="00F5545F" w:rsidRDefault="003A61E5" w:rsidP="007F38F7">
            <w:pPr>
              <w:rPr>
                <w:rFonts w:asciiTheme="majorBidi" w:hAnsiTheme="majorBidi" w:cstheme="majorBidi"/>
                <w:i/>
                <w:iCs/>
                <w:sz w:val="18"/>
                <w:szCs w:val="18"/>
              </w:rPr>
            </w:pPr>
          </w:p>
        </w:tc>
      </w:tr>
    </w:tbl>
    <w:p w14:paraId="471BBBB8" w14:textId="77777777" w:rsidR="003A61E5" w:rsidRPr="003A61E5" w:rsidRDefault="003A61E5" w:rsidP="00EE12FE">
      <w:pPr>
        <w:autoSpaceDE w:val="0"/>
        <w:autoSpaceDN w:val="0"/>
        <w:adjustRightInd w:val="0"/>
        <w:spacing w:after="0" w:line="276" w:lineRule="auto"/>
        <w:ind w:left="90" w:firstLine="540"/>
        <w:rPr>
          <w:rFonts w:asciiTheme="majorBidi" w:hAnsiTheme="majorBidi" w:cstheme="majorBidi"/>
          <w:sz w:val="20"/>
          <w:szCs w:val="20"/>
        </w:rPr>
      </w:pPr>
    </w:p>
    <w:p w14:paraId="3B9F5292" w14:textId="6B0588B0" w:rsidR="000B5555" w:rsidRDefault="000B5555" w:rsidP="00EE12FE">
      <w:pPr>
        <w:autoSpaceDE w:val="0"/>
        <w:autoSpaceDN w:val="0"/>
        <w:adjustRightInd w:val="0"/>
        <w:spacing w:after="0" w:line="276" w:lineRule="auto"/>
        <w:ind w:left="90" w:firstLine="540"/>
        <w:rPr>
          <w:rFonts w:asciiTheme="majorBidi" w:hAnsiTheme="majorBidi" w:cstheme="majorBidi"/>
          <w:sz w:val="24"/>
          <w:szCs w:val="24"/>
        </w:rPr>
      </w:pPr>
    </w:p>
    <w:p w14:paraId="235EB88C" w14:textId="77777777" w:rsidR="003A61E5" w:rsidRPr="00823856" w:rsidRDefault="003A61E5" w:rsidP="00EE12FE">
      <w:pPr>
        <w:autoSpaceDE w:val="0"/>
        <w:autoSpaceDN w:val="0"/>
        <w:adjustRightInd w:val="0"/>
        <w:spacing w:after="0" w:line="276" w:lineRule="auto"/>
        <w:ind w:left="90" w:firstLine="540"/>
        <w:rPr>
          <w:rFonts w:asciiTheme="majorBidi" w:hAnsiTheme="majorBidi" w:cstheme="majorBidi"/>
          <w:sz w:val="24"/>
          <w:szCs w:val="24"/>
        </w:rPr>
      </w:pPr>
    </w:p>
    <w:p w14:paraId="48086A4C" w14:textId="77777777" w:rsidR="003A61E5" w:rsidRDefault="003A61E5" w:rsidP="00EE12FE">
      <w:pPr>
        <w:spacing w:line="276" w:lineRule="auto"/>
        <w:ind w:firstLine="720"/>
        <w:jc w:val="both"/>
        <w:rPr>
          <w:rFonts w:asciiTheme="majorBidi" w:hAnsiTheme="majorBidi" w:cstheme="majorBidi"/>
          <w:sz w:val="24"/>
          <w:szCs w:val="24"/>
        </w:rPr>
      </w:pPr>
    </w:p>
    <w:p w14:paraId="27ADB6D0" w14:textId="77777777" w:rsidR="003A61E5" w:rsidRDefault="003A61E5" w:rsidP="00EE12FE">
      <w:pPr>
        <w:spacing w:line="276" w:lineRule="auto"/>
        <w:ind w:firstLine="720"/>
        <w:jc w:val="both"/>
        <w:rPr>
          <w:rFonts w:asciiTheme="majorBidi" w:hAnsiTheme="majorBidi" w:cstheme="majorBidi"/>
          <w:sz w:val="24"/>
          <w:szCs w:val="24"/>
        </w:rPr>
      </w:pPr>
    </w:p>
    <w:p w14:paraId="1AFC6F23" w14:textId="77777777" w:rsidR="003A61E5" w:rsidRDefault="003A61E5" w:rsidP="00EE12FE">
      <w:pPr>
        <w:spacing w:line="276" w:lineRule="auto"/>
        <w:ind w:firstLine="720"/>
        <w:jc w:val="both"/>
        <w:rPr>
          <w:rFonts w:asciiTheme="majorBidi" w:hAnsiTheme="majorBidi" w:cstheme="majorBidi"/>
          <w:sz w:val="24"/>
          <w:szCs w:val="24"/>
        </w:rPr>
      </w:pPr>
    </w:p>
    <w:p w14:paraId="363A1F28" w14:textId="77777777" w:rsidR="003A61E5" w:rsidRDefault="003A61E5" w:rsidP="00EE12FE">
      <w:pPr>
        <w:spacing w:line="276" w:lineRule="auto"/>
        <w:ind w:firstLine="720"/>
        <w:jc w:val="both"/>
        <w:rPr>
          <w:rFonts w:asciiTheme="majorBidi" w:hAnsiTheme="majorBidi" w:cstheme="majorBidi"/>
          <w:sz w:val="24"/>
          <w:szCs w:val="24"/>
        </w:rPr>
      </w:pPr>
    </w:p>
    <w:p w14:paraId="5FB62F25" w14:textId="77777777" w:rsidR="003A61E5" w:rsidRDefault="003A61E5" w:rsidP="00EE12FE">
      <w:pPr>
        <w:spacing w:line="276" w:lineRule="auto"/>
        <w:ind w:firstLine="720"/>
        <w:jc w:val="both"/>
        <w:rPr>
          <w:rFonts w:asciiTheme="majorBidi" w:hAnsiTheme="majorBidi" w:cstheme="majorBidi"/>
          <w:sz w:val="24"/>
          <w:szCs w:val="24"/>
        </w:rPr>
      </w:pPr>
    </w:p>
    <w:p w14:paraId="13501668" w14:textId="77777777" w:rsidR="003A61E5" w:rsidRDefault="003A61E5" w:rsidP="00EE12FE">
      <w:pPr>
        <w:spacing w:line="276" w:lineRule="auto"/>
        <w:ind w:firstLine="720"/>
        <w:jc w:val="both"/>
        <w:rPr>
          <w:rFonts w:asciiTheme="majorBidi" w:hAnsiTheme="majorBidi" w:cstheme="majorBidi"/>
          <w:sz w:val="24"/>
          <w:szCs w:val="24"/>
        </w:rPr>
      </w:pPr>
    </w:p>
    <w:p w14:paraId="13EC855C" w14:textId="77777777" w:rsidR="003A61E5" w:rsidRDefault="003A61E5" w:rsidP="00EE12FE">
      <w:pPr>
        <w:spacing w:line="276" w:lineRule="auto"/>
        <w:ind w:firstLine="720"/>
        <w:jc w:val="both"/>
        <w:rPr>
          <w:rFonts w:asciiTheme="majorBidi" w:hAnsiTheme="majorBidi" w:cstheme="majorBidi"/>
          <w:sz w:val="24"/>
          <w:szCs w:val="24"/>
        </w:rPr>
      </w:pPr>
    </w:p>
    <w:p w14:paraId="5364808C" w14:textId="77777777" w:rsidR="003A61E5" w:rsidRDefault="003A61E5" w:rsidP="003A61E5">
      <w:pPr>
        <w:spacing w:line="276" w:lineRule="auto"/>
        <w:jc w:val="both"/>
        <w:rPr>
          <w:rFonts w:asciiTheme="majorBidi" w:hAnsiTheme="majorBidi" w:cstheme="majorBidi"/>
          <w:sz w:val="24"/>
          <w:szCs w:val="24"/>
        </w:rPr>
      </w:pPr>
    </w:p>
    <w:p w14:paraId="1931D547" w14:textId="14C8D5A3" w:rsidR="00C03D3E" w:rsidRPr="00823856" w:rsidRDefault="00966832" w:rsidP="00EE12FE">
      <w:pPr>
        <w:spacing w:line="276" w:lineRule="auto"/>
        <w:ind w:firstLine="720"/>
        <w:jc w:val="both"/>
        <w:rPr>
          <w:rFonts w:asciiTheme="majorBidi" w:eastAsia="Times New Roman" w:hAnsiTheme="majorBidi" w:cstheme="majorBidi"/>
          <w:sz w:val="24"/>
          <w:szCs w:val="24"/>
        </w:rPr>
      </w:pPr>
      <w:r w:rsidRPr="00823856">
        <w:rPr>
          <w:rFonts w:asciiTheme="majorBidi" w:hAnsiTheme="majorBidi" w:cstheme="majorBidi"/>
          <w:sz w:val="24"/>
          <w:szCs w:val="24"/>
        </w:rPr>
        <w:t xml:space="preserve">The transportation cost was assumed based on the data collection from the site, which </w:t>
      </w:r>
      <w:proofErr w:type="gramStart"/>
      <w:r w:rsidRPr="00823856">
        <w:rPr>
          <w:rFonts w:asciiTheme="majorBidi" w:hAnsiTheme="majorBidi" w:cstheme="majorBidi"/>
          <w:sz w:val="24"/>
          <w:szCs w:val="24"/>
        </w:rPr>
        <w:t>equal</w:t>
      </w:r>
      <w:r w:rsidR="00A208D0" w:rsidRPr="00823856">
        <w:rPr>
          <w:rFonts w:asciiTheme="majorBidi" w:hAnsiTheme="majorBidi" w:cstheme="majorBidi"/>
          <w:sz w:val="24"/>
          <w:szCs w:val="24"/>
        </w:rPr>
        <w:t>ed to</w:t>
      </w:r>
      <w:proofErr w:type="gramEnd"/>
      <w:r w:rsidRPr="00823856">
        <w:rPr>
          <w:rFonts w:asciiTheme="majorBidi" w:hAnsiTheme="majorBidi" w:cstheme="majorBidi"/>
          <w:sz w:val="24"/>
          <w:szCs w:val="24"/>
        </w:rPr>
        <w:t xml:space="preserve"> 5</w:t>
      </w:r>
      <w:r w:rsidR="00A208D0" w:rsidRPr="00823856">
        <w:rPr>
          <w:rFonts w:asciiTheme="majorBidi" w:hAnsiTheme="majorBidi" w:cstheme="majorBidi"/>
          <w:sz w:val="24"/>
          <w:szCs w:val="24"/>
        </w:rPr>
        <w:t>,</w:t>
      </w:r>
      <w:r w:rsidRPr="00823856">
        <w:rPr>
          <w:rFonts w:asciiTheme="majorBidi" w:hAnsiTheme="majorBidi" w:cstheme="majorBidi"/>
          <w:sz w:val="24"/>
          <w:szCs w:val="24"/>
        </w:rPr>
        <w:t xml:space="preserve">100 MYR. A typical residential building that requires six modules will need at least three trips if two modules are loaded onto the truck at one time (1700*3).  This is multiplied by </w:t>
      </w:r>
      <w:r w:rsidRPr="00823856">
        <w:rPr>
          <w:rFonts w:asciiTheme="majorBidi" w:hAnsiTheme="majorBidi" w:cstheme="majorBidi"/>
          <w:sz w:val="24"/>
          <w:szCs w:val="24"/>
        </w:rPr>
        <w:lastRenderedPageBreak/>
        <w:t>the number of needed transportation</w:t>
      </w:r>
      <w:r w:rsidR="00A208D0" w:rsidRPr="00823856">
        <w:rPr>
          <w:rFonts w:asciiTheme="majorBidi" w:hAnsiTheme="majorBidi" w:cstheme="majorBidi"/>
          <w:sz w:val="24"/>
          <w:szCs w:val="24"/>
        </w:rPr>
        <w:t>s</w:t>
      </w:r>
      <w:r w:rsidRPr="00823856">
        <w:rPr>
          <w:rFonts w:asciiTheme="majorBidi" w:hAnsiTheme="majorBidi" w:cstheme="majorBidi"/>
          <w:sz w:val="24"/>
          <w:szCs w:val="24"/>
        </w:rPr>
        <w:t>; it is more than</w:t>
      </w:r>
      <w:r w:rsidR="00A208D0" w:rsidRPr="00823856">
        <w:rPr>
          <w:rFonts w:asciiTheme="majorBidi" w:hAnsiTheme="majorBidi" w:cstheme="majorBidi"/>
          <w:sz w:val="24"/>
          <w:szCs w:val="24"/>
        </w:rPr>
        <w:t xml:space="preserve"> the required modules</w:t>
      </w:r>
      <w:r w:rsidRPr="00823856">
        <w:rPr>
          <w:rFonts w:asciiTheme="majorBidi" w:hAnsiTheme="majorBidi" w:cstheme="majorBidi"/>
          <w:sz w:val="24"/>
          <w:szCs w:val="24"/>
        </w:rPr>
        <w:t xml:space="preserve"> for one</w:t>
      </w:r>
      <w:r w:rsidR="00A208D0" w:rsidRPr="00823856">
        <w:rPr>
          <w:rFonts w:asciiTheme="majorBidi" w:hAnsiTheme="majorBidi" w:cstheme="majorBidi"/>
          <w:sz w:val="24"/>
          <w:szCs w:val="24"/>
        </w:rPr>
        <w:t xml:space="preserve"> building</w:t>
      </w:r>
      <w:r w:rsidRPr="00823856">
        <w:rPr>
          <w:rFonts w:asciiTheme="majorBidi" w:hAnsiTheme="majorBidi" w:cstheme="majorBidi"/>
          <w:sz w:val="24"/>
          <w:szCs w:val="24"/>
        </w:rPr>
        <w:t xml:space="preserve"> unit</w:t>
      </w:r>
      <w:r w:rsidR="00A208D0" w:rsidRPr="00823856">
        <w:rPr>
          <w:rFonts w:asciiTheme="majorBidi" w:hAnsiTheme="majorBidi" w:cstheme="majorBidi"/>
          <w:sz w:val="24"/>
          <w:szCs w:val="24"/>
        </w:rPr>
        <w:t>.</w:t>
      </w:r>
      <w:r w:rsidRPr="00823856">
        <w:rPr>
          <w:rFonts w:asciiTheme="majorBidi" w:hAnsiTheme="majorBidi" w:cstheme="majorBidi"/>
          <w:sz w:val="24"/>
          <w:szCs w:val="24"/>
        </w:rPr>
        <w:t xml:space="preserve">  The crane cost was 1</w:t>
      </w:r>
      <w:r w:rsidR="00A208D0" w:rsidRPr="00823856">
        <w:rPr>
          <w:rFonts w:asciiTheme="majorBidi" w:hAnsiTheme="majorBidi" w:cstheme="majorBidi"/>
          <w:sz w:val="24"/>
          <w:szCs w:val="24"/>
        </w:rPr>
        <w:t>,</w:t>
      </w:r>
      <w:r w:rsidRPr="00823856">
        <w:rPr>
          <w:rFonts w:asciiTheme="majorBidi" w:hAnsiTheme="majorBidi" w:cstheme="majorBidi"/>
          <w:sz w:val="24"/>
          <w:szCs w:val="24"/>
        </w:rPr>
        <w:t xml:space="preserve">400 MYR for almost 2% of the total construction cost for the onsite operation. The maintenance costs </w:t>
      </w:r>
      <w:r w:rsidR="00A208D0" w:rsidRPr="00823856">
        <w:rPr>
          <w:rFonts w:asciiTheme="majorBidi" w:hAnsiTheme="majorBidi" w:cstheme="majorBidi"/>
          <w:sz w:val="24"/>
          <w:szCs w:val="24"/>
        </w:rPr>
        <w:t xml:space="preserve">for S-PPVC, C-PPVC, and T-PPVC </w:t>
      </w:r>
      <w:r w:rsidRPr="00823856">
        <w:rPr>
          <w:rFonts w:asciiTheme="majorBidi" w:hAnsiTheme="majorBidi" w:cstheme="majorBidi"/>
          <w:sz w:val="24"/>
          <w:szCs w:val="24"/>
        </w:rPr>
        <w:t>were 3</w:t>
      </w:r>
      <w:r w:rsidR="00A208D0" w:rsidRPr="00823856">
        <w:rPr>
          <w:rFonts w:asciiTheme="majorBidi" w:hAnsiTheme="majorBidi" w:cstheme="majorBidi"/>
          <w:sz w:val="24"/>
          <w:szCs w:val="24"/>
        </w:rPr>
        <w:t>,</w:t>
      </w:r>
      <w:r w:rsidRPr="00823856">
        <w:rPr>
          <w:rFonts w:asciiTheme="majorBidi" w:hAnsiTheme="majorBidi" w:cstheme="majorBidi"/>
          <w:sz w:val="24"/>
          <w:szCs w:val="24"/>
        </w:rPr>
        <w:t>192 MYR, 2</w:t>
      </w:r>
      <w:r w:rsidR="00A208D0" w:rsidRPr="00823856">
        <w:rPr>
          <w:rFonts w:asciiTheme="majorBidi" w:hAnsiTheme="majorBidi" w:cstheme="majorBidi"/>
          <w:sz w:val="24"/>
          <w:szCs w:val="24"/>
        </w:rPr>
        <w:t>,</w:t>
      </w:r>
      <w:r w:rsidRPr="00823856">
        <w:rPr>
          <w:rFonts w:asciiTheme="majorBidi" w:hAnsiTheme="majorBidi" w:cstheme="majorBidi"/>
          <w:sz w:val="24"/>
          <w:szCs w:val="24"/>
        </w:rPr>
        <w:t>953 MYR, and 4</w:t>
      </w:r>
      <w:r w:rsidR="00A208D0" w:rsidRPr="00823856">
        <w:rPr>
          <w:rFonts w:asciiTheme="majorBidi" w:hAnsiTheme="majorBidi" w:cstheme="majorBidi"/>
          <w:sz w:val="24"/>
          <w:szCs w:val="24"/>
        </w:rPr>
        <w:t>,</w:t>
      </w:r>
      <w:r w:rsidRPr="00823856">
        <w:rPr>
          <w:rFonts w:asciiTheme="majorBidi" w:hAnsiTheme="majorBidi" w:cstheme="majorBidi"/>
          <w:sz w:val="24"/>
          <w:szCs w:val="24"/>
        </w:rPr>
        <w:t>545 MYR respectively</w:t>
      </w:r>
      <w:r w:rsidR="00A208D0" w:rsidRPr="00823856">
        <w:rPr>
          <w:rFonts w:asciiTheme="majorBidi" w:hAnsiTheme="majorBidi" w:cstheme="majorBidi"/>
          <w:sz w:val="24"/>
          <w:szCs w:val="24"/>
        </w:rPr>
        <w:t>.</w:t>
      </w:r>
      <w:r w:rsidRPr="00823856">
        <w:rPr>
          <w:rFonts w:asciiTheme="majorBidi" w:hAnsiTheme="majorBidi" w:cstheme="majorBidi"/>
          <w:sz w:val="24"/>
          <w:szCs w:val="24"/>
        </w:rPr>
        <w:t xml:space="preserve"> The end-of-life data were collected by visiting the recycling companies and assessed based on each modul</w:t>
      </w:r>
      <w:r w:rsidR="00A208D0" w:rsidRPr="00823856">
        <w:rPr>
          <w:rFonts w:asciiTheme="majorBidi" w:hAnsiTheme="majorBidi" w:cstheme="majorBidi"/>
          <w:sz w:val="24"/>
          <w:szCs w:val="24"/>
        </w:rPr>
        <w:t>e’s</w:t>
      </w:r>
      <w:r w:rsidRPr="00823856">
        <w:rPr>
          <w:rFonts w:asciiTheme="majorBidi" w:hAnsiTheme="majorBidi" w:cstheme="majorBidi"/>
          <w:sz w:val="24"/>
          <w:szCs w:val="24"/>
        </w:rPr>
        <w:t xml:space="preserve"> mass and weight. The net return money back to the project from selling the material was 2</w:t>
      </w:r>
      <w:r w:rsidR="00A208D0" w:rsidRPr="00823856">
        <w:rPr>
          <w:rFonts w:asciiTheme="majorBidi" w:hAnsiTheme="majorBidi" w:cstheme="majorBidi"/>
          <w:sz w:val="24"/>
          <w:szCs w:val="24"/>
        </w:rPr>
        <w:t>,</w:t>
      </w:r>
      <w:r w:rsidRPr="00823856">
        <w:rPr>
          <w:rFonts w:asciiTheme="majorBidi" w:hAnsiTheme="majorBidi" w:cstheme="majorBidi"/>
          <w:sz w:val="24"/>
          <w:szCs w:val="24"/>
        </w:rPr>
        <w:t>100 MYR, 1</w:t>
      </w:r>
      <w:r w:rsidR="00A208D0" w:rsidRPr="00823856">
        <w:rPr>
          <w:rFonts w:asciiTheme="majorBidi" w:hAnsiTheme="majorBidi" w:cstheme="majorBidi"/>
          <w:sz w:val="24"/>
          <w:szCs w:val="24"/>
        </w:rPr>
        <w:t>,</w:t>
      </w:r>
      <w:r w:rsidRPr="00823856">
        <w:rPr>
          <w:rFonts w:asciiTheme="majorBidi" w:hAnsiTheme="majorBidi" w:cstheme="majorBidi"/>
          <w:sz w:val="24"/>
          <w:szCs w:val="24"/>
        </w:rPr>
        <w:t>200 MYR, and 4</w:t>
      </w:r>
      <w:r w:rsidR="00A208D0" w:rsidRPr="00823856">
        <w:rPr>
          <w:rFonts w:asciiTheme="majorBidi" w:hAnsiTheme="majorBidi" w:cstheme="majorBidi"/>
          <w:sz w:val="24"/>
          <w:szCs w:val="24"/>
        </w:rPr>
        <w:t>,</w:t>
      </w:r>
      <w:r w:rsidRPr="00823856">
        <w:rPr>
          <w:rFonts w:asciiTheme="majorBidi" w:hAnsiTheme="majorBidi" w:cstheme="majorBidi"/>
          <w:sz w:val="24"/>
          <w:szCs w:val="24"/>
        </w:rPr>
        <w:t>200 MYR, respectively for S-PPVC, C-PPVC, and T-PPVC</w:t>
      </w:r>
      <w:r w:rsidR="00A208D0" w:rsidRPr="00823856">
        <w:rPr>
          <w:rFonts w:asciiTheme="majorBidi" w:hAnsiTheme="majorBidi" w:cstheme="majorBidi"/>
          <w:sz w:val="24"/>
          <w:szCs w:val="24"/>
        </w:rPr>
        <w:t xml:space="preserve">. This value was </w:t>
      </w:r>
      <w:r w:rsidRPr="00823856">
        <w:rPr>
          <w:rFonts w:asciiTheme="majorBidi" w:hAnsiTheme="majorBidi" w:cstheme="majorBidi"/>
          <w:sz w:val="24"/>
          <w:szCs w:val="24"/>
        </w:rPr>
        <w:t xml:space="preserve">deducted from the total building cost. Figure </w:t>
      </w:r>
      <w:r w:rsidR="00A254F0">
        <w:rPr>
          <w:rFonts w:asciiTheme="majorBidi" w:hAnsiTheme="majorBidi" w:cstheme="majorBidi"/>
          <w:sz w:val="24"/>
          <w:szCs w:val="24"/>
        </w:rPr>
        <w:t>4</w:t>
      </w:r>
      <w:r w:rsidRPr="00823856">
        <w:rPr>
          <w:rFonts w:asciiTheme="majorBidi" w:hAnsiTheme="majorBidi" w:cstheme="majorBidi"/>
          <w:sz w:val="24"/>
          <w:szCs w:val="24"/>
        </w:rPr>
        <w:t xml:space="preserve"> shows the total LCC of</w:t>
      </w:r>
      <w:r w:rsidR="00A208D0" w:rsidRPr="00823856">
        <w:rPr>
          <w:rFonts w:asciiTheme="majorBidi" w:hAnsiTheme="majorBidi" w:cstheme="majorBidi"/>
          <w:sz w:val="24"/>
          <w:szCs w:val="24"/>
        </w:rPr>
        <w:t xml:space="preserve"> all</w:t>
      </w:r>
      <w:r w:rsidRPr="00823856">
        <w:rPr>
          <w:rFonts w:asciiTheme="majorBidi" w:hAnsiTheme="majorBidi" w:cstheme="majorBidi"/>
          <w:sz w:val="24"/>
          <w:szCs w:val="24"/>
        </w:rPr>
        <w:t xml:space="preserve"> </w:t>
      </w:r>
      <w:r w:rsidR="00A208D0" w:rsidRPr="00823856">
        <w:rPr>
          <w:rFonts w:asciiTheme="majorBidi" w:hAnsiTheme="majorBidi" w:cstheme="majorBidi"/>
          <w:sz w:val="24"/>
          <w:szCs w:val="24"/>
        </w:rPr>
        <w:t>options. It is</w:t>
      </w:r>
      <w:r w:rsidRPr="00823856">
        <w:rPr>
          <w:rFonts w:asciiTheme="majorBidi" w:hAnsiTheme="majorBidi" w:cstheme="majorBidi"/>
          <w:sz w:val="24"/>
          <w:szCs w:val="24"/>
        </w:rPr>
        <w:t xml:space="preserve"> apparent that concrete modul</w:t>
      </w:r>
      <w:r w:rsidR="00A208D0" w:rsidRPr="00823856">
        <w:rPr>
          <w:rFonts w:asciiTheme="majorBidi" w:hAnsiTheme="majorBidi" w:cstheme="majorBidi"/>
          <w:sz w:val="24"/>
          <w:szCs w:val="24"/>
        </w:rPr>
        <w:t>es</w:t>
      </w:r>
      <w:r w:rsidRPr="00823856">
        <w:rPr>
          <w:rFonts w:asciiTheme="majorBidi" w:hAnsiTheme="majorBidi" w:cstheme="majorBidi"/>
          <w:sz w:val="24"/>
          <w:szCs w:val="24"/>
        </w:rPr>
        <w:t xml:space="preserve"> </w:t>
      </w:r>
      <w:proofErr w:type="gramStart"/>
      <w:r w:rsidRPr="00823856">
        <w:rPr>
          <w:rFonts w:asciiTheme="majorBidi" w:hAnsiTheme="majorBidi" w:cstheme="majorBidi"/>
          <w:sz w:val="24"/>
          <w:szCs w:val="24"/>
        </w:rPr>
        <w:t>represents</w:t>
      </w:r>
      <w:proofErr w:type="gramEnd"/>
      <w:r w:rsidRPr="00823856">
        <w:rPr>
          <w:rFonts w:asciiTheme="majorBidi" w:hAnsiTheme="majorBidi" w:cstheme="majorBidi"/>
          <w:sz w:val="24"/>
          <w:szCs w:val="24"/>
        </w:rPr>
        <w:t xml:space="preserve"> the best option in</w:t>
      </w:r>
      <w:r w:rsidR="00A208D0" w:rsidRPr="00823856">
        <w:rPr>
          <w:rFonts w:asciiTheme="majorBidi" w:hAnsiTheme="majorBidi" w:cstheme="majorBidi"/>
          <w:sz w:val="24"/>
          <w:szCs w:val="24"/>
        </w:rPr>
        <w:t xml:space="preserve"> terms of </w:t>
      </w:r>
      <w:r w:rsidRPr="00823856">
        <w:rPr>
          <w:rFonts w:asciiTheme="majorBidi" w:hAnsiTheme="majorBidi" w:cstheme="majorBidi"/>
          <w:sz w:val="24"/>
          <w:szCs w:val="24"/>
        </w:rPr>
        <w:t>cost, followed by steel and timber. The result</w:t>
      </w:r>
      <w:r w:rsidR="00A208D0" w:rsidRPr="00823856">
        <w:rPr>
          <w:rFonts w:asciiTheme="majorBidi" w:hAnsiTheme="majorBidi" w:cstheme="majorBidi"/>
          <w:sz w:val="24"/>
          <w:szCs w:val="24"/>
        </w:rPr>
        <w:t>s</w:t>
      </w:r>
      <w:r w:rsidRPr="00823856">
        <w:rPr>
          <w:rFonts w:asciiTheme="majorBidi" w:hAnsiTheme="majorBidi" w:cstheme="majorBidi"/>
          <w:sz w:val="24"/>
          <w:szCs w:val="24"/>
        </w:rPr>
        <w:t xml:space="preserve"> </w:t>
      </w:r>
      <w:r w:rsidR="00A208D0" w:rsidRPr="00823856">
        <w:rPr>
          <w:rFonts w:asciiTheme="majorBidi" w:hAnsiTheme="majorBidi" w:cstheme="majorBidi"/>
          <w:sz w:val="24"/>
          <w:szCs w:val="24"/>
        </w:rPr>
        <w:t>show that despite its lower environmental impact compared to the alternatives as shown in the preceding section, timber has the highest cost</w:t>
      </w:r>
      <w:r w:rsidRPr="00823856">
        <w:rPr>
          <w:rFonts w:asciiTheme="majorBidi" w:hAnsiTheme="majorBidi" w:cstheme="majorBidi"/>
          <w:sz w:val="24"/>
          <w:szCs w:val="24"/>
        </w:rPr>
        <w:t>.</w:t>
      </w:r>
      <w:r w:rsidR="00DD2D6A" w:rsidRPr="00823856">
        <w:rPr>
          <w:rFonts w:asciiTheme="majorBidi" w:eastAsia="Times New Roman" w:hAnsiTheme="majorBidi" w:cstheme="majorBidi"/>
          <w:sz w:val="24"/>
          <w:szCs w:val="24"/>
        </w:rPr>
        <w:t xml:space="preserve"> </w:t>
      </w:r>
    </w:p>
    <w:p w14:paraId="0560EB14" w14:textId="4F3C47D7" w:rsidR="00F30181" w:rsidRPr="00823856" w:rsidRDefault="005E723C" w:rsidP="00EE12FE">
      <w:pPr>
        <w:spacing w:line="276" w:lineRule="auto"/>
        <w:ind w:firstLine="720"/>
        <w:jc w:val="both"/>
        <w:rPr>
          <w:noProof/>
          <w:sz w:val="24"/>
          <w:szCs w:val="24"/>
        </w:rPr>
      </w:pPr>
      <w:r w:rsidRPr="00823856">
        <w:rPr>
          <w:rFonts w:asciiTheme="majorBidi" w:hAnsiTheme="majorBidi" w:cstheme="majorBidi"/>
          <w:sz w:val="24"/>
          <w:szCs w:val="24"/>
        </w:rPr>
        <w:t>The total cost for</w:t>
      </w:r>
      <w:r w:rsidR="00A208D0" w:rsidRPr="00823856">
        <w:rPr>
          <w:rFonts w:asciiTheme="majorBidi" w:hAnsiTheme="majorBidi" w:cstheme="majorBidi"/>
          <w:sz w:val="24"/>
          <w:szCs w:val="24"/>
        </w:rPr>
        <w:t xml:space="preserve"> the steel, concert, and timber module</w:t>
      </w:r>
      <w:r w:rsidR="00F72453" w:rsidRPr="00823856">
        <w:rPr>
          <w:rFonts w:asciiTheme="majorBidi" w:hAnsiTheme="majorBidi" w:cstheme="majorBidi"/>
          <w:sz w:val="24"/>
          <w:szCs w:val="24"/>
        </w:rPr>
        <w:t>s</w:t>
      </w:r>
      <w:r w:rsidR="00A208D0" w:rsidRPr="00823856" w:rsidDel="00A208D0">
        <w:rPr>
          <w:rFonts w:asciiTheme="majorBidi" w:hAnsiTheme="majorBidi" w:cstheme="majorBidi"/>
          <w:sz w:val="24"/>
          <w:szCs w:val="24"/>
        </w:rPr>
        <w:t xml:space="preserve"> </w:t>
      </w:r>
      <w:r w:rsidRPr="00823856">
        <w:rPr>
          <w:rFonts w:asciiTheme="majorBidi" w:hAnsiTheme="majorBidi" w:cstheme="majorBidi"/>
          <w:sz w:val="24"/>
          <w:szCs w:val="24"/>
        </w:rPr>
        <w:t>is 71</w:t>
      </w:r>
      <w:r w:rsidR="00A208D0" w:rsidRPr="00823856">
        <w:rPr>
          <w:rFonts w:asciiTheme="majorBidi" w:hAnsiTheme="majorBidi" w:cstheme="majorBidi"/>
          <w:sz w:val="24"/>
          <w:szCs w:val="24"/>
        </w:rPr>
        <w:t>,</w:t>
      </w:r>
      <w:r w:rsidRPr="00823856">
        <w:rPr>
          <w:rFonts w:asciiTheme="majorBidi" w:hAnsiTheme="majorBidi" w:cstheme="majorBidi"/>
          <w:sz w:val="24"/>
          <w:szCs w:val="24"/>
        </w:rPr>
        <w:t>438 MYR, 68</w:t>
      </w:r>
      <w:r w:rsidR="00A208D0" w:rsidRPr="00823856">
        <w:rPr>
          <w:rFonts w:asciiTheme="majorBidi" w:hAnsiTheme="majorBidi" w:cstheme="majorBidi"/>
          <w:sz w:val="24"/>
          <w:szCs w:val="24"/>
        </w:rPr>
        <w:t>,</w:t>
      </w:r>
      <w:r w:rsidRPr="00823856">
        <w:rPr>
          <w:rFonts w:asciiTheme="majorBidi" w:hAnsiTheme="majorBidi" w:cstheme="majorBidi"/>
          <w:sz w:val="24"/>
          <w:szCs w:val="24"/>
        </w:rPr>
        <w:t>326 MYR, and 76</w:t>
      </w:r>
      <w:r w:rsidR="00A208D0" w:rsidRPr="00823856">
        <w:rPr>
          <w:rFonts w:asciiTheme="majorBidi" w:hAnsiTheme="majorBidi" w:cstheme="majorBidi"/>
          <w:sz w:val="24"/>
          <w:szCs w:val="24"/>
        </w:rPr>
        <w:t>,</w:t>
      </w:r>
      <w:r w:rsidRPr="00823856">
        <w:rPr>
          <w:rFonts w:asciiTheme="majorBidi" w:hAnsiTheme="majorBidi" w:cstheme="majorBidi"/>
          <w:sz w:val="24"/>
          <w:szCs w:val="24"/>
        </w:rPr>
        <w:t xml:space="preserve">535 MYR </w:t>
      </w:r>
      <w:proofErr w:type="gramStart"/>
      <w:r w:rsidRPr="00823856">
        <w:rPr>
          <w:rFonts w:asciiTheme="majorBidi" w:hAnsiTheme="majorBidi" w:cstheme="majorBidi"/>
          <w:sz w:val="24"/>
          <w:szCs w:val="24"/>
        </w:rPr>
        <w:t>respectively,.</w:t>
      </w:r>
      <w:proofErr w:type="gramEnd"/>
      <w:r w:rsidRPr="00823856">
        <w:rPr>
          <w:rFonts w:asciiTheme="majorBidi" w:hAnsiTheme="majorBidi" w:cstheme="majorBidi"/>
          <w:sz w:val="24"/>
          <w:szCs w:val="24"/>
        </w:rPr>
        <w:t xml:space="preserve"> </w:t>
      </w:r>
      <w:r w:rsidR="00F72453" w:rsidRPr="00823856">
        <w:rPr>
          <w:rFonts w:asciiTheme="majorBidi" w:hAnsiTheme="majorBidi" w:cstheme="majorBidi"/>
          <w:sz w:val="24"/>
          <w:szCs w:val="24"/>
        </w:rPr>
        <w:t>B</w:t>
      </w:r>
      <w:r w:rsidRPr="00823856">
        <w:rPr>
          <w:rFonts w:asciiTheme="majorBidi" w:hAnsiTheme="majorBidi" w:cstheme="majorBidi"/>
          <w:sz w:val="24"/>
          <w:szCs w:val="24"/>
        </w:rPr>
        <w:t xml:space="preserve">ased on the </w:t>
      </w:r>
      <w:r w:rsidR="00A208D0" w:rsidRPr="00823856">
        <w:rPr>
          <w:rFonts w:asciiTheme="majorBidi" w:hAnsiTheme="majorBidi" w:cstheme="majorBidi"/>
          <w:sz w:val="24"/>
          <w:szCs w:val="24"/>
        </w:rPr>
        <w:t xml:space="preserve">assumption that the </w:t>
      </w:r>
      <w:r w:rsidRPr="00823856">
        <w:rPr>
          <w:rFonts w:asciiTheme="majorBidi" w:hAnsiTheme="majorBidi" w:cstheme="majorBidi"/>
          <w:sz w:val="24"/>
          <w:szCs w:val="24"/>
        </w:rPr>
        <w:t xml:space="preserve">average exchange rate for six years (2014 to 2019) </w:t>
      </w:r>
      <w:r w:rsidR="00A208D0" w:rsidRPr="00823856">
        <w:rPr>
          <w:rFonts w:asciiTheme="majorBidi" w:hAnsiTheme="majorBidi" w:cstheme="majorBidi"/>
          <w:sz w:val="24"/>
          <w:szCs w:val="24"/>
        </w:rPr>
        <w:t>is</w:t>
      </w:r>
      <w:r w:rsidRPr="00823856">
        <w:rPr>
          <w:rFonts w:asciiTheme="majorBidi" w:hAnsiTheme="majorBidi" w:cstheme="majorBidi"/>
          <w:sz w:val="24"/>
          <w:szCs w:val="24"/>
        </w:rPr>
        <w:t xml:space="preserve"> 4.14 MYR/USD, the cost based on US dollar</w:t>
      </w:r>
      <w:r w:rsidR="00F72453" w:rsidRPr="00823856">
        <w:rPr>
          <w:rFonts w:asciiTheme="majorBidi" w:hAnsiTheme="majorBidi" w:cstheme="majorBidi"/>
          <w:sz w:val="24"/>
          <w:szCs w:val="24"/>
        </w:rPr>
        <w:t>s</w:t>
      </w:r>
      <w:r w:rsidRPr="00823856">
        <w:rPr>
          <w:rFonts w:asciiTheme="majorBidi" w:hAnsiTheme="majorBidi" w:cstheme="majorBidi"/>
          <w:sz w:val="24"/>
          <w:szCs w:val="24"/>
        </w:rPr>
        <w:t xml:space="preserve"> will be 17,063 USD, 16,320 USD, and 18,280 USD respectively, for steel, concert, and timber modul</w:t>
      </w:r>
      <w:r w:rsidR="00F72453" w:rsidRPr="00823856">
        <w:rPr>
          <w:rFonts w:asciiTheme="majorBidi" w:hAnsiTheme="majorBidi" w:cstheme="majorBidi"/>
          <w:sz w:val="24"/>
          <w:szCs w:val="24"/>
        </w:rPr>
        <w:t>es</w:t>
      </w:r>
      <w:r w:rsidRPr="00823856">
        <w:rPr>
          <w:rFonts w:asciiTheme="majorBidi" w:hAnsiTheme="majorBidi" w:cstheme="majorBidi"/>
          <w:sz w:val="24"/>
          <w:szCs w:val="24"/>
        </w:rPr>
        <w:t>.</w:t>
      </w:r>
      <w:r w:rsidR="00294AC1" w:rsidRPr="00823856">
        <w:rPr>
          <w:noProof/>
          <w:sz w:val="24"/>
          <w:szCs w:val="24"/>
        </w:rPr>
        <w:t xml:space="preserve"> </w:t>
      </w:r>
    </w:p>
    <w:p w14:paraId="5E32D782" w14:textId="420A6B75" w:rsidR="00A208D0" w:rsidRPr="00823856" w:rsidRDefault="00A208D0" w:rsidP="00823856">
      <w:pPr>
        <w:spacing w:line="276" w:lineRule="auto"/>
        <w:jc w:val="both"/>
        <w:rPr>
          <w:rFonts w:asciiTheme="majorBidi" w:eastAsia="Times New Roman" w:hAnsiTheme="majorBidi" w:cstheme="majorBidi"/>
          <w:sz w:val="24"/>
          <w:szCs w:val="24"/>
        </w:rPr>
      </w:pPr>
      <w:r w:rsidRPr="00823856">
        <w:rPr>
          <w:noProof/>
        </w:rPr>
        <w:drawing>
          <wp:inline distT="0" distB="0" distL="0" distR="0" wp14:anchorId="1FF76FC1" wp14:editId="7287149B">
            <wp:extent cx="2819400" cy="2854614"/>
            <wp:effectExtent l="0" t="0" r="0" b="317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23856">
        <w:rPr>
          <w:noProof/>
        </w:rPr>
        <w:drawing>
          <wp:inline distT="0" distB="0" distL="0" distR="0" wp14:anchorId="24C94132" wp14:editId="57D6DEE6">
            <wp:extent cx="2762250" cy="2844800"/>
            <wp:effectExtent l="0" t="0" r="0" b="1270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938C1C" w14:textId="75168FDE" w:rsidR="00056578" w:rsidRPr="00823856" w:rsidRDefault="001D135C" w:rsidP="00EA31B3">
      <w:pPr>
        <w:autoSpaceDE w:val="0"/>
        <w:autoSpaceDN w:val="0"/>
        <w:adjustRightInd w:val="0"/>
        <w:spacing w:after="0" w:line="276" w:lineRule="auto"/>
        <w:ind w:left="540"/>
        <w:jc w:val="center"/>
        <w:rPr>
          <w:rFonts w:asciiTheme="majorBidi" w:hAnsiTheme="majorBidi" w:cstheme="majorBidi"/>
          <w:sz w:val="24"/>
          <w:szCs w:val="24"/>
        </w:rPr>
      </w:pPr>
      <w:r w:rsidRPr="00823856">
        <w:rPr>
          <w:rFonts w:asciiTheme="majorBidi" w:hAnsiTheme="majorBidi" w:cstheme="majorBidi"/>
          <w:sz w:val="24"/>
          <w:szCs w:val="24"/>
        </w:rPr>
        <w:t xml:space="preserve">Figure </w:t>
      </w:r>
      <w:r w:rsidR="00A254F0">
        <w:rPr>
          <w:rFonts w:asciiTheme="majorBidi" w:hAnsiTheme="majorBidi" w:cstheme="majorBidi"/>
          <w:sz w:val="24"/>
          <w:szCs w:val="24"/>
        </w:rPr>
        <w:t>4</w:t>
      </w:r>
      <w:r w:rsidR="006718C6" w:rsidRPr="00823856">
        <w:rPr>
          <w:rFonts w:asciiTheme="majorBidi" w:hAnsiTheme="majorBidi" w:cstheme="majorBidi"/>
          <w:sz w:val="24"/>
          <w:szCs w:val="24"/>
        </w:rPr>
        <w:t>:</w:t>
      </w:r>
      <w:r w:rsidR="00E56697" w:rsidRPr="00823856">
        <w:rPr>
          <w:rFonts w:asciiTheme="majorBidi" w:hAnsiTheme="majorBidi" w:cstheme="majorBidi"/>
          <w:sz w:val="24"/>
          <w:szCs w:val="24"/>
        </w:rPr>
        <w:t xml:space="preserve"> </w:t>
      </w:r>
      <w:r w:rsidR="006718C6" w:rsidRPr="00823856">
        <w:rPr>
          <w:rFonts w:asciiTheme="majorBidi" w:hAnsiTheme="majorBidi" w:cstheme="majorBidi"/>
          <w:sz w:val="24"/>
          <w:szCs w:val="24"/>
        </w:rPr>
        <w:t>C</w:t>
      </w:r>
      <w:r w:rsidR="00E56697" w:rsidRPr="00823856">
        <w:rPr>
          <w:rFonts w:asciiTheme="majorBidi" w:hAnsiTheme="majorBidi" w:cstheme="majorBidi"/>
          <w:sz w:val="24"/>
          <w:szCs w:val="24"/>
        </w:rPr>
        <w:t xml:space="preserve">ost estimation </w:t>
      </w:r>
      <w:r w:rsidR="00997D6F" w:rsidRPr="00823856">
        <w:rPr>
          <w:rFonts w:asciiTheme="majorBidi" w:hAnsiTheme="majorBidi" w:cstheme="majorBidi"/>
          <w:sz w:val="24"/>
          <w:szCs w:val="24"/>
        </w:rPr>
        <w:t>of modular steel (S-PPVC), concrete (C-PPVC) and timber (T-PPVC)</w:t>
      </w:r>
    </w:p>
    <w:p w14:paraId="2FE3EAD6" w14:textId="77777777" w:rsidR="00F72453" w:rsidRPr="00823856" w:rsidRDefault="00F72453" w:rsidP="00823856">
      <w:pPr>
        <w:autoSpaceDE w:val="0"/>
        <w:autoSpaceDN w:val="0"/>
        <w:adjustRightInd w:val="0"/>
        <w:spacing w:after="0" w:line="276" w:lineRule="auto"/>
        <w:ind w:left="540"/>
        <w:rPr>
          <w:rFonts w:asciiTheme="majorBidi" w:hAnsiTheme="majorBidi" w:cstheme="majorBidi"/>
          <w:sz w:val="24"/>
          <w:szCs w:val="24"/>
        </w:rPr>
      </w:pPr>
    </w:p>
    <w:p w14:paraId="5DF4E9A9" w14:textId="284E124B" w:rsidR="006B1D07" w:rsidRPr="00823856" w:rsidRDefault="00BE392A" w:rsidP="00EE12FE">
      <w:pPr>
        <w:pStyle w:val="ListParagraph"/>
        <w:numPr>
          <w:ilvl w:val="1"/>
          <w:numId w:val="17"/>
        </w:numPr>
        <w:autoSpaceDE w:val="0"/>
        <w:autoSpaceDN w:val="0"/>
        <w:adjustRightInd w:val="0"/>
        <w:spacing w:before="240" w:line="276" w:lineRule="auto"/>
        <w:rPr>
          <w:rFonts w:asciiTheme="majorBidi" w:hAnsiTheme="majorBidi" w:cstheme="majorBidi"/>
          <w:b/>
          <w:bCs/>
          <w:i/>
          <w:iCs/>
          <w:sz w:val="24"/>
          <w:szCs w:val="24"/>
        </w:rPr>
      </w:pPr>
      <w:r>
        <w:rPr>
          <w:rFonts w:asciiTheme="majorBidi" w:hAnsiTheme="majorBidi" w:cstheme="majorBidi"/>
          <w:b/>
          <w:bCs/>
          <w:i/>
          <w:iCs/>
          <w:sz w:val="24"/>
          <w:szCs w:val="24"/>
        </w:rPr>
        <w:t>S-LCA</w:t>
      </w:r>
    </w:p>
    <w:p w14:paraId="26ED4C44" w14:textId="7925C00E" w:rsidR="00B21BDC" w:rsidRPr="00823856" w:rsidRDefault="00E02BEE" w:rsidP="00EE12FE">
      <w:pPr>
        <w:autoSpaceDE w:val="0"/>
        <w:autoSpaceDN w:val="0"/>
        <w:adjustRightInd w:val="0"/>
        <w:spacing w:after="0"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Table 7 shows the detailed results of scoring from the stakeholders. </w:t>
      </w:r>
      <w:r w:rsidR="00F72453" w:rsidRPr="00823856">
        <w:rPr>
          <w:rFonts w:asciiTheme="majorBidi" w:hAnsiTheme="majorBidi" w:cstheme="majorBidi"/>
          <w:sz w:val="24"/>
          <w:szCs w:val="24"/>
        </w:rPr>
        <w:t>T</w:t>
      </w:r>
      <w:r w:rsidR="00B21BDC" w:rsidRPr="00823856">
        <w:rPr>
          <w:rFonts w:asciiTheme="majorBidi" w:hAnsiTheme="majorBidi" w:cstheme="majorBidi"/>
          <w:sz w:val="24"/>
          <w:szCs w:val="24"/>
        </w:rPr>
        <w:t>o obtain preliminary result</w:t>
      </w:r>
      <w:r w:rsidR="00F72453" w:rsidRPr="00823856">
        <w:rPr>
          <w:rFonts w:asciiTheme="majorBidi" w:hAnsiTheme="majorBidi" w:cstheme="majorBidi"/>
          <w:sz w:val="24"/>
          <w:szCs w:val="24"/>
        </w:rPr>
        <w:t>s</w:t>
      </w:r>
      <w:r w:rsidR="00B21BDC" w:rsidRPr="00823856">
        <w:rPr>
          <w:rFonts w:asciiTheme="majorBidi" w:hAnsiTheme="majorBidi" w:cstheme="majorBidi"/>
          <w:sz w:val="24"/>
          <w:szCs w:val="24"/>
        </w:rPr>
        <w:t xml:space="preserve">, the overlapping roles by stakeholders should be eliminated. For example, a worker might be part of a local community, so only specific groups have cooperated to avoid a biased point of view. For the worker category, concrete has a higher normalized value, showing </w:t>
      </w:r>
      <w:r w:rsidR="00F72453" w:rsidRPr="00823856">
        <w:rPr>
          <w:rFonts w:asciiTheme="majorBidi" w:hAnsiTheme="majorBidi" w:cstheme="majorBidi"/>
          <w:sz w:val="24"/>
          <w:szCs w:val="24"/>
        </w:rPr>
        <w:t xml:space="preserve">that it is a </w:t>
      </w:r>
      <w:r w:rsidR="00F72453" w:rsidRPr="00823856">
        <w:rPr>
          <w:rFonts w:asciiTheme="majorBidi" w:hAnsiTheme="majorBidi" w:cstheme="majorBidi"/>
          <w:sz w:val="24"/>
          <w:szCs w:val="24"/>
        </w:rPr>
        <w:lastRenderedPageBreak/>
        <w:t xml:space="preserve">preferred </w:t>
      </w:r>
      <w:r w:rsidR="00B21BDC" w:rsidRPr="00823856">
        <w:rPr>
          <w:rFonts w:asciiTheme="majorBidi" w:hAnsiTheme="majorBidi" w:cstheme="majorBidi"/>
          <w:sz w:val="24"/>
          <w:szCs w:val="24"/>
        </w:rPr>
        <w:t>choice in this category. However, it is no</w:t>
      </w:r>
      <w:r w:rsidR="00F72453" w:rsidRPr="00823856">
        <w:rPr>
          <w:rFonts w:asciiTheme="majorBidi" w:hAnsiTheme="majorBidi" w:cstheme="majorBidi"/>
          <w:sz w:val="24"/>
          <w:szCs w:val="24"/>
        </w:rPr>
        <w:t xml:space="preserve">t </w:t>
      </w:r>
      <w:r w:rsidR="00B21BDC" w:rsidRPr="00823856">
        <w:rPr>
          <w:rFonts w:asciiTheme="majorBidi" w:hAnsiTheme="majorBidi" w:cstheme="majorBidi"/>
          <w:sz w:val="24"/>
          <w:szCs w:val="24"/>
        </w:rPr>
        <w:t>prefer</w:t>
      </w:r>
      <w:r w:rsidR="00F72453" w:rsidRPr="00823856">
        <w:rPr>
          <w:rFonts w:asciiTheme="majorBidi" w:hAnsiTheme="majorBidi" w:cstheme="majorBidi"/>
          <w:sz w:val="24"/>
          <w:szCs w:val="24"/>
        </w:rPr>
        <w:t>red</w:t>
      </w:r>
      <w:r w:rsidR="00B21BDC" w:rsidRPr="00823856">
        <w:rPr>
          <w:rFonts w:asciiTheme="majorBidi" w:hAnsiTheme="majorBidi" w:cstheme="majorBidi"/>
          <w:sz w:val="24"/>
          <w:szCs w:val="24"/>
        </w:rPr>
        <w:t xml:space="preserve"> compared to steel in </w:t>
      </w:r>
      <w:r w:rsidR="00F72453" w:rsidRPr="00823856">
        <w:rPr>
          <w:rFonts w:asciiTheme="majorBidi" w:hAnsiTheme="majorBidi" w:cstheme="majorBidi"/>
          <w:sz w:val="24"/>
          <w:szCs w:val="24"/>
        </w:rPr>
        <w:t>he</w:t>
      </w:r>
      <w:r w:rsidR="00B21BDC" w:rsidRPr="00823856">
        <w:rPr>
          <w:rFonts w:asciiTheme="majorBidi" w:hAnsiTheme="majorBidi" w:cstheme="majorBidi"/>
          <w:sz w:val="24"/>
          <w:szCs w:val="24"/>
        </w:rPr>
        <w:t>alth and safety subcategory. Steel dominates the fair salary and freedom of association subcategories.</w:t>
      </w:r>
    </w:p>
    <w:p w14:paraId="08351D8E" w14:textId="661BE94F" w:rsidR="00B21BDC" w:rsidRPr="00823856" w:rsidRDefault="00B21BDC"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In the second category, steel </w:t>
      </w:r>
      <w:r w:rsidR="00F72453" w:rsidRPr="00823856">
        <w:rPr>
          <w:rFonts w:asciiTheme="majorBidi" w:hAnsiTheme="majorBidi" w:cstheme="majorBidi"/>
          <w:sz w:val="24"/>
          <w:szCs w:val="24"/>
        </w:rPr>
        <w:t>modular construction provides benefits to the local community</w:t>
      </w:r>
      <w:r w:rsidRPr="00823856">
        <w:rPr>
          <w:rFonts w:asciiTheme="majorBidi" w:hAnsiTheme="majorBidi" w:cstheme="majorBidi"/>
          <w:sz w:val="24"/>
          <w:szCs w:val="24"/>
        </w:rPr>
        <w:t xml:space="preserve"> compared to the alternatives by 4.02 normalized values vers</w:t>
      </w:r>
      <w:r w:rsidR="00F72453" w:rsidRPr="00823856">
        <w:rPr>
          <w:rFonts w:asciiTheme="majorBidi" w:hAnsiTheme="majorBidi" w:cstheme="majorBidi"/>
          <w:sz w:val="24"/>
          <w:szCs w:val="24"/>
        </w:rPr>
        <w:t>u</w:t>
      </w:r>
      <w:r w:rsidRPr="00823856">
        <w:rPr>
          <w:rFonts w:asciiTheme="majorBidi" w:hAnsiTheme="majorBidi" w:cstheme="majorBidi"/>
          <w:sz w:val="24"/>
          <w:szCs w:val="24"/>
        </w:rPr>
        <w:t xml:space="preserve">s 3.51 and 3.47 for concrete and timber. However, in </w:t>
      </w:r>
      <w:r w:rsidR="00F72453" w:rsidRPr="00823856">
        <w:rPr>
          <w:rFonts w:asciiTheme="majorBidi" w:hAnsiTheme="majorBidi" w:cstheme="majorBidi"/>
          <w:sz w:val="24"/>
          <w:szCs w:val="24"/>
        </w:rPr>
        <w:t xml:space="preserve">terms of </w:t>
      </w:r>
      <w:r w:rsidRPr="00823856">
        <w:rPr>
          <w:rFonts w:asciiTheme="majorBidi" w:hAnsiTheme="majorBidi" w:cstheme="majorBidi"/>
          <w:sz w:val="24"/>
          <w:szCs w:val="24"/>
        </w:rPr>
        <w:t>access to material resources, specifically on the extraction of material resources, timber has a better value</w:t>
      </w:r>
      <w:r w:rsidR="00F72453" w:rsidRPr="00823856">
        <w:rPr>
          <w:rFonts w:asciiTheme="majorBidi" w:hAnsiTheme="majorBidi" w:cstheme="majorBidi"/>
          <w:sz w:val="24"/>
          <w:szCs w:val="24"/>
        </w:rPr>
        <w:t xml:space="preserve"> at</w:t>
      </w:r>
      <w:r w:rsidRPr="00823856">
        <w:rPr>
          <w:rFonts w:asciiTheme="majorBidi" w:hAnsiTheme="majorBidi" w:cstheme="majorBidi"/>
          <w:sz w:val="24"/>
          <w:szCs w:val="24"/>
        </w:rPr>
        <w:t xml:space="preserve"> 0.39 </w:t>
      </w:r>
      <w:r w:rsidR="00F72453" w:rsidRPr="00823856">
        <w:rPr>
          <w:rFonts w:asciiTheme="majorBidi" w:hAnsiTheme="majorBidi" w:cstheme="majorBidi"/>
          <w:sz w:val="24"/>
          <w:szCs w:val="24"/>
        </w:rPr>
        <w:t>compared to</w:t>
      </w:r>
      <w:r w:rsidRPr="00823856">
        <w:rPr>
          <w:rFonts w:asciiTheme="majorBidi" w:hAnsiTheme="majorBidi" w:cstheme="majorBidi"/>
          <w:sz w:val="24"/>
          <w:szCs w:val="24"/>
        </w:rPr>
        <w:t xml:space="preserve"> 0.31 and 0.3 </w:t>
      </w:r>
      <w:r w:rsidR="00F72453" w:rsidRPr="00823856">
        <w:rPr>
          <w:rFonts w:asciiTheme="majorBidi" w:hAnsiTheme="majorBidi" w:cstheme="majorBidi"/>
          <w:sz w:val="24"/>
          <w:szCs w:val="24"/>
        </w:rPr>
        <w:t>for</w:t>
      </w:r>
      <w:r w:rsidRPr="00823856">
        <w:rPr>
          <w:rFonts w:asciiTheme="majorBidi" w:hAnsiTheme="majorBidi" w:cstheme="majorBidi"/>
          <w:sz w:val="24"/>
          <w:szCs w:val="24"/>
        </w:rPr>
        <w:t xml:space="preserve"> concrete and steel</w:t>
      </w:r>
      <w:r w:rsidR="00F72453" w:rsidRPr="00823856">
        <w:rPr>
          <w:rFonts w:asciiTheme="majorBidi" w:hAnsiTheme="majorBidi" w:cstheme="majorBidi"/>
          <w:sz w:val="24"/>
          <w:szCs w:val="24"/>
        </w:rPr>
        <w:t xml:space="preserve"> respectively</w:t>
      </w:r>
      <w:r w:rsidRPr="00823856">
        <w:rPr>
          <w:rFonts w:asciiTheme="majorBidi" w:hAnsiTheme="majorBidi" w:cstheme="majorBidi"/>
          <w:sz w:val="24"/>
          <w:szCs w:val="24"/>
        </w:rPr>
        <w:t>. In the waste generation subcategory, concrete has a lower ranking, followed by timber and steel. In the local employment subcategory, job creation, use of technology that generates employment, and local supply network</w:t>
      </w:r>
      <w:r w:rsidR="00F72453" w:rsidRPr="00823856">
        <w:rPr>
          <w:rFonts w:asciiTheme="majorBidi" w:hAnsiTheme="majorBidi" w:cstheme="majorBidi"/>
          <w:sz w:val="24"/>
          <w:szCs w:val="24"/>
        </w:rPr>
        <w:t xml:space="preserve"> </w:t>
      </w:r>
      <w:r w:rsidRPr="00823856">
        <w:rPr>
          <w:rFonts w:asciiTheme="majorBidi" w:hAnsiTheme="majorBidi" w:cstheme="majorBidi"/>
          <w:sz w:val="24"/>
          <w:szCs w:val="24"/>
        </w:rPr>
        <w:t xml:space="preserve">have higher values for modular concrete. </w:t>
      </w:r>
    </w:p>
    <w:p w14:paraId="2D771FD5" w14:textId="79C745B1" w:rsidR="006A6EA1" w:rsidRPr="00823856" w:rsidRDefault="00F30181" w:rsidP="00823856">
      <w:pPr>
        <w:autoSpaceDE w:val="0"/>
        <w:autoSpaceDN w:val="0"/>
        <w:adjustRightInd w:val="0"/>
        <w:spacing w:after="0" w:line="276" w:lineRule="auto"/>
        <w:ind w:firstLine="720"/>
        <w:jc w:val="center"/>
        <w:rPr>
          <w:rFonts w:asciiTheme="majorBidi" w:hAnsiTheme="majorBidi" w:cstheme="majorBidi"/>
          <w:sz w:val="24"/>
          <w:szCs w:val="24"/>
        </w:rPr>
      </w:pPr>
      <w:r w:rsidRPr="00823856">
        <w:rPr>
          <w:rFonts w:asciiTheme="majorBidi" w:hAnsiTheme="majorBidi" w:cstheme="majorBidi"/>
          <w:sz w:val="24"/>
          <w:szCs w:val="24"/>
        </w:rPr>
        <w:t xml:space="preserve">Table </w:t>
      </w:r>
      <w:r w:rsidR="00A13E55" w:rsidRPr="00823856">
        <w:rPr>
          <w:rFonts w:asciiTheme="majorBidi" w:hAnsiTheme="majorBidi" w:cstheme="majorBidi"/>
          <w:sz w:val="24"/>
          <w:szCs w:val="24"/>
        </w:rPr>
        <w:t>7</w:t>
      </w:r>
      <w:r w:rsidRPr="00823856">
        <w:rPr>
          <w:rFonts w:asciiTheme="majorBidi" w:hAnsiTheme="majorBidi" w:cstheme="majorBidi"/>
          <w:sz w:val="24"/>
          <w:szCs w:val="24"/>
        </w:rPr>
        <w:t xml:space="preserve">: Scoring system of </w:t>
      </w:r>
      <w:r w:rsidR="00DF1014" w:rsidRPr="00823856">
        <w:rPr>
          <w:rFonts w:asciiTheme="majorBidi" w:hAnsiTheme="majorBidi" w:cstheme="majorBidi"/>
          <w:sz w:val="24"/>
          <w:szCs w:val="24"/>
        </w:rPr>
        <w:t>social life cycle assessment</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761"/>
        <w:gridCol w:w="1583"/>
        <w:gridCol w:w="2951"/>
        <w:gridCol w:w="1099"/>
        <w:gridCol w:w="1080"/>
        <w:gridCol w:w="876"/>
      </w:tblGrid>
      <w:tr w:rsidR="00872206" w:rsidRPr="00F5545F" w14:paraId="643DA4AB" w14:textId="77777777" w:rsidTr="007F38F7">
        <w:trPr>
          <w:trHeight w:val="20"/>
        </w:trPr>
        <w:tc>
          <w:tcPr>
            <w:tcW w:w="0" w:type="auto"/>
            <w:vMerge w:val="restart"/>
            <w:shd w:val="clear" w:color="auto" w:fill="E7E6E6" w:themeFill="background2"/>
          </w:tcPr>
          <w:p w14:paraId="0DFA5C45" w14:textId="77777777" w:rsidR="00872206" w:rsidRPr="00F5545F" w:rsidRDefault="00872206" w:rsidP="007F38F7">
            <w:pPr>
              <w:jc w:val="center"/>
              <w:rPr>
                <w:rFonts w:asciiTheme="majorBidi" w:hAnsiTheme="majorBidi" w:cstheme="majorBidi"/>
                <w:b/>
                <w:bCs/>
                <w:i/>
                <w:iCs/>
                <w:sz w:val="18"/>
                <w:szCs w:val="18"/>
              </w:rPr>
            </w:pPr>
            <w:r w:rsidRPr="00F5545F">
              <w:rPr>
                <w:rFonts w:asciiTheme="majorBidi" w:hAnsiTheme="majorBidi" w:cstheme="majorBidi"/>
                <w:b/>
                <w:bCs/>
                <w:sz w:val="20"/>
                <w:szCs w:val="20"/>
              </w:rPr>
              <w:t>Stakeholder Categories</w:t>
            </w:r>
          </w:p>
        </w:tc>
        <w:tc>
          <w:tcPr>
            <w:tcW w:w="1583" w:type="dxa"/>
            <w:vMerge w:val="restart"/>
            <w:shd w:val="clear" w:color="auto" w:fill="E7E6E6" w:themeFill="background2"/>
          </w:tcPr>
          <w:p w14:paraId="58B26981" w14:textId="77777777" w:rsidR="00872206" w:rsidRPr="00F5545F" w:rsidRDefault="00872206" w:rsidP="007F38F7">
            <w:pPr>
              <w:autoSpaceDE w:val="0"/>
              <w:autoSpaceDN w:val="0"/>
              <w:adjustRightInd w:val="0"/>
              <w:rPr>
                <w:rFonts w:asciiTheme="majorBidi" w:hAnsiTheme="majorBidi" w:cstheme="majorBidi"/>
                <w:b/>
                <w:bCs/>
                <w:i/>
                <w:iCs/>
                <w:sz w:val="20"/>
                <w:szCs w:val="20"/>
              </w:rPr>
            </w:pPr>
            <w:r w:rsidRPr="00F5545F">
              <w:rPr>
                <w:rFonts w:asciiTheme="majorBidi" w:hAnsiTheme="majorBidi" w:cstheme="majorBidi"/>
                <w:b/>
                <w:bCs/>
                <w:i/>
                <w:iCs/>
                <w:sz w:val="20"/>
                <w:szCs w:val="20"/>
              </w:rPr>
              <w:t>Subcategories</w:t>
            </w:r>
          </w:p>
          <w:p w14:paraId="4F865AAC" w14:textId="77777777" w:rsidR="00872206" w:rsidRPr="00F5545F" w:rsidRDefault="00872206" w:rsidP="007F38F7">
            <w:pPr>
              <w:autoSpaceDE w:val="0"/>
              <w:autoSpaceDN w:val="0"/>
              <w:adjustRightInd w:val="0"/>
              <w:rPr>
                <w:rFonts w:asciiTheme="majorBidi" w:hAnsiTheme="majorBidi" w:cstheme="majorBidi"/>
                <w:b/>
                <w:bCs/>
                <w:i/>
                <w:iCs/>
                <w:sz w:val="20"/>
                <w:szCs w:val="20"/>
              </w:rPr>
            </w:pPr>
          </w:p>
        </w:tc>
        <w:tc>
          <w:tcPr>
            <w:tcW w:w="2951" w:type="dxa"/>
            <w:vMerge w:val="restart"/>
            <w:shd w:val="clear" w:color="auto" w:fill="E7E6E6" w:themeFill="background2"/>
            <w:vAlign w:val="center"/>
          </w:tcPr>
          <w:p w14:paraId="70514608" w14:textId="77777777" w:rsidR="00872206" w:rsidRPr="00F5545F" w:rsidRDefault="00872206" w:rsidP="007F38F7">
            <w:pPr>
              <w:autoSpaceDE w:val="0"/>
              <w:autoSpaceDN w:val="0"/>
              <w:adjustRightInd w:val="0"/>
              <w:rPr>
                <w:rFonts w:asciiTheme="majorBidi" w:hAnsiTheme="majorBidi" w:cstheme="majorBidi"/>
                <w:b/>
                <w:bCs/>
                <w:i/>
                <w:iCs/>
                <w:sz w:val="20"/>
                <w:szCs w:val="20"/>
              </w:rPr>
            </w:pPr>
            <w:r w:rsidRPr="00F5545F">
              <w:rPr>
                <w:rFonts w:asciiTheme="majorBidi" w:hAnsiTheme="majorBidi" w:cstheme="majorBidi"/>
                <w:b/>
                <w:bCs/>
                <w:i/>
                <w:iCs/>
                <w:sz w:val="20"/>
                <w:szCs w:val="20"/>
              </w:rPr>
              <w:t xml:space="preserve">Inventory indicators </w:t>
            </w:r>
          </w:p>
        </w:tc>
        <w:tc>
          <w:tcPr>
            <w:tcW w:w="1099" w:type="dxa"/>
            <w:shd w:val="clear" w:color="auto" w:fill="E7E6E6" w:themeFill="background2"/>
            <w:vAlign w:val="center"/>
          </w:tcPr>
          <w:p w14:paraId="78F8A108" w14:textId="77777777" w:rsidR="00872206" w:rsidRPr="00F5545F" w:rsidRDefault="00872206" w:rsidP="007F38F7">
            <w:pPr>
              <w:jc w:val="center"/>
              <w:rPr>
                <w:rFonts w:asciiTheme="majorBidi" w:hAnsiTheme="majorBidi" w:cstheme="majorBidi"/>
                <w:b/>
                <w:bCs/>
                <w:i/>
                <w:iCs/>
                <w:sz w:val="18"/>
                <w:szCs w:val="18"/>
              </w:rPr>
            </w:pPr>
            <w:r w:rsidRPr="00F5545F">
              <w:rPr>
                <w:rFonts w:asciiTheme="majorBidi" w:hAnsiTheme="majorBidi" w:cstheme="majorBidi"/>
                <w:b/>
                <w:bCs/>
                <w:sz w:val="18"/>
                <w:szCs w:val="18"/>
              </w:rPr>
              <w:t>S-PPVC</w:t>
            </w:r>
          </w:p>
        </w:tc>
        <w:tc>
          <w:tcPr>
            <w:tcW w:w="1080" w:type="dxa"/>
            <w:shd w:val="clear" w:color="auto" w:fill="E7E6E6" w:themeFill="background2"/>
            <w:vAlign w:val="center"/>
          </w:tcPr>
          <w:p w14:paraId="7546A11F" w14:textId="77777777" w:rsidR="00872206" w:rsidRPr="00F5545F" w:rsidRDefault="00872206" w:rsidP="007F38F7">
            <w:pPr>
              <w:jc w:val="center"/>
              <w:rPr>
                <w:rFonts w:asciiTheme="majorBidi" w:hAnsiTheme="majorBidi" w:cstheme="majorBidi"/>
                <w:b/>
                <w:bCs/>
                <w:i/>
                <w:iCs/>
                <w:sz w:val="18"/>
                <w:szCs w:val="18"/>
              </w:rPr>
            </w:pPr>
            <w:r w:rsidRPr="00F5545F">
              <w:rPr>
                <w:rFonts w:asciiTheme="majorBidi" w:hAnsiTheme="majorBidi" w:cstheme="majorBidi"/>
                <w:b/>
                <w:bCs/>
                <w:sz w:val="18"/>
                <w:szCs w:val="18"/>
              </w:rPr>
              <w:t>C-PPVC</w:t>
            </w:r>
          </w:p>
        </w:tc>
        <w:tc>
          <w:tcPr>
            <w:tcW w:w="0" w:type="auto"/>
            <w:shd w:val="clear" w:color="auto" w:fill="E7E6E6" w:themeFill="background2"/>
            <w:vAlign w:val="center"/>
          </w:tcPr>
          <w:p w14:paraId="31A00DC9" w14:textId="77777777" w:rsidR="00872206" w:rsidRPr="00F5545F" w:rsidRDefault="00872206" w:rsidP="007F38F7">
            <w:pPr>
              <w:jc w:val="center"/>
              <w:rPr>
                <w:rFonts w:asciiTheme="majorBidi" w:hAnsiTheme="majorBidi" w:cstheme="majorBidi"/>
                <w:b/>
                <w:bCs/>
                <w:i/>
                <w:iCs/>
                <w:sz w:val="18"/>
                <w:szCs w:val="18"/>
              </w:rPr>
            </w:pPr>
            <w:r w:rsidRPr="00F5545F">
              <w:rPr>
                <w:rFonts w:asciiTheme="majorBidi" w:hAnsiTheme="majorBidi" w:cstheme="majorBidi"/>
                <w:b/>
                <w:bCs/>
                <w:sz w:val="18"/>
                <w:szCs w:val="18"/>
              </w:rPr>
              <w:t>T-PPVC</w:t>
            </w:r>
          </w:p>
        </w:tc>
      </w:tr>
      <w:tr w:rsidR="00872206" w:rsidRPr="00F5545F" w14:paraId="72512E24" w14:textId="77777777" w:rsidTr="007F38F7">
        <w:trPr>
          <w:trHeight w:val="289"/>
        </w:trPr>
        <w:tc>
          <w:tcPr>
            <w:tcW w:w="0" w:type="auto"/>
            <w:vMerge/>
            <w:shd w:val="clear" w:color="auto" w:fill="E7E6E6" w:themeFill="background2"/>
          </w:tcPr>
          <w:p w14:paraId="2BE32D5B" w14:textId="77777777" w:rsidR="00872206" w:rsidRPr="00F5545F" w:rsidRDefault="00872206" w:rsidP="007F38F7">
            <w:pPr>
              <w:jc w:val="center"/>
              <w:rPr>
                <w:rFonts w:asciiTheme="majorBidi" w:hAnsiTheme="majorBidi" w:cstheme="majorBidi"/>
                <w:sz w:val="20"/>
                <w:szCs w:val="20"/>
              </w:rPr>
            </w:pPr>
          </w:p>
        </w:tc>
        <w:tc>
          <w:tcPr>
            <w:tcW w:w="1583" w:type="dxa"/>
            <w:vMerge/>
            <w:shd w:val="clear" w:color="auto" w:fill="E7E6E6" w:themeFill="background2"/>
          </w:tcPr>
          <w:p w14:paraId="454FD1DA" w14:textId="77777777" w:rsidR="00872206" w:rsidRPr="00F5545F" w:rsidRDefault="00872206" w:rsidP="007F38F7">
            <w:pPr>
              <w:autoSpaceDE w:val="0"/>
              <w:autoSpaceDN w:val="0"/>
              <w:adjustRightInd w:val="0"/>
              <w:rPr>
                <w:rFonts w:asciiTheme="majorBidi" w:hAnsiTheme="majorBidi" w:cstheme="majorBidi"/>
                <w:b/>
                <w:bCs/>
                <w:i/>
                <w:iCs/>
                <w:sz w:val="20"/>
                <w:szCs w:val="20"/>
              </w:rPr>
            </w:pPr>
          </w:p>
        </w:tc>
        <w:tc>
          <w:tcPr>
            <w:tcW w:w="2951" w:type="dxa"/>
            <w:vMerge/>
            <w:shd w:val="clear" w:color="auto" w:fill="E7E6E6" w:themeFill="background2"/>
            <w:vAlign w:val="center"/>
          </w:tcPr>
          <w:p w14:paraId="22327136" w14:textId="77777777" w:rsidR="00872206" w:rsidRPr="00F5545F" w:rsidRDefault="00872206" w:rsidP="007F38F7">
            <w:pPr>
              <w:autoSpaceDE w:val="0"/>
              <w:autoSpaceDN w:val="0"/>
              <w:adjustRightInd w:val="0"/>
              <w:rPr>
                <w:rFonts w:asciiTheme="majorBidi" w:hAnsiTheme="majorBidi" w:cstheme="majorBidi"/>
                <w:b/>
                <w:bCs/>
                <w:i/>
                <w:iCs/>
                <w:sz w:val="20"/>
                <w:szCs w:val="20"/>
              </w:rPr>
            </w:pPr>
          </w:p>
        </w:tc>
        <w:tc>
          <w:tcPr>
            <w:tcW w:w="3055" w:type="dxa"/>
            <w:gridSpan w:val="3"/>
            <w:shd w:val="clear" w:color="auto" w:fill="E7E6E6" w:themeFill="background2"/>
            <w:vAlign w:val="center"/>
          </w:tcPr>
          <w:p w14:paraId="042DF65E" w14:textId="77777777" w:rsidR="00872206" w:rsidRPr="00F5545F" w:rsidRDefault="00872206" w:rsidP="007F38F7">
            <w:pPr>
              <w:jc w:val="center"/>
              <w:rPr>
                <w:rFonts w:asciiTheme="majorBidi" w:hAnsiTheme="majorBidi" w:cstheme="majorBidi"/>
                <w:b/>
                <w:bCs/>
                <w:sz w:val="20"/>
                <w:szCs w:val="20"/>
              </w:rPr>
            </w:pPr>
            <w:r w:rsidRPr="00F5545F">
              <w:rPr>
                <w:rFonts w:asciiTheme="majorBidi" w:hAnsiTheme="majorBidi" w:cstheme="majorBidi"/>
                <w:b/>
                <w:bCs/>
                <w:sz w:val="20"/>
                <w:szCs w:val="20"/>
              </w:rPr>
              <w:t xml:space="preserve">Normalized Value </w:t>
            </w:r>
          </w:p>
        </w:tc>
      </w:tr>
      <w:tr w:rsidR="00872206" w:rsidRPr="00F5545F" w14:paraId="008CD4D4" w14:textId="77777777" w:rsidTr="007F38F7">
        <w:trPr>
          <w:cantSplit/>
          <w:trHeight w:val="371"/>
        </w:trPr>
        <w:tc>
          <w:tcPr>
            <w:tcW w:w="0" w:type="auto"/>
            <w:vMerge w:val="restart"/>
            <w:vAlign w:val="center"/>
          </w:tcPr>
          <w:p w14:paraId="2F640B8C" w14:textId="77777777" w:rsidR="00872206" w:rsidRPr="00F5545F" w:rsidRDefault="00872206" w:rsidP="007F38F7">
            <w:pPr>
              <w:rPr>
                <w:rFonts w:asciiTheme="majorBidi" w:hAnsiTheme="majorBidi" w:cstheme="majorBidi"/>
                <w:i/>
                <w:iCs/>
                <w:sz w:val="18"/>
                <w:szCs w:val="18"/>
              </w:rPr>
            </w:pPr>
            <w:r w:rsidRPr="00F5545F">
              <w:rPr>
                <w:rFonts w:asciiTheme="majorBidi" w:hAnsiTheme="majorBidi" w:cstheme="majorBidi"/>
                <w:i/>
                <w:iCs/>
                <w:sz w:val="18"/>
                <w:szCs w:val="18"/>
              </w:rPr>
              <w:t>Workers</w:t>
            </w:r>
          </w:p>
        </w:tc>
        <w:tc>
          <w:tcPr>
            <w:tcW w:w="1583" w:type="dxa"/>
            <w:vAlign w:val="center"/>
          </w:tcPr>
          <w:p w14:paraId="2C1BC610"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 xml:space="preserve">Freedom </w:t>
            </w:r>
            <w:proofErr w:type="gramStart"/>
            <w:r w:rsidRPr="00F5545F">
              <w:rPr>
                <w:rFonts w:asciiTheme="majorBidi" w:hAnsiTheme="majorBidi" w:cstheme="majorBidi"/>
                <w:i/>
                <w:iCs/>
                <w:sz w:val="18"/>
                <w:szCs w:val="18"/>
              </w:rPr>
              <w:t>of  association</w:t>
            </w:r>
            <w:proofErr w:type="gramEnd"/>
          </w:p>
        </w:tc>
        <w:tc>
          <w:tcPr>
            <w:tcW w:w="2951" w:type="dxa"/>
            <w:vAlign w:val="center"/>
          </w:tcPr>
          <w:p w14:paraId="408A233D"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Respect for freedom of association bargaining</w:t>
            </w:r>
          </w:p>
        </w:tc>
        <w:tc>
          <w:tcPr>
            <w:tcW w:w="1099" w:type="dxa"/>
            <w:vAlign w:val="center"/>
          </w:tcPr>
          <w:p w14:paraId="0E76A352"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0.35</w:t>
            </w:r>
          </w:p>
        </w:tc>
        <w:tc>
          <w:tcPr>
            <w:tcW w:w="1080" w:type="dxa"/>
            <w:vAlign w:val="center"/>
          </w:tcPr>
          <w:p w14:paraId="78643131"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0.37</w:t>
            </w:r>
          </w:p>
        </w:tc>
        <w:tc>
          <w:tcPr>
            <w:tcW w:w="0" w:type="auto"/>
            <w:vAlign w:val="center"/>
          </w:tcPr>
          <w:p w14:paraId="36C00BAE"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0.28</w:t>
            </w:r>
          </w:p>
        </w:tc>
      </w:tr>
      <w:tr w:rsidR="00872206" w:rsidRPr="00F5545F" w14:paraId="0EFCEA3C" w14:textId="77777777" w:rsidTr="007F38F7">
        <w:trPr>
          <w:cantSplit/>
          <w:trHeight w:val="20"/>
        </w:trPr>
        <w:tc>
          <w:tcPr>
            <w:tcW w:w="0" w:type="auto"/>
            <w:vMerge/>
            <w:vAlign w:val="center"/>
          </w:tcPr>
          <w:p w14:paraId="35CD687D" w14:textId="77777777" w:rsidR="00872206" w:rsidRPr="00F5545F" w:rsidRDefault="00872206" w:rsidP="007F38F7">
            <w:pPr>
              <w:rPr>
                <w:rFonts w:asciiTheme="majorBidi" w:hAnsiTheme="majorBidi" w:cstheme="majorBidi"/>
                <w:i/>
                <w:iCs/>
                <w:sz w:val="18"/>
                <w:szCs w:val="18"/>
              </w:rPr>
            </w:pPr>
          </w:p>
        </w:tc>
        <w:tc>
          <w:tcPr>
            <w:tcW w:w="1583" w:type="dxa"/>
            <w:vAlign w:val="center"/>
          </w:tcPr>
          <w:p w14:paraId="242E41FA"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Health and safety</w:t>
            </w:r>
          </w:p>
        </w:tc>
        <w:tc>
          <w:tcPr>
            <w:tcW w:w="2951" w:type="dxa"/>
            <w:vAlign w:val="center"/>
          </w:tcPr>
          <w:p w14:paraId="1DA5EC77"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Less Occupational accidents</w:t>
            </w:r>
          </w:p>
        </w:tc>
        <w:tc>
          <w:tcPr>
            <w:tcW w:w="1099" w:type="dxa"/>
            <w:vAlign w:val="center"/>
          </w:tcPr>
          <w:p w14:paraId="016D4024"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0.38</w:t>
            </w:r>
          </w:p>
        </w:tc>
        <w:tc>
          <w:tcPr>
            <w:tcW w:w="1080" w:type="dxa"/>
            <w:vAlign w:val="center"/>
          </w:tcPr>
          <w:p w14:paraId="57424D50"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0.32</w:t>
            </w:r>
          </w:p>
        </w:tc>
        <w:tc>
          <w:tcPr>
            <w:tcW w:w="0" w:type="auto"/>
            <w:vAlign w:val="center"/>
          </w:tcPr>
          <w:p w14:paraId="259CE4A9"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w:t>
            </w:r>
          </w:p>
        </w:tc>
      </w:tr>
      <w:tr w:rsidR="00872206" w:rsidRPr="00F5545F" w14:paraId="5E466BEF" w14:textId="77777777" w:rsidTr="007F38F7">
        <w:trPr>
          <w:cantSplit/>
          <w:trHeight w:val="20"/>
        </w:trPr>
        <w:tc>
          <w:tcPr>
            <w:tcW w:w="0" w:type="auto"/>
            <w:vMerge/>
            <w:vAlign w:val="center"/>
          </w:tcPr>
          <w:p w14:paraId="17B2B42D" w14:textId="77777777" w:rsidR="00872206" w:rsidRPr="00F5545F" w:rsidRDefault="00872206" w:rsidP="007F38F7">
            <w:pPr>
              <w:rPr>
                <w:rFonts w:asciiTheme="majorBidi" w:hAnsiTheme="majorBidi" w:cstheme="majorBidi"/>
                <w:i/>
                <w:iCs/>
                <w:sz w:val="18"/>
                <w:szCs w:val="18"/>
              </w:rPr>
            </w:pPr>
          </w:p>
        </w:tc>
        <w:tc>
          <w:tcPr>
            <w:tcW w:w="1583" w:type="dxa"/>
            <w:vAlign w:val="center"/>
          </w:tcPr>
          <w:p w14:paraId="3DB6D48D"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Fair salary</w:t>
            </w:r>
          </w:p>
        </w:tc>
        <w:tc>
          <w:tcPr>
            <w:tcW w:w="2951" w:type="dxa"/>
            <w:vAlign w:val="center"/>
          </w:tcPr>
          <w:p w14:paraId="2A04F386"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Living/non-poverty wages</w:t>
            </w:r>
          </w:p>
        </w:tc>
        <w:tc>
          <w:tcPr>
            <w:tcW w:w="1099" w:type="dxa"/>
            <w:vAlign w:val="center"/>
          </w:tcPr>
          <w:p w14:paraId="1AFF2E67"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0.4</w:t>
            </w:r>
          </w:p>
        </w:tc>
        <w:tc>
          <w:tcPr>
            <w:tcW w:w="1080" w:type="dxa"/>
            <w:vAlign w:val="center"/>
          </w:tcPr>
          <w:p w14:paraId="4AA3ED46"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0.34</w:t>
            </w:r>
          </w:p>
        </w:tc>
        <w:tc>
          <w:tcPr>
            <w:tcW w:w="0" w:type="auto"/>
            <w:vAlign w:val="center"/>
          </w:tcPr>
          <w:p w14:paraId="0DD277B1"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0.26</w:t>
            </w:r>
          </w:p>
        </w:tc>
      </w:tr>
      <w:tr w:rsidR="00872206" w:rsidRPr="00F5545F" w14:paraId="7D0775CD" w14:textId="77777777" w:rsidTr="007F38F7">
        <w:trPr>
          <w:cantSplit/>
          <w:trHeight w:val="20"/>
        </w:trPr>
        <w:tc>
          <w:tcPr>
            <w:tcW w:w="0" w:type="auto"/>
            <w:vMerge w:val="restart"/>
            <w:vAlign w:val="center"/>
          </w:tcPr>
          <w:p w14:paraId="4EA7973A" w14:textId="77777777" w:rsidR="00872206" w:rsidRPr="00F5545F" w:rsidRDefault="00872206" w:rsidP="007F38F7">
            <w:pPr>
              <w:rPr>
                <w:rFonts w:asciiTheme="majorBidi" w:hAnsiTheme="majorBidi" w:cstheme="majorBidi"/>
                <w:i/>
                <w:iCs/>
                <w:sz w:val="18"/>
                <w:szCs w:val="18"/>
              </w:rPr>
            </w:pPr>
            <w:proofErr w:type="gramStart"/>
            <w:r w:rsidRPr="00F5545F">
              <w:rPr>
                <w:rFonts w:asciiTheme="majorBidi" w:hAnsiTheme="majorBidi" w:cstheme="majorBidi"/>
                <w:i/>
                <w:iCs/>
                <w:sz w:val="18"/>
                <w:szCs w:val="18"/>
              </w:rPr>
              <w:t>Local  community</w:t>
            </w:r>
            <w:proofErr w:type="gramEnd"/>
          </w:p>
        </w:tc>
        <w:tc>
          <w:tcPr>
            <w:tcW w:w="1583" w:type="dxa"/>
            <w:vMerge w:val="restart"/>
            <w:vAlign w:val="center"/>
          </w:tcPr>
          <w:p w14:paraId="0E615906"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Access to material resources</w:t>
            </w:r>
          </w:p>
        </w:tc>
        <w:tc>
          <w:tcPr>
            <w:tcW w:w="2951" w:type="dxa"/>
            <w:vAlign w:val="center"/>
          </w:tcPr>
          <w:p w14:paraId="47A1038F"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Changes in land ownership/ land use</w:t>
            </w:r>
          </w:p>
        </w:tc>
        <w:tc>
          <w:tcPr>
            <w:tcW w:w="1099" w:type="dxa"/>
            <w:vAlign w:val="center"/>
          </w:tcPr>
          <w:p w14:paraId="071270A0"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0.39</w:t>
            </w:r>
          </w:p>
        </w:tc>
        <w:tc>
          <w:tcPr>
            <w:tcW w:w="1080" w:type="dxa"/>
            <w:vAlign w:val="center"/>
          </w:tcPr>
          <w:p w14:paraId="69775E46"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0.34</w:t>
            </w:r>
          </w:p>
        </w:tc>
        <w:tc>
          <w:tcPr>
            <w:tcW w:w="0" w:type="auto"/>
            <w:vAlign w:val="center"/>
          </w:tcPr>
          <w:p w14:paraId="23688D75"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0.27</w:t>
            </w:r>
          </w:p>
        </w:tc>
      </w:tr>
      <w:tr w:rsidR="00872206" w:rsidRPr="00F5545F" w14:paraId="097F561A" w14:textId="77777777" w:rsidTr="007F38F7">
        <w:trPr>
          <w:cantSplit/>
          <w:trHeight w:val="20"/>
        </w:trPr>
        <w:tc>
          <w:tcPr>
            <w:tcW w:w="0" w:type="auto"/>
            <w:vMerge/>
            <w:vAlign w:val="center"/>
          </w:tcPr>
          <w:p w14:paraId="223F316F"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6D5841D1"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6DE1EE9A"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Levels of industrial water use</w:t>
            </w:r>
          </w:p>
        </w:tc>
        <w:tc>
          <w:tcPr>
            <w:tcW w:w="1099" w:type="dxa"/>
            <w:vAlign w:val="center"/>
          </w:tcPr>
          <w:p w14:paraId="0F8B7792"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0.38</w:t>
            </w:r>
          </w:p>
        </w:tc>
        <w:tc>
          <w:tcPr>
            <w:tcW w:w="1080" w:type="dxa"/>
            <w:vAlign w:val="center"/>
          </w:tcPr>
          <w:p w14:paraId="7476C59F"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0.24</w:t>
            </w:r>
          </w:p>
        </w:tc>
        <w:tc>
          <w:tcPr>
            <w:tcW w:w="0" w:type="auto"/>
            <w:vAlign w:val="center"/>
          </w:tcPr>
          <w:p w14:paraId="0B885DB3"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0.38</w:t>
            </w:r>
          </w:p>
        </w:tc>
      </w:tr>
      <w:tr w:rsidR="00872206" w:rsidRPr="00F5545F" w14:paraId="286ECA97" w14:textId="77777777" w:rsidTr="007F38F7">
        <w:trPr>
          <w:cantSplit/>
          <w:trHeight w:val="20"/>
        </w:trPr>
        <w:tc>
          <w:tcPr>
            <w:tcW w:w="0" w:type="auto"/>
            <w:vMerge/>
            <w:vAlign w:val="center"/>
          </w:tcPr>
          <w:p w14:paraId="7516CE27"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06EF9C8B"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3155230A"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Extraction of material resources</w:t>
            </w:r>
          </w:p>
        </w:tc>
        <w:tc>
          <w:tcPr>
            <w:tcW w:w="1099" w:type="dxa"/>
            <w:vAlign w:val="center"/>
          </w:tcPr>
          <w:p w14:paraId="2A2E065C"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w:t>
            </w:r>
          </w:p>
        </w:tc>
        <w:tc>
          <w:tcPr>
            <w:tcW w:w="1080" w:type="dxa"/>
            <w:vAlign w:val="center"/>
          </w:tcPr>
          <w:p w14:paraId="42B6B517"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0.31</w:t>
            </w:r>
          </w:p>
        </w:tc>
        <w:tc>
          <w:tcPr>
            <w:tcW w:w="0" w:type="auto"/>
            <w:vAlign w:val="center"/>
          </w:tcPr>
          <w:p w14:paraId="764DF9A3"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0.39</w:t>
            </w:r>
          </w:p>
        </w:tc>
      </w:tr>
      <w:tr w:rsidR="00872206" w:rsidRPr="00F5545F" w14:paraId="7C5007FD" w14:textId="77777777" w:rsidTr="007F38F7">
        <w:trPr>
          <w:cantSplit/>
          <w:trHeight w:val="20"/>
        </w:trPr>
        <w:tc>
          <w:tcPr>
            <w:tcW w:w="0" w:type="auto"/>
            <w:vMerge/>
            <w:vAlign w:val="center"/>
          </w:tcPr>
          <w:p w14:paraId="3D5EDDBE" w14:textId="77777777" w:rsidR="00872206" w:rsidRPr="00F5545F" w:rsidRDefault="00872206" w:rsidP="007F38F7">
            <w:pPr>
              <w:rPr>
                <w:rFonts w:asciiTheme="majorBidi" w:hAnsiTheme="majorBidi" w:cstheme="majorBidi"/>
                <w:i/>
                <w:iCs/>
                <w:sz w:val="18"/>
                <w:szCs w:val="18"/>
              </w:rPr>
            </w:pPr>
          </w:p>
        </w:tc>
        <w:tc>
          <w:tcPr>
            <w:tcW w:w="1583" w:type="dxa"/>
            <w:vMerge w:val="restart"/>
            <w:vAlign w:val="center"/>
          </w:tcPr>
          <w:p w14:paraId="7B6DA886"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Safe and healthy living conditions</w:t>
            </w:r>
          </w:p>
        </w:tc>
        <w:tc>
          <w:tcPr>
            <w:tcW w:w="2951" w:type="dxa"/>
            <w:vAlign w:val="center"/>
          </w:tcPr>
          <w:p w14:paraId="38E7091A"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Pollution levels</w:t>
            </w:r>
          </w:p>
        </w:tc>
        <w:tc>
          <w:tcPr>
            <w:tcW w:w="1099" w:type="dxa"/>
            <w:vAlign w:val="center"/>
          </w:tcPr>
          <w:p w14:paraId="1254FDFE"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0.39</w:t>
            </w:r>
          </w:p>
        </w:tc>
        <w:tc>
          <w:tcPr>
            <w:tcW w:w="1080" w:type="dxa"/>
            <w:vAlign w:val="center"/>
          </w:tcPr>
          <w:p w14:paraId="61A0C10E"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0.29</w:t>
            </w:r>
          </w:p>
        </w:tc>
        <w:tc>
          <w:tcPr>
            <w:tcW w:w="0" w:type="auto"/>
            <w:vAlign w:val="center"/>
          </w:tcPr>
          <w:p w14:paraId="6F1B105F"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0.32</w:t>
            </w:r>
          </w:p>
        </w:tc>
      </w:tr>
      <w:tr w:rsidR="00872206" w:rsidRPr="00F5545F" w14:paraId="41110693" w14:textId="77777777" w:rsidTr="007F38F7">
        <w:trPr>
          <w:cantSplit/>
          <w:trHeight w:val="20"/>
        </w:trPr>
        <w:tc>
          <w:tcPr>
            <w:tcW w:w="0" w:type="auto"/>
            <w:vMerge/>
            <w:vAlign w:val="center"/>
          </w:tcPr>
          <w:p w14:paraId="254F824D"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76469485"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0CBC9646"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Waste generations</w:t>
            </w:r>
          </w:p>
        </w:tc>
        <w:tc>
          <w:tcPr>
            <w:tcW w:w="1099" w:type="dxa"/>
            <w:vAlign w:val="center"/>
          </w:tcPr>
          <w:p w14:paraId="39DDBAE5"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0.4</w:t>
            </w:r>
          </w:p>
        </w:tc>
        <w:tc>
          <w:tcPr>
            <w:tcW w:w="1080" w:type="dxa"/>
            <w:vAlign w:val="center"/>
          </w:tcPr>
          <w:p w14:paraId="0A57B744"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0.22</w:t>
            </w:r>
          </w:p>
        </w:tc>
        <w:tc>
          <w:tcPr>
            <w:tcW w:w="0" w:type="auto"/>
            <w:vAlign w:val="center"/>
          </w:tcPr>
          <w:p w14:paraId="621E5789"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0.38</w:t>
            </w:r>
          </w:p>
        </w:tc>
      </w:tr>
      <w:tr w:rsidR="00872206" w:rsidRPr="00F5545F" w14:paraId="12D85BDD" w14:textId="77777777" w:rsidTr="007F38F7">
        <w:trPr>
          <w:cantSplit/>
          <w:trHeight w:val="20"/>
        </w:trPr>
        <w:tc>
          <w:tcPr>
            <w:tcW w:w="0" w:type="auto"/>
            <w:vMerge/>
            <w:vAlign w:val="center"/>
          </w:tcPr>
          <w:p w14:paraId="45360D25" w14:textId="77777777" w:rsidR="00872206" w:rsidRPr="00F5545F" w:rsidRDefault="00872206" w:rsidP="007F38F7">
            <w:pPr>
              <w:rPr>
                <w:rFonts w:asciiTheme="majorBidi" w:hAnsiTheme="majorBidi" w:cstheme="majorBidi"/>
                <w:i/>
                <w:iCs/>
                <w:sz w:val="18"/>
                <w:szCs w:val="18"/>
              </w:rPr>
            </w:pPr>
          </w:p>
        </w:tc>
        <w:tc>
          <w:tcPr>
            <w:tcW w:w="1583" w:type="dxa"/>
            <w:vMerge w:val="restart"/>
            <w:vAlign w:val="center"/>
          </w:tcPr>
          <w:p w14:paraId="45A312D1"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Local employment</w:t>
            </w:r>
          </w:p>
          <w:p w14:paraId="1C15B59E" w14:textId="77777777" w:rsidR="00872206" w:rsidRPr="00F5545F" w:rsidRDefault="00872206" w:rsidP="007F38F7">
            <w:pPr>
              <w:autoSpaceDE w:val="0"/>
              <w:autoSpaceDN w:val="0"/>
              <w:adjustRightInd w:val="0"/>
              <w:rPr>
                <w:rFonts w:asciiTheme="majorBidi" w:hAnsiTheme="majorBidi" w:cstheme="majorBidi"/>
                <w:i/>
                <w:iCs/>
                <w:sz w:val="18"/>
                <w:szCs w:val="18"/>
              </w:rPr>
            </w:pPr>
          </w:p>
          <w:p w14:paraId="07E53223"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7EC123FB"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Job creation</w:t>
            </w:r>
          </w:p>
        </w:tc>
        <w:tc>
          <w:tcPr>
            <w:tcW w:w="1099" w:type="dxa"/>
            <w:vAlign w:val="center"/>
          </w:tcPr>
          <w:p w14:paraId="528E4806"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0.38</w:t>
            </w:r>
          </w:p>
        </w:tc>
        <w:tc>
          <w:tcPr>
            <w:tcW w:w="1080" w:type="dxa"/>
            <w:vAlign w:val="center"/>
          </w:tcPr>
          <w:p w14:paraId="376DE120"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0.39</w:t>
            </w:r>
          </w:p>
        </w:tc>
        <w:tc>
          <w:tcPr>
            <w:tcW w:w="0" w:type="auto"/>
            <w:vAlign w:val="center"/>
          </w:tcPr>
          <w:p w14:paraId="0D626564"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0.23</w:t>
            </w:r>
          </w:p>
        </w:tc>
      </w:tr>
      <w:tr w:rsidR="00872206" w:rsidRPr="00F5545F" w14:paraId="36851B61" w14:textId="77777777" w:rsidTr="007F38F7">
        <w:trPr>
          <w:cantSplit/>
          <w:trHeight w:val="20"/>
        </w:trPr>
        <w:tc>
          <w:tcPr>
            <w:tcW w:w="0" w:type="auto"/>
            <w:vMerge/>
            <w:vAlign w:val="center"/>
          </w:tcPr>
          <w:p w14:paraId="1148D90C"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32BB57D5"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5825623D"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Use of technology that generate employment</w:t>
            </w:r>
          </w:p>
        </w:tc>
        <w:tc>
          <w:tcPr>
            <w:tcW w:w="1099" w:type="dxa"/>
            <w:vAlign w:val="center"/>
          </w:tcPr>
          <w:p w14:paraId="2D36B286"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0.37</w:t>
            </w:r>
          </w:p>
        </w:tc>
        <w:tc>
          <w:tcPr>
            <w:tcW w:w="1080" w:type="dxa"/>
            <w:vAlign w:val="center"/>
          </w:tcPr>
          <w:p w14:paraId="266B9BE4"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0.38</w:t>
            </w:r>
          </w:p>
        </w:tc>
        <w:tc>
          <w:tcPr>
            <w:tcW w:w="0" w:type="auto"/>
            <w:vAlign w:val="center"/>
          </w:tcPr>
          <w:p w14:paraId="0948522C"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0.25</w:t>
            </w:r>
          </w:p>
        </w:tc>
      </w:tr>
      <w:tr w:rsidR="00872206" w:rsidRPr="00F5545F" w14:paraId="2F50B703" w14:textId="77777777" w:rsidTr="007F38F7">
        <w:trPr>
          <w:cantSplit/>
          <w:trHeight w:val="20"/>
        </w:trPr>
        <w:tc>
          <w:tcPr>
            <w:tcW w:w="0" w:type="auto"/>
            <w:vMerge/>
            <w:vAlign w:val="center"/>
          </w:tcPr>
          <w:p w14:paraId="2B783753"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3DEF31E3"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1C5996ED"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Presence of local supply network</w:t>
            </w:r>
          </w:p>
        </w:tc>
        <w:tc>
          <w:tcPr>
            <w:tcW w:w="1099" w:type="dxa"/>
            <w:vAlign w:val="center"/>
          </w:tcPr>
          <w:p w14:paraId="33FFC42F"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0.28</w:t>
            </w:r>
          </w:p>
        </w:tc>
        <w:tc>
          <w:tcPr>
            <w:tcW w:w="1080" w:type="dxa"/>
            <w:vAlign w:val="center"/>
          </w:tcPr>
          <w:p w14:paraId="761620DA"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0.36</w:t>
            </w:r>
          </w:p>
        </w:tc>
        <w:tc>
          <w:tcPr>
            <w:tcW w:w="0" w:type="auto"/>
            <w:vAlign w:val="center"/>
          </w:tcPr>
          <w:p w14:paraId="49F74CF9"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0.36</w:t>
            </w:r>
          </w:p>
        </w:tc>
      </w:tr>
      <w:tr w:rsidR="00872206" w:rsidRPr="00F5545F" w14:paraId="2A441954" w14:textId="77777777" w:rsidTr="007F38F7">
        <w:trPr>
          <w:cantSplit/>
          <w:trHeight w:val="20"/>
        </w:trPr>
        <w:tc>
          <w:tcPr>
            <w:tcW w:w="0" w:type="auto"/>
            <w:vMerge/>
            <w:vAlign w:val="center"/>
          </w:tcPr>
          <w:p w14:paraId="4689BDAA"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2D3DF8DA"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3D8091B8"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 xml:space="preserve"> Easier to install</w:t>
            </w:r>
          </w:p>
        </w:tc>
        <w:tc>
          <w:tcPr>
            <w:tcW w:w="1099" w:type="dxa"/>
            <w:vAlign w:val="center"/>
          </w:tcPr>
          <w:p w14:paraId="08632779"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0.34</w:t>
            </w:r>
          </w:p>
        </w:tc>
        <w:tc>
          <w:tcPr>
            <w:tcW w:w="1080" w:type="dxa"/>
            <w:vAlign w:val="center"/>
          </w:tcPr>
          <w:p w14:paraId="5EEE0873"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0.33</w:t>
            </w:r>
          </w:p>
        </w:tc>
        <w:tc>
          <w:tcPr>
            <w:tcW w:w="0" w:type="auto"/>
            <w:vAlign w:val="center"/>
          </w:tcPr>
          <w:p w14:paraId="6CC70628"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0.33</w:t>
            </w:r>
          </w:p>
        </w:tc>
      </w:tr>
      <w:tr w:rsidR="00872206" w:rsidRPr="00F5545F" w14:paraId="647CC9B0" w14:textId="77777777" w:rsidTr="007F38F7">
        <w:trPr>
          <w:cantSplit/>
          <w:trHeight w:val="20"/>
        </w:trPr>
        <w:tc>
          <w:tcPr>
            <w:tcW w:w="0" w:type="auto"/>
            <w:vMerge/>
            <w:vAlign w:val="center"/>
          </w:tcPr>
          <w:p w14:paraId="118C7B78"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556956CD"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4533D6C1"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 xml:space="preserve"> Less wastage </w:t>
            </w:r>
          </w:p>
        </w:tc>
        <w:tc>
          <w:tcPr>
            <w:tcW w:w="1099" w:type="dxa"/>
            <w:vAlign w:val="center"/>
          </w:tcPr>
          <w:p w14:paraId="70C2939C"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0.4</w:t>
            </w:r>
          </w:p>
        </w:tc>
        <w:tc>
          <w:tcPr>
            <w:tcW w:w="1080" w:type="dxa"/>
            <w:vAlign w:val="center"/>
          </w:tcPr>
          <w:p w14:paraId="73A5BE48"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0.33</w:t>
            </w:r>
          </w:p>
        </w:tc>
        <w:tc>
          <w:tcPr>
            <w:tcW w:w="0" w:type="auto"/>
            <w:vAlign w:val="center"/>
          </w:tcPr>
          <w:p w14:paraId="3881BEAD"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0.27</w:t>
            </w:r>
          </w:p>
        </w:tc>
      </w:tr>
      <w:tr w:rsidR="00872206" w:rsidRPr="00F5545F" w14:paraId="68E442EB" w14:textId="77777777" w:rsidTr="007F38F7">
        <w:trPr>
          <w:cantSplit/>
          <w:trHeight w:val="20"/>
        </w:trPr>
        <w:tc>
          <w:tcPr>
            <w:tcW w:w="0" w:type="auto"/>
            <w:vMerge/>
            <w:vAlign w:val="center"/>
          </w:tcPr>
          <w:p w14:paraId="225252C9"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4B3EA76F"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3DAA32ED" w14:textId="77777777" w:rsidR="00872206" w:rsidRPr="00F5545F" w:rsidRDefault="00872206" w:rsidP="007F38F7">
            <w:pPr>
              <w:autoSpaceDE w:val="0"/>
              <w:autoSpaceDN w:val="0"/>
              <w:adjustRightInd w:val="0"/>
              <w:rPr>
                <w:rFonts w:asciiTheme="majorBidi" w:hAnsiTheme="majorBidi" w:cstheme="majorBidi"/>
                <w:i/>
                <w:iCs/>
                <w:sz w:val="18"/>
                <w:szCs w:val="18"/>
                <w:rtl/>
              </w:rPr>
            </w:pPr>
            <w:r w:rsidRPr="00F5545F">
              <w:rPr>
                <w:rFonts w:asciiTheme="majorBidi" w:hAnsiTheme="majorBidi" w:cstheme="majorBidi"/>
                <w:i/>
                <w:iCs/>
                <w:sz w:val="18"/>
                <w:szCs w:val="18"/>
              </w:rPr>
              <w:t>Use of local labor</w:t>
            </w:r>
          </w:p>
        </w:tc>
        <w:tc>
          <w:tcPr>
            <w:tcW w:w="1099" w:type="dxa"/>
            <w:vAlign w:val="center"/>
          </w:tcPr>
          <w:p w14:paraId="457093A0"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0.39</w:t>
            </w:r>
          </w:p>
        </w:tc>
        <w:tc>
          <w:tcPr>
            <w:tcW w:w="1080" w:type="dxa"/>
            <w:vAlign w:val="center"/>
          </w:tcPr>
          <w:p w14:paraId="0ADC3FB0"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0.32</w:t>
            </w:r>
          </w:p>
        </w:tc>
        <w:tc>
          <w:tcPr>
            <w:tcW w:w="0" w:type="auto"/>
            <w:vAlign w:val="center"/>
          </w:tcPr>
          <w:p w14:paraId="3E83FF41"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0.29</w:t>
            </w:r>
          </w:p>
        </w:tc>
      </w:tr>
      <w:tr w:rsidR="00872206" w:rsidRPr="00F5545F" w14:paraId="52A0F91A" w14:textId="77777777" w:rsidTr="007F38F7">
        <w:trPr>
          <w:cantSplit/>
          <w:trHeight w:val="20"/>
        </w:trPr>
        <w:tc>
          <w:tcPr>
            <w:tcW w:w="0" w:type="auto"/>
            <w:vMerge w:val="restart"/>
            <w:vAlign w:val="center"/>
          </w:tcPr>
          <w:p w14:paraId="17E81734" w14:textId="77777777" w:rsidR="00872206" w:rsidRPr="00F5545F" w:rsidRDefault="00872206" w:rsidP="007F38F7">
            <w:pPr>
              <w:rPr>
                <w:rFonts w:asciiTheme="majorBidi" w:hAnsiTheme="majorBidi" w:cstheme="majorBidi"/>
                <w:i/>
                <w:iCs/>
                <w:sz w:val="18"/>
                <w:szCs w:val="18"/>
              </w:rPr>
            </w:pPr>
            <w:r w:rsidRPr="00F5545F">
              <w:rPr>
                <w:rFonts w:asciiTheme="majorBidi" w:hAnsiTheme="majorBidi" w:cstheme="majorBidi"/>
                <w:i/>
                <w:iCs/>
                <w:sz w:val="18"/>
                <w:szCs w:val="18"/>
              </w:rPr>
              <w:t>Society</w:t>
            </w:r>
          </w:p>
        </w:tc>
        <w:tc>
          <w:tcPr>
            <w:tcW w:w="1583" w:type="dxa"/>
            <w:vMerge w:val="restart"/>
            <w:vAlign w:val="center"/>
          </w:tcPr>
          <w:p w14:paraId="3DCED399"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Technology development</w:t>
            </w:r>
          </w:p>
        </w:tc>
        <w:tc>
          <w:tcPr>
            <w:tcW w:w="2951" w:type="dxa"/>
            <w:vAlign w:val="center"/>
          </w:tcPr>
          <w:p w14:paraId="429866C7"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Research and development</w:t>
            </w:r>
          </w:p>
        </w:tc>
        <w:tc>
          <w:tcPr>
            <w:tcW w:w="1099" w:type="dxa"/>
            <w:vAlign w:val="center"/>
          </w:tcPr>
          <w:p w14:paraId="6BABC418"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0.34</w:t>
            </w:r>
          </w:p>
        </w:tc>
        <w:tc>
          <w:tcPr>
            <w:tcW w:w="1080" w:type="dxa"/>
            <w:vAlign w:val="center"/>
          </w:tcPr>
          <w:p w14:paraId="378ECAD3"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0.33</w:t>
            </w:r>
          </w:p>
        </w:tc>
        <w:tc>
          <w:tcPr>
            <w:tcW w:w="0" w:type="auto"/>
            <w:vAlign w:val="center"/>
          </w:tcPr>
          <w:p w14:paraId="7C07CF19"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0.33</w:t>
            </w:r>
          </w:p>
        </w:tc>
      </w:tr>
      <w:tr w:rsidR="00872206" w:rsidRPr="00F5545F" w14:paraId="4970DCE8" w14:textId="77777777" w:rsidTr="007F38F7">
        <w:trPr>
          <w:cantSplit/>
          <w:trHeight w:val="20"/>
        </w:trPr>
        <w:tc>
          <w:tcPr>
            <w:tcW w:w="0" w:type="auto"/>
            <w:vMerge/>
            <w:vAlign w:val="center"/>
          </w:tcPr>
          <w:p w14:paraId="04814094"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6D9710FB"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57735542"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 xml:space="preserve">Technology transfer </w:t>
            </w:r>
          </w:p>
        </w:tc>
        <w:tc>
          <w:tcPr>
            <w:tcW w:w="1099" w:type="dxa"/>
            <w:vAlign w:val="center"/>
          </w:tcPr>
          <w:p w14:paraId="7E9AAA5A"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0.35</w:t>
            </w:r>
          </w:p>
        </w:tc>
        <w:tc>
          <w:tcPr>
            <w:tcW w:w="1080" w:type="dxa"/>
            <w:vAlign w:val="center"/>
          </w:tcPr>
          <w:p w14:paraId="0E8635AF"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0.36</w:t>
            </w:r>
          </w:p>
        </w:tc>
        <w:tc>
          <w:tcPr>
            <w:tcW w:w="0" w:type="auto"/>
            <w:vAlign w:val="center"/>
          </w:tcPr>
          <w:p w14:paraId="4DC63F22"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0.29</w:t>
            </w:r>
          </w:p>
        </w:tc>
      </w:tr>
      <w:tr w:rsidR="00872206" w:rsidRPr="00F5545F" w14:paraId="56CD3C60" w14:textId="77777777" w:rsidTr="007F38F7">
        <w:trPr>
          <w:cantSplit/>
          <w:trHeight w:val="20"/>
        </w:trPr>
        <w:tc>
          <w:tcPr>
            <w:tcW w:w="0" w:type="auto"/>
            <w:vMerge/>
            <w:vAlign w:val="center"/>
          </w:tcPr>
          <w:p w14:paraId="09D79D28" w14:textId="77777777" w:rsidR="00872206" w:rsidRPr="00F5545F" w:rsidRDefault="00872206" w:rsidP="007F38F7">
            <w:pPr>
              <w:rPr>
                <w:rFonts w:asciiTheme="majorBidi" w:hAnsiTheme="majorBidi" w:cstheme="majorBidi"/>
                <w:i/>
                <w:iCs/>
                <w:sz w:val="18"/>
                <w:szCs w:val="18"/>
              </w:rPr>
            </w:pPr>
          </w:p>
        </w:tc>
        <w:tc>
          <w:tcPr>
            <w:tcW w:w="1583" w:type="dxa"/>
            <w:vMerge w:val="restart"/>
            <w:vAlign w:val="center"/>
          </w:tcPr>
          <w:p w14:paraId="2FB4B816"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Contribution to economic &amp; development</w:t>
            </w:r>
          </w:p>
        </w:tc>
        <w:tc>
          <w:tcPr>
            <w:tcW w:w="2951" w:type="dxa"/>
            <w:vAlign w:val="center"/>
          </w:tcPr>
          <w:p w14:paraId="4306F271"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Functionality and appeal</w:t>
            </w:r>
          </w:p>
        </w:tc>
        <w:tc>
          <w:tcPr>
            <w:tcW w:w="1099" w:type="dxa"/>
            <w:vAlign w:val="center"/>
          </w:tcPr>
          <w:p w14:paraId="7C8FB9B4"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0.33</w:t>
            </w:r>
          </w:p>
        </w:tc>
        <w:tc>
          <w:tcPr>
            <w:tcW w:w="1080" w:type="dxa"/>
            <w:vAlign w:val="center"/>
          </w:tcPr>
          <w:p w14:paraId="30D43ABC"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0.37</w:t>
            </w:r>
          </w:p>
        </w:tc>
        <w:tc>
          <w:tcPr>
            <w:tcW w:w="0" w:type="auto"/>
            <w:vAlign w:val="center"/>
          </w:tcPr>
          <w:p w14:paraId="58DDFA03"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w:t>
            </w:r>
          </w:p>
        </w:tc>
      </w:tr>
      <w:tr w:rsidR="00872206" w:rsidRPr="00F5545F" w14:paraId="06F259CE" w14:textId="77777777" w:rsidTr="007F38F7">
        <w:trPr>
          <w:cantSplit/>
          <w:trHeight w:val="20"/>
        </w:trPr>
        <w:tc>
          <w:tcPr>
            <w:tcW w:w="0" w:type="auto"/>
            <w:vMerge/>
            <w:vAlign w:val="center"/>
          </w:tcPr>
          <w:p w14:paraId="1A920F4F"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70621AC5"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7EA9E5EF"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 xml:space="preserve"> Contribution of product to economic (GDP)</w:t>
            </w:r>
          </w:p>
        </w:tc>
        <w:tc>
          <w:tcPr>
            <w:tcW w:w="1099" w:type="dxa"/>
            <w:vAlign w:val="center"/>
          </w:tcPr>
          <w:p w14:paraId="56E6F117"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0.35</w:t>
            </w:r>
          </w:p>
        </w:tc>
        <w:tc>
          <w:tcPr>
            <w:tcW w:w="1080" w:type="dxa"/>
            <w:vAlign w:val="center"/>
          </w:tcPr>
          <w:p w14:paraId="74BBF584"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0.34</w:t>
            </w:r>
          </w:p>
        </w:tc>
        <w:tc>
          <w:tcPr>
            <w:tcW w:w="0" w:type="auto"/>
            <w:vAlign w:val="center"/>
          </w:tcPr>
          <w:p w14:paraId="69C6B3F3"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0.31</w:t>
            </w:r>
          </w:p>
        </w:tc>
      </w:tr>
      <w:tr w:rsidR="00872206" w:rsidRPr="00F5545F" w14:paraId="05FEFDCD" w14:textId="77777777" w:rsidTr="007F38F7">
        <w:trPr>
          <w:cantSplit/>
          <w:trHeight w:val="20"/>
        </w:trPr>
        <w:tc>
          <w:tcPr>
            <w:tcW w:w="0" w:type="auto"/>
            <w:vMerge/>
            <w:vAlign w:val="center"/>
          </w:tcPr>
          <w:p w14:paraId="1A6BF63A" w14:textId="77777777" w:rsidR="00872206" w:rsidRPr="00F5545F" w:rsidRDefault="00872206" w:rsidP="007F38F7">
            <w:pPr>
              <w:rPr>
                <w:rFonts w:asciiTheme="majorBidi" w:hAnsiTheme="majorBidi" w:cstheme="majorBidi"/>
                <w:i/>
                <w:iCs/>
                <w:sz w:val="18"/>
                <w:szCs w:val="18"/>
              </w:rPr>
            </w:pPr>
          </w:p>
        </w:tc>
        <w:tc>
          <w:tcPr>
            <w:tcW w:w="1583" w:type="dxa"/>
            <w:vMerge/>
            <w:vAlign w:val="center"/>
          </w:tcPr>
          <w:p w14:paraId="3AD1C000"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1BBF8AEE"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Maintenance cost and frequency</w:t>
            </w:r>
          </w:p>
        </w:tc>
        <w:tc>
          <w:tcPr>
            <w:tcW w:w="1099" w:type="dxa"/>
            <w:vAlign w:val="center"/>
          </w:tcPr>
          <w:p w14:paraId="1E419884"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0.4</w:t>
            </w:r>
          </w:p>
        </w:tc>
        <w:tc>
          <w:tcPr>
            <w:tcW w:w="1080" w:type="dxa"/>
            <w:vAlign w:val="center"/>
          </w:tcPr>
          <w:p w14:paraId="5584C171"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0.36</w:t>
            </w:r>
          </w:p>
        </w:tc>
        <w:tc>
          <w:tcPr>
            <w:tcW w:w="0" w:type="auto"/>
            <w:vAlign w:val="center"/>
          </w:tcPr>
          <w:p w14:paraId="60FDDC72"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0.24</w:t>
            </w:r>
          </w:p>
        </w:tc>
      </w:tr>
      <w:tr w:rsidR="00872206" w:rsidRPr="00F5545F" w14:paraId="323B9E71" w14:textId="77777777" w:rsidTr="007F38F7">
        <w:trPr>
          <w:cantSplit/>
          <w:trHeight w:val="20"/>
        </w:trPr>
        <w:tc>
          <w:tcPr>
            <w:tcW w:w="0" w:type="auto"/>
            <w:vMerge w:val="restart"/>
            <w:vAlign w:val="center"/>
          </w:tcPr>
          <w:p w14:paraId="225B42AB" w14:textId="77777777" w:rsidR="00872206" w:rsidRPr="00F5545F" w:rsidRDefault="00872206" w:rsidP="007F38F7">
            <w:pPr>
              <w:rPr>
                <w:rFonts w:asciiTheme="majorBidi" w:hAnsiTheme="majorBidi" w:cstheme="majorBidi"/>
                <w:i/>
                <w:iCs/>
                <w:sz w:val="16"/>
                <w:szCs w:val="16"/>
              </w:rPr>
            </w:pPr>
            <w:r w:rsidRPr="00F5545F">
              <w:rPr>
                <w:rFonts w:asciiTheme="majorBidi" w:hAnsiTheme="majorBidi" w:cstheme="majorBidi"/>
                <w:i/>
                <w:iCs/>
                <w:sz w:val="16"/>
                <w:szCs w:val="16"/>
              </w:rPr>
              <w:t>Consumers</w:t>
            </w:r>
          </w:p>
        </w:tc>
        <w:tc>
          <w:tcPr>
            <w:tcW w:w="1583" w:type="dxa"/>
            <w:vMerge w:val="restart"/>
            <w:vAlign w:val="center"/>
          </w:tcPr>
          <w:p w14:paraId="22195F82"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 xml:space="preserve">Satisfaction </w:t>
            </w:r>
          </w:p>
        </w:tc>
        <w:tc>
          <w:tcPr>
            <w:tcW w:w="2951" w:type="dxa"/>
            <w:vAlign w:val="center"/>
          </w:tcPr>
          <w:p w14:paraId="4271B958"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Durability</w:t>
            </w:r>
          </w:p>
        </w:tc>
        <w:tc>
          <w:tcPr>
            <w:tcW w:w="1099" w:type="dxa"/>
            <w:vAlign w:val="center"/>
          </w:tcPr>
          <w:p w14:paraId="1FE04AE0"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0.37</w:t>
            </w:r>
          </w:p>
        </w:tc>
        <w:tc>
          <w:tcPr>
            <w:tcW w:w="1080" w:type="dxa"/>
            <w:vAlign w:val="center"/>
          </w:tcPr>
          <w:p w14:paraId="7AA5280C"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0.38</w:t>
            </w:r>
          </w:p>
        </w:tc>
        <w:tc>
          <w:tcPr>
            <w:tcW w:w="0" w:type="auto"/>
            <w:vAlign w:val="center"/>
          </w:tcPr>
          <w:p w14:paraId="2CFE48CD"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0.25</w:t>
            </w:r>
          </w:p>
        </w:tc>
      </w:tr>
      <w:tr w:rsidR="00872206" w:rsidRPr="00F5545F" w14:paraId="3AD72869" w14:textId="77777777" w:rsidTr="007F38F7">
        <w:trPr>
          <w:cantSplit/>
          <w:trHeight w:val="20"/>
        </w:trPr>
        <w:tc>
          <w:tcPr>
            <w:tcW w:w="0" w:type="auto"/>
            <w:vMerge/>
            <w:textDirection w:val="btLr"/>
            <w:vAlign w:val="center"/>
          </w:tcPr>
          <w:p w14:paraId="343A10D8" w14:textId="77777777" w:rsidR="00872206" w:rsidRPr="00F5545F" w:rsidRDefault="00872206" w:rsidP="007F38F7">
            <w:pPr>
              <w:ind w:left="113" w:right="113"/>
              <w:rPr>
                <w:rFonts w:asciiTheme="majorBidi" w:hAnsiTheme="majorBidi" w:cstheme="majorBidi"/>
                <w:i/>
                <w:iCs/>
                <w:sz w:val="18"/>
                <w:szCs w:val="18"/>
              </w:rPr>
            </w:pPr>
          </w:p>
        </w:tc>
        <w:tc>
          <w:tcPr>
            <w:tcW w:w="1583" w:type="dxa"/>
            <w:vMerge/>
            <w:vAlign w:val="center"/>
          </w:tcPr>
          <w:p w14:paraId="32A5065C"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7FF1D3BB"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Less sound producing</w:t>
            </w:r>
          </w:p>
        </w:tc>
        <w:tc>
          <w:tcPr>
            <w:tcW w:w="1099" w:type="dxa"/>
            <w:vAlign w:val="center"/>
          </w:tcPr>
          <w:p w14:paraId="7B54A4BE"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0.34</w:t>
            </w:r>
          </w:p>
        </w:tc>
        <w:tc>
          <w:tcPr>
            <w:tcW w:w="1080" w:type="dxa"/>
            <w:vAlign w:val="center"/>
          </w:tcPr>
          <w:p w14:paraId="7940F7F1"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0.34</w:t>
            </w:r>
          </w:p>
        </w:tc>
        <w:tc>
          <w:tcPr>
            <w:tcW w:w="0" w:type="auto"/>
            <w:vAlign w:val="center"/>
          </w:tcPr>
          <w:p w14:paraId="4C74E08C"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0.32</w:t>
            </w:r>
          </w:p>
        </w:tc>
      </w:tr>
      <w:tr w:rsidR="00872206" w:rsidRPr="00F5545F" w14:paraId="0BF0CD13" w14:textId="77777777" w:rsidTr="007F38F7">
        <w:trPr>
          <w:cantSplit/>
          <w:trHeight w:val="20"/>
        </w:trPr>
        <w:tc>
          <w:tcPr>
            <w:tcW w:w="0" w:type="auto"/>
            <w:vMerge/>
            <w:textDirection w:val="btLr"/>
            <w:vAlign w:val="center"/>
          </w:tcPr>
          <w:p w14:paraId="6B361DE8" w14:textId="77777777" w:rsidR="00872206" w:rsidRPr="00F5545F" w:rsidRDefault="00872206" w:rsidP="007F38F7">
            <w:pPr>
              <w:ind w:left="113" w:right="113"/>
              <w:rPr>
                <w:rFonts w:asciiTheme="majorBidi" w:hAnsiTheme="majorBidi" w:cstheme="majorBidi"/>
                <w:i/>
                <w:iCs/>
                <w:sz w:val="18"/>
                <w:szCs w:val="18"/>
              </w:rPr>
            </w:pPr>
          </w:p>
        </w:tc>
        <w:tc>
          <w:tcPr>
            <w:tcW w:w="1583" w:type="dxa"/>
            <w:vMerge/>
            <w:vAlign w:val="center"/>
          </w:tcPr>
          <w:p w14:paraId="16263E5A"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5432B9EB"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 xml:space="preserve">More beauty </w:t>
            </w:r>
          </w:p>
        </w:tc>
        <w:tc>
          <w:tcPr>
            <w:tcW w:w="1099" w:type="dxa"/>
            <w:vAlign w:val="center"/>
          </w:tcPr>
          <w:p w14:paraId="39134131"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0.39</w:t>
            </w:r>
          </w:p>
        </w:tc>
        <w:tc>
          <w:tcPr>
            <w:tcW w:w="1080" w:type="dxa"/>
            <w:vAlign w:val="center"/>
          </w:tcPr>
          <w:p w14:paraId="32B8BFF4"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0.27</w:t>
            </w:r>
          </w:p>
        </w:tc>
        <w:tc>
          <w:tcPr>
            <w:tcW w:w="0" w:type="auto"/>
            <w:vAlign w:val="center"/>
          </w:tcPr>
          <w:p w14:paraId="74A8D498"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0.34</w:t>
            </w:r>
          </w:p>
        </w:tc>
      </w:tr>
      <w:tr w:rsidR="00872206" w:rsidRPr="00F5545F" w14:paraId="13E4CDBB" w14:textId="77777777" w:rsidTr="007F38F7">
        <w:trPr>
          <w:cantSplit/>
          <w:trHeight w:val="20"/>
        </w:trPr>
        <w:tc>
          <w:tcPr>
            <w:tcW w:w="0" w:type="auto"/>
            <w:vMerge/>
            <w:textDirection w:val="btLr"/>
            <w:vAlign w:val="center"/>
          </w:tcPr>
          <w:p w14:paraId="2FF7FD23" w14:textId="77777777" w:rsidR="00872206" w:rsidRPr="00F5545F" w:rsidRDefault="00872206" w:rsidP="007F38F7">
            <w:pPr>
              <w:ind w:left="113" w:right="113"/>
              <w:rPr>
                <w:rFonts w:asciiTheme="majorBidi" w:hAnsiTheme="majorBidi" w:cstheme="majorBidi"/>
                <w:i/>
                <w:iCs/>
                <w:sz w:val="18"/>
                <w:szCs w:val="18"/>
              </w:rPr>
            </w:pPr>
          </w:p>
        </w:tc>
        <w:tc>
          <w:tcPr>
            <w:tcW w:w="1583" w:type="dxa"/>
            <w:vMerge/>
            <w:vAlign w:val="center"/>
          </w:tcPr>
          <w:p w14:paraId="57B6FA23" w14:textId="77777777" w:rsidR="00872206" w:rsidRPr="00F5545F" w:rsidRDefault="00872206" w:rsidP="007F38F7">
            <w:pPr>
              <w:autoSpaceDE w:val="0"/>
              <w:autoSpaceDN w:val="0"/>
              <w:adjustRightInd w:val="0"/>
              <w:rPr>
                <w:rFonts w:asciiTheme="majorBidi" w:hAnsiTheme="majorBidi" w:cstheme="majorBidi"/>
                <w:i/>
                <w:iCs/>
                <w:sz w:val="18"/>
                <w:szCs w:val="18"/>
              </w:rPr>
            </w:pPr>
          </w:p>
        </w:tc>
        <w:tc>
          <w:tcPr>
            <w:tcW w:w="2951" w:type="dxa"/>
            <w:vAlign w:val="center"/>
          </w:tcPr>
          <w:p w14:paraId="21A6E310" w14:textId="77777777" w:rsidR="00872206" w:rsidRPr="00F5545F" w:rsidRDefault="00872206" w:rsidP="007F38F7">
            <w:pPr>
              <w:autoSpaceDE w:val="0"/>
              <w:autoSpaceDN w:val="0"/>
              <w:adjustRightInd w:val="0"/>
              <w:rPr>
                <w:rFonts w:asciiTheme="majorBidi" w:hAnsiTheme="majorBidi" w:cstheme="majorBidi"/>
                <w:i/>
                <w:iCs/>
                <w:sz w:val="18"/>
                <w:szCs w:val="18"/>
              </w:rPr>
            </w:pPr>
            <w:r w:rsidRPr="00F5545F">
              <w:rPr>
                <w:rFonts w:asciiTheme="majorBidi" w:hAnsiTheme="majorBidi" w:cstheme="majorBidi"/>
                <w:i/>
                <w:iCs/>
                <w:sz w:val="18"/>
                <w:szCs w:val="18"/>
              </w:rPr>
              <w:t>Presence of consumer complaints</w:t>
            </w:r>
          </w:p>
        </w:tc>
        <w:tc>
          <w:tcPr>
            <w:tcW w:w="1099" w:type="dxa"/>
            <w:vAlign w:val="center"/>
          </w:tcPr>
          <w:p w14:paraId="1A61A831"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0.35</w:t>
            </w:r>
          </w:p>
        </w:tc>
        <w:tc>
          <w:tcPr>
            <w:tcW w:w="1080" w:type="dxa"/>
            <w:vAlign w:val="center"/>
          </w:tcPr>
          <w:p w14:paraId="2F7E2F4D"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0.34</w:t>
            </w:r>
          </w:p>
        </w:tc>
        <w:tc>
          <w:tcPr>
            <w:tcW w:w="0" w:type="auto"/>
            <w:vAlign w:val="center"/>
          </w:tcPr>
          <w:p w14:paraId="16E96C1A" w14:textId="77777777" w:rsidR="00872206" w:rsidRPr="00F5545F" w:rsidRDefault="00872206" w:rsidP="007F38F7">
            <w:pPr>
              <w:jc w:val="center"/>
              <w:rPr>
                <w:rFonts w:asciiTheme="majorBidi" w:hAnsiTheme="majorBidi" w:cstheme="majorBidi"/>
                <w:i/>
                <w:iCs/>
                <w:sz w:val="18"/>
                <w:szCs w:val="18"/>
              </w:rPr>
            </w:pPr>
            <w:r w:rsidRPr="00F5545F">
              <w:rPr>
                <w:rFonts w:asciiTheme="majorBidi" w:hAnsiTheme="majorBidi" w:cstheme="majorBidi"/>
                <w:i/>
                <w:iCs/>
                <w:sz w:val="18"/>
                <w:szCs w:val="18"/>
              </w:rPr>
              <w:t>0.31</w:t>
            </w:r>
          </w:p>
        </w:tc>
      </w:tr>
    </w:tbl>
    <w:p w14:paraId="6CC999D3" w14:textId="47DBA197" w:rsidR="00F72453" w:rsidRPr="00823856" w:rsidRDefault="00F72453" w:rsidP="00823856">
      <w:pPr>
        <w:autoSpaceDE w:val="0"/>
        <w:autoSpaceDN w:val="0"/>
        <w:adjustRightInd w:val="0"/>
        <w:spacing w:after="0" w:line="276" w:lineRule="auto"/>
        <w:ind w:firstLine="142"/>
        <w:jc w:val="both"/>
        <w:rPr>
          <w:rFonts w:asciiTheme="majorBidi" w:hAnsiTheme="majorBidi" w:cstheme="majorBidi"/>
          <w:sz w:val="24"/>
          <w:szCs w:val="24"/>
        </w:rPr>
      </w:pPr>
    </w:p>
    <w:p w14:paraId="1B682107" w14:textId="65B4D10F" w:rsidR="00F30181" w:rsidRPr="00823856" w:rsidRDefault="00966832"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In the </w:t>
      </w:r>
      <w:r w:rsidR="00F72453" w:rsidRPr="00823856">
        <w:rPr>
          <w:rFonts w:asciiTheme="majorBidi" w:hAnsiTheme="majorBidi" w:cstheme="majorBidi"/>
          <w:sz w:val="24"/>
          <w:szCs w:val="24"/>
        </w:rPr>
        <w:t xml:space="preserve">third </w:t>
      </w:r>
      <w:r w:rsidRPr="00823856">
        <w:rPr>
          <w:rFonts w:asciiTheme="majorBidi" w:hAnsiTheme="majorBidi" w:cstheme="majorBidi"/>
          <w:sz w:val="24"/>
          <w:szCs w:val="24"/>
        </w:rPr>
        <w:t>category</w:t>
      </w:r>
      <w:r w:rsidR="00F72453" w:rsidRPr="00823856">
        <w:rPr>
          <w:rFonts w:asciiTheme="majorBidi" w:hAnsiTheme="majorBidi" w:cstheme="majorBidi"/>
          <w:sz w:val="24"/>
          <w:szCs w:val="24"/>
        </w:rPr>
        <w:t xml:space="preserve"> (</w:t>
      </w:r>
      <w:r w:rsidRPr="00823856">
        <w:rPr>
          <w:rFonts w:asciiTheme="majorBidi" w:hAnsiTheme="majorBidi" w:cstheme="majorBidi"/>
          <w:sz w:val="24"/>
          <w:szCs w:val="24"/>
        </w:rPr>
        <w:t>society</w:t>
      </w:r>
      <w:r w:rsidR="00F72453" w:rsidRPr="00823856">
        <w:rPr>
          <w:rFonts w:asciiTheme="majorBidi" w:hAnsiTheme="majorBidi" w:cstheme="majorBidi"/>
          <w:sz w:val="24"/>
          <w:szCs w:val="24"/>
        </w:rPr>
        <w:t>)</w:t>
      </w:r>
      <w:r w:rsidRPr="00823856">
        <w:rPr>
          <w:rFonts w:asciiTheme="majorBidi" w:hAnsiTheme="majorBidi" w:cstheme="majorBidi"/>
          <w:sz w:val="24"/>
          <w:szCs w:val="24"/>
        </w:rPr>
        <w:t xml:space="preserve"> modular steel has a higher normalized value. However, in </w:t>
      </w:r>
      <w:r w:rsidR="00F72453" w:rsidRPr="00823856">
        <w:rPr>
          <w:rFonts w:asciiTheme="majorBidi" w:hAnsiTheme="majorBidi" w:cstheme="majorBidi"/>
          <w:sz w:val="24"/>
          <w:szCs w:val="24"/>
        </w:rPr>
        <w:t>t</w:t>
      </w:r>
      <w:r w:rsidRPr="00823856">
        <w:rPr>
          <w:rFonts w:asciiTheme="majorBidi" w:hAnsiTheme="majorBidi" w:cstheme="majorBidi"/>
          <w:sz w:val="24"/>
          <w:szCs w:val="24"/>
        </w:rPr>
        <w:t>echnology transfer, functionality, and appeal related to contribution to the economy, concrete</w:t>
      </w:r>
      <w:r w:rsidR="00F72453" w:rsidRPr="00823856">
        <w:rPr>
          <w:rFonts w:asciiTheme="majorBidi" w:hAnsiTheme="majorBidi" w:cstheme="majorBidi"/>
          <w:sz w:val="24"/>
          <w:szCs w:val="24"/>
        </w:rPr>
        <w:t xml:space="preserve"> provides the best score.</w:t>
      </w:r>
      <w:r w:rsidRPr="00823856">
        <w:rPr>
          <w:rFonts w:asciiTheme="majorBidi" w:hAnsiTheme="majorBidi" w:cstheme="majorBidi"/>
          <w:sz w:val="24"/>
          <w:szCs w:val="24"/>
        </w:rPr>
        <w:t xml:space="preserve"> In the </w:t>
      </w:r>
      <w:r w:rsidR="00F72453" w:rsidRPr="00823856">
        <w:rPr>
          <w:rFonts w:asciiTheme="majorBidi" w:hAnsiTheme="majorBidi" w:cstheme="majorBidi"/>
          <w:sz w:val="24"/>
          <w:szCs w:val="24"/>
        </w:rPr>
        <w:t>fourth</w:t>
      </w:r>
      <w:r w:rsidRPr="00823856">
        <w:rPr>
          <w:rFonts w:asciiTheme="majorBidi" w:hAnsiTheme="majorBidi" w:cstheme="majorBidi"/>
          <w:sz w:val="24"/>
          <w:szCs w:val="24"/>
        </w:rPr>
        <w:t xml:space="preserve"> category</w:t>
      </w:r>
      <w:r w:rsidR="00F72453" w:rsidRPr="00823856">
        <w:rPr>
          <w:rFonts w:asciiTheme="majorBidi" w:hAnsiTheme="majorBidi" w:cstheme="majorBidi"/>
          <w:sz w:val="24"/>
          <w:szCs w:val="24"/>
        </w:rPr>
        <w:t xml:space="preserve"> (consumers)</w:t>
      </w:r>
      <w:r w:rsidRPr="00823856">
        <w:rPr>
          <w:rFonts w:asciiTheme="majorBidi" w:hAnsiTheme="majorBidi" w:cstheme="majorBidi"/>
          <w:sz w:val="24"/>
          <w:szCs w:val="24"/>
        </w:rPr>
        <w:t xml:space="preserve">, </w:t>
      </w:r>
      <w:r w:rsidR="004F4637" w:rsidRPr="00823856">
        <w:rPr>
          <w:rFonts w:asciiTheme="majorBidi" w:hAnsiTheme="majorBidi" w:cstheme="majorBidi"/>
          <w:sz w:val="24"/>
          <w:szCs w:val="24"/>
        </w:rPr>
        <w:t xml:space="preserve">steel has a better score in terms of customer satisfaction </w:t>
      </w:r>
      <w:proofErr w:type="gramStart"/>
      <w:r w:rsidR="004F4637" w:rsidRPr="00823856">
        <w:rPr>
          <w:rFonts w:asciiTheme="majorBidi" w:hAnsiTheme="majorBidi" w:cstheme="majorBidi"/>
          <w:sz w:val="24"/>
          <w:szCs w:val="24"/>
        </w:rPr>
        <w:t>of product</w:t>
      </w:r>
      <w:proofErr w:type="gramEnd"/>
      <w:r w:rsidRPr="00823856">
        <w:rPr>
          <w:rFonts w:asciiTheme="majorBidi" w:hAnsiTheme="majorBidi" w:cstheme="majorBidi"/>
          <w:sz w:val="24"/>
          <w:szCs w:val="24"/>
        </w:rPr>
        <w:t xml:space="preserve">. </w:t>
      </w:r>
      <w:r w:rsidR="004F4637" w:rsidRPr="00823856">
        <w:rPr>
          <w:rFonts w:asciiTheme="majorBidi" w:hAnsiTheme="majorBidi" w:cstheme="majorBidi"/>
          <w:sz w:val="24"/>
          <w:szCs w:val="24"/>
        </w:rPr>
        <w:t>I</w:t>
      </w:r>
      <w:r w:rsidRPr="00823856">
        <w:rPr>
          <w:rFonts w:asciiTheme="majorBidi" w:hAnsiTheme="majorBidi" w:cstheme="majorBidi"/>
          <w:sz w:val="24"/>
          <w:szCs w:val="24"/>
        </w:rPr>
        <w:t xml:space="preserve">n the subcategory of durability, concrete is the best choice. Figure </w:t>
      </w:r>
      <w:r w:rsidR="00A254F0">
        <w:rPr>
          <w:rFonts w:asciiTheme="majorBidi" w:hAnsiTheme="majorBidi" w:cstheme="majorBidi"/>
          <w:sz w:val="24"/>
          <w:szCs w:val="24"/>
        </w:rPr>
        <w:t>5</w:t>
      </w:r>
      <w:r w:rsidRPr="00823856">
        <w:rPr>
          <w:rFonts w:asciiTheme="majorBidi" w:hAnsiTheme="majorBidi" w:cstheme="majorBidi"/>
          <w:sz w:val="24"/>
          <w:szCs w:val="24"/>
        </w:rPr>
        <w:t xml:space="preserve"> shows that modular steel is the best choice by achieving the highest normalized value (8.37) followed by concrete (7.63) and timber (7) modul</w:t>
      </w:r>
      <w:r w:rsidR="004F4637" w:rsidRPr="00823856">
        <w:rPr>
          <w:rFonts w:asciiTheme="majorBidi" w:hAnsiTheme="majorBidi" w:cstheme="majorBidi"/>
          <w:sz w:val="24"/>
          <w:szCs w:val="24"/>
        </w:rPr>
        <w:t>es</w:t>
      </w:r>
      <w:r w:rsidRPr="00823856">
        <w:rPr>
          <w:rFonts w:asciiTheme="majorBidi" w:hAnsiTheme="majorBidi" w:cstheme="majorBidi"/>
          <w:sz w:val="24"/>
          <w:szCs w:val="24"/>
        </w:rPr>
        <w:t>.</w:t>
      </w:r>
    </w:p>
    <w:p w14:paraId="2FEE14A2" w14:textId="61AB66EC" w:rsidR="004F4637" w:rsidRPr="00823856" w:rsidRDefault="004F4637" w:rsidP="00622E79">
      <w:pPr>
        <w:autoSpaceDE w:val="0"/>
        <w:autoSpaceDN w:val="0"/>
        <w:adjustRightInd w:val="0"/>
        <w:spacing w:after="0" w:line="276" w:lineRule="auto"/>
        <w:jc w:val="center"/>
        <w:rPr>
          <w:rFonts w:asciiTheme="majorBidi" w:hAnsiTheme="majorBidi" w:cstheme="majorBidi"/>
          <w:sz w:val="24"/>
          <w:szCs w:val="24"/>
        </w:rPr>
      </w:pPr>
      <w:r w:rsidRPr="00823856">
        <w:rPr>
          <w:rFonts w:asciiTheme="majorBidi" w:hAnsiTheme="majorBidi" w:cstheme="majorBidi"/>
          <w:noProof/>
          <w:highlight w:val="yellow"/>
        </w:rPr>
        <w:lastRenderedPageBreak/>
        <w:drawing>
          <wp:inline distT="0" distB="0" distL="0" distR="0" wp14:anchorId="079865F2" wp14:editId="2A0DD4B0">
            <wp:extent cx="5022850" cy="3187700"/>
            <wp:effectExtent l="0" t="0" r="6350" b="1270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FD6AE4" w14:textId="4FAC9998" w:rsidR="00CA7594" w:rsidRDefault="001D135C" w:rsidP="00622E79">
      <w:pPr>
        <w:autoSpaceDE w:val="0"/>
        <w:autoSpaceDN w:val="0"/>
        <w:adjustRightInd w:val="0"/>
        <w:spacing w:after="0" w:line="276" w:lineRule="auto"/>
        <w:ind w:right="1260" w:firstLine="360"/>
        <w:jc w:val="center"/>
        <w:rPr>
          <w:rFonts w:asciiTheme="majorBidi" w:hAnsiTheme="majorBidi" w:cstheme="majorBidi"/>
          <w:sz w:val="18"/>
          <w:szCs w:val="18"/>
        </w:rPr>
      </w:pPr>
      <w:r w:rsidRPr="00622E79">
        <w:rPr>
          <w:rFonts w:asciiTheme="majorBidi" w:hAnsiTheme="majorBidi" w:cstheme="majorBidi"/>
          <w:sz w:val="18"/>
          <w:szCs w:val="18"/>
        </w:rPr>
        <w:t xml:space="preserve">Figure </w:t>
      </w:r>
      <w:r w:rsidR="00A254F0">
        <w:rPr>
          <w:rFonts w:asciiTheme="majorBidi" w:hAnsiTheme="majorBidi" w:cstheme="majorBidi"/>
          <w:sz w:val="18"/>
          <w:szCs w:val="18"/>
        </w:rPr>
        <w:t>5</w:t>
      </w:r>
      <w:r w:rsidR="004F4637" w:rsidRPr="00622E79">
        <w:rPr>
          <w:rFonts w:asciiTheme="majorBidi" w:hAnsiTheme="majorBidi" w:cstheme="majorBidi"/>
          <w:sz w:val="18"/>
          <w:szCs w:val="18"/>
        </w:rPr>
        <w:t>:</w:t>
      </w:r>
      <w:r w:rsidR="00015C77" w:rsidRPr="00622E79">
        <w:rPr>
          <w:rFonts w:asciiTheme="majorBidi" w:hAnsiTheme="majorBidi" w:cstheme="majorBidi"/>
          <w:i/>
          <w:iCs/>
          <w:sz w:val="18"/>
          <w:szCs w:val="18"/>
        </w:rPr>
        <w:t xml:space="preserve"> </w:t>
      </w:r>
      <w:r w:rsidR="00015C77" w:rsidRPr="00622E79">
        <w:rPr>
          <w:rFonts w:asciiTheme="majorBidi" w:hAnsiTheme="majorBidi" w:cstheme="majorBidi"/>
          <w:sz w:val="18"/>
          <w:szCs w:val="18"/>
        </w:rPr>
        <w:t xml:space="preserve">normalized value of </w:t>
      </w:r>
      <w:r w:rsidR="00DF1014" w:rsidRPr="00622E79">
        <w:rPr>
          <w:rFonts w:asciiTheme="majorBidi" w:hAnsiTheme="majorBidi" w:cstheme="majorBidi"/>
          <w:sz w:val="18"/>
          <w:szCs w:val="18"/>
        </w:rPr>
        <w:t>social life cycle assessment</w:t>
      </w:r>
      <w:r w:rsidR="00CA7594" w:rsidRPr="00622E79">
        <w:rPr>
          <w:rFonts w:asciiTheme="majorBidi" w:hAnsiTheme="majorBidi" w:cstheme="majorBidi"/>
          <w:sz w:val="18"/>
          <w:szCs w:val="18"/>
        </w:rPr>
        <w:t xml:space="preserve"> of modular steel (S-PPVC), concrete (C-PPVC) and timber (T-PPVC)</w:t>
      </w:r>
    </w:p>
    <w:p w14:paraId="6108BBEC" w14:textId="77777777" w:rsidR="008E0E99" w:rsidRPr="00622E79" w:rsidRDefault="008E0E99" w:rsidP="00622E79">
      <w:pPr>
        <w:autoSpaceDE w:val="0"/>
        <w:autoSpaceDN w:val="0"/>
        <w:adjustRightInd w:val="0"/>
        <w:spacing w:after="0" w:line="276" w:lineRule="auto"/>
        <w:ind w:right="1260" w:firstLine="360"/>
        <w:jc w:val="center"/>
        <w:rPr>
          <w:rFonts w:asciiTheme="majorBidi" w:hAnsiTheme="majorBidi" w:cstheme="majorBidi"/>
          <w:sz w:val="18"/>
          <w:szCs w:val="18"/>
        </w:rPr>
      </w:pPr>
    </w:p>
    <w:p w14:paraId="1624757D" w14:textId="77777777" w:rsidR="004F4637" w:rsidRPr="00823856" w:rsidRDefault="004F4637" w:rsidP="00EE12FE">
      <w:pPr>
        <w:autoSpaceDE w:val="0"/>
        <w:autoSpaceDN w:val="0"/>
        <w:adjustRightInd w:val="0"/>
        <w:spacing w:after="0" w:line="276" w:lineRule="auto"/>
        <w:ind w:left="1170" w:right="1260"/>
        <w:jc w:val="center"/>
        <w:rPr>
          <w:rFonts w:asciiTheme="majorBidi" w:hAnsiTheme="majorBidi" w:cstheme="majorBidi"/>
          <w:sz w:val="24"/>
          <w:szCs w:val="24"/>
        </w:rPr>
      </w:pPr>
    </w:p>
    <w:p w14:paraId="51EF9197" w14:textId="4D2A075C" w:rsidR="00F30181" w:rsidRPr="00823856" w:rsidRDefault="008E0E99" w:rsidP="00EE12FE">
      <w:pPr>
        <w:pStyle w:val="ListParagraph"/>
        <w:numPr>
          <w:ilvl w:val="1"/>
          <w:numId w:val="17"/>
        </w:numPr>
        <w:autoSpaceDE w:val="0"/>
        <w:autoSpaceDN w:val="0"/>
        <w:adjustRightInd w:val="0"/>
        <w:spacing w:line="276" w:lineRule="auto"/>
        <w:rPr>
          <w:rFonts w:ascii="Times New Roman" w:eastAsia="Times New Roman" w:hAnsi="Times New Roman" w:cs="Times New Roman"/>
          <w:sz w:val="24"/>
          <w:szCs w:val="24"/>
        </w:rPr>
      </w:pPr>
      <w:r>
        <w:rPr>
          <w:rFonts w:asciiTheme="majorBidi" w:hAnsiTheme="majorBidi" w:cstheme="majorBidi"/>
          <w:b/>
          <w:bCs/>
          <w:i/>
          <w:iCs/>
          <w:sz w:val="24"/>
          <w:szCs w:val="24"/>
        </w:rPr>
        <w:t>MCDM</w:t>
      </w:r>
    </w:p>
    <w:p w14:paraId="5BDE8D16" w14:textId="77777777" w:rsidR="00A254F0" w:rsidRDefault="00A254F0" w:rsidP="00EE12FE">
      <w:pPr>
        <w:pStyle w:val="NormalWeb"/>
        <w:spacing w:before="0" w:beforeAutospacing="0" w:after="0" w:afterAutospacing="0" w:line="276" w:lineRule="auto"/>
        <w:ind w:firstLine="720"/>
        <w:jc w:val="both"/>
      </w:pPr>
      <w:r>
        <w:t xml:space="preserve">Construction companies may find it time-consuming and expensive to choose the right modular building materials when several candidates are available. A MCDM model was used at this stage to identify the best alternative and balance carbon emissions, embodied energy, cost, and social impacts. First, experts with knowledge of construction were consulted to determine the importance of each </w:t>
      </w:r>
      <w:proofErr w:type="gramStart"/>
      <w:r>
        <w:t>criteria</w:t>
      </w:r>
      <w:proofErr w:type="gramEnd"/>
      <w:r>
        <w:t>. It is usually necessary for the decision maker to consider conflicting criteria when choosing between numerous alternatives. </w:t>
      </w:r>
    </w:p>
    <w:p w14:paraId="1205FC41" w14:textId="77777777" w:rsidR="00A254F0" w:rsidRDefault="00A254F0" w:rsidP="00EE12FE">
      <w:pPr>
        <w:pStyle w:val="NormalWeb"/>
        <w:spacing w:before="0" w:beforeAutospacing="0" w:after="0" w:afterAutospacing="0" w:line="276" w:lineRule="auto"/>
        <w:ind w:firstLine="720"/>
        <w:jc w:val="both"/>
      </w:pPr>
      <w:r>
        <w:t>In the MCDM step, importance ranges from 1 to 9 have been applied similarly to the social category (section 2.4). A summary of the results is provided in Table 8. The comparison matrix has a calculated CRa less than 0.1, which indicates consistency. Prioritizing the four research parameters was accomplished by three groups. Considering the construction manager's opinion, cost is assigned first, followed by GWP emissions, embodied energy, and social acceptance. On the other hand, designers have a different perspective. In choosing the appropriate material for modular construction, respondents believe SLCA should be the primary consideration.</w:t>
      </w:r>
    </w:p>
    <w:p w14:paraId="2A26C50E" w14:textId="77777777" w:rsidR="00A254F0" w:rsidRPr="00A254F0" w:rsidRDefault="00A254F0" w:rsidP="00EE12FE">
      <w:pPr>
        <w:spacing w:line="276" w:lineRule="auto"/>
        <w:ind w:firstLine="720"/>
        <w:jc w:val="both"/>
        <w:rPr>
          <w:rFonts w:ascii="Times New Roman" w:eastAsia="Times New Roman" w:hAnsi="Times New Roman" w:cs="Times New Roman"/>
          <w:sz w:val="24"/>
          <w:szCs w:val="24"/>
        </w:rPr>
      </w:pPr>
      <w:r w:rsidRPr="00A254F0">
        <w:rPr>
          <w:rFonts w:ascii="Times New Roman" w:eastAsia="Times New Roman" w:hAnsi="Times New Roman" w:cs="Times New Roman"/>
          <w:sz w:val="24"/>
          <w:szCs w:val="24"/>
        </w:rPr>
        <w:t>As the third group of respondents, we are looking for academics who have contributed to the field of modular construction research. According to this group, embodied energy should be the highest priority in building construction, unlike the previous two groups. GWP is the second most important factor, followed by cost and social categories, as shown in Table 8. Following the cumulative results of the experts' opinions, SLCA is placed first with a weighting of 0.303, followed by cost with a weighting of 0.279. Embodied energy and global warming potential were ranked third and last, respectively, with weights of 0.202 and 0.215.</w:t>
      </w:r>
    </w:p>
    <w:p w14:paraId="4E3B2E5A" w14:textId="34909812" w:rsidR="00F45256" w:rsidRPr="00823856" w:rsidRDefault="006B1C68" w:rsidP="00EE12FE">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lastRenderedPageBreak/>
        <w:t xml:space="preserve">The two groups of respondents in this survey are from the construction industry who </w:t>
      </w:r>
      <w:r w:rsidR="00FE2D36" w:rsidRPr="00823856">
        <w:rPr>
          <w:rFonts w:asciiTheme="majorBidi" w:hAnsiTheme="majorBidi" w:cstheme="majorBidi"/>
          <w:sz w:val="24"/>
          <w:szCs w:val="24"/>
        </w:rPr>
        <w:t xml:space="preserve">are </w:t>
      </w:r>
      <w:r w:rsidRPr="00823856">
        <w:rPr>
          <w:rFonts w:asciiTheme="majorBidi" w:hAnsiTheme="majorBidi" w:cstheme="majorBidi"/>
          <w:sz w:val="24"/>
          <w:szCs w:val="24"/>
        </w:rPr>
        <w:t>actively working in modular construction, and they chose SLCA and LCC as the top priorit</w:t>
      </w:r>
      <w:r w:rsidR="00FE2D36" w:rsidRPr="00823856">
        <w:rPr>
          <w:rFonts w:asciiTheme="majorBidi" w:hAnsiTheme="majorBidi" w:cstheme="majorBidi"/>
          <w:sz w:val="24"/>
          <w:szCs w:val="24"/>
        </w:rPr>
        <w:t>ies</w:t>
      </w:r>
      <w:r w:rsidRPr="00823856">
        <w:rPr>
          <w:rFonts w:asciiTheme="majorBidi" w:hAnsiTheme="majorBidi" w:cstheme="majorBidi"/>
          <w:sz w:val="24"/>
          <w:szCs w:val="24"/>
        </w:rPr>
        <w:t xml:space="preserve">. This shows that the opinion of </w:t>
      </w:r>
      <w:r w:rsidR="00FE2D36" w:rsidRPr="00823856">
        <w:rPr>
          <w:rFonts w:asciiTheme="majorBidi" w:hAnsiTheme="majorBidi" w:cstheme="majorBidi"/>
          <w:sz w:val="24"/>
          <w:szCs w:val="24"/>
        </w:rPr>
        <w:t xml:space="preserve">those </w:t>
      </w:r>
      <w:r w:rsidRPr="00823856">
        <w:rPr>
          <w:rFonts w:asciiTheme="majorBidi" w:hAnsiTheme="majorBidi" w:cstheme="majorBidi"/>
          <w:sz w:val="24"/>
          <w:szCs w:val="24"/>
        </w:rPr>
        <w:t>actively working in the construction market is mainly toward</w:t>
      </w:r>
      <w:r w:rsidR="00FE2D36" w:rsidRPr="00823856">
        <w:rPr>
          <w:rFonts w:asciiTheme="majorBidi" w:hAnsiTheme="majorBidi" w:cstheme="majorBidi"/>
          <w:sz w:val="24"/>
          <w:szCs w:val="24"/>
        </w:rPr>
        <w:t>s</w:t>
      </w:r>
      <w:r w:rsidRPr="00823856">
        <w:rPr>
          <w:rFonts w:asciiTheme="majorBidi" w:hAnsiTheme="majorBidi" w:cstheme="majorBidi"/>
          <w:sz w:val="24"/>
          <w:szCs w:val="24"/>
        </w:rPr>
        <w:t xml:space="preserve"> cost and customer satisfaction rather than environmental impact</w:t>
      </w:r>
      <w:r w:rsidR="00FE2D36" w:rsidRPr="00823856">
        <w:rPr>
          <w:rFonts w:asciiTheme="majorBidi" w:hAnsiTheme="majorBidi" w:cstheme="majorBidi"/>
          <w:sz w:val="24"/>
          <w:szCs w:val="24"/>
        </w:rPr>
        <w:t>s</w:t>
      </w:r>
      <w:r w:rsidRPr="00823856">
        <w:rPr>
          <w:rFonts w:asciiTheme="majorBidi" w:hAnsiTheme="majorBidi" w:cstheme="majorBidi"/>
          <w:sz w:val="24"/>
          <w:szCs w:val="24"/>
        </w:rPr>
        <w:t>. The cause of this attitude can be analyzed in</w:t>
      </w:r>
      <w:r w:rsidR="00FE2D36" w:rsidRPr="00823856">
        <w:rPr>
          <w:rFonts w:asciiTheme="majorBidi" w:hAnsiTheme="majorBidi" w:cstheme="majorBidi"/>
          <w:sz w:val="24"/>
          <w:szCs w:val="24"/>
        </w:rPr>
        <w:t xml:space="preserve"> </w:t>
      </w:r>
      <w:proofErr w:type="gramStart"/>
      <w:r w:rsidR="00FE2D36" w:rsidRPr="00823856">
        <w:rPr>
          <w:rFonts w:asciiTheme="majorBidi" w:hAnsiTheme="majorBidi" w:cstheme="majorBidi"/>
          <w:sz w:val="24"/>
          <w:szCs w:val="24"/>
        </w:rPr>
        <w:t>a</w:t>
      </w:r>
      <w:r w:rsidRPr="00823856">
        <w:rPr>
          <w:rFonts w:asciiTheme="majorBidi" w:hAnsiTheme="majorBidi" w:cstheme="majorBidi"/>
          <w:sz w:val="24"/>
          <w:szCs w:val="24"/>
        </w:rPr>
        <w:t xml:space="preserve"> future research</w:t>
      </w:r>
      <w:proofErr w:type="gramEnd"/>
      <w:r w:rsidRPr="00823856">
        <w:rPr>
          <w:rFonts w:asciiTheme="majorBidi" w:hAnsiTheme="majorBidi" w:cstheme="majorBidi"/>
          <w:sz w:val="24"/>
          <w:szCs w:val="24"/>
        </w:rPr>
        <w:t xml:space="preserve">. However, in </w:t>
      </w:r>
      <w:r w:rsidR="00FE2D36" w:rsidRPr="00823856">
        <w:rPr>
          <w:rFonts w:asciiTheme="majorBidi" w:hAnsiTheme="majorBidi" w:cstheme="majorBidi"/>
          <w:sz w:val="24"/>
          <w:szCs w:val="24"/>
        </w:rPr>
        <w:t xml:space="preserve">a </w:t>
      </w:r>
      <w:r w:rsidRPr="00823856">
        <w:rPr>
          <w:rFonts w:asciiTheme="majorBidi" w:hAnsiTheme="majorBidi" w:cstheme="majorBidi"/>
          <w:sz w:val="24"/>
          <w:szCs w:val="24"/>
        </w:rPr>
        <w:t xml:space="preserve">previous study </w:t>
      </w:r>
      <w:r w:rsidR="00FE2D36" w:rsidRPr="00823856">
        <w:rPr>
          <w:rFonts w:asciiTheme="majorBidi" w:hAnsiTheme="majorBidi" w:cstheme="majorBidi"/>
          <w:sz w:val="24"/>
          <w:szCs w:val="24"/>
        </w:rPr>
        <w:t xml:space="preserve">by </w:t>
      </w:r>
      <w:r w:rsidRPr="00823856">
        <w:rPr>
          <w:rFonts w:asciiTheme="majorBidi" w:hAnsiTheme="majorBidi" w:cstheme="majorBidi"/>
          <w:sz w:val="24"/>
          <w:szCs w:val="24"/>
        </w:rPr>
        <w:t xml:space="preserve">Balasbaneh, 2020c, when </w:t>
      </w:r>
      <w:r w:rsidR="00FE2D36" w:rsidRPr="00823856">
        <w:rPr>
          <w:rFonts w:asciiTheme="majorBidi" w:hAnsiTheme="majorBidi" w:cstheme="majorBidi"/>
          <w:sz w:val="24"/>
          <w:szCs w:val="24"/>
        </w:rPr>
        <w:t xml:space="preserve">a </w:t>
      </w:r>
      <w:r w:rsidRPr="00823856">
        <w:rPr>
          <w:rFonts w:asciiTheme="majorBidi" w:hAnsiTheme="majorBidi" w:cstheme="majorBidi"/>
          <w:sz w:val="24"/>
          <w:szCs w:val="24"/>
        </w:rPr>
        <w:t xml:space="preserve">university lecturer collaborated, their </w:t>
      </w:r>
      <w:r w:rsidR="00FE2D36" w:rsidRPr="00823856">
        <w:rPr>
          <w:rFonts w:asciiTheme="majorBidi" w:hAnsiTheme="majorBidi" w:cstheme="majorBidi"/>
          <w:sz w:val="24"/>
          <w:szCs w:val="24"/>
        </w:rPr>
        <w:t>opinions changed and</w:t>
      </w:r>
      <w:r w:rsidRPr="00823856">
        <w:rPr>
          <w:rFonts w:asciiTheme="majorBidi" w:hAnsiTheme="majorBidi" w:cstheme="majorBidi"/>
          <w:sz w:val="24"/>
          <w:szCs w:val="24"/>
        </w:rPr>
        <w:t xml:space="preserve"> GWP </w:t>
      </w:r>
      <w:r w:rsidR="00FE2D36" w:rsidRPr="00823856">
        <w:rPr>
          <w:rFonts w:asciiTheme="majorBidi" w:hAnsiTheme="majorBidi" w:cstheme="majorBidi"/>
          <w:sz w:val="24"/>
          <w:szCs w:val="24"/>
        </w:rPr>
        <w:t xml:space="preserve">was ranked </w:t>
      </w:r>
      <w:r w:rsidRPr="00823856">
        <w:rPr>
          <w:rFonts w:asciiTheme="majorBidi" w:hAnsiTheme="majorBidi" w:cstheme="majorBidi"/>
          <w:sz w:val="24"/>
          <w:szCs w:val="24"/>
        </w:rPr>
        <w:t xml:space="preserve">as a priority. </w:t>
      </w:r>
      <w:r w:rsidR="0077723A" w:rsidRPr="00823856">
        <w:rPr>
          <w:rFonts w:asciiTheme="majorBidi" w:hAnsiTheme="majorBidi" w:cstheme="majorBidi"/>
          <w:sz w:val="24"/>
          <w:szCs w:val="24"/>
        </w:rPr>
        <w:t>T</w:t>
      </w:r>
      <w:r w:rsidRPr="00823856">
        <w:rPr>
          <w:rFonts w:asciiTheme="majorBidi" w:hAnsiTheme="majorBidi" w:cstheme="majorBidi"/>
          <w:sz w:val="24"/>
          <w:szCs w:val="24"/>
        </w:rPr>
        <w:t xml:space="preserve">o avoid human subjectivity, this study </w:t>
      </w:r>
      <w:r w:rsidR="0077723A" w:rsidRPr="00823856">
        <w:rPr>
          <w:rFonts w:asciiTheme="majorBidi" w:hAnsiTheme="majorBidi" w:cstheme="majorBidi"/>
          <w:sz w:val="24"/>
          <w:szCs w:val="24"/>
        </w:rPr>
        <w:t xml:space="preserve">performed a </w:t>
      </w:r>
      <w:r w:rsidRPr="00823856">
        <w:rPr>
          <w:rFonts w:asciiTheme="majorBidi" w:hAnsiTheme="majorBidi" w:cstheme="majorBidi"/>
          <w:sz w:val="24"/>
          <w:szCs w:val="24"/>
        </w:rPr>
        <w:t>sensitivity analysis in section 5.1.</w:t>
      </w:r>
      <w:r w:rsidR="00F45256" w:rsidRPr="00823856">
        <w:rPr>
          <w:rFonts w:asciiTheme="majorBidi" w:hAnsiTheme="majorBidi" w:cstheme="majorBidi"/>
          <w:sz w:val="24"/>
          <w:szCs w:val="24"/>
        </w:rPr>
        <w:t xml:space="preserve"> </w:t>
      </w:r>
    </w:p>
    <w:p w14:paraId="3C8CE90A" w14:textId="77777777" w:rsidR="00823856" w:rsidRPr="00F5545F" w:rsidRDefault="00823856" w:rsidP="00823856">
      <w:pPr>
        <w:autoSpaceDE w:val="0"/>
        <w:autoSpaceDN w:val="0"/>
        <w:adjustRightInd w:val="0"/>
        <w:spacing w:after="0" w:line="276" w:lineRule="auto"/>
        <w:ind w:left="810"/>
        <w:rPr>
          <w:rFonts w:asciiTheme="majorBidi" w:hAnsiTheme="majorBidi" w:cstheme="majorBidi"/>
          <w:i/>
          <w:iCs/>
          <w:sz w:val="16"/>
          <w:szCs w:val="16"/>
        </w:rPr>
      </w:pPr>
      <w:r w:rsidRPr="00F5545F">
        <w:rPr>
          <w:rFonts w:asciiTheme="majorBidi" w:hAnsiTheme="majorBidi" w:cstheme="majorBidi"/>
          <w:sz w:val="18"/>
          <w:szCs w:val="18"/>
        </w:rPr>
        <w:t xml:space="preserve">Table 8 The results </w:t>
      </w:r>
      <w:proofErr w:type="gramStart"/>
      <w:r w:rsidRPr="00F5545F">
        <w:rPr>
          <w:rFonts w:asciiTheme="majorBidi" w:hAnsiTheme="majorBidi" w:cstheme="majorBidi"/>
          <w:sz w:val="18"/>
          <w:szCs w:val="18"/>
        </w:rPr>
        <w:t>The</w:t>
      </w:r>
      <w:proofErr w:type="gramEnd"/>
      <w:r w:rsidRPr="00F5545F">
        <w:rPr>
          <w:rFonts w:asciiTheme="majorBidi" w:hAnsiTheme="majorBidi" w:cstheme="majorBidi"/>
          <w:sz w:val="18"/>
          <w:szCs w:val="18"/>
        </w:rPr>
        <w:t xml:space="preserve"> results of individual and generalized surveys, W represents </w:t>
      </w:r>
      <w:r w:rsidRPr="00F5545F">
        <w:rPr>
          <w:rFonts w:asciiTheme="majorBidi" w:hAnsiTheme="majorBidi" w:cstheme="majorBidi"/>
          <w:sz w:val="16"/>
          <w:szCs w:val="16"/>
        </w:rPr>
        <w:t>Weighting and P as priority.</w:t>
      </w:r>
    </w:p>
    <w:tbl>
      <w:tblPr>
        <w:tblStyle w:val="TableGrid"/>
        <w:tblW w:w="0" w:type="auto"/>
        <w:jc w:val="center"/>
        <w:tblLook w:val="04A0" w:firstRow="1" w:lastRow="0" w:firstColumn="1" w:lastColumn="0" w:noHBand="0" w:noVBand="1"/>
      </w:tblPr>
      <w:tblGrid>
        <w:gridCol w:w="1666"/>
        <w:gridCol w:w="1150"/>
        <w:gridCol w:w="609"/>
        <w:gridCol w:w="942"/>
        <w:gridCol w:w="499"/>
        <w:gridCol w:w="1063"/>
        <w:gridCol w:w="563"/>
        <w:gridCol w:w="576"/>
        <w:gridCol w:w="560"/>
      </w:tblGrid>
      <w:tr w:rsidR="00823856" w:rsidRPr="00F5545F" w14:paraId="415D6639" w14:textId="77777777" w:rsidTr="007F38F7">
        <w:trPr>
          <w:trHeight w:val="288"/>
          <w:jc w:val="center"/>
        </w:trPr>
        <w:tc>
          <w:tcPr>
            <w:tcW w:w="0" w:type="auto"/>
            <w:vMerge w:val="restart"/>
            <w:shd w:val="clear" w:color="auto" w:fill="E7E6E6" w:themeFill="background2"/>
            <w:vAlign w:val="center"/>
          </w:tcPr>
          <w:p w14:paraId="04D4F94F" w14:textId="77777777" w:rsidR="00823856" w:rsidRPr="00F5545F" w:rsidRDefault="00823856" w:rsidP="007F38F7">
            <w:pPr>
              <w:autoSpaceDE w:val="0"/>
              <w:autoSpaceDN w:val="0"/>
              <w:adjustRightInd w:val="0"/>
              <w:jc w:val="center"/>
              <w:rPr>
                <w:rFonts w:asciiTheme="majorBidi" w:hAnsiTheme="majorBidi" w:cstheme="majorBidi"/>
                <w:b/>
                <w:bCs/>
                <w:sz w:val="16"/>
                <w:szCs w:val="16"/>
              </w:rPr>
            </w:pPr>
            <w:r w:rsidRPr="00F5545F">
              <w:rPr>
                <w:rFonts w:asciiTheme="majorBidi" w:hAnsiTheme="majorBidi" w:cstheme="majorBidi"/>
                <w:b/>
                <w:bCs/>
                <w:sz w:val="16"/>
                <w:szCs w:val="16"/>
              </w:rPr>
              <w:t>Parameters</w:t>
            </w:r>
          </w:p>
        </w:tc>
        <w:tc>
          <w:tcPr>
            <w:tcW w:w="0" w:type="auto"/>
            <w:gridSpan w:val="6"/>
            <w:shd w:val="clear" w:color="auto" w:fill="E7E6E6" w:themeFill="background2"/>
            <w:vAlign w:val="center"/>
          </w:tcPr>
          <w:p w14:paraId="796CF030" w14:textId="77777777" w:rsidR="00823856" w:rsidRPr="00F5545F" w:rsidRDefault="00823856" w:rsidP="007F38F7">
            <w:pPr>
              <w:autoSpaceDE w:val="0"/>
              <w:autoSpaceDN w:val="0"/>
              <w:adjustRightInd w:val="0"/>
              <w:jc w:val="center"/>
              <w:rPr>
                <w:rFonts w:asciiTheme="majorBidi" w:hAnsiTheme="majorBidi" w:cstheme="majorBidi"/>
                <w:b/>
                <w:bCs/>
                <w:sz w:val="16"/>
                <w:szCs w:val="16"/>
              </w:rPr>
            </w:pPr>
            <w:r w:rsidRPr="00F5545F">
              <w:rPr>
                <w:rFonts w:asciiTheme="majorBidi" w:hAnsiTheme="majorBidi" w:cstheme="majorBidi"/>
                <w:b/>
                <w:bCs/>
                <w:sz w:val="16"/>
                <w:szCs w:val="16"/>
              </w:rPr>
              <w:t>60 experts</w:t>
            </w:r>
          </w:p>
        </w:tc>
        <w:tc>
          <w:tcPr>
            <w:tcW w:w="1136" w:type="dxa"/>
            <w:gridSpan w:val="2"/>
            <w:vMerge w:val="restart"/>
            <w:shd w:val="clear" w:color="auto" w:fill="E7E6E6" w:themeFill="background2"/>
            <w:vAlign w:val="center"/>
          </w:tcPr>
          <w:p w14:paraId="63474CE2" w14:textId="77777777" w:rsidR="00823856" w:rsidRPr="00F5545F" w:rsidRDefault="00823856" w:rsidP="007F38F7">
            <w:pPr>
              <w:autoSpaceDE w:val="0"/>
              <w:autoSpaceDN w:val="0"/>
              <w:adjustRightInd w:val="0"/>
              <w:jc w:val="center"/>
              <w:rPr>
                <w:rFonts w:asciiTheme="majorBidi" w:hAnsiTheme="majorBidi" w:cstheme="majorBidi"/>
                <w:b/>
                <w:bCs/>
                <w:sz w:val="16"/>
                <w:szCs w:val="16"/>
              </w:rPr>
            </w:pPr>
            <w:r w:rsidRPr="00F5545F">
              <w:rPr>
                <w:rFonts w:asciiTheme="majorBidi" w:hAnsiTheme="majorBidi" w:cstheme="majorBidi"/>
                <w:b/>
                <w:bCs/>
                <w:sz w:val="16"/>
                <w:szCs w:val="16"/>
              </w:rPr>
              <w:t>Total</w:t>
            </w:r>
          </w:p>
        </w:tc>
      </w:tr>
      <w:tr w:rsidR="00823856" w:rsidRPr="00F5545F" w14:paraId="5C3118AC" w14:textId="77777777" w:rsidTr="007F38F7">
        <w:trPr>
          <w:trHeight w:val="288"/>
          <w:jc w:val="center"/>
        </w:trPr>
        <w:tc>
          <w:tcPr>
            <w:tcW w:w="0" w:type="auto"/>
            <w:vMerge/>
            <w:shd w:val="clear" w:color="auto" w:fill="E7E6E6" w:themeFill="background2"/>
            <w:vAlign w:val="center"/>
          </w:tcPr>
          <w:p w14:paraId="372776AB" w14:textId="77777777" w:rsidR="00823856" w:rsidRPr="00F5545F" w:rsidRDefault="00823856" w:rsidP="007F38F7">
            <w:pPr>
              <w:autoSpaceDE w:val="0"/>
              <w:autoSpaceDN w:val="0"/>
              <w:adjustRightInd w:val="0"/>
              <w:jc w:val="center"/>
              <w:rPr>
                <w:rFonts w:asciiTheme="majorBidi" w:hAnsiTheme="majorBidi" w:cstheme="majorBidi"/>
                <w:sz w:val="16"/>
                <w:szCs w:val="16"/>
              </w:rPr>
            </w:pPr>
          </w:p>
        </w:tc>
        <w:tc>
          <w:tcPr>
            <w:tcW w:w="0" w:type="auto"/>
            <w:gridSpan w:val="2"/>
            <w:shd w:val="clear" w:color="auto" w:fill="E7E6E6" w:themeFill="background2"/>
            <w:vAlign w:val="center"/>
          </w:tcPr>
          <w:p w14:paraId="00004F6C" w14:textId="77777777" w:rsidR="00823856" w:rsidRPr="00F5545F" w:rsidRDefault="00823856" w:rsidP="007F38F7">
            <w:pPr>
              <w:jc w:val="center"/>
              <w:rPr>
                <w:rFonts w:asciiTheme="majorBidi" w:hAnsiTheme="majorBidi" w:cstheme="majorBidi"/>
                <w:b/>
                <w:bCs/>
                <w:sz w:val="16"/>
                <w:szCs w:val="16"/>
              </w:rPr>
            </w:pPr>
            <w:r w:rsidRPr="00F5545F">
              <w:rPr>
                <w:rFonts w:asciiTheme="majorBidi" w:hAnsiTheme="majorBidi" w:cstheme="majorBidi"/>
                <w:b/>
                <w:bCs/>
                <w:sz w:val="16"/>
                <w:szCs w:val="16"/>
              </w:rPr>
              <w:t>Construction manager</w:t>
            </w:r>
          </w:p>
        </w:tc>
        <w:tc>
          <w:tcPr>
            <w:tcW w:w="0" w:type="auto"/>
            <w:gridSpan w:val="2"/>
            <w:shd w:val="clear" w:color="auto" w:fill="E7E6E6" w:themeFill="background2"/>
            <w:vAlign w:val="center"/>
          </w:tcPr>
          <w:p w14:paraId="26F398C9" w14:textId="77777777" w:rsidR="00823856" w:rsidRPr="00F5545F" w:rsidRDefault="00823856" w:rsidP="007F38F7">
            <w:pPr>
              <w:jc w:val="center"/>
              <w:rPr>
                <w:rFonts w:asciiTheme="majorBidi" w:hAnsiTheme="majorBidi" w:cstheme="majorBidi"/>
                <w:b/>
                <w:bCs/>
                <w:sz w:val="16"/>
                <w:szCs w:val="16"/>
              </w:rPr>
            </w:pPr>
            <w:r w:rsidRPr="00F5545F">
              <w:rPr>
                <w:rFonts w:asciiTheme="majorBidi" w:hAnsiTheme="majorBidi" w:cstheme="majorBidi"/>
                <w:b/>
                <w:bCs/>
                <w:sz w:val="16"/>
                <w:szCs w:val="16"/>
              </w:rPr>
              <w:t>Designer</w:t>
            </w:r>
          </w:p>
        </w:tc>
        <w:tc>
          <w:tcPr>
            <w:tcW w:w="0" w:type="auto"/>
            <w:gridSpan w:val="2"/>
            <w:shd w:val="clear" w:color="auto" w:fill="E7E6E6" w:themeFill="background2"/>
            <w:vAlign w:val="center"/>
          </w:tcPr>
          <w:p w14:paraId="6A39137C" w14:textId="77777777" w:rsidR="00823856" w:rsidRPr="00F5545F" w:rsidRDefault="00823856" w:rsidP="007F38F7">
            <w:pPr>
              <w:jc w:val="center"/>
              <w:rPr>
                <w:rFonts w:asciiTheme="majorBidi" w:hAnsiTheme="majorBidi" w:cstheme="majorBidi"/>
                <w:b/>
                <w:bCs/>
                <w:sz w:val="16"/>
                <w:szCs w:val="16"/>
              </w:rPr>
            </w:pPr>
            <w:r w:rsidRPr="00F5545F">
              <w:rPr>
                <w:rFonts w:asciiTheme="majorBidi" w:hAnsiTheme="majorBidi" w:cstheme="majorBidi"/>
                <w:b/>
                <w:bCs/>
                <w:sz w:val="16"/>
                <w:szCs w:val="16"/>
              </w:rPr>
              <w:t>Academic/ Professor</w:t>
            </w:r>
          </w:p>
        </w:tc>
        <w:tc>
          <w:tcPr>
            <w:tcW w:w="1136" w:type="dxa"/>
            <w:gridSpan w:val="2"/>
            <w:vMerge/>
            <w:shd w:val="clear" w:color="auto" w:fill="E7E6E6" w:themeFill="background2"/>
            <w:vAlign w:val="center"/>
          </w:tcPr>
          <w:p w14:paraId="2AAD7A14" w14:textId="77777777" w:rsidR="00823856" w:rsidRPr="00F5545F" w:rsidRDefault="00823856" w:rsidP="007F38F7">
            <w:pPr>
              <w:autoSpaceDE w:val="0"/>
              <w:autoSpaceDN w:val="0"/>
              <w:adjustRightInd w:val="0"/>
              <w:jc w:val="center"/>
              <w:rPr>
                <w:rFonts w:asciiTheme="majorBidi" w:hAnsiTheme="majorBidi" w:cstheme="majorBidi"/>
                <w:sz w:val="16"/>
                <w:szCs w:val="16"/>
              </w:rPr>
            </w:pPr>
          </w:p>
        </w:tc>
      </w:tr>
      <w:tr w:rsidR="00823856" w:rsidRPr="00F5545F" w14:paraId="12691267" w14:textId="77777777" w:rsidTr="007F38F7">
        <w:trPr>
          <w:trHeight w:val="288"/>
          <w:jc w:val="center"/>
        </w:trPr>
        <w:tc>
          <w:tcPr>
            <w:tcW w:w="0" w:type="auto"/>
            <w:vMerge/>
            <w:vAlign w:val="center"/>
          </w:tcPr>
          <w:p w14:paraId="628C5C4B" w14:textId="77777777" w:rsidR="00823856" w:rsidRPr="00F5545F" w:rsidRDefault="00823856" w:rsidP="007F38F7">
            <w:pPr>
              <w:autoSpaceDE w:val="0"/>
              <w:autoSpaceDN w:val="0"/>
              <w:adjustRightInd w:val="0"/>
              <w:jc w:val="center"/>
              <w:rPr>
                <w:rFonts w:asciiTheme="majorBidi" w:hAnsiTheme="majorBidi" w:cstheme="majorBidi"/>
                <w:sz w:val="16"/>
                <w:szCs w:val="16"/>
              </w:rPr>
            </w:pPr>
          </w:p>
        </w:tc>
        <w:tc>
          <w:tcPr>
            <w:tcW w:w="0" w:type="auto"/>
            <w:shd w:val="clear" w:color="auto" w:fill="E7E6E6" w:themeFill="background2"/>
            <w:vAlign w:val="center"/>
          </w:tcPr>
          <w:p w14:paraId="3DBD92F8" w14:textId="77777777" w:rsidR="00823856" w:rsidRPr="00F5545F" w:rsidRDefault="00823856" w:rsidP="007F38F7">
            <w:pPr>
              <w:jc w:val="center"/>
              <w:rPr>
                <w:rFonts w:asciiTheme="majorBidi" w:hAnsiTheme="majorBidi" w:cstheme="majorBidi"/>
                <w:sz w:val="16"/>
                <w:szCs w:val="16"/>
              </w:rPr>
            </w:pPr>
            <w:r w:rsidRPr="00F5545F">
              <w:rPr>
                <w:rFonts w:asciiTheme="majorBidi" w:hAnsiTheme="majorBidi" w:cstheme="majorBidi"/>
                <w:sz w:val="16"/>
                <w:szCs w:val="16"/>
              </w:rPr>
              <w:t>W</w:t>
            </w:r>
          </w:p>
        </w:tc>
        <w:tc>
          <w:tcPr>
            <w:tcW w:w="0" w:type="auto"/>
            <w:shd w:val="clear" w:color="auto" w:fill="E7E6E6" w:themeFill="background2"/>
            <w:vAlign w:val="center"/>
          </w:tcPr>
          <w:p w14:paraId="2CBC1940" w14:textId="77777777" w:rsidR="00823856" w:rsidRPr="00F5545F" w:rsidRDefault="00823856" w:rsidP="007F38F7">
            <w:pPr>
              <w:rPr>
                <w:rFonts w:asciiTheme="majorBidi" w:hAnsiTheme="majorBidi" w:cstheme="majorBidi"/>
                <w:sz w:val="16"/>
                <w:szCs w:val="16"/>
              </w:rPr>
            </w:pPr>
            <w:r w:rsidRPr="00F5545F">
              <w:rPr>
                <w:rFonts w:asciiTheme="majorBidi" w:hAnsiTheme="majorBidi" w:cstheme="majorBidi"/>
                <w:sz w:val="16"/>
                <w:szCs w:val="16"/>
              </w:rPr>
              <w:t>P</w:t>
            </w:r>
          </w:p>
        </w:tc>
        <w:tc>
          <w:tcPr>
            <w:tcW w:w="0" w:type="auto"/>
            <w:shd w:val="clear" w:color="auto" w:fill="E7E6E6" w:themeFill="background2"/>
            <w:vAlign w:val="center"/>
          </w:tcPr>
          <w:p w14:paraId="472167F8" w14:textId="77777777" w:rsidR="00823856" w:rsidRPr="00F5545F" w:rsidRDefault="00823856" w:rsidP="007F38F7">
            <w:pPr>
              <w:jc w:val="center"/>
              <w:rPr>
                <w:rFonts w:asciiTheme="majorBidi" w:hAnsiTheme="majorBidi" w:cstheme="majorBidi"/>
                <w:sz w:val="16"/>
                <w:szCs w:val="16"/>
              </w:rPr>
            </w:pPr>
            <w:r w:rsidRPr="00F5545F">
              <w:rPr>
                <w:rFonts w:asciiTheme="majorBidi" w:hAnsiTheme="majorBidi" w:cstheme="majorBidi"/>
                <w:sz w:val="16"/>
                <w:szCs w:val="16"/>
              </w:rPr>
              <w:t>W</w:t>
            </w:r>
          </w:p>
        </w:tc>
        <w:tc>
          <w:tcPr>
            <w:tcW w:w="0" w:type="auto"/>
            <w:shd w:val="clear" w:color="auto" w:fill="E7E6E6" w:themeFill="background2"/>
            <w:vAlign w:val="center"/>
          </w:tcPr>
          <w:p w14:paraId="679E6604" w14:textId="77777777" w:rsidR="00823856" w:rsidRPr="00F5545F" w:rsidRDefault="00823856" w:rsidP="007F38F7">
            <w:pPr>
              <w:jc w:val="center"/>
              <w:rPr>
                <w:rFonts w:asciiTheme="majorBidi" w:hAnsiTheme="majorBidi" w:cstheme="majorBidi"/>
                <w:sz w:val="16"/>
                <w:szCs w:val="16"/>
              </w:rPr>
            </w:pPr>
            <w:r w:rsidRPr="00F5545F">
              <w:rPr>
                <w:rFonts w:asciiTheme="majorBidi" w:hAnsiTheme="majorBidi" w:cstheme="majorBidi"/>
                <w:sz w:val="16"/>
                <w:szCs w:val="16"/>
              </w:rPr>
              <w:t>P</w:t>
            </w:r>
          </w:p>
        </w:tc>
        <w:tc>
          <w:tcPr>
            <w:tcW w:w="0" w:type="auto"/>
            <w:shd w:val="clear" w:color="auto" w:fill="E7E6E6" w:themeFill="background2"/>
            <w:vAlign w:val="center"/>
          </w:tcPr>
          <w:p w14:paraId="42BC87E3" w14:textId="77777777" w:rsidR="00823856" w:rsidRPr="00F5545F" w:rsidRDefault="00823856" w:rsidP="007F38F7">
            <w:pPr>
              <w:jc w:val="center"/>
              <w:rPr>
                <w:rFonts w:asciiTheme="majorBidi" w:hAnsiTheme="majorBidi" w:cstheme="majorBidi"/>
                <w:sz w:val="16"/>
                <w:szCs w:val="16"/>
              </w:rPr>
            </w:pPr>
            <w:r w:rsidRPr="00F5545F">
              <w:rPr>
                <w:rFonts w:asciiTheme="majorBidi" w:hAnsiTheme="majorBidi" w:cstheme="majorBidi"/>
                <w:sz w:val="16"/>
                <w:szCs w:val="16"/>
              </w:rPr>
              <w:t>W</w:t>
            </w:r>
          </w:p>
        </w:tc>
        <w:tc>
          <w:tcPr>
            <w:tcW w:w="0" w:type="auto"/>
            <w:shd w:val="clear" w:color="auto" w:fill="E7E6E6" w:themeFill="background2"/>
            <w:vAlign w:val="center"/>
          </w:tcPr>
          <w:p w14:paraId="55B5E089" w14:textId="77777777" w:rsidR="00823856" w:rsidRPr="00F5545F" w:rsidRDefault="00823856" w:rsidP="007F38F7">
            <w:pPr>
              <w:jc w:val="center"/>
              <w:rPr>
                <w:rFonts w:asciiTheme="majorBidi" w:hAnsiTheme="majorBidi" w:cstheme="majorBidi"/>
                <w:sz w:val="16"/>
                <w:szCs w:val="16"/>
              </w:rPr>
            </w:pPr>
            <w:r w:rsidRPr="00F5545F">
              <w:rPr>
                <w:rFonts w:asciiTheme="majorBidi" w:hAnsiTheme="majorBidi" w:cstheme="majorBidi"/>
                <w:sz w:val="16"/>
                <w:szCs w:val="16"/>
              </w:rPr>
              <w:t>P</w:t>
            </w:r>
          </w:p>
        </w:tc>
        <w:tc>
          <w:tcPr>
            <w:tcW w:w="0" w:type="auto"/>
            <w:shd w:val="clear" w:color="auto" w:fill="E7E6E6" w:themeFill="background2"/>
            <w:vAlign w:val="center"/>
          </w:tcPr>
          <w:p w14:paraId="3D73D624" w14:textId="77777777" w:rsidR="00823856" w:rsidRPr="00F5545F" w:rsidRDefault="00823856" w:rsidP="007F38F7">
            <w:pPr>
              <w:jc w:val="center"/>
              <w:rPr>
                <w:rFonts w:asciiTheme="majorBidi" w:hAnsiTheme="majorBidi" w:cstheme="majorBidi"/>
                <w:sz w:val="16"/>
                <w:szCs w:val="16"/>
              </w:rPr>
            </w:pPr>
            <w:r w:rsidRPr="00F5545F">
              <w:rPr>
                <w:rFonts w:asciiTheme="majorBidi" w:hAnsiTheme="majorBidi" w:cstheme="majorBidi"/>
                <w:sz w:val="16"/>
                <w:szCs w:val="16"/>
              </w:rPr>
              <w:t>W</w:t>
            </w:r>
          </w:p>
        </w:tc>
        <w:tc>
          <w:tcPr>
            <w:tcW w:w="560" w:type="dxa"/>
            <w:shd w:val="clear" w:color="auto" w:fill="E7E6E6" w:themeFill="background2"/>
            <w:vAlign w:val="center"/>
          </w:tcPr>
          <w:p w14:paraId="1FEAEBE9" w14:textId="77777777" w:rsidR="00823856" w:rsidRPr="00F5545F" w:rsidRDefault="00823856" w:rsidP="007F38F7">
            <w:pPr>
              <w:rPr>
                <w:rFonts w:asciiTheme="majorBidi" w:hAnsiTheme="majorBidi" w:cstheme="majorBidi"/>
                <w:sz w:val="16"/>
                <w:szCs w:val="16"/>
              </w:rPr>
            </w:pPr>
            <w:r w:rsidRPr="00F5545F">
              <w:rPr>
                <w:rFonts w:asciiTheme="majorBidi" w:hAnsiTheme="majorBidi" w:cstheme="majorBidi"/>
                <w:sz w:val="16"/>
                <w:szCs w:val="16"/>
              </w:rPr>
              <w:t>P</w:t>
            </w:r>
          </w:p>
        </w:tc>
      </w:tr>
      <w:tr w:rsidR="00823856" w:rsidRPr="00F5545F" w14:paraId="4ABC8A34" w14:textId="77777777" w:rsidTr="007F38F7">
        <w:trPr>
          <w:jc w:val="center"/>
        </w:trPr>
        <w:tc>
          <w:tcPr>
            <w:tcW w:w="0" w:type="auto"/>
            <w:vAlign w:val="center"/>
          </w:tcPr>
          <w:p w14:paraId="63F3BB34" w14:textId="77777777" w:rsidR="00823856" w:rsidRPr="00F5545F" w:rsidRDefault="00823856" w:rsidP="007F38F7">
            <w:pPr>
              <w:rPr>
                <w:rFonts w:asciiTheme="majorBidi" w:hAnsiTheme="majorBidi" w:cstheme="majorBidi"/>
                <w:sz w:val="16"/>
                <w:szCs w:val="16"/>
              </w:rPr>
            </w:pPr>
            <w:r w:rsidRPr="00F5545F">
              <w:rPr>
                <w:rFonts w:asciiTheme="majorBidi" w:hAnsiTheme="majorBidi" w:cstheme="majorBidi"/>
                <w:sz w:val="16"/>
                <w:szCs w:val="16"/>
              </w:rPr>
              <w:t>GWP</w:t>
            </w:r>
          </w:p>
        </w:tc>
        <w:tc>
          <w:tcPr>
            <w:tcW w:w="0" w:type="auto"/>
            <w:vAlign w:val="center"/>
          </w:tcPr>
          <w:p w14:paraId="1861A62A"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0.233</w:t>
            </w:r>
          </w:p>
        </w:tc>
        <w:tc>
          <w:tcPr>
            <w:tcW w:w="0" w:type="auto"/>
            <w:vAlign w:val="center"/>
          </w:tcPr>
          <w:p w14:paraId="75305ECA"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3</w:t>
            </w:r>
          </w:p>
        </w:tc>
        <w:tc>
          <w:tcPr>
            <w:tcW w:w="0" w:type="auto"/>
            <w:vAlign w:val="center"/>
          </w:tcPr>
          <w:p w14:paraId="5BB15ACD"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0.132</w:t>
            </w:r>
          </w:p>
        </w:tc>
        <w:tc>
          <w:tcPr>
            <w:tcW w:w="0" w:type="auto"/>
            <w:vAlign w:val="center"/>
          </w:tcPr>
          <w:p w14:paraId="3DF54835"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4</w:t>
            </w:r>
          </w:p>
        </w:tc>
        <w:tc>
          <w:tcPr>
            <w:tcW w:w="0" w:type="auto"/>
            <w:vAlign w:val="center"/>
          </w:tcPr>
          <w:p w14:paraId="05DFFC03"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0.243</w:t>
            </w:r>
          </w:p>
        </w:tc>
        <w:tc>
          <w:tcPr>
            <w:tcW w:w="0" w:type="auto"/>
            <w:vAlign w:val="center"/>
          </w:tcPr>
          <w:p w14:paraId="7CD3C1FF"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2</w:t>
            </w:r>
          </w:p>
        </w:tc>
        <w:tc>
          <w:tcPr>
            <w:tcW w:w="0" w:type="auto"/>
            <w:vAlign w:val="center"/>
          </w:tcPr>
          <w:p w14:paraId="62C65BB4"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0.202</w:t>
            </w:r>
          </w:p>
        </w:tc>
        <w:tc>
          <w:tcPr>
            <w:tcW w:w="560" w:type="dxa"/>
            <w:vAlign w:val="center"/>
          </w:tcPr>
          <w:p w14:paraId="6EB90332"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4</w:t>
            </w:r>
          </w:p>
        </w:tc>
      </w:tr>
      <w:tr w:rsidR="00823856" w:rsidRPr="00F5545F" w14:paraId="5E69936D" w14:textId="77777777" w:rsidTr="007F38F7">
        <w:trPr>
          <w:jc w:val="center"/>
        </w:trPr>
        <w:tc>
          <w:tcPr>
            <w:tcW w:w="0" w:type="auto"/>
            <w:vAlign w:val="center"/>
          </w:tcPr>
          <w:p w14:paraId="3E0EBC3D" w14:textId="77777777" w:rsidR="00823856" w:rsidRPr="00F5545F" w:rsidRDefault="00823856" w:rsidP="007F38F7">
            <w:pPr>
              <w:rPr>
                <w:rFonts w:asciiTheme="majorBidi" w:hAnsiTheme="majorBidi" w:cstheme="majorBidi"/>
                <w:strike/>
                <w:sz w:val="18"/>
                <w:szCs w:val="18"/>
              </w:rPr>
            </w:pPr>
            <w:r w:rsidRPr="00F5545F">
              <w:rPr>
                <w:rFonts w:asciiTheme="majorBidi" w:hAnsiTheme="majorBidi" w:cstheme="majorBidi"/>
                <w:sz w:val="20"/>
                <w:szCs w:val="20"/>
              </w:rPr>
              <w:t>Embodied Energy</w:t>
            </w:r>
          </w:p>
        </w:tc>
        <w:tc>
          <w:tcPr>
            <w:tcW w:w="0" w:type="auto"/>
            <w:vAlign w:val="center"/>
          </w:tcPr>
          <w:p w14:paraId="565857B6"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0.168</w:t>
            </w:r>
          </w:p>
        </w:tc>
        <w:tc>
          <w:tcPr>
            <w:tcW w:w="0" w:type="auto"/>
            <w:vAlign w:val="center"/>
          </w:tcPr>
          <w:p w14:paraId="1629BC02"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4</w:t>
            </w:r>
          </w:p>
        </w:tc>
        <w:tc>
          <w:tcPr>
            <w:tcW w:w="0" w:type="auto"/>
            <w:vAlign w:val="center"/>
          </w:tcPr>
          <w:p w14:paraId="5A1E58DD"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0.182</w:t>
            </w:r>
          </w:p>
        </w:tc>
        <w:tc>
          <w:tcPr>
            <w:tcW w:w="0" w:type="auto"/>
            <w:vAlign w:val="center"/>
          </w:tcPr>
          <w:p w14:paraId="594402B5"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3</w:t>
            </w:r>
          </w:p>
        </w:tc>
        <w:tc>
          <w:tcPr>
            <w:tcW w:w="0" w:type="auto"/>
            <w:vAlign w:val="center"/>
          </w:tcPr>
          <w:p w14:paraId="2128AD3A"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0.295</w:t>
            </w:r>
          </w:p>
        </w:tc>
        <w:tc>
          <w:tcPr>
            <w:tcW w:w="0" w:type="auto"/>
            <w:vAlign w:val="center"/>
          </w:tcPr>
          <w:p w14:paraId="308A4AE2"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1</w:t>
            </w:r>
          </w:p>
        </w:tc>
        <w:tc>
          <w:tcPr>
            <w:tcW w:w="0" w:type="auto"/>
            <w:vAlign w:val="center"/>
          </w:tcPr>
          <w:p w14:paraId="44679E83"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0.215</w:t>
            </w:r>
          </w:p>
        </w:tc>
        <w:tc>
          <w:tcPr>
            <w:tcW w:w="560" w:type="dxa"/>
            <w:vAlign w:val="center"/>
          </w:tcPr>
          <w:p w14:paraId="5638DC55"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3</w:t>
            </w:r>
          </w:p>
        </w:tc>
      </w:tr>
      <w:tr w:rsidR="00823856" w:rsidRPr="00F5545F" w14:paraId="07F918AE" w14:textId="77777777" w:rsidTr="007F38F7">
        <w:trPr>
          <w:jc w:val="center"/>
        </w:trPr>
        <w:tc>
          <w:tcPr>
            <w:tcW w:w="0" w:type="auto"/>
            <w:vAlign w:val="center"/>
          </w:tcPr>
          <w:p w14:paraId="1349A1AE" w14:textId="77777777" w:rsidR="00823856" w:rsidRPr="00F5545F" w:rsidRDefault="00823856" w:rsidP="007F38F7">
            <w:pPr>
              <w:autoSpaceDE w:val="0"/>
              <w:autoSpaceDN w:val="0"/>
              <w:adjustRightInd w:val="0"/>
              <w:rPr>
                <w:rFonts w:asciiTheme="majorBidi" w:hAnsiTheme="majorBidi" w:cstheme="majorBidi"/>
                <w:sz w:val="18"/>
                <w:szCs w:val="18"/>
              </w:rPr>
            </w:pPr>
            <w:r w:rsidRPr="00F5545F">
              <w:rPr>
                <w:rFonts w:asciiTheme="majorBidi" w:hAnsiTheme="majorBidi" w:cstheme="majorBidi"/>
                <w:sz w:val="20"/>
                <w:szCs w:val="20"/>
              </w:rPr>
              <w:t>LCC</w:t>
            </w:r>
          </w:p>
        </w:tc>
        <w:tc>
          <w:tcPr>
            <w:tcW w:w="0" w:type="auto"/>
            <w:vAlign w:val="center"/>
          </w:tcPr>
          <w:p w14:paraId="0ACC44F7"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0.312</w:t>
            </w:r>
          </w:p>
        </w:tc>
        <w:tc>
          <w:tcPr>
            <w:tcW w:w="0" w:type="auto"/>
            <w:vAlign w:val="center"/>
          </w:tcPr>
          <w:p w14:paraId="597E6669"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1</w:t>
            </w:r>
          </w:p>
        </w:tc>
        <w:tc>
          <w:tcPr>
            <w:tcW w:w="0" w:type="auto"/>
            <w:vAlign w:val="center"/>
          </w:tcPr>
          <w:p w14:paraId="612BAA33"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0.287</w:t>
            </w:r>
          </w:p>
        </w:tc>
        <w:tc>
          <w:tcPr>
            <w:tcW w:w="0" w:type="auto"/>
            <w:vAlign w:val="center"/>
          </w:tcPr>
          <w:p w14:paraId="632D617C"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2</w:t>
            </w:r>
          </w:p>
        </w:tc>
        <w:tc>
          <w:tcPr>
            <w:tcW w:w="0" w:type="auto"/>
            <w:vAlign w:val="center"/>
          </w:tcPr>
          <w:p w14:paraId="5F01AEA8"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0.238</w:t>
            </w:r>
          </w:p>
        </w:tc>
        <w:tc>
          <w:tcPr>
            <w:tcW w:w="0" w:type="auto"/>
            <w:vAlign w:val="center"/>
          </w:tcPr>
          <w:p w14:paraId="5E96505A"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3</w:t>
            </w:r>
          </w:p>
        </w:tc>
        <w:tc>
          <w:tcPr>
            <w:tcW w:w="0" w:type="auto"/>
            <w:vAlign w:val="center"/>
          </w:tcPr>
          <w:p w14:paraId="4795670F"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0.279</w:t>
            </w:r>
          </w:p>
        </w:tc>
        <w:tc>
          <w:tcPr>
            <w:tcW w:w="560" w:type="dxa"/>
            <w:vAlign w:val="center"/>
          </w:tcPr>
          <w:p w14:paraId="499F8689"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2</w:t>
            </w:r>
          </w:p>
        </w:tc>
      </w:tr>
      <w:tr w:rsidR="00823856" w:rsidRPr="00F5545F" w14:paraId="5FE69B73" w14:textId="77777777" w:rsidTr="007F38F7">
        <w:trPr>
          <w:jc w:val="center"/>
        </w:trPr>
        <w:tc>
          <w:tcPr>
            <w:tcW w:w="0" w:type="auto"/>
            <w:vAlign w:val="center"/>
          </w:tcPr>
          <w:p w14:paraId="7A3475B1" w14:textId="77777777" w:rsidR="00823856" w:rsidRPr="00F5545F" w:rsidRDefault="00823856" w:rsidP="007F38F7">
            <w:pPr>
              <w:autoSpaceDE w:val="0"/>
              <w:autoSpaceDN w:val="0"/>
              <w:adjustRightInd w:val="0"/>
              <w:rPr>
                <w:rFonts w:asciiTheme="majorBidi" w:hAnsiTheme="majorBidi" w:cstheme="majorBidi"/>
                <w:sz w:val="18"/>
                <w:szCs w:val="18"/>
              </w:rPr>
            </w:pPr>
            <w:r w:rsidRPr="00F5545F">
              <w:rPr>
                <w:rFonts w:asciiTheme="majorBidi" w:hAnsiTheme="majorBidi" w:cstheme="majorBidi"/>
                <w:sz w:val="20"/>
                <w:szCs w:val="20"/>
              </w:rPr>
              <w:t>SLCA</w:t>
            </w:r>
          </w:p>
        </w:tc>
        <w:tc>
          <w:tcPr>
            <w:tcW w:w="0" w:type="auto"/>
            <w:vAlign w:val="center"/>
          </w:tcPr>
          <w:p w14:paraId="49940721"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0.287</w:t>
            </w:r>
          </w:p>
        </w:tc>
        <w:tc>
          <w:tcPr>
            <w:tcW w:w="0" w:type="auto"/>
            <w:vAlign w:val="center"/>
          </w:tcPr>
          <w:p w14:paraId="4EE25255"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2</w:t>
            </w:r>
          </w:p>
        </w:tc>
        <w:tc>
          <w:tcPr>
            <w:tcW w:w="0" w:type="auto"/>
            <w:vAlign w:val="center"/>
          </w:tcPr>
          <w:p w14:paraId="5B7D5C72"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0.399</w:t>
            </w:r>
          </w:p>
        </w:tc>
        <w:tc>
          <w:tcPr>
            <w:tcW w:w="0" w:type="auto"/>
            <w:vAlign w:val="center"/>
          </w:tcPr>
          <w:p w14:paraId="73506BE2"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1</w:t>
            </w:r>
          </w:p>
        </w:tc>
        <w:tc>
          <w:tcPr>
            <w:tcW w:w="0" w:type="auto"/>
            <w:vAlign w:val="center"/>
          </w:tcPr>
          <w:p w14:paraId="6F47C192"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0.224</w:t>
            </w:r>
          </w:p>
        </w:tc>
        <w:tc>
          <w:tcPr>
            <w:tcW w:w="0" w:type="auto"/>
            <w:vAlign w:val="center"/>
          </w:tcPr>
          <w:p w14:paraId="2EDA03A3"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4</w:t>
            </w:r>
          </w:p>
        </w:tc>
        <w:tc>
          <w:tcPr>
            <w:tcW w:w="0" w:type="auto"/>
            <w:vAlign w:val="center"/>
          </w:tcPr>
          <w:p w14:paraId="7CCA58F5"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0.303</w:t>
            </w:r>
          </w:p>
        </w:tc>
        <w:tc>
          <w:tcPr>
            <w:tcW w:w="560" w:type="dxa"/>
            <w:vAlign w:val="center"/>
          </w:tcPr>
          <w:p w14:paraId="79C3998C"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1</w:t>
            </w:r>
          </w:p>
        </w:tc>
      </w:tr>
      <w:tr w:rsidR="00823856" w:rsidRPr="00F5545F" w14:paraId="536C7431" w14:textId="77777777" w:rsidTr="007F38F7">
        <w:trPr>
          <w:jc w:val="center"/>
        </w:trPr>
        <w:tc>
          <w:tcPr>
            <w:tcW w:w="0" w:type="auto"/>
            <w:vAlign w:val="center"/>
          </w:tcPr>
          <w:p w14:paraId="2CE673E7" w14:textId="77777777" w:rsidR="00823856" w:rsidRPr="00F5545F" w:rsidRDefault="00823856" w:rsidP="007F38F7">
            <w:pPr>
              <w:autoSpaceDE w:val="0"/>
              <w:autoSpaceDN w:val="0"/>
              <w:adjustRightInd w:val="0"/>
              <w:jc w:val="center"/>
              <w:rPr>
                <w:rFonts w:asciiTheme="majorBidi" w:hAnsiTheme="majorBidi" w:cstheme="majorBidi"/>
                <w:sz w:val="18"/>
                <w:szCs w:val="18"/>
              </w:rPr>
            </w:pPr>
          </w:p>
        </w:tc>
        <w:tc>
          <w:tcPr>
            <w:tcW w:w="0" w:type="auto"/>
            <w:gridSpan w:val="2"/>
            <w:vAlign w:val="center"/>
          </w:tcPr>
          <w:p w14:paraId="1FF938B1"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CRa=   0.052 &lt;0.1</w:t>
            </w:r>
          </w:p>
        </w:tc>
        <w:tc>
          <w:tcPr>
            <w:tcW w:w="0" w:type="auto"/>
            <w:gridSpan w:val="2"/>
            <w:vAlign w:val="center"/>
          </w:tcPr>
          <w:p w14:paraId="370094A0"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 xml:space="preserve">CRa=   </w:t>
            </w:r>
            <w:proofErr w:type="gramStart"/>
            <w:r w:rsidRPr="00F5545F">
              <w:rPr>
                <w:rFonts w:asciiTheme="majorBidi" w:hAnsiTheme="majorBidi" w:cstheme="majorBidi"/>
                <w:sz w:val="16"/>
                <w:szCs w:val="16"/>
              </w:rPr>
              <w:t>0.058  &lt;</w:t>
            </w:r>
            <w:proofErr w:type="gramEnd"/>
            <w:r w:rsidRPr="00F5545F">
              <w:rPr>
                <w:rFonts w:asciiTheme="majorBidi" w:hAnsiTheme="majorBidi" w:cstheme="majorBidi"/>
                <w:sz w:val="16"/>
                <w:szCs w:val="16"/>
              </w:rPr>
              <w:t>0.1</w:t>
            </w:r>
          </w:p>
        </w:tc>
        <w:tc>
          <w:tcPr>
            <w:tcW w:w="0" w:type="auto"/>
            <w:gridSpan w:val="2"/>
            <w:vAlign w:val="center"/>
          </w:tcPr>
          <w:p w14:paraId="2C528C0D" w14:textId="77777777" w:rsidR="00823856" w:rsidRPr="00F5545F" w:rsidRDefault="00823856" w:rsidP="007F38F7">
            <w:pPr>
              <w:autoSpaceDE w:val="0"/>
              <w:autoSpaceDN w:val="0"/>
              <w:adjustRightInd w:val="0"/>
              <w:jc w:val="center"/>
              <w:rPr>
                <w:rFonts w:asciiTheme="majorBidi" w:hAnsiTheme="majorBidi" w:cstheme="majorBidi"/>
                <w:sz w:val="16"/>
                <w:szCs w:val="16"/>
              </w:rPr>
            </w:pPr>
            <w:r w:rsidRPr="00F5545F">
              <w:rPr>
                <w:rFonts w:asciiTheme="majorBidi" w:hAnsiTheme="majorBidi" w:cstheme="majorBidi"/>
                <w:sz w:val="16"/>
                <w:szCs w:val="16"/>
              </w:rPr>
              <w:t>CRa</w:t>
            </w:r>
            <w:proofErr w:type="gramStart"/>
            <w:r w:rsidRPr="00F5545F">
              <w:rPr>
                <w:rFonts w:asciiTheme="majorBidi" w:hAnsiTheme="majorBidi" w:cstheme="majorBidi"/>
                <w:sz w:val="16"/>
                <w:szCs w:val="16"/>
              </w:rPr>
              <w:t>=  0.034</w:t>
            </w:r>
            <w:proofErr w:type="gramEnd"/>
            <w:r w:rsidRPr="00F5545F">
              <w:rPr>
                <w:rFonts w:asciiTheme="majorBidi" w:hAnsiTheme="majorBidi" w:cstheme="majorBidi"/>
                <w:sz w:val="16"/>
                <w:szCs w:val="16"/>
              </w:rPr>
              <w:t xml:space="preserve"> &lt;0.1</w:t>
            </w:r>
          </w:p>
        </w:tc>
        <w:tc>
          <w:tcPr>
            <w:tcW w:w="1136" w:type="dxa"/>
            <w:gridSpan w:val="2"/>
            <w:vAlign w:val="center"/>
          </w:tcPr>
          <w:p w14:paraId="75D3A4F6" w14:textId="77777777" w:rsidR="00823856" w:rsidRPr="00F5545F" w:rsidRDefault="00823856" w:rsidP="007F38F7">
            <w:pPr>
              <w:autoSpaceDE w:val="0"/>
              <w:autoSpaceDN w:val="0"/>
              <w:adjustRightInd w:val="0"/>
              <w:jc w:val="center"/>
              <w:rPr>
                <w:rFonts w:asciiTheme="majorBidi" w:hAnsiTheme="majorBidi" w:cstheme="majorBidi"/>
                <w:sz w:val="16"/>
                <w:szCs w:val="16"/>
              </w:rPr>
            </w:pPr>
          </w:p>
        </w:tc>
      </w:tr>
    </w:tbl>
    <w:p w14:paraId="4606A0FD" w14:textId="197B51A0" w:rsidR="009764CA" w:rsidRPr="00823856" w:rsidRDefault="009764CA" w:rsidP="00EE12FE">
      <w:pPr>
        <w:spacing w:before="240" w:line="276" w:lineRule="auto"/>
        <w:jc w:val="both"/>
        <w:rPr>
          <w:rFonts w:asciiTheme="majorBidi" w:hAnsiTheme="majorBidi" w:cstheme="majorBidi"/>
          <w:sz w:val="24"/>
          <w:szCs w:val="24"/>
        </w:rPr>
      </w:pPr>
      <w:r w:rsidRPr="00823856">
        <w:rPr>
          <w:rFonts w:asciiTheme="majorBidi" w:hAnsiTheme="majorBidi" w:cstheme="majorBidi"/>
          <w:sz w:val="24"/>
          <w:szCs w:val="24"/>
        </w:rPr>
        <w:tab/>
        <w:t xml:space="preserve">The initial decision-making matrix for different materials is presented in Table 9. This result originated from Figures </w:t>
      </w:r>
      <w:r w:rsidR="00A254F0">
        <w:rPr>
          <w:rFonts w:asciiTheme="majorBidi" w:hAnsiTheme="majorBidi" w:cstheme="majorBidi"/>
          <w:sz w:val="24"/>
          <w:szCs w:val="24"/>
        </w:rPr>
        <w:t>2</w:t>
      </w:r>
      <w:r w:rsidR="0077723A" w:rsidRPr="00823856">
        <w:rPr>
          <w:rFonts w:asciiTheme="majorBidi" w:hAnsiTheme="majorBidi" w:cstheme="majorBidi"/>
          <w:sz w:val="24"/>
          <w:szCs w:val="24"/>
        </w:rPr>
        <w:t xml:space="preserve"> to </w:t>
      </w:r>
      <w:r w:rsidR="00A254F0">
        <w:rPr>
          <w:rFonts w:asciiTheme="majorBidi" w:hAnsiTheme="majorBidi" w:cstheme="majorBidi"/>
          <w:sz w:val="24"/>
          <w:szCs w:val="24"/>
        </w:rPr>
        <w:t>5</w:t>
      </w:r>
      <w:r w:rsidRPr="00823856">
        <w:rPr>
          <w:rFonts w:asciiTheme="majorBidi" w:hAnsiTheme="majorBidi" w:cstheme="majorBidi"/>
          <w:sz w:val="24"/>
          <w:szCs w:val="24"/>
        </w:rPr>
        <w:t>. Meanwhile, Table 9 shows how different materials for modular construction may impact sustainability criteria such as the environmental, economic, and social lifecycle impacts.</w:t>
      </w:r>
    </w:p>
    <w:p w14:paraId="69A6CB02" w14:textId="080272E9" w:rsidR="00823856" w:rsidRPr="00F5545F" w:rsidRDefault="00823856" w:rsidP="00823856">
      <w:pPr>
        <w:tabs>
          <w:tab w:val="left" w:pos="810"/>
        </w:tabs>
        <w:spacing w:after="0"/>
        <w:rPr>
          <w:rFonts w:asciiTheme="majorBidi" w:hAnsiTheme="majorBidi" w:cstheme="majorBidi"/>
          <w:sz w:val="18"/>
          <w:szCs w:val="18"/>
        </w:rPr>
      </w:pPr>
      <w:r>
        <w:rPr>
          <w:rFonts w:asciiTheme="majorBidi" w:hAnsiTheme="majorBidi" w:cstheme="majorBidi"/>
          <w:sz w:val="18"/>
          <w:szCs w:val="18"/>
        </w:rPr>
        <w:tab/>
      </w:r>
      <w:r w:rsidRPr="00F5545F">
        <w:rPr>
          <w:rFonts w:asciiTheme="majorBidi" w:hAnsiTheme="majorBidi" w:cstheme="majorBidi"/>
          <w:sz w:val="18"/>
          <w:szCs w:val="18"/>
        </w:rPr>
        <w:t>Table 9:  Initial decision-making matrix</w:t>
      </w:r>
    </w:p>
    <w:tbl>
      <w:tblPr>
        <w:tblStyle w:val="TableGrid"/>
        <w:tblW w:w="0" w:type="auto"/>
        <w:jc w:val="center"/>
        <w:tblLook w:val="04A0" w:firstRow="1" w:lastRow="0" w:firstColumn="1" w:lastColumn="0" w:noHBand="0" w:noVBand="1"/>
      </w:tblPr>
      <w:tblGrid>
        <w:gridCol w:w="1975"/>
        <w:gridCol w:w="1350"/>
        <w:gridCol w:w="1080"/>
        <w:gridCol w:w="1197"/>
        <w:gridCol w:w="1053"/>
        <w:gridCol w:w="996"/>
      </w:tblGrid>
      <w:tr w:rsidR="00823856" w:rsidRPr="00F5545F" w14:paraId="7F9CC5F1" w14:textId="77777777" w:rsidTr="007F38F7">
        <w:trPr>
          <w:trHeight w:val="247"/>
          <w:jc w:val="center"/>
        </w:trPr>
        <w:tc>
          <w:tcPr>
            <w:tcW w:w="1975" w:type="dxa"/>
            <w:shd w:val="clear" w:color="auto" w:fill="E7E6E6" w:themeFill="background2"/>
            <w:vAlign w:val="center"/>
          </w:tcPr>
          <w:p w14:paraId="3EC6F620" w14:textId="77777777" w:rsidR="00823856" w:rsidRPr="00F5545F" w:rsidRDefault="00823856" w:rsidP="007F38F7">
            <w:pPr>
              <w:rPr>
                <w:rFonts w:asciiTheme="majorBidi" w:hAnsiTheme="majorBidi" w:cstheme="majorBidi"/>
                <w:b/>
                <w:bCs/>
                <w:i/>
                <w:iCs/>
                <w:sz w:val="18"/>
                <w:szCs w:val="18"/>
              </w:rPr>
            </w:pPr>
            <w:r w:rsidRPr="00F5545F">
              <w:rPr>
                <w:rFonts w:asciiTheme="majorBidi" w:hAnsiTheme="majorBidi" w:cstheme="majorBidi"/>
                <w:b/>
                <w:bCs/>
                <w:i/>
                <w:iCs/>
                <w:sz w:val="18"/>
                <w:szCs w:val="18"/>
              </w:rPr>
              <w:t>Criteria</w:t>
            </w:r>
          </w:p>
        </w:tc>
        <w:tc>
          <w:tcPr>
            <w:tcW w:w="1350" w:type="dxa"/>
            <w:shd w:val="clear" w:color="auto" w:fill="E7E6E6" w:themeFill="background2"/>
            <w:vAlign w:val="center"/>
          </w:tcPr>
          <w:p w14:paraId="71DD00C4" w14:textId="77777777" w:rsidR="00823856" w:rsidRPr="00F5545F" w:rsidRDefault="00823856" w:rsidP="007F38F7">
            <w:pPr>
              <w:rPr>
                <w:rFonts w:asciiTheme="majorBidi" w:hAnsiTheme="majorBidi" w:cstheme="majorBidi"/>
                <w:b/>
                <w:bCs/>
                <w:i/>
                <w:iCs/>
                <w:sz w:val="18"/>
                <w:szCs w:val="18"/>
              </w:rPr>
            </w:pPr>
            <w:r w:rsidRPr="00F5545F">
              <w:rPr>
                <w:rFonts w:asciiTheme="majorBidi" w:hAnsiTheme="majorBidi" w:cstheme="majorBidi"/>
                <w:b/>
                <w:bCs/>
                <w:i/>
                <w:iCs/>
                <w:sz w:val="18"/>
                <w:szCs w:val="18"/>
              </w:rPr>
              <w:t>Unit</w:t>
            </w:r>
          </w:p>
        </w:tc>
        <w:tc>
          <w:tcPr>
            <w:tcW w:w="1080" w:type="dxa"/>
            <w:shd w:val="clear" w:color="auto" w:fill="E7E6E6" w:themeFill="background2"/>
            <w:vAlign w:val="center"/>
          </w:tcPr>
          <w:p w14:paraId="4673428F" w14:textId="77777777" w:rsidR="00823856" w:rsidRPr="00F5545F" w:rsidRDefault="00823856" w:rsidP="007F38F7">
            <w:pPr>
              <w:rPr>
                <w:rFonts w:asciiTheme="majorBidi" w:hAnsiTheme="majorBidi" w:cstheme="majorBidi"/>
                <w:b/>
                <w:bCs/>
                <w:i/>
                <w:iCs/>
                <w:sz w:val="18"/>
                <w:szCs w:val="18"/>
              </w:rPr>
            </w:pPr>
            <w:r w:rsidRPr="00F5545F">
              <w:rPr>
                <w:rFonts w:asciiTheme="majorBidi" w:hAnsiTheme="majorBidi" w:cstheme="majorBidi"/>
                <w:b/>
                <w:bCs/>
                <w:i/>
                <w:iCs/>
                <w:sz w:val="18"/>
                <w:szCs w:val="18"/>
              </w:rPr>
              <w:t>Weights</w:t>
            </w:r>
          </w:p>
        </w:tc>
        <w:tc>
          <w:tcPr>
            <w:tcW w:w="1197" w:type="dxa"/>
            <w:shd w:val="clear" w:color="auto" w:fill="E7E6E6" w:themeFill="background2"/>
            <w:vAlign w:val="center"/>
          </w:tcPr>
          <w:p w14:paraId="4ECD3C65" w14:textId="77777777" w:rsidR="00823856" w:rsidRPr="00F5545F" w:rsidRDefault="00823856" w:rsidP="007F38F7">
            <w:pPr>
              <w:jc w:val="center"/>
              <w:rPr>
                <w:rFonts w:asciiTheme="majorBidi" w:hAnsiTheme="majorBidi" w:cstheme="majorBidi"/>
                <w:b/>
                <w:bCs/>
                <w:i/>
                <w:iCs/>
                <w:sz w:val="18"/>
                <w:szCs w:val="18"/>
              </w:rPr>
            </w:pPr>
            <w:r w:rsidRPr="00F5545F">
              <w:rPr>
                <w:rFonts w:asciiTheme="majorBidi" w:hAnsiTheme="majorBidi" w:cstheme="majorBidi"/>
                <w:sz w:val="20"/>
                <w:szCs w:val="20"/>
              </w:rPr>
              <w:t>S-PPVC</w:t>
            </w:r>
          </w:p>
        </w:tc>
        <w:tc>
          <w:tcPr>
            <w:tcW w:w="1053" w:type="dxa"/>
            <w:shd w:val="clear" w:color="auto" w:fill="E7E6E6" w:themeFill="background2"/>
            <w:vAlign w:val="center"/>
          </w:tcPr>
          <w:p w14:paraId="3292BD5E" w14:textId="77777777" w:rsidR="00823856" w:rsidRPr="00F5545F" w:rsidRDefault="00823856" w:rsidP="007F38F7">
            <w:pPr>
              <w:jc w:val="center"/>
              <w:rPr>
                <w:rFonts w:asciiTheme="majorBidi" w:hAnsiTheme="majorBidi" w:cstheme="majorBidi"/>
                <w:b/>
                <w:bCs/>
                <w:i/>
                <w:iCs/>
                <w:sz w:val="18"/>
                <w:szCs w:val="18"/>
              </w:rPr>
            </w:pPr>
            <w:r w:rsidRPr="00F5545F">
              <w:rPr>
                <w:rFonts w:asciiTheme="majorBidi" w:hAnsiTheme="majorBidi" w:cstheme="majorBidi"/>
                <w:sz w:val="20"/>
                <w:szCs w:val="20"/>
              </w:rPr>
              <w:t>C-PPVC</w:t>
            </w:r>
          </w:p>
        </w:tc>
        <w:tc>
          <w:tcPr>
            <w:tcW w:w="996" w:type="dxa"/>
            <w:shd w:val="clear" w:color="auto" w:fill="E7E6E6" w:themeFill="background2"/>
            <w:vAlign w:val="center"/>
          </w:tcPr>
          <w:p w14:paraId="42778E59" w14:textId="77777777" w:rsidR="00823856" w:rsidRPr="00F5545F" w:rsidRDefault="00823856" w:rsidP="007F38F7">
            <w:pPr>
              <w:jc w:val="center"/>
              <w:rPr>
                <w:rFonts w:asciiTheme="majorBidi" w:hAnsiTheme="majorBidi" w:cstheme="majorBidi"/>
                <w:b/>
                <w:bCs/>
                <w:i/>
                <w:iCs/>
                <w:sz w:val="18"/>
                <w:szCs w:val="18"/>
              </w:rPr>
            </w:pPr>
            <w:r w:rsidRPr="00F5545F">
              <w:rPr>
                <w:rFonts w:asciiTheme="majorBidi" w:hAnsiTheme="majorBidi" w:cstheme="majorBidi"/>
                <w:sz w:val="20"/>
                <w:szCs w:val="20"/>
              </w:rPr>
              <w:t>T-PPVC</w:t>
            </w:r>
          </w:p>
        </w:tc>
      </w:tr>
      <w:tr w:rsidR="00823856" w:rsidRPr="00F5545F" w14:paraId="3C2B3F27" w14:textId="77777777" w:rsidTr="007F38F7">
        <w:trPr>
          <w:trHeight w:val="247"/>
          <w:jc w:val="center"/>
        </w:trPr>
        <w:tc>
          <w:tcPr>
            <w:tcW w:w="1975" w:type="dxa"/>
            <w:vAlign w:val="center"/>
          </w:tcPr>
          <w:p w14:paraId="3C62B80B" w14:textId="77777777" w:rsidR="00823856" w:rsidRPr="00F5545F" w:rsidRDefault="00823856" w:rsidP="007F38F7">
            <w:pPr>
              <w:rPr>
                <w:rFonts w:asciiTheme="majorBidi" w:hAnsiTheme="majorBidi" w:cstheme="majorBidi"/>
                <w:i/>
                <w:iCs/>
                <w:sz w:val="18"/>
                <w:szCs w:val="18"/>
              </w:rPr>
            </w:pPr>
            <w:r w:rsidRPr="00F5545F">
              <w:rPr>
                <w:rFonts w:asciiTheme="majorBidi" w:hAnsiTheme="majorBidi" w:cstheme="majorBidi"/>
                <w:i/>
                <w:iCs/>
                <w:sz w:val="20"/>
                <w:szCs w:val="20"/>
              </w:rPr>
              <w:t>GWP</w:t>
            </w:r>
          </w:p>
        </w:tc>
        <w:tc>
          <w:tcPr>
            <w:tcW w:w="1350" w:type="dxa"/>
            <w:vAlign w:val="center"/>
          </w:tcPr>
          <w:p w14:paraId="323B63D3" w14:textId="77777777" w:rsidR="00823856" w:rsidRPr="00F5545F" w:rsidRDefault="00823856" w:rsidP="007F38F7">
            <w:pPr>
              <w:rPr>
                <w:rFonts w:asciiTheme="majorBidi" w:hAnsiTheme="majorBidi" w:cstheme="majorBidi"/>
                <w:i/>
                <w:iCs/>
                <w:sz w:val="18"/>
                <w:szCs w:val="18"/>
              </w:rPr>
            </w:pPr>
            <w:r w:rsidRPr="00F5545F">
              <w:rPr>
                <w:rFonts w:asciiTheme="majorBidi" w:hAnsiTheme="majorBidi" w:cstheme="majorBidi"/>
                <w:i/>
                <w:iCs/>
                <w:sz w:val="18"/>
                <w:szCs w:val="18"/>
              </w:rPr>
              <w:t>kgCO2 eq</w:t>
            </w:r>
          </w:p>
        </w:tc>
        <w:tc>
          <w:tcPr>
            <w:tcW w:w="1080" w:type="dxa"/>
            <w:vAlign w:val="bottom"/>
          </w:tcPr>
          <w:p w14:paraId="2B7169B9" w14:textId="77777777" w:rsidR="00823856" w:rsidRPr="00F5545F" w:rsidRDefault="00823856" w:rsidP="007F38F7">
            <w:pPr>
              <w:autoSpaceDE w:val="0"/>
              <w:autoSpaceDN w:val="0"/>
              <w:adjustRightInd w:val="0"/>
              <w:jc w:val="center"/>
              <w:rPr>
                <w:rFonts w:asciiTheme="majorBidi" w:hAnsiTheme="majorBidi" w:cstheme="majorBidi"/>
                <w:i/>
                <w:iCs/>
                <w:sz w:val="20"/>
                <w:szCs w:val="20"/>
                <w:rtl/>
              </w:rPr>
            </w:pPr>
            <w:r w:rsidRPr="00F5545F">
              <w:rPr>
                <w:rFonts w:asciiTheme="majorBidi" w:hAnsiTheme="majorBidi" w:cstheme="majorBidi"/>
                <w:i/>
                <w:iCs/>
                <w:sz w:val="20"/>
                <w:szCs w:val="20"/>
              </w:rPr>
              <w:t>8943.84</w:t>
            </w:r>
          </w:p>
        </w:tc>
        <w:tc>
          <w:tcPr>
            <w:tcW w:w="1197" w:type="dxa"/>
            <w:vAlign w:val="bottom"/>
          </w:tcPr>
          <w:p w14:paraId="38F1B067"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242057</w:t>
            </w:r>
          </w:p>
        </w:tc>
        <w:tc>
          <w:tcPr>
            <w:tcW w:w="1053" w:type="dxa"/>
            <w:vAlign w:val="bottom"/>
          </w:tcPr>
          <w:p w14:paraId="2B094339"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71438.4</w:t>
            </w:r>
          </w:p>
        </w:tc>
        <w:tc>
          <w:tcPr>
            <w:tcW w:w="996" w:type="dxa"/>
            <w:vAlign w:val="bottom"/>
          </w:tcPr>
          <w:p w14:paraId="1D64B973"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8.37</w:t>
            </w:r>
          </w:p>
        </w:tc>
      </w:tr>
      <w:tr w:rsidR="00823856" w:rsidRPr="00F5545F" w14:paraId="6625B521" w14:textId="77777777" w:rsidTr="007F38F7">
        <w:trPr>
          <w:trHeight w:val="247"/>
          <w:jc w:val="center"/>
        </w:trPr>
        <w:tc>
          <w:tcPr>
            <w:tcW w:w="1975" w:type="dxa"/>
            <w:vAlign w:val="center"/>
          </w:tcPr>
          <w:p w14:paraId="622294DB" w14:textId="77777777" w:rsidR="00823856" w:rsidRPr="00F5545F" w:rsidRDefault="00823856" w:rsidP="007F38F7">
            <w:pPr>
              <w:rPr>
                <w:rFonts w:asciiTheme="majorBidi" w:hAnsiTheme="majorBidi" w:cstheme="majorBidi"/>
                <w:i/>
                <w:iCs/>
                <w:strike/>
                <w:sz w:val="18"/>
                <w:szCs w:val="18"/>
              </w:rPr>
            </w:pPr>
            <w:r w:rsidRPr="00F5545F">
              <w:rPr>
                <w:rFonts w:asciiTheme="majorBidi" w:hAnsiTheme="majorBidi" w:cstheme="majorBidi"/>
                <w:i/>
                <w:iCs/>
                <w:sz w:val="20"/>
                <w:szCs w:val="20"/>
              </w:rPr>
              <w:t>Embodied Energy</w:t>
            </w:r>
          </w:p>
        </w:tc>
        <w:tc>
          <w:tcPr>
            <w:tcW w:w="1350" w:type="dxa"/>
            <w:vAlign w:val="center"/>
          </w:tcPr>
          <w:p w14:paraId="63B57FA8" w14:textId="77777777" w:rsidR="00823856" w:rsidRPr="00F5545F" w:rsidRDefault="00823856" w:rsidP="007F38F7">
            <w:pPr>
              <w:rPr>
                <w:rFonts w:asciiTheme="majorBidi" w:hAnsiTheme="majorBidi" w:cstheme="majorBidi"/>
                <w:i/>
                <w:iCs/>
                <w:sz w:val="18"/>
                <w:szCs w:val="18"/>
              </w:rPr>
            </w:pPr>
            <w:r w:rsidRPr="00F5545F">
              <w:rPr>
                <w:rFonts w:asciiTheme="majorBidi" w:hAnsiTheme="majorBidi" w:cstheme="majorBidi"/>
                <w:i/>
                <w:iCs/>
                <w:sz w:val="18"/>
                <w:szCs w:val="18"/>
              </w:rPr>
              <w:t>MJ</w:t>
            </w:r>
          </w:p>
        </w:tc>
        <w:tc>
          <w:tcPr>
            <w:tcW w:w="1080" w:type="dxa"/>
            <w:vAlign w:val="bottom"/>
          </w:tcPr>
          <w:p w14:paraId="44EF31AA"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10183.4</w:t>
            </w:r>
          </w:p>
        </w:tc>
        <w:tc>
          <w:tcPr>
            <w:tcW w:w="1197" w:type="dxa"/>
            <w:vAlign w:val="bottom"/>
          </w:tcPr>
          <w:p w14:paraId="2751143C"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259566</w:t>
            </w:r>
          </w:p>
        </w:tc>
        <w:tc>
          <w:tcPr>
            <w:tcW w:w="1053" w:type="dxa"/>
            <w:vAlign w:val="bottom"/>
          </w:tcPr>
          <w:p w14:paraId="6C821497"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68326.9</w:t>
            </w:r>
          </w:p>
        </w:tc>
        <w:tc>
          <w:tcPr>
            <w:tcW w:w="996" w:type="dxa"/>
            <w:vAlign w:val="bottom"/>
          </w:tcPr>
          <w:p w14:paraId="555CDA0B"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7.63</w:t>
            </w:r>
          </w:p>
        </w:tc>
      </w:tr>
      <w:tr w:rsidR="00823856" w:rsidRPr="00F5545F" w14:paraId="62E0F077" w14:textId="77777777" w:rsidTr="007F38F7">
        <w:trPr>
          <w:trHeight w:val="247"/>
          <w:jc w:val="center"/>
        </w:trPr>
        <w:tc>
          <w:tcPr>
            <w:tcW w:w="1975" w:type="dxa"/>
            <w:vAlign w:val="center"/>
          </w:tcPr>
          <w:p w14:paraId="4FA2AAB9" w14:textId="77777777" w:rsidR="00823856" w:rsidRPr="00F5545F" w:rsidRDefault="00823856" w:rsidP="007F38F7">
            <w:pPr>
              <w:rPr>
                <w:rFonts w:asciiTheme="majorBidi" w:hAnsiTheme="majorBidi" w:cstheme="majorBidi"/>
                <w:i/>
                <w:iCs/>
                <w:sz w:val="18"/>
                <w:szCs w:val="18"/>
              </w:rPr>
            </w:pPr>
            <w:r w:rsidRPr="00F5545F">
              <w:rPr>
                <w:rFonts w:asciiTheme="majorBidi" w:hAnsiTheme="majorBidi" w:cstheme="majorBidi"/>
                <w:i/>
                <w:iCs/>
                <w:sz w:val="20"/>
                <w:szCs w:val="20"/>
              </w:rPr>
              <w:t>LCC</w:t>
            </w:r>
          </w:p>
        </w:tc>
        <w:tc>
          <w:tcPr>
            <w:tcW w:w="1350" w:type="dxa"/>
          </w:tcPr>
          <w:p w14:paraId="2E7C5F16" w14:textId="77777777" w:rsidR="00823856" w:rsidRPr="00F5545F" w:rsidRDefault="00823856" w:rsidP="007F38F7">
            <w:pPr>
              <w:rPr>
                <w:rFonts w:asciiTheme="majorBidi" w:hAnsiTheme="majorBidi" w:cstheme="majorBidi"/>
                <w:i/>
                <w:iCs/>
                <w:sz w:val="18"/>
                <w:szCs w:val="18"/>
              </w:rPr>
            </w:pPr>
            <w:r w:rsidRPr="00F5545F">
              <w:rPr>
                <w:rFonts w:asciiTheme="majorBidi" w:hAnsiTheme="majorBidi" w:cstheme="majorBidi"/>
                <w:i/>
                <w:iCs/>
                <w:sz w:val="18"/>
                <w:szCs w:val="18"/>
              </w:rPr>
              <w:t>MYR</w:t>
            </w:r>
          </w:p>
        </w:tc>
        <w:tc>
          <w:tcPr>
            <w:tcW w:w="1080" w:type="dxa"/>
            <w:vAlign w:val="bottom"/>
          </w:tcPr>
          <w:p w14:paraId="7458ADB3"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7952.96</w:t>
            </w:r>
          </w:p>
        </w:tc>
        <w:tc>
          <w:tcPr>
            <w:tcW w:w="1197" w:type="dxa"/>
            <w:vAlign w:val="bottom"/>
          </w:tcPr>
          <w:p w14:paraId="090C9CA6"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210082</w:t>
            </w:r>
          </w:p>
        </w:tc>
        <w:tc>
          <w:tcPr>
            <w:tcW w:w="1053" w:type="dxa"/>
            <w:vAlign w:val="bottom"/>
          </w:tcPr>
          <w:p w14:paraId="43E24015"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76535</w:t>
            </w:r>
          </w:p>
        </w:tc>
        <w:tc>
          <w:tcPr>
            <w:tcW w:w="996" w:type="dxa"/>
            <w:vAlign w:val="bottom"/>
          </w:tcPr>
          <w:p w14:paraId="59C12CCF" w14:textId="77777777" w:rsidR="00823856" w:rsidRPr="00F5545F" w:rsidRDefault="00823856" w:rsidP="007F38F7">
            <w:pPr>
              <w:jc w:val="center"/>
              <w:rPr>
                <w:rFonts w:asciiTheme="majorBidi" w:hAnsiTheme="majorBidi" w:cstheme="majorBidi"/>
                <w:i/>
                <w:iCs/>
                <w:sz w:val="20"/>
                <w:szCs w:val="20"/>
              </w:rPr>
            </w:pPr>
            <w:r w:rsidRPr="00F5545F">
              <w:rPr>
                <w:rFonts w:asciiTheme="majorBidi" w:hAnsiTheme="majorBidi" w:cstheme="majorBidi"/>
                <w:i/>
                <w:iCs/>
                <w:sz w:val="20"/>
                <w:szCs w:val="20"/>
              </w:rPr>
              <w:t>7</w:t>
            </w:r>
          </w:p>
        </w:tc>
      </w:tr>
      <w:tr w:rsidR="00823856" w:rsidRPr="00F5545F" w14:paraId="547D6B3C" w14:textId="77777777" w:rsidTr="007F38F7">
        <w:trPr>
          <w:trHeight w:val="247"/>
          <w:jc w:val="center"/>
        </w:trPr>
        <w:tc>
          <w:tcPr>
            <w:tcW w:w="1975" w:type="dxa"/>
            <w:vAlign w:val="center"/>
          </w:tcPr>
          <w:p w14:paraId="6A75FB51" w14:textId="77777777" w:rsidR="00823856" w:rsidRPr="00F5545F" w:rsidRDefault="00823856" w:rsidP="007F38F7">
            <w:pPr>
              <w:rPr>
                <w:rFonts w:asciiTheme="majorBidi" w:hAnsiTheme="majorBidi" w:cstheme="majorBidi"/>
                <w:i/>
                <w:iCs/>
                <w:sz w:val="18"/>
                <w:szCs w:val="18"/>
              </w:rPr>
            </w:pPr>
            <w:r w:rsidRPr="00F5545F">
              <w:rPr>
                <w:rFonts w:asciiTheme="majorBidi" w:hAnsiTheme="majorBidi" w:cstheme="majorBidi"/>
                <w:i/>
                <w:iCs/>
                <w:sz w:val="20"/>
                <w:szCs w:val="20"/>
              </w:rPr>
              <w:t>SLCA</w:t>
            </w:r>
          </w:p>
        </w:tc>
        <w:tc>
          <w:tcPr>
            <w:tcW w:w="1350" w:type="dxa"/>
          </w:tcPr>
          <w:p w14:paraId="4B373674" w14:textId="77777777" w:rsidR="00823856" w:rsidRPr="00F5545F" w:rsidRDefault="00823856" w:rsidP="007F38F7">
            <w:pPr>
              <w:rPr>
                <w:rFonts w:asciiTheme="majorBidi" w:hAnsiTheme="majorBidi" w:cstheme="majorBidi"/>
                <w:i/>
                <w:iCs/>
                <w:sz w:val="18"/>
                <w:szCs w:val="18"/>
              </w:rPr>
            </w:pPr>
            <w:r w:rsidRPr="00F5545F">
              <w:rPr>
                <w:rFonts w:asciiTheme="majorBidi" w:hAnsiTheme="majorBidi" w:cstheme="majorBidi"/>
                <w:i/>
                <w:iCs/>
                <w:sz w:val="18"/>
                <w:szCs w:val="18"/>
              </w:rPr>
              <w:t>Normalized</w:t>
            </w:r>
          </w:p>
        </w:tc>
        <w:tc>
          <w:tcPr>
            <w:tcW w:w="1080" w:type="dxa"/>
            <w:vAlign w:val="bottom"/>
          </w:tcPr>
          <w:p w14:paraId="2030ECCA"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8943.84</w:t>
            </w:r>
          </w:p>
        </w:tc>
        <w:tc>
          <w:tcPr>
            <w:tcW w:w="1197" w:type="dxa"/>
            <w:vAlign w:val="bottom"/>
          </w:tcPr>
          <w:p w14:paraId="0FF8C366"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242057</w:t>
            </w:r>
          </w:p>
        </w:tc>
        <w:tc>
          <w:tcPr>
            <w:tcW w:w="1053" w:type="dxa"/>
            <w:vAlign w:val="bottom"/>
          </w:tcPr>
          <w:p w14:paraId="556CD481"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71438.4</w:t>
            </w:r>
          </w:p>
        </w:tc>
        <w:tc>
          <w:tcPr>
            <w:tcW w:w="996" w:type="dxa"/>
            <w:vAlign w:val="bottom"/>
          </w:tcPr>
          <w:p w14:paraId="4B213866" w14:textId="77777777" w:rsidR="00823856" w:rsidRPr="00F5545F" w:rsidRDefault="00823856" w:rsidP="007F38F7">
            <w:pPr>
              <w:autoSpaceDE w:val="0"/>
              <w:autoSpaceDN w:val="0"/>
              <w:adjustRightInd w:val="0"/>
              <w:jc w:val="center"/>
              <w:rPr>
                <w:rFonts w:asciiTheme="majorBidi" w:hAnsiTheme="majorBidi" w:cstheme="majorBidi"/>
                <w:i/>
                <w:iCs/>
                <w:sz w:val="20"/>
                <w:szCs w:val="20"/>
              </w:rPr>
            </w:pPr>
            <w:r w:rsidRPr="00F5545F">
              <w:rPr>
                <w:rFonts w:asciiTheme="majorBidi" w:hAnsiTheme="majorBidi" w:cstheme="majorBidi"/>
                <w:i/>
                <w:iCs/>
                <w:sz w:val="20"/>
                <w:szCs w:val="20"/>
              </w:rPr>
              <w:t>8.37</w:t>
            </w:r>
          </w:p>
        </w:tc>
      </w:tr>
    </w:tbl>
    <w:p w14:paraId="1B117230" w14:textId="77777777" w:rsidR="0077723A" w:rsidRPr="00823856" w:rsidRDefault="0077723A" w:rsidP="00EE12FE">
      <w:pPr>
        <w:tabs>
          <w:tab w:val="left" w:pos="810"/>
        </w:tabs>
        <w:spacing w:after="0" w:line="276" w:lineRule="auto"/>
        <w:rPr>
          <w:rFonts w:asciiTheme="majorBidi" w:hAnsiTheme="majorBidi" w:cstheme="majorBidi"/>
          <w:sz w:val="24"/>
          <w:szCs w:val="24"/>
        </w:rPr>
      </w:pPr>
    </w:p>
    <w:p w14:paraId="2D76ABFA" w14:textId="330E794A" w:rsidR="007347AE" w:rsidRPr="00823856" w:rsidRDefault="006175F7" w:rsidP="00EE12FE">
      <w:pPr>
        <w:spacing w:before="240" w:line="276" w:lineRule="auto"/>
        <w:ind w:firstLine="720"/>
        <w:jc w:val="lowKashida"/>
        <w:rPr>
          <w:rFonts w:asciiTheme="majorBidi" w:hAnsiTheme="majorBidi" w:cstheme="majorBidi"/>
          <w:sz w:val="24"/>
          <w:szCs w:val="24"/>
        </w:rPr>
      </w:pPr>
      <w:r w:rsidRPr="00823856">
        <w:rPr>
          <w:rFonts w:asciiTheme="majorBidi" w:hAnsiTheme="majorBidi" w:cstheme="majorBidi"/>
          <w:sz w:val="24"/>
          <w:szCs w:val="24"/>
        </w:rPr>
        <w:t xml:space="preserve">The first stage </w:t>
      </w:r>
      <w:r w:rsidR="0077723A" w:rsidRPr="00823856">
        <w:rPr>
          <w:rFonts w:asciiTheme="majorBidi" w:hAnsiTheme="majorBidi" w:cstheme="majorBidi"/>
          <w:sz w:val="24"/>
          <w:szCs w:val="24"/>
        </w:rPr>
        <w:t xml:space="preserve">consisted of </w:t>
      </w:r>
      <w:r w:rsidRPr="00823856">
        <w:rPr>
          <w:rFonts w:asciiTheme="majorBidi" w:hAnsiTheme="majorBidi" w:cstheme="majorBidi"/>
          <w:sz w:val="24"/>
          <w:szCs w:val="24"/>
        </w:rPr>
        <w:t>determining the beneficial and non-beneficial criteria. Three non-beneficial (indirect) criteria were available with lower desired values, namely the GWP, embodied energy, and cost. In contrast, SLCA was considered as beneficial (direct) criteria to accomplish the PROMETHEE. In this step, the normalized value was assessed using equations 2 and 3. In step 2, the difference was evaluated, and the subtraction of i</w:t>
      </w:r>
      <w:r w:rsidRPr="00823856">
        <w:rPr>
          <w:rFonts w:asciiTheme="majorBidi" w:hAnsiTheme="majorBidi" w:cstheme="majorBidi"/>
          <w:sz w:val="24"/>
          <w:szCs w:val="24"/>
          <w:vertAlign w:val="superscript"/>
        </w:rPr>
        <w:t>th</w:t>
      </w:r>
      <w:r w:rsidRPr="00823856">
        <w:rPr>
          <w:rFonts w:asciiTheme="majorBidi" w:hAnsiTheme="majorBidi" w:cstheme="majorBidi"/>
          <w:sz w:val="24"/>
          <w:szCs w:val="24"/>
        </w:rPr>
        <w:t xml:space="preserve"> alternatives concerning other alternatives was performed. Step 3 </w:t>
      </w:r>
      <w:r w:rsidR="0077723A" w:rsidRPr="00823856">
        <w:rPr>
          <w:rFonts w:asciiTheme="majorBidi" w:hAnsiTheme="majorBidi" w:cstheme="majorBidi"/>
          <w:sz w:val="24"/>
          <w:szCs w:val="24"/>
        </w:rPr>
        <w:t xml:space="preserve">involved </w:t>
      </w:r>
      <w:r w:rsidRPr="00823856">
        <w:rPr>
          <w:rFonts w:asciiTheme="majorBidi" w:hAnsiTheme="majorBidi" w:cstheme="majorBidi"/>
          <w:sz w:val="24"/>
          <w:szCs w:val="24"/>
        </w:rPr>
        <w:t xml:space="preserve">calculating the preference function using equations (4) and (5) to find the difference between one criterion concerning another. Based on equation 4, if the difference is </w:t>
      </w:r>
      <w:r w:rsidR="0077723A" w:rsidRPr="00823856">
        <w:rPr>
          <w:rFonts w:asciiTheme="majorBidi" w:hAnsiTheme="majorBidi" w:cstheme="majorBidi"/>
          <w:sz w:val="24"/>
          <w:szCs w:val="24"/>
        </w:rPr>
        <w:t>negligible or</w:t>
      </w:r>
      <w:r w:rsidRPr="00823856">
        <w:rPr>
          <w:rFonts w:asciiTheme="majorBidi" w:hAnsiTheme="majorBidi" w:cstheme="majorBidi"/>
          <w:sz w:val="24"/>
          <w:szCs w:val="24"/>
        </w:rPr>
        <w:t xml:space="preserve"> zero, it substitutes the preference function value as zero.  In equation 5, if the difference of one criterion is </w:t>
      </w:r>
      <w:r w:rsidR="0077723A" w:rsidRPr="00823856">
        <w:rPr>
          <w:rFonts w:asciiTheme="majorBidi" w:hAnsiTheme="majorBidi" w:cstheme="majorBidi"/>
          <w:sz w:val="24"/>
          <w:szCs w:val="24"/>
        </w:rPr>
        <w:t>significantly more</w:t>
      </w:r>
      <w:r w:rsidRPr="00823856">
        <w:rPr>
          <w:rFonts w:asciiTheme="majorBidi" w:hAnsiTheme="majorBidi" w:cstheme="majorBidi"/>
          <w:sz w:val="24"/>
          <w:szCs w:val="24"/>
        </w:rPr>
        <w:t xml:space="preserve"> than zero, the difference value is used as the preference function value. Step 4 </w:t>
      </w:r>
      <w:r w:rsidR="0077723A" w:rsidRPr="00823856">
        <w:rPr>
          <w:rFonts w:asciiTheme="majorBidi" w:hAnsiTheme="majorBidi" w:cstheme="majorBidi"/>
          <w:sz w:val="24"/>
          <w:szCs w:val="24"/>
        </w:rPr>
        <w:t>consists of</w:t>
      </w:r>
      <w:r w:rsidRPr="00823856">
        <w:rPr>
          <w:rFonts w:asciiTheme="majorBidi" w:hAnsiTheme="majorBidi" w:cstheme="majorBidi"/>
          <w:sz w:val="24"/>
          <w:szCs w:val="24"/>
        </w:rPr>
        <w:t xml:space="preserve"> calculating the aggregate preference by using equation (6). Finally, weights (Table 9) were multiplied to the value achieved from the previous stage</w:t>
      </w:r>
      <w:r w:rsidR="0077723A" w:rsidRPr="00823856">
        <w:rPr>
          <w:rFonts w:asciiTheme="majorBidi" w:hAnsiTheme="majorBidi" w:cstheme="majorBidi"/>
          <w:sz w:val="24"/>
          <w:szCs w:val="24"/>
        </w:rPr>
        <w:t>s</w:t>
      </w:r>
      <w:r w:rsidRPr="00823856">
        <w:rPr>
          <w:rFonts w:asciiTheme="majorBidi" w:hAnsiTheme="majorBidi" w:cstheme="majorBidi"/>
          <w:sz w:val="24"/>
          <w:szCs w:val="24"/>
        </w:rPr>
        <w:t>, and the result</w:t>
      </w:r>
      <w:r w:rsidR="0077723A" w:rsidRPr="00823856">
        <w:rPr>
          <w:rFonts w:asciiTheme="majorBidi" w:hAnsiTheme="majorBidi" w:cstheme="majorBidi"/>
          <w:sz w:val="24"/>
          <w:szCs w:val="24"/>
        </w:rPr>
        <w:t>s</w:t>
      </w:r>
      <w:r w:rsidRPr="00823856">
        <w:rPr>
          <w:rFonts w:asciiTheme="majorBidi" w:hAnsiTheme="majorBidi" w:cstheme="majorBidi"/>
          <w:sz w:val="24"/>
          <w:szCs w:val="24"/>
        </w:rPr>
        <w:t xml:space="preserve"> </w:t>
      </w:r>
      <w:r w:rsidR="0077723A" w:rsidRPr="00823856">
        <w:rPr>
          <w:rFonts w:asciiTheme="majorBidi" w:hAnsiTheme="majorBidi" w:cstheme="majorBidi"/>
          <w:sz w:val="24"/>
          <w:szCs w:val="24"/>
        </w:rPr>
        <w:t>are</w:t>
      </w:r>
      <w:r w:rsidRPr="00823856">
        <w:rPr>
          <w:rFonts w:asciiTheme="majorBidi" w:hAnsiTheme="majorBidi" w:cstheme="majorBidi"/>
          <w:sz w:val="24"/>
          <w:szCs w:val="24"/>
        </w:rPr>
        <w:t xml:space="preserve"> shown as a new matrix (Table 10). Stage 5 determined the leaving and entering outranking flows using equation seven, as shown in Table 10.</w:t>
      </w:r>
      <w:r w:rsidR="009F1863" w:rsidRPr="00823856">
        <w:rPr>
          <w:rFonts w:asciiTheme="majorBidi" w:hAnsiTheme="majorBidi" w:cstheme="majorBidi"/>
          <w:sz w:val="24"/>
          <w:szCs w:val="24"/>
        </w:rPr>
        <w:t xml:space="preserve"> </w:t>
      </w:r>
    </w:p>
    <w:p w14:paraId="12950405" w14:textId="77777777" w:rsidR="001769BC" w:rsidRPr="00F5545F" w:rsidRDefault="001769BC" w:rsidP="001769BC">
      <w:pPr>
        <w:spacing w:after="0"/>
        <w:ind w:firstLine="720"/>
        <w:rPr>
          <w:rFonts w:asciiTheme="majorBidi" w:hAnsiTheme="majorBidi" w:cstheme="majorBidi"/>
          <w:sz w:val="18"/>
          <w:szCs w:val="18"/>
        </w:rPr>
      </w:pPr>
      <w:r w:rsidRPr="00F5545F">
        <w:rPr>
          <w:rFonts w:asciiTheme="majorBidi" w:hAnsiTheme="majorBidi" w:cstheme="majorBidi"/>
          <w:sz w:val="18"/>
          <w:szCs w:val="18"/>
        </w:rPr>
        <w:t>Table 10, the results of the multi-criteria analysis PROMETHEE II</w:t>
      </w:r>
    </w:p>
    <w:tbl>
      <w:tblPr>
        <w:tblW w:w="0" w:type="auto"/>
        <w:jc w:val="center"/>
        <w:tblLook w:val="04A0" w:firstRow="1" w:lastRow="0" w:firstColumn="1" w:lastColumn="0" w:noHBand="0" w:noVBand="1"/>
      </w:tblPr>
      <w:tblGrid>
        <w:gridCol w:w="847"/>
        <w:gridCol w:w="891"/>
        <w:gridCol w:w="891"/>
        <w:gridCol w:w="891"/>
        <w:gridCol w:w="1450"/>
        <w:gridCol w:w="1480"/>
        <w:gridCol w:w="891"/>
        <w:gridCol w:w="596"/>
      </w:tblGrid>
      <w:tr w:rsidR="001769BC" w:rsidRPr="00F5545F" w14:paraId="72E78F6E" w14:textId="77777777" w:rsidTr="007F38F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9C7F8D2"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7A19BA9"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S-PPVC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DDD502D"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C-PPVC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E59A784"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T-PPVC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7C2C47" w14:textId="77777777" w:rsidR="001769BC" w:rsidRPr="00F5545F" w:rsidRDefault="001769BC" w:rsidP="007F38F7">
            <w:pPr>
              <w:spacing w:after="0" w:line="276"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Leaving flow</w:t>
            </w:r>
            <m:oMath>
              <m:r>
                <m:rPr>
                  <m:sty m:val="p"/>
                </m:rPr>
                <w:rPr>
                  <w:rFonts w:ascii="Cambria Math" w:eastAsia="Times New Roman" w:hAnsi="Cambria Math" w:cstheme="majorBidi"/>
                  <w:sz w:val="18"/>
                  <w:szCs w:val="18"/>
                </w:rPr>
                <m:t xml:space="preserve"> </m:t>
              </m:r>
              <m:sSup>
                <m:sSupPr>
                  <m:ctrlPr>
                    <w:rPr>
                      <w:rFonts w:ascii="Cambria Math" w:eastAsia="Times New Roman" w:hAnsi="Cambria Math" w:cstheme="majorBidi"/>
                      <w:sz w:val="18"/>
                      <w:szCs w:val="18"/>
                    </w:rPr>
                  </m:ctrlPr>
                </m:sSupPr>
                <m:e>
                  <m:r>
                    <w:rPr>
                      <w:rFonts w:ascii="Cambria Math" w:eastAsia="Times New Roman" w:hAnsi="Cambria Math" w:cstheme="majorBidi"/>
                      <w:sz w:val="18"/>
                      <w:szCs w:val="18"/>
                    </w:rPr>
                    <m:t>φ</m:t>
                  </m:r>
                </m:e>
                <m:sup>
                  <m:r>
                    <m:rPr>
                      <m:sty m:val="p"/>
                    </m:rPr>
                    <w:rPr>
                      <w:rFonts w:ascii="Cambria Math" w:eastAsia="Times New Roman" w:hAnsi="Cambria Math" w:cstheme="majorBidi"/>
                      <w:sz w:val="18"/>
                      <w:szCs w:val="18"/>
                    </w:rPr>
                    <m:t>+</m:t>
                  </m:r>
                </m:sup>
              </m:sSup>
            </m:oMath>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56BB518B" w14:textId="77777777" w:rsidR="001769BC" w:rsidRPr="00F5545F" w:rsidRDefault="001769BC" w:rsidP="007F38F7">
            <w:pPr>
              <w:spacing w:after="0" w:line="276"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Entering flow</w:t>
            </w:r>
            <m:oMath>
              <m:r>
                <m:rPr>
                  <m:sty m:val="p"/>
                </m:rPr>
                <w:rPr>
                  <w:rFonts w:ascii="Cambria Math" w:eastAsia="Times New Roman" w:hAnsi="Cambria Math" w:cstheme="majorBidi"/>
                  <w:sz w:val="18"/>
                  <w:szCs w:val="18"/>
                </w:rPr>
                <m:t xml:space="preserve"> </m:t>
              </m:r>
              <m:sSup>
                <m:sSupPr>
                  <m:ctrlPr>
                    <w:rPr>
                      <w:rFonts w:ascii="Cambria Math" w:eastAsia="Times New Roman" w:hAnsi="Cambria Math" w:cstheme="majorBidi"/>
                      <w:sz w:val="18"/>
                      <w:szCs w:val="18"/>
                    </w:rPr>
                  </m:ctrlPr>
                </m:sSupPr>
                <m:e>
                  <m:r>
                    <w:rPr>
                      <w:rFonts w:ascii="Cambria Math" w:eastAsia="Times New Roman" w:hAnsi="Cambria Math" w:cstheme="majorBidi"/>
                      <w:sz w:val="18"/>
                      <w:szCs w:val="18"/>
                    </w:rPr>
                    <m:t>φ</m:t>
                  </m:r>
                </m:e>
                <m:sup>
                  <m:r>
                    <m:rPr>
                      <m:sty m:val="p"/>
                    </m:rPr>
                    <w:rPr>
                      <w:rFonts w:ascii="Cambria Math" w:eastAsia="Times New Roman" w:hAnsi="Cambria Math" w:cstheme="majorBidi"/>
                      <w:sz w:val="18"/>
                      <w:szCs w:val="18"/>
                    </w:rPr>
                    <m:t>-</m:t>
                  </m:r>
                </m:sup>
              </m:sSup>
            </m:oMath>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B3432B6" w14:textId="77777777" w:rsidR="001769BC" w:rsidRPr="00F5545F" w:rsidRDefault="001769BC" w:rsidP="007F38F7">
            <w:pPr>
              <w:spacing w:after="0" w:line="276" w:lineRule="auto"/>
              <w:jc w:val="center"/>
              <w:rPr>
                <w:rFonts w:asciiTheme="majorBidi" w:eastAsia="Times New Roman" w:hAnsiTheme="majorBidi" w:cstheme="majorBidi"/>
                <w:sz w:val="18"/>
                <w:szCs w:val="18"/>
              </w:rPr>
            </w:pPr>
            <m:oMathPara>
              <m:oMath>
                <m:r>
                  <w:rPr>
                    <w:rFonts w:ascii="Cambria Math" w:eastAsia="Times New Roman" w:hAnsi="Cambria Math" w:cstheme="majorBidi"/>
                    <w:sz w:val="18"/>
                    <w:szCs w:val="18"/>
                  </w:rPr>
                  <m:t>φ</m:t>
                </m:r>
                <m:d>
                  <m:dPr>
                    <m:ctrlPr>
                      <w:rPr>
                        <w:rFonts w:ascii="Cambria Math" w:eastAsia="Times New Roman" w:hAnsi="Cambria Math" w:cstheme="majorBidi"/>
                        <w:sz w:val="18"/>
                        <w:szCs w:val="18"/>
                      </w:rPr>
                    </m:ctrlPr>
                  </m:dPr>
                  <m:e>
                    <m:r>
                      <w:rPr>
                        <w:rFonts w:ascii="Cambria Math" w:eastAsia="Times New Roman" w:hAnsi="Cambria Math" w:cstheme="majorBidi"/>
                        <w:sz w:val="18"/>
                        <w:szCs w:val="18"/>
                      </w:rPr>
                      <m:t>a</m:t>
                    </m:r>
                  </m:e>
                </m:d>
              </m:oMath>
            </m:oMathPara>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C8A5B90" w14:textId="77777777" w:rsidR="001769BC" w:rsidRPr="00F5545F" w:rsidRDefault="001769BC" w:rsidP="007F38F7">
            <w:pPr>
              <w:spacing w:after="0" w:line="276"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Rank</w:t>
            </w:r>
          </w:p>
        </w:tc>
      </w:tr>
      <w:tr w:rsidR="001769BC" w:rsidRPr="00F5545F" w14:paraId="6C06964E" w14:textId="77777777" w:rsidTr="007F38F7">
        <w:trPr>
          <w:trHeight w:val="288"/>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8767349"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S-PPVC</w:t>
            </w:r>
          </w:p>
        </w:tc>
        <w:tc>
          <w:tcPr>
            <w:tcW w:w="0" w:type="auto"/>
            <w:tcBorders>
              <w:top w:val="nil"/>
              <w:left w:val="nil"/>
              <w:bottom w:val="single" w:sz="4" w:space="0" w:color="auto"/>
              <w:right w:val="single" w:sz="4" w:space="0" w:color="auto"/>
            </w:tcBorders>
            <w:shd w:val="clear" w:color="000000" w:fill="FFFFFF"/>
            <w:noWrap/>
            <w:vAlign w:val="center"/>
          </w:tcPr>
          <w:p w14:paraId="333188F8"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0E605695"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0.163844</w:t>
            </w:r>
          </w:p>
        </w:tc>
        <w:tc>
          <w:tcPr>
            <w:tcW w:w="0" w:type="auto"/>
            <w:tcBorders>
              <w:top w:val="nil"/>
              <w:left w:val="nil"/>
              <w:bottom w:val="single" w:sz="4" w:space="0" w:color="auto"/>
              <w:right w:val="single" w:sz="4" w:space="0" w:color="auto"/>
            </w:tcBorders>
            <w:shd w:val="clear" w:color="000000" w:fill="FFFFFF"/>
            <w:noWrap/>
            <w:vAlign w:val="center"/>
          </w:tcPr>
          <w:p w14:paraId="20E6465B"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0.476572</w:t>
            </w:r>
          </w:p>
        </w:tc>
        <w:tc>
          <w:tcPr>
            <w:tcW w:w="0" w:type="auto"/>
            <w:tcBorders>
              <w:top w:val="nil"/>
              <w:left w:val="nil"/>
              <w:bottom w:val="single" w:sz="4" w:space="0" w:color="auto"/>
              <w:right w:val="single" w:sz="4" w:space="0" w:color="auto"/>
            </w:tcBorders>
            <w:shd w:val="clear" w:color="000000" w:fill="FFFFFF"/>
            <w:noWrap/>
            <w:vAlign w:val="center"/>
          </w:tcPr>
          <w:p w14:paraId="3D25DBB0"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0.320208</w:t>
            </w:r>
          </w:p>
        </w:tc>
        <w:tc>
          <w:tcPr>
            <w:tcW w:w="0" w:type="auto"/>
            <w:tcBorders>
              <w:top w:val="nil"/>
              <w:left w:val="nil"/>
              <w:bottom w:val="single" w:sz="4" w:space="0" w:color="auto"/>
              <w:right w:val="single" w:sz="4" w:space="0" w:color="auto"/>
            </w:tcBorders>
            <w:shd w:val="clear" w:color="000000" w:fill="FFFFFF"/>
            <w:vAlign w:val="center"/>
          </w:tcPr>
          <w:p w14:paraId="7069C57A"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0.167361</w:t>
            </w:r>
          </w:p>
        </w:tc>
        <w:tc>
          <w:tcPr>
            <w:tcW w:w="0" w:type="auto"/>
            <w:tcBorders>
              <w:top w:val="nil"/>
              <w:left w:val="nil"/>
              <w:bottom w:val="single" w:sz="4" w:space="0" w:color="auto"/>
              <w:right w:val="single" w:sz="4" w:space="0" w:color="auto"/>
            </w:tcBorders>
            <w:shd w:val="clear" w:color="000000" w:fill="FFFFFF"/>
            <w:vAlign w:val="center"/>
          </w:tcPr>
          <w:p w14:paraId="24C9D1A8"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0.152847</w:t>
            </w:r>
          </w:p>
        </w:tc>
        <w:tc>
          <w:tcPr>
            <w:tcW w:w="0" w:type="auto"/>
            <w:tcBorders>
              <w:top w:val="nil"/>
              <w:left w:val="nil"/>
              <w:bottom w:val="single" w:sz="4" w:space="0" w:color="auto"/>
              <w:right w:val="single" w:sz="4" w:space="0" w:color="auto"/>
            </w:tcBorders>
            <w:shd w:val="clear" w:color="000000" w:fill="FFFFFF"/>
            <w:vAlign w:val="center"/>
          </w:tcPr>
          <w:p w14:paraId="6D7CE914"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1</w:t>
            </w:r>
          </w:p>
        </w:tc>
      </w:tr>
      <w:tr w:rsidR="001769BC" w:rsidRPr="00F5545F" w14:paraId="04AF65F1" w14:textId="77777777" w:rsidTr="007F38F7">
        <w:trPr>
          <w:trHeight w:val="288"/>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3C119DB"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C-PPVC</w:t>
            </w:r>
          </w:p>
        </w:tc>
        <w:tc>
          <w:tcPr>
            <w:tcW w:w="0" w:type="auto"/>
            <w:tcBorders>
              <w:top w:val="nil"/>
              <w:left w:val="nil"/>
              <w:bottom w:val="single" w:sz="4" w:space="0" w:color="auto"/>
              <w:right w:val="single" w:sz="4" w:space="0" w:color="auto"/>
            </w:tcBorders>
            <w:shd w:val="clear" w:color="000000" w:fill="FFFFFF"/>
            <w:noWrap/>
            <w:vAlign w:val="center"/>
          </w:tcPr>
          <w:p w14:paraId="3209D993"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0.105761</w:t>
            </w:r>
          </w:p>
        </w:tc>
        <w:tc>
          <w:tcPr>
            <w:tcW w:w="0" w:type="auto"/>
            <w:tcBorders>
              <w:top w:val="nil"/>
              <w:left w:val="nil"/>
              <w:bottom w:val="single" w:sz="4" w:space="0" w:color="auto"/>
              <w:right w:val="single" w:sz="4" w:space="0" w:color="auto"/>
            </w:tcBorders>
            <w:shd w:val="clear" w:color="000000" w:fill="FFFFFF"/>
            <w:noWrap/>
            <w:vAlign w:val="center"/>
          </w:tcPr>
          <w:p w14:paraId="3EECAF46"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190CE63A"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0.418489</w:t>
            </w:r>
          </w:p>
        </w:tc>
        <w:tc>
          <w:tcPr>
            <w:tcW w:w="0" w:type="auto"/>
            <w:tcBorders>
              <w:top w:val="nil"/>
              <w:left w:val="nil"/>
              <w:bottom w:val="single" w:sz="4" w:space="0" w:color="auto"/>
              <w:right w:val="single" w:sz="4" w:space="0" w:color="auto"/>
            </w:tcBorders>
            <w:shd w:val="clear" w:color="000000" w:fill="FFFFFF"/>
            <w:noWrap/>
            <w:vAlign w:val="center"/>
          </w:tcPr>
          <w:p w14:paraId="1EE8F1B9"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0.262125</w:t>
            </w:r>
          </w:p>
        </w:tc>
        <w:tc>
          <w:tcPr>
            <w:tcW w:w="0" w:type="auto"/>
            <w:tcBorders>
              <w:top w:val="nil"/>
              <w:left w:val="nil"/>
              <w:bottom w:val="single" w:sz="4" w:space="0" w:color="auto"/>
              <w:right w:val="single" w:sz="4" w:space="0" w:color="auto"/>
            </w:tcBorders>
            <w:shd w:val="clear" w:color="000000" w:fill="FFFFFF"/>
            <w:vAlign w:val="center"/>
          </w:tcPr>
          <w:p w14:paraId="698E17F4"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0.290756</w:t>
            </w:r>
          </w:p>
        </w:tc>
        <w:tc>
          <w:tcPr>
            <w:tcW w:w="0" w:type="auto"/>
            <w:tcBorders>
              <w:top w:val="nil"/>
              <w:left w:val="nil"/>
              <w:bottom w:val="single" w:sz="4" w:space="0" w:color="auto"/>
              <w:right w:val="single" w:sz="4" w:space="0" w:color="auto"/>
            </w:tcBorders>
            <w:shd w:val="clear" w:color="000000" w:fill="FFFFFF"/>
            <w:vAlign w:val="center"/>
          </w:tcPr>
          <w:p w14:paraId="0B39CC01"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-0.02863</w:t>
            </w:r>
          </w:p>
        </w:tc>
        <w:tc>
          <w:tcPr>
            <w:tcW w:w="0" w:type="auto"/>
            <w:tcBorders>
              <w:top w:val="nil"/>
              <w:left w:val="nil"/>
              <w:bottom w:val="single" w:sz="4" w:space="0" w:color="auto"/>
              <w:right w:val="single" w:sz="4" w:space="0" w:color="auto"/>
            </w:tcBorders>
            <w:shd w:val="clear" w:color="000000" w:fill="FFFFFF"/>
            <w:vAlign w:val="center"/>
          </w:tcPr>
          <w:p w14:paraId="4353E61B"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2</w:t>
            </w:r>
          </w:p>
        </w:tc>
      </w:tr>
      <w:tr w:rsidR="001769BC" w:rsidRPr="00F5545F" w14:paraId="2CF731BB" w14:textId="77777777" w:rsidTr="007F38F7">
        <w:trPr>
          <w:trHeight w:val="288"/>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7E670A4"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T-PPVC</w:t>
            </w:r>
          </w:p>
        </w:tc>
        <w:tc>
          <w:tcPr>
            <w:tcW w:w="0" w:type="auto"/>
            <w:tcBorders>
              <w:top w:val="nil"/>
              <w:left w:val="nil"/>
              <w:bottom w:val="single" w:sz="4" w:space="0" w:color="auto"/>
              <w:right w:val="single" w:sz="4" w:space="0" w:color="auto"/>
            </w:tcBorders>
            <w:shd w:val="clear" w:color="000000" w:fill="FFFFFF"/>
            <w:noWrap/>
            <w:vAlign w:val="center"/>
          </w:tcPr>
          <w:p w14:paraId="3E7C3638"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0.228961</w:t>
            </w:r>
          </w:p>
        </w:tc>
        <w:tc>
          <w:tcPr>
            <w:tcW w:w="0" w:type="auto"/>
            <w:tcBorders>
              <w:top w:val="nil"/>
              <w:left w:val="nil"/>
              <w:bottom w:val="single" w:sz="4" w:space="0" w:color="auto"/>
              <w:right w:val="single" w:sz="4" w:space="0" w:color="auto"/>
            </w:tcBorders>
            <w:shd w:val="clear" w:color="000000" w:fill="FFFFFF"/>
            <w:noWrap/>
            <w:vAlign w:val="center"/>
          </w:tcPr>
          <w:p w14:paraId="3E38D8BD"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0.417667</w:t>
            </w:r>
          </w:p>
        </w:tc>
        <w:tc>
          <w:tcPr>
            <w:tcW w:w="0" w:type="auto"/>
            <w:tcBorders>
              <w:top w:val="nil"/>
              <w:left w:val="nil"/>
              <w:bottom w:val="single" w:sz="4" w:space="0" w:color="auto"/>
              <w:right w:val="single" w:sz="4" w:space="0" w:color="auto"/>
            </w:tcBorders>
            <w:shd w:val="clear" w:color="000000" w:fill="FFFFFF"/>
            <w:noWrap/>
            <w:vAlign w:val="center"/>
          </w:tcPr>
          <w:p w14:paraId="25DF8EB2"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0C7219CF"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0.323314</w:t>
            </w:r>
          </w:p>
        </w:tc>
        <w:tc>
          <w:tcPr>
            <w:tcW w:w="0" w:type="auto"/>
            <w:tcBorders>
              <w:top w:val="nil"/>
              <w:left w:val="nil"/>
              <w:bottom w:val="single" w:sz="4" w:space="0" w:color="auto"/>
              <w:right w:val="single" w:sz="4" w:space="0" w:color="auto"/>
            </w:tcBorders>
            <w:shd w:val="clear" w:color="000000" w:fill="FFFFFF"/>
            <w:vAlign w:val="center"/>
          </w:tcPr>
          <w:p w14:paraId="1054D732"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0.447531</w:t>
            </w:r>
          </w:p>
        </w:tc>
        <w:tc>
          <w:tcPr>
            <w:tcW w:w="0" w:type="auto"/>
            <w:tcBorders>
              <w:top w:val="nil"/>
              <w:left w:val="nil"/>
              <w:bottom w:val="single" w:sz="4" w:space="0" w:color="auto"/>
              <w:right w:val="single" w:sz="4" w:space="0" w:color="auto"/>
            </w:tcBorders>
            <w:shd w:val="clear" w:color="000000" w:fill="FFFFFF"/>
            <w:vAlign w:val="center"/>
          </w:tcPr>
          <w:p w14:paraId="21D04719"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-0.12422</w:t>
            </w:r>
          </w:p>
        </w:tc>
        <w:tc>
          <w:tcPr>
            <w:tcW w:w="0" w:type="auto"/>
            <w:tcBorders>
              <w:top w:val="nil"/>
              <w:left w:val="nil"/>
              <w:bottom w:val="single" w:sz="4" w:space="0" w:color="auto"/>
              <w:right w:val="single" w:sz="4" w:space="0" w:color="auto"/>
            </w:tcBorders>
            <w:shd w:val="clear" w:color="000000" w:fill="FFFFFF"/>
            <w:vAlign w:val="center"/>
          </w:tcPr>
          <w:p w14:paraId="4E444AD2" w14:textId="77777777" w:rsidR="001769BC" w:rsidRPr="00F5545F" w:rsidRDefault="001769BC"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3</w:t>
            </w:r>
          </w:p>
        </w:tc>
      </w:tr>
    </w:tbl>
    <w:p w14:paraId="1D7EC342" w14:textId="63D2BE89" w:rsidR="00464975" w:rsidRPr="00823856" w:rsidRDefault="00FD1535" w:rsidP="00EE12FE">
      <w:pPr>
        <w:spacing w:before="240" w:line="276" w:lineRule="auto"/>
        <w:ind w:firstLine="720"/>
        <w:jc w:val="lowKashida"/>
        <w:rPr>
          <w:rFonts w:asciiTheme="majorBidi" w:eastAsia="Times New Roman" w:hAnsiTheme="majorBidi" w:cstheme="majorBidi"/>
          <w:sz w:val="24"/>
          <w:szCs w:val="24"/>
        </w:rPr>
      </w:pPr>
      <w:r w:rsidRPr="00823856">
        <w:rPr>
          <w:rFonts w:asciiTheme="majorBidi" w:hAnsiTheme="majorBidi" w:cstheme="majorBidi"/>
          <w:sz w:val="24"/>
          <w:szCs w:val="24"/>
        </w:rPr>
        <w:t xml:space="preserve">Finally, equation </w:t>
      </w:r>
      <w:r w:rsidR="0077723A" w:rsidRPr="00823856">
        <w:rPr>
          <w:rFonts w:asciiTheme="majorBidi" w:hAnsiTheme="majorBidi" w:cstheme="majorBidi"/>
          <w:sz w:val="24"/>
          <w:szCs w:val="24"/>
        </w:rPr>
        <w:t xml:space="preserve">(8) </w:t>
      </w:r>
      <w:r w:rsidRPr="00823856">
        <w:rPr>
          <w:rFonts w:asciiTheme="majorBidi" w:hAnsiTheme="majorBidi" w:cstheme="majorBidi"/>
          <w:sz w:val="24"/>
          <w:szCs w:val="24"/>
        </w:rPr>
        <w:t xml:space="preserve">was used to calculate the net outranking flow for each building </w:t>
      </w:r>
      <w:r w:rsidR="0077723A" w:rsidRPr="00823856">
        <w:rPr>
          <w:rFonts w:asciiTheme="majorBidi" w:hAnsiTheme="majorBidi" w:cstheme="majorBidi"/>
          <w:sz w:val="24"/>
          <w:szCs w:val="24"/>
        </w:rPr>
        <w:t>construction option</w:t>
      </w:r>
      <w:r w:rsidRPr="00823856">
        <w:rPr>
          <w:rFonts w:asciiTheme="majorBidi" w:hAnsiTheme="majorBidi" w:cstheme="majorBidi"/>
          <w:sz w:val="24"/>
          <w:szCs w:val="24"/>
        </w:rPr>
        <w:t xml:space="preserve">. The difference between </w:t>
      </w:r>
      <w:r w:rsidR="0077723A" w:rsidRPr="00823856">
        <w:rPr>
          <w:rFonts w:asciiTheme="majorBidi" w:hAnsiTheme="majorBidi" w:cstheme="majorBidi"/>
          <w:sz w:val="24"/>
          <w:szCs w:val="24"/>
        </w:rPr>
        <w:t>l</w:t>
      </w:r>
      <w:r w:rsidRPr="00823856">
        <w:rPr>
          <w:rFonts w:asciiTheme="majorBidi" w:hAnsiTheme="majorBidi" w:cstheme="majorBidi"/>
          <w:sz w:val="24"/>
          <w:szCs w:val="24"/>
        </w:rPr>
        <w:t xml:space="preserve">eaving flow and </w:t>
      </w:r>
      <w:r w:rsidR="0077723A" w:rsidRPr="00823856">
        <w:rPr>
          <w:rFonts w:asciiTheme="majorBidi" w:hAnsiTheme="majorBidi" w:cstheme="majorBidi"/>
          <w:sz w:val="24"/>
          <w:szCs w:val="24"/>
        </w:rPr>
        <w:t>e</w:t>
      </w:r>
      <w:r w:rsidRPr="00823856">
        <w:rPr>
          <w:rFonts w:asciiTheme="majorBidi" w:hAnsiTheme="majorBidi" w:cstheme="majorBidi"/>
          <w:sz w:val="24"/>
          <w:szCs w:val="24"/>
        </w:rPr>
        <w:t xml:space="preserve">ntering flow had to be deducted. The results of net outranking flow </w:t>
      </w:r>
      <w:r w:rsidRPr="00823856">
        <w:rPr>
          <w:rFonts w:ascii="Times New Roman" w:hAnsi="Times New Roman" w:cs="Times New Roman"/>
          <w:sz w:val="24"/>
          <w:szCs w:val="24"/>
        </w:rPr>
        <w:t xml:space="preserve">are </w:t>
      </w:r>
      <w:r w:rsidR="004E7F95" w:rsidRPr="00823856">
        <w:rPr>
          <w:rFonts w:ascii="Times New Roman" w:eastAsia="Times New Roman" w:hAnsi="Times New Roman" w:cs="Times New Roman"/>
          <w:sz w:val="24"/>
          <w:szCs w:val="24"/>
        </w:rPr>
        <w:t>0.152847</w:t>
      </w:r>
      <w:r w:rsidRPr="00823856">
        <w:rPr>
          <w:rFonts w:ascii="Times New Roman" w:hAnsi="Times New Roman" w:cs="Times New Roman"/>
          <w:sz w:val="24"/>
          <w:szCs w:val="24"/>
        </w:rPr>
        <w:t xml:space="preserve">, </w:t>
      </w:r>
      <w:r w:rsidR="004E7F95" w:rsidRPr="00823856">
        <w:rPr>
          <w:rFonts w:ascii="Times New Roman" w:eastAsia="Times New Roman" w:hAnsi="Times New Roman" w:cs="Times New Roman"/>
          <w:sz w:val="24"/>
          <w:szCs w:val="24"/>
        </w:rPr>
        <w:t>-0.02863</w:t>
      </w:r>
      <w:r w:rsidRPr="00823856">
        <w:rPr>
          <w:rFonts w:ascii="Times New Roman" w:hAnsi="Times New Roman" w:cs="Times New Roman"/>
          <w:sz w:val="24"/>
          <w:szCs w:val="24"/>
        </w:rPr>
        <w:t xml:space="preserve">, and </w:t>
      </w:r>
      <w:r w:rsidR="004E7F95" w:rsidRPr="00823856">
        <w:rPr>
          <w:rFonts w:ascii="Times New Roman" w:eastAsia="Times New Roman" w:hAnsi="Times New Roman" w:cs="Times New Roman"/>
          <w:sz w:val="24"/>
          <w:szCs w:val="24"/>
        </w:rPr>
        <w:t>-0.12422</w:t>
      </w:r>
      <w:r w:rsidRPr="00823856">
        <w:rPr>
          <w:rFonts w:ascii="Times New Roman" w:hAnsi="Times New Roman" w:cs="Times New Roman"/>
          <w:sz w:val="24"/>
          <w:szCs w:val="24"/>
        </w:rPr>
        <w:t>, respectively</w:t>
      </w:r>
      <w:r w:rsidRPr="00823856">
        <w:rPr>
          <w:rFonts w:asciiTheme="majorBidi" w:hAnsiTheme="majorBidi" w:cstheme="majorBidi"/>
          <w:sz w:val="24"/>
          <w:szCs w:val="24"/>
        </w:rPr>
        <w:t xml:space="preserve"> for S-PPVC, C-PPVC and T-PPVC. A bigger value represents a better alternative value. Therefore, the result shows that steel PPVC is the best option for prefabricated buildings. Figure </w:t>
      </w:r>
      <w:r w:rsidR="00A254F0">
        <w:rPr>
          <w:rFonts w:asciiTheme="majorBidi" w:hAnsiTheme="majorBidi" w:cstheme="majorBidi"/>
          <w:sz w:val="24"/>
          <w:szCs w:val="24"/>
        </w:rPr>
        <w:t>6</w:t>
      </w:r>
      <w:r w:rsidRPr="00823856">
        <w:rPr>
          <w:rFonts w:asciiTheme="majorBidi" w:hAnsiTheme="majorBidi" w:cstheme="majorBidi"/>
          <w:sz w:val="24"/>
          <w:szCs w:val="24"/>
        </w:rPr>
        <w:t xml:space="preserve"> shows the PROMETHEE II complete ranking calculated based only on the net outranking flow. From these rankings, it appears that steel PPVC is more sustainable than other alternatives.</w:t>
      </w:r>
      <w:r w:rsidR="00954126" w:rsidRPr="00823856">
        <w:rPr>
          <w:rFonts w:asciiTheme="majorBidi" w:eastAsia="Times New Roman" w:hAnsiTheme="majorBidi" w:cstheme="majorBidi"/>
          <w:sz w:val="24"/>
          <w:szCs w:val="24"/>
        </w:rPr>
        <w:t xml:space="preserve"> </w:t>
      </w:r>
    </w:p>
    <w:p w14:paraId="0BA731B2" w14:textId="77777777" w:rsidR="001769BC" w:rsidRPr="00F5545F" w:rsidRDefault="001769BC" w:rsidP="001769BC">
      <w:pPr>
        <w:spacing w:before="240" w:after="0"/>
        <w:jc w:val="center"/>
        <w:rPr>
          <w:rFonts w:asciiTheme="majorBidi" w:hAnsiTheme="majorBidi" w:cstheme="majorBidi"/>
        </w:rPr>
      </w:pPr>
      <w:r w:rsidRPr="00F5545F">
        <w:rPr>
          <w:rFonts w:asciiTheme="majorBidi" w:hAnsiTheme="majorBidi" w:cstheme="majorBidi"/>
          <w:noProof/>
        </w:rPr>
        <w:drawing>
          <wp:inline distT="0" distB="0" distL="0" distR="0" wp14:anchorId="7582AAB4" wp14:editId="30DBB3E0">
            <wp:extent cx="5943600" cy="806716"/>
            <wp:effectExtent l="0" t="0" r="0" b="0"/>
            <wp:docPr id="500907213" name="Picture 500907213" descr="C:\Users\Ali\Desktop\Screenshot 2021-07-08 12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Screenshot 2021-07-08 12355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06716"/>
                    </a:xfrm>
                    <a:prstGeom prst="rect">
                      <a:avLst/>
                    </a:prstGeom>
                    <a:noFill/>
                    <a:ln>
                      <a:noFill/>
                    </a:ln>
                  </pic:spPr>
                </pic:pic>
              </a:graphicData>
            </a:graphic>
          </wp:inline>
        </w:drawing>
      </w:r>
    </w:p>
    <w:p w14:paraId="282A3010" w14:textId="0752A71C" w:rsidR="001769BC" w:rsidRPr="00F5545F" w:rsidRDefault="001769BC" w:rsidP="001769BC">
      <w:pPr>
        <w:jc w:val="center"/>
        <w:rPr>
          <w:rFonts w:asciiTheme="majorBidi" w:hAnsiTheme="majorBidi" w:cstheme="majorBidi"/>
          <w:sz w:val="32"/>
          <w:szCs w:val="32"/>
        </w:rPr>
      </w:pPr>
      <w:r w:rsidRPr="00F5545F">
        <w:rPr>
          <w:rFonts w:asciiTheme="majorBidi" w:hAnsiTheme="majorBidi" w:cstheme="majorBidi"/>
          <w:sz w:val="18"/>
          <w:szCs w:val="18"/>
        </w:rPr>
        <w:t xml:space="preserve">Fig. </w:t>
      </w:r>
      <w:r w:rsidR="00A254F0">
        <w:rPr>
          <w:rFonts w:asciiTheme="majorBidi" w:hAnsiTheme="majorBidi" w:cstheme="majorBidi"/>
          <w:sz w:val="18"/>
          <w:szCs w:val="18"/>
        </w:rPr>
        <w:t>6</w:t>
      </w:r>
      <w:r w:rsidRPr="00F5545F">
        <w:rPr>
          <w:rFonts w:asciiTheme="majorBidi" w:hAnsiTheme="majorBidi" w:cstheme="majorBidi"/>
          <w:sz w:val="18"/>
          <w:szCs w:val="18"/>
        </w:rPr>
        <w:t xml:space="preserve">. PROMETHEE II </w:t>
      </w:r>
    </w:p>
    <w:p w14:paraId="07E7CF5E" w14:textId="77777777" w:rsidR="0077723A" w:rsidRPr="00823856" w:rsidRDefault="0077723A" w:rsidP="00EE12FE">
      <w:pPr>
        <w:spacing w:line="276" w:lineRule="auto"/>
        <w:jc w:val="center"/>
        <w:rPr>
          <w:rFonts w:asciiTheme="majorBidi" w:hAnsiTheme="majorBidi" w:cstheme="majorBidi"/>
          <w:sz w:val="24"/>
          <w:szCs w:val="24"/>
        </w:rPr>
      </w:pPr>
    </w:p>
    <w:p w14:paraId="070C73F1" w14:textId="01FF8374" w:rsidR="00E62497" w:rsidRPr="00823856" w:rsidRDefault="00EC3578" w:rsidP="00EE12FE">
      <w:pPr>
        <w:pStyle w:val="ListParagraph"/>
        <w:numPr>
          <w:ilvl w:val="0"/>
          <w:numId w:val="1"/>
        </w:numPr>
        <w:autoSpaceDE w:val="0"/>
        <w:autoSpaceDN w:val="0"/>
        <w:adjustRightInd w:val="0"/>
        <w:spacing w:line="276" w:lineRule="auto"/>
        <w:rPr>
          <w:rFonts w:asciiTheme="majorBidi" w:hAnsiTheme="majorBidi" w:cstheme="majorBidi"/>
          <w:b/>
          <w:bCs/>
          <w:i/>
          <w:iCs/>
          <w:sz w:val="24"/>
          <w:szCs w:val="24"/>
        </w:rPr>
      </w:pPr>
      <w:r w:rsidRPr="00823856">
        <w:rPr>
          <w:rFonts w:asciiTheme="majorBidi" w:hAnsiTheme="majorBidi" w:cstheme="majorBidi"/>
          <w:b/>
          <w:bCs/>
          <w:i/>
          <w:iCs/>
          <w:sz w:val="24"/>
          <w:szCs w:val="24"/>
        </w:rPr>
        <w:t>Discussion</w:t>
      </w:r>
    </w:p>
    <w:p w14:paraId="3DD6370D" w14:textId="459EA60B" w:rsidR="002C3707" w:rsidRPr="00823856" w:rsidRDefault="002C3707"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In this study, the MCDM tool was implemented </w:t>
      </w:r>
      <w:proofErr w:type="gramStart"/>
      <w:r w:rsidRPr="00823856">
        <w:rPr>
          <w:rFonts w:asciiTheme="majorBidi" w:hAnsiTheme="majorBidi" w:cstheme="majorBidi"/>
          <w:sz w:val="24"/>
          <w:szCs w:val="24"/>
        </w:rPr>
        <w:t>in order to</w:t>
      </w:r>
      <w:proofErr w:type="gramEnd"/>
      <w:r w:rsidRPr="00823856">
        <w:rPr>
          <w:rFonts w:asciiTheme="majorBidi" w:hAnsiTheme="majorBidi" w:cstheme="majorBidi"/>
          <w:sz w:val="24"/>
          <w:szCs w:val="24"/>
        </w:rPr>
        <w:t xml:space="preserve"> compare non-same value parameters. </w:t>
      </w:r>
      <w:r w:rsidR="0077723A" w:rsidRPr="00823856">
        <w:rPr>
          <w:rFonts w:asciiTheme="majorBidi" w:hAnsiTheme="majorBidi" w:cstheme="majorBidi"/>
          <w:sz w:val="24"/>
          <w:szCs w:val="24"/>
        </w:rPr>
        <w:t>T</w:t>
      </w:r>
      <w:r w:rsidRPr="00823856">
        <w:rPr>
          <w:rFonts w:asciiTheme="majorBidi" w:hAnsiTheme="majorBidi" w:cstheme="majorBidi"/>
          <w:sz w:val="24"/>
          <w:szCs w:val="24"/>
        </w:rPr>
        <w:t xml:space="preserve">he incentive covered three main criteria: environmental, cost, and social aspects of sustainability, as some materials or </w:t>
      </w:r>
      <w:proofErr w:type="gramStart"/>
      <w:r w:rsidRPr="00823856">
        <w:rPr>
          <w:rFonts w:asciiTheme="majorBidi" w:hAnsiTheme="majorBidi" w:cstheme="majorBidi"/>
          <w:sz w:val="24"/>
          <w:szCs w:val="24"/>
        </w:rPr>
        <w:t>systems,</w:t>
      </w:r>
      <w:proofErr w:type="gramEnd"/>
      <w:r w:rsidRPr="00823856">
        <w:rPr>
          <w:rFonts w:asciiTheme="majorBidi" w:hAnsiTheme="majorBidi" w:cstheme="majorBidi"/>
          <w:sz w:val="24"/>
          <w:szCs w:val="24"/>
        </w:rPr>
        <w:t xml:space="preserve"> might have low</w:t>
      </w:r>
      <w:r w:rsidR="0077723A" w:rsidRPr="00823856">
        <w:rPr>
          <w:rFonts w:asciiTheme="majorBidi" w:hAnsiTheme="majorBidi" w:cstheme="majorBidi"/>
          <w:sz w:val="24"/>
          <w:szCs w:val="24"/>
        </w:rPr>
        <w:t>er</w:t>
      </w:r>
      <w:r w:rsidRPr="00823856">
        <w:rPr>
          <w:rFonts w:asciiTheme="majorBidi" w:hAnsiTheme="majorBidi" w:cstheme="majorBidi"/>
          <w:sz w:val="24"/>
          <w:szCs w:val="24"/>
        </w:rPr>
        <w:t xml:space="preserve"> carbon emissions while having a higher cost, which causes the construction sector to </w:t>
      </w:r>
      <w:r w:rsidR="0077723A" w:rsidRPr="00823856">
        <w:rPr>
          <w:rFonts w:asciiTheme="majorBidi" w:hAnsiTheme="majorBidi" w:cstheme="majorBidi"/>
          <w:sz w:val="24"/>
          <w:szCs w:val="24"/>
        </w:rPr>
        <w:t xml:space="preserve">shun </w:t>
      </w:r>
      <w:r w:rsidRPr="00823856">
        <w:rPr>
          <w:rFonts w:asciiTheme="majorBidi" w:hAnsiTheme="majorBidi" w:cstheme="majorBidi"/>
          <w:sz w:val="24"/>
          <w:szCs w:val="24"/>
        </w:rPr>
        <w:t xml:space="preserve">them. However, the </w:t>
      </w:r>
      <w:r w:rsidR="0077723A" w:rsidRPr="00823856">
        <w:rPr>
          <w:rFonts w:asciiTheme="majorBidi" w:hAnsiTheme="majorBidi" w:cstheme="majorBidi"/>
          <w:sz w:val="24"/>
          <w:szCs w:val="24"/>
        </w:rPr>
        <w:t xml:space="preserve">alternatives </w:t>
      </w:r>
      <w:r w:rsidRPr="00823856">
        <w:rPr>
          <w:rFonts w:asciiTheme="majorBidi" w:hAnsiTheme="majorBidi" w:cstheme="majorBidi"/>
          <w:sz w:val="24"/>
          <w:szCs w:val="24"/>
        </w:rPr>
        <w:t xml:space="preserve">of modular </w:t>
      </w:r>
      <w:r w:rsidR="0077723A" w:rsidRPr="00823856">
        <w:rPr>
          <w:rFonts w:asciiTheme="majorBidi" w:hAnsiTheme="majorBidi" w:cstheme="majorBidi"/>
          <w:sz w:val="24"/>
          <w:szCs w:val="24"/>
        </w:rPr>
        <w:t>construction towards</w:t>
      </w:r>
      <w:r w:rsidRPr="00823856">
        <w:rPr>
          <w:rFonts w:asciiTheme="majorBidi" w:hAnsiTheme="majorBidi" w:cstheme="majorBidi"/>
          <w:sz w:val="24"/>
          <w:szCs w:val="24"/>
        </w:rPr>
        <w:t xml:space="preserve"> environmental and social measurements </w:t>
      </w:r>
      <w:r w:rsidR="0077723A" w:rsidRPr="00823856">
        <w:rPr>
          <w:rFonts w:asciiTheme="majorBidi" w:hAnsiTheme="majorBidi" w:cstheme="majorBidi"/>
          <w:sz w:val="24"/>
          <w:szCs w:val="24"/>
        </w:rPr>
        <w:t xml:space="preserve">should </w:t>
      </w:r>
      <w:r w:rsidRPr="00823856">
        <w:rPr>
          <w:rFonts w:asciiTheme="majorBidi" w:hAnsiTheme="majorBidi" w:cstheme="majorBidi"/>
          <w:sz w:val="24"/>
          <w:szCs w:val="24"/>
        </w:rPr>
        <w:t xml:space="preserve">not be overlooked. The calculated embodied impacts show that material production is the most critical phase contributing to 65%, 88%, and 83% respectively for modular steel, concrete, and timber </w:t>
      </w:r>
      <w:r w:rsidR="0077723A" w:rsidRPr="00823856">
        <w:rPr>
          <w:rFonts w:asciiTheme="majorBidi" w:hAnsiTheme="majorBidi" w:cstheme="majorBidi"/>
          <w:sz w:val="24"/>
          <w:szCs w:val="24"/>
        </w:rPr>
        <w:t xml:space="preserve">compared to </w:t>
      </w:r>
      <w:r w:rsidRPr="00823856">
        <w:rPr>
          <w:rFonts w:asciiTheme="majorBidi" w:hAnsiTheme="majorBidi" w:cstheme="majorBidi"/>
          <w:sz w:val="24"/>
          <w:szCs w:val="24"/>
        </w:rPr>
        <w:t xml:space="preserve">the </w:t>
      </w:r>
      <w:r w:rsidR="0077723A" w:rsidRPr="00823856">
        <w:rPr>
          <w:rFonts w:asciiTheme="majorBidi" w:hAnsiTheme="majorBidi" w:cstheme="majorBidi"/>
          <w:sz w:val="24"/>
          <w:szCs w:val="24"/>
        </w:rPr>
        <w:t xml:space="preserve">entire cradle-to-grave </w:t>
      </w:r>
      <w:r w:rsidRPr="00823856">
        <w:rPr>
          <w:rFonts w:asciiTheme="majorBidi" w:hAnsiTheme="majorBidi" w:cstheme="majorBidi"/>
          <w:sz w:val="24"/>
          <w:szCs w:val="24"/>
        </w:rPr>
        <w:t xml:space="preserve">life cycle stage. </w:t>
      </w:r>
      <w:r w:rsidR="0077723A" w:rsidRPr="00823856">
        <w:rPr>
          <w:rFonts w:asciiTheme="majorBidi" w:hAnsiTheme="majorBidi" w:cstheme="majorBidi"/>
          <w:sz w:val="24"/>
          <w:szCs w:val="24"/>
        </w:rPr>
        <w:t>Similarly</w:t>
      </w:r>
      <w:r w:rsidRPr="00823856">
        <w:rPr>
          <w:rFonts w:asciiTheme="majorBidi" w:hAnsiTheme="majorBidi" w:cstheme="majorBidi"/>
          <w:sz w:val="24"/>
          <w:szCs w:val="24"/>
        </w:rPr>
        <w:t xml:space="preserve">, the calculated GWP shows that material production is the essential phase contributing to 64%, 87%, and 87%, respectively, for modular steel, concrete, and timber than the whole life cycle stage. </w:t>
      </w:r>
    </w:p>
    <w:p w14:paraId="5E0AD0DA" w14:textId="6B5FAE34" w:rsidR="002C3707" w:rsidRPr="00823856" w:rsidRDefault="002C3707"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Other research </w:t>
      </w:r>
      <w:r w:rsidR="0077723A" w:rsidRPr="00823856">
        <w:rPr>
          <w:rFonts w:asciiTheme="majorBidi" w:hAnsiTheme="majorBidi" w:cstheme="majorBidi"/>
          <w:sz w:val="24"/>
          <w:szCs w:val="24"/>
        </w:rPr>
        <w:t>by</w:t>
      </w:r>
      <w:r w:rsidRPr="00823856">
        <w:rPr>
          <w:rFonts w:asciiTheme="majorBidi" w:hAnsiTheme="majorBidi" w:cstheme="majorBidi"/>
          <w:sz w:val="24"/>
          <w:szCs w:val="24"/>
        </w:rPr>
        <w:t xml:space="preserve"> Motuziene et al. (2016) considered GWP, </w:t>
      </w:r>
      <w:r w:rsidR="0077723A" w:rsidRPr="00823856">
        <w:rPr>
          <w:rFonts w:asciiTheme="majorBidi" w:hAnsiTheme="majorBidi" w:cstheme="majorBidi"/>
          <w:sz w:val="24"/>
          <w:szCs w:val="24"/>
        </w:rPr>
        <w:t>o</w:t>
      </w:r>
      <w:r w:rsidRPr="00823856">
        <w:rPr>
          <w:rFonts w:asciiTheme="majorBidi" w:hAnsiTheme="majorBidi" w:cstheme="majorBidi"/>
          <w:sz w:val="24"/>
          <w:szCs w:val="24"/>
        </w:rPr>
        <w:t xml:space="preserve">zone layer depletion, cost, and </w:t>
      </w:r>
      <w:r w:rsidR="0077723A" w:rsidRPr="00823856">
        <w:rPr>
          <w:rFonts w:asciiTheme="majorBidi" w:hAnsiTheme="majorBidi" w:cstheme="majorBidi"/>
          <w:sz w:val="24"/>
          <w:szCs w:val="24"/>
        </w:rPr>
        <w:t>n</w:t>
      </w:r>
      <w:r w:rsidRPr="00823856">
        <w:rPr>
          <w:rFonts w:asciiTheme="majorBidi" w:hAnsiTheme="majorBidi" w:cstheme="majorBidi"/>
          <w:sz w:val="24"/>
          <w:szCs w:val="24"/>
        </w:rPr>
        <w:t>on-renewable energy</w:t>
      </w:r>
      <w:r w:rsidR="00735D6C" w:rsidRPr="00823856">
        <w:rPr>
          <w:rFonts w:asciiTheme="majorBidi" w:hAnsiTheme="majorBidi" w:cstheme="majorBidi"/>
          <w:sz w:val="24"/>
          <w:szCs w:val="24"/>
        </w:rPr>
        <w:t xml:space="preserve"> sources</w:t>
      </w:r>
      <w:r w:rsidRPr="00823856">
        <w:rPr>
          <w:rFonts w:asciiTheme="majorBidi" w:hAnsiTheme="majorBidi" w:cstheme="majorBidi"/>
          <w:sz w:val="24"/>
          <w:szCs w:val="24"/>
        </w:rPr>
        <w:t xml:space="preserve">, </w:t>
      </w:r>
      <w:r w:rsidR="00735D6C" w:rsidRPr="00823856">
        <w:rPr>
          <w:rFonts w:asciiTheme="majorBidi" w:hAnsiTheme="majorBidi" w:cstheme="majorBidi"/>
          <w:sz w:val="24"/>
          <w:szCs w:val="24"/>
        </w:rPr>
        <w:t>while</w:t>
      </w:r>
      <w:r w:rsidRPr="00823856">
        <w:rPr>
          <w:rFonts w:asciiTheme="majorBidi" w:hAnsiTheme="majorBidi" w:cstheme="majorBidi"/>
          <w:sz w:val="24"/>
          <w:szCs w:val="24"/>
        </w:rPr>
        <w:t xml:space="preserve"> Invidiata et al. (2018) considered GWP, energy, and cost. In contrast, this research has expanded toward</w:t>
      </w:r>
      <w:r w:rsidR="00735D6C" w:rsidRPr="00823856">
        <w:rPr>
          <w:rFonts w:asciiTheme="majorBidi" w:hAnsiTheme="majorBidi" w:cstheme="majorBidi"/>
          <w:sz w:val="24"/>
          <w:szCs w:val="24"/>
        </w:rPr>
        <w:t>s</w:t>
      </w:r>
      <w:r w:rsidRPr="00823856">
        <w:rPr>
          <w:rFonts w:asciiTheme="majorBidi" w:hAnsiTheme="majorBidi" w:cstheme="majorBidi"/>
          <w:sz w:val="24"/>
          <w:szCs w:val="24"/>
        </w:rPr>
        <w:t xml:space="preserve"> more sustainable aspect</w:t>
      </w:r>
      <w:r w:rsidR="00735D6C" w:rsidRPr="00823856">
        <w:rPr>
          <w:rFonts w:asciiTheme="majorBidi" w:hAnsiTheme="majorBidi" w:cstheme="majorBidi"/>
          <w:sz w:val="24"/>
          <w:szCs w:val="24"/>
        </w:rPr>
        <w:t>s</w:t>
      </w:r>
      <w:r w:rsidRPr="00823856">
        <w:rPr>
          <w:rFonts w:asciiTheme="majorBidi" w:hAnsiTheme="majorBidi" w:cstheme="majorBidi"/>
          <w:sz w:val="24"/>
          <w:szCs w:val="24"/>
        </w:rPr>
        <w:t xml:space="preserve"> by incorporating social indicators </w:t>
      </w:r>
      <w:r w:rsidR="00735D6C" w:rsidRPr="00823856">
        <w:rPr>
          <w:rFonts w:asciiTheme="majorBidi" w:hAnsiTheme="majorBidi" w:cstheme="majorBidi"/>
          <w:sz w:val="24"/>
          <w:szCs w:val="24"/>
        </w:rPr>
        <w:t>which have</w:t>
      </w:r>
      <w:r w:rsidRPr="00823856">
        <w:rPr>
          <w:rFonts w:asciiTheme="majorBidi" w:hAnsiTheme="majorBidi" w:cstheme="majorBidi"/>
          <w:sz w:val="24"/>
          <w:szCs w:val="24"/>
        </w:rPr>
        <w:t xml:space="preserve"> vast result</w:t>
      </w:r>
      <w:r w:rsidR="00735D6C" w:rsidRPr="00823856">
        <w:rPr>
          <w:rFonts w:asciiTheme="majorBidi" w:hAnsiTheme="majorBidi" w:cstheme="majorBidi"/>
          <w:sz w:val="24"/>
          <w:szCs w:val="24"/>
        </w:rPr>
        <w:t>s</w:t>
      </w:r>
      <w:r w:rsidRPr="00823856">
        <w:rPr>
          <w:rFonts w:asciiTheme="majorBidi" w:hAnsiTheme="majorBidi" w:cstheme="majorBidi"/>
          <w:sz w:val="24"/>
          <w:szCs w:val="24"/>
        </w:rPr>
        <w:t xml:space="preserve"> in this category. Therefore, comparing this research with previous studies can </w:t>
      </w:r>
      <w:r w:rsidR="00735D6C" w:rsidRPr="00823856">
        <w:rPr>
          <w:rFonts w:asciiTheme="majorBidi" w:hAnsiTheme="majorBidi" w:cstheme="majorBidi"/>
          <w:sz w:val="24"/>
          <w:szCs w:val="24"/>
        </w:rPr>
        <w:t>form</w:t>
      </w:r>
      <w:r w:rsidRPr="00823856">
        <w:rPr>
          <w:rFonts w:asciiTheme="majorBidi" w:hAnsiTheme="majorBidi" w:cstheme="majorBidi"/>
          <w:sz w:val="24"/>
          <w:szCs w:val="24"/>
        </w:rPr>
        <w:t xml:space="preserve"> a suitable reference for future research. Most academic research mainly focuses on the environmental impact of the production phase for modular construction (Echeveste et al., 2018). Tavares et al. (2019a) analyzed embodied energy and GWP emissions for modular building</w:t>
      </w:r>
      <w:r w:rsidR="00735D6C" w:rsidRPr="00823856">
        <w:rPr>
          <w:rFonts w:asciiTheme="majorBidi" w:hAnsiTheme="majorBidi" w:cstheme="majorBidi"/>
          <w:sz w:val="24"/>
          <w:szCs w:val="24"/>
        </w:rPr>
        <w:t>s</w:t>
      </w:r>
      <w:r w:rsidRPr="00823856">
        <w:rPr>
          <w:rFonts w:asciiTheme="majorBidi" w:hAnsiTheme="majorBidi" w:cstheme="majorBidi"/>
          <w:sz w:val="24"/>
          <w:szCs w:val="24"/>
        </w:rPr>
        <w:t>, and the</w:t>
      </w:r>
      <w:r w:rsidR="00735D6C" w:rsidRPr="00823856">
        <w:rPr>
          <w:rFonts w:asciiTheme="majorBidi" w:hAnsiTheme="majorBidi" w:cstheme="majorBidi"/>
          <w:sz w:val="24"/>
          <w:szCs w:val="24"/>
        </w:rPr>
        <w:t>ir</w:t>
      </w:r>
      <w:r w:rsidRPr="00823856">
        <w:rPr>
          <w:rFonts w:asciiTheme="majorBidi" w:hAnsiTheme="majorBidi" w:cstheme="majorBidi"/>
          <w:sz w:val="24"/>
          <w:szCs w:val="24"/>
        </w:rPr>
        <w:t xml:space="preserve"> resul</w:t>
      </w:r>
      <w:r w:rsidR="00735D6C" w:rsidRPr="00823856">
        <w:rPr>
          <w:rFonts w:asciiTheme="majorBidi" w:hAnsiTheme="majorBidi" w:cstheme="majorBidi"/>
          <w:sz w:val="24"/>
          <w:szCs w:val="24"/>
        </w:rPr>
        <w:t>ts</w:t>
      </w:r>
      <w:r w:rsidRPr="00823856">
        <w:rPr>
          <w:rFonts w:asciiTheme="majorBidi" w:hAnsiTheme="majorBidi" w:cstheme="majorBidi"/>
          <w:sz w:val="24"/>
          <w:szCs w:val="24"/>
        </w:rPr>
        <w:t xml:space="preserve"> </w:t>
      </w:r>
      <w:r w:rsidR="00735D6C" w:rsidRPr="00823856">
        <w:rPr>
          <w:rFonts w:asciiTheme="majorBidi" w:hAnsiTheme="majorBidi" w:cstheme="majorBidi"/>
          <w:sz w:val="24"/>
          <w:szCs w:val="24"/>
        </w:rPr>
        <w:t xml:space="preserve">are </w:t>
      </w:r>
      <w:r w:rsidRPr="00823856">
        <w:rPr>
          <w:rFonts w:asciiTheme="majorBidi" w:hAnsiTheme="majorBidi" w:cstheme="majorBidi"/>
          <w:sz w:val="24"/>
          <w:szCs w:val="24"/>
        </w:rPr>
        <w:t xml:space="preserve">consistent with </w:t>
      </w:r>
      <w:proofErr w:type="gramStart"/>
      <w:r w:rsidRPr="00823856">
        <w:rPr>
          <w:rFonts w:asciiTheme="majorBidi" w:hAnsiTheme="majorBidi" w:cstheme="majorBidi"/>
          <w:sz w:val="24"/>
          <w:szCs w:val="24"/>
        </w:rPr>
        <w:t>the current</w:t>
      </w:r>
      <w:proofErr w:type="gramEnd"/>
      <w:r w:rsidRPr="00823856">
        <w:rPr>
          <w:rFonts w:asciiTheme="majorBidi" w:hAnsiTheme="majorBidi" w:cstheme="majorBidi"/>
          <w:sz w:val="24"/>
          <w:szCs w:val="24"/>
        </w:rPr>
        <w:t xml:space="preserve"> research. However, the boundary of research was only </w:t>
      </w:r>
      <w:r w:rsidR="00735D6C" w:rsidRPr="00823856">
        <w:rPr>
          <w:rFonts w:asciiTheme="majorBidi" w:hAnsiTheme="majorBidi" w:cstheme="majorBidi"/>
          <w:sz w:val="24"/>
          <w:szCs w:val="24"/>
        </w:rPr>
        <w:t xml:space="preserve">at </w:t>
      </w:r>
      <w:r w:rsidRPr="00823856">
        <w:rPr>
          <w:rFonts w:asciiTheme="majorBidi" w:hAnsiTheme="majorBidi" w:cstheme="majorBidi"/>
          <w:sz w:val="24"/>
          <w:szCs w:val="24"/>
        </w:rPr>
        <w:t xml:space="preserve">the construction stage. Hong et al., (2016) showed that the recycling process </w:t>
      </w:r>
      <w:r w:rsidRPr="00823856">
        <w:rPr>
          <w:rFonts w:asciiTheme="majorBidi" w:hAnsiTheme="majorBidi" w:cstheme="majorBidi"/>
          <w:sz w:val="24"/>
          <w:szCs w:val="24"/>
        </w:rPr>
        <w:lastRenderedPageBreak/>
        <w:t xml:space="preserve">of prefabricated buildings could achieve up to 24% energy reduction. </w:t>
      </w:r>
      <w:r w:rsidR="00735D6C" w:rsidRPr="00823856">
        <w:rPr>
          <w:rFonts w:asciiTheme="majorBidi" w:hAnsiTheme="majorBidi" w:cstheme="majorBidi"/>
          <w:sz w:val="24"/>
          <w:szCs w:val="24"/>
        </w:rPr>
        <w:t>Based on this</w:t>
      </w:r>
      <w:r w:rsidRPr="00823856">
        <w:rPr>
          <w:rFonts w:asciiTheme="majorBidi" w:hAnsiTheme="majorBidi" w:cstheme="majorBidi"/>
          <w:sz w:val="24"/>
          <w:szCs w:val="24"/>
        </w:rPr>
        <w:t xml:space="preserve"> research, </w:t>
      </w:r>
      <w:r w:rsidR="00735D6C" w:rsidRPr="00823856">
        <w:rPr>
          <w:rFonts w:asciiTheme="majorBidi" w:hAnsiTheme="majorBidi" w:cstheme="majorBidi"/>
          <w:sz w:val="24"/>
          <w:szCs w:val="24"/>
        </w:rPr>
        <w:t xml:space="preserve">recycling at </w:t>
      </w:r>
      <w:r w:rsidRPr="00823856">
        <w:rPr>
          <w:rFonts w:asciiTheme="majorBidi" w:hAnsiTheme="majorBidi" w:cstheme="majorBidi"/>
          <w:sz w:val="24"/>
          <w:szCs w:val="24"/>
        </w:rPr>
        <w:t>end of life shows that</w:t>
      </w:r>
      <w:r w:rsidR="00735D6C" w:rsidRPr="00823856">
        <w:rPr>
          <w:rFonts w:asciiTheme="majorBidi" w:hAnsiTheme="majorBidi" w:cstheme="majorBidi"/>
          <w:sz w:val="24"/>
          <w:szCs w:val="24"/>
        </w:rPr>
        <w:t xml:space="preserve"> different </w:t>
      </w:r>
      <w:r w:rsidRPr="00823856">
        <w:rPr>
          <w:rFonts w:asciiTheme="majorBidi" w:hAnsiTheme="majorBidi" w:cstheme="majorBidi"/>
          <w:sz w:val="24"/>
          <w:szCs w:val="24"/>
        </w:rPr>
        <w:t>energy reduction</w:t>
      </w:r>
      <w:r w:rsidR="00735D6C" w:rsidRPr="00823856">
        <w:rPr>
          <w:rFonts w:asciiTheme="majorBidi" w:hAnsiTheme="majorBidi" w:cstheme="majorBidi"/>
          <w:sz w:val="24"/>
          <w:szCs w:val="24"/>
        </w:rPr>
        <w:t>s</w:t>
      </w:r>
      <w:r w:rsidRPr="00823856">
        <w:rPr>
          <w:rFonts w:asciiTheme="majorBidi" w:hAnsiTheme="majorBidi" w:cstheme="majorBidi"/>
          <w:sz w:val="24"/>
          <w:szCs w:val="24"/>
        </w:rPr>
        <w:t xml:space="preserve"> could be achieved </w:t>
      </w:r>
      <w:r w:rsidR="00735D6C" w:rsidRPr="00823856">
        <w:rPr>
          <w:rFonts w:asciiTheme="majorBidi" w:hAnsiTheme="majorBidi" w:cstheme="majorBidi"/>
          <w:sz w:val="24"/>
          <w:szCs w:val="24"/>
        </w:rPr>
        <w:t>f</w:t>
      </w:r>
      <w:r w:rsidRPr="00823856">
        <w:rPr>
          <w:rFonts w:asciiTheme="majorBidi" w:hAnsiTheme="majorBidi" w:cstheme="majorBidi"/>
          <w:sz w:val="24"/>
          <w:szCs w:val="24"/>
        </w:rPr>
        <w:t xml:space="preserve">or </w:t>
      </w:r>
      <w:r w:rsidR="00735D6C" w:rsidRPr="00823856">
        <w:rPr>
          <w:rFonts w:asciiTheme="majorBidi" w:hAnsiTheme="majorBidi" w:cstheme="majorBidi"/>
          <w:sz w:val="24"/>
          <w:szCs w:val="24"/>
        </w:rPr>
        <w:t xml:space="preserve">different </w:t>
      </w:r>
      <w:r w:rsidRPr="00823856">
        <w:rPr>
          <w:rFonts w:asciiTheme="majorBidi" w:hAnsiTheme="majorBidi" w:cstheme="majorBidi"/>
          <w:sz w:val="24"/>
          <w:szCs w:val="24"/>
        </w:rPr>
        <w:t xml:space="preserve">materials, </w:t>
      </w:r>
      <w:r w:rsidR="00735D6C" w:rsidRPr="00823856">
        <w:rPr>
          <w:rFonts w:asciiTheme="majorBidi" w:hAnsiTheme="majorBidi" w:cstheme="majorBidi"/>
          <w:sz w:val="24"/>
          <w:szCs w:val="24"/>
        </w:rPr>
        <w:t xml:space="preserve">at </w:t>
      </w:r>
      <w:r w:rsidRPr="00823856">
        <w:rPr>
          <w:rFonts w:asciiTheme="majorBidi" w:hAnsiTheme="majorBidi" w:cstheme="majorBidi"/>
          <w:sz w:val="24"/>
          <w:szCs w:val="24"/>
        </w:rPr>
        <w:t xml:space="preserve">16%, 21%, and 40% for concrete, timber, and steel respectively. One aspect of this research was SLCA, and Kamali et al. (2017) also indicated a gap in the literature about the cost and social impact of PPVC. Thus, </w:t>
      </w:r>
      <w:r w:rsidR="00735D6C" w:rsidRPr="00823856">
        <w:rPr>
          <w:rFonts w:asciiTheme="majorBidi" w:hAnsiTheme="majorBidi" w:cstheme="majorBidi"/>
          <w:sz w:val="24"/>
          <w:szCs w:val="24"/>
        </w:rPr>
        <w:t xml:space="preserve">future studies should focus on </w:t>
      </w:r>
      <w:r w:rsidRPr="00823856">
        <w:rPr>
          <w:rFonts w:asciiTheme="majorBidi" w:hAnsiTheme="majorBidi" w:cstheme="majorBidi"/>
          <w:sz w:val="24"/>
          <w:szCs w:val="24"/>
        </w:rPr>
        <w:t>social assessment</w:t>
      </w:r>
      <w:r w:rsidR="00735D6C" w:rsidRPr="00823856">
        <w:rPr>
          <w:rFonts w:asciiTheme="majorBidi" w:hAnsiTheme="majorBidi" w:cstheme="majorBidi"/>
          <w:sz w:val="24"/>
          <w:szCs w:val="24"/>
        </w:rPr>
        <w:t>s</w:t>
      </w:r>
      <w:r w:rsidRPr="00823856">
        <w:rPr>
          <w:rFonts w:asciiTheme="majorBidi" w:hAnsiTheme="majorBidi" w:cstheme="majorBidi"/>
          <w:sz w:val="24"/>
          <w:szCs w:val="24"/>
        </w:rPr>
        <w:t xml:space="preserve"> compared to the environmental dimension. Faludi et al. (2012) accomplished LCA for decision making of prefabricated commercial modular building in California. The</w:t>
      </w:r>
      <w:r w:rsidR="00735D6C" w:rsidRPr="00823856">
        <w:rPr>
          <w:rFonts w:asciiTheme="majorBidi" w:hAnsiTheme="majorBidi" w:cstheme="majorBidi"/>
          <w:sz w:val="24"/>
          <w:szCs w:val="24"/>
        </w:rPr>
        <w:t>ir</w:t>
      </w:r>
      <w:r w:rsidRPr="00823856">
        <w:rPr>
          <w:rFonts w:asciiTheme="majorBidi" w:hAnsiTheme="majorBidi" w:cstheme="majorBidi"/>
          <w:sz w:val="24"/>
          <w:szCs w:val="24"/>
        </w:rPr>
        <w:t xml:space="preserve"> result</w:t>
      </w:r>
      <w:r w:rsidR="00735D6C" w:rsidRPr="00823856">
        <w:rPr>
          <w:rFonts w:asciiTheme="majorBidi" w:hAnsiTheme="majorBidi" w:cstheme="majorBidi"/>
          <w:sz w:val="24"/>
          <w:szCs w:val="24"/>
        </w:rPr>
        <w:t>s</w:t>
      </w:r>
      <w:r w:rsidRPr="00823856">
        <w:rPr>
          <w:rFonts w:asciiTheme="majorBidi" w:hAnsiTheme="majorBidi" w:cstheme="majorBidi"/>
          <w:sz w:val="24"/>
          <w:szCs w:val="24"/>
        </w:rPr>
        <w:t xml:space="preserve"> </w:t>
      </w:r>
      <w:proofErr w:type="gramStart"/>
      <w:r w:rsidRPr="00823856">
        <w:rPr>
          <w:rFonts w:asciiTheme="majorBidi" w:hAnsiTheme="majorBidi" w:cstheme="majorBidi"/>
          <w:sz w:val="24"/>
          <w:szCs w:val="24"/>
        </w:rPr>
        <w:t>shows</w:t>
      </w:r>
      <w:proofErr w:type="gramEnd"/>
      <w:r w:rsidRPr="00823856">
        <w:rPr>
          <w:rFonts w:asciiTheme="majorBidi" w:hAnsiTheme="majorBidi" w:cstheme="majorBidi"/>
          <w:sz w:val="24"/>
          <w:szCs w:val="24"/>
        </w:rPr>
        <w:t xml:space="preserve"> that the transportation and end-of-life disposal impacts are </w:t>
      </w:r>
      <w:r w:rsidR="00735D6C" w:rsidRPr="00823856">
        <w:rPr>
          <w:rFonts w:asciiTheme="majorBidi" w:hAnsiTheme="majorBidi" w:cstheme="majorBidi"/>
          <w:sz w:val="24"/>
          <w:szCs w:val="24"/>
        </w:rPr>
        <w:t xml:space="preserve">of </w:t>
      </w:r>
      <w:r w:rsidRPr="00823856">
        <w:rPr>
          <w:rFonts w:asciiTheme="majorBidi" w:hAnsiTheme="majorBidi" w:cstheme="majorBidi"/>
          <w:sz w:val="24"/>
          <w:szCs w:val="24"/>
        </w:rPr>
        <w:t>low to negligible importance, which this study agrees with. The cumulative embodied energy for transportation and crane (on-site activity) is about 3% of</w:t>
      </w:r>
      <w:r w:rsidR="00735D6C" w:rsidRPr="00823856">
        <w:rPr>
          <w:rFonts w:asciiTheme="majorBidi" w:hAnsiTheme="majorBidi" w:cstheme="majorBidi"/>
          <w:sz w:val="24"/>
          <w:szCs w:val="24"/>
        </w:rPr>
        <w:t xml:space="preserve"> the</w:t>
      </w:r>
      <w:r w:rsidRPr="00823856">
        <w:rPr>
          <w:rFonts w:asciiTheme="majorBidi" w:hAnsiTheme="majorBidi" w:cstheme="majorBidi"/>
          <w:sz w:val="24"/>
          <w:szCs w:val="24"/>
        </w:rPr>
        <w:t xml:space="preserve"> total impact, while the </w:t>
      </w:r>
      <w:r w:rsidR="00735D6C" w:rsidRPr="00823856">
        <w:rPr>
          <w:rFonts w:asciiTheme="majorBidi" w:hAnsiTheme="majorBidi" w:cstheme="majorBidi"/>
          <w:sz w:val="24"/>
          <w:szCs w:val="24"/>
        </w:rPr>
        <w:t xml:space="preserve">cost </w:t>
      </w:r>
      <w:r w:rsidRPr="00823856">
        <w:rPr>
          <w:rFonts w:asciiTheme="majorBidi" w:hAnsiTheme="majorBidi" w:cstheme="majorBidi"/>
          <w:sz w:val="24"/>
          <w:szCs w:val="24"/>
        </w:rPr>
        <w:t xml:space="preserve">comparison of for the same </w:t>
      </w:r>
      <w:r w:rsidR="00735D6C" w:rsidRPr="00823856">
        <w:rPr>
          <w:rFonts w:asciiTheme="majorBidi" w:hAnsiTheme="majorBidi" w:cstheme="majorBidi"/>
          <w:sz w:val="24"/>
          <w:szCs w:val="24"/>
        </w:rPr>
        <w:t>matter</w:t>
      </w:r>
      <w:r w:rsidRPr="00823856">
        <w:rPr>
          <w:rFonts w:asciiTheme="majorBidi" w:hAnsiTheme="majorBidi" w:cstheme="majorBidi"/>
          <w:sz w:val="24"/>
          <w:szCs w:val="24"/>
        </w:rPr>
        <w:t xml:space="preserve"> </w:t>
      </w:r>
      <w:r w:rsidR="00735D6C" w:rsidRPr="00823856">
        <w:rPr>
          <w:rFonts w:asciiTheme="majorBidi" w:hAnsiTheme="majorBidi" w:cstheme="majorBidi"/>
          <w:sz w:val="24"/>
          <w:szCs w:val="24"/>
        </w:rPr>
        <w:t xml:space="preserve">had an impact </w:t>
      </w:r>
      <w:proofErr w:type="gramStart"/>
      <w:r w:rsidR="00735D6C" w:rsidRPr="00823856">
        <w:rPr>
          <w:rFonts w:asciiTheme="majorBidi" w:hAnsiTheme="majorBidi" w:cstheme="majorBidi"/>
          <w:sz w:val="24"/>
          <w:szCs w:val="24"/>
        </w:rPr>
        <w:t>of</w:t>
      </w:r>
      <w:r w:rsidRPr="00823856">
        <w:rPr>
          <w:rFonts w:asciiTheme="majorBidi" w:hAnsiTheme="majorBidi" w:cstheme="majorBidi"/>
          <w:sz w:val="24"/>
          <w:szCs w:val="24"/>
        </w:rPr>
        <w:t xml:space="preserve">  9</w:t>
      </w:r>
      <w:proofErr w:type="gramEnd"/>
      <w:r w:rsidRPr="00823856">
        <w:rPr>
          <w:rFonts w:asciiTheme="majorBidi" w:hAnsiTheme="majorBidi" w:cstheme="majorBidi"/>
          <w:sz w:val="24"/>
          <w:szCs w:val="24"/>
        </w:rPr>
        <w:t>%.</w:t>
      </w:r>
    </w:p>
    <w:p w14:paraId="1DE15573" w14:textId="50AAF33B" w:rsidR="00574845" w:rsidRPr="00823856" w:rsidRDefault="002C3707"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Meanwhile, the cost for transportation and crane for prefabricated</w:t>
      </w:r>
      <w:r w:rsidR="00735D6C" w:rsidRPr="00823856">
        <w:rPr>
          <w:rFonts w:asciiTheme="majorBidi" w:hAnsiTheme="majorBidi" w:cstheme="majorBidi"/>
          <w:sz w:val="24"/>
          <w:szCs w:val="24"/>
        </w:rPr>
        <w:t xml:space="preserve"> modular construction</w:t>
      </w:r>
      <w:r w:rsidRPr="00823856">
        <w:rPr>
          <w:rFonts w:asciiTheme="majorBidi" w:hAnsiTheme="majorBidi" w:cstheme="majorBidi"/>
          <w:sz w:val="24"/>
          <w:szCs w:val="24"/>
        </w:rPr>
        <w:t xml:space="preserve"> </w:t>
      </w:r>
      <w:proofErr w:type="gramStart"/>
      <w:r w:rsidRPr="00823856">
        <w:rPr>
          <w:rFonts w:asciiTheme="majorBidi" w:hAnsiTheme="majorBidi" w:cstheme="majorBidi"/>
          <w:sz w:val="24"/>
          <w:szCs w:val="24"/>
        </w:rPr>
        <w:t xml:space="preserve">equals </w:t>
      </w:r>
      <w:r w:rsidR="00735D6C" w:rsidRPr="00823856">
        <w:rPr>
          <w:rFonts w:asciiTheme="majorBidi" w:hAnsiTheme="majorBidi" w:cstheme="majorBidi"/>
          <w:sz w:val="24"/>
          <w:szCs w:val="24"/>
        </w:rPr>
        <w:t>to</w:t>
      </w:r>
      <w:proofErr w:type="gramEnd"/>
      <w:r w:rsidR="00735D6C" w:rsidRPr="00823856">
        <w:rPr>
          <w:rFonts w:asciiTheme="majorBidi" w:hAnsiTheme="majorBidi" w:cstheme="majorBidi"/>
          <w:sz w:val="24"/>
          <w:szCs w:val="24"/>
        </w:rPr>
        <w:t xml:space="preserve"> </w:t>
      </w:r>
      <w:r w:rsidRPr="00823856">
        <w:rPr>
          <w:rFonts w:asciiTheme="majorBidi" w:hAnsiTheme="majorBidi" w:cstheme="majorBidi"/>
          <w:sz w:val="24"/>
          <w:szCs w:val="24"/>
        </w:rPr>
        <w:t>6% to 9% of the total cost. Th</w:t>
      </w:r>
      <w:r w:rsidR="00735D6C" w:rsidRPr="00823856">
        <w:rPr>
          <w:rFonts w:asciiTheme="majorBidi" w:hAnsiTheme="majorBidi" w:cstheme="majorBidi"/>
          <w:sz w:val="24"/>
          <w:szCs w:val="24"/>
        </w:rPr>
        <w:t>is</w:t>
      </w:r>
      <w:r w:rsidRPr="00823856">
        <w:rPr>
          <w:rFonts w:asciiTheme="majorBidi" w:hAnsiTheme="majorBidi" w:cstheme="majorBidi"/>
          <w:sz w:val="24"/>
          <w:szCs w:val="24"/>
        </w:rPr>
        <w:t xml:space="preserve"> result </w:t>
      </w:r>
      <w:proofErr w:type="gramStart"/>
      <w:r w:rsidRPr="00823856">
        <w:rPr>
          <w:rFonts w:asciiTheme="majorBidi" w:hAnsiTheme="majorBidi" w:cstheme="majorBidi"/>
          <w:sz w:val="24"/>
          <w:szCs w:val="24"/>
        </w:rPr>
        <w:t>is in agreement</w:t>
      </w:r>
      <w:proofErr w:type="gramEnd"/>
      <w:r w:rsidRPr="00823856">
        <w:rPr>
          <w:rFonts w:asciiTheme="majorBidi" w:hAnsiTheme="majorBidi" w:cstheme="majorBidi"/>
          <w:sz w:val="24"/>
          <w:szCs w:val="24"/>
        </w:rPr>
        <w:t xml:space="preserve"> with previous research by (Kim 2008a). Most previous sustainability studies focused on environmental and economic aspects, and social assessment was neglected.</w:t>
      </w:r>
      <w:r w:rsidR="00D52101" w:rsidRPr="00823856">
        <w:rPr>
          <w:rFonts w:asciiTheme="majorBidi" w:hAnsiTheme="majorBidi" w:cstheme="majorBidi"/>
          <w:sz w:val="24"/>
          <w:szCs w:val="24"/>
        </w:rPr>
        <w:t xml:space="preserve"> </w:t>
      </w:r>
    </w:p>
    <w:p w14:paraId="67481F39" w14:textId="77777777" w:rsidR="00735D6C" w:rsidRPr="00823856" w:rsidRDefault="00735D6C" w:rsidP="00EE12FE">
      <w:pPr>
        <w:autoSpaceDE w:val="0"/>
        <w:autoSpaceDN w:val="0"/>
        <w:adjustRightInd w:val="0"/>
        <w:spacing w:line="276" w:lineRule="auto"/>
        <w:ind w:firstLine="720"/>
        <w:jc w:val="both"/>
        <w:rPr>
          <w:rFonts w:asciiTheme="majorBidi" w:hAnsiTheme="majorBidi" w:cstheme="majorBidi"/>
          <w:sz w:val="24"/>
          <w:szCs w:val="24"/>
        </w:rPr>
      </w:pPr>
    </w:p>
    <w:p w14:paraId="4108A06D" w14:textId="5E45D857" w:rsidR="006D4A70" w:rsidRPr="00823856" w:rsidRDefault="006D4A70" w:rsidP="00EE12FE">
      <w:pPr>
        <w:pStyle w:val="ListParagraph"/>
        <w:numPr>
          <w:ilvl w:val="1"/>
          <w:numId w:val="1"/>
        </w:numPr>
        <w:autoSpaceDE w:val="0"/>
        <w:autoSpaceDN w:val="0"/>
        <w:adjustRightInd w:val="0"/>
        <w:spacing w:line="276" w:lineRule="auto"/>
        <w:rPr>
          <w:rFonts w:asciiTheme="majorBidi" w:hAnsiTheme="majorBidi" w:cstheme="majorBidi"/>
          <w:b/>
          <w:bCs/>
          <w:sz w:val="24"/>
          <w:szCs w:val="24"/>
        </w:rPr>
      </w:pPr>
      <w:r w:rsidRPr="00823856">
        <w:rPr>
          <w:rFonts w:asciiTheme="majorBidi" w:hAnsiTheme="majorBidi" w:cstheme="majorBidi"/>
          <w:b/>
          <w:bCs/>
          <w:sz w:val="24"/>
          <w:szCs w:val="24"/>
        </w:rPr>
        <w:t xml:space="preserve">Sensitivity analysis </w:t>
      </w:r>
    </w:p>
    <w:p w14:paraId="7A666CA1" w14:textId="50FE2F91" w:rsidR="00D83D09" w:rsidRPr="00823856" w:rsidRDefault="005E2662"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Sensitivity analysis aims to determine how sensitive the output of a model </w:t>
      </w:r>
      <w:r w:rsidR="00735D6C" w:rsidRPr="00823856">
        <w:rPr>
          <w:rFonts w:asciiTheme="majorBidi" w:hAnsiTheme="majorBidi" w:cstheme="majorBidi"/>
          <w:sz w:val="24"/>
          <w:szCs w:val="24"/>
        </w:rPr>
        <w:t xml:space="preserve">is towards uncertain </w:t>
      </w:r>
      <w:r w:rsidRPr="00823856">
        <w:rPr>
          <w:rFonts w:asciiTheme="majorBidi" w:hAnsiTheme="majorBidi" w:cstheme="majorBidi"/>
          <w:sz w:val="24"/>
          <w:szCs w:val="24"/>
        </w:rPr>
        <w:t xml:space="preserve">elements of the model. </w:t>
      </w:r>
      <w:r w:rsidR="00735D6C" w:rsidRPr="00823856">
        <w:rPr>
          <w:rFonts w:asciiTheme="majorBidi" w:hAnsiTheme="majorBidi" w:cstheme="majorBidi"/>
          <w:sz w:val="24"/>
          <w:szCs w:val="24"/>
        </w:rPr>
        <w:t>T</w:t>
      </w:r>
      <w:r w:rsidRPr="00823856">
        <w:rPr>
          <w:rFonts w:asciiTheme="majorBidi" w:hAnsiTheme="majorBidi" w:cstheme="majorBidi"/>
          <w:sz w:val="24"/>
          <w:szCs w:val="24"/>
        </w:rPr>
        <w:t>hree different sensitivity analyses were conducted</w:t>
      </w:r>
      <w:r w:rsidR="008B7913" w:rsidRPr="00823856">
        <w:rPr>
          <w:rFonts w:asciiTheme="majorBidi" w:hAnsiTheme="majorBidi" w:cstheme="majorBidi"/>
          <w:sz w:val="24"/>
          <w:szCs w:val="24"/>
        </w:rPr>
        <w:t xml:space="preserve">. </w:t>
      </w:r>
      <w:r w:rsidRPr="00823856">
        <w:rPr>
          <w:rFonts w:asciiTheme="majorBidi" w:hAnsiTheme="majorBidi" w:cstheme="majorBidi"/>
          <w:sz w:val="24"/>
          <w:szCs w:val="24"/>
        </w:rPr>
        <w:t xml:space="preserve">First, the PROMETHEE I </w:t>
      </w:r>
      <w:proofErr w:type="gramStart"/>
      <w:r w:rsidRPr="00823856">
        <w:rPr>
          <w:rFonts w:asciiTheme="majorBidi" w:hAnsiTheme="majorBidi" w:cstheme="majorBidi"/>
          <w:sz w:val="24"/>
          <w:szCs w:val="24"/>
        </w:rPr>
        <w:t>was applied</w:t>
      </w:r>
      <w:proofErr w:type="gramEnd"/>
      <w:r w:rsidRPr="00823856">
        <w:rPr>
          <w:rFonts w:asciiTheme="majorBidi" w:hAnsiTheme="majorBidi" w:cstheme="majorBidi"/>
          <w:sz w:val="24"/>
          <w:szCs w:val="24"/>
        </w:rPr>
        <w:t xml:space="preserve"> to compare each modular construction technique. In this method, after the preference function was calculated in, it was multiplied with the relative weighting </w:t>
      </w:r>
      <w:proofErr w:type="gramStart"/>
      <w:r w:rsidRPr="00823856">
        <w:rPr>
          <w:rFonts w:asciiTheme="majorBidi" w:hAnsiTheme="majorBidi" w:cstheme="majorBidi"/>
          <w:sz w:val="24"/>
          <w:szCs w:val="24"/>
        </w:rPr>
        <w:t>similar to</w:t>
      </w:r>
      <w:proofErr w:type="gramEnd"/>
      <w:r w:rsidRPr="00823856">
        <w:rPr>
          <w:rFonts w:asciiTheme="majorBidi" w:hAnsiTheme="majorBidi" w:cstheme="majorBidi"/>
          <w:sz w:val="24"/>
          <w:szCs w:val="24"/>
        </w:rPr>
        <w:t xml:space="preserve"> the previous PROMETHEE II method. Next step, in PROMETHEE I, instead of taking the average, the sum was taken. Figure </w:t>
      </w:r>
      <w:r w:rsidR="00A254F0">
        <w:rPr>
          <w:rFonts w:asciiTheme="majorBidi" w:hAnsiTheme="majorBidi" w:cstheme="majorBidi"/>
          <w:sz w:val="24"/>
          <w:szCs w:val="24"/>
        </w:rPr>
        <w:t>7</w:t>
      </w:r>
      <w:r w:rsidRPr="00823856">
        <w:rPr>
          <w:rFonts w:asciiTheme="majorBidi" w:hAnsiTheme="majorBidi" w:cstheme="majorBidi"/>
          <w:sz w:val="24"/>
          <w:szCs w:val="24"/>
        </w:rPr>
        <w:t xml:space="preserve"> presents the PROMETHEE I partial ranking, which was calculated based on the beneficial and non-beneficial outranking flows. In PROMETHEE I, instead of defining the rank, the references were calculated. The rule is </w:t>
      </w:r>
      <w:r w:rsidR="008B7913" w:rsidRPr="00823856">
        <w:rPr>
          <w:rFonts w:asciiTheme="majorBidi" w:hAnsiTheme="majorBidi" w:cstheme="majorBidi"/>
          <w:sz w:val="24"/>
          <w:szCs w:val="24"/>
        </w:rPr>
        <w:t xml:space="preserve">that </w:t>
      </w:r>
      <w:r w:rsidRPr="00823856">
        <w:rPr>
          <w:rFonts w:asciiTheme="majorBidi" w:hAnsiTheme="majorBidi" w:cstheme="majorBidi"/>
          <w:sz w:val="24"/>
          <w:szCs w:val="24"/>
        </w:rPr>
        <w:t xml:space="preserve">the alternative with higher </w:t>
      </w:r>
      <w:r w:rsidR="008B7913" w:rsidRPr="00823856">
        <w:rPr>
          <w:rFonts w:asciiTheme="majorBidi" w:hAnsiTheme="majorBidi" w:cstheme="majorBidi"/>
          <w:sz w:val="24"/>
          <w:szCs w:val="24"/>
        </w:rPr>
        <w:t>l</w:t>
      </w:r>
      <w:r w:rsidRPr="00823856">
        <w:rPr>
          <w:rFonts w:asciiTheme="majorBidi" w:hAnsiTheme="majorBidi" w:cstheme="majorBidi"/>
          <w:sz w:val="24"/>
          <w:szCs w:val="24"/>
        </w:rPr>
        <w:t xml:space="preserve">eaving flow, and lower </w:t>
      </w:r>
      <w:r w:rsidR="008B7913" w:rsidRPr="00823856">
        <w:rPr>
          <w:rFonts w:asciiTheme="majorBidi" w:hAnsiTheme="majorBidi" w:cstheme="majorBidi"/>
          <w:sz w:val="24"/>
          <w:szCs w:val="24"/>
        </w:rPr>
        <w:t>e</w:t>
      </w:r>
      <w:r w:rsidRPr="00823856">
        <w:rPr>
          <w:rFonts w:asciiTheme="majorBidi" w:hAnsiTheme="majorBidi" w:cstheme="majorBidi"/>
          <w:sz w:val="24"/>
          <w:szCs w:val="24"/>
        </w:rPr>
        <w:t xml:space="preserve">ntering flow is the best option (preferred).  </w:t>
      </w:r>
      <w:r w:rsidR="008B7913" w:rsidRPr="00823856">
        <w:rPr>
          <w:rFonts w:asciiTheme="majorBidi" w:hAnsiTheme="majorBidi" w:cstheme="majorBidi"/>
          <w:sz w:val="24"/>
          <w:szCs w:val="24"/>
        </w:rPr>
        <w:t>T</w:t>
      </w:r>
      <w:r w:rsidRPr="00823856">
        <w:rPr>
          <w:rFonts w:asciiTheme="majorBidi" w:hAnsiTheme="majorBidi" w:cstheme="majorBidi"/>
          <w:sz w:val="24"/>
          <w:szCs w:val="24"/>
        </w:rPr>
        <w:t xml:space="preserve">hus, S-PPVC is preferred against C-PPVC and T-PPVC. </w:t>
      </w:r>
      <w:r w:rsidR="008B7913" w:rsidRPr="00823856">
        <w:rPr>
          <w:rFonts w:asciiTheme="majorBidi" w:hAnsiTheme="majorBidi" w:cstheme="majorBidi"/>
          <w:sz w:val="24"/>
          <w:szCs w:val="24"/>
        </w:rPr>
        <w:t xml:space="preserve">The results also show that </w:t>
      </w:r>
      <w:r w:rsidRPr="00823856">
        <w:rPr>
          <w:rFonts w:asciiTheme="majorBidi" w:hAnsiTheme="majorBidi" w:cstheme="majorBidi"/>
          <w:sz w:val="24"/>
          <w:szCs w:val="24"/>
        </w:rPr>
        <w:t xml:space="preserve">C-PPVC is incomparable to T-PPVC. Thus, steel modular </w:t>
      </w:r>
      <w:r w:rsidR="008B7913" w:rsidRPr="00823856">
        <w:rPr>
          <w:rFonts w:asciiTheme="majorBidi" w:hAnsiTheme="majorBidi" w:cstheme="majorBidi"/>
          <w:sz w:val="24"/>
          <w:szCs w:val="24"/>
        </w:rPr>
        <w:t xml:space="preserve">construction </w:t>
      </w:r>
      <w:r w:rsidRPr="00823856">
        <w:rPr>
          <w:rFonts w:asciiTheme="majorBidi" w:hAnsiTheme="majorBidi" w:cstheme="majorBidi"/>
          <w:sz w:val="24"/>
          <w:szCs w:val="24"/>
        </w:rPr>
        <w:t>is revealed as the best option again following by concrete and timber.</w:t>
      </w:r>
      <w:r w:rsidR="00757679" w:rsidRPr="00823856">
        <w:rPr>
          <w:rFonts w:asciiTheme="majorBidi" w:hAnsiTheme="majorBidi" w:cstheme="majorBidi"/>
          <w:sz w:val="24"/>
          <w:szCs w:val="24"/>
        </w:rPr>
        <w:t xml:space="preserve"> </w:t>
      </w:r>
    </w:p>
    <w:p w14:paraId="6358AA91" w14:textId="77777777" w:rsidR="009F3120" w:rsidRPr="00F5545F" w:rsidRDefault="009F3120" w:rsidP="009F3120">
      <w:pPr>
        <w:autoSpaceDE w:val="0"/>
        <w:autoSpaceDN w:val="0"/>
        <w:adjustRightInd w:val="0"/>
        <w:spacing w:after="0" w:line="276" w:lineRule="auto"/>
        <w:jc w:val="center"/>
        <w:rPr>
          <w:rFonts w:asciiTheme="majorBidi" w:hAnsiTheme="majorBidi" w:cstheme="majorBidi"/>
          <w:b/>
          <w:bCs/>
          <w:i/>
          <w:iCs/>
        </w:rPr>
      </w:pPr>
      <w:r w:rsidRPr="00F5545F">
        <w:rPr>
          <w:rFonts w:asciiTheme="majorBidi" w:hAnsiTheme="majorBidi" w:cstheme="majorBidi"/>
          <w:b/>
          <w:bCs/>
          <w:i/>
          <w:iCs/>
          <w:noProof/>
        </w:rPr>
        <w:lastRenderedPageBreak/>
        <w:drawing>
          <wp:inline distT="0" distB="0" distL="0" distR="0" wp14:anchorId="65FB69C9" wp14:editId="791630D0">
            <wp:extent cx="3706206" cy="2279655"/>
            <wp:effectExtent l="0" t="0" r="8890" b="6350"/>
            <wp:docPr id="1234303256" name="Picture 1234303256" descr="C:\Users\Ali\Desktop\Screenshot 2021-07-09 085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Desktop\Screenshot 2021-07-09 08522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0181" cy="2282100"/>
                    </a:xfrm>
                    <a:prstGeom prst="rect">
                      <a:avLst/>
                    </a:prstGeom>
                    <a:noFill/>
                    <a:ln>
                      <a:noFill/>
                    </a:ln>
                  </pic:spPr>
                </pic:pic>
              </a:graphicData>
            </a:graphic>
          </wp:inline>
        </w:drawing>
      </w:r>
    </w:p>
    <w:p w14:paraId="5B945E88" w14:textId="0DD23B19" w:rsidR="009F3120" w:rsidRPr="00F5545F" w:rsidRDefault="009F3120" w:rsidP="009F3120">
      <w:pPr>
        <w:autoSpaceDE w:val="0"/>
        <w:autoSpaceDN w:val="0"/>
        <w:adjustRightInd w:val="0"/>
        <w:spacing w:line="276" w:lineRule="auto"/>
        <w:jc w:val="center"/>
        <w:rPr>
          <w:rFonts w:asciiTheme="majorBidi" w:hAnsiTheme="majorBidi" w:cstheme="majorBidi"/>
          <w:b/>
          <w:bCs/>
          <w:i/>
          <w:iCs/>
        </w:rPr>
      </w:pPr>
      <w:r w:rsidRPr="00F5545F">
        <w:rPr>
          <w:rFonts w:ascii="Times New Roman" w:hAnsi="Times New Roman" w:cs="Times New Roman"/>
          <w:sz w:val="18"/>
          <w:szCs w:val="18"/>
        </w:rPr>
        <w:t>Fig.</w:t>
      </w:r>
      <w:r w:rsidR="00A254F0">
        <w:rPr>
          <w:rFonts w:ascii="Times New Roman" w:hAnsi="Times New Roman" w:cs="Times New Roman"/>
          <w:sz w:val="18"/>
          <w:szCs w:val="18"/>
        </w:rPr>
        <w:t>7</w:t>
      </w:r>
      <w:r w:rsidRPr="00F5545F">
        <w:rPr>
          <w:rFonts w:ascii="Times New Roman" w:hAnsi="Times New Roman" w:cs="Times New Roman"/>
          <w:sz w:val="18"/>
          <w:szCs w:val="18"/>
        </w:rPr>
        <w:t>. PROMETHEE I</w:t>
      </w:r>
    </w:p>
    <w:p w14:paraId="3168270E" w14:textId="77777777" w:rsidR="008B7913" w:rsidRPr="00823856" w:rsidRDefault="008B7913" w:rsidP="00EE12FE">
      <w:pPr>
        <w:autoSpaceDE w:val="0"/>
        <w:autoSpaceDN w:val="0"/>
        <w:adjustRightInd w:val="0"/>
        <w:spacing w:line="276" w:lineRule="auto"/>
        <w:jc w:val="center"/>
        <w:rPr>
          <w:rFonts w:asciiTheme="majorBidi" w:hAnsiTheme="majorBidi" w:cstheme="majorBidi"/>
          <w:b/>
          <w:bCs/>
          <w:i/>
          <w:iCs/>
          <w:sz w:val="24"/>
          <w:szCs w:val="24"/>
        </w:rPr>
      </w:pPr>
    </w:p>
    <w:p w14:paraId="66DCE6D7" w14:textId="47D2C71D" w:rsidR="003529CA" w:rsidRPr="00823856" w:rsidRDefault="00723D7B" w:rsidP="00EE12FE">
      <w:pPr>
        <w:autoSpaceDE w:val="0"/>
        <w:autoSpaceDN w:val="0"/>
        <w:adjustRightInd w:val="0"/>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rPr>
        <w:t xml:space="preserve">As </w:t>
      </w:r>
      <w:r w:rsidR="008B7913" w:rsidRPr="00823856">
        <w:rPr>
          <w:rFonts w:asciiTheme="majorBidi" w:hAnsiTheme="majorBidi" w:cstheme="majorBidi"/>
          <w:sz w:val="24"/>
          <w:szCs w:val="24"/>
        </w:rPr>
        <w:t>shown</w:t>
      </w:r>
      <w:r w:rsidRPr="00823856">
        <w:rPr>
          <w:rFonts w:asciiTheme="majorBidi" w:hAnsiTheme="majorBidi" w:cstheme="majorBidi"/>
          <w:sz w:val="24"/>
          <w:szCs w:val="24"/>
        </w:rPr>
        <w:t xml:space="preserve"> in Table 6, the weight assessment was collected based on experts’ opinions from different backgrounds. Thus, a sensitivity analysis was performed to overcome human subjectivity in settling the </w:t>
      </w:r>
      <w:proofErr w:type="gramStart"/>
      <w:r w:rsidRPr="00823856">
        <w:rPr>
          <w:rFonts w:asciiTheme="majorBidi" w:hAnsiTheme="majorBidi" w:cstheme="majorBidi"/>
          <w:sz w:val="24"/>
          <w:szCs w:val="24"/>
        </w:rPr>
        <w:t>weighs</w:t>
      </w:r>
      <w:proofErr w:type="gramEnd"/>
      <w:r w:rsidRPr="00823856">
        <w:rPr>
          <w:rFonts w:asciiTheme="majorBidi" w:hAnsiTheme="majorBidi" w:cstheme="majorBidi"/>
          <w:sz w:val="24"/>
          <w:szCs w:val="24"/>
        </w:rPr>
        <w:t xml:space="preserve">. Therefore, all weighting was changed in this section, the criteria were re-developed for each module structure, and weightings were considered equal to 0.25 (one divided </w:t>
      </w:r>
      <w:r w:rsidR="008B7913" w:rsidRPr="00823856">
        <w:rPr>
          <w:rFonts w:asciiTheme="majorBidi" w:hAnsiTheme="majorBidi" w:cstheme="majorBidi"/>
          <w:sz w:val="24"/>
          <w:szCs w:val="24"/>
        </w:rPr>
        <w:t xml:space="preserve">by </w:t>
      </w:r>
      <w:r w:rsidRPr="00823856">
        <w:rPr>
          <w:rFonts w:asciiTheme="majorBidi" w:hAnsiTheme="majorBidi" w:cstheme="majorBidi"/>
          <w:sz w:val="24"/>
          <w:szCs w:val="24"/>
        </w:rPr>
        <w:t>four). Table 11 shows equal weighting for three case studies and the priorit</w:t>
      </w:r>
      <w:r w:rsidR="008B7913" w:rsidRPr="00823856">
        <w:rPr>
          <w:rFonts w:asciiTheme="majorBidi" w:hAnsiTheme="majorBidi" w:cstheme="majorBidi"/>
          <w:sz w:val="24"/>
          <w:szCs w:val="24"/>
        </w:rPr>
        <w:t>ies</w:t>
      </w:r>
      <w:r w:rsidRPr="00823856">
        <w:rPr>
          <w:rFonts w:asciiTheme="majorBidi" w:hAnsiTheme="majorBidi" w:cstheme="majorBidi"/>
          <w:sz w:val="24"/>
          <w:szCs w:val="24"/>
        </w:rPr>
        <w:t xml:space="preserve"> which were changed. It is interesting to understand how human subjectivity can influence the result</w:t>
      </w:r>
      <w:r w:rsidR="008B7913" w:rsidRPr="00823856">
        <w:rPr>
          <w:rFonts w:asciiTheme="majorBidi" w:hAnsiTheme="majorBidi" w:cstheme="majorBidi"/>
          <w:sz w:val="24"/>
          <w:szCs w:val="24"/>
        </w:rPr>
        <w:t>s</w:t>
      </w:r>
      <w:r w:rsidRPr="00823856">
        <w:rPr>
          <w:rFonts w:asciiTheme="majorBidi" w:hAnsiTheme="majorBidi" w:cstheme="majorBidi"/>
          <w:sz w:val="24"/>
          <w:szCs w:val="24"/>
        </w:rPr>
        <w:t xml:space="preserve">. Modular steel is still recognized as the best option, while </w:t>
      </w:r>
      <w:proofErr w:type="gramStart"/>
      <w:r w:rsidRPr="00823856">
        <w:rPr>
          <w:rFonts w:asciiTheme="majorBidi" w:hAnsiTheme="majorBidi" w:cstheme="majorBidi"/>
          <w:sz w:val="24"/>
          <w:szCs w:val="24"/>
        </w:rPr>
        <w:t>the timber</w:t>
      </w:r>
      <w:proofErr w:type="gramEnd"/>
      <w:r w:rsidRPr="00823856">
        <w:rPr>
          <w:rFonts w:asciiTheme="majorBidi" w:hAnsiTheme="majorBidi" w:cstheme="majorBidi"/>
          <w:sz w:val="24"/>
          <w:szCs w:val="24"/>
        </w:rPr>
        <w:t xml:space="preserve"> is replaced by concrete as the second priority.</w:t>
      </w:r>
    </w:p>
    <w:p w14:paraId="0ACC226B" w14:textId="77777777" w:rsidR="009F3120" w:rsidRPr="00F5545F" w:rsidRDefault="009F3120" w:rsidP="009F3120">
      <w:pPr>
        <w:autoSpaceDE w:val="0"/>
        <w:autoSpaceDN w:val="0"/>
        <w:adjustRightInd w:val="0"/>
        <w:spacing w:after="0" w:line="276" w:lineRule="auto"/>
        <w:ind w:left="450"/>
        <w:rPr>
          <w:rFonts w:asciiTheme="majorBidi" w:hAnsiTheme="majorBidi" w:cstheme="majorBidi"/>
          <w:sz w:val="18"/>
          <w:szCs w:val="18"/>
        </w:rPr>
      </w:pPr>
      <w:r w:rsidRPr="00F5545F">
        <w:rPr>
          <w:rFonts w:asciiTheme="majorBidi" w:hAnsiTheme="majorBidi" w:cstheme="majorBidi"/>
          <w:sz w:val="18"/>
          <w:szCs w:val="18"/>
        </w:rPr>
        <w:t xml:space="preserve">Table 11, sensitivity analysis same weighting </w:t>
      </w:r>
    </w:p>
    <w:tbl>
      <w:tblPr>
        <w:tblW w:w="0" w:type="auto"/>
        <w:jc w:val="center"/>
        <w:tblLook w:val="04A0" w:firstRow="1" w:lastRow="0" w:firstColumn="1" w:lastColumn="0" w:noHBand="0" w:noVBand="1"/>
      </w:tblPr>
      <w:tblGrid>
        <w:gridCol w:w="1365"/>
        <w:gridCol w:w="891"/>
        <w:gridCol w:w="891"/>
        <w:gridCol w:w="891"/>
        <w:gridCol w:w="1450"/>
        <w:gridCol w:w="1480"/>
        <w:gridCol w:w="891"/>
        <w:gridCol w:w="596"/>
      </w:tblGrid>
      <w:tr w:rsidR="009F3120" w:rsidRPr="00F5545F" w14:paraId="6DEB6F49" w14:textId="77777777" w:rsidTr="007F38F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451294E"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b/>
                <w:bCs/>
              </w:rPr>
              <w:t>Alternatives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AA6549"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S-PPVC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BFC7417"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C-PPVC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EFE76A4"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T-PPVC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31A34B6" w14:textId="77777777" w:rsidR="009F3120" w:rsidRPr="00F5545F" w:rsidRDefault="009F3120" w:rsidP="007F38F7">
            <w:pPr>
              <w:spacing w:after="0" w:line="276"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Leaving flow</w:t>
            </w:r>
            <m:oMath>
              <m:r>
                <m:rPr>
                  <m:sty m:val="p"/>
                </m:rPr>
                <w:rPr>
                  <w:rFonts w:ascii="Cambria Math" w:eastAsia="Times New Roman" w:hAnsi="Cambria Math" w:cstheme="majorBidi"/>
                  <w:sz w:val="18"/>
                  <w:szCs w:val="18"/>
                </w:rPr>
                <m:t xml:space="preserve"> </m:t>
              </m:r>
              <m:sSup>
                <m:sSupPr>
                  <m:ctrlPr>
                    <w:rPr>
                      <w:rFonts w:ascii="Cambria Math" w:eastAsia="Times New Roman" w:hAnsi="Cambria Math" w:cstheme="majorBidi"/>
                      <w:sz w:val="18"/>
                      <w:szCs w:val="18"/>
                    </w:rPr>
                  </m:ctrlPr>
                </m:sSupPr>
                <m:e>
                  <m:r>
                    <w:rPr>
                      <w:rFonts w:ascii="Cambria Math" w:eastAsia="Times New Roman" w:hAnsi="Cambria Math" w:cstheme="majorBidi"/>
                      <w:sz w:val="18"/>
                      <w:szCs w:val="18"/>
                    </w:rPr>
                    <m:t>φ</m:t>
                  </m:r>
                </m:e>
                <m:sup>
                  <m:r>
                    <m:rPr>
                      <m:sty m:val="p"/>
                    </m:rPr>
                    <w:rPr>
                      <w:rFonts w:ascii="Cambria Math" w:eastAsia="Times New Roman" w:hAnsi="Cambria Math" w:cstheme="majorBidi"/>
                      <w:sz w:val="18"/>
                      <w:szCs w:val="18"/>
                    </w:rPr>
                    <m:t>+</m:t>
                  </m:r>
                </m:sup>
              </m:sSup>
            </m:oMath>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4F6520BA" w14:textId="77777777" w:rsidR="009F3120" w:rsidRPr="00F5545F" w:rsidRDefault="009F3120" w:rsidP="007F38F7">
            <w:pPr>
              <w:spacing w:after="0" w:line="276"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Entering flow</w:t>
            </w:r>
            <m:oMath>
              <m:r>
                <m:rPr>
                  <m:sty m:val="p"/>
                </m:rPr>
                <w:rPr>
                  <w:rFonts w:ascii="Cambria Math" w:eastAsia="Times New Roman" w:hAnsi="Cambria Math" w:cstheme="majorBidi"/>
                  <w:sz w:val="18"/>
                  <w:szCs w:val="18"/>
                </w:rPr>
                <m:t xml:space="preserve"> </m:t>
              </m:r>
              <m:sSup>
                <m:sSupPr>
                  <m:ctrlPr>
                    <w:rPr>
                      <w:rFonts w:ascii="Cambria Math" w:eastAsia="Times New Roman" w:hAnsi="Cambria Math" w:cstheme="majorBidi"/>
                      <w:sz w:val="18"/>
                      <w:szCs w:val="18"/>
                    </w:rPr>
                  </m:ctrlPr>
                </m:sSupPr>
                <m:e>
                  <m:r>
                    <w:rPr>
                      <w:rFonts w:ascii="Cambria Math" w:eastAsia="Times New Roman" w:hAnsi="Cambria Math" w:cstheme="majorBidi"/>
                      <w:sz w:val="18"/>
                      <w:szCs w:val="18"/>
                    </w:rPr>
                    <m:t>φ</m:t>
                  </m:r>
                </m:e>
                <m:sup>
                  <m:r>
                    <m:rPr>
                      <m:sty m:val="p"/>
                    </m:rPr>
                    <w:rPr>
                      <w:rFonts w:ascii="Cambria Math" w:eastAsia="Times New Roman" w:hAnsi="Cambria Math" w:cstheme="majorBidi"/>
                      <w:sz w:val="18"/>
                      <w:szCs w:val="18"/>
                    </w:rPr>
                    <m:t>-</m:t>
                  </m:r>
                </m:sup>
              </m:sSup>
            </m:oMath>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75A56E16" w14:textId="77777777" w:rsidR="009F3120" w:rsidRPr="00F5545F" w:rsidRDefault="009F3120" w:rsidP="007F38F7">
            <w:pPr>
              <w:spacing w:after="0" w:line="276" w:lineRule="auto"/>
              <w:jc w:val="center"/>
              <w:rPr>
                <w:rFonts w:asciiTheme="majorBidi" w:eastAsia="Times New Roman" w:hAnsiTheme="majorBidi" w:cstheme="majorBidi"/>
                <w:sz w:val="18"/>
                <w:szCs w:val="18"/>
              </w:rPr>
            </w:pPr>
            <m:oMathPara>
              <m:oMath>
                <m:r>
                  <w:rPr>
                    <w:rFonts w:ascii="Cambria Math" w:eastAsia="Times New Roman" w:hAnsi="Cambria Math" w:cstheme="majorBidi"/>
                    <w:sz w:val="18"/>
                    <w:szCs w:val="18"/>
                  </w:rPr>
                  <m:t>φ</m:t>
                </m:r>
                <m:d>
                  <m:dPr>
                    <m:ctrlPr>
                      <w:rPr>
                        <w:rFonts w:ascii="Cambria Math" w:eastAsia="Times New Roman" w:hAnsi="Cambria Math" w:cstheme="majorBidi"/>
                        <w:sz w:val="18"/>
                        <w:szCs w:val="18"/>
                      </w:rPr>
                    </m:ctrlPr>
                  </m:dPr>
                  <m:e>
                    <m:r>
                      <w:rPr>
                        <w:rFonts w:ascii="Cambria Math" w:eastAsia="Times New Roman" w:hAnsi="Cambria Math" w:cstheme="majorBidi"/>
                        <w:sz w:val="18"/>
                        <w:szCs w:val="18"/>
                      </w:rPr>
                      <m:t>a</m:t>
                    </m:r>
                  </m:e>
                </m:d>
              </m:oMath>
            </m:oMathPara>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667D3F1F" w14:textId="77777777" w:rsidR="009F3120" w:rsidRPr="00F5545F" w:rsidRDefault="009F3120" w:rsidP="007F38F7">
            <w:pPr>
              <w:spacing w:after="0" w:line="276"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Rank</w:t>
            </w:r>
          </w:p>
        </w:tc>
      </w:tr>
      <w:tr w:rsidR="009F3120" w:rsidRPr="00F5545F" w14:paraId="1FEAE5CA" w14:textId="77777777" w:rsidTr="007F38F7">
        <w:trPr>
          <w:trHeight w:val="288"/>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C193A5A"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S-PPVC</w:t>
            </w:r>
          </w:p>
        </w:tc>
        <w:tc>
          <w:tcPr>
            <w:tcW w:w="0" w:type="auto"/>
            <w:tcBorders>
              <w:top w:val="nil"/>
              <w:left w:val="nil"/>
              <w:bottom w:val="single" w:sz="4" w:space="0" w:color="auto"/>
              <w:right w:val="single" w:sz="4" w:space="0" w:color="auto"/>
            </w:tcBorders>
            <w:shd w:val="clear" w:color="000000" w:fill="FFFFFF"/>
            <w:noWrap/>
            <w:vAlign w:val="center"/>
          </w:tcPr>
          <w:p w14:paraId="6EE09231"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3855599D"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0.135036</w:t>
            </w:r>
          </w:p>
        </w:tc>
        <w:tc>
          <w:tcPr>
            <w:tcW w:w="0" w:type="auto"/>
            <w:tcBorders>
              <w:top w:val="nil"/>
              <w:left w:val="nil"/>
              <w:bottom w:val="single" w:sz="4" w:space="0" w:color="auto"/>
              <w:right w:val="single" w:sz="4" w:space="0" w:color="auto"/>
            </w:tcBorders>
            <w:shd w:val="clear" w:color="000000" w:fill="FFFFFF"/>
            <w:noWrap/>
            <w:vAlign w:val="center"/>
          </w:tcPr>
          <w:p w14:paraId="3D5BA098"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0.405232</w:t>
            </w:r>
          </w:p>
        </w:tc>
        <w:tc>
          <w:tcPr>
            <w:tcW w:w="0" w:type="auto"/>
            <w:tcBorders>
              <w:top w:val="nil"/>
              <w:left w:val="nil"/>
              <w:bottom w:val="single" w:sz="4" w:space="0" w:color="auto"/>
              <w:right w:val="single" w:sz="4" w:space="0" w:color="auto"/>
            </w:tcBorders>
            <w:shd w:val="clear" w:color="000000" w:fill="FFFFFF"/>
            <w:noWrap/>
            <w:vAlign w:val="center"/>
          </w:tcPr>
          <w:p w14:paraId="7F2CC8C6"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0.270134</w:t>
            </w:r>
          </w:p>
        </w:tc>
        <w:tc>
          <w:tcPr>
            <w:tcW w:w="0" w:type="auto"/>
            <w:tcBorders>
              <w:top w:val="nil"/>
              <w:left w:val="nil"/>
              <w:bottom w:val="single" w:sz="4" w:space="0" w:color="auto"/>
              <w:right w:val="single" w:sz="4" w:space="0" w:color="auto"/>
            </w:tcBorders>
            <w:shd w:val="clear" w:color="000000" w:fill="FFFFFF"/>
            <w:vAlign w:val="center"/>
          </w:tcPr>
          <w:p w14:paraId="741F40CC"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0.183686</w:t>
            </w:r>
          </w:p>
        </w:tc>
        <w:tc>
          <w:tcPr>
            <w:tcW w:w="0" w:type="auto"/>
            <w:tcBorders>
              <w:top w:val="nil"/>
              <w:left w:val="nil"/>
              <w:bottom w:val="single" w:sz="4" w:space="0" w:color="auto"/>
              <w:right w:val="single" w:sz="4" w:space="0" w:color="auto"/>
            </w:tcBorders>
            <w:shd w:val="clear" w:color="000000" w:fill="FFFFFF"/>
            <w:vAlign w:val="center"/>
          </w:tcPr>
          <w:p w14:paraId="6E05CF76"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0.086448</w:t>
            </w:r>
          </w:p>
        </w:tc>
        <w:tc>
          <w:tcPr>
            <w:tcW w:w="0" w:type="auto"/>
            <w:tcBorders>
              <w:top w:val="nil"/>
              <w:left w:val="nil"/>
              <w:bottom w:val="single" w:sz="4" w:space="0" w:color="auto"/>
              <w:right w:val="single" w:sz="4" w:space="0" w:color="auto"/>
            </w:tcBorders>
            <w:shd w:val="clear" w:color="000000" w:fill="FFFFFF"/>
            <w:vAlign w:val="center"/>
          </w:tcPr>
          <w:p w14:paraId="6FF4DDB9"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1</w:t>
            </w:r>
          </w:p>
        </w:tc>
      </w:tr>
      <w:tr w:rsidR="009F3120" w:rsidRPr="00F5545F" w14:paraId="3B3350E0" w14:textId="77777777" w:rsidTr="007F38F7">
        <w:trPr>
          <w:trHeight w:val="288"/>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17E394C"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C-PPVC</w:t>
            </w:r>
          </w:p>
        </w:tc>
        <w:tc>
          <w:tcPr>
            <w:tcW w:w="0" w:type="auto"/>
            <w:tcBorders>
              <w:top w:val="nil"/>
              <w:left w:val="nil"/>
              <w:bottom w:val="single" w:sz="4" w:space="0" w:color="auto"/>
              <w:right w:val="single" w:sz="4" w:space="0" w:color="auto"/>
            </w:tcBorders>
            <w:shd w:val="clear" w:color="000000" w:fill="FFFFFF"/>
            <w:noWrap/>
            <w:vAlign w:val="center"/>
          </w:tcPr>
          <w:p w14:paraId="3268D3F4"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0.094768</w:t>
            </w:r>
          </w:p>
        </w:tc>
        <w:tc>
          <w:tcPr>
            <w:tcW w:w="0" w:type="auto"/>
            <w:tcBorders>
              <w:top w:val="nil"/>
              <w:left w:val="nil"/>
              <w:bottom w:val="single" w:sz="4" w:space="0" w:color="auto"/>
              <w:right w:val="single" w:sz="4" w:space="0" w:color="auto"/>
            </w:tcBorders>
            <w:shd w:val="clear" w:color="000000" w:fill="FFFFFF"/>
            <w:noWrap/>
            <w:vAlign w:val="center"/>
          </w:tcPr>
          <w:p w14:paraId="7A980C15"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361476AB"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0.364964</w:t>
            </w:r>
          </w:p>
        </w:tc>
        <w:tc>
          <w:tcPr>
            <w:tcW w:w="0" w:type="auto"/>
            <w:tcBorders>
              <w:top w:val="nil"/>
              <w:left w:val="nil"/>
              <w:bottom w:val="single" w:sz="4" w:space="0" w:color="auto"/>
              <w:right w:val="single" w:sz="4" w:space="0" w:color="auto"/>
            </w:tcBorders>
            <w:shd w:val="clear" w:color="000000" w:fill="FFFFFF"/>
            <w:noWrap/>
            <w:vAlign w:val="center"/>
          </w:tcPr>
          <w:p w14:paraId="4A194D78"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0.229866</w:t>
            </w:r>
          </w:p>
        </w:tc>
        <w:tc>
          <w:tcPr>
            <w:tcW w:w="0" w:type="auto"/>
            <w:tcBorders>
              <w:top w:val="nil"/>
              <w:left w:val="nil"/>
              <w:bottom w:val="single" w:sz="4" w:space="0" w:color="auto"/>
              <w:right w:val="single" w:sz="4" w:space="0" w:color="auto"/>
            </w:tcBorders>
            <w:shd w:val="clear" w:color="000000" w:fill="FFFFFF"/>
            <w:vAlign w:val="center"/>
          </w:tcPr>
          <w:p w14:paraId="47BDDC25"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0.317518</w:t>
            </w:r>
          </w:p>
        </w:tc>
        <w:tc>
          <w:tcPr>
            <w:tcW w:w="0" w:type="auto"/>
            <w:tcBorders>
              <w:top w:val="nil"/>
              <w:left w:val="nil"/>
              <w:bottom w:val="single" w:sz="4" w:space="0" w:color="auto"/>
              <w:right w:val="single" w:sz="4" w:space="0" w:color="auto"/>
            </w:tcBorders>
            <w:shd w:val="clear" w:color="000000" w:fill="FFFFFF"/>
            <w:vAlign w:val="center"/>
          </w:tcPr>
          <w:p w14:paraId="59B35254"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-0.08765</w:t>
            </w:r>
          </w:p>
        </w:tc>
        <w:tc>
          <w:tcPr>
            <w:tcW w:w="0" w:type="auto"/>
            <w:tcBorders>
              <w:top w:val="nil"/>
              <w:left w:val="nil"/>
              <w:bottom w:val="single" w:sz="4" w:space="0" w:color="auto"/>
              <w:right w:val="single" w:sz="4" w:space="0" w:color="auto"/>
            </w:tcBorders>
            <w:shd w:val="clear" w:color="000000" w:fill="FFFFFF"/>
            <w:vAlign w:val="center"/>
          </w:tcPr>
          <w:p w14:paraId="4F6A4704"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3</w:t>
            </w:r>
          </w:p>
        </w:tc>
      </w:tr>
      <w:tr w:rsidR="009F3120" w:rsidRPr="00F5545F" w14:paraId="5F25BD58" w14:textId="77777777" w:rsidTr="007F38F7">
        <w:trPr>
          <w:trHeight w:val="288"/>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AB274D9"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T-PPVC</w:t>
            </w:r>
          </w:p>
        </w:tc>
        <w:tc>
          <w:tcPr>
            <w:tcW w:w="0" w:type="auto"/>
            <w:tcBorders>
              <w:top w:val="nil"/>
              <w:left w:val="nil"/>
              <w:bottom w:val="single" w:sz="4" w:space="0" w:color="auto"/>
              <w:right w:val="single" w:sz="4" w:space="0" w:color="auto"/>
            </w:tcBorders>
            <w:shd w:val="clear" w:color="000000" w:fill="FFFFFF"/>
            <w:noWrap/>
            <w:vAlign w:val="center"/>
          </w:tcPr>
          <w:p w14:paraId="6B3969A5"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0.272604</w:t>
            </w:r>
          </w:p>
        </w:tc>
        <w:tc>
          <w:tcPr>
            <w:tcW w:w="0" w:type="auto"/>
            <w:tcBorders>
              <w:top w:val="nil"/>
              <w:left w:val="nil"/>
              <w:bottom w:val="single" w:sz="4" w:space="0" w:color="auto"/>
              <w:right w:val="single" w:sz="4" w:space="0" w:color="auto"/>
            </w:tcBorders>
            <w:shd w:val="clear" w:color="000000" w:fill="FFFFFF"/>
            <w:noWrap/>
            <w:vAlign w:val="center"/>
          </w:tcPr>
          <w:p w14:paraId="1496BD5B"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0.5</w:t>
            </w:r>
          </w:p>
        </w:tc>
        <w:tc>
          <w:tcPr>
            <w:tcW w:w="0" w:type="auto"/>
            <w:tcBorders>
              <w:top w:val="nil"/>
              <w:left w:val="nil"/>
              <w:bottom w:val="single" w:sz="4" w:space="0" w:color="auto"/>
              <w:right w:val="single" w:sz="4" w:space="0" w:color="auto"/>
            </w:tcBorders>
            <w:shd w:val="clear" w:color="000000" w:fill="FFFFFF"/>
            <w:noWrap/>
            <w:vAlign w:val="center"/>
          </w:tcPr>
          <w:p w14:paraId="75EAFA70"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5296853C"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0.386302</w:t>
            </w:r>
          </w:p>
        </w:tc>
        <w:tc>
          <w:tcPr>
            <w:tcW w:w="0" w:type="auto"/>
            <w:tcBorders>
              <w:top w:val="nil"/>
              <w:left w:val="nil"/>
              <w:bottom w:val="single" w:sz="4" w:space="0" w:color="auto"/>
              <w:right w:val="single" w:sz="4" w:space="0" w:color="auto"/>
            </w:tcBorders>
            <w:shd w:val="clear" w:color="000000" w:fill="FFFFFF"/>
            <w:vAlign w:val="center"/>
          </w:tcPr>
          <w:p w14:paraId="73823406"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0.385098</w:t>
            </w:r>
          </w:p>
        </w:tc>
        <w:tc>
          <w:tcPr>
            <w:tcW w:w="0" w:type="auto"/>
            <w:tcBorders>
              <w:top w:val="nil"/>
              <w:left w:val="nil"/>
              <w:bottom w:val="single" w:sz="4" w:space="0" w:color="auto"/>
              <w:right w:val="single" w:sz="4" w:space="0" w:color="auto"/>
            </w:tcBorders>
            <w:shd w:val="clear" w:color="000000" w:fill="FFFFFF"/>
            <w:vAlign w:val="center"/>
          </w:tcPr>
          <w:p w14:paraId="6512B33A"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0.001204</w:t>
            </w:r>
          </w:p>
        </w:tc>
        <w:tc>
          <w:tcPr>
            <w:tcW w:w="0" w:type="auto"/>
            <w:tcBorders>
              <w:top w:val="nil"/>
              <w:left w:val="nil"/>
              <w:bottom w:val="single" w:sz="4" w:space="0" w:color="auto"/>
              <w:right w:val="single" w:sz="4" w:space="0" w:color="auto"/>
            </w:tcBorders>
            <w:shd w:val="clear" w:color="000000" w:fill="FFFFFF"/>
            <w:vAlign w:val="center"/>
          </w:tcPr>
          <w:p w14:paraId="1972AB63"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2</w:t>
            </w:r>
          </w:p>
        </w:tc>
      </w:tr>
    </w:tbl>
    <w:p w14:paraId="33EFDC24" w14:textId="77777777" w:rsidR="009F3120" w:rsidRDefault="009F3120" w:rsidP="00EE12FE">
      <w:pPr>
        <w:spacing w:line="276" w:lineRule="auto"/>
        <w:ind w:firstLine="720"/>
        <w:jc w:val="both"/>
        <w:rPr>
          <w:rFonts w:asciiTheme="majorBidi" w:hAnsiTheme="majorBidi" w:cstheme="majorBidi"/>
          <w:sz w:val="24"/>
          <w:szCs w:val="24"/>
          <w:lang w:bidi="fa-IR"/>
        </w:rPr>
      </w:pPr>
    </w:p>
    <w:p w14:paraId="3770B6F3" w14:textId="4AFBAB85" w:rsidR="003529CA" w:rsidRPr="00823856" w:rsidRDefault="007F6536" w:rsidP="00EE12FE">
      <w:pPr>
        <w:spacing w:line="276" w:lineRule="auto"/>
        <w:ind w:firstLine="720"/>
        <w:jc w:val="both"/>
        <w:rPr>
          <w:rFonts w:asciiTheme="majorBidi" w:hAnsiTheme="majorBidi" w:cstheme="majorBidi"/>
          <w:sz w:val="24"/>
          <w:szCs w:val="24"/>
        </w:rPr>
      </w:pPr>
      <w:r w:rsidRPr="00823856">
        <w:rPr>
          <w:rFonts w:asciiTheme="majorBidi" w:hAnsiTheme="majorBidi" w:cstheme="majorBidi"/>
          <w:sz w:val="24"/>
          <w:szCs w:val="24"/>
          <w:lang w:bidi="fa-IR"/>
        </w:rPr>
        <w:t>The third sensitivity analysis is related to the SLCA, and social impact was omitted from the evaluation. Due to timber</w:t>
      </w:r>
      <w:r w:rsidR="008B7913" w:rsidRPr="00823856">
        <w:rPr>
          <w:rFonts w:asciiTheme="majorBidi" w:hAnsiTheme="majorBidi" w:cstheme="majorBidi"/>
          <w:sz w:val="24"/>
          <w:szCs w:val="24"/>
          <w:lang w:bidi="fa-IR"/>
        </w:rPr>
        <w:t xml:space="preserve"> being abandoned by many house makers in Malaysia</w:t>
      </w:r>
      <w:r w:rsidRPr="00823856">
        <w:rPr>
          <w:rFonts w:asciiTheme="majorBidi" w:hAnsiTheme="majorBidi" w:cstheme="majorBidi"/>
          <w:sz w:val="24"/>
          <w:szCs w:val="24"/>
          <w:lang w:bidi="fa-IR"/>
        </w:rPr>
        <w:t xml:space="preserve"> as</w:t>
      </w:r>
      <w:r w:rsidR="008B7913" w:rsidRPr="00823856">
        <w:rPr>
          <w:rFonts w:asciiTheme="majorBidi" w:hAnsiTheme="majorBidi" w:cstheme="majorBidi"/>
          <w:sz w:val="24"/>
          <w:szCs w:val="24"/>
          <w:lang w:bidi="fa-IR"/>
        </w:rPr>
        <w:t xml:space="preserve"> a</w:t>
      </w:r>
      <w:r w:rsidRPr="00823856">
        <w:rPr>
          <w:rFonts w:asciiTheme="majorBidi" w:hAnsiTheme="majorBidi" w:cstheme="majorBidi"/>
          <w:sz w:val="24"/>
          <w:szCs w:val="24"/>
          <w:lang w:bidi="fa-IR"/>
        </w:rPr>
        <w:t xml:space="preserve"> building material</w:t>
      </w:r>
      <w:r w:rsidR="008B7913" w:rsidRPr="00823856">
        <w:rPr>
          <w:rFonts w:asciiTheme="majorBidi" w:hAnsiTheme="majorBidi" w:cstheme="majorBidi"/>
          <w:sz w:val="24"/>
          <w:szCs w:val="24"/>
          <w:lang w:bidi="fa-IR"/>
        </w:rPr>
        <w:t xml:space="preserve"> over</w:t>
      </w:r>
      <w:r w:rsidRPr="00823856">
        <w:rPr>
          <w:rFonts w:asciiTheme="majorBidi" w:hAnsiTheme="majorBidi" w:cstheme="majorBidi"/>
          <w:sz w:val="24"/>
          <w:szCs w:val="24"/>
          <w:lang w:bidi="fa-IR"/>
        </w:rPr>
        <w:t xml:space="preserve"> the last forty years (Nor Haniza Ishak, 2012)</w:t>
      </w:r>
      <w:r w:rsidR="008B7913" w:rsidRPr="00823856">
        <w:rPr>
          <w:rFonts w:asciiTheme="majorBidi" w:hAnsiTheme="majorBidi" w:cstheme="majorBidi"/>
          <w:sz w:val="24"/>
          <w:szCs w:val="24"/>
          <w:lang w:bidi="fa-IR"/>
        </w:rPr>
        <w:t>,</w:t>
      </w:r>
      <w:r w:rsidRPr="00823856">
        <w:rPr>
          <w:rFonts w:asciiTheme="majorBidi" w:hAnsiTheme="majorBidi" w:cstheme="majorBidi"/>
          <w:sz w:val="24"/>
          <w:szCs w:val="24"/>
          <w:lang w:bidi="fa-IR"/>
        </w:rPr>
        <w:t xml:space="preserve"> wooden building</w:t>
      </w:r>
      <w:r w:rsidR="008B7913" w:rsidRPr="00823856">
        <w:rPr>
          <w:rFonts w:asciiTheme="majorBidi" w:hAnsiTheme="majorBidi" w:cstheme="majorBidi"/>
          <w:sz w:val="24"/>
          <w:szCs w:val="24"/>
          <w:lang w:bidi="fa-IR"/>
        </w:rPr>
        <w:t>s</w:t>
      </w:r>
      <w:r w:rsidRPr="00823856">
        <w:rPr>
          <w:rFonts w:asciiTheme="majorBidi" w:hAnsiTheme="majorBidi" w:cstheme="majorBidi"/>
          <w:sz w:val="24"/>
          <w:szCs w:val="24"/>
          <w:lang w:bidi="fa-IR"/>
        </w:rPr>
        <w:t xml:space="preserve"> </w:t>
      </w:r>
      <w:r w:rsidR="008B7913" w:rsidRPr="00823856">
        <w:rPr>
          <w:rFonts w:asciiTheme="majorBidi" w:hAnsiTheme="majorBidi" w:cstheme="majorBidi"/>
          <w:sz w:val="24"/>
          <w:szCs w:val="24"/>
          <w:lang w:bidi="fa-IR"/>
        </w:rPr>
        <w:t>are</w:t>
      </w:r>
      <w:r w:rsidRPr="00823856">
        <w:rPr>
          <w:rFonts w:asciiTheme="majorBidi" w:hAnsiTheme="majorBidi" w:cstheme="majorBidi"/>
          <w:sz w:val="24"/>
          <w:szCs w:val="24"/>
          <w:lang w:bidi="fa-IR"/>
        </w:rPr>
        <w:t xml:space="preserve"> only limited to rural houses or bungalows in the countryside (Othuman Mydin, 2016). While, in other countries such as Scotland, wood still is an appropriate option for building construction (NHBC, 2012)</w:t>
      </w:r>
      <w:r w:rsidR="008B7913" w:rsidRPr="00823856">
        <w:rPr>
          <w:rFonts w:asciiTheme="majorBidi" w:hAnsiTheme="majorBidi" w:cstheme="majorBidi"/>
          <w:sz w:val="24"/>
          <w:szCs w:val="24"/>
          <w:lang w:bidi="fa-IR"/>
        </w:rPr>
        <w:t xml:space="preserve">. In Scotland, up </w:t>
      </w:r>
      <w:r w:rsidRPr="00823856">
        <w:rPr>
          <w:rFonts w:asciiTheme="majorBidi" w:hAnsiTheme="majorBidi" w:cstheme="majorBidi"/>
          <w:sz w:val="24"/>
          <w:szCs w:val="24"/>
          <w:lang w:bidi="fa-IR"/>
        </w:rPr>
        <w:t xml:space="preserve">to 70% </w:t>
      </w:r>
      <w:r w:rsidR="008B7913" w:rsidRPr="00823856">
        <w:rPr>
          <w:rFonts w:asciiTheme="majorBidi" w:hAnsiTheme="majorBidi" w:cstheme="majorBidi"/>
          <w:sz w:val="24"/>
          <w:szCs w:val="24"/>
          <w:lang w:bidi="fa-IR"/>
        </w:rPr>
        <w:t>of construction utilize</w:t>
      </w:r>
      <w:r w:rsidRPr="00823856">
        <w:rPr>
          <w:rFonts w:asciiTheme="majorBidi" w:hAnsiTheme="majorBidi" w:cstheme="majorBidi"/>
          <w:sz w:val="24"/>
          <w:szCs w:val="24"/>
          <w:lang w:bidi="fa-IR"/>
        </w:rPr>
        <w:t xml:space="preserve"> timber frames. Thus, the response of the building sector could have a considerable impact on the SLCA result. Therefore, there is an </w:t>
      </w:r>
      <w:r w:rsidR="008B7913" w:rsidRPr="00823856">
        <w:rPr>
          <w:rFonts w:asciiTheme="majorBidi" w:hAnsiTheme="majorBidi" w:cstheme="majorBidi"/>
          <w:sz w:val="24"/>
          <w:szCs w:val="24"/>
          <w:lang w:bidi="fa-IR"/>
        </w:rPr>
        <w:t xml:space="preserve">opportunity </w:t>
      </w:r>
      <w:r w:rsidRPr="00823856">
        <w:rPr>
          <w:rFonts w:asciiTheme="majorBidi" w:hAnsiTheme="majorBidi" w:cstheme="majorBidi"/>
          <w:sz w:val="24"/>
          <w:szCs w:val="24"/>
          <w:lang w:bidi="fa-IR"/>
        </w:rPr>
        <w:t>to reevaluate the result</w:t>
      </w:r>
      <w:r w:rsidR="008B7913" w:rsidRPr="00823856">
        <w:rPr>
          <w:rFonts w:asciiTheme="majorBidi" w:hAnsiTheme="majorBidi" w:cstheme="majorBidi"/>
          <w:sz w:val="24"/>
          <w:szCs w:val="24"/>
          <w:lang w:bidi="fa-IR"/>
        </w:rPr>
        <w:t>s</w:t>
      </w:r>
      <w:r w:rsidRPr="00823856">
        <w:rPr>
          <w:rFonts w:asciiTheme="majorBidi" w:hAnsiTheme="majorBidi" w:cstheme="majorBidi"/>
          <w:sz w:val="24"/>
          <w:szCs w:val="24"/>
          <w:lang w:bidi="fa-IR"/>
        </w:rPr>
        <w:t xml:space="preserve"> without </w:t>
      </w:r>
      <w:r w:rsidR="008B7913" w:rsidRPr="00823856">
        <w:rPr>
          <w:rFonts w:asciiTheme="majorBidi" w:hAnsiTheme="majorBidi" w:cstheme="majorBidi"/>
          <w:sz w:val="24"/>
          <w:szCs w:val="24"/>
          <w:lang w:bidi="fa-IR"/>
        </w:rPr>
        <w:t xml:space="preserve">the </w:t>
      </w:r>
      <w:r w:rsidRPr="00823856">
        <w:rPr>
          <w:rFonts w:asciiTheme="majorBidi" w:hAnsiTheme="majorBidi" w:cstheme="majorBidi"/>
          <w:sz w:val="24"/>
          <w:szCs w:val="24"/>
          <w:lang w:bidi="fa-IR"/>
        </w:rPr>
        <w:t>SLCA criteria explicitly. Table 12 shows that if this sustainability criterion</w:t>
      </w:r>
      <w:r w:rsidR="008B7913" w:rsidRPr="00823856">
        <w:rPr>
          <w:rFonts w:asciiTheme="majorBidi" w:hAnsiTheme="majorBidi" w:cstheme="majorBidi"/>
          <w:sz w:val="24"/>
          <w:szCs w:val="24"/>
          <w:lang w:bidi="fa-IR"/>
        </w:rPr>
        <w:t xml:space="preserve"> is omitted</w:t>
      </w:r>
      <w:r w:rsidRPr="00823856">
        <w:rPr>
          <w:rFonts w:asciiTheme="majorBidi" w:hAnsiTheme="majorBidi" w:cstheme="majorBidi"/>
          <w:sz w:val="24"/>
          <w:szCs w:val="24"/>
          <w:lang w:bidi="fa-IR"/>
        </w:rPr>
        <w:t xml:space="preserve"> from the MCDM assessment, then the priority will be changed to timber as the best option following by concrete and steel.</w:t>
      </w:r>
      <w:r w:rsidR="00AD7EC6" w:rsidRPr="00823856">
        <w:rPr>
          <w:rFonts w:asciiTheme="majorBidi" w:hAnsiTheme="majorBidi" w:cstheme="majorBidi"/>
          <w:sz w:val="24"/>
          <w:szCs w:val="24"/>
          <w:lang w:bidi="fa-IR"/>
        </w:rPr>
        <w:t xml:space="preserve"> </w:t>
      </w:r>
      <w:r w:rsidR="007153C1" w:rsidRPr="00823856">
        <w:rPr>
          <w:rFonts w:asciiTheme="majorBidi" w:hAnsiTheme="majorBidi" w:cstheme="majorBidi"/>
          <w:sz w:val="24"/>
          <w:szCs w:val="24"/>
          <w:lang w:bidi="fa-IR"/>
        </w:rPr>
        <w:t xml:space="preserve"> </w:t>
      </w:r>
    </w:p>
    <w:p w14:paraId="48DCED01" w14:textId="77777777" w:rsidR="009F3120" w:rsidRDefault="009F3120" w:rsidP="009F3120">
      <w:pPr>
        <w:autoSpaceDE w:val="0"/>
        <w:autoSpaceDN w:val="0"/>
        <w:adjustRightInd w:val="0"/>
        <w:spacing w:after="0" w:line="276" w:lineRule="auto"/>
        <w:ind w:left="450"/>
        <w:rPr>
          <w:rFonts w:asciiTheme="majorBidi" w:hAnsiTheme="majorBidi" w:cstheme="majorBidi"/>
          <w:sz w:val="18"/>
          <w:szCs w:val="18"/>
        </w:rPr>
      </w:pPr>
    </w:p>
    <w:p w14:paraId="38CF111C" w14:textId="77777777" w:rsidR="009F3120" w:rsidRDefault="009F3120" w:rsidP="009F3120">
      <w:pPr>
        <w:autoSpaceDE w:val="0"/>
        <w:autoSpaceDN w:val="0"/>
        <w:adjustRightInd w:val="0"/>
        <w:spacing w:after="0" w:line="276" w:lineRule="auto"/>
        <w:ind w:left="450"/>
        <w:rPr>
          <w:rFonts w:asciiTheme="majorBidi" w:hAnsiTheme="majorBidi" w:cstheme="majorBidi"/>
          <w:sz w:val="18"/>
          <w:szCs w:val="18"/>
        </w:rPr>
      </w:pPr>
    </w:p>
    <w:p w14:paraId="4B0D1955" w14:textId="1E302A2F" w:rsidR="009F3120" w:rsidRPr="00F5545F" w:rsidRDefault="009F3120" w:rsidP="009F3120">
      <w:pPr>
        <w:autoSpaceDE w:val="0"/>
        <w:autoSpaceDN w:val="0"/>
        <w:adjustRightInd w:val="0"/>
        <w:spacing w:after="0" w:line="276" w:lineRule="auto"/>
        <w:ind w:left="450"/>
        <w:rPr>
          <w:rFonts w:asciiTheme="majorBidi" w:hAnsiTheme="majorBidi" w:cstheme="majorBidi"/>
          <w:sz w:val="18"/>
          <w:szCs w:val="18"/>
        </w:rPr>
      </w:pPr>
      <w:r w:rsidRPr="00F5545F">
        <w:rPr>
          <w:rFonts w:asciiTheme="majorBidi" w:hAnsiTheme="majorBidi" w:cstheme="majorBidi"/>
          <w:sz w:val="18"/>
          <w:szCs w:val="18"/>
        </w:rPr>
        <w:lastRenderedPageBreak/>
        <w:t>Table 12, sensitivity analysis without SLCA impact</w:t>
      </w:r>
    </w:p>
    <w:tbl>
      <w:tblPr>
        <w:tblW w:w="0" w:type="auto"/>
        <w:jc w:val="center"/>
        <w:tblLook w:val="04A0" w:firstRow="1" w:lastRow="0" w:firstColumn="1" w:lastColumn="0" w:noHBand="0" w:noVBand="1"/>
      </w:tblPr>
      <w:tblGrid>
        <w:gridCol w:w="1365"/>
        <w:gridCol w:w="891"/>
        <w:gridCol w:w="847"/>
        <w:gridCol w:w="891"/>
        <w:gridCol w:w="1450"/>
        <w:gridCol w:w="1480"/>
        <w:gridCol w:w="891"/>
        <w:gridCol w:w="596"/>
      </w:tblGrid>
      <w:tr w:rsidR="009F3120" w:rsidRPr="00F5545F" w14:paraId="2DB35A41" w14:textId="77777777" w:rsidTr="007F38F7">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091B7B5"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b/>
                <w:bCs/>
              </w:rPr>
              <w:t>Alternatives</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416ED4"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S-PPVC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64566D9"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C-PPVC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F8776A3"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T-PPVC</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DF2E6C" w14:textId="77777777" w:rsidR="009F3120" w:rsidRPr="00F5545F" w:rsidRDefault="009F3120" w:rsidP="007F38F7">
            <w:pPr>
              <w:spacing w:after="0" w:line="276"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Leaving flow</w:t>
            </w:r>
            <m:oMath>
              <m:r>
                <m:rPr>
                  <m:sty m:val="p"/>
                </m:rPr>
                <w:rPr>
                  <w:rFonts w:ascii="Cambria Math" w:eastAsia="Times New Roman" w:hAnsi="Cambria Math" w:cstheme="majorBidi"/>
                  <w:sz w:val="18"/>
                  <w:szCs w:val="18"/>
                </w:rPr>
                <m:t xml:space="preserve"> </m:t>
              </m:r>
              <m:sSup>
                <m:sSupPr>
                  <m:ctrlPr>
                    <w:rPr>
                      <w:rFonts w:ascii="Cambria Math" w:eastAsia="Times New Roman" w:hAnsi="Cambria Math" w:cstheme="majorBidi"/>
                      <w:sz w:val="18"/>
                      <w:szCs w:val="18"/>
                    </w:rPr>
                  </m:ctrlPr>
                </m:sSupPr>
                <m:e>
                  <m:r>
                    <w:rPr>
                      <w:rFonts w:ascii="Cambria Math" w:eastAsia="Times New Roman" w:hAnsi="Cambria Math" w:cstheme="majorBidi"/>
                      <w:sz w:val="18"/>
                      <w:szCs w:val="18"/>
                    </w:rPr>
                    <m:t>φ</m:t>
                  </m:r>
                </m:e>
                <m:sup>
                  <m:r>
                    <m:rPr>
                      <m:sty m:val="p"/>
                    </m:rPr>
                    <w:rPr>
                      <w:rFonts w:ascii="Cambria Math" w:eastAsia="Times New Roman" w:hAnsi="Cambria Math" w:cstheme="majorBidi"/>
                      <w:sz w:val="18"/>
                      <w:szCs w:val="18"/>
                    </w:rPr>
                    <m:t>+</m:t>
                  </m:r>
                </m:sup>
              </m:sSup>
            </m:oMath>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F04AB98" w14:textId="77777777" w:rsidR="009F3120" w:rsidRPr="00F5545F" w:rsidRDefault="009F3120" w:rsidP="007F38F7">
            <w:pPr>
              <w:spacing w:after="0" w:line="276"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Entering flow</w:t>
            </w:r>
            <m:oMath>
              <m:r>
                <m:rPr>
                  <m:sty m:val="p"/>
                </m:rPr>
                <w:rPr>
                  <w:rFonts w:ascii="Cambria Math" w:eastAsia="Times New Roman" w:hAnsi="Cambria Math" w:cstheme="majorBidi"/>
                  <w:sz w:val="18"/>
                  <w:szCs w:val="18"/>
                </w:rPr>
                <m:t xml:space="preserve"> </m:t>
              </m:r>
              <m:sSup>
                <m:sSupPr>
                  <m:ctrlPr>
                    <w:rPr>
                      <w:rFonts w:ascii="Cambria Math" w:eastAsia="Times New Roman" w:hAnsi="Cambria Math" w:cstheme="majorBidi"/>
                      <w:sz w:val="18"/>
                      <w:szCs w:val="18"/>
                    </w:rPr>
                  </m:ctrlPr>
                </m:sSupPr>
                <m:e>
                  <m:r>
                    <w:rPr>
                      <w:rFonts w:ascii="Cambria Math" w:eastAsia="Times New Roman" w:hAnsi="Cambria Math" w:cstheme="majorBidi"/>
                      <w:sz w:val="18"/>
                      <w:szCs w:val="18"/>
                    </w:rPr>
                    <m:t>φ</m:t>
                  </m:r>
                </m:e>
                <m:sup>
                  <m:r>
                    <m:rPr>
                      <m:sty m:val="p"/>
                    </m:rPr>
                    <w:rPr>
                      <w:rFonts w:ascii="Cambria Math" w:eastAsia="Times New Roman" w:hAnsi="Cambria Math" w:cstheme="majorBidi"/>
                      <w:sz w:val="18"/>
                      <w:szCs w:val="18"/>
                    </w:rPr>
                    <m:t>-</m:t>
                  </m:r>
                </m:sup>
              </m:sSup>
            </m:oMath>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1137AF34" w14:textId="77777777" w:rsidR="009F3120" w:rsidRPr="00F5545F" w:rsidRDefault="009F3120" w:rsidP="007F38F7">
            <w:pPr>
              <w:spacing w:after="0" w:line="276" w:lineRule="auto"/>
              <w:jc w:val="center"/>
              <w:rPr>
                <w:rFonts w:asciiTheme="majorBidi" w:eastAsia="Times New Roman" w:hAnsiTheme="majorBidi" w:cstheme="majorBidi"/>
                <w:sz w:val="18"/>
                <w:szCs w:val="18"/>
              </w:rPr>
            </w:pPr>
            <m:oMathPara>
              <m:oMath>
                <m:r>
                  <w:rPr>
                    <w:rFonts w:ascii="Cambria Math" w:eastAsia="Times New Roman" w:hAnsi="Cambria Math" w:cstheme="majorBidi"/>
                    <w:sz w:val="18"/>
                    <w:szCs w:val="18"/>
                  </w:rPr>
                  <m:t>φ</m:t>
                </m:r>
                <m:d>
                  <m:dPr>
                    <m:ctrlPr>
                      <w:rPr>
                        <w:rFonts w:ascii="Cambria Math" w:eastAsia="Times New Roman" w:hAnsi="Cambria Math" w:cstheme="majorBidi"/>
                        <w:sz w:val="18"/>
                        <w:szCs w:val="18"/>
                      </w:rPr>
                    </m:ctrlPr>
                  </m:dPr>
                  <m:e>
                    <m:r>
                      <w:rPr>
                        <w:rFonts w:ascii="Cambria Math" w:eastAsia="Times New Roman" w:hAnsi="Cambria Math" w:cstheme="majorBidi"/>
                        <w:sz w:val="18"/>
                        <w:szCs w:val="18"/>
                      </w:rPr>
                      <m:t>a</m:t>
                    </m:r>
                  </m:e>
                </m:d>
              </m:oMath>
            </m:oMathPara>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14:paraId="20490E39" w14:textId="77777777" w:rsidR="009F3120" w:rsidRPr="00F5545F" w:rsidRDefault="009F3120" w:rsidP="007F38F7">
            <w:pPr>
              <w:spacing w:after="0" w:line="276"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Rank</w:t>
            </w:r>
          </w:p>
        </w:tc>
      </w:tr>
      <w:tr w:rsidR="009F3120" w:rsidRPr="00F5545F" w14:paraId="660ABDC9" w14:textId="77777777" w:rsidTr="007F38F7">
        <w:trPr>
          <w:trHeight w:val="288"/>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49A3645"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S-PPVC</w:t>
            </w:r>
          </w:p>
        </w:tc>
        <w:tc>
          <w:tcPr>
            <w:tcW w:w="0" w:type="auto"/>
            <w:tcBorders>
              <w:top w:val="nil"/>
              <w:left w:val="nil"/>
              <w:bottom w:val="single" w:sz="4" w:space="0" w:color="auto"/>
              <w:right w:val="single" w:sz="4" w:space="0" w:color="auto"/>
            </w:tcBorders>
            <w:shd w:val="clear" w:color="000000" w:fill="FFFFFF"/>
            <w:noWrap/>
            <w:vAlign w:val="center"/>
          </w:tcPr>
          <w:p w14:paraId="3B20D9EC"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7654F8F0"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34DF16F5"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0.155232</w:t>
            </w:r>
          </w:p>
        </w:tc>
        <w:tc>
          <w:tcPr>
            <w:tcW w:w="0" w:type="auto"/>
            <w:tcBorders>
              <w:top w:val="nil"/>
              <w:left w:val="nil"/>
              <w:bottom w:val="single" w:sz="4" w:space="0" w:color="auto"/>
              <w:right w:val="single" w:sz="4" w:space="0" w:color="auto"/>
            </w:tcBorders>
            <w:shd w:val="clear" w:color="000000" w:fill="FFFFFF"/>
            <w:noWrap/>
            <w:vAlign w:val="center"/>
          </w:tcPr>
          <w:p w14:paraId="6D8093F0"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0.077616</w:t>
            </w:r>
          </w:p>
        </w:tc>
        <w:tc>
          <w:tcPr>
            <w:tcW w:w="0" w:type="auto"/>
            <w:tcBorders>
              <w:top w:val="nil"/>
              <w:left w:val="nil"/>
              <w:bottom w:val="single" w:sz="4" w:space="0" w:color="auto"/>
              <w:right w:val="single" w:sz="4" w:space="0" w:color="auto"/>
            </w:tcBorders>
            <w:shd w:val="clear" w:color="000000" w:fill="FFFFFF"/>
            <w:vAlign w:val="center"/>
          </w:tcPr>
          <w:p w14:paraId="78B83D58"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0.183686</w:t>
            </w:r>
          </w:p>
        </w:tc>
        <w:tc>
          <w:tcPr>
            <w:tcW w:w="0" w:type="auto"/>
            <w:tcBorders>
              <w:top w:val="nil"/>
              <w:left w:val="nil"/>
              <w:bottom w:val="single" w:sz="4" w:space="0" w:color="auto"/>
              <w:right w:val="single" w:sz="4" w:space="0" w:color="auto"/>
            </w:tcBorders>
            <w:shd w:val="clear" w:color="000000" w:fill="FFFFFF"/>
            <w:vAlign w:val="center"/>
          </w:tcPr>
          <w:p w14:paraId="4F164D2F"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-0.10607</w:t>
            </w:r>
          </w:p>
        </w:tc>
        <w:tc>
          <w:tcPr>
            <w:tcW w:w="0" w:type="auto"/>
            <w:tcBorders>
              <w:top w:val="nil"/>
              <w:left w:val="nil"/>
              <w:bottom w:val="single" w:sz="4" w:space="0" w:color="auto"/>
              <w:right w:val="single" w:sz="4" w:space="0" w:color="auto"/>
            </w:tcBorders>
            <w:shd w:val="clear" w:color="000000" w:fill="FFFFFF"/>
            <w:vAlign w:val="center"/>
          </w:tcPr>
          <w:p w14:paraId="259BD36D"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3</w:t>
            </w:r>
          </w:p>
        </w:tc>
      </w:tr>
      <w:tr w:rsidR="009F3120" w:rsidRPr="00F5545F" w14:paraId="5614A0D3" w14:textId="77777777" w:rsidTr="007F38F7">
        <w:trPr>
          <w:trHeight w:val="288"/>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51FA2E8"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C-PPVC</w:t>
            </w:r>
          </w:p>
        </w:tc>
        <w:tc>
          <w:tcPr>
            <w:tcW w:w="0" w:type="auto"/>
            <w:tcBorders>
              <w:top w:val="nil"/>
              <w:left w:val="nil"/>
              <w:bottom w:val="single" w:sz="4" w:space="0" w:color="auto"/>
              <w:right w:val="single" w:sz="4" w:space="0" w:color="auto"/>
            </w:tcBorders>
            <w:shd w:val="clear" w:color="000000" w:fill="FFFFFF"/>
            <w:noWrap/>
            <w:vAlign w:val="center"/>
          </w:tcPr>
          <w:p w14:paraId="69B984C8"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0.094768</w:t>
            </w:r>
          </w:p>
        </w:tc>
        <w:tc>
          <w:tcPr>
            <w:tcW w:w="0" w:type="auto"/>
            <w:tcBorders>
              <w:top w:val="nil"/>
              <w:left w:val="nil"/>
              <w:bottom w:val="single" w:sz="4" w:space="0" w:color="auto"/>
              <w:right w:val="single" w:sz="4" w:space="0" w:color="auto"/>
            </w:tcBorders>
            <w:shd w:val="clear" w:color="000000" w:fill="FFFFFF"/>
            <w:noWrap/>
            <w:vAlign w:val="center"/>
          </w:tcPr>
          <w:p w14:paraId="0D27D915"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4CBFA7BC"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0.25</w:t>
            </w:r>
          </w:p>
        </w:tc>
        <w:tc>
          <w:tcPr>
            <w:tcW w:w="0" w:type="auto"/>
            <w:tcBorders>
              <w:top w:val="nil"/>
              <w:left w:val="nil"/>
              <w:bottom w:val="single" w:sz="4" w:space="0" w:color="auto"/>
              <w:right w:val="single" w:sz="4" w:space="0" w:color="auto"/>
            </w:tcBorders>
            <w:shd w:val="clear" w:color="000000" w:fill="FFFFFF"/>
            <w:noWrap/>
            <w:vAlign w:val="center"/>
          </w:tcPr>
          <w:p w14:paraId="6F92BE78"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0.172384</w:t>
            </w:r>
          </w:p>
        </w:tc>
        <w:tc>
          <w:tcPr>
            <w:tcW w:w="0" w:type="auto"/>
            <w:tcBorders>
              <w:top w:val="nil"/>
              <w:left w:val="nil"/>
              <w:bottom w:val="single" w:sz="4" w:space="0" w:color="auto"/>
              <w:right w:val="single" w:sz="4" w:space="0" w:color="auto"/>
            </w:tcBorders>
            <w:shd w:val="clear" w:color="000000" w:fill="FFFFFF"/>
            <w:vAlign w:val="center"/>
          </w:tcPr>
          <w:p w14:paraId="6BA2065D"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0.25</w:t>
            </w:r>
          </w:p>
        </w:tc>
        <w:tc>
          <w:tcPr>
            <w:tcW w:w="0" w:type="auto"/>
            <w:tcBorders>
              <w:top w:val="nil"/>
              <w:left w:val="nil"/>
              <w:bottom w:val="single" w:sz="4" w:space="0" w:color="auto"/>
              <w:right w:val="single" w:sz="4" w:space="0" w:color="auto"/>
            </w:tcBorders>
            <w:shd w:val="clear" w:color="000000" w:fill="FFFFFF"/>
            <w:vAlign w:val="center"/>
          </w:tcPr>
          <w:p w14:paraId="41DB18E4"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-0.07762</w:t>
            </w:r>
          </w:p>
        </w:tc>
        <w:tc>
          <w:tcPr>
            <w:tcW w:w="0" w:type="auto"/>
            <w:tcBorders>
              <w:top w:val="nil"/>
              <w:left w:val="nil"/>
              <w:bottom w:val="single" w:sz="4" w:space="0" w:color="auto"/>
              <w:right w:val="single" w:sz="4" w:space="0" w:color="auto"/>
            </w:tcBorders>
            <w:shd w:val="clear" w:color="000000" w:fill="FFFFFF"/>
            <w:vAlign w:val="center"/>
          </w:tcPr>
          <w:p w14:paraId="0D56CD74"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2</w:t>
            </w:r>
          </w:p>
        </w:tc>
      </w:tr>
      <w:tr w:rsidR="009F3120" w:rsidRPr="00F5545F" w14:paraId="39C2DF5A" w14:textId="77777777" w:rsidTr="007F38F7">
        <w:trPr>
          <w:trHeight w:val="288"/>
          <w:jc w:val="center"/>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6A95A4"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T-PPVC</w:t>
            </w:r>
          </w:p>
        </w:tc>
        <w:tc>
          <w:tcPr>
            <w:tcW w:w="0" w:type="auto"/>
            <w:tcBorders>
              <w:top w:val="nil"/>
              <w:left w:val="nil"/>
              <w:bottom w:val="single" w:sz="4" w:space="0" w:color="auto"/>
              <w:right w:val="single" w:sz="4" w:space="0" w:color="auto"/>
            </w:tcBorders>
            <w:shd w:val="clear" w:color="000000" w:fill="FFFFFF"/>
            <w:noWrap/>
            <w:vAlign w:val="center"/>
          </w:tcPr>
          <w:p w14:paraId="43FBB05C"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0.272604</w:t>
            </w:r>
          </w:p>
        </w:tc>
        <w:tc>
          <w:tcPr>
            <w:tcW w:w="0" w:type="auto"/>
            <w:tcBorders>
              <w:top w:val="nil"/>
              <w:left w:val="nil"/>
              <w:bottom w:val="single" w:sz="4" w:space="0" w:color="auto"/>
              <w:right w:val="single" w:sz="4" w:space="0" w:color="auto"/>
            </w:tcBorders>
            <w:shd w:val="clear" w:color="000000" w:fill="FFFFFF"/>
            <w:noWrap/>
            <w:vAlign w:val="center"/>
          </w:tcPr>
          <w:p w14:paraId="29A995F6"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0.5</w:t>
            </w:r>
          </w:p>
        </w:tc>
        <w:tc>
          <w:tcPr>
            <w:tcW w:w="0" w:type="auto"/>
            <w:tcBorders>
              <w:top w:val="nil"/>
              <w:left w:val="nil"/>
              <w:bottom w:val="single" w:sz="4" w:space="0" w:color="auto"/>
              <w:right w:val="single" w:sz="4" w:space="0" w:color="auto"/>
            </w:tcBorders>
            <w:shd w:val="clear" w:color="000000" w:fill="FFFFFF"/>
            <w:noWrap/>
            <w:vAlign w:val="center"/>
          </w:tcPr>
          <w:p w14:paraId="69EABE5B"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w:t>
            </w:r>
          </w:p>
        </w:tc>
        <w:tc>
          <w:tcPr>
            <w:tcW w:w="0" w:type="auto"/>
            <w:tcBorders>
              <w:top w:val="nil"/>
              <w:left w:val="nil"/>
              <w:bottom w:val="single" w:sz="4" w:space="0" w:color="auto"/>
              <w:right w:val="single" w:sz="4" w:space="0" w:color="auto"/>
            </w:tcBorders>
            <w:shd w:val="clear" w:color="000000" w:fill="FFFFFF"/>
            <w:noWrap/>
            <w:vAlign w:val="center"/>
          </w:tcPr>
          <w:p w14:paraId="6D95878A"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0.386302</w:t>
            </w:r>
          </w:p>
        </w:tc>
        <w:tc>
          <w:tcPr>
            <w:tcW w:w="0" w:type="auto"/>
            <w:tcBorders>
              <w:top w:val="nil"/>
              <w:left w:val="nil"/>
              <w:bottom w:val="single" w:sz="4" w:space="0" w:color="auto"/>
              <w:right w:val="single" w:sz="4" w:space="0" w:color="auto"/>
            </w:tcBorders>
            <w:shd w:val="clear" w:color="000000" w:fill="FFFFFF"/>
            <w:vAlign w:val="center"/>
          </w:tcPr>
          <w:p w14:paraId="1C7DBB36"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0.202616</w:t>
            </w:r>
          </w:p>
        </w:tc>
        <w:tc>
          <w:tcPr>
            <w:tcW w:w="0" w:type="auto"/>
            <w:tcBorders>
              <w:top w:val="nil"/>
              <w:left w:val="nil"/>
              <w:bottom w:val="single" w:sz="4" w:space="0" w:color="auto"/>
              <w:right w:val="single" w:sz="4" w:space="0" w:color="auto"/>
            </w:tcBorders>
            <w:shd w:val="clear" w:color="000000" w:fill="FFFFFF"/>
            <w:vAlign w:val="center"/>
          </w:tcPr>
          <w:p w14:paraId="1E83C6AF"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0.183686</w:t>
            </w:r>
          </w:p>
        </w:tc>
        <w:tc>
          <w:tcPr>
            <w:tcW w:w="0" w:type="auto"/>
            <w:tcBorders>
              <w:top w:val="nil"/>
              <w:left w:val="nil"/>
              <w:bottom w:val="single" w:sz="4" w:space="0" w:color="auto"/>
              <w:right w:val="single" w:sz="4" w:space="0" w:color="auto"/>
            </w:tcBorders>
            <w:shd w:val="clear" w:color="000000" w:fill="FFFFFF"/>
            <w:vAlign w:val="center"/>
          </w:tcPr>
          <w:p w14:paraId="4069E6AA" w14:textId="77777777" w:rsidR="009F3120" w:rsidRPr="00F5545F" w:rsidRDefault="009F3120" w:rsidP="007F38F7">
            <w:pPr>
              <w:spacing w:after="0" w:line="240" w:lineRule="auto"/>
              <w:jc w:val="center"/>
              <w:rPr>
                <w:rFonts w:asciiTheme="majorBidi" w:eastAsia="Times New Roman" w:hAnsiTheme="majorBidi" w:cstheme="majorBidi"/>
                <w:sz w:val="18"/>
                <w:szCs w:val="18"/>
              </w:rPr>
            </w:pPr>
            <w:r w:rsidRPr="00F5545F">
              <w:rPr>
                <w:rFonts w:asciiTheme="majorBidi" w:eastAsia="Times New Roman" w:hAnsiTheme="majorBidi" w:cstheme="majorBidi"/>
                <w:sz w:val="18"/>
                <w:szCs w:val="18"/>
              </w:rPr>
              <w:t>1</w:t>
            </w:r>
          </w:p>
        </w:tc>
      </w:tr>
    </w:tbl>
    <w:p w14:paraId="576D04FD" w14:textId="4A7C3745" w:rsidR="00D51F1E" w:rsidRPr="00823856" w:rsidRDefault="00AC06FC" w:rsidP="00EE12FE">
      <w:pPr>
        <w:spacing w:before="240" w:line="276" w:lineRule="auto"/>
        <w:ind w:firstLine="720"/>
        <w:jc w:val="both"/>
        <w:rPr>
          <w:rFonts w:asciiTheme="majorBidi" w:hAnsiTheme="majorBidi" w:cstheme="majorBidi"/>
          <w:sz w:val="24"/>
          <w:szCs w:val="24"/>
          <w:lang w:bidi="fa-IR"/>
        </w:rPr>
      </w:pPr>
      <w:r w:rsidRPr="00823856">
        <w:rPr>
          <w:rFonts w:asciiTheme="majorBidi" w:hAnsiTheme="majorBidi" w:cstheme="majorBidi"/>
          <w:sz w:val="24"/>
          <w:szCs w:val="24"/>
          <w:lang w:bidi="fa-IR"/>
        </w:rPr>
        <w:t>Many other researchers previously focused on the environmental impact</w:t>
      </w:r>
      <w:r w:rsidR="008B7913" w:rsidRPr="00823856">
        <w:rPr>
          <w:rFonts w:asciiTheme="majorBidi" w:hAnsiTheme="majorBidi" w:cstheme="majorBidi"/>
          <w:sz w:val="24"/>
          <w:szCs w:val="24"/>
          <w:lang w:bidi="fa-IR"/>
        </w:rPr>
        <w:t>s</w:t>
      </w:r>
      <w:r w:rsidRPr="00823856">
        <w:rPr>
          <w:rFonts w:asciiTheme="majorBidi" w:hAnsiTheme="majorBidi" w:cstheme="majorBidi"/>
          <w:sz w:val="24"/>
          <w:szCs w:val="24"/>
          <w:lang w:bidi="fa-IR"/>
        </w:rPr>
        <w:t xml:space="preserve"> of building (Nwodo &amp; Anumba, 2019). In comparison, this study shows that considering environmental impact</w:t>
      </w:r>
      <w:r w:rsidR="008B7913" w:rsidRPr="00823856">
        <w:rPr>
          <w:rFonts w:asciiTheme="majorBidi" w:hAnsiTheme="majorBidi" w:cstheme="majorBidi"/>
          <w:sz w:val="24"/>
          <w:szCs w:val="24"/>
          <w:lang w:bidi="fa-IR"/>
        </w:rPr>
        <w:t>s</w:t>
      </w:r>
      <w:r w:rsidRPr="00823856">
        <w:rPr>
          <w:rFonts w:asciiTheme="majorBidi" w:hAnsiTheme="majorBidi" w:cstheme="majorBidi"/>
          <w:sz w:val="24"/>
          <w:szCs w:val="24"/>
          <w:lang w:bidi="fa-IR"/>
        </w:rPr>
        <w:t xml:space="preserve"> and LCC might not be enough to assess the sustainability of buildings and their materials without considering the social</w:t>
      </w:r>
      <w:r w:rsidR="008B7913" w:rsidRPr="00823856">
        <w:rPr>
          <w:rFonts w:asciiTheme="majorBidi" w:hAnsiTheme="majorBidi" w:cstheme="majorBidi"/>
          <w:sz w:val="24"/>
          <w:szCs w:val="24"/>
          <w:lang w:bidi="fa-IR"/>
        </w:rPr>
        <w:t xml:space="preserve"> impacts</w:t>
      </w:r>
      <w:r w:rsidRPr="00823856">
        <w:rPr>
          <w:rFonts w:asciiTheme="majorBidi" w:hAnsiTheme="majorBidi" w:cstheme="majorBidi"/>
          <w:sz w:val="24"/>
          <w:szCs w:val="24"/>
          <w:lang w:bidi="fa-IR"/>
        </w:rPr>
        <w:t xml:space="preserve">. </w:t>
      </w:r>
      <w:r w:rsidR="008B7913" w:rsidRPr="00823856">
        <w:rPr>
          <w:rFonts w:asciiTheme="majorBidi" w:hAnsiTheme="majorBidi" w:cstheme="majorBidi"/>
          <w:sz w:val="24"/>
          <w:szCs w:val="24"/>
          <w:lang w:bidi="fa-IR"/>
        </w:rPr>
        <w:t>Based on results presented above,</w:t>
      </w:r>
      <w:r w:rsidRPr="00823856">
        <w:rPr>
          <w:rFonts w:asciiTheme="majorBidi" w:hAnsiTheme="majorBidi" w:cstheme="majorBidi"/>
          <w:sz w:val="24"/>
          <w:szCs w:val="24"/>
          <w:lang w:bidi="fa-IR"/>
        </w:rPr>
        <w:t xml:space="preserve"> many </w:t>
      </w:r>
      <w:r w:rsidR="008B7913" w:rsidRPr="00823856">
        <w:rPr>
          <w:rFonts w:asciiTheme="majorBidi" w:hAnsiTheme="majorBidi" w:cstheme="majorBidi"/>
          <w:sz w:val="24"/>
          <w:szCs w:val="24"/>
          <w:lang w:bidi="fa-IR"/>
        </w:rPr>
        <w:t>social considerations</w:t>
      </w:r>
      <w:r w:rsidRPr="00823856">
        <w:rPr>
          <w:rFonts w:asciiTheme="majorBidi" w:hAnsiTheme="majorBidi" w:cstheme="majorBidi"/>
          <w:sz w:val="24"/>
          <w:szCs w:val="24"/>
          <w:lang w:bidi="fa-IR"/>
        </w:rPr>
        <w:t xml:space="preserve"> could impact cho</w:t>
      </w:r>
      <w:r w:rsidR="008B7913" w:rsidRPr="00823856">
        <w:rPr>
          <w:rFonts w:asciiTheme="majorBidi" w:hAnsiTheme="majorBidi" w:cstheme="majorBidi"/>
          <w:sz w:val="24"/>
          <w:szCs w:val="24"/>
          <w:lang w:bidi="fa-IR"/>
        </w:rPr>
        <w:t xml:space="preserve">ice of the </w:t>
      </w:r>
      <w:r w:rsidRPr="00823856">
        <w:rPr>
          <w:rFonts w:asciiTheme="majorBidi" w:hAnsiTheme="majorBidi" w:cstheme="majorBidi"/>
          <w:sz w:val="24"/>
          <w:szCs w:val="24"/>
          <w:lang w:bidi="fa-IR"/>
        </w:rPr>
        <w:t>best alternative</w:t>
      </w:r>
      <w:r w:rsidR="008B7913" w:rsidRPr="00823856">
        <w:rPr>
          <w:rFonts w:asciiTheme="majorBidi" w:hAnsiTheme="majorBidi" w:cstheme="majorBidi"/>
          <w:sz w:val="24"/>
          <w:szCs w:val="24"/>
          <w:lang w:bidi="fa-IR"/>
        </w:rPr>
        <w:t xml:space="preserve"> modular construction material</w:t>
      </w:r>
      <w:r w:rsidRPr="00823856">
        <w:rPr>
          <w:rFonts w:asciiTheme="majorBidi" w:hAnsiTheme="majorBidi" w:cstheme="majorBidi"/>
          <w:sz w:val="24"/>
          <w:szCs w:val="24"/>
          <w:lang w:bidi="fa-IR"/>
        </w:rPr>
        <w:t xml:space="preserve">. However, this </w:t>
      </w:r>
      <w:r w:rsidR="008976D5" w:rsidRPr="00823856">
        <w:rPr>
          <w:rFonts w:asciiTheme="majorBidi" w:hAnsiTheme="majorBidi" w:cstheme="majorBidi"/>
          <w:sz w:val="24"/>
          <w:szCs w:val="24"/>
          <w:lang w:bidi="fa-IR"/>
        </w:rPr>
        <w:t xml:space="preserve">consideration </w:t>
      </w:r>
      <w:r w:rsidR="008B7913" w:rsidRPr="00823856">
        <w:rPr>
          <w:rFonts w:asciiTheme="majorBidi" w:hAnsiTheme="majorBidi" w:cstheme="majorBidi"/>
          <w:sz w:val="24"/>
          <w:szCs w:val="24"/>
          <w:lang w:bidi="fa-IR"/>
        </w:rPr>
        <w:t xml:space="preserve">is </w:t>
      </w:r>
      <w:r w:rsidR="008976D5" w:rsidRPr="00823856">
        <w:rPr>
          <w:rFonts w:asciiTheme="majorBidi" w:hAnsiTheme="majorBidi" w:cstheme="majorBidi"/>
          <w:sz w:val="24"/>
          <w:szCs w:val="24"/>
          <w:lang w:bidi="fa-IR"/>
        </w:rPr>
        <w:t>influenced by</w:t>
      </w:r>
      <w:r w:rsidRPr="00823856">
        <w:rPr>
          <w:rFonts w:asciiTheme="majorBidi" w:hAnsiTheme="majorBidi" w:cstheme="majorBidi"/>
          <w:sz w:val="24"/>
          <w:szCs w:val="24"/>
          <w:lang w:bidi="fa-IR"/>
        </w:rPr>
        <w:t xml:space="preserve"> human subjectivity based on the region or country of study and expert opinion</w:t>
      </w:r>
      <w:r w:rsidR="008976D5" w:rsidRPr="00823856">
        <w:rPr>
          <w:rFonts w:asciiTheme="majorBidi" w:hAnsiTheme="majorBidi" w:cstheme="majorBidi"/>
          <w:sz w:val="24"/>
          <w:szCs w:val="24"/>
          <w:lang w:bidi="fa-IR"/>
        </w:rPr>
        <w:t>s</w:t>
      </w:r>
      <w:r w:rsidRPr="00823856">
        <w:rPr>
          <w:rFonts w:asciiTheme="majorBidi" w:hAnsiTheme="majorBidi" w:cstheme="majorBidi"/>
          <w:sz w:val="24"/>
          <w:szCs w:val="24"/>
          <w:lang w:bidi="fa-IR"/>
        </w:rPr>
        <w:t xml:space="preserve"> on the three pillar</w:t>
      </w:r>
      <w:r w:rsidR="008976D5" w:rsidRPr="00823856">
        <w:rPr>
          <w:rFonts w:asciiTheme="majorBidi" w:hAnsiTheme="majorBidi" w:cstheme="majorBidi"/>
          <w:sz w:val="24"/>
          <w:szCs w:val="24"/>
          <w:lang w:bidi="fa-IR"/>
        </w:rPr>
        <w:t>s of</w:t>
      </w:r>
      <w:r w:rsidRPr="00823856">
        <w:rPr>
          <w:rFonts w:asciiTheme="majorBidi" w:hAnsiTheme="majorBidi" w:cstheme="majorBidi"/>
          <w:sz w:val="24"/>
          <w:szCs w:val="24"/>
          <w:lang w:bidi="fa-IR"/>
        </w:rPr>
        <w:t xml:space="preserve"> sustainability priorit</w:t>
      </w:r>
      <w:r w:rsidR="008976D5" w:rsidRPr="00823856">
        <w:rPr>
          <w:rFonts w:asciiTheme="majorBidi" w:hAnsiTheme="majorBidi" w:cstheme="majorBidi"/>
          <w:sz w:val="24"/>
          <w:szCs w:val="24"/>
          <w:lang w:bidi="fa-IR"/>
        </w:rPr>
        <w:t>ies</w:t>
      </w:r>
      <w:r w:rsidRPr="00823856">
        <w:rPr>
          <w:rFonts w:asciiTheme="majorBidi" w:hAnsiTheme="majorBidi" w:cstheme="majorBidi"/>
          <w:sz w:val="24"/>
          <w:szCs w:val="24"/>
          <w:lang w:bidi="fa-IR"/>
        </w:rPr>
        <w:t xml:space="preserve">. In conclusion, covering more criteria such as SLCA could provide </w:t>
      </w:r>
      <w:r w:rsidR="008976D5" w:rsidRPr="00823856">
        <w:rPr>
          <w:rFonts w:asciiTheme="majorBidi" w:hAnsiTheme="majorBidi" w:cstheme="majorBidi"/>
          <w:sz w:val="24"/>
          <w:szCs w:val="24"/>
          <w:lang w:bidi="fa-IR"/>
        </w:rPr>
        <w:t xml:space="preserve">more </w:t>
      </w:r>
      <w:r w:rsidRPr="00823856">
        <w:rPr>
          <w:rFonts w:asciiTheme="majorBidi" w:hAnsiTheme="majorBidi" w:cstheme="majorBidi"/>
          <w:sz w:val="24"/>
          <w:szCs w:val="24"/>
          <w:lang w:bidi="fa-IR"/>
        </w:rPr>
        <w:t>comprehensive results.</w:t>
      </w:r>
    </w:p>
    <w:p w14:paraId="2762CA07" w14:textId="77777777" w:rsidR="008B7913" w:rsidRPr="00823856" w:rsidRDefault="008B7913" w:rsidP="00EE12FE">
      <w:pPr>
        <w:spacing w:before="240" w:line="276" w:lineRule="auto"/>
        <w:ind w:firstLine="720"/>
        <w:jc w:val="both"/>
        <w:rPr>
          <w:rFonts w:asciiTheme="majorBidi" w:hAnsiTheme="majorBidi" w:cstheme="majorBidi"/>
          <w:sz w:val="24"/>
          <w:szCs w:val="24"/>
          <w:lang w:bidi="fa-IR"/>
        </w:rPr>
      </w:pPr>
    </w:p>
    <w:p w14:paraId="757E4AC0" w14:textId="4F18418F" w:rsidR="00F30181" w:rsidRPr="00823856" w:rsidRDefault="00EC3578" w:rsidP="00EE12FE">
      <w:pPr>
        <w:pStyle w:val="ListParagraph"/>
        <w:numPr>
          <w:ilvl w:val="0"/>
          <w:numId w:val="1"/>
        </w:numPr>
        <w:autoSpaceDE w:val="0"/>
        <w:autoSpaceDN w:val="0"/>
        <w:adjustRightInd w:val="0"/>
        <w:spacing w:line="276" w:lineRule="auto"/>
        <w:rPr>
          <w:rFonts w:asciiTheme="majorBidi" w:hAnsiTheme="majorBidi" w:cstheme="majorBidi"/>
          <w:b/>
          <w:bCs/>
          <w:i/>
          <w:iCs/>
          <w:sz w:val="24"/>
          <w:szCs w:val="24"/>
        </w:rPr>
      </w:pPr>
      <w:r w:rsidRPr="00823856">
        <w:rPr>
          <w:rFonts w:asciiTheme="majorBidi" w:hAnsiTheme="majorBidi" w:cstheme="majorBidi"/>
          <w:b/>
          <w:bCs/>
          <w:i/>
          <w:iCs/>
          <w:sz w:val="24"/>
          <w:szCs w:val="24"/>
        </w:rPr>
        <w:t>Conclusions</w:t>
      </w:r>
    </w:p>
    <w:p w14:paraId="1CDD63CB" w14:textId="4EE811BD" w:rsidR="00493CC5" w:rsidRPr="00823856" w:rsidRDefault="008976D5" w:rsidP="00EA31B3">
      <w:pPr>
        <w:spacing w:line="276" w:lineRule="auto"/>
        <w:ind w:firstLine="720"/>
        <w:jc w:val="lowKashida"/>
        <w:rPr>
          <w:rFonts w:asciiTheme="majorBidi" w:hAnsiTheme="majorBidi" w:cstheme="majorBidi"/>
          <w:sz w:val="24"/>
          <w:szCs w:val="24"/>
        </w:rPr>
      </w:pPr>
      <w:r w:rsidRPr="00823856">
        <w:rPr>
          <w:rFonts w:asciiTheme="majorBidi" w:hAnsiTheme="majorBidi" w:cstheme="majorBidi"/>
          <w:sz w:val="24"/>
          <w:szCs w:val="24"/>
        </w:rPr>
        <w:t>T</w:t>
      </w:r>
      <w:r w:rsidR="00C00C75" w:rsidRPr="00823856">
        <w:rPr>
          <w:rFonts w:asciiTheme="majorBidi" w:hAnsiTheme="majorBidi" w:cstheme="majorBidi"/>
          <w:sz w:val="24"/>
          <w:szCs w:val="24"/>
        </w:rPr>
        <w:t xml:space="preserve">his study accomplished the life cycle sustainability assessment on three different modular construction buildings. The preliminary result of GWP shows that modular timber is the best option. </w:t>
      </w:r>
      <w:r w:rsidRPr="00823856">
        <w:rPr>
          <w:rFonts w:asciiTheme="majorBidi" w:hAnsiTheme="majorBidi" w:cstheme="majorBidi"/>
          <w:sz w:val="24"/>
          <w:szCs w:val="24"/>
        </w:rPr>
        <w:t>T</w:t>
      </w:r>
      <w:r w:rsidR="00C00C75" w:rsidRPr="00823856">
        <w:rPr>
          <w:rFonts w:asciiTheme="majorBidi" w:hAnsiTheme="majorBidi" w:cstheme="majorBidi"/>
          <w:sz w:val="24"/>
          <w:szCs w:val="24"/>
        </w:rPr>
        <w:t>he end-of-life scenario of steel has a net advantage and reduction in total emission</w:t>
      </w:r>
      <w:r w:rsidRPr="00823856">
        <w:rPr>
          <w:rFonts w:asciiTheme="majorBidi" w:hAnsiTheme="majorBidi" w:cstheme="majorBidi"/>
          <w:sz w:val="24"/>
          <w:szCs w:val="24"/>
        </w:rPr>
        <w:t>s</w:t>
      </w:r>
      <w:r w:rsidR="00C00C75" w:rsidRPr="00823856">
        <w:rPr>
          <w:rFonts w:asciiTheme="majorBidi" w:hAnsiTheme="majorBidi" w:cstheme="majorBidi"/>
          <w:sz w:val="24"/>
          <w:szCs w:val="24"/>
        </w:rPr>
        <w:t xml:space="preserve"> (37% net emission). </w:t>
      </w:r>
      <w:r w:rsidRPr="00823856">
        <w:rPr>
          <w:rFonts w:asciiTheme="majorBidi" w:hAnsiTheme="majorBidi" w:cstheme="majorBidi"/>
          <w:sz w:val="24"/>
          <w:szCs w:val="24"/>
        </w:rPr>
        <w:t>In terms of</w:t>
      </w:r>
      <w:r w:rsidR="00C00C75" w:rsidRPr="00823856">
        <w:rPr>
          <w:rFonts w:asciiTheme="majorBidi" w:hAnsiTheme="majorBidi" w:cstheme="majorBidi"/>
          <w:sz w:val="24"/>
          <w:szCs w:val="24"/>
        </w:rPr>
        <w:t xml:space="preserve"> embodied </w:t>
      </w:r>
      <w:proofErr w:type="gramStart"/>
      <w:r w:rsidR="00C00C75" w:rsidRPr="00823856">
        <w:rPr>
          <w:rFonts w:asciiTheme="majorBidi" w:hAnsiTheme="majorBidi" w:cstheme="majorBidi"/>
          <w:sz w:val="24"/>
          <w:szCs w:val="24"/>
        </w:rPr>
        <w:t>energy of</w:t>
      </w:r>
      <w:proofErr w:type="gramEnd"/>
      <w:r w:rsidR="00C00C75" w:rsidRPr="00823856">
        <w:rPr>
          <w:rFonts w:asciiTheme="majorBidi" w:hAnsiTheme="majorBidi" w:cstheme="majorBidi"/>
          <w:sz w:val="24"/>
          <w:szCs w:val="24"/>
        </w:rPr>
        <w:t xml:space="preserve"> timber has </w:t>
      </w:r>
      <w:r w:rsidRPr="00823856">
        <w:rPr>
          <w:rFonts w:asciiTheme="majorBidi" w:hAnsiTheme="majorBidi" w:cstheme="majorBidi"/>
          <w:sz w:val="24"/>
          <w:szCs w:val="24"/>
        </w:rPr>
        <w:t xml:space="preserve">the </w:t>
      </w:r>
      <w:r w:rsidR="00C00C75" w:rsidRPr="00823856">
        <w:rPr>
          <w:rFonts w:asciiTheme="majorBidi" w:hAnsiTheme="majorBidi" w:cstheme="majorBidi"/>
          <w:sz w:val="24"/>
          <w:szCs w:val="24"/>
        </w:rPr>
        <w:t>lowe</w:t>
      </w:r>
      <w:r w:rsidRPr="00823856">
        <w:rPr>
          <w:rFonts w:asciiTheme="majorBidi" w:hAnsiTheme="majorBidi" w:cstheme="majorBidi"/>
          <w:sz w:val="24"/>
          <w:szCs w:val="24"/>
        </w:rPr>
        <w:t>st</w:t>
      </w:r>
      <w:r w:rsidR="00C00C75" w:rsidRPr="00823856">
        <w:rPr>
          <w:rFonts w:asciiTheme="majorBidi" w:hAnsiTheme="majorBidi" w:cstheme="majorBidi"/>
          <w:sz w:val="24"/>
          <w:szCs w:val="24"/>
        </w:rPr>
        <w:t xml:space="preserve"> energy consumption during its lifespan.</w:t>
      </w:r>
      <w:r w:rsidR="00EA31B3">
        <w:rPr>
          <w:rFonts w:asciiTheme="majorBidi" w:hAnsiTheme="majorBidi" w:cstheme="majorBidi"/>
          <w:sz w:val="24"/>
          <w:szCs w:val="24"/>
        </w:rPr>
        <w:t xml:space="preserve"> </w:t>
      </w:r>
      <w:r w:rsidRPr="00823856">
        <w:rPr>
          <w:rFonts w:asciiTheme="majorBidi" w:hAnsiTheme="majorBidi" w:cstheme="majorBidi"/>
          <w:sz w:val="24"/>
          <w:szCs w:val="24"/>
        </w:rPr>
        <w:t>Cost</w:t>
      </w:r>
      <w:r w:rsidR="00C00C75" w:rsidRPr="00823856">
        <w:rPr>
          <w:rFonts w:asciiTheme="majorBidi" w:hAnsiTheme="majorBidi" w:cstheme="majorBidi"/>
          <w:sz w:val="24"/>
          <w:szCs w:val="24"/>
        </w:rPr>
        <w:t xml:space="preserve"> comparison</w:t>
      </w:r>
      <w:r w:rsidRPr="00823856">
        <w:rPr>
          <w:rFonts w:asciiTheme="majorBidi" w:hAnsiTheme="majorBidi" w:cstheme="majorBidi"/>
          <w:sz w:val="24"/>
          <w:szCs w:val="24"/>
        </w:rPr>
        <w:t>s</w:t>
      </w:r>
      <w:r w:rsidR="00C00C75" w:rsidRPr="00823856">
        <w:rPr>
          <w:rFonts w:asciiTheme="majorBidi" w:hAnsiTheme="majorBidi" w:cstheme="majorBidi"/>
          <w:sz w:val="24"/>
          <w:szCs w:val="24"/>
        </w:rPr>
        <w:t xml:space="preserve"> revealed that modular timber is the most expensive option</w:t>
      </w:r>
      <w:r w:rsidRPr="00823856">
        <w:rPr>
          <w:rFonts w:asciiTheme="majorBidi" w:hAnsiTheme="majorBidi" w:cstheme="majorBidi"/>
          <w:sz w:val="24"/>
          <w:szCs w:val="24"/>
        </w:rPr>
        <w:t>,</w:t>
      </w:r>
      <w:r w:rsidR="00C00C75" w:rsidRPr="00823856">
        <w:rPr>
          <w:rFonts w:asciiTheme="majorBidi" w:hAnsiTheme="majorBidi" w:cstheme="majorBidi"/>
          <w:sz w:val="24"/>
          <w:szCs w:val="24"/>
        </w:rPr>
        <w:t xml:space="preserve"> </w:t>
      </w:r>
      <w:r w:rsidRPr="00823856">
        <w:rPr>
          <w:rFonts w:asciiTheme="majorBidi" w:hAnsiTheme="majorBidi" w:cstheme="majorBidi"/>
          <w:sz w:val="24"/>
          <w:szCs w:val="24"/>
        </w:rPr>
        <w:t>while</w:t>
      </w:r>
      <w:r w:rsidR="00C00C75" w:rsidRPr="00823856">
        <w:rPr>
          <w:rFonts w:asciiTheme="majorBidi" w:hAnsiTheme="majorBidi" w:cstheme="majorBidi"/>
          <w:sz w:val="24"/>
          <w:szCs w:val="24"/>
        </w:rPr>
        <w:t xml:space="preserve"> concrete is the most economical modular building</w:t>
      </w:r>
      <w:r w:rsidRPr="00823856">
        <w:rPr>
          <w:rFonts w:asciiTheme="majorBidi" w:hAnsiTheme="majorBidi" w:cstheme="majorBidi"/>
          <w:sz w:val="24"/>
          <w:szCs w:val="24"/>
        </w:rPr>
        <w:t xml:space="preserve"> construction material</w:t>
      </w:r>
      <w:r w:rsidR="00C00C75" w:rsidRPr="00823856">
        <w:rPr>
          <w:rFonts w:asciiTheme="majorBidi" w:hAnsiTheme="majorBidi" w:cstheme="majorBidi"/>
          <w:sz w:val="24"/>
          <w:szCs w:val="24"/>
        </w:rPr>
        <w:t xml:space="preserve"> with a 30% lower total cost. </w:t>
      </w:r>
      <w:r w:rsidRPr="00823856">
        <w:rPr>
          <w:rFonts w:asciiTheme="majorBidi" w:hAnsiTheme="majorBidi" w:cstheme="majorBidi"/>
          <w:sz w:val="24"/>
          <w:szCs w:val="24"/>
        </w:rPr>
        <w:t>Based on respondents in the SLCA</w:t>
      </w:r>
      <w:r w:rsidR="00C00C75" w:rsidRPr="00823856">
        <w:rPr>
          <w:rFonts w:asciiTheme="majorBidi" w:hAnsiTheme="majorBidi" w:cstheme="majorBidi"/>
          <w:sz w:val="24"/>
          <w:szCs w:val="24"/>
        </w:rPr>
        <w:t xml:space="preserve">, steel is recognized as the most preferable modular </w:t>
      </w:r>
      <w:r w:rsidRPr="00823856">
        <w:rPr>
          <w:rFonts w:asciiTheme="majorBidi" w:hAnsiTheme="majorBidi" w:cstheme="majorBidi"/>
          <w:sz w:val="24"/>
          <w:szCs w:val="24"/>
        </w:rPr>
        <w:t>building construction material</w:t>
      </w:r>
      <w:r w:rsidR="00C00C75" w:rsidRPr="00823856">
        <w:rPr>
          <w:rFonts w:asciiTheme="majorBidi" w:hAnsiTheme="majorBidi" w:cstheme="majorBidi"/>
          <w:sz w:val="24"/>
          <w:szCs w:val="24"/>
        </w:rPr>
        <w:t xml:space="preserve">. </w:t>
      </w:r>
      <w:r w:rsidRPr="00823856">
        <w:rPr>
          <w:rFonts w:asciiTheme="majorBidi" w:hAnsiTheme="majorBidi" w:cstheme="majorBidi"/>
          <w:sz w:val="24"/>
          <w:szCs w:val="24"/>
        </w:rPr>
        <w:t>A</w:t>
      </w:r>
      <w:r w:rsidR="00C00C75" w:rsidRPr="00823856">
        <w:rPr>
          <w:rFonts w:asciiTheme="majorBidi" w:hAnsiTheme="majorBidi" w:cstheme="majorBidi"/>
          <w:sz w:val="24"/>
          <w:szCs w:val="24"/>
        </w:rPr>
        <w:t xml:space="preserve"> </w:t>
      </w:r>
      <w:r w:rsidR="005B35E7">
        <w:rPr>
          <w:rFonts w:asciiTheme="majorBidi" w:hAnsiTheme="majorBidi" w:cstheme="majorBidi"/>
          <w:sz w:val="24"/>
          <w:szCs w:val="24"/>
        </w:rPr>
        <w:t>MCDM</w:t>
      </w:r>
      <w:r w:rsidR="00C00C75" w:rsidRPr="00823856">
        <w:rPr>
          <w:rFonts w:asciiTheme="majorBidi" w:hAnsiTheme="majorBidi" w:cstheme="majorBidi"/>
          <w:sz w:val="24"/>
          <w:szCs w:val="24"/>
        </w:rPr>
        <w:t xml:space="preserve"> tool by PROMETHEE II was employed to evaluate the differences between modular buildings. The result revealed that steel is the prefer</w:t>
      </w:r>
      <w:r w:rsidRPr="00823856">
        <w:rPr>
          <w:rFonts w:asciiTheme="majorBidi" w:hAnsiTheme="majorBidi" w:cstheme="majorBidi"/>
          <w:sz w:val="24"/>
          <w:szCs w:val="24"/>
        </w:rPr>
        <w:t>red</w:t>
      </w:r>
      <w:r w:rsidR="00C00C75" w:rsidRPr="00823856">
        <w:rPr>
          <w:rFonts w:asciiTheme="majorBidi" w:hAnsiTheme="majorBidi" w:cstheme="majorBidi"/>
          <w:sz w:val="24"/>
          <w:szCs w:val="24"/>
        </w:rPr>
        <w:t xml:space="preserve"> modular construction</w:t>
      </w:r>
      <w:r w:rsidRPr="00823856">
        <w:rPr>
          <w:rFonts w:asciiTheme="majorBidi" w:hAnsiTheme="majorBidi" w:cstheme="majorBidi"/>
          <w:sz w:val="24"/>
          <w:szCs w:val="24"/>
        </w:rPr>
        <w:t xml:space="preserve"> material</w:t>
      </w:r>
      <w:r w:rsidR="00C00C75" w:rsidRPr="00823856">
        <w:rPr>
          <w:rFonts w:asciiTheme="majorBidi" w:hAnsiTheme="majorBidi" w:cstheme="majorBidi"/>
          <w:sz w:val="24"/>
          <w:szCs w:val="24"/>
        </w:rPr>
        <w:t xml:space="preserve"> among the alternatives followed by concrete and timber.</w:t>
      </w:r>
      <w:r w:rsidR="00025ECE" w:rsidRPr="00823856">
        <w:rPr>
          <w:rFonts w:asciiTheme="majorBidi" w:hAnsiTheme="majorBidi" w:cstheme="majorBidi"/>
          <w:sz w:val="24"/>
          <w:szCs w:val="24"/>
        </w:rPr>
        <w:t xml:space="preserve"> </w:t>
      </w:r>
    </w:p>
    <w:p w14:paraId="2D04E599" w14:textId="021088F3" w:rsidR="00367403" w:rsidRPr="00823856" w:rsidRDefault="00C00C75" w:rsidP="00EE12FE">
      <w:pPr>
        <w:spacing w:line="276" w:lineRule="auto"/>
        <w:ind w:firstLine="720"/>
        <w:jc w:val="lowKashida"/>
        <w:rPr>
          <w:rFonts w:asciiTheme="majorBidi" w:hAnsiTheme="majorBidi" w:cstheme="majorBidi"/>
          <w:sz w:val="24"/>
          <w:szCs w:val="24"/>
          <w:rtl/>
        </w:rPr>
      </w:pPr>
      <w:r w:rsidRPr="00823856">
        <w:rPr>
          <w:rFonts w:asciiTheme="majorBidi" w:hAnsiTheme="majorBidi" w:cstheme="majorBidi"/>
          <w:sz w:val="24"/>
          <w:szCs w:val="24"/>
        </w:rPr>
        <w:t>The sensitivit</w:t>
      </w:r>
      <w:r w:rsidR="008976D5" w:rsidRPr="00823856">
        <w:rPr>
          <w:rFonts w:asciiTheme="majorBidi" w:hAnsiTheme="majorBidi" w:cstheme="majorBidi"/>
          <w:sz w:val="24"/>
          <w:szCs w:val="24"/>
        </w:rPr>
        <w:t>y</w:t>
      </w:r>
      <w:r w:rsidRPr="00823856">
        <w:rPr>
          <w:rFonts w:asciiTheme="majorBidi" w:hAnsiTheme="majorBidi" w:cstheme="majorBidi"/>
          <w:sz w:val="24"/>
          <w:szCs w:val="24"/>
        </w:rPr>
        <w:t xml:space="preserve"> analysis revealed that the best building material </w:t>
      </w:r>
      <w:r w:rsidR="008976D5" w:rsidRPr="00823856">
        <w:rPr>
          <w:rFonts w:asciiTheme="majorBidi" w:hAnsiTheme="majorBidi" w:cstheme="majorBidi"/>
          <w:sz w:val="24"/>
          <w:szCs w:val="24"/>
        </w:rPr>
        <w:t>could differ based on changing criteria.</w:t>
      </w:r>
      <w:r w:rsidRPr="00823856">
        <w:rPr>
          <w:rFonts w:asciiTheme="majorBidi" w:hAnsiTheme="majorBidi" w:cstheme="majorBidi"/>
          <w:sz w:val="24"/>
          <w:szCs w:val="24"/>
        </w:rPr>
        <w:t xml:space="preserve"> All three</w:t>
      </w:r>
      <w:r w:rsidR="008976D5" w:rsidRPr="00823856">
        <w:rPr>
          <w:rFonts w:asciiTheme="majorBidi" w:hAnsiTheme="majorBidi" w:cstheme="majorBidi"/>
          <w:sz w:val="24"/>
          <w:szCs w:val="24"/>
        </w:rPr>
        <w:t xml:space="preserve"> modular construction</w:t>
      </w:r>
      <w:r w:rsidRPr="00823856">
        <w:rPr>
          <w:rFonts w:asciiTheme="majorBidi" w:hAnsiTheme="majorBidi" w:cstheme="majorBidi"/>
          <w:sz w:val="24"/>
          <w:szCs w:val="24"/>
        </w:rPr>
        <w:t xml:space="preserve"> materials could be the ideal choice based on specific circumstance</w:t>
      </w:r>
      <w:r w:rsidR="008976D5" w:rsidRPr="00823856">
        <w:rPr>
          <w:rFonts w:asciiTheme="majorBidi" w:hAnsiTheme="majorBidi" w:cstheme="majorBidi"/>
          <w:sz w:val="24"/>
          <w:szCs w:val="24"/>
        </w:rPr>
        <w:t>s</w:t>
      </w:r>
      <w:r w:rsidRPr="00823856">
        <w:rPr>
          <w:rFonts w:asciiTheme="majorBidi" w:hAnsiTheme="majorBidi" w:cstheme="majorBidi"/>
          <w:sz w:val="24"/>
          <w:szCs w:val="24"/>
        </w:rPr>
        <w:t xml:space="preserve">. </w:t>
      </w:r>
      <w:r w:rsidR="008976D5" w:rsidRPr="00823856">
        <w:rPr>
          <w:rFonts w:asciiTheme="majorBidi" w:hAnsiTheme="majorBidi" w:cstheme="majorBidi"/>
          <w:sz w:val="24"/>
          <w:szCs w:val="24"/>
        </w:rPr>
        <w:t>In this study, steel presents the best choice when based on</w:t>
      </w:r>
      <w:r w:rsidRPr="00823856">
        <w:rPr>
          <w:rFonts w:asciiTheme="majorBidi" w:hAnsiTheme="majorBidi" w:cstheme="majorBidi"/>
          <w:sz w:val="24"/>
          <w:szCs w:val="24"/>
        </w:rPr>
        <w:t xml:space="preserve"> four different criteria: carbon emission</w:t>
      </w:r>
      <w:r w:rsidR="008976D5" w:rsidRPr="00823856">
        <w:rPr>
          <w:rFonts w:asciiTheme="majorBidi" w:hAnsiTheme="majorBidi" w:cstheme="majorBidi"/>
          <w:sz w:val="24"/>
          <w:szCs w:val="24"/>
        </w:rPr>
        <w:t>s</w:t>
      </w:r>
      <w:r w:rsidRPr="00823856">
        <w:rPr>
          <w:rFonts w:asciiTheme="majorBidi" w:hAnsiTheme="majorBidi" w:cstheme="majorBidi"/>
          <w:sz w:val="24"/>
          <w:szCs w:val="24"/>
        </w:rPr>
        <w:t>, embodied energy, cost, and social LCA</w:t>
      </w:r>
      <w:r w:rsidR="008976D5" w:rsidRPr="00823856">
        <w:rPr>
          <w:rFonts w:asciiTheme="majorBidi" w:hAnsiTheme="majorBidi" w:cstheme="majorBidi"/>
          <w:sz w:val="24"/>
          <w:szCs w:val="24"/>
        </w:rPr>
        <w:t>.</w:t>
      </w:r>
      <w:r w:rsidRPr="00823856">
        <w:rPr>
          <w:rFonts w:asciiTheme="majorBidi" w:hAnsiTheme="majorBidi" w:cstheme="majorBidi"/>
          <w:sz w:val="24"/>
          <w:szCs w:val="24"/>
        </w:rPr>
        <w:t xml:space="preserve"> Sensitivity analysis by equal weighting showed that human subjectivity could significantly impact material </w:t>
      </w:r>
      <w:r w:rsidR="008976D5" w:rsidRPr="00823856">
        <w:rPr>
          <w:rFonts w:asciiTheme="majorBidi" w:hAnsiTheme="majorBidi" w:cstheme="majorBidi"/>
          <w:sz w:val="24"/>
          <w:szCs w:val="24"/>
        </w:rPr>
        <w:t xml:space="preserve">selection </w:t>
      </w:r>
      <w:r w:rsidRPr="00823856">
        <w:rPr>
          <w:rFonts w:asciiTheme="majorBidi" w:hAnsiTheme="majorBidi" w:cstheme="majorBidi"/>
          <w:sz w:val="24"/>
          <w:szCs w:val="24"/>
        </w:rPr>
        <w:t xml:space="preserve">for constructing the modular house.  </w:t>
      </w:r>
      <w:r w:rsidR="008976D5" w:rsidRPr="00823856">
        <w:rPr>
          <w:rFonts w:asciiTheme="majorBidi" w:hAnsiTheme="majorBidi" w:cstheme="majorBidi"/>
          <w:sz w:val="24"/>
          <w:szCs w:val="24"/>
        </w:rPr>
        <w:t xml:space="preserve">When the criteria are </w:t>
      </w:r>
      <w:proofErr w:type="gramStart"/>
      <w:r w:rsidRPr="00823856">
        <w:rPr>
          <w:rFonts w:asciiTheme="majorBidi" w:hAnsiTheme="majorBidi" w:cstheme="majorBidi"/>
          <w:sz w:val="24"/>
          <w:szCs w:val="24"/>
        </w:rPr>
        <w:t>narrow</w:t>
      </w:r>
      <w:proofErr w:type="gramEnd"/>
      <w:r w:rsidRPr="00823856">
        <w:rPr>
          <w:rFonts w:asciiTheme="majorBidi" w:hAnsiTheme="majorBidi" w:cstheme="majorBidi"/>
          <w:sz w:val="24"/>
          <w:szCs w:val="24"/>
        </w:rPr>
        <w:t xml:space="preserve"> down </w:t>
      </w:r>
      <w:r w:rsidR="008976D5" w:rsidRPr="00823856">
        <w:rPr>
          <w:rFonts w:asciiTheme="majorBidi" w:hAnsiTheme="majorBidi" w:cstheme="majorBidi"/>
          <w:sz w:val="24"/>
          <w:szCs w:val="24"/>
        </w:rPr>
        <w:t xml:space="preserve">to three areas </w:t>
      </w:r>
      <w:r w:rsidRPr="00823856">
        <w:rPr>
          <w:rFonts w:asciiTheme="majorBidi" w:hAnsiTheme="majorBidi" w:cstheme="majorBidi"/>
          <w:sz w:val="24"/>
          <w:szCs w:val="24"/>
        </w:rPr>
        <w:t xml:space="preserve">(carbon emission, embodied energy, cost), timber </w:t>
      </w:r>
      <w:r w:rsidR="008976D5" w:rsidRPr="00823856">
        <w:rPr>
          <w:rFonts w:asciiTheme="majorBidi" w:hAnsiTheme="majorBidi" w:cstheme="majorBidi"/>
          <w:sz w:val="24"/>
          <w:szCs w:val="24"/>
        </w:rPr>
        <w:t>is</w:t>
      </w:r>
      <w:r w:rsidRPr="00823856">
        <w:rPr>
          <w:rFonts w:asciiTheme="majorBidi" w:hAnsiTheme="majorBidi" w:cstheme="majorBidi"/>
          <w:sz w:val="24"/>
          <w:szCs w:val="24"/>
        </w:rPr>
        <w:t xml:space="preserve"> recognized as the best choice. </w:t>
      </w:r>
      <w:r w:rsidR="008976D5" w:rsidRPr="00823856">
        <w:rPr>
          <w:rFonts w:asciiTheme="majorBidi" w:hAnsiTheme="majorBidi" w:cstheme="majorBidi"/>
          <w:sz w:val="24"/>
          <w:szCs w:val="24"/>
        </w:rPr>
        <w:t>R</w:t>
      </w:r>
      <w:r w:rsidRPr="00823856">
        <w:rPr>
          <w:rFonts w:asciiTheme="majorBidi" w:hAnsiTheme="majorBidi" w:cstheme="majorBidi"/>
          <w:sz w:val="24"/>
          <w:szCs w:val="24"/>
        </w:rPr>
        <w:t>esult</w:t>
      </w:r>
      <w:r w:rsidR="008976D5" w:rsidRPr="00823856">
        <w:rPr>
          <w:rFonts w:asciiTheme="majorBidi" w:hAnsiTheme="majorBidi" w:cstheme="majorBidi"/>
          <w:sz w:val="24"/>
          <w:szCs w:val="24"/>
        </w:rPr>
        <w:t>s</w:t>
      </w:r>
      <w:r w:rsidRPr="00823856">
        <w:rPr>
          <w:rFonts w:asciiTheme="majorBidi" w:hAnsiTheme="majorBidi" w:cstheme="majorBidi"/>
          <w:sz w:val="24"/>
          <w:szCs w:val="24"/>
        </w:rPr>
        <w:t xml:space="preserve"> showed that relying on environmental impact</w:t>
      </w:r>
      <w:r w:rsidR="008976D5" w:rsidRPr="00823856">
        <w:rPr>
          <w:rFonts w:asciiTheme="majorBidi" w:hAnsiTheme="majorBidi" w:cstheme="majorBidi"/>
          <w:sz w:val="24"/>
          <w:szCs w:val="24"/>
        </w:rPr>
        <w:t>s</w:t>
      </w:r>
      <w:r w:rsidRPr="00823856">
        <w:rPr>
          <w:rFonts w:asciiTheme="majorBidi" w:hAnsiTheme="majorBidi" w:cstheme="majorBidi"/>
          <w:sz w:val="24"/>
          <w:szCs w:val="24"/>
        </w:rPr>
        <w:t xml:space="preserve"> is not </w:t>
      </w:r>
      <w:r w:rsidR="008976D5" w:rsidRPr="00823856">
        <w:rPr>
          <w:rFonts w:asciiTheme="majorBidi" w:hAnsiTheme="majorBidi" w:cstheme="majorBidi"/>
          <w:sz w:val="24"/>
          <w:szCs w:val="24"/>
        </w:rPr>
        <w:t>sufficient</w:t>
      </w:r>
      <w:r w:rsidRPr="00823856">
        <w:rPr>
          <w:rFonts w:asciiTheme="majorBidi" w:hAnsiTheme="majorBidi" w:cstheme="majorBidi"/>
          <w:sz w:val="24"/>
          <w:szCs w:val="24"/>
        </w:rPr>
        <w:t xml:space="preserve"> to reveal the best alternative for modular building</w:t>
      </w:r>
      <w:r w:rsidR="008976D5" w:rsidRPr="00823856">
        <w:rPr>
          <w:rFonts w:asciiTheme="majorBidi" w:hAnsiTheme="majorBidi" w:cstheme="majorBidi"/>
          <w:sz w:val="24"/>
          <w:szCs w:val="24"/>
        </w:rPr>
        <w:t xml:space="preserve"> construction material</w:t>
      </w:r>
      <w:r w:rsidRPr="00823856">
        <w:rPr>
          <w:rFonts w:asciiTheme="majorBidi" w:hAnsiTheme="majorBidi" w:cstheme="majorBidi"/>
          <w:sz w:val="24"/>
          <w:szCs w:val="24"/>
        </w:rPr>
        <w:t xml:space="preserve">. Nevertheless, the research needs to </w:t>
      </w:r>
      <w:r w:rsidR="008976D5" w:rsidRPr="00823856">
        <w:rPr>
          <w:rFonts w:asciiTheme="majorBidi" w:hAnsiTheme="majorBidi" w:cstheme="majorBidi"/>
          <w:sz w:val="24"/>
          <w:szCs w:val="24"/>
        </w:rPr>
        <w:t>in</w:t>
      </w:r>
      <w:r w:rsidRPr="00823856">
        <w:rPr>
          <w:rFonts w:asciiTheme="majorBidi" w:hAnsiTheme="majorBidi" w:cstheme="majorBidi"/>
          <w:sz w:val="24"/>
          <w:szCs w:val="24"/>
        </w:rPr>
        <w:t xml:space="preserve">corporate the cost and social impact </w:t>
      </w:r>
      <w:r w:rsidR="008976D5" w:rsidRPr="00823856">
        <w:rPr>
          <w:rFonts w:asciiTheme="majorBidi" w:hAnsiTheme="majorBidi" w:cstheme="majorBidi"/>
          <w:sz w:val="24"/>
          <w:szCs w:val="24"/>
        </w:rPr>
        <w:t>to</w:t>
      </w:r>
      <w:r w:rsidRPr="00823856">
        <w:rPr>
          <w:rFonts w:asciiTheme="majorBidi" w:hAnsiTheme="majorBidi" w:cstheme="majorBidi"/>
          <w:sz w:val="24"/>
          <w:szCs w:val="24"/>
        </w:rPr>
        <w:t xml:space="preserve"> achiev</w:t>
      </w:r>
      <w:r w:rsidR="008976D5" w:rsidRPr="00823856">
        <w:rPr>
          <w:rFonts w:asciiTheme="majorBidi" w:hAnsiTheme="majorBidi" w:cstheme="majorBidi"/>
          <w:sz w:val="24"/>
          <w:szCs w:val="24"/>
        </w:rPr>
        <w:t>e</w:t>
      </w:r>
      <w:r w:rsidRPr="00823856">
        <w:rPr>
          <w:rFonts w:asciiTheme="majorBidi" w:hAnsiTheme="majorBidi" w:cstheme="majorBidi"/>
          <w:sz w:val="24"/>
          <w:szCs w:val="24"/>
        </w:rPr>
        <w:t xml:space="preserve"> comprehensive results.</w:t>
      </w:r>
      <w:r w:rsidR="008976D5" w:rsidRPr="00823856">
        <w:rPr>
          <w:rFonts w:asciiTheme="majorBidi" w:hAnsiTheme="majorBidi" w:cstheme="majorBidi"/>
          <w:sz w:val="24"/>
          <w:szCs w:val="24"/>
        </w:rPr>
        <w:t xml:space="preserve"> Conversely</w:t>
      </w:r>
      <w:r w:rsidRPr="00823856">
        <w:rPr>
          <w:rFonts w:asciiTheme="majorBidi" w:hAnsiTheme="majorBidi" w:cstheme="majorBidi"/>
          <w:sz w:val="24"/>
          <w:szCs w:val="24"/>
        </w:rPr>
        <w:t>, the social study result</w:t>
      </w:r>
      <w:r w:rsidR="008976D5" w:rsidRPr="00823856">
        <w:rPr>
          <w:rFonts w:asciiTheme="majorBidi" w:hAnsiTheme="majorBidi" w:cstheme="majorBidi"/>
          <w:sz w:val="24"/>
          <w:szCs w:val="24"/>
        </w:rPr>
        <w:t>s</w:t>
      </w:r>
      <w:r w:rsidRPr="00823856">
        <w:rPr>
          <w:rFonts w:asciiTheme="majorBidi" w:hAnsiTheme="majorBidi" w:cstheme="majorBidi"/>
          <w:sz w:val="24"/>
          <w:szCs w:val="24"/>
        </w:rPr>
        <w:t xml:space="preserve"> </w:t>
      </w:r>
      <w:proofErr w:type="gramStart"/>
      <w:r w:rsidRPr="00823856">
        <w:rPr>
          <w:rFonts w:asciiTheme="majorBidi" w:hAnsiTheme="majorBidi" w:cstheme="majorBidi"/>
          <w:sz w:val="24"/>
          <w:szCs w:val="24"/>
        </w:rPr>
        <w:t>depends</w:t>
      </w:r>
      <w:proofErr w:type="gramEnd"/>
      <w:r w:rsidRPr="00823856">
        <w:rPr>
          <w:rFonts w:asciiTheme="majorBidi" w:hAnsiTheme="majorBidi" w:cstheme="majorBidi"/>
          <w:sz w:val="24"/>
          <w:szCs w:val="24"/>
        </w:rPr>
        <w:t xml:space="preserve"> on the region of study and human subjectively.</w:t>
      </w:r>
      <w:r w:rsidR="00367403" w:rsidRPr="00823856">
        <w:rPr>
          <w:rFonts w:asciiTheme="majorBidi" w:hAnsiTheme="majorBidi" w:cstheme="majorBidi"/>
          <w:sz w:val="24"/>
          <w:szCs w:val="24"/>
        </w:rPr>
        <w:t xml:space="preserve"> </w:t>
      </w:r>
    </w:p>
    <w:p w14:paraId="71AAF3E5" w14:textId="78008FED" w:rsidR="00FE449E" w:rsidRDefault="00C00C75" w:rsidP="00EA31B3">
      <w:pPr>
        <w:spacing w:line="276" w:lineRule="auto"/>
        <w:ind w:firstLine="720"/>
        <w:jc w:val="lowKashida"/>
        <w:rPr>
          <w:rFonts w:asciiTheme="majorBidi" w:hAnsiTheme="majorBidi" w:cstheme="majorBidi"/>
          <w:sz w:val="24"/>
          <w:szCs w:val="24"/>
        </w:rPr>
      </w:pPr>
      <w:r w:rsidRPr="00823856">
        <w:rPr>
          <w:rFonts w:asciiTheme="majorBidi" w:hAnsiTheme="majorBidi" w:cstheme="majorBidi"/>
          <w:sz w:val="24"/>
          <w:szCs w:val="24"/>
        </w:rPr>
        <w:lastRenderedPageBreak/>
        <w:t xml:space="preserve">Although the target of this study has been achieved, there are </w:t>
      </w:r>
      <w:proofErr w:type="gramStart"/>
      <w:r w:rsidRPr="00823856">
        <w:rPr>
          <w:rFonts w:asciiTheme="majorBidi" w:hAnsiTheme="majorBidi" w:cstheme="majorBidi"/>
          <w:sz w:val="24"/>
          <w:szCs w:val="24"/>
        </w:rPr>
        <w:t>few</w:t>
      </w:r>
      <w:proofErr w:type="gramEnd"/>
      <w:r w:rsidRPr="00823856">
        <w:rPr>
          <w:rFonts w:asciiTheme="majorBidi" w:hAnsiTheme="majorBidi" w:cstheme="majorBidi"/>
          <w:sz w:val="24"/>
          <w:szCs w:val="24"/>
        </w:rPr>
        <w:t xml:space="preserve"> obstacle</w:t>
      </w:r>
      <w:r w:rsidR="008976D5" w:rsidRPr="00823856">
        <w:rPr>
          <w:rFonts w:asciiTheme="majorBidi" w:hAnsiTheme="majorBidi" w:cstheme="majorBidi"/>
          <w:sz w:val="24"/>
          <w:szCs w:val="24"/>
        </w:rPr>
        <w:t>s</w:t>
      </w:r>
      <w:r w:rsidRPr="00823856">
        <w:rPr>
          <w:rFonts w:asciiTheme="majorBidi" w:hAnsiTheme="majorBidi" w:cstheme="majorBidi"/>
          <w:sz w:val="24"/>
          <w:szCs w:val="24"/>
        </w:rPr>
        <w:t xml:space="preserve"> </w:t>
      </w:r>
      <w:r w:rsidR="008976D5" w:rsidRPr="00823856">
        <w:rPr>
          <w:rFonts w:asciiTheme="majorBidi" w:hAnsiTheme="majorBidi" w:cstheme="majorBidi"/>
          <w:sz w:val="24"/>
          <w:szCs w:val="24"/>
        </w:rPr>
        <w:t xml:space="preserve">that need </w:t>
      </w:r>
      <w:r w:rsidRPr="00823856">
        <w:rPr>
          <w:rFonts w:asciiTheme="majorBidi" w:hAnsiTheme="majorBidi" w:cstheme="majorBidi"/>
          <w:sz w:val="24"/>
          <w:szCs w:val="24"/>
        </w:rPr>
        <w:t xml:space="preserve">to be addressed for future research. Firstly, this research was based on the context of Malaysian construction. In this regard, </w:t>
      </w:r>
      <w:r w:rsidR="001B48F7" w:rsidRPr="00823856">
        <w:rPr>
          <w:rFonts w:asciiTheme="majorBidi" w:hAnsiTheme="majorBidi" w:cstheme="majorBidi"/>
          <w:sz w:val="24"/>
          <w:szCs w:val="24"/>
        </w:rPr>
        <w:t xml:space="preserve">different results might be obtained when </w:t>
      </w:r>
      <w:r w:rsidRPr="00823856">
        <w:rPr>
          <w:rFonts w:asciiTheme="majorBidi" w:hAnsiTheme="majorBidi" w:cstheme="majorBidi"/>
          <w:sz w:val="24"/>
          <w:szCs w:val="24"/>
        </w:rPr>
        <w:t>encountering other nations due to human subjectivity and transportation distance. However, the findings of this study are still valid and fundamental to the body of knowledge as it considered the three-pillar</w:t>
      </w:r>
      <w:r w:rsidR="001B48F7" w:rsidRPr="00823856">
        <w:rPr>
          <w:rFonts w:asciiTheme="majorBidi" w:hAnsiTheme="majorBidi" w:cstheme="majorBidi"/>
          <w:sz w:val="24"/>
          <w:szCs w:val="24"/>
        </w:rPr>
        <w:t>s</w:t>
      </w:r>
      <w:r w:rsidRPr="00823856">
        <w:rPr>
          <w:rFonts w:asciiTheme="majorBidi" w:hAnsiTheme="majorBidi" w:cstheme="majorBidi"/>
          <w:sz w:val="24"/>
          <w:szCs w:val="24"/>
        </w:rPr>
        <w:t xml:space="preserve"> of sustainability among the variety of materials for modular </w:t>
      </w:r>
      <w:r w:rsidR="001B48F7" w:rsidRPr="00823856">
        <w:rPr>
          <w:rFonts w:asciiTheme="majorBidi" w:hAnsiTheme="majorBidi" w:cstheme="majorBidi"/>
          <w:sz w:val="24"/>
          <w:szCs w:val="24"/>
        </w:rPr>
        <w:t xml:space="preserve">construction </w:t>
      </w:r>
      <w:r w:rsidRPr="00823856">
        <w:rPr>
          <w:rFonts w:asciiTheme="majorBidi" w:hAnsiTheme="majorBidi" w:cstheme="majorBidi"/>
          <w:sz w:val="24"/>
          <w:szCs w:val="24"/>
        </w:rPr>
        <w:t xml:space="preserve">techniques. </w:t>
      </w:r>
      <w:r w:rsidR="001B48F7" w:rsidRPr="00823856">
        <w:rPr>
          <w:rFonts w:asciiTheme="majorBidi" w:hAnsiTheme="majorBidi" w:cstheme="majorBidi"/>
          <w:sz w:val="24"/>
          <w:szCs w:val="24"/>
        </w:rPr>
        <w:t>Also</w:t>
      </w:r>
      <w:r w:rsidRPr="00823856">
        <w:rPr>
          <w:rFonts w:asciiTheme="majorBidi" w:hAnsiTheme="majorBidi" w:cstheme="majorBidi"/>
          <w:sz w:val="24"/>
          <w:szCs w:val="24"/>
        </w:rPr>
        <w:t>, the result</w:t>
      </w:r>
      <w:r w:rsidR="001B48F7" w:rsidRPr="00823856">
        <w:rPr>
          <w:rFonts w:asciiTheme="majorBidi" w:hAnsiTheme="majorBidi" w:cstheme="majorBidi"/>
          <w:sz w:val="24"/>
          <w:szCs w:val="24"/>
        </w:rPr>
        <w:t xml:space="preserve">s </w:t>
      </w:r>
      <w:r w:rsidRPr="00823856">
        <w:rPr>
          <w:rFonts w:asciiTheme="majorBidi" w:hAnsiTheme="majorBidi" w:cstheme="majorBidi"/>
          <w:sz w:val="24"/>
          <w:szCs w:val="24"/>
        </w:rPr>
        <w:t>could be vastly applied in all countries in the Asia</w:t>
      </w:r>
      <w:r w:rsidR="001B48F7" w:rsidRPr="00823856">
        <w:rPr>
          <w:rFonts w:asciiTheme="majorBidi" w:hAnsiTheme="majorBidi" w:cstheme="majorBidi"/>
          <w:sz w:val="24"/>
          <w:szCs w:val="24"/>
        </w:rPr>
        <w:t xml:space="preserve"> region</w:t>
      </w:r>
      <w:r w:rsidRPr="00823856">
        <w:rPr>
          <w:rFonts w:asciiTheme="majorBidi" w:hAnsiTheme="majorBidi" w:cstheme="majorBidi"/>
          <w:sz w:val="24"/>
          <w:szCs w:val="24"/>
        </w:rPr>
        <w:t xml:space="preserve"> wh</w:t>
      </w:r>
      <w:r w:rsidR="001B48F7" w:rsidRPr="00823856">
        <w:rPr>
          <w:rFonts w:asciiTheme="majorBidi" w:hAnsiTheme="majorBidi" w:cstheme="majorBidi"/>
          <w:sz w:val="24"/>
          <w:szCs w:val="24"/>
        </w:rPr>
        <w:t>ich have</w:t>
      </w:r>
      <w:r w:rsidRPr="00823856">
        <w:rPr>
          <w:rFonts w:asciiTheme="majorBidi" w:hAnsiTheme="majorBidi" w:cstheme="majorBidi"/>
          <w:sz w:val="24"/>
          <w:szCs w:val="24"/>
        </w:rPr>
        <w:t xml:space="preserve"> the same attitude</w:t>
      </w:r>
      <w:r w:rsidR="001B48F7" w:rsidRPr="00823856">
        <w:rPr>
          <w:rFonts w:asciiTheme="majorBidi" w:hAnsiTheme="majorBidi" w:cstheme="majorBidi"/>
          <w:sz w:val="24"/>
          <w:szCs w:val="24"/>
        </w:rPr>
        <w:t>s</w:t>
      </w:r>
      <w:r w:rsidRPr="00823856">
        <w:rPr>
          <w:rFonts w:asciiTheme="majorBidi" w:hAnsiTheme="majorBidi" w:cstheme="majorBidi"/>
          <w:sz w:val="24"/>
          <w:szCs w:val="24"/>
        </w:rPr>
        <w:t xml:space="preserve"> toward</w:t>
      </w:r>
      <w:r w:rsidR="001B48F7" w:rsidRPr="00823856">
        <w:rPr>
          <w:rFonts w:asciiTheme="majorBidi" w:hAnsiTheme="majorBidi" w:cstheme="majorBidi"/>
          <w:sz w:val="24"/>
          <w:szCs w:val="24"/>
        </w:rPr>
        <w:t>s</w:t>
      </w:r>
      <w:r w:rsidRPr="00823856">
        <w:rPr>
          <w:rFonts w:asciiTheme="majorBidi" w:hAnsiTheme="majorBidi" w:cstheme="majorBidi"/>
          <w:sz w:val="24"/>
          <w:szCs w:val="24"/>
        </w:rPr>
        <w:t xml:space="preserve"> timber </w:t>
      </w:r>
      <w:r w:rsidR="001B48F7" w:rsidRPr="00823856">
        <w:rPr>
          <w:rFonts w:asciiTheme="majorBidi" w:hAnsiTheme="majorBidi" w:cstheme="majorBidi"/>
          <w:sz w:val="24"/>
          <w:szCs w:val="24"/>
        </w:rPr>
        <w:t xml:space="preserve">as </w:t>
      </w:r>
      <w:proofErr w:type="gramStart"/>
      <w:r w:rsidR="001B48F7" w:rsidRPr="00823856">
        <w:rPr>
          <w:rFonts w:asciiTheme="majorBidi" w:hAnsiTheme="majorBidi" w:cstheme="majorBidi"/>
          <w:sz w:val="24"/>
          <w:szCs w:val="24"/>
        </w:rPr>
        <w:t xml:space="preserve">a construction </w:t>
      </w:r>
      <w:r w:rsidRPr="00823856">
        <w:rPr>
          <w:rFonts w:asciiTheme="majorBidi" w:hAnsiTheme="majorBidi" w:cstheme="majorBidi"/>
          <w:sz w:val="24"/>
          <w:szCs w:val="24"/>
        </w:rPr>
        <w:t>material</w:t>
      </w:r>
      <w:proofErr w:type="gramEnd"/>
      <w:r w:rsidRPr="00823856">
        <w:rPr>
          <w:rFonts w:asciiTheme="majorBidi" w:hAnsiTheme="majorBidi" w:cstheme="majorBidi"/>
          <w:sz w:val="24"/>
          <w:szCs w:val="24"/>
        </w:rPr>
        <w:t xml:space="preserve">. </w:t>
      </w:r>
      <w:r w:rsidR="001B48F7" w:rsidRPr="00823856">
        <w:rPr>
          <w:rFonts w:asciiTheme="majorBidi" w:hAnsiTheme="majorBidi" w:cstheme="majorBidi"/>
          <w:sz w:val="24"/>
          <w:szCs w:val="24"/>
        </w:rPr>
        <w:t>Furthermore</w:t>
      </w:r>
      <w:r w:rsidRPr="00823856">
        <w:rPr>
          <w:rFonts w:asciiTheme="majorBidi" w:hAnsiTheme="majorBidi" w:cstheme="majorBidi"/>
          <w:sz w:val="24"/>
          <w:szCs w:val="24"/>
        </w:rPr>
        <w:t>, the finding</w:t>
      </w:r>
      <w:r w:rsidR="001B48F7" w:rsidRPr="00823856">
        <w:rPr>
          <w:rFonts w:asciiTheme="majorBidi" w:hAnsiTheme="majorBidi" w:cstheme="majorBidi"/>
          <w:sz w:val="24"/>
          <w:szCs w:val="24"/>
        </w:rPr>
        <w:t>s</w:t>
      </w:r>
      <w:r w:rsidRPr="00823856">
        <w:rPr>
          <w:rFonts w:asciiTheme="majorBidi" w:hAnsiTheme="majorBidi" w:cstheme="majorBidi"/>
          <w:sz w:val="24"/>
          <w:szCs w:val="24"/>
        </w:rPr>
        <w:t xml:space="preserve"> of this study can </w:t>
      </w:r>
      <w:r w:rsidR="001B48F7" w:rsidRPr="00823856">
        <w:rPr>
          <w:rFonts w:asciiTheme="majorBidi" w:hAnsiTheme="majorBidi" w:cstheme="majorBidi"/>
          <w:sz w:val="24"/>
          <w:szCs w:val="24"/>
        </w:rPr>
        <w:t>provide</w:t>
      </w:r>
      <w:r w:rsidRPr="00823856">
        <w:rPr>
          <w:rFonts w:asciiTheme="majorBidi" w:hAnsiTheme="majorBidi" w:cstheme="majorBidi"/>
          <w:sz w:val="24"/>
          <w:szCs w:val="24"/>
        </w:rPr>
        <w:t xml:space="preserve"> a theoretical basis for attempts to enhance</w:t>
      </w:r>
      <w:r w:rsidR="001B48F7" w:rsidRPr="00823856">
        <w:rPr>
          <w:rFonts w:asciiTheme="majorBidi" w:hAnsiTheme="majorBidi" w:cstheme="majorBidi"/>
          <w:sz w:val="24"/>
          <w:szCs w:val="24"/>
        </w:rPr>
        <w:t xml:space="preserve"> </w:t>
      </w:r>
      <w:proofErr w:type="gramStart"/>
      <w:r w:rsidR="001B48F7" w:rsidRPr="00823856">
        <w:rPr>
          <w:rFonts w:asciiTheme="majorBidi" w:hAnsiTheme="majorBidi" w:cstheme="majorBidi"/>
          <w:sz w:val="24"/>
          <w:szCs w:val="24"/>
        </w:rPr>
        <w:t>the</w:t>
      </w:r>
      <w:r w:rsidRPr="00823856">
        <w:rPr>
          <w:rFonts w:asciiTheme="majorBidi" w:hAnsiTheme="majorBidi" w:cstheme="majorBidi"/>
          <w:sz w:val="24"/>
          <w:szCs w:val="24"/>
        </w:rPr>
        <w:t xml:space="preserve"> construction</w:t>
      </w:r>
      <w:proofErr w:type="gramEnd"/>
      <w:r w:rsidRPr="00823856">
        <w:rPr>
          <w:rFonts w:asciiTheme="majorBidi" w:hAnsiTheme="majorBidi" w:cstheme="majorBidi"/>
          <w:sz w:val="24"/>
          <w:szCs w:val="24"/>
        </w:rPr>
        <w:t xml:space="preserve"> management </w:t>
      </w:r>
      <w:r w:rsidR="001B48F7" w:rsidRPr="00823856">
        <w:rPr>
          <w:rFonts w:asciiTheme="majorBidi" w:hAnsiTheme="majorBidi" w:cstheme="majorBidi"/>
          <w:sz w:val="24"/>
          <w:szCs w:val="24"/>
        </w:rPr>
        <w:t>in terms</w:t>
      </w:r>
      <w:r w:rsidRPr="00823856">
        <w:rPr>
          <w:rFonts w:asciiTheme="majorBidi" w:hAnsiTheme="majorBidi" w:cstheme="majorBidi"/>
          <w:sz w:val="24"/>
          <w:szCs w:val="24"/>
        </w:rPr>
        <w:t xml:space="preserve"> sustainab</w:t>
      </w:r>
      <w:r w:rsidR="001B48F7" w:rsidRPr="00823856">
        <w:rPr>
          <w:rFonts w:asciiTheme="majorBidi" w:hAnsiTheme="majorBidi" w:cstheme="majorBidi"/>
          <w:sz w:val="24"/>
          <w:szCs w:val="24"/>
        </w:rPr>
        <w:t>le</w:t>
      </w:r>
      <w:r w:rsidRPr="00823856">
        <w:rPr>
          <w:rFonts w:asciiTheme="majorBidi" w:hAnsiTheme="majorBidi" w:cstheme="majorBidi"/>
          <w:sz w:val="24"/>
          <w:szCs w:val="24"/>
        </w:rPr>
        <w:t xml:space="preserve"> development. Moreover, the result</w:t>
      </w:r>
      <w:r w:rsidR="001B48F7" w:rsidRPr="00823856">
        <w:rPr>
          <w:rFonts w:asciiTheme="majorBidi" w:hAnsiTheme="majorBidi" w:cstheme="majorBidi"/>
          <w:sz w:val="24"/>
          <w:szCs w:val="24"/>
        </w:rPr>
        <w:t>s</w:t>
      </w:r>
      <w:r w:rsidRPr="00823856">
        <w:rPr>
          <w:rFonts w:asciiTheme="majorBidi" w:hAnsiTheme="majorBidi" w:cstheme="majorBidi"/>
          <w:sz w:val="24"/>
          <w:szCs w:val="24"/>
        </w:rPr>
        <w:t xml:space="preserve"> could be utilized by enterprises and governments to implement better strategies for the future. </w:t>
      </w:r>
    </w:p>
    <w:p w14:paraId="7B54A42C" w14:textId="77777777" w:rsidR="00737F10" w:rsidRPr="00F5545F" w:rsidRDefault="00737F10" w:rsidP="00737F10">
      <w:pPr>
        <w:autoSpaceDE w:val="0"/>
        <w:autoSpaceDN w:val="0"/>
        <w:adjustRightInd w:val="0"/>
        <w:spacing w:after="0" w:line="240" w:lineRule="auto"/>
        <w:rPr>
          <w:rFonts w:asciiTheme="majorBidi" w:hAnsiTheme="majorBidi" w:cstheme="majorBidi"/>
        </w:rPr>
      </w:pPr>
    </w:p>
    <w:p w14:paraId="792B1FE5" w14:textId="77777777" w:rsidR="00737F10" w:rsidRPr="00F5545F" w:rsidRDefault="00737F10" w:rsidP="00737F10">
      <w:pPr>
        <w:rPr>
          <w:rFonts w:asciiTheme="majorBidi" w:hAnsiTheme="majorBidi" w:cstheme="majorBidi"/>
          <w:b/>
          <w:bCs/>
          <w:sz w:val="24"/>
          <w:szCs w:val="24"/>
        </w:rPr>
      </w:pPr>
    </w:p>
    <w:p w14:paraId="06739466" w14:textId="77777777" w:rsidR="00737F10" w:rsidRPr="00F5545F" w:rsidRDefault="00737F10" w:rsidP="00737F10">
      <w:pPr>
        <w:rPr>
          <w:rFonts w:asciiTheme="majorBidi" w:hAnsiTheme="majorBidi" w:cstheme="majorBidi"/>
          <w:sz w:val="20"/>
          <w:szCs w:val="20"/>
        </w:rPr>
      </w:pPr>
      <w:r w:rsidRPr="00F5545F">
        <w:rPr>
          <w:rFonts w:asciiTheme="majorBidi" w:hAnsiTheme="majorBidi" w:cstheme="majorBidi"/>
          <w:b/>
          <w:bCs/>
          <w:sz w:val="24"/>
          <w:szCs w:val="24"/>
        </w:rPr>
        <w:t>References</w:t>
      </w:r>
    </w:p>
    <w:p w14:paraId="1B10B871"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sz w:val="20"/>
          <w:szCs w:val="20"/>
        </w:rPr>
        <w:fldChar w:fldCharType="begin" w:fldLock="1"/>
      </w:r>
      <w:r w:rsidRPr="00F5545F">
        <w:rPr>
          <w:rFonts w:asciiTheme="majorBidi" w:hAnsiTheme="majorBidi" w:cstheme="majorBidi"/>
          <w:sz w:val="20"/>
          <w:szCs w:val="20"/>
        </w:rPr>
        <w:instrText xml:space="preserve">ADDIN Mendeley Bibliography CSL_BIBLIOGRAPHY </w:instrText>
      </w:r>
      <w:r w:rsidRPr="00F5545F">
        <w:rPr>
          <w:rFonts w:asciiTheme="majorBidi" w:hAnsiTheme="majorBidi" w:cstheme="majorBidi"/>
          <w:sz w:val="20"/>
          <w:szCs w:val="20"/>
        </w:rPr>
        <w:fldChar w:fldCharType="separate"/>
      </w:r>
      <w:r w:rsidRPr="00F5545F">
        <w:rPr>
          <w:rFonts w:asciiTheme="majorBidi" w:hAnsiTheme="majorBidi" w:cstheme="majorBidi"/>
          <w:noProof/>
          <w:sz w:val="20"/>
          <w:szCs w:val="24"/>
        </w:rPr>
        <w:t xml:space="preserve">Achal, V., Mukherjee, A., Kumari, D., &amp; Zhang, Q. (2015). Earth-Science Reviews Biomineralization for sustainable construction – A review of processes and applications. </w:t>
      </w:r>
      <w:r w:rsidRPr="00F5545F">
        <w:rPr>
          <w:rFonts w:asciiTheme="majorBidi" w:hAnsiTheme="majorBidi" w:cstheme="majorBidi"/>
          <w:i/>
          <w:iCs/>
          <w:noProof/>
          <w:sz w:val="20"/>
          <w:szCs w:val="24"/>
        </w:rPr>
        <w:t>Earth Science Reviews</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148</w:t>
      </w:r>
      <w:r w:rsidRPr="00F5545F">
        <w:rPr>
          <w:rFonts w:asciiTheme="majorBidi" w:hAnsiTheme="majorBidi" w:cstheme="majorBidi"/>
          <w:noProof/>
          <w:sz w:val="20"/>
          <w:szCs w:val="24"/>
        </w:rPr>
        <w:t>, 1–17. https://doi.org/10.1016/j.earscirev.2015.05.008</w:t>
      </w:r>
    </w:p>
    <w:p w14:paraId="3BE37377"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Ajayi, S. O., &amp; Oyedele, L. O. (2018). Waste-efficient materials procurement for construction projects : A structural equation modelling of critical success factors. </w:t>
      </w:r>
      <w:r w:rsidRPr="00F5545F">
        <w:rPr>
          <w:rFonts w:asciiTheme="majorBidi" w:hAnsiTheme="majorBidi" w:cstheme="majorBidi"/>
          <w:i/>
          <w:iCs/>
          <w:noProof/>
          <w:sz w:val="20"/>
          <w:szCs w:val="24"/>
        </w:rPr>
        <w:t>Waste Management</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75</w:t>
      </w:r>
      <w:r w:rsidRPr="00F5545F">
        <w:rPr>
          <w:rFonts w:asciiTheme="majorBidi" w:hAnsiTheme="majorBidi" w:cstheme="majorBidi"/>
          <w:noProof/>
          <w:sz w:val="20"/>
          <w:szCs w:val="24"/>
        </w:rPr>
        <w:t>, 60–69. https://doi.org/10.1016/j.wasman.2018.01.025</w:t>
      </w:r>
    </w:p>
    <w:p w14:paraId="1FD1686F"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Atmaca, A., &amp; Atmaca, N. (2016). Comparative life cycle energy and cost analysis of post-disaster temporary housings. </w:t>
      </w:r>
      <w:r w:rsidRPr="00F5545F">
        <w:rPr>
          <w:rFonts w:asciiTheme="majorBidi" w:hAnsiTheme="majorBidi" w:cstheme="majorBidi"/>
          <w:i/>
          <w:iCs/>
          <w:noProof/>
          <w:sz w:val="20"/>
          <w:szCs w:val="24"/>
        </w:rPr>
        <w:t>Applied Energy</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171</w:t>
      </w:r>
      <w:r w:rsidRPr="00F5545F">
        <w:rPr>
          <w:rFonts w:asciiTheme="majorBidi" w:hAnsiTheme="majorBidi" w:cstheme="majorBidi"/>
          <w:noProof/>
          <w:sz w:val="20"/>
          <w:szCs w:val="24"/>
        </w:rPr>
        <w:t>(March 2011), 429–443. https://doi.org/10.1016/j.apenergy.2016.03.058</w:t>
      </w:r>
    </w:p>
    <w:p w14:paraId="3FA039C0"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Aye, L., Ngo, T., Crawford, R. H., Gammampila, R., &amp; Mendis, P. (2012). Life cycle greenhouse gas emissions and energy analysis of prefabricated reusable building modules. </w:t>
      </w:r>
      <w:r w:rsidRPr="00F5545F">
        <w:rPr>
          <w:rFonts w:asciiTheme="majorBidi" w:hAnsiTheme="majorBidi" w:cstheme="majorBidi"/>
          <w:i/>
          <w:iCs/>
          <w:noProof/>
          <w:sz w:val="20"/>
          <w:szCs w:val="24"/>
        </w:rPr>
        <w:t>Energy and Buildings</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47</w:t>
      </w:r>
      <w:r w:rsidRPr="00F5545F">
        <w:rPr>
          <w:rFonts w:asciiTheme="majorBidi" w:hAnsiTheme="majorBidi" w:cstheme="majorBidi"/>
          <w:noProof/>
          <w:sz w:val="20"/>
          <w:szCs w:val="24"/>
        </w:rPr>
        <w:t>, 159–168. https://doi.org/10.1016/j.enbuild.2011.11.049</w:t>
      </w:r>
    </w:p>
    <w:p w14:paraId="00D442E9"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Baleta, J., Mikulčić, H., Klemeš, J. J., Urbaniec, K., &amp; Duić, N. (2019). Integration of energy, water and environmental systems for a sustainable development. </w:t>
      </w:r>
      <w:r w:rsidRPr="00F5545F">
        <w:rPr>
          <w:rFonts w:asciiTheme="majorBidi" w:hAnsiTheme="majorBidi" w:cstheme="majorBidi"/>
          <w:i/>
          <w:iCs/>
          <w:noProof/>
          <w:sz w:val="20"/>
          <w:szCs w:val="24"/>
        </w:rPr>
        <w:t>Journal of Cleaner Production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215</w:t>
      </w:r>
      <w:r w:rsidRPr="00F5545F">
        <w:rPr>
          <w:rFonts w:asciiTheme="majorBidi" w:hAnsiTheme="majorBidi" w:cstheme="majorBidi"/>
          <w:noProof/>
          <w:sz w:val="20"/>
          <w:szCs w:val="24"/>
        </w:rPr>
        <w:t>, 1424–1436. https://doi.org/10.1016/j.jclepro.2019.01.035</w:t>
      </w:r>
    </w:p>
    <w:p w14:paraId="6A17950C" w14:textId="77777777" w:rsidR="00737F10"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Benoît, C., Norris, G. A., Valdivia, S., Ciroth, A., Moberg, A., Bos, U., Prakash, S., Ugaya, C., &amp; Beck, T. (2010). The guidelines for social life cycle assessment of products: Just in time! </w:t>
      </w:r>
      <w:r w:rsidRPr="00F5545F">
        <w:rPr>
          <w:rFonts w:asciiTheme="majorBidi" w:hAnsiTheme="majorBidi" w:cstheme="majorBidi"/>
          <w:i/>
          <w:iCs/>
          <w:noProof/>
          <w:sz w:val="20"/>
          <w:szCs w:val="24"/>
        </w:rPr>
        <w:t>International Journal of Life Cycle Assessment</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15</w:t>
      </w:r>
      <w:r w:rsidRPr="00F5545F">
        <w:rPr>
          <w:rFonts w:asciiTheme="majorBidi" w:hAnsiTheme="majorBidi" w:cstheme="majorBidi"/>
          <w:noProof/>
          <w:sz w:val="20"/>
          <w:szCs w:val="24"/>
        </w:rPr>
        <w:t>(2), 156–163. https://doi.org/10.1007/s11367-009-0147-8</w:t>
      </w:r>
    </w:p>
    <w:p w14:paraId="7D4D2E0D" w14:textId="77777777" w:rsidR="00BF5CDD" w:rsidRDefault="00BF5CDD" w:rsidP="00BF5CDD">
      <w:pPr>
        <w:widowControl w:val="0"/>
        <w:autoSpaceDE w:val="0"/>
        <w:autoSpaceDN w:val="0"/>
        <w:adjustRightInd w:val="0"/>
        <w:spacing w:after="0"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Pr="00926DBA">
        <w:rPr>
          <w:rFonts w:ascii="Calibri" w:hAnsi="Calibri" w:cs="Calibri"/>
          <w:noProof/>
          <w:szCs w:val="24"/>
        </w:rPr>
        <w:t xml:space="preserve">Balasbaneh, A. T., &amp; Sher, W. (2022). Economic and environmental life cycle assessment of alternative mass timber walls to evaluate circular economy in building: MCDM method. </w:t>
      </w:r>
      <w:r w:rsidRPr="00926DBA">
        <w:rPr>
          <w:rFonts w:ascii="Calibri" w:hAnsi="Calibri" w:cs="Calibri"/>
          <w:i/>
          <w:iCs/>
          <w:noProof/>
          <w:szCs w:val="24"/>
        </w:rPr>
        <w:t>Environment, Development and Sustainability</w:t>
      </w:r>
      <w:r w:rsidRPr="00926DBA">
        <w:rPr>
          <w:rFonts w:ascii="Calibri" w:hAnsi="Calibri" w:cs="Calibri"/>
          <w:noProof/>
          <w:szCs w:val="24"/>
        </w:rPr>
        <w:t xml:space="preserve">, </w:t>
      </w:r>
      <w:r w:rsidRPr="00926DBA">
        <w:rPr>
          <w:rFonts w:ascii="Calibri" w:hAnsi="Calibri" w:cs="Calibri"/>
          <w:i/>
          <w:iCs/>
          <w:noProof/>
          <w:szCs w:val="24"/>
        </w:rPr>
        <w:t>0123456789</w:t>
      </w:r>
      <w:r w:rsidRPr="00926DBA">
        <w:rPr>
          <w:rFonts w:ascii="Calibri" w:hAnsi="Calibri" w:cs="Calibri"/>
          <w:noProof/>
          <w:szCs w:val="24"/>
        </w:rPr>
        <w:t>. https://doi.org/10.1007/s10668-022-02707-7</w:t>
      </w:r>
    </w:p>
    <w:p w14:paraId="49F30C2C" w14:textId="244DCC4F" w:rsidR="003A279F" w:rsidRPr="003A279F" w:rsidRDefault="003A279F" w:rsidP="003A279F">
      <w:pPr>
        <w:spacing w:after="0" w:line="240" w:lineRule="auto"/>
        <w:ind w:left="720" w:hanging="720"/>
        <w:jc w:val="both"/>
        <w:rPr>
          <w:rFonts w:asciiTheme="majorBidi" w:hAnsiTheme="majorBidi" w:cstheme="majorBidi"/>
          <w:sz w:val="20"/>
          <w:szCs w:val="20"/>
        </w:rPr>
      </w:pPr>
      <w:r w:rsidRPr="00F5545F">
        <w:rPr>
          <w:rFonts w:asciiTheme="majorBidi" w:hAnsiTheme="majorBidi" w:cstheme="majorBidi"/>
          <w:sz w:val="20"/>
          <w:szCs w:val="20"/>
        </w:rPr>
        <w:t>Balasbaneh AT, Sher W, Comparative sustainability evaluation of two engineered wood-based construction materials: Life cycle analysis of CLT versus GLT, Building and Environment (2021), doi: https://doi.org/10.1016/j.buildenv.2021.108112.</w:t>
      </w:r>
    </w:p>
    <w:p w14:paraId="25BDD43D" w14:textId="29AE43FA" w:rsidR="00737F10" w:rsidRPr="00F5545F" w:rsidRDefault="00BF5CDD" w:rsidP="00BF5CDD">
      <w:pPr>
        <w:widowControl w:val="0"/>
        <w:autoSpaceDE w:val="0"/>
        <w:autoSpaceDN w:val="0"/>
        <w:adjustRightInd w:val="0"/>
        <w:spacing w:after="0" w:line="240" w:lineRule="auto"/>
        <w:jc w:val="both"/>
        <w:rPr>
          <w:rFonts w:asciiTheme="majorBidi" w:hAnsiTheme="majorBidi" w:cstheme="majorBidi"/>
          <w:noProof/>
          <w:sz w:val="20"/>
          <w:szCs w:val="24"/>
        </w:rPr>
      </w:pPr>
      <w:r>
        <w:fldChar w:fldCharType="end"/>
      </w:r>
      <w:r w:rsidR="00737F10" w:rsidRPr="00F5545F">
        <w:rPr>
          <w:rFonts w:asciiTheme="majorBidi" w:hAnsiTheme="majorBidi" w:cstheme="majorBidi"/>
          <w:noProof/>
          <w:sz w:val="20"/>
          <w:szCs w:val="24"/>
        </w:rPr>
        <w:t xml:space="preserve">Bildsten, L. (2011). Exploring the opportunities and barriers of using prefabricated house components. </w:t>
      </w:r>
      <w:r w:rsidR="00737F10" w:rsidRPr="00F5545F">
        <w:rPr>
          <w:rFonts w:asciiTheme="majorBidi" w:hAnsiTheme="majorBidi" w:cstheme="majorBidi"/>
          <w:i/>
          <w:iCs/>
          <w:noProof/>
          <w:sz w:val="20"/>
          <w:szCs w:val="24"/>
        </w:rPr>
        <w:t>19th Annual Conference of the International Group for Lean Construction 2011, IGLC 2011</w:t>
      </w:r>
      <w:r w:rsidR="00737F10" w:rsidRPr="00F5545F">
        <w:rPr>
          <w:rFonts w:asciiTheme="majorBidi" w:hAnsiTheme="majorBidi" w:cstheme="majorBidi"/>
          <w:noProof/>
          <w:sz w:val="20"/>
          <w:szCs w:val="24"/>
        </w:rPr>
        <w:t>, 320–329.</w:t>
      </w:r>
    </w:p>
    <w:p w14:paraId="7E83F628"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Bonamente, E., Merico, M. C., Rinaldi, S., Pignatta, G., Pisello, A. L., Cotana, F., &amp; Nicolini, A. (2014). Environmental impact of industrial prefabricated buildings: Carbon and Energy Footprint analysis based on an LCA approach. </w:t>
      </w:r>
      <w:r w:rsidRPr="00F5545F">
        <w:rPr>
          <w:rFonts w:asciiTheme="majorBidi" w:hAnsiTheme="majorBidi" w:cstheme="majorBidi"/>
          <w:i/>
          <w:iCs/>
          <w:noProof/>
          <w:sz w:val="20"/>
          <w:szCs w:val="24"/>
        </w:rPr>
        <w:t>Energy Procedia</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61</w:t>
      </w:r>
      <w:r w:rsidRPr="00F5545F">
        <w:rPr>
          <w:rFonts w:asciiTheme="majorBidi" w:hAnsiTheme="majorBidi" w:cstheme="majorBidi"/>
          <w:noProof/>
          <w:sz w:val="20"/>
          <w:szCs w:val="24"/>
        </w:rPr>
        <w:t>, 2841–2844. https://doi.org/10.1016/j.egypro.2014.12.319</w:t>
      </w:r>
    </w:p>
    <w:p w14:paraId="2787601B"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Choi, J. O., Chen, X. Bin, &amp; Kim, T. W. (2019). Opportunities and challenges of modular methods in dense urban environment. </w:t>
      </w:r>
      <w:r w:rsidRPr="00F5545F">
        <w:rPr>
          <w:rFonts w:asciiTheme="majorBidi" w:hAnsiTheme="majorBidi" w:cstheme="majorBidi"/>
          <w:i/>
          <w:iCs/>
          <w:noProof/>
          <w:sz w:val="20"/>
          <w:szCs w:val="24"/>
        </w:rPr>
        <w:t>International Journal of Construction Management</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19</w:t>
      </w:r>
      <w:r w:rsidRPr="00F5545F">
        <w:rPr>
          <w:rFonts w:asciiTheme="majorBidi" w:hAnsiTheme="majorBidi" w:cstheme="majorBidi"/>
          <w:noProof/>
          <w:sz w:val="20"/>
          <w:szCs w:val="24"/>
        </w:rPr>
        <w:t>(2), 93–105. https://doi.org/10.1080/15623599.2017.1382093</w:t>
      </w:r>
    </w:p>
    <w:p w14:paraId="0F7EC427" w14:textId="77777777" w:rsidR="00737F10"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Echeveste, S., Galvan, H., &amp; Sonego, M. (2018). </w:t>
      </w:r>
      <w:r w:rsidRPr="00F5545F">
        <w:rPr>
          <w:rFonts w:asciiTheme="majorBidi" w:hAnsiTheme="majorBidi" w:cstheme="majorBidi"/>
          <w:i/>
          <w:iCs/>
          <w:noProof/>
          <w:sz w:val="20"/>
          <w:szCs w:val="24"/>
        </w:rPr>
        <w:t>The role of modularity in sustainable design : A systematic review</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176</w:t>
      </w:r>
      <w:r w:rsidRPr="00F5545F">
        <w:rPr>
          <w:rFonts w:asciiTheme="majorBidi" w:hAnsiTheme="majorBidi" w:cstheme="majorBidi"/>
          <w:noProof/>
          <w:sz w:val="20"/>
          <w:szCs w:val="24"/>
        </w:rPr>
        <w:t>, 196–209. https://doi.org/10.1016/j.jclepro.2017.12.106</w:t>
      </w:r>
    </w:p>
    <w:p w14:paraId="77AECD79" w14:textId="7AD8332D" w:rsidR="003A279F" w:rsidRPr="003A279F" w:rsidRDefault="003A279F" w:rsidP="003A279F">
      <w:pPr>
        <w:widowControl w:val="0"/>
        <w:autoSpaceDE w:val="0"/>
        <w:autoSpaceDN w:val="0"/>
        <w:adjustRightInd w:val="0"/>
        <w:spacing w:after="0" w:line="240" w:lineRule="auto"/>
        <w:ind w:left="720" w:hanging="720"/>
        <w:jc w:val="both"/>
        <w:rPr>
          <w:rFonts w:asciiTheme="majorBidi" w:hAnsiTheme="majorBidi" w:cstheme="majorBidi"/>
          <w:noProof/>
          <w:sz w:val="20"/>
          <w:szCs w:val="20"/>
        </w:rPr>
      </w:pPr>
      <w:r w:rsidRPr="00F5545F">
        <w:rPr>
          <w:rFonts w:asciiTheme="majorBidi" w:hAnsiTheme="majorBidi" w:cstheme="majorBidi"/>
          <w:noProof/>
          <w:sz w:val="20"/>
          <w:szCs w:val="20"/>
        </w:rPr>
        <w:t xml:space="preserve">European Committee for Standardization. UNE-EN 15978:2011 Sustainability of construc- tion works - Assessment </w:t>
      </w:r>
      <w:r w:rsidRPr="00F5545F">
        <w:rPr>
          <w:rFonts w:asciiTheme="majorBidi" w:hAnsiTheme="majorBidi" w:cstheme="majorBidi"/>
          <w:noProof/>
          <w:sz w:val="20"/>
          <w:szCs w:val="20"/>
        </w:rPr>
        <w:lastRenderedPageBreak/>
        <w:t>of environmental performance of buildings - Calculation method. International Organization for Standardization; 2011.</w:t>
      </w:r>
    </w:p>
    <w:p w14:paraId="0D37C591"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Energy Commission (Malaysia). (2019). Malaysia Energy Statistics Handbook 2018. </w:t>
      </w:r>
      <w:r w:rsidRPr="00F5545F">
        <w:rPr>
          <w:rFonts w:asciiTheme="majorBidi" w:hAnsiTheme="majorBidi" w:cstheme="majorBidi"/>
          <w:i/>
          <w:iCs/>
          <w:noProof/>
          <w:sz w:val="20"/>
          <w:szCs w:val="24"/>
        </w:rPr>
        <w:t>Suruhanjaya Tenaga (Energy Commission)</w:t>
      </w:r>
      <w:r w:rsidRPr="00F5545F">
        <w:rPr>
          <w:rFonts w:asciiTheme="majorBidi" w:hAnsiTheme="majorBidi" w:cstheme="majorBidi"/>
          <w:noProof/>
          <w:sz w:val="20"/>
          <w:szCs w:val="24"/>
        </w:rPr>
        <w:t>, 1–86.</w:t>
      </w:r>
    </w:p>
    <w:p w14:paraId="2FA30466"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Faludi, J., Lepech, M. D., &amp; Loisos, G. (2012). Using life cycle assessment methods to guide architectural decision-making for sustainable prefabricated modular buildings. </w:t>
      </w:r>
      <w:r w:rsidRPr="00F5545F">
        <w:rPr>
          <w:rFonts w:asciiTheme="majorBidi" w:hAnsiTheme="majorBidi" w:cstheme="majorBidi"/>
          <w:i/>
          <w:iCs/>
          <w:noProof/>
          <w:sz w:val="20"/>
          <w:szCs w:val="24"/>
        </w:rPr>
        <w:t>Journal of Green Building</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7</w:t>
      </w:r>
      <w:r w:rsidRPr="00F5545F">
        <w:rPr>
          <w:rFonts w:asciiTheme="majorBidi" w:hAnsiTheme="majorBidi" w:cstheme="majorBidi"/>
          <w:noProof/>
          <w:sz w:val="20"/>
          <w:szCs w:val="24"/>
        </w:rPr>
        <w:t>(3), 151–170. https://doi.org/10.3992/jgb.7.3.151</w:t>
      </w:r>
    </w:p>
    <w:p w14:paraId="1BEC83CA"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Fathi, M. S., Abedi, M., &amp; Mirasa, A. K. (2012). </w:t>
      </w:r>
      <w:r w:rsidRPr="00F5545F">
        <w:rPr>
          <w:rFonts w:asciiTheme="majorBidi" w:hAnsiTheme="majorBidi" w:cstheme="majorBidi"/>
          <w:i/>
          <w:iCs/>
          <w:noProof/>
          <w:sz w:val="20"/>
          <w:szCs w:val="24"/>
        </w:rPr>
        <w:t>Construction Industry Experience of Industralised Building System in Construction Industry Experience of Industralised Building System in Malaysia</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September 2016</w:t>
      </w:r>
      <w:r w:rsidRPr="00F5545F">
        <w:rPr>
          <w:rFonts w:asciiTheme="majorBidi" w:hAnsiTheme="majorBidi" w:cstheme="majorBidi"/>
          <w:noProof/>
          <w:sz w:val="20"/>
          <w:szCs w:val="24"/>
        </w:rPr>
        <w:t>.</w:t>
      </w:r>
    </w:p>
    <w:p w14:paraId="5B88A1D7"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Frischknecht, R., &amp; Rebitzer, G. (2005). The ecoinvent database system: A comprehensive web-based LCA database. </w:t>
      </w:r>
      <w:r w:rsidRPr="00F5545F">
        <w:rPr>
          <w:rFonts w:asciiTheme="majorBidi" w:hAnsiTheme="majorBidi" w:cstheme="majorBidi"/>
          <w:i/>
          <w:iCs/>
          <w:noProof/>
          <w:sz w:val="20"/>
          <w:szCs w:val="24"/>
        </w:rPr>
        <w:t>Journal of Cleaner Production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13</w:t>
      </w:r>
      <w:r w:rsidRPr="00F5545F">
        <w:rPr>
          <w:rFonts w:asciiTheme="majorBidi" w:hAnsiTheme="majorBidi" w:cstheme="majorBidi"/>
          <w:noProof/>
          <w:sz w:val="20"/>
          <w:szCs w:val="24"/>
        </w:rPr>
        <w:t>(13–14), 1337–1343. https://doi.org/10.1016/j.jclepro.2005.05.002</w:t>
      </w:r>
    </w:p>
    <w:p w14:paraId="096A325F"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Hammad, A. W., Akbarnezhad, A., Wu, P., Wang, X., &amp; Haddad, A. (2019). Building information modelling-based framework to contrast conventional and modular construction methods through selected sustainability factors. </w:t>
      </w:r>
      <w:r w:rsidRPr="00F5545F">
        <w:rPr>
          <w:rFonts w:asciiTheme="majorBidi" w:hAnsiTheme="majorBidi" w:cstheme="majorBidi"/>
          <w:i/>
          <w:iCs/>
          <w:noProof/>
          <w:sz w:val="20"/>
          <w:szCs w:val="24"/>
        </w:rPr>
        <w:t>Journal of Cleaner Production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228</w:t>
      </w:r>
      <w:r w:rsidRPr="00F5545F">
        <w:rPr>
          <w:rFonts w:asciiTheme="majorBidi" w:hAnsiTheme="majorBidi" w:cstheme="majorBidi"/>
          <w:noProof/>
          <w:sz w:val="20"/>
          <w:szCs w:val="24"/>
        </w:rPr>
        <w:t>, 1264–1281. https://doi.org/10.1016/j.jclepro.2019.04.150</w:t>
      </w:r>
    </w:p>
    <w:p w14:paraId="4A1B1B90"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Henkel, H.-J. K. (2005). Editorial The Revision of ISO Standards 14040 − 3. </w:t>
      </w:r>
      <w:r w:rsidRPr="00F5545F">
        <w:rPr>
          <w:rFonts w:asciiTheme="majorBidi" w:hAnsiTheme="majorBidi" w:cstheme="majorBidi"/>
          <w:i/>
          <w:iCs/>
          <w:noProof/>
          <w:sz w:val="20"/>
          <w:szCs w:val="24"/>
        </w:rPr>
        <w:t>International Journal of Life Cycle Assessment</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10</w:t>
      </w:r>
      <w:r w:rsidRPr="00F5545F">
        <w:rPr>
          <w:rFonts w:asciiTheme="majorBidi" w:hAnsiTheme="majorBidi" w:cstheme="majorBidi"/>
          <w:noProof/>
          <w:sz w:val="20"/>
          <w:szCs w:val="24"/>
        </w:rPr>
        <w:t>(3), 1.</w:t>
      </w:r>
    </w:p>
    <w:p w14:paraId="0CFD2DDF"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Hong, J., Shen, G. Q., Mao, C., Li, Z., &amp; Li, K. (2016). Life-cycle energy analysis of prefabricated building components: An input-output-based hybrid model. </w:t>
      </w:r>
      <w:r w:rsidRPr="00F5545F">
        <w:rPr>
          <w:rFonts w:asciiTheme="majorBidi" w:hAnsiTheme="majorBidi" w:cstheme="majorBidi"/>
          <w:i/>
          <w:iCs/>
          <w:noProof/>
          <w:sz w:val="20"/>
          <w:szCs w:val="24"/>
        </w:rPr>
        <w:t>Journal of Cleaner Production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112</w:t>
      </w:r>
      <w:r w:rsidRPr="00F5545F">
        <w:rPr>
          <w:rFonts w:asciiTheme="majorBidi" w:hAnsiTheme="majorBidi" w:cstheme="majorBidi"/>
          <w:noProof/>
          <w:sz w:val="20"/>
          <w:szCs w:val="24"/>
        </w:rPr>
        <w:t>(2016), 2198–2207. https://doi.org/10.1016/j.jclepro.2015.10.030</w:t>
      </w:r>
    </w:p>
    <w:p w14:paraId="67D56D38"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Hosseinijou, S. A., &amp; Mansour, S. (2014). </w:t>
      </w:r>
      <w:r w:rsidRPr="00F5545F">
        <w:rPr>
          <w:rFonts w:asciiTheme="majorBidi" w:hAnsiTheme="majorBidi" w:cstheme="majorBidi"/>
          <w:i/>
          <w:iCs/>
          <w:noProof/>
          <w:sz w:val="20"/>
          <w:szCs w:val="24"/>
        </w:rPr>
        <w:t>Social life cycle assessment for material selection : a case study of building materials</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11</w:t>
      </w:r>
      <w:r w:rsidRPr="00F5545F">
        <w:rPr>
          <w:rFonts w:asciiTheme="majorBidi" w:hAnsiTheme="majorBidi" w:cstheme="majorBidi"/>
          <w:noProof/>
          <w:sz w:val="20"/>
          <w:szCs w:val="24"/>
        </w:rPr>
        <w:t>, 620–645. https://doi.org/10.1007/s11367-013-0658-1</w:t>
      </w:r>
    </w:p>
    <w:p w14:paraId="01CBF9CE"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Invidiata, A., Lavagna, M., &amp; Ghisi, E. (2018). Selecting design strategies using multi-criteria decision making to improve the sustainability of buildings. </w:t>
      </w:r>
      <w:r w:rsidRPr="00F5545F">
        <w:rPr>
          <w:rFonts w:asciiTheme="majorBidi" w:hAnsiTheme="majorBidi" w:cstheme="majorBidi"/>
          <w:i/>
          <w:iCs/>
          <w:noProof/>
          <w:sz w:val="20"/>
          <w:szCs w:val="24"/>
        </w:rPr>
        <w:t>Building and Environment</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139</w:t>
      </w:r>
      <w:r w:rsidRPr="00F5545F">
        <w:rPr>
          <w:rFonts w:asciiTheme="majorBidi" w:hAnsiTheme="majorBidi" w:cstheme="majorBidi"/>
          <w:noProof/>
          <w:sz w:val="20"/>
          <w:szCs w:val="24"/>
        </w:rPr>
        <w:t>(April), 58–68. https://doi.org/10.1016/j.buildenv.2018.04.041</w:t>
      </w:r>
    </w:p>
    <w:p w14:paraId="093AFC00"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Kamali, M., &amp; Hewage, K. (2017). Development of performance criteria for sustainability evaluation of modular versus conventional construction methods. </w:t>
      </w:r>
      <w:r w:rsidRPr="00F5545F">
        <w:rPr>
          <w:rFonts w:asciiTheme="majorBidi" w:hAnsiTheme="majorBidi" w:cstheme="majorBidi"/>
          <w:i/>
          <w:iCs/>
          <w:noProof/>
          <w:sz w:val="20"/>
          <w:szCs w:val="24"/>
        </w:rPr>
        <w:t>Journal of Cleaner Production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142</w:t>
      </w:r>
      <w:r w:rsidRPr="00F5545F">
        <w:rPr>
          <w:rFonts w:asciiTheme="majorBidi" w:hAnsiTheme="majorBidi" w:cstheme="majorBidi"/>
          <w:noProof/>
          <w:sz w:val="20"/>
          <w:szCs w:val="24"/>
        </w:rPr>
        <w:t>, 3592–3606. https://doi.org/10.1016/j.jclepro.2016.10.108</w:t>
      </w:r>
    </w:p>
    <w:p w14:paraId="36E24D44"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Kamali, M., Hewage, K., &amp; Sadiq, R. (2019). Conventional versus modular construction methods: A comparative cradle-to-gate LCA for residential buildings. </w:t>
      </w:r>
      <w:r w:rsidRPr="00F5545F">
        <w:rPr>
          <w:rFonts w:asciiTheme="majorBidi" w:hAnsiTheme="majorBidi" w:cstheme="majorBidi"/>
          <w:i/>
          <w:iCs/>
          <w:noProof/>
          <w:sz w:val="20"/>
          <w:szCs w:val="24"/>
        </w:rPr>
        <w:t>Energy and Buildings</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204</w:t>
      </w:r>
      <w:r w:rsidRPr="00F5545F">
        <w:rPr>
          <w:rFonts w:asciiTheme="majorBidi" w:hAnsiTheme="majorBidi" w:cstheme="majorBidi"/>
          <w:noProof/>
          <w:sz w:val="20"/>
          <w:szCs w:val="24"/>
        </w:rPr>
        <w:t>. https://doi.org/10.1016/j.enbuild.2019.109479</w:t>
      </w:r>
    </w:p>
    <w:p w14:paraId="22BAFC31"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Kim, D. (2008a). Preliminary life cycle analysis of modular and conventioinal housing in benton harbor, michigan. </w:t>
      </w:r>
      <w:r w:rsidRPr="00F5545F">
        <w:rPr>
          <w:rFonts w:asciiTheme="majorBidi" w:hAnsiTheme="majorBidi" w:cstheme="majorBidi"/>
          <w:i/>
          <w:iCs/>
          <w:noProof/>
          <w:sz w:val="20"/>
          <w:szCs w:val="24"/>
        </w:rPr>
        <w:t>University of Michigan</w:t>
      </w:r>
      <w:r w:rsidRPr="00F5545F">
        <w:rPr>
          <w:rFonts w:asciiTheme="majorBidi" w:hAnsiTheme="majorBidi" w:cstheme="majorBidi"/>
          <w:noProof/>
          <w:sz w:val="20"/>
          <w:szCs w:val="24"/>
        </w:rPr>
        <w:t>, 53.</w:t>
      </w:r>
    </w:p>
    <w:p w14:paraId="7A69ADD4"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Kim, D. (2008b). </w:t>
      </w:r>
      <w:r w:rsidRPr="00F5545F">
        <w:rPr>
          <w:rFonts w:asciiTheme="majorBidi" w:hAnsiTheme="majorBidi" w:cstheme="majorBidi"/>
          <w:i/>
          <w:iCs/>
          <w:noProof/>
          <w:sz w:val="20"/>
          <w:szCs w:val="24"/>
        </w:rPr>
        <w:t>PRELIMINARY LIFE CYCLE ANALYSIS OF MODULAR AND CONVENTIOINAL HOUSING IN BENTON HARBOR , MICHIGAN By : Doyoon Kim A practicum submitted in partial fulfillment of requirements For the degree of Master of Science</w:t>
      </w:r>
      <w:r w:rsidRPr="00F5545F">
        <w:rPr>
          <w:rFonts w:asciiTheme="majorBidi" w:hAnsiTheme="majorBidi" w:cstheme="majorBidi"/>
          <w:noProof/>
          <w:sz w:val="20"/>
          <w:szCs w:val="24"/>
        </w:rPr>
        <w:t>.</w:t>
      </w:r>
    </w:p>
    <w:p w14:paraId="433E898A"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Kohler, N., &amp; Lützkendorf, T. (2002). Integrated life-cycle analysis. </w:t>
      </w:r>
      <w:r w:rsidRPr="00F5545F">
        <w:rPr>
          <w:rFonts w:asciiTheme="majorBidi" w:hAnsiTheme="majorBidi" w:cstheme="majorBidi"/>
          <w:i/>
          <w:iCs/>
          <w:noProof/>
          <w:sz w:val="20"/>
          <w:szCs w:val="24"/>
        </w:rPr>
        <w:t>Building Research and Information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30</w:t>
      </w:r>
      <w:r w:rsidRPr="00F5545F">
        <w:rPr>
          <w:rFonts w:asciiTheme="majorBidi" w:hAnsiTheme="majorBidi" w:cstheme="majorBidi"/>
          <w:noProof/>
          <w:sz w:val="20"/>
          <w:szCs w:val="24"/>
        </w:rPr>
        <w:t>(5), 338–348. https://doi.org/10.1080/09613210110117584</w:t>
      </w:r>
    </w:p>
    <w:p w14:paraId="512F3FC9"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Kyjaková, L., &amp; Bašková, R. (2014). Advantages and Disadvantages of Modern Methods of Construction Used for Modular Schools in Slovakia Zalety I Wady Nowoczesnych Metod Zastosowanych W Konstrukcji. </w:t>
      </w:r>
      <w:r w:rsidRPr="00F5545F">
        <w:rPr>
          <w:rFonts w:asciiTheme="majorBidi" w:hAnsiTheme="majorBidi" w:cstheme="majorBidi"/>
          <w:i/>
          <w:iCs/>
          <w:noProof/>
          <w:sz w:val="20"/>
          <w:szCs w:val="24"/>
        </w:rPr>
        <w:t>Advantages and Disadvantages of Modern Methods of Construction Used for Modular Schools in Slovakia Zalety I Wady Nowoczesnych</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8</w:t>
      </w:r>
      <w:r w:rsidRPr="00F5545F">
        <w:rPr>
          <w:rFonts w:asciiTheme="majorBidi" w:hAnsiTheme="majorBidi" w:cstheme="majorBidi"/>
          <w:noProof/>
          <w:sz w:val="20"/>
          <w:szCs w:val="24"/>
        </w:rPr>
        <w:t>(2), 9. https://doi.org/10.4467/2353737XCT.16.058.5407</w:t>
      </w:r>
    </w:p>
    <w:p w14:paraId="1CAED4E5"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Lawson, M., Ogden, R., &amp; Goodier, C. (2014). Design in Modular Construction. In </w:t>
      </w:r>
      <w:r w:rsidRPr="00F5545F">
        <w:rPr>
          <w:rFonts w:asciiTheme="majorBidi" w:hAnsiTheme="majorBidi" w:cstheme="majorBidi"/>
          <w:i/>
          <w:iCs/>
          <w:noProof/>
          <w:sz w:val="20"/>
          <w:szCs w:val="24"/>
        </w:rPr>
        <w:t>Design in Modular Construction</w:t>
      </w:r>
      <w:r w:rsidRPr="00F5545F">
        <w:rPr>
          <w:rFonts w:asciiTheme="majorBidi" w:hAnsiTheme="majorBidi" w:cstheme="majorBidi"/>
          <w:noProof/>
          <w:sz w:val="20"/>
          <w:szCs w:val="24"/>
        </w:rPr>
        <w:t>. https://doi.org/10.1201/b16607</w:t>
      </w:r>
    </w:p>
    <w:p w14:paraId="7A2A049E"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Lim, Y. S., Xia, B., Skitmore, M., Gray, J., Bridge, A., Sin, Y., Xia, B., Skitmore, M., Gray, J., Bridge, A., Lim, Y. S., Xia, B., Skitmore, M., Gray, J., &amp; Bridge, A. (2016). </w:t>
      </w:r>
      <w:r w:rsidRPr="00F5545F">
        <w:rPr>
          <w:rFonts w:asciiTheme="majorBidi" w:hAnsiTheme="majorBidi" w:cstheme="majorBidi"/>
          <w:i/>
          <w:iCs/>
          <w:noProof/>
          <w:sz w:val="20"/>
          <w:szCs w:val="24"/>
        </w:rPr>
        <w:t>Education for sustainability in construction management curricula</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3599</w:t>
      </w:r>
      <w:r w:rsidRPr="00F5545F">
        <w:rPr>
          <w:rFonts w:asciiTheme="majorBidi" w:hAnsiTheme="majorBidi" w:cstheme="majorBidi"/>
          <w:noProof/>
          <w:sz w:val="20"/>
          <w:szCs w:val="24"/>
        </w:rPr>
        <w:t>(March). https://doi.org/10.1080/15623599.2015.1066569</w:t>
      </w:r>
    </w:p>
    <w:p w14:paraId="390020C7"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Liu, S., &amp; Qian, S. (2019). Evaluation of social life-cycle performance of buildings: Theoretical framework and impact assessment approach. </w:t>
      </w:r>
      <w:r w:rsidRPr="00F5545F">
        <w:rPr>
          <w:rFonts w:asciiTheme="majorBidi" w:hAnsiTheme="majorBidi" w:cstheme="majorBidi"/>
          <w:i/>
          <w:iCs/>
          <w:noProof/>
          <w:sz w:val="20"/>
          <w:szCs w:val="24"/>
        </w:rPr>
        <w:t>Journal of Cleaner Production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213</w:t>
      </w:r>
      <w:r w:rsidRPr="00F5545F">
        <w:rPr>
          <w:rFonts w:asciiTheme="majorBidi" w:hAnsiTheme="majorBidi" w:cstheme="majorBidi"/>
          <w:noProof/>
          <w:sz w:val="20"/>
          <w:szCs w:val="24"/>
        </w:rPr>
        <w:t>, 792–807. https://doi.org/10.1016/j.jclepro.2018.12.200</w:t>
      </w:r>
    </w:p>
    <w:p w14:paraId="54F6440A"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Lombardi, M., Laiola, E., Tricase, C., &amp; Rana, R. (2017). Assessing the urban carbon footprint: An overview. </w:t>
      </w:r>
      <w:r w:rsidRPr="00F5545F">
        <w:rPr>
          <w:rFonts w:asciiTheme="majorBidi" w:hAnsiTheme="majorBidi" w:cstheme="majorBidi"/>
          <w:i/>
          <w:iCs/>
          <w:noProof/>
          <w:sz w:val="20"/>
          <w:szCs w:val="24"/>
        </w:rPr>
        <w:t>Environmental Impact Assessment Review</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66</w:t>
      </w:r>
      <w:r w:rsidRPr="00F5545F">
        <w:rPr>
          <w:rFonts w:asciiTheme="majorBidi" w:hAnsiTheme="majorBidi" w:cstheme="majorBidi"/>
          <w:noProof/>
          <w:sz w:val="20"/>
          <w:szCs w:val="24"/>
        </w:rPr>
        <w:t>(June), 43–52. https://doi.org/10.1016/j.eiar.2017.06.005</w:t>
      </w:r>
    </w:p>
    <w:p w14:paraId="069D13FF"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Lu, H. R., El Hanandeh, A., &amp; Gilbert, B. P. (2017). A comparative life cycle study of alternative materials for Australian multi-storey apartment building frame constructions: Environmental and economic perspective. </w:t>
      </w:r>
      <w:r w:rsidRPr="00F5545F">
        <w:rPr>
          <w:rFonts w:asciiTheme="majorBidi" w:hAnsiTheme="majorBidi" w:cstheme="majorBidi"/>
          <w:i/>
          <w:iCs/>
          <w:noProof/>
          <w:sz w:val="20"/>
          <w:szCs w:val="24"/>
        </w:rPr>
        <w:t>Journal of Cleaner Production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166</w:t>
      </w:r>
      <w:r w:rsidRPr="00F5545F">
        <w:rPr>
          <w:rFonts w:asciiTheme="majorBidi" w:hAnsiTheme="majorBidi" w:cstheme="majorBidi"/>
          <w:noProof/>
          <w:sz w:val="20"/>
          <w:szCs w:val="24"/>
        </w:rPr>
        <w:t>, 458–473. https://doi.org/10.1016/j.jclepro.2017.08.065</w:t>
      </w:r>
    </w:p>
    <w:p w14:paraId="5314C160"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Malça, J., &amp; Freire, F. (2006). Renewability and life-cycle energy efficiency of bioethanol and bio-ethyl tertiary butyl ether (bioETBE): Assessing the implications of allocation. </w:t>
      </w:r>
      <w:r w:rsidRPr="00F5545F">
        <w:rPr>
          <w:rFonts w:asciiTheme="majorBidi" w:hAnsiTheme="majorBidi" w:cstheme="majorBidi"/>
          <w:i/>
          <w:iCs/>
          <w:noProof/>
          <w:sz w:val="20"/>
          <w:szCs w:val="24"/>
        </w:rPr>
        <w:t>Energy</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31</w:t>
      </w:r>
      <w:r w:rsidRPr="00F5545F">
        <w:rPr>
          <w:rFonts w:asciiTheme="majorBidi" w:hAnsiTheme="majorBidi" w:cstheme="majorBidi"/>
          <w:noProof/>
          <w:sz w:val="20"/>
          <w:szCs w:val="24"/>
        </w:rPr>
        <w:t xml:space="preserve">(15), 3362–3380. </w:t>
      </w:r>
      <w:r w:rsidRPr="00F5545F">
        <w:rPr>
          <w:rFonts w:asciiTheme="majorBidi" w:hAnsiTheme="majorBidi" w:cstheme="majorBidi"/>
          <w:noProof/>
          <w:sz w:val="20"/>
          <w:szCs w:val="24"/>
        </w:rPr>
        <w:lastRenderedPageBreak/>
        <w:t>https://doi.org/10.1016/j.energy.2006.03.013</w:t>
      </w:r>
    </w:p>
    <w:p w14:paraId="3B412E96"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Motuziene, V., Rogoža, A., Lapinskiene, V., &amp; Vilutiene, T. (2016). Construction solutions for energy efficient single-family house based on its life cycle multi-criteria analysis: A case study. </w:t>
      </w:r>
      <w:r w:rsidRPr="00F5545F">
        <w:rPr>
          <w:rFonts w:asciiTheme="majorBidi" w:hAnsiTheme="majorBidi" w:cstheme="majorBidi"/>
          <w:i/>
          <w:iCs/>
          <w:noProof/>
          <w:sz w:val="20"/>
          <w:szCs w:val="24"/>
        </w:rPr>
        <w:t>Journal of Cleaner Production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112</w:t>
      </w:r>
      <w:r w:rsidRPr="00F5545F">
        <w:rPr>
          <w:rFonts w:asciiTheme="majorBidi" w:hAnsiTheme="majorBidi" w:cstheme="majorBidi"/>
          <w:noProof/>
          <w:sz w:val="20"/>
          <w:szCs w:val="24"/>
        </w:rPr>
        <w:t>(2016), 532–541. https://doi.org/10.1016/j.jclepro.2015.08.103</w:t>
      </w:r>
    </w:p>
    <w:p w14:paraId="4EA506E2"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Paya-Marin, M. A., Lim, J., &amp; Sengupta, B. (2013). Life-Cycle Energy Analysis of a Modular/Off-Site Building School. </w:t>
      </w:r>
      <w:r w:rsidRPr="00F5545F">
        <w:rPr>
          <w:rFonts w:asciiTheme="majorBidi" w:hAnsiTheme="majorBidi" w:cstheme="majorBidi"/>
          <w:i/>
          <w:iCs/>
          <w:noProof/>
          <w:sz w:val="20"/>
          <w:szCs w:val="24"/>
        </w:rPr>
        <w:t>American Journal of Civil Engineering and Architecture</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w:t>
      </w:r>
      <w:r w:rsidRPr="00F5545F">
        <w:rPr>
          <w:rFonts w:asciiTheme="majorBidi" w:hAnsiTheme="majorBidi" w:cstheme="majorBidi"/>
          <w:noProof/>
          <w:sz w:val="20"/>
          <w:szCs w:val="24"/>
        </w:rPr>
        <w:t>(3), 59–63. https://doi.org/10.12691/ajcea-1-3-2</w:t>
      </w:r>
    </w:p>
    <w:p w14:paraId="2C05F680"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Pons, O., &amp; Wadel, G. (2011). Environmental impacts of prefabricated school buildings in Catalonia. </w:t>
      </w:r>
      <w:r w:rsidRPr="00F5545F">
        <w:rPr>
          <w:rFonts w:asciiTheme="majorBidi" w:hAnsiTheme="majorBidi" w:cstheme="majorBidi"/>
          <w:i/>
          <w:iCs/>
          <w:noProof/>
          <w:sz w:val="20"/>
          <w:szCs w:val="24"/>
        </w:rPr>
        <w:t>Habitat International</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35</w:t>
      </w:r>
      <w:r w:rsidRPr="00F5545F">
        <w:rPr>
          <w:rFonts w:asciiTheme="majorBidi" w:hAnsiTheme="majorBidi" w:cstheme="majorBidi"/>
          <w:noProof/>
          <w:sz w:val="20"/>
          <w:szCs w:val="24"/>
        </w:rPr>
        <w:t>(4), 553–563. https://doi.org/10.1016/j.habitatint.2011.03.005</w:t>
      </w:r>
    </w:p>
    <w:p w14:paraId="7BCE63A3"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Quale, J., Eckelman, M. J., Williams, K. W., Sloditskie, G., &amp; Zimmerman, J. B. (2012). Construction Matters: Comparing Environmental Impacts of Building Modular and Conventional Homes in the United States. </w:t>
      </w:r>
      <w:r w:rsidRPr="00F5545F">
        <w:rPr>
          <w:rFonts w:asciiTheme="majorBidi" w:hAnsiTheme="majorBidi" w:cstheme="majorBidi"/>
          <w:i/>
          <w:iCs/>
          <w:noProof/>
          <w:sz w:val="20"/>
          <w:szCs w:val="24"/>
        </w:rPr>
        <w:t>Journal of Industrial Ecology</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16</w:t>
      </w:r>
      <w:r w:rsidRPr="00F5545F">
        <w:rPr>
          <w:rFonts w:asciiTheme="majorBidi" w:hAnsiTheme="majorBidi" w:cstheme="majorBidi"/>
          <w:noProof/>
          <w:sz w:val="20"/>
          <w:szCs w:val="24"/>
        </w:rPr>
        <w:t>(2), 243–253. https://doi.org/10.1111/j.1530-9290.2011.00424.x</w:t>
      </w:r>
    </w:p>
    <w:p w14:paraId="78733E44"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Shinde, R. P., &amp; Darade, M. M. (2018). </w:t>
      </w:r>
      <w:r w:rsidRPr="00F5545F">
        <w:rPr>
          <w:rFonts w:asciiTheme="majorBidi" w:hAnsiTheme="majorBidi" w:cstheme="majorBidi"/>
          <w:i/>
          <w:iCs/>
          <w:noProof/>
          <w:sz w:val="20"/>
          <w:szCs w:val="24"/>
        </w:rPr>
        <w:t>Comparison of prefabricated Modular Homes and Traditional R . C . C Homes</w:t>
      </w:r>
      <w:r w:rsidRPr="00F5545F">
        <w:rPr>
          <w:rFonts w:asciiTheme="majorBidi" w:hAnsiTheme="majorBidi" w:cstheme="majorBidi"/>
          <w:noProof/>
          <w:sz w:val="20"/>
          <w:szCs w:val="24"/>
        </w:rPr>
        <w:t>. 4133–4136.</w:t>
      </w:r>
    </w:p>
    <w:p w14:paraId="7828ABBD" w14:textId="77777777" w:rsidR="00737F10"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Srisangeerthanan, S., Hashemi, M. J., Rajeev, P., Gad, E., &amp; Fernando, S. (2020). Review of performance requirements for inter-module connections in multi-story modular buildings. </w:t>
      </w:r>
      <w:r w:rsidRPr="00F5545F">
        <w:rPr>
          <w:rFonts w:asciiTheme="majorBidi" w:hAnsiTheme="majorBidi" w:cstheme="majorBidi"/>
          <w:i/>
          <w:iCs/>
          <w:noProof/>
          <w:sz w:val="20"/>
          <w:szCs w:val="24"/>
        </w:rPr>
        <w:t>Journal of Building Engineering</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28</w:t>
      </w:r>
      <w:r w:rsidRPr="00F5545F">
        <w:rPr>
          <w:rFonts w:asciiTheme="majorBidi" w:hAnsiTheme="majorBidi" w:cstheme="majorBidi"/>
          <w:noProof/>
          <w:sz w:val="20"/>
          <w:szCs w:val="24"/>
        </w:rPr>
        <w:t>(December 2018), 101087. https://doi.org/10.1016/j.jobe.2019.101087</w:t>
      </w:r>
    </w:p>
    <w:p w14:paraId="4F82AB2C" w14:textId="451D4E97" w:rsidR="00BF5CDD" w:rsidRPr="00BF5CDD" w:rsidRDefault="00BF5CDD" w:rsidP="00BF5CDD">
      <w:pPr>
        <w:widowControl w:val="0"/>
        <w:autoSpaceDE w:val="0"/>
        <w:autoSpaceDN w:val="0"/>
        <w:adjustRightInd w:val="0"/>
        <w:spacing w:after="0" w:line="240" w:lineRule="auto"/>
        <w:ind w:left="480" w:hanging="480"/>
        <w:rPr>
          <w:rFonts w:ascii="Calibri" w:hAnsi="Calibri" w:cs="Calibri"/>
          <w:noProof/>
        </w:rPr>
      </w:pPr>
      <w:r w:rsidRPr="00926DBA">
        <w:rPr>
          <w:rFonts w:ascii="Calibri" w:hAnsi="Calibri" w:cs="Calibri"/>
          <w:noProof/>
          <w:szCs w:val="24"/>
        </w:rPr>
        <w:t xml:space="preserve">Tighnavard Balasbaneh, A., Sher, W., Yeoh, D., &amp; Koushfar, K. (2022). LCA &amp; LCC analysis of hybrid glued laminated Timber–Concrete composite floor slab system. </w:t>
      </w:r>
      <w:r w:rsidRPr="00926DBA">
        <w:rPr>
          <w:rFonts w:ascii="Calibri" w:hAnsi="Calibri" w:cs="Calibri"/>
          <w:i/>
          <w:iCs/>
          <w:noProof/>
          <w:szCs w:val="24"/>
        </w:rPr>
        <w:t>Journal of Building Engineering</w:t>
      </w:r>
      <w:r w:rsidRPr="00926DBA">
        <w:rPr>
          <w:rFonts w:ascii="Calibri" w:hAnsi="Calibri" w:cs="Calibri"/>
          <w:noProof/>
          <w:szCs w:val="24"/>
        </w:rPr>
        <w:t xml:space="preserve">, </w:t>
      </w:r>
      <w:r w:rsidRPr="00926DBA">
        <w:rPr>
          <w:rFonts w:ascii="Calibri" w:hAnsi="Calibri" w:cs="Calibri"/>
          <w:i/>
          <w:iCs/>
          <w:noProof/>
          <w:szCs w:val="24"/>
        </w:rPr>
        <w:t>49</w:t>
      </w:r>
      <w:r w:rsidRPr="00926DBA">
        <w:rPr>
          <w:rFonts w:ascii="Calibri" w:hAnsi="Calibri" w:cs="Calibri"/>
          <w:noProof/>
          <w:szCs w:val="24"/>
        </w:rPr>
        <w:t>(January). https://doi.org/10.1016/j.jobe.2022.104005</w:t>
      </w:r>
    </w:p>
    <w:p w14:paraId="4B51675F"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Tavares, V., Lacerda, N., &amp; Freire, F. (2019). Embodied energy and greenhouse gas emissions analysis of a prefabricated modular house : The “ Moby ” case study. </w:t>
      </w:r>
      <w:r w:rsidRPr="00F5545F">
        <w:rPr>
          <w:rFonts w:asciiTheme="majorBidi" w:hAnsiTheme="majorBidi" w:cstheme="majorBidi"/>
          <w:i/>
          <w:iCs/>
          <w:noProof/>
          <w:sz w:val="20"/>
          <w:szCs w:val="24"/>
        </w:rPr>
        <w:t>Journal of Cleaner Production</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212</w:t>
      </w:r>
      <w:r w:rsidRPr="00F5545F">
        <w:rPr>
          <w:rFonts w:asciiTheme="majorBidi" w:hAnsiTheme="majorBidi" w:cstheme="majorBidi"/>
          <w:noProof/>
          <w:sz w:val="20"/>
          <w:szCs w:val="24"/>
        </w:rPr>
        <w:t>, 1044–1053. https://doi.org/10.1016/j.jclepro.2018.12.028</w:t>
      </w:r>
    </w:p>
    <w:p w14:paraId="0CF78F24"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Treloar, G. J. (2007). Environmental assessment using both financial and physical quantities. </w:t>
      </w:r>
      <w:r w:rsidRPr="00F5545F">
        <w:rPr>
          <w:rFonts w:asciiTheme="majorBidi" w:hAnsiTheme="majorBidi" w:cstheme="majorBidi"/>
          <w:i/>
          <w:iCs/>
          <w:noProof/>
          <w:sz w:val="20"/>
          <w:szCs w:val="24"/>
        </w:rPr>
        <w:t>41st Annual Conference of the Architectural Science Association, Geelong, Australia, November 2007; ANZAScA: Geelong, Australia, 2007</w:t>
      </w:r>
      <w:r w:rsidRPr="00F5545F">
        <w:rPr>
          <w:rFonts w:asciiTheme="majorBidi" w:hAnsiTheme="majorBidi" w:cstheme="majorBidi"/>
          <w:noProof/>
          <w:sz w:val="20"/>
          <w:szCs w:val="24"/>
        </w:rPr>
        <w:t>, 247–255.</w:t>
      </w:r>
    </w:p>
    <w:p w14:paraId="103B1393"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4"/>
        </w:rPr>
      </w:pPr>
      <w:r w:rsidRPr="00F5545F">
        <w:rPr>
          <w:rFonts w:asciiTheme="majorBidi" w:hAnsiTheme="majorBidi" w:cstheme="majorBidi"/>
          <w:noProof/>
          <w:sz w:val="20"/>
          <w:szCs w:val="24"/>
        </w:rPr>
        <w:t xml:space="preserve">Turskis, Z., Zavadskas, E. K., &amp; Peldschus, F. (2009). Multi-criteria optimization system for decision making in construction design and management. </w:t>
      </w:r>
      <w:r w:rsidRPr="00F5545F">
        <w:rPr>
          <w:rFonts w:asciiTheme="majorBidi" w:hAnsiTheme="majorBidi" w:cstheme="majorBidi"/>
          <w:i/>
          <w:iCs/>
          <w:noProof/>
          <w:sz w:val="20"/>
          <w:szCs w:val="24"/>
        </w:rPr>
        <w:t>Engineering Economics</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1</w:t>
      </w:r>
      <w:r w:rsidRPr="00F5545F">
        <w:rPr>
          <w:rFonts w:asciiTheme="majorBidi" w:hAnsiTheme="majorBidi" w:cstheme="majorBidi"/>
          <w:noProof/>
          <w:sz w:val="20"/>
          <w:szCs w:val="24"/>
        </w:rPr>
        <w:t>(61), 7–17. https://doi.org/10.5755/j01.ee.61.1.11571</w:t>
      </w:r>
    </w:p>
    <w:p w14:paraId="2818B7AB"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rPr>
      </w:pPr>
      <w:r w:rsidRPr="00F5545F">
        <w:rPr>
          <w:rFonts w:asciiTheme="majorBidi" w:hAnsiTheme="majorBidi" w:cstheme="majorBidi"/>
          <w:noProof/>
          <w:sz w:val="20"/>
          <w:szCs w:val="24"/>
        </w:rPr>
        <w:t xml:space="preserve">Zarandi, M. H. F., Mansour, S., Hosseinijou, S. A., &amp; Avazbeigi, M. (2011). A material selection methodology and expert system for sustainable product design. </w:t>
      </w:r>
      <w:r w:rsidRPr="00F5545F">
        <w:rPr>
          <w:rFonts w:asciiTheme="majorBidi" w:hAnsiTheme="majorBidi" w:cstheme="majorBidi"/>
          <w:i/>
          <w:iCs/>
          <w:noProof/>
          <w:sz w:val="20"/>
          <w:szCs w:val="24"/>
        </w:rPr>
        <w:t>International Journal of Advanced Manufacturing Technology</w:t>
      </w:r>
      <w:r w:rsidRPr="00F5545F">
        <w:rPr>
          <w:rFonts w:asciiTheme="majorBidi" w:hAnsiTheme="majorBidi" w:cstheme="majorBidi"/>
          <w:noProof/>
          <w:sz w:val="20"/>
          <w:szCs w:val="24"/>
        </w:rPr>
        <w:t xml:space="preserve">, </w:t>
      </w:r>
      <w:r w:rsidRPr="00F5545F">
        <w:rPr>
          <w:rFonts w:asciiTheme="majorBidi" w:hAnsiTheme="majorBidi" w:cstheme="majorBidi"/>
          <w:i/>
          <w:iCs/>
          <w:noProof/>
          <w:sz w:val="20"/>
          <w:szCs w:val="24"/>
        </w:rPr>
        <w:t>57</w:t>
      </w:r>
      <w:r w:rsidRPr="00F5545F">
        <w:rPr>
          <w:rFonts w:asciiTheme="majorBidi" w:hAnsiTheme="majorBidi" w:cstheme="majorBidi"/>
          <w:noProof/>
          <w:sz w:val="20"/>
          <w:szCs w:val="24"/>
        </w:rPr>
        <w:t>(9–12), 885–903. https://doi.org/10.1007/s00170-011-3362-y</w:t>
      </w:r>
    </w:p>
    <w:p w14:paraId="574AEB12"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F5545F">
        <w:rPr>
          <w:rFonts w:asciiTheme="majorBidi" w:hAnsiTheme="majorBidi" w:cstheme="majorBidi"/>
          <w:sz w:val="20"/>
          <w:szCs w:val="20"/>
        </w:rPr>
        <w:fldChar w:fldCharType="end"/>
      </w:r>
      <w:r w:rsidRPr="00F5545F">
        <w:rPr>
          <w:rFonts w:asciiTheme="majorBidi" w:hAnsiTheme="majorBidi" w:cstheme="majorBidi"/>
          <w:noProof/>
          <w:sz w:val="20"/>
          <w:szCs w:val="20"/>
        </w:rPr>
        <w:t xml:space="preserve"> Bildsten, L. (2011). Exploring the opportunities and barriers of using prefabricated house components. </w:t>
      </w:r>
      <w:r w:rsidRPr="00F5545F">
        <w:rPr>
          <w:rFonts w:asciiTheme="majorBidi" w:hAnsiTheme="majorBidi" w:cstheme="majorBidi"/>
          <w:i/>
          <w:iCs/>
          <w:noProof/>
          <w:sz w:val="20"/>
          <w:szCs w:val="20"/>
        </w:rPr>
        <w:t>19th Annual Conference of the International Group for Lean Construction 2011, IGLC 2011</w:t>
      </w:r>
      <w:r w:rsidRPr="00F5545F">
        <w:rPr>
          <w:rFonts w:asciiTheme="majorBidi" w:hAnsiTheme="majorBidi" w:cstheme="majorBidi"/>
          <w:noProof/>
          <w:sz w:val="20"/>
          <w:szCs w:val="20"/>
        </w:rPr>
        <w:t>, 320–329.</w:t>
      </w:r>
    </w:p>
    <w:p w14:paraId="7028E41C"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F5545F">
        <w:rPr>
          <w:rFonts w:asciiTheme="majorBidi" w:hAnsiTheme="majorBidi" w:cstheme="majorBidi"/>
          <w:sz w:val="20"/>
          <w:szCs w:val="20"/>
        </w:rPr>
        <w:t>Kawecki L.R. (2010) Environmental performance of modular fabrication: calculating the carbon footprint of energy used in the construction of a modular home PhD thesis, Arizona State University, Tempe.</w:t>
      </w:r>
    </w:p>
    <w:p w14:paraId="6BC3E674"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r w:rsidRPr="00F5545F">
        <w:rPr>
          <w:rFonts w:asciiTheme="majorBidi" w:hAnsiTheme="majorBidi" w:cstheme="majorBidi"/>
          <w:sz w:val="20"/>
          <w:szCs w:val="20"/>
        </w:rPr>
        <w:t>Saaty, T.L. (2008) Decision making with the analytic hierarchy process, International Journal of Services Sciences 1 - 83-98.</w:t>
      </w:r>
    </w:p>
    <w:p w14:paraId="48682EDC" w14:textId="7CBB09FA" w:rsidR="00737F10" w:rsidRPr="00F5545F" w:rsidRDefault="00737F10" w:rsidP="00BF5CDD">
      <w:pPr>
        <w:widowControl w:val="0"/>
        <w:autoSpaceDE w:val="0"/>
        <w:autoSpaceDN w:val="0"/>
        <w:adjustRightInd w:val="0"/>
        <w:spacing w:after="0" w:line="240" w:lineRule="auto"/>
        <w:ind w:left="480" w:hanging="480"/>
        <w:jc w:val="both"/>
        <w:rPr>
          <w:rFonts w:asciiTheme="majorBidi" w:hAnsiTheme="majorBidi" w:cstheme="majorBidi"/>
          <w:sz w:val="20"/>
          <w:szCs w:val="20"/>
        </w:rPr>
      </w:pPr>
      <w:r w:rsidRPr="00F5545F">
        <w:rPr>
          <w:rFonts w:asciiTheme="majorBidi" w:hAnsiTheme="majorBidi" w:cstheme="majorBidi"/>
          <w:sz w:val="20"/>
          <w:szCs w:val="20"/>
        </w:rPr>
        <w:t>Z. Szalay, Life Cycle Environmental Impacts of Residential Buildings’ (Ph.D. thesis), Budapest University of Technology and Economics, Budapest, Hungary, 2007.</w:t>
      </w:r>
    </w:p>
    <w:p w14:paraId="5FDA79F9" w14:textId="77777777" w:rsidR="00737F10" w:rsidRPr="00F5545F" w:rsidRDefault="00737F10" w:rsidP="00737F10">
      <w:pPr>
        <w:widowControl w:val="0"/>
        <w:autoSpaceDE w:val="0"/>
        <w:autoSpaceDN w:val="0"/>
        <w:adjustRightInd w:val="0"/>
        <w:spacing w:after="0" w:line="240" w:lineRule="auto"/>
        <w:ind w:left="480" w:hanging="480"/>
        <w:jc w:val="both"/>
        <w:rPr>
          <w:rFonts w:asciiTheme="majorBidi" w:hAnsiTheme="majorBidi" w:cstheme="majorBidi"/>
          <w:noProof/>
          <w:sz w:val="20"/>
          <w:szCs w:val="20"/>
        </w:rPr>
      </w:pPr>
    </w:p>
    <w:p w14:paraId="5B862D4E" w14:textId="77777777" w:rsidR="00737F10" w:rsidRPr="00F5545F" w:rsidRDefault="00737F10" w:rsidP="00737F10">
      <w:pPr>
        <w:spacing w:after="0" w:line="240" w:lineRule="auto"/>
        <w:ind w:left="720" w:hanging="720"/>
        <w:jc w:val="both"/>
        <w:rPr>
          <w:rFonts w:asciiTheme="majorBidi" w:hAnsiTheme="majorBidi" w:cstheme="majorBidi"/>
          <w:sz w:val="20"/>
          <w:szCs w:val="20"/>
        </w:rPr>
      </w:pPr>
      <w:r w:rsidRPr="00F5545F">
        <w:rPr>
          <w:rFonts w:asciiTheme="majorBidi" w:hAnsiTheme="majorBidi" w:cstheme="majorBidi"/>
          <w:sz w:val="20"/>
          <w:szCs w:val="20"/>
        </w:rPr>
        <w:t>Szalay, Z., 2004a: The Role of Timber Buildings in Car- bon Storage. In: proc. XXXII IAHS World Congress on Housing Sustainability of the Housing Projects. Septem- ber 21-25, 2004, Trento, Italy.</w:t>
      </w:r>
    </w:p>
    <w:p w14:paraId="45850019" w14:textId="77777777" w:rsidR="00737F10" w:rsidRPr="00F5545F" w:rsidRDefault="00737F10" w:rsidP="00737F10">
      <w:pPr>
        <w:widowControl w:val="0"/>
        <w:autoSpaceDE w:val="0"/>
        <w:autoSpaceDN w:val="0"/>
        <w:adjustRightInd w:val="0"/>
        <w:spacing w:after="0" w:line="240" w:lineRule="auto"/>
        <w:ind w:left="720" w:hanging="720"/>
        <w:jc w:val="both"/>
        <w:rPr>
          <w:rFonts w:asciiTheme="majorBidi" w:hAnsiTheme="majorBidi" w:cstheme="majorBidi"/>
          <w:noProof/>
          <w:sz w:val="20"/>
          <w:szCs w:val="20"/>
        </w:rPr>
      </w:pPr>
      <w:r w:rsidRPr="00F5545F">
        <w:rPr>
          <w:rFonts w:asciiTheme="majorBidi" w:hAnsiTheme="majorBidi" w:cstheme="majorBidi"/>
          <w:noProof/>
          <w:sz w:val="20"/>
          <w:szCs w:val="20"/>
        </w:rPr>
        <w:t xml:space="preserve"> CEN, EN 15804:2012, Eur. Comm. Stand, (2012).</w:t>
      </w:r>
    </w:p>
    <w:p w14:paraId="1A61951A" w14:textId="77777777" w:rsidR="00737F10" w:rsidRPr="00F5545F" w:rsidRDefault="00737F10" w:rsidP="00737F10">
      <w:pPr>
        <w:widowControl w:val="0"/>
        <w:autoSpaceDE w:val="0"/>
        <w:autoSpaceDN w:val="0"/>
        <w:adjustRightInd w:val="0"/>
        <w:spacing w:after="0" w:line="240" w:lineRule="auto"/>
        <w:ind w:left="720" w:hanging="720"/>
        <w:jc w:val="both"/>
        <w:rPr>
          <w:rFonts w:asciiTheme="majorBidi" w:hAnsiTheme="majorBidi" w:cstheme="majorBidi"/>
          <w:noProof/>
          <w:sz w:val="20"/>
          <w:szCs w:val="20"/>
        </w:rPr>
      </w:pPr>
      <w:r w:rsidRPr="00F5545F">
        <w:rPr>
          <w:rFonts w:asciiTheme="majorBidi" w:hAnsiTheme="majorBidi" w:cstheme="majorBidi"/>
          <w:noProof/>
          <w:sz w:val="20"/>
          <w:szCs w:val="20"/>
        </w:rPr>
        <w:t>S. BS EN 15804, Sustainability of Construction Works. Environmental Product Declarations. Core Rules for Product Category of Construction Products, British Standards, London, 2012.</w:t>
      </w:r>
    </w:p>
    <w:p w14:paraId="5668C1BF" w14:textId="77777777" w:rsidR="00737F10" w:rsidRPr="00F5545F" w:rsidRDefault="00737F10" w:rsidP="00737F10">
      <w:pPr>
        <w:spacing w:after="0" w:line="240" w:lineRule="auto"/>
        <w:ind w:left="720" w:hanging="720"/>
        <w:jc w:val="both"/>
        <w:rPr>
          <w:rFonts w:asciiTheme="majorBidi" w:hAnsiTheme="majorBidi" w:cstheme="majorBidi"/>
          <w:noProof/>
          <w:sz w:val="20"/>
          <w:szCs w:val="20"/>
        </w:rPr>
      </w:pPr>
      <w:r w:rsidRPr="00F5545F">
        <w:rPr>
          <w:rFonts w:asciiTheme="majorBidi" w:hAnsiTheme="majorBidi" w:cstheme="majorBidi"/>
          <w:noProof/>
          <w:sz w:val="20"/>
          <w:szCs w:val="20"/>
        </w:rPr>
        <w:t>PRé. SimaPro LCA software Ver 7.2.3. PRé Consultants. Printerweg 18, 3821 AD Amersfoort, The Netherlands; 2010.</w:t>
      </w:r>
    </w:p>
    <w:p w14:paraId="0BDD9DDF" w14:textId="77777777" w:rsidR="00737F10" w:rsidRPr="00F5545F" w:rsidRDefault="00737F10" w:rsidP="00737F10">
      <w:pPr>
        <w:spacing w:after="0" w:line="240" w:lineRule="auto"/>
        <w:ind w:left="720" w:hanging="720"/>
        <w:jc w:val="both"/>
        <w:rPr>
          <w:rFonts w:asciiTheme="majorBidi" w:hAnsiTheme="majorBidi" w:cstheme="majorBidi"/>
          <w:sz w:val="20"/>
          <w:szCs w:val="20"/>
        </w:rPr>
      </w:pPr>
      <w:r w:rsidRPr="00F5545F">
        <w:rPr>
          <w:rFonts w:asciiTheme="majorBidi" w:hAnsiTheme="majorBidi" w:cstheme="majorBidi"/>
          <w:sz w:val="20"/>
          <w:szCs w:val="20"/>
        </w:rPr>
        <w:t xml:space="preserve">J. </w:t>
      </w:r>
      <w:proofErr w:type="gramStart"/>
      <w:r w:rsidRPr="00F5545F">
        <w:rPr>
          <w:rFonts w:asciiTheme="majorBidi" w:hAnsiTheme="majorBidi" w:cstheme="majorBidi"/>
          <w:sz w:val="20"/>
          <w:szCs w:val="20"/>
        </w:rPr>
        <w:t>P.Brans</w:t>
      </w:r>
      <w:proofErr w:type="gramEnd"/>
      <w:r w:rsidRPr="00F5545F">
        <w:rPr>
          <w:rFonts w:asciiTheme="majorBidi" w:hAnsiTheme="majorBidi" w:cstheme="majorBidi"/>
          <w:sz w:val="20"/>
          <w:szCs w:val="20"/>
        </w:rPr>
        <w:t>, Ph. Vincke and B. Mareschal, How to select and how to rank projects: the Promethee method, European Journal of Operational Research, 24 (1986), 228–238.</w:t>
      </w:r>
    </w:p>
    <w:p w14:paraId="41FD4928" w14:textId="77777777" w:rsidR="00737F10" w:rsidRPr="00F5545F" w:rsidRDefault="00737F10" w:rsidP="00737F10">
      <w:pPr>
        <w:ind w:left="720" w:hanging="720"/>
        <w:rPr>
          <w:rFonts w:asciiTheme="majorBidi" w:hAnsiTheme="majorBidi" w:cstheme="majorBidi"/>
          <w:sz w:val="20"/>
          <w:szCs w:val="20"/>
        </w:rPr>
      </w:pPr>
      <w:r w:rsidRPr="00F5545F">
        <w:rPr>
          <w:rFonts w:asciiTheme="majorBidi" w:hAnsiTheme="majorBidi" w:cstheme="majorBidi"/>
          <w:sz w:val="20"/>
          <w:szCs w:val="20"/>
        </w:rPr>
        <w:t>UNEP/SETAC (2009) Guidelines for social life cycle assessment of products. United Nations Environment Programme, Paris</w:t>
      </w:r>
    </w:p>
    <w:p w14:paraId="03B84C53" w14:textId="77777777" w:rsidR="00737F10" w:rsidRPr="00F5545F" w:rsidRDefault="00737F10" w:rsidP="003A4386">
      <w:pPr>
        <w:widowControl w:val="0"/>
        <w:autoSpaceDE w:val="0"/>
        <w:autoSpaceDN w:val="0"/>
        <w:adjustRightInd w:val="0"/>
        <w:spacing w:after="0" w:line="240" w:lineRule="auto"/>
        <w:jc w:val="both"/>
        <w:rPr>
          <w:rFonts w:asciiTheme="majorBidi" w:hAnsiTheme="majorBidi" w:cstheme="majorBidi"/>
          <w:noProof/>
          <w:sz w:val="20"/>
          <w:szCs w:val="20"/>
        </w:rPr>
      </w:pPr>
    </w:p>
    <w:sectPr w:rsidR="00737F10" w:rsidRPr="00F5545F" w:rsidSect="001345F5">
      <w:footerReference w:type="default" r:id="rId1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CDABD" w14:textId="77777777" w:rsidR="00B571DE" w:rsidRDefault="00B571DE" w:rsidP="00FD611B">
      <w:pPr>
        <w:spacing w:after="0" w:line="240" w:lineRule="auto"/>
      </w:pPr>
      <w:r>
        <w:separator/>
      </w:r>
    </w:p>
  </w:endnote>
  <w:endnote w:type="continuationSeparator" w:id="0">
    <w:p w14:paraId="1F7274CE" w14:textId="77777777" w:rsidR="00B571DE" w:rsidRDefault="00B571DE" w:rsidP="00FD611B">
      <w:pPr>
        <w:spacing w:after="0" w:line="240" w:lineRule="auto"/>
      </w:pPr>
      <w:r>
        <w:continuationSeparator/>
      </w:r>
    </w:p>
  </w:endnote>
  <w:endnote w:type="continuationNotice" w:id="1">
    <w:p w14:paraId="2FD4A735" w14:textId="77777777" w:rsidR="00B571DE" w:rsidRDefault="00B57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OIND F+ Gulliver">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sz w:val="20"/>
        <w:szCs w:val="20"/>
      </w:rPr>
      <w:id w:val="-223611400"/>
      <w:docPartObj>
        <w:docPartGallery w:val="Page Numbers (Bottom of Page)"/>
        <w:docPartUnique/>
      </w:docPartObj>
    </w:sdtPr>
    <w:sdtEndPr>
      <w:rPr>
        <w:noProof/>
      </w:rPr>
    </w:sdtEndPr>
    <w:sdtContent>
      <w:p w14:paraId="3F70747D" w14:textId="4C80789B" w:rsidR="004F2082" w:rsidRPr="007C0534" w:rsidRDefault="004F2082">
        <w:pPr>
          <w:pStyle w:val="Footer"/>
          <w:jc w:val="right"/>
          <w:rPr>
            <w:rFonts w:asciiTheme="majorBidi" w:hAnsiTheme="majorBidi" w:cstheme="majorBidi"/>
            <w:sz w:val="20"/>
            <w:szCs w:val="20"/>
          </w:rPr>
        </w:pPr>
        <w:r w:rsidRPr="007C0534">
          <w:rPr>
            <w:rFonts w:asciiTheme="majorBidi" w:hAnsiTheme="majorBidi" w:cstheme="majorBidi"/>
            <w:sz w:val="20"/>
            <w:szCs w:val="20"/>
          </w:rPr>
          <w:fldChar w:fldCharType="begin"/>
        </w:r>
        <w:r w:rsidRPr="007C0534">
          <w:rPr>
            <w:rFonts w:asciiTheme="majorBidi" w:hAnsiTheme="majorBidi" w:cstheme="majorBidi"/>
            <w:sz w:val="20"/>
            <w:szCs w:val="20"/>
          </w:rPr>
          <w:instrText xml:space="preserve"> PAGE   \* MERGEFORMAT </w:instrText>
        </w:r>
        <w:r w:rsidRPr="007C0534">
          <w:rPr>
            <w:rFonts w:asciiTheme="majorBidi" w:hAnsiTheme="majorBidi" w:cstheme="majorBidi"/>
            <w:sz w:val="20"/>
            <w:szCs w:val="20"/>
          </w:rPr>
          <w:fldChar w:fldCharType="separate"/>
        </w:r>
        <w:r w:rsidR="002D28A1">
          <w:rPr>
            <w:rFonts w:asciiTheme="majorBidi" w:hAnsiTheme="majorBidi" w:cstheme="majorBidi"/>
            <w:noProof/>
            <w:sz w:val="20"/>
            <w:szCs w:val="20"/>
          </w:rPr>
          <w:t>1</w:t>
        </w:r>
        <w:r w:rsidRPr="007C0534">
          <w:rPr>
            <w:rFonts w:asciiTheme="majorBidi" w:hAnsiTheme="majorBidi" w:cstheme="majorBidi"/>
            <w:noProof/>
            <w:sz w:val="20"/>
            <w:szCs w:val="20"/>
          </w:rPr>
          <w:fldChar w:fldCharType="end"/>
        </w:r>
      </w:p>
    </w:sdtContent>
  </w:sdt>
  <w:p w14:paraId="0D4BFB21" w14:textId="77777777" w:rsidR="004F2082" w:rsidRPr="007C0534" w:rsidRDefault="004F2082">
    <w:pPr>
      <w:pStyle w:val="Footer"/>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4150" w14:textId="77777777" w:rsidR="00B571DE" w:rsidRDefault="00B571DE" w:rsidP="00FD611B">
      <w:pPr>
        <w:spacing w:after="0" w:line="240" w:lineRule="auto"/>
      </w:pPr>
      <w:r>
        <w:separator/>
      </w:r>
    </w:p>
  </w:footnote>
  <w:footnote w:type="continuationSeparator" w:id="0">
    <w:p w14:paraId="07419C19" w14:textId="77777777" w:rsidR="00B571DE" w:rsidRDefault="00B571DE" w:rsidP="00FD611B">
      <w:pPr>
        <w:spacing w:after="0" w:line="240" w:lineRule="auto"/>
      </w:pPr>
      <w:r>
        <w:continuationSeparator/>
      </w:r>
    </w:p>
  </w:footnote>
  <w:footnote w:type="continuationNotice" w:id="1">
    <w:p w14:paraId="68861C4F" w14:textId="77777777" w:rsidR="00B571DE" w:rsidRDefault="00B571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265"/>
    <w:multiLevelType w:val="multilevel"/>
    <w:tmpl w:val="A3B4A246"/>
    <w:lvl w:ilvl="0">
      <w:start w:val="2"/>
      <w:numFmt w:val="decimal"/>
      <w:lvlText w:val="%1"/>
      <w:lvlJc w:val="left"/>
      <w:pPr>
        <w:ind w:left="480" w:hanging="480"/>
      </w:pPr>
      <w:rPr>
        <w:rFonts w:hint="default"/>
        <w:i/>
      </w:rPr>
    </w:lvl>
    <w:lvl w:ilvl="1">
      <w:start w:val="2"/>
      <w:numFmt w:val="decimal"/>
      <w:lvlText w:val="%1.%2"/>
      <w:lvlJc w:val="left"/>
      <w:pPr>
        <w:ind w:left="660" w:hanging="480"/>
      </w:pPr>
      <w:rPr>
        <w:rFonts w:hint="default"/>
        <w:b/>
        <w:bCs/>
        <w:i w:val="0"/>
        <w:iCs/>
        <w:color w:val="auto"/>
      </w:rPr>
    </w:lvl>
    <w:lvl w:ilvl="2">
      <w:start w:val="1"/>
      <w:numFmt w:val="decimal"/>
      <w:lvlText w:val="%1.%2.%3"/>
      <w:lvlJc w:val="left"/>
      <w:pPr>
        <w:ind w:left="1080" w:hanging="720"/>
      </w:pPr>
      <w:rPr>
        <w:rFonts w:asciiTheme="majorBidi" w:hAnsiTheme="majorBidi" w:cstheme="majorBidi" w:hint="default"/>
        <w:b/>
        <w:bCs/>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 w15:restartNumberingAfterBreak="0">
    <w:nsid w:val="077F3B03"/>
    <w:multiLevelType w:val="hybridMultilevel"/>
    <w:tmpl w:val="374239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344C4"/>
    <w:multiLevelType w:val="hybridMultilevel"/>
    <w:tmpl w:val="BD1E9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0504F"/>
    <w:multiLevelType w:val="hybridMultilevel"/>
    <w:tmpl w:val="C5968EE8"/>
    <w:lvl w:ilvl="0" w:tplc="CFDA697A">
      <w:start w:val="1"/>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73552"/>
    <w:multiLevelType w:val="hybridMultilevel"/>
    <w:tmpl w:val="C5968EE8"/>
    <w:lvl w:ilvl="0" w:tplc="CFDA697A">
      <w:start w:val="1"/>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E15AD"/>
    <w:multiLevelType w:val="hybridMultilevel"/>
    <w:tmpl w:val="FAE6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C756E"/>
    <w:multiLevelType w:val="multilevel"/>
    <w:tmpl w:val="505E8144"/>
    <w:lvl w:ilvl="0">
      <w:start w:val="4"/>
      <w:numFmt w:val="decimal"/>
      <w:lvlText w:val="%1."/>
      <w:lvlJc w:val="left"/>
      <w:pPr>
        <w:ind w:left="360" w:hanging="360"/>
      </w:pPr>
      <w:rPr>
        <w:rFonts w:asciiTheme="minorHAnsi" w:hAnsiTheme="minorHAnsi" w:cstheme="minorBidi" w:hint="default"/>
        <w:b w:val="0"/>
        <w:i w:val="0"/>
        <w:sz w:val="22"/>
      </w:rPr>
    </w:lvl>
    <w:lvl w:ilvl="1">
      <w:start w:val="3"/>
      <w:numFmt w:val="decimal"/>
      <w:lvlText w:val="%1.%2."/>
      <w:lvlJc w:val="left"/>
      <w:pPr>
        <w:ind w:left="360" w:hanging="360"/>
      </w:pPr>
      <w:rPr>
        <w:rFonts w:asciiTheme="majorBidi" w:hAnsiTheme="majorBidi" w:cstheme="majorBidi" w:hint="default"/>
        <w:b/>
        <w:bCs w:val="0"/>
        <w:i/>
        <w:iCs w:val="0"/>
        <w:sz w:val="22"/>
      </w:rPr>
    </w:lvl>
    <w:lvl w:ilvl="2">
      <w:start w:val="1"/>
      <w:numFmt w:val="decimal"/>
      <w:lvlText w:val="%1.%2.%3."/>
      <w:lvlJc w:val="left"/>
      <w:pPr>
        <w:ind w:left="720" w:hanging="720"/>
      </w:pPr>
      <w:rPr>
        <w:rFonts w:asciiTheme="minorHAnsi" w:hAnsiTheme="minorHAnsi" w:cstheme="minorBidi" w:hint="default"/>
        <w:b w:val="0"/>
        <w:i w:val="0"/>
        <w:sz w:val="22"/>
      </w:rPr>
    </w:lvl>
    <w:lvl w:ilvl="3">
      <w:start w:val="1"/>
      <w:numFmt w:val="decimal"/>
      <w:lvlText w:val="%1.%2.%3.%4."/>
      <w:lvlJc w:val="left"/>
      <w:pPr>
        <w:ind w:left="720" w:hanging="720"/>
      </w:pPr>
      <w:rPr>
        <w:rFonts w:asciiTheme="minorHAnsi" w:hAnsiTheme="minorHAnsi" w:cstheme="minorBidi" w:hint="default"/>
        <w:b w:val="0"/>
        <w:i w:val="0"/>
        <w:sz w:val="22"/>
      </w:rPr>
    </w:lvl>
    <w:lvl w:ilvl="4">
      <w:start w:val="1"/>
      <w:numFmt w:val="decimal"/>
      <w:lvlText w:val="%1.%2.%3.%4.%5."/>
      <w:lvlJc w:val="left"/>
      <w:pPr>
        <w:ind w:left="1080" w:hanging="1080"/>
      </w:pPr>
      <w:rPr>
        <w:rFonts w:asciiTheme="minorHAnsi" w:hAnsiTheme="minorHAnsi" w:cstheme="minorBidi" w:hint="default"/>
        <w:b w:val="0"/>
        <w:i w:val="0"/>
        <w:sz w:val="22"/>
      </w:rPr>
    </w:lvl>
    <w:lvl w:ilvl="5">
      <w:start w:val="1"/>
      <w:numFmt w:val="decimal"/>
      <w:lvlText w:val="%1.%2.%3.%4.%5.%6."/>
      <w:lvlJc w:val="left"/>
      <w:pPr>
        <w:ind w:left="1080" w:hanging="1080"/>
      </w:pPr>
      <w:rPr>
        <w:rFonts w:asciiTheme="minorHAnsi" w:hAnsiTheme="minorHAnsi" w:cstheme="minorBidi" w:hint="default"/>
        <w:b w:val="0"/>
        <w:i w:val="0"/>
        <w:sz w:val="22"/>
      </w:rPr>
    </w:lvl>
    <w:lvl w:ilvl="6">
      <w:start w:val="1"/>
      <w:numFmt w:val="decimal"/>
      <w:lvlText w:val="%1.%2.%3.%4.%5.%6.%7."/>
      <w:lvlJc w:val="left"/>
      <w:pPr>
        <w:ind w:left="1440" w:hanging="1440"/>
      </w:pPr>
      <w:rPr>
        <w:rFonts w:asciiTheme="minorHAnsi" w:hAnsiTheme="minorHAnsi" w:cstheme="minorBidi" w:hint="default"/>
        <w:b w:val="0"/>
        <w:i w:val="0"/>
        <w:sz w:val="22"/>
      </w:rPr>
    </w:lvl>
    <w:lvl w:ilvl="7">
      <w:start w:val="1"/>
      <w:numFmt w:val="decimal"/>
      <w:lvlText w:val="%1.%2.%3.%4.%5.%6.%7.%8."/>
      <w:lvlJc w:val="left"/>
      <w:pPr>
        <w:ind w:left="1440" w:hanging="1440"/>
      </w:pPr>
      <w:rPr>
        <w:rFonts w:asciiTheme="minorHAnsi" w:hAnsiTheme="minorHAnsi" w:cstheme="minorBidi" w:hint="default"/>
        <w:b w:val="0"/>
        <w:i w:val="0"/>
        <w:sz w:val="22"/>
      </w:rPr>
    </w:lvl>
    <w:lvl w:ilvl="8">
      <w:start w:val="1"/>
      <w:numFmt w:val="decimal"/>
      <w:lvlText w:val="%1.%2.%3.%4.%5.%6.%7.%8.%9."/>
      <w:lvlJc w:val="left"/>
      <w:pPr>
        <w:ind w:left="1800" w:hanging="1800"/>
      </w:pPr>
      <w:rPr>
        <w:rFonts w:asciiTheme="minorHAnsi" w:hAnsiTheme="minorHAnsi" w:cstheme="minorBidi" w:hint="default"/>
        <w:b w:val="0"/>
        <w:i w:val="0"/>
        <w:sz w:val="22"/>
      </w:rPr>
    </w:lvl>
  </w:abstractNum>
  <w:abstractNum w:abstractNumId="7" w15:restartNumberingAfterBreak="0">
    <w:nsid w:val="196A2800"/>
    <w:multiLevelType w:val="multilevel"/>
    <w:tmpl w:val="336AE73E"/>
    <w:lvl w:ilvl="0">
      <w:start w:val="1"/>
      <w:numFmt w:val="decimal"/>
      <w:lvlText w:val="%1."/>
      <w:lvlJc w:val="left"/>
      <w:pPr>
        <w:ind w:left="720" w:hanging="360"/>
      </w:pPr>
      <w:rPr>
        <w:b/>
        <w:bCs/>
        <w:sz w:val="24"/>
        <w:szCs w:val="24"/>
      </w:rPr>
    </w:lvl>
    <w:lvl w:ilvl="1">
      <w:start w:val="1"/>
      <w:numFmt w:val="decimal"/>
      <w:isLgl/>
      <w:lvlText w:val="%1.%2"/>
      <w:lvlJc w:val="left"/>
      <w:pPr>
        <w:ind w:left="720" w:hanging="360"/>
      </w:pPr>
      <w:rPr>
        <w:rFonts w:hint="default"/>
        <w:b/>
        <w:bCs/>
        <w:i w:val="0"/>
        <w:iCs/>
        <w:color w:val="auto"/>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8" w15:restartNumberingAfterBreak="0">
    <w:nsid w:val="225546C1"/>
    <w:multiLevelType w:val="hybridMultilevel"/>
    <w:tmpl w:val="70DC1D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B827D1"/>
    <w:multiLevelType w:val="hybridMultilevel"/>
    <w:tmpl w:val="7A8E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EB1F66"/>
    <w:multiLevelType w:val="multilevel"/>
    <w:tmpl w:val="FF2CDBD4"/>
    <w:lvl w:ilvl="0">
      <w:start w:val="1"/>
      <w:numFmt w:val="decimal"/>
      <w:lvlText w:val="%1."/>
      <w:lvlJc w:val="left"/>
      <w:pPr>
        <w:ind w:left="720" w:hanging="360"/>
      </w:pPr>
    </w:lvl>
    <w:lvl w:ilvl="1">
      <w:start w:val="1"/>
      <w:numFmt w:val="decimal"/>
      <w:isLgl/>
      <w:lvlText w:val="%1.%2"/>
      <w:lvlJc w:val="left"/>
      <w:pPr>
        <w:ind w:left="720" w:hanging="360"/>
      </w:pPr>
      <w:rPr>
        <w:rFonts w:hint="default"/>
        <w:b/>
        <w:bCs w:val="0"/>
        <w:i w:val="0"/>
        <w:iCs/>
      </w:rPr>
    </w:lvl>
    <w:lvl w:ilvl="2">
      <w:start w:val="1"/>
      <w:numFmt w:val="decimal"/>
      <w:isLgl/>
      <w:lvlText w:val="%1.%2.%3"/>
      <w:lvlJc w:val="left"/>
      <w:pPr>
        <w:ind w:left="1080" w:hanging="720"/>
      </w:pPr>
      <w:rPr>
        <w:rFonts w:hint="default"/>
        <w:b/>
        <w:bCs w:val="0"/>
        <w:i/>
        <w:sz w:val="24"/>
        <w:szCs w:val="24"/>
      </w:rPr>
    </w:lvl>
    <w:lvl w:ilvl="3">
      <w:start w:val="1"/>
      <w:numFmt w:val="decimal"/>
      <w:isLgl/>
      <w:lvlText w:val="%1.%2.%3.%4"/>
      <w:lvlJc w:val="left"/>
      <w:pPr>
        <w:ind w:left="1080" w:hanging="720"/>
      </w:pPr>
      <w:rPr>
        <w:rFonts w:hint="default"/>
        <w:b w:val="0"/>
        <w:i/>
      </w:rPr>
    </w:lvl>
    <w:lvl w:ilvl="4">
      <w:start w:val="1"/>
      <w:numFmt w:val="decimal"/>
      <w:isLgl/>
      <w:lvlText w:val="%1.%2.%3.%4.%5"/>
      <w:lvlJc w:val="left"/>
      <w:pPr>
        <w:ind w:left="1440" w:hanging="1080"/>
      </w:pPr>
      <w:rPr>
        <w:rFonts w:hint="default"/>
        <w:b w:val="0"/>
        <w:i/>
      </w:rPr>
    </w:lvl>
    <w:lvl w:ilvl="5">
      <w:start w:val="1"/>
      <w:numFmt w:val="decimal"/>
      <w:isLgl/>
      <w:lvlText w:val="%1.%2.%3.%4.%5.%6"/>
      <w:lvlJc w:val="left"/>
      <w:pPr>
        <w:ind w:left="144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00" w:hanging="1440"/>
      </w:pPr>
      <w:rPr>
        <w:rFonts w:hint="default"/>
        <w:b w:val="0"/>
        <w:i/>
      </w:rPr>
    </w:lvl>
    <w:lvl w:ilvl="8">
      <w:start w:val="1"/>
      <w:numFmt w:val="decimal"/>
      <w:isLgl/>
      <w:lvlText w:val="%1.%2.%3.%4.%5.%6.%7.%8.%9"/>
      <w:lvlJc w:val="left"/>
      <w:pPr>
        <w:ind w:left="2160" w:hanging="1800"/>
      </w:pPr>
      <w:rPr>
        <w:rFonts w:hint="default"/>
        <w:b w:val="0"/>
        <w:i/>
      </w:rPr>
    </w:lvl>
  </w:abstractNum>
  <w:abstractNum w:abstractNumId="11" w15:restartNumberingAfterBreak="0">
    <w:nsid w:val="2A291F42"/>
    <w:multiLevelType w:val="multilevel"/>
    <w:tmpl w:val="9A367542"/>
    <w:lvl w:ilvl="0">
      <w:start w:val="2"/>
      <w:numFmt w:val="decimal"/>
      <w:lvlText w:val="%1"/>
      <w:lvlJc w:val="left"/>
      <w:pPr>
        <w:ind w:left="480" w:hanging="480"/>
      </w:pPr>
      <w:rPr>
        <w:rFonts w:hint="default"/>
        <w:i/>
      </w:rPr>
    </w:lvl>
    <w:lvl w:ilvl="1">
      <w:start w:val="2"/>
      <w:numFmt w:val="decimal"/>
      <w:lvlText w:val="%1.%2"/>
      <w:lvlJc w:val="left"/>
      <w:pPr>
        <w:ind w:left="660" w:hanging="480"/>
      </w:pPr>
      <w:rPr>
        <w:rFonts w:hint="default"/>
        <w:b/>
        <w:bCs/>
        <w:i w:val="0"/>
        <w:iCs/>
        <w:color w:val="auto"/>
      </w:rPr>
    </w:lvl>
    <w:lvl w:ilvl="2">
      <w:start w:val="1"/>
      <w:numFmt w:val="decimal"/>
      <w:lvlText w:val="%1.%2.%3"/>
      <w:lvlJc w:val="left"/>
      <w:pPr>
        <w:ind w:left="1080" w:hanging="720"/>
      </w:pPr>
      <w:rPr>
        <w:rFonts w:asciiTheme="majorBidi" w:hAnsiTheme="majorBidi" w:cstheme="majorBidi" w:hint="default"/>
        <w:b/>
        <w:bCs/>
        <w:i/>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2" w15:restartNumberingAfterBreak="0">
    <w:nsid w:val="2D00228A"/>
    <w:multiLevelType w:val="hybridMultilevel"/>
    <w:tmpl w:val="FAE61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E3E7D"/>
    <w:multiLevelType w:val="hybridMultilevel"/>
    <w:tmpl w:val="07F6D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8F64F5"/>
    <w:multiLevelType w:val="multilevel"/>
    <w:tmpl w:val="FF2CDBD4"/>
    <w:lvl w:ilvl="0">
      <w:start w:val="1"/>
      <w:numFmt w:val="decimal"/>
      <w:lvlText w:val="%1."/>
      <w:lvlJc w:val="left"/>
      <w:pPr>
        <w:ind w:left="720" w:hanging="360"/>
      </w:pPr>
    </w:lvl>
    <w:lvl w:ilvl="1">
      <w:start w:val="1"/>
      <w:numFmt w:val="decimal"/>
      <w:isLgl/>
      <w:lvlText w:val="%1.%2"/>
      <w:lvlJc w:val="left"/>
      <w:pPr>
        <w:ind w:left="720" w:hanging="360"/>
      </w:pPr>
      <w:rPr>
        <w:rFonts w:hint="default"/>
        <w:b/>
        <w:bCs w:val="0"/>
        <w:i w:val="0"/>
        <w:iCs/>
      </w:rPr>
    </w:lvl>
    <w:lvl w:ilvl="2">
      <w:start w:val="1"/>
      <w:numFmt w:val="decimal"/>
      <w:isLgl/>
      <w:lvlText w:val="%1.%2.%3"/>
      <w:lvlJc w:val="left"/>
      <w:pPr>
        <w:ind w:left="1080" w:hanging="720"/>
      </w:pPr>
      <w:rPr>
        <w:rFonts w:hint="default"/>
        <w:b/>
        <w:bCs w:val="0"/>
        <w:i/>
        <w:sz w:val="24"/>
        <w:szCs w:val="24"/>
      </w:rPr>
    </w:lvl>
    <w:lvl w:ilvl="3">
      <w:start w:val="1"/>
      <w:numFmt w:val="decimal"/>
      <w:isLgl/>
      <w:lvlText w:val="%1.%2.%3.%4"/>
      <w:lvlJc w:val="left"/>
      <w:pPr>
        <w:ind w:left="1080" w:hanging="720"/>
      </w:pPr>
      <w:rPr>
        <w:rFonts w:hint="default"/>
        <w:b w:val="0"/>
        <w:i/>
      </w:rPr>
    </w:lvl>
    <w:lvl w:ilvl="4">
      <w:start w:val="1"/>
      <w:numFmt w:val="decimal"/>
      <w:isLgl/>
      <w:lvlText w:val="%1.%2.%3.%4.%5"/>
      <w:lvlJc w:val="left"/>
      <w:pPr>
        <w:ind w:left="1440" w:hanging="1080"/>
      </w:pPr>
      <w:rPr>
        <w:rFonts w:hint="default"/>
        <w:b w:val="0"/>
        <w:i/>
      </w:rPr>
    </w:lvl>
    <w:lvl w:ilvl="5">
      <w:start w:val="1"/>
      <w:numFmt w:val="decimal"/>
      <w:isLgl/>
      <w:lvlText w:val="%1.%2.%3.%4.%5.%6"/>
      <w:lvlJc w:val="left"/>
      <w:pPr>
        <w:ind w:left="144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00" w:hanging="1440"/>
      </w:pPr>
      <w:rPr>
        <w:rFonts w:hint="default"/>
        <w:b w:val="0"/>
        <w:i/>
      </w:rPr>
    </w:lvl>
    <w:lvl w:ilvl="8">
      <w:start w:val="1"/>
      <w:numFmt w:val="decimal"/>
      <w:isLgl/>
      <w:lvlText w:val="%1.%2.%3.%4.%5.%6.%7.%8.%9"/>
      <w:lvlJc w:val="left"/>
      <w:pPr>
        <w:ind w:left="2160" w:hanging="1800"/>
      </w:pPr>
      <w:rPr>
        <w:rFonts w:hint="default"/>
        <w:b w:val="0"/>
        <w:i/>
      </w:rPr>
    </w:lvl>
  </w:abstractNum>
  <w:abstractNum w:abstractNumId="15" w15:restartNumberingAfterBreak="0">
    <w:nsid w:val="49074EA6"/>
    <w:multiLevelType w:val="hybridMultilevel"/>
    <w:tmpl w:val="70DC1D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B11370"/>
    <w:multiLevelType w:val="multilevel"/>
    <w:tmpl w:val="DD36D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47231F"/>
    <w:multiLevelType w:val="hybridMultilevel"/>
    <w:tmpl w:val="4232C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01FE7"/>
    <w:multiLevelType w:val="multilevel"/>
    <w:tmpl w:val="FF2CDBD4"/>
    <w:lvl w:ilvl="0">
      <w:start w:val="1"/>
      <w:numFmt w:val="decimal"/>
      <w:lvlText w:val="%1."/>
      <w:lvlJc w:val="left"/>
      <w:pPr>
        <w:ind w:left="720" w:hanging="360"/>
      </w:pPr>
    </w:lvl>
    <w:lvl w:ilvl="1">
      <w:start w:val="1"/>
      <w:numFmt w:val="decimal"/>
      <w:isLgl/>
      <w:lvlText w:val="%1.%2"/>
      <w:lvlJc w:val="left"/>
      <w:pPr>
        <w:ind w:left="720" w:hanging="360"/>
      </w:pPr>
      <w:rPr>
        <w:rFonts w:hint="default"/>
        <w:b/>
        <w:bCs w:val="0"/>
        <w:i w:val="0"/>
        <w:iCs/>
      </w:rPr>
    </w:lvl>
    <w:lvl w:ilvl="2">
      <w:start w:val="1"/>
      <w:numFmt w:val="decimal"/>
      <w:isLgl/>
      <w:lvlText w:val="%1.%2.%3"/>
      <w:lvlJc w:val="left"/>
      <w:pPr>
        <w:ind w:left="1080" w:hanging="720"/>
      </w:pPr>
      <w:rPr>
        <w:rFonts w:hint="default"/>
        <w:b/>
        <w:bCs w:val="0"/>
        <w:i/>
        <w:sz w:val="24"/>
        <w:szCs w:val="24"/>
      </w:rPr>
    </w:lvl>
    <w:lvl w:ilvl="3">
      <w:start w:val="1"/>
      <w:numFmt w:val="decimal"/>
      <w:isLgl/>
      <w:lvlText w:val="%1.%2.%3.%4"/>
      <w:lvlJc w:val="left"/>
      <w:pPr>
        <w:ind w:left="1080" w:hanging="720"/>
      </w:pPr>
      <w:rPr>
        <w:rFonts w:hint="default"/>
        <w:b w:val="0"/>
        <w:i/>
      </w:rPr>
    </w:lvl>
    <w:lvl w:ilvl="4">
      <w:start w:val="1"/>
      <w:numFmt w:val="decimal"/>
      <w:isLgl/>
      <w:lvlText w:val="%1.%2.%3.%4.%5"/>
      <w:lvlJc w:val="left"/>
      <w:pPr>
        <w:ind w:left="1440" w:hanging="1080"/>
      </w:pPr>
      <w:rPr>
        <w:rFonts w:hint="default"/>
        <w:b w:val="0"/>
        <w:i/>
      </w:rPr>
    </w:lvl>
    <w:lvl w:ilvl="5">
      <w:start w:val="1"/>
      <w:numFmt w:val="decimal"/>
      <w:isLgl/>
      <w:lvlText w:val="%1.%2.%3.%4.%5.%6"/>
      <w:lvlJc w:val="left"/>
      <w:pPr>
        <w:ind w:left="144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00" w:hanging="1440"/>
      </w:pPr>
      <w:rPr>
        <w:rFonts w:hint="default"/>
        <w:b w:val="0"/>
        <w:i/>
      </w:rPr>
    </w:lvl>
    <w:lvl w:ilvl="8">
      <w:start w:val="1"/>
      <w:numFmt w:val="decimal"/>
      <w:isLgl/>
      <w:lvlText w:val="%1.%2.%3.%4.%5.%6.%7.%8.%9"/>
      <w:lvlJc w:val="left"/>
      <w:pPr>
        <w:ind w:left="2160" w:hanging="1800"/>
      </w:pPr>
      <w:rPr>
        <w:rFonts w:hint="default"/>
        <w:b w:val="0"/>
        <w:i/>
      </w:rPr>
    </w:lvl>
  </w:abstractNum>
  <w:abstractNum w:abstractNumId="19" w15:restartNumberingAfterBreak="0">
    <w:nsid w:val="7AE60ECA"/>
    <w:multiLevelType w:val="hybridMultilevel"/>
    <w:tmpl w:val="0D9C5824"/>
    <w:lvl w:ilvl="0" w:tplc="55CE350A">
      <w:start w:val="4"/>
      <w:numFmt w:val="decimal"/>
      <w:lvlText w:val="%1"/>
      <w:lvlJc w:val="left"/>
      <w:pPr>
        <w:ind w:left="720" w:hanging="360"/>
      </w:pPr>
      <w:rPr>
        <w:rFonts w:asciiTheme="minorHAnsi" w:hAnsiTheme="minorHAnsi" w:cstheme="minorBid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10302"/>
    <w:multiLevelType w:val="hybridMultilevel"/>
    <w:tmpl w:val="C5968EE8"/>
    <w:lvl w:ilvl="0" w:tplc="CFDA697A">
      <w:start w:val="1"/>
      <w:numFmt w:val="decimal"/>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126170">
    <w:abstractNumId w:val="7"/>
  </w:num>
  <w:num w:numId="2" w16cid:durableId="1550729474">
    <w:abstractNumId w:val="17"/>
  </w:num>
  <w:num w:numId="3" w16cid:durableId="1925606730">
    <w:abstractNumId w:val="8"/>
  </w:num>
  <w:num w:numId="4" w16cid:durableId="1586064785">
    <w:abstractNumId w:val="12"/>
  </w:num>
  <w:num w:numId="5" w16cid:durableId="1604070284">
    <w:abstractNumId w:val="5"/>
  </w:num>
  <w:num w:numId="6" w16cid:durableId="1840582247">
    <w:abstractNumId w:val="9"/>
  </w:num>
  <w:num w:numId="7" w16cid:durableId="35470396">
    <w:abstractNumId w:val="14"/>
  </w:num>
  <w:num w:numId="8" w16cid:durableId="1282806120">
    <w:abstractNumId w:val="10"/>
  </w:num>
  <w:num w:numId="9" w16cid:durableId="598409765">
    <w:abstractNumId w:val="18"/>
  </w:num>
  <w:num w:numId="10" w16cid:durableId="924266605">
    <w:abstractNumId w:val="4"/>
  </w:num>
  <w:num w:numId="11" w16cid:durableId="1309021350">
    <w:abstractNumId w:val="20"/>
  </w:num>
  <w:num w:numId="12" w16cid:durableId="253126949">
    <w:abstractNumId w:val="3"/>
  </w:num>
  <w:num w:numId="13" w16cid:durableId="1249076164">
    <w:abstractNumId w:val="19"/>
  </w:num>
  <w:num w:numId="14" w16cid:durableId="639118367">
    <w:abstractNumId w:val="0"/>
  </w:num>
  <w:num w:numId="15" w16cid:durableId="1990206903">
    <w:abstractNumId w:val="2"/>
  </w:num>
  <w:num w:numId="16" w16cid:durableId="1304696446">
    <w:abstractNumId w:val="1"/>
  </w:num>
  <w:num w:numId="17" w16cid:durableId="99885931">
    <w:abstractNumId w:val="6"/>
  </w:num>
  <w:num w:numId="18" w16cid:durableId="1773158636">
    <w:abstractNumId w:val="15"/>
  </w:num>
  <w:num w:numId="19" w16cid:durableId="420952058">
    <w:abstractNumId w:val="13"/>
  </w:num>
  <w:num w:numId="20" w16cid:durableId="1784570745">
    <w:abstractNumId w:val="11"/>
  </w:num>
  <w:num w:numId="21" w16cid:durableId="11993886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1MTcxMDUyNTM2sTRX0lEKTi0uzszPAykwMqgFAPmEbr8tAAAA"/>
  </w:docVars>
  <w:rsids>
    <w:rsidRoot w:val="0035133A"/>
    <w:rsid w:val="00001D8F"/>
    <w:rsid w:val="00002B41"/>
    <w:rsid w:val="00002C0F"/>
    <w:rsid w:val="00002FFC"/>
    <w:rsid w:val="000033C6"/>
    <w:rsid w:val="00003F9A"/>
    <w:rsid w:val="0000470C"/>
    <w:rsid w:val="000057EC"/>
    <w:rsid w:val="0000652B"/>
    <w:rsid w:val="00010F35"/>
    <w:rsid w:val="00011C52"/>
    <w:rsid w:val="00012CE0"/>
    <w:rsid w:val="00012ECF"/>
    <w:rsid w:val="00012F24"/>
    <w:rsid w:val="0001381B"/>
    <w:rsid w:val="00014776"/>
    <w:rsid w:val="000147A6"/>
    <w:rsid w:val="00014BA3"/>
    <w:rsid w:val="00015C77"/>
    <w:rsid w:val="00015EF2"/>
    <w:rsid w:val="00015EFA"/>
    <w:rsid w:val="00016221"/>
    <w:rsid w:val="000162AB"/>
    <w:rsid w:val="000173D5"/>
    <w:rsid w:val="00017403"/>
    <w:rsid w:val="00017EC6"/>
    <w:rsid w:val="0002067B"/>
    <w:rsid w:val="00020875"/>
    <w:rsid w:val="0002108C"/>
    <w:rsid w:val="0002143C"/>
    <w:rsid w:val="00022D05"/>
    <w:rsid w:val="0002483B"/>
    <w:rsid w:val="00024E2E"/>
    <w:rsid w:val="00025ECE"/>
    <w:rsid w:val="00030D38"/>
    <w:rsid w:val="00031455"/>
    <w:rsid w:val="000322C7"/>
    <w:rsid w:val="00034A96"/>
    <w:rsid w:val="00034B1E"/>
    <w:rsid w:val="000365CE"/>
    <w:rsid w:val="000406A2"/>
    <w:rsid w:val="000420B6"/>
    <w:rsid w:val="000423A8"/>
    <w:rsid w:val="00043281"/>
    <w:rsid w:val="00043438"/>
    <w:rsid w:val="00043889"/>
    <w:rsid w:val="00043D8C"/>
    <w:rsid w:val="00044F2D"/>
    <w:rsid w:val="0004528A"/>
    <w:rsid w:val="000468E1"/>
    <w:rsid w:val="00046B7F"/>
    <w:rsid w:val="00046CD3"/>
    <w:rsid w:val="000473CA"/>
    <w:rsid w:val="00047891"/>
    <w:rsid w:val="00047936"/>
    <w:rsid w:val="00047B27"/>
    <w:rsid w:val="00047DFB"/>
    <w:rsid w:val="00050540"/>
    <w:rsid w:val="00050929"/>
    <w:rsid w:val="00050BDE"/>
    <w:rsid w:val="00050C37"/>
    <w:rsid w:val="000527DC"/>
    <w:rsid w:val="00053671"/>
    <w:rsid w:val="00053F91"/>
    <w:rsid w:val="00054330"/>
    <w:rsid w:val="00054B2C"/>
    <w:rsid w:val="00054EC4"/>
    <w:rsid w:val="00056578"/>
    <w:rsid w:val="00056624"/>
    <w:rsid w:val="0006019F"/>
    <w:rsid w:val="00060339"/>
    <w:rsid w:val="000608EB"/>
    <w:rsid w:val="000620E5"/>
    <w:rsid w:val="000632C2"/>
    <w:rsid w:val="000652C8"/>
    <w:rsid w:val="00066ABE"/>
    <w:rsid w:val="00066C6C"/>
    <w:rsid w:val="0006767F"/>
    <w:rsid w:val="00070711"/>
    <w:rsid w:val="00070E63"/>
    <w:rsid w:val="0007101D"/>
    <w:rsid w:val="000729DF"/>
    <w:rsid w:val="00073ECC"/>
    <w:rsid w:val="00074BFA"/>
    <w:rsid w:val="00075039"/>
    <w:rsid w:val="00076061"/>
    <w:rsid w:val="000761CA"/>
    <w:rsid w:val="00076F3E"/>
    <w:rsid w:val="0007790A"/>
    <w:rsid w:val="00080665"/>
    <w:rsid w:val="0008082D"/>
    <w:rsid w:val="00081CAA"/>
    <w:rsid w:val="00082B15"/>
    <w:rsid w:val="00082E54"/>
    <w:rsid w:val="00083336"/>
    <w:rsid w:val="0008363A"/>
    <w:rsid w:val="00087421"/>
    <w:rsid w:val="00087AAE"/>
    <w:rsid w:val="00087D32"/>
    <w:rsid w:val="00090688"/>
    <w:rsid w:val="0009068D"/>
    <w:rsid w:val="00090A02"/>
    <w:rsid w:val="00091C05"/>
    <w:rsid w:val="00093168"/>
    <w:rsid w:val="0009395B"/>
    <w:rsid w:val="0009465F"/>
    <w:rsid w:val="000A0BB1"/>
    <w:rsid w:val="000A1A17"/>
    <w:rsid w:val="000A37B8"/>
    <w:rsid w:val="000A3EE7"/>
    <w:rsid w:val="000A5E27"/>
    <w:rsid w:val="000A6E7D"/>
    <w:rsid w:val="000B0145"/>
    <w:rsid w:val="000B1E47"/>
    <w:rsid w:val="000B24C0"/>
    <w:rsid w:val="000B252A"/>
    <w:rsid w:val="000B2833"/>
    <w:rsid w:val="000B3991"/>
    <w:rsid w:val="000B4B58"/>
    <w:rsid w:val="000B553A"/>
    <w:rsid w:val="000B5555"/>
    <w:rsid w:val="000B5B41"/>
    <w:rsid w:val="000B6871"/>
    <w:rsid w:val="000B7C32"/>
    <w:rsid w:val="000C11A4"/>
    <w:rsid w:val="000C11AB"/>
    <w:rsid w:val="000C1594"/>
    <w:rsid w:val="000C28D8"/>
    <w:rsid w:val="000C2FEA"/>
    <w:rsid w:val="000C3CB2"/>
    <w:rsid w:val="000C3EFE"/>
    <w:rsid w:val="000C5419"/>
    <w:rsid w:val="000C5956"/>
    <w:rsid w:val="000C6332"/>
    <w:rsid w:val="000C7011"/>
    <w:rsid w:val="000C7650"/>
    <w:rsid w:val="000C7E27"/>
    <w:rsid w:val="000D08B1"/>
    <w:rsid w:val="000D0F28"/>
    <w:rsid w:val="000D1610"/>
    <w:rsid w:val="000D27F9"/>
    <w:rsid w:val="000D2D48"/>
    <w:rsid w:val="000D3147"/>
    <w:rsid w:val="000D342C"/>
    <w:rsid w:val="000D3678"/>
    <w:rsid w:val="000D46F6"/>
    <w:rsid w:val="000D4FC5"/>
    <w:rsid w:val="000D552E"/>
    <w:rsid w:val="000D6125"/>
    <w:rsid w:val="000D6551"/>
    <w:rsid w:val="000D6783"/>
    <w:rsid w:val="000E07A2"/>
    <w:rsid w:val="000E140A"/>
    <w:rsid w:val="000E1610"/>
    <w:rsid w:val="000E37DD"/>
    <w:rsid w:val="000E44BF"/>
    <w:rsid w:val="000E453E"/>
    <w:rsid w:val="000E46BF"/>
    <w:rsid w:val="000E4DC4"/>
    <w:rsid w:val="000E76A5"/>
    <w:rsid w:val="000F05FB"/>
    <w:rsid w:val="000F0BBA"/>
    <w:rsid w:val="000F0DB7"/>
    <w:rsid w:val="000F1B33"/>
    <w:rsid w:val="000F2C6F"/>
    <w:rsid w:val="000F5AF4"/>
    <w:rsid w:val="000F659D"/>
    <w:rsid w:val="000F698B"/>
    <w:rsid w:val="000F6EDC"/>
    <w:rsid w:val="000F78FC"/>
    <w:rsid w:val="001009C4"/>
    <w:rsid w:val="001033A6"/>
    <w:rsid w:val="00104BDB"/>
    <w:rsid w:val="001051DA"/>
    <w:rsid w:val="00105B44"/>
    <w:rsid w:val="00105EAD"/>
    <w:rsid w:val="001060B6"/>
    <w:rsid w:val="00107369"/>
    <w:rsid w:val="001073D4"/>
    <w:rsid w:val="00107DAF"/>
    <w:rsid w:val="00110107"/>
    <w:rsid w:val="0011020F"/>
    <w:rsid w:val="00111997"/>
    <w:rsid w:val="00114D2E"/>
    <w:rsid w:val="00115671"/>
    <w:rsid w:val="001172EC"/>
    <w:rsid w:val="001177EF"/>
    <w:rsid w:val="00117B9F"/>
    <w:rsid w:val="00117CFF"/>
    <w:rsid w:val="0012072D"/>
    <w:rsid w:val="001208C7"/>
    <w:rsid w:val="00121AA3"/>
    <w:rsid w:val="00122291"/>
    <w:rsid w:val="0012355D"/>
    <w:rsid w:val="00124FD3"/>
    <w:rsid w:val="00125105"/>
    <w:rsid w:val="00125D08"/>
    <w:rsid w:val="00126793"/>
    <w:rsid w:val="00127739"/>
    <w:rsid w:val="001313DA"/>
    <w:rsid w:val="00131589"/>
    <w:rsid w:val="0013190B"/>
    <w:rsid w:val="00132103"/>
    <w:rsid w:val="00133C2E"/>
    <w:rsid w:val="001345F5"/>
    <w:rsid w:val="00135273"/>
    <w:rsid w:val="00137E38"/>
    <w:rsid w:val="00142273"/>
    <w:rsid w:val="00142697"/>
    <w:rsid w:val="00142816"/>
    <w:rsid w:val="00143219"/>
    <w:rsid w:val="00144CB9"/>
    <w:rsid w:val="001452F0"/>
    <w:rsid w:val="0014617A"/>
    <w:rsid w:val="00146830"/>
    <w:rsid w:val="00147961"/>
    <w:rsid w:val="00150066"/>
    <w:rsid w:val="001502D8"/>
    <w:rsid w:val="00150485"/>
    <w:rsid w:val="00150CEA"/>
    <w:rsid w:val="00151AD9"/>
    <w:rsid w:val="001530A3"/>
    <w:rsid w:val="001531E9"/>
    <w:rsid w:val="00154C91"/>
    <w:rsid w:val="00155CB5"/>
    <w:rsid w:val="00156365"/>
    <w:rsid w:val="001568E8"/>
    <w:rsid w:val="00157E5E"/>
    <w:rsid w:val="00157EFE"/>
    <w:rsid w:val="001605F0"/>
    <w:rsid w:val="00162DB1"/>
    <w:rsid w:val="00163122"/>
    <w:rsid w:val="0016659E"/>
    <w:rsid w:val="00166CF1"/>
    <w:rsid w:val="001678C1"/>
    <w:rsid w:val="00167E63"/>
    <w:rsid w:val="00167FA8"/>
    <w:rsid w:val="00171A08"/>
    <w:rsid w:val="00174F03"/>
    <w:rsid w:val="0017543C"/>
    <w:rsid w:val="00175C70"/>
    <w:rsid w:val="001769BC"/>
    <w:rsid w:val="001775B0"/>
    <w:rsid w:val="001803B8"/>
    <w:rsid w:val="001810DE"/>
    <w:rsid w:val="001837A4"/>
    <w:rsid w:val="00184247"/>
    <w:rsid w:val="001864B3"/>
    <w:rsid w:val="00187CD1"/>
    <w:rsid w:val="00187E24"/>
    <w:rsid w:val="00190362"/>
    <w:rsid w:val="00190E83"/>
    <w:rsid w:val="0019116F"/>
    <w:rsid w:val="001914C1"/>
    <w:rsid w:val="00191B4C"/>
    <w:rsid w:val="001939A7"/>
    <w:rsid w:val="00193ACC"/>
    <w:rsid w:val="00193DAE"/>
    <w:rsid w:val="00197B84"/>
    <w:rsid w:val="00197BCC"/>
    <w:rsid w:val="001A0338"/>
    <w:rsid w:val="001A12D0"/>
    <w:rsid w:val="001A18B4"/>
    <w:rsid w:val="001A23C9"/>
    <w:rsid w:val="001A48AB"/>
    <w:rsid w:val="001A4E14"/>
    <w:rsid w:val="001A60C8"/>
    <w:rsid w:val="001A61C4"/>
    <w:rsid w:val="001A69A9"/>
    <w:rsid w:val="001A783D"/>
    <w:rsid w:val="001A7CD1"/>
    <w:rsid w:val="001B0037"/>
    <w:rsid w:val="001B1D4B"/>
    <w:rsid w:val="001B1D5A"/>
    <w:rsid w:val="001B2231"/>
    <w:rsid w:val="001B3731"/>
    <w:rsid w:val="001B47AD"/>
    <w:rsid w:val="001B48F7"/>
    <w:rsid w:val="001B5B93"/>
    <w:rsid w:val="001B6026"/>
    <w:rsid w:val="001B6C16"/>
    <w:rsid w:val="001B6D29"/>
    <w:rsid w:val="001B7BAB"/>
    <w:rsid w:val="001B7BC3"/>
    <w:rsid w:val="001C014A"/>
    <w:rsid w:val="001C1209"/>
    <w:rsid w:val="001C2C6C"/>
    <w:rsid w:val="001C2F42"/>
    <w:rsid w:val="001C3308"/>
    <w:rsid w:val="001C3A40"/>
    <w:rsid w:val="001C3BA5"/>
    <w:rsid w:val="001C6776"/>
    <w:rsid w:val="001C6B3E"/>
    <w:rsid w:val="001C71B8"/>
    <w:rsid w:val="001C79CD"/>
    <w:rsid w:val="001D0986"/>
    <w:rsid w:val="001D135C"/>
    <w:rsid w:val="001D19C6"/>
    <w:rsid w:val="001D32DE"/>
    <w:rsid w:val="001D4619"/>
    <w:rsid w:val="001D50BD"/>
    <w:rsid w:val="001D53F5"/>
    <w:rsid w:val="001D5877"/>
    <w:rsid w:val="001E068C"/>
    <w:rsid w:val="001E17DB"/>
    <w:rsid w:val="001E369E"/>
    <w:rsid w:val="001E50B7"/>
    <w:rsid w:val="001E51E0"/>
    <w:rsid w:val="001E52DA"/>
    <w:rsid w:val="001E578C"/>
    <w:rsid w:val="001E5938"/>
    <w:rsid w:val="001E6DAA"/>
    <w:rsid w:val="001E739F"/>
    <w:rsid w:val="001E7CDC"/>
    <w:rsid w:val="001E7DD1"/>
    <w:rsid w:val="001F0B91"/>
    <w:rsid w:val="001F1A7D"/>
    <w:rsid w:val="001F23D7"/>
    <w:rsid w:val="001F2F79"/>
    <w:rsid w:val="001F3966"/>
    <w:rsid w:val="001F39FB"/>
    <w:rsid w:val="001F3DE3"/>
    <w:rsid w:val="001F43C6"/>
    <w:rsid w:val="001F4840"/>
    <w:rsid w:val="001F48FA"/>
    <w:rsid w:val="001F4B36"/>
    <w:rsid w:val="001F4ED1"/>
    <w:rsid w:val="001F5629"/>
    <w:rsid w:val="001F5663"/>
    <w:rsid w:val="001F643D"/>
    <w:rsid w:val="001F6884"/>
    <w:rsid w:val="001F6ABC"/>
    <w:rsid w:val="001F708F"/>
    <w:rsid w:val="001F7D1D"/>
    <w:rsid w:val="00202782"/>
    <w:rsid w:val="002036AC"/>
    <w:rsid w:val="002036B2"/>
    <w:rsid w:val="002052F5"/>
    <w:rsid w:val="002060C0"/>
    <w:rsid w:val="00206673"/>
    <w:rsid w:val="00206DEE"/>
    <w:rsid w:val="00207C19"/>
    <w:rsid w:val="002108C9"/>
    <w:rsid w:val="00212135"/>
    <w:rsid w:val="00212784"/>
    <w:rsid w:val="002147E2"/>
    <w:rsid w:val="00215798"/>
    <w:rsid w:val="002157F2"/>
    <w:rsid w:val="00223146"/>
    <w:rsid w:val="00224D42"/>
    <w:rsid w:val="00225C9E"/>
    <w:rsid w:val="0022712E"/>
    <w:rsid w:val="00230748"/>
    <w:rsid w:val="00231E9E"/>
    <w:rsid w:val="002326D1"/>
    <w:rsid w:val="00232DD8"/>
    <w:rsid w:val="00233444"/>
    <w:rsid w:val="002334B7"/>
    <w:rsid w:val="0023569E"/>
    <w:rsid w:val="00235919"/>
    <w:rsid w:val="00235CD3"/>
    <w:rsid w:val="002360BE"/>
    <w:rsid w:val="00236380"/>
    <w:rsid w:val="00236AF3"/>
    <w:rsid w:val="00237798"/>
    <w:rsid w:val="00240343"/>
    <w:rsid w:val="00241743"/>
    <w:rsid w:val="0024430A"/>
    <w:rsid w:val="002458B2"/>
    <w:rsid w:val="00245BE6"/>
    <w:rsid w:val="00245FB1"/>
    <w:rsid w:val="002465EA"/>
    <w:rsid w:val="00246B7C"/>
    <w:rsid w:val="00247EE7"/>
    <w:rsid w:val="00253AE7"/>
    <w:rsid w:val="0025426B"/>
    <w:rsid w:val="00254715"/>
    <w:rsid w:val="00254B39"/>
    <w:rsid w:val="0025591F"/>
    <w:rsid w:val="002559D7"/>
    <w:rsid w:val="00256A34"/>
    <w:rsid w:val="00256B8F"/>
    <w:rsid w:val="00256EF8"/>
    <w:rsid w:val="002578EA"/>
    <w:rsid w:val="002579BF"/>
    <w:rsid w:val="00257C68"/>
    <w:rsid w:val="0026042D"/>
    <w:rsid w:val="00261039"/>
    <w:rsid w:val="00261F07"/>
    <w:rsid w:val="002633BC"/>
    <w:rsid w:val="002634BF"/>
    <w:rsid w:val="00264F0F"/>
    <w:rsid w:val="00265E91"/>
    <w:rsid w:val="00266225"/>
    <w:rsid w:val="00270A6A"/>
    <w:rsid w:val="00270F39"/>
    <w:rsid w:val="002714F1"/>
    <w:rsid w:val="00271E6B"/>
    <w:rsid w:val="00272BFE"/>
    <w:rsid w:val="00273FD5"/>
    <w:rsid w:val="00274456"/>
    <w:rsid w:val="0027691E"/>
    <w:rsid w:val="0027751A"/>
    <w:rsid w:val="0027759B"/>
    <w:rsid w:val="00280BC1"/>
    <w:rsid w:val="00281ABD"/>
    <w:rsid w:val="0028270E"/>
    <w:rsid w:val="00283DFC"/>
    <w:rsid w:val="00283E53"/>
    <w:rsid w:val="002843E7"/>
    <w:rsid w:val="002852FA"/>
    <w:rsid w:val="00286340"/>
    <w:rsid w:val="00287718"/>
    <w:rsid w:val="002905DA"/>
    <w:rsid w:val="002930FD"/>
    <w:rsid w:val="00293977"/>
    <w:rsid w:val="00294AC1"/>
    <w:rsid w:val="00294D4E"/>
    <w:rsid w:val="0029553C"/>
    <w:rsid w:val="00295BE1"/>
    <w:rsid w:val="002964A0"/>
    <w:rsid w:val="00297F2A"/>
    <w:rsid w:val="002A0C0E"/>
    <w:rsid w:val="002A197B"/>
    <w:rsid w:val="002A23FF"/>
    <w:rsid w:val="002A2D6D"/>
    <w:rsid w:val="002A5D37"/>
    <w:rsid w:val="002A6230"/>
    <w:rsid w:val="002A6765"/>
    <w:rsid w:val="002A70CE"/>
    <w:rsid w:val="002A72EC"/>
    <w:rsid w:val="002A7CA2"/>
    <w:rsid w:val="002B0A44"/>
    <w:rsid w:val="002B136C"/>
    <w:rsid w:val="002B17D5"/>
    <w:rsid w:val="002B2941"/>
    <w:rsid w:val="002B49CD"/>
    <w:rsid w:val="002B6C8B"/>
    <w:rsid w:val="002C0E9A"/>
    <w:rsid w:val="002C15B6"/>
    <w:rsid w:val="002C1721"/>
    <w:rsid w:val="002C3707"/>
    <w:rsid w:val="002C4E47"/>
    <w:rsid w:val="002C4F1D"/>
    <w:rsid w:val="002C7BE3"/>
    <w:rsid w:val="002D0163"/>
    <w:rsid w:val="002D0F81"/>
    <w:rsid w:val="002D2063"/>
    <w:rsid w:val="002D28A1"/>
    <w:rsid w:val="002D4530"/>
    <w:rsid w:val="002D47AE"/>
    <w:rsid w:val="002D4DB7"/>
    <w:rsid w:val="002D561C"/>
    <w:rsid w:val="002D5A44"/>
    <w:rsid w:val="002D6CC8"/>
    <w:rsid w:val="002D70AB"/>
    <w:rsid w:val="002E07B3"/>
    <w:rsid w:val="002E10D6"/>
    <w:rsid w:val="002E1137"/>
    <w:rsid w:val="002E1C9A"/>
    <w:rsid w:val="002E5479"/>
    <w:rsid w:val="002E57F7"/>
    <w:rsid w:val="002E6439"/>
    <w:rsid w:val="002E6B0C"/>
    <w:rsid w:val="002E6CB1"/>
    <w:rsid w:val="002E79EB"/>
    <w:rsid w:val="002F12A3"/>
    <w:rsid w:val="002F2B3B"/>
    <w:rsid w:val="002F32F6"/>
    <w:rsid w:val="002F3EFB"/>
    <w:rsid w:val="002F505A"/>
    <w:rsid w:val="002F5B8F"/>
    <w:rsid w:val="002F5ECA"/>
    <w:rsid w:val="002F6E01"/>
    <w:rsid w:val="002F72E2"/>
    <w:rsid w:val="003013BF"/>
    <w:rsid w:val="00301700"/>
    <w:rsid w:val="00302AD9"/>
    <w:rsid w:val="00302B8C"/>
    <w:rsid w:val="00302EF6"/>
    <w:rsid w:val="003039F5"/>
    <w:rsid w:val="00304110"/>
    <w:rsid w:val="0030436A"/>
    <w:rsid w:val="003046DA"/>
    <w:rsid w:val="00305444"/>
    <w:rsid w:val="00310199"/>
    <w:rsid w:val="0031024A"/>
    <w:rsid w:val="003107EA"/>
    <w:rsid w:val="0031097F"/>
    <w:rsid w:val="003113EF"/>
    <w:rsid w:val="00311CB2"/>
    <w:rsid w:val="00312CF7"/>
    <w:rsid w:val="00314303"/>
    <w:rsid w:val="00315013"/>
    <w:rsid w:val="003152D8"/>
    <w:rsid w:val="00315EBD"/>
    <w:rsid w:val="003174B4"/>
    <w:rsid w:val="00317A52"/>
    <w:rsid w:val="00321E08"/>
    <w:rsid w:val="00322BEC"/>
    <w:rsid w:val="00322E8E"/>
    <w:rsid w:val="00323133"/>
    <w:rsid w:val="00323B58"/>
    <w:rsid w:val="00323BFB"/>
    <w:rsid w:val="003246BF"/>
    <w:rsid w:val="0032529D"/>
    <w:rsid w:val="003257E2"/>
    <w:rsid w:val="003259A8"/>
    <w:rsid w:val="00325D9E"/>
    <w:rsid w:val="00325EBF"/>
    <w:rsid w:val="00326D3E"/>
    <w:rsid w:val="00330477"/>
    <w:rsid w:val="00330671"/>
    <w:rsid w:val="00331E2B"/>
    <w:rsid w:val="003324B4"/>
    <w:rsid w:val="00332771"/>
    <w:rsid w:val="0033492B"/>
    <w:rsid w:val="00335348"/>
    <w:rsid w:val="00335E11"/>
    <w:rsid w:val="0033626B"/>
    <w:rsid w:val="003372B6"/>
    <w:rsid w:val="00340569"/>
    <w:rsid w:val="00340BCD"/>
    <w:rsid w:val="00341A42"/>
    <w:rsid w:val="00342218"/>
    <w:rsid w:val="00342308"/>
    <w:rsid w:val="00342B91"/>
    <w:rsid w:val="00343155"/>
    <w:rsid w:val="003506F1"/>
    <w:rsid w:val="0035133A"/>
    <w:rsid w:val="00351C2D"/>
    <w:rsid w:val="00352733"/>
    <w:rsid w:val="003529CA"/>
    <w:rsid w:val="00353E58"/>
    <w:rsid w:val="00354178"/>
    <w:rsid w:val="00354A41"/>
    <w:rsid w:val="00355F20"/>
    <w:rsid w:val="00356DF5"/>
    <w:rsid w:val="00357183"/>
    <w:rsid w:val="003603A1"/>
    <w:rsid w:val="003617F1"/>
    <w:rsid w:val="003618D2"/>
    <w:rsid w:val="0036224D"/>
    <w:rsid w:val="003639E8"/>
    <w:rsid w:val="00364611"/>
    <w:rsid w:val="00364A1D"/>
    <w:rsid w:val="003655C0"/>
    <w:rsid w:val="00367403"/>
    <w:rsid w:val="00373309"/>
    <w:rsid w:val="003749EB"/>
    <w:rsid w:val="003751ED"/>
    <w:rsid w:val="00377515"/>
    <w:rsid w:val="00377F45"/>
    <w:rsid w:val="0038061C"/>
    <w:rsid w:val="00382464"/>
    <w:rsid w:val="00382680"/>
    <w:rsid w:val="003833D3"/>
    <w:rsid w:val="00383C4D"/>
    <w:rsid w:val="00385AA6"/>
    <w:rsid w:val="00385BCA"/>
    <w:rsid w:val="003865ED"/>
    <w:rsid w:val="00386916"/>
    <w:rsid w:val="00387560"/>
    <w:rsid w:val="0039257A"/>
    <w:rsid w:val="0039373B"/>
    <w:rsid w:val="003952B3"/>
    <w:rsid w:val="00395BA2"/>
    <w:rsid w:val="00397073"/>
    <w:rsid w:val="003A027B"/>
    <w:rsid w:val="003A0C17"/>
    <w:rsid w:val="003A1475"/>
    <w:rsid w:val="003A198C"/>
    <w:rsid w:val="003A1F24"/>
    <w:rsid w:val="003A279F"/>
    <w:rsid w:val="003A4386"/>
    <w:rsid w:val="003A583F"/>
    <w:rsid w:val="003A58A7"/>
    <w:rsid w:val="003A61E5"/>
    <w:rsid w:val="003A6DFE"/>
    <w:rsid w:val="003A6F1C"/>
    <w:rsid w:val="003B01BD"/>
    <w:rsid w:val="003B04B6"/>
    <w:rsid w:val="003B0F3D"/>
    <w:rsid w:val="003B49B4"/>
    <w:rsid w:val="003B5B4C"/>
    <w:rsid w:val="003B6060"/>
    <w:rsid w:val="003B6710"/>
    <w:rsid w:val="003B6A0F"/>
    <w:rsid w:val="003B781E"/>
    <w:rsid w:val="003B787B"/>
    <w:rsid w:val="003B7914"/>
    <w:rsid w:val="003B7A45"/>
    <w:rsid w:val="003B7BD5"/>
    <w:rsid w:val="003C0180"/>
    <w:rsid w:val="003C0CA2"/>
    <w:rsid w:val="003C1170"/>
    <w:rsid w:val="003C1D33"/>
    <w:rsid w:val="003C3864"/>
    <w:rsid w:val="003C3BAE"/>
    <w:rsid w:val="003C446C"/>
    <w:rsid w:val="003C4AAC"/>
    <w:rsid w:val="003C63AC"/>
    <w:rsid w:val="003C6A34"/>
    <w:rsid w:val="003C6CF7"/>
    <w:rsid w:val="003C733A"/>
    <w:rsid w:val="003D0C48"/>
    <w:rsid w:val="003D288E"/>
    <w:rsid w:val="003D2CDF"/>
    <w:rsid w:val="003D3D9E"/>
    <w:rsid w:val="003D4E66"/>
    <w:rsid w:val="003D581F"/>
    <w:rsid w:val="003D7023"/>
    <w:rsid w:val="003E0468"/>
    <w:rsid w:val="003E205D"/>
    <w:rsid w:val="003E2860"/>
    <w:rsid w:val="003E2BC3"/>
    <w:rsid w:val="003E2D23"/>
    <w:rsid w:val="003E2D6B"/>
    <w:rsid w:val="003E3CAF"/>
    <w:rsid w:val="003E541C"/>
    <w:rsid w:val="003E552B"/>
    <w:rsid w:val="003E626A"/>
    <w:rsid w:val="003E63D2"/>
    <w:rsid w:val="003E69DC"/>
    <w:rsid w:val="003F123A"/>
    <w:rsid w:val="003F218F"/>
    <w:rsid w:val="003F29C1"/>
    <w:rsid w:val="003F398A"/>
    <w:rsid w:val="003F54B6"/>
    <w:rsid w:val="003F66D8"/>
    <w:rsid w:val="00400CEF"/>
    <w:rsid w:val="00401C93"/>
    <w:rsid w:val="00402D59"/>
    <w:rsid w:val="00402DBE"/>
    <w:rsid w:val="0040462B"/>
    <w:rsid w:val="00404717"/>
    <w:rsid w:val="00406399"/>
    <w:rsid w:val="00410DCD"/>
    <w:rsid w:val="00411367"/>
    <w:rsid w:val="00411FCC"/>
    <w:rsid w:val="00412077"/>
    <w:rsid w:val="00413A38"/>
    <w:rsid w:val="00414798"/>
    <w:rsid w:val="004163CA"/>
    <w:rsid w:val="004208B7"/>
    <w:rsid w:val="00421292"/>
    <w:rsid w:val="004216A1"/>
    <w:rsid w:val="00422DDD"/>
    <w:rsid w:val="00422E95"/>
    <w:rsid w:val="004230D6"/>
    <w:rsid w:val="004231A6"/>
    <w:rsid w:val="00423EA1"/>
    <w:rsid w:val="00424A76"/>
    <w:rsid w:val="0042568B"/>
    <w:rsid w:val="00430964"/>
    <w:rsid w:val="004316F8"/>
    <w:rsid w:val="0043183F"/>
    <w:rsid w:val="00432053"/>
    <w:rsid w:val="004328B7"/>
    <w:rsid w:val="00432E30"/>
    <w:rsid w:val="004331F3"/>
    <w:rsid w:val="00433AC4"/>
    <w:rsid w:val="00433EB2"/>
    <w:rsid w:val="00434758"/>
    <w:rsid w:val="0043782E"/>
    <w:rsid w:val="004403FF"/>
    <w:rsid w:val="00440EB2"/>
    <w:rsid w:val="00441E4A"/>
    <w:rsid w:val="00444B1F"/>
    <w:rsid w:val="0044579A"/>
    <w:rsid w:val="00446E3B"/>
    <w:rsid w:val="004472A2"/>
    <w:rsid w:val="004508A6"/>
    <w:rsid w:val="00451F3B"/>
    <w:rsid w:val="00451F78"/>
    <w:rsid w:val="00452F42"/>
    <w:rsid w:val="00454246"/>
    <w:rsid w:val="0045563A"/>
    <w:rsid w:val="00455CBD"/>
    <w:rsid w:val="00455DCE"/>
    <w:rsid w:val="004561CB"/>
    <w:rsid w:val="004563B8"/>
    <w:rsid w:val="0045678F"/>
    <w:rsid w:val="00456BAF"/>
    <w:rsid w:val="004579FB"/>
    <w:rsid w:val="00457C20"/>
    <w:rsid w:val="00457D73"/>
    <w:rsid w:val="004603F3"/>
    <w:rsid w:val="004615E7"/>
    <w:rsid w:val="00462251"/>
    <w:rsid w:val="00462AEF"/>
    <w:rsid w:val="00462B09"/>
    <w:rsid w:val="00463384"/>
    <w:rsid w:val="00464273"/>
    <w:rsid w:val="00464975"/>
    <w:rsid w:val="00464D48"/>
    <w:rsid w:val="00465CEC"/>
    <w:rsid w:val="004663B4"/>
    <w:rsid w:val="004664E8"/>
    <w:rsid w:val="00466724"/>
    <w:rsid w:val="00466B24"/>
    <w:rsid w:val="00467502"/>
    <w:rsid w:val="00470B9D"/>
    <w:rsid w:val="00472837"/>
    <w:rsid w:val="00472CCC"/>
    <w:rsid w:val="0047378C"/>
    <w:rsid w:val="00474CD0"/>
    <w:rsid w:val="00477361"/>
    <w:rsid w:val="004774F0"/>
    <w:rsid w:val="00477A50"/>
    <w:rsid w:val="00477E72"/>
    <w:rsid w:val="00477F9C"/>
    <w:rsid w:val="0048042D"/>
    <w:rsid w:val="004809BD"/>
    <w:rsid w:val="00480ED4"/>
    <w:rsid w:val="004818C5"/>
    <w:rsid w:val="004818FF"/>
    <w:rsid w:val="00482683"/>
    <w:rsid w:val="0048356C"/>
    <w:rsid w:val="00483695"/>
    <w:rsid w:val="00484424"/>
    <w:rsid w:val="0048468E"/>
    <w:rsid w:val="00485790"/>
    <w:rsid w:val="0048663F"/>
    <w:rsid w:val="0049119A"/>
    <w:rsid w:val="0049268A"/>
    <w:rsid w:val="00493518"/>
    <w:rsid w:val="00493742"/>
    <w:rsid w:val="004938D9"/>
    <w:rsid w:val="00493CC5"/>
    <w:rsid w:val="00493D9C"/>
    <w:rsid w:val="004946F6"/>
    <w:rsid w:val="004947C2"/>
    <w:rsid w:val="00494A48"/>
    <w:rsid w:val="00495A7B"/>
    <w:rsid w:val="00496B7F"/>
    <w:rsid w:val="00496D68"/>
    <w:rsid w:val="00496E93"/>
    <w:rsid w:val="004976FE"/>
    <w:rsid w:val="00497971"/>
    <w:rsid w:val="004A1C00"/>
    <w:rsid w:val="004A3F95"/>
    <w:rsid w:val="004A43AE"/>
    <w:rsid w:val="004A4E24"/>
    <w:rsid w:val="004A53FE"/>
    <w:rsid w:val="004A5440"/>
    <w:rsid w:val="004A55B2"/>
    <w:rsid w:val="004A5623"/>
    <w:rsid w:val="004A5819"/>
    <w:rsid w:val="004A7370"/>
    <w:rsid w:val="004A7611"/>
    <w:rsid w:val="004A7C27"/>
    <w:rsid w:val="004B1DAE"/>
    <w:rsid w:val="004B2750"/>
    <w:rsid w:val="004B3D68"/>
    <w:rsid w:val="004B5EAF"/>
    <w:rsid w:val="004B66BE"/>
    <w:rsid w:val="004B6DA7"/>
    <w:rsid w:val="004C069F"/>
    <w:rsid w:val="004C06D5"/>
    <w:rsid w:val="004C0A50"/>
    <w:rsid w:val="004C112F"/>
    <w:rsid w:val="004C178F"/>
    <w:rsid w:val="004C3553"/>
    <w:rsid w:val="004C43F5"/>
    <w:rsid w:val="004C530D"/>
    <w:rsid w:val="004C6086"/>
    <w:rsid w:val="004C707C"/>
    <w:rsid w:val="004C7578"/>
    <w:rsid w:val="004D06B8"/>
    <w:rsid w:val="004D076D"/>
    <w:rsid w:val="004D19CC"/>
    <w:rsid w:val="004D2DA3"/>
    <w:rsid w:val="004D57A5"/>
    <w:rsid w:val="004D5991"/>
    <w:rsid w:val="004D61C3"/>
    <w:rsid w:val="004D6BD9"/>
    <w:rsid w:val="004D7070"/>
    <w:rsid w:val="004D73E2"/>
    <w:rsid w:val="004E294A"/>
    <w:rsid w:val="004E2C0A"/>
    <w:rsid w:val="004E2CFD"/>
    <w:rsid w:val="004E4709"/>
    <w:rsid w:val="004E4BAD"/>
    <w:rsid w:val="004E668F"/>
    <w:rsid w:val="004E75DE"/>
    <w:rsid w:val="004E7ADA"/>
    <w:rsid w:val="004E7BA1"/>
    <w:rsid w:val="004E7F95"/>
    <w:rsid w:val="004F0DEE"/>
    <w:rsid w:val="004F104B"/>
    <w:rsid w:val="004F189C"/>
    <w:rsid w:val="004F2082"/>
    <w:rsid w:val="004F4637"/>
    <w:rsid w:val="004F4A7D"/>
    <w:rsid w:val="004F5F79"/>
    <w:rsid w:val="00500F41"/>
    <w:rsid w:val="005021D0"/>
    <w:rsid w:val="00504B69"/>
    <w:rsid w:val="00504E19"/>
    <w:rsid w:val="00505021"/>
    <w:rsid w:val="0050594F"/>
    <w:rsid w:val="0050707A"/>
    <w:rsid w:val="00511770"/>
    <w:rsid w:val="005126A4"/>
    <w:rsid w:val="00513560"/>
    <w:rsid w:val="00514860"/>
    <w:rsid w:val="00515ED5"/>
    <w:rsid w:val="00516673"/>
    <w:rsid w:val="005167FD"/>
    <w:rsid w:val="005201AE"/>
    <w:rsid w:val="00521ABB"/>
    <w:rsid w:val="00521F0F"/>
    <w:rsid w:val="005233D1"/>
    <w:rsid w:val="00523E60"/>
    <w:rsid w:val="005278EB"/>
    <w:rsid w:val="00532BBD"/>
    <w:rsid w:val="00532ECF"/>
    <w:rsid w:val="00533ED5"/>
    <w:rsid w:val="00534085"/>
    <w:rsid w:val="00535B66"/>
    <w:rsid w:val="00536A58"/>
    <w:rsid w:val="00536A7E"/>
    <w:rsid w:val="005372DE"/>
    <w:rsid w:val="00537DA5"/>
    <w:rsid w:val="0054029A"/>
    <w:rsid w:val="00541990"/>
    <w:rsid w:val="00541F78"/>
    <w:rsid w:val="00542E4E"/>
    <w:rsid w:val="00543149"/>
    <w:rsid w:val="005448AF"/>
    <w:rsid w:val="00544FF5"/>
    <w:rsid w:val="00545218"/>
    <w:rsid w:val="0054591E"/>
    <w:rsid w:val="00546042"/>
    <w:rsid w:val="00547C17"/>
    <w:rsid w:val="005530A5"/>
    <w:rsid w:val="00554D90"/>
    <w:rsid w:val="00555900"/>
    <w:rsid w:val="0056054C"/>
    <w:rsid w:val="00560BF3"/>
    <w:rsid w:val="0056179C"/>
    <w:rsid w:val="00561E3C"/>
    <w:rsid w:val="0056294B"/>
    <w:rsid w:val="00562EC2"/>
    <w:rsid w:val="005634B2"/>
    <w:rsid w:val="005634DF"/>
    <w:rsid w:val="005651ED"/>
    <w:rsid w:val="005660C0"/>
    <w:rsid w:val="00566470"/>
    <w:rsid w:val="00566922"/>
    <w:rsid w:val="005669F7"/>
    <w:rsid w:val="00566B42"/>
    <w:rsid w:val="0056722E"/>
    <w:rsid w:val="005710BE"/>
    <w:rsid w:val="00571391"/>
    <w:rsid w:val="00571410"/>
    <w:rsid w:val="00571E64"/>
    <w:rsid w:val="00574005"/>
    <w:rsid w:val="00574845"/>
    <w:rsid w:val="00577A05"/>
    <w:rsid w:val="005829D6"/>
    <w:rsid w:val="00582BE0"/>
    <w:rsid w:val="005842B2"/>
    <w:rsid w:val="00585DE3"/>
    <w:rsid w:val="00586131"/>
    <w:rsid w:val="0058631A"/>
    <w:rsid w:val="005867A4"/>
    <w:rsid w:val="00587355"/>
    <w:rsid w:val="005878F6"/>
    <w:rsid w:val="00587DA3"/>
    <w:rsid w:val="0059068B"/>
    <w:rsid w:val="00591DB4"/>
    <w:rsid w:val="00592307"/>
    <w:rsid w:val="0059247A"/>
    <w:rsid w:val="00594650"/>
    <w:rsid w:val="00594BC8"/>
    <w:rsid w:val="005961A5"/>
    <w:rsid w:val="005967C4"/>
    <w:rsid w:val="005971A3"/>
    <w:rsid w:val="005973C4"/>
    <w:rsid w:val="005979A9"/>
    <w:rsid w:val="005A034C"/>
    <w:rsid w:val="005A1C82"/>
    <w:rsid w:val="005A2648"/>
    <w:rsid w:val="005A2CA4"/>
    <w:rsid w:val="005A6457"/>
    <w:rsid w:val="005B0636"/>
    <w:rsid w:val="005B07FB"/>
    <w:rsid w:val="005B1561"/>
    <w:rsid w:val="005B161E"/>
    <w:rsid w:val="005B1757"/>
    <w:rsid w:val="005B35E7"/>
    <w:rsid w:val="005B39F2"/>
    <w:rsid w:val="005B4866"/>
    <w:rsid w:val="005B65E5"/>
    <w:rsid w:val="005B6C87"/>
    <w:rsid w:val="005B7837"/>
    <w:rsid w:val="005C3BD9"/>
    <w:rsid w:val="005C52A3"/>
    <w:rsid w:val="005C5614"/>
    <w:rsid w:val="005C5CD5"/>
    <w:rsid w:val="005D154B"/>
    <w:rsid w:val="005D1FC9"/>
    <w:rsid w:val="005D2216"/>
    <w:rsid w:val="005D25EE"/>
    <w:rsid w:val="005D324D"/>
    <w:rsid w:val="005D4368"/>
    <w:rsid w:val="005D4F1B"/>
    <w:rsid w:val="005D6AFF"/>
    <w:rsid w:val="005D6BA1"/>
    <w:rsid w:val="005D73B5"/>
    <w:rsid w:val="005D7865"/>
    <w:rsid w:val="005E0F8D"/>
    <w:rsid w:val="005E2662"/>
    <w:rsid w:val="005E3376"/>
    <w:rsid w:val="005E4F0A"/>
    <w:rsid w:val="005E53D0"/>
    <w:rsid w:val="005E53D6"/>
    <w:rsid w:val="005E56F8"/>
    <w:rsid w:val="005E6004"/>
    <w:rsid w:val="005E6954"/>
    <w:rsid w:val="005E723C"/>
    <w:rsid w:val="005E7540"/>
    <w:rsid w:val="005F086F"/>
    <w:rsid w:val="005F08AA"/>
    <w:rsid w:val="005F1884"/>
    <w:rsid w:val="005F3AF2"/>
    <w:rsid w:val="005F3DB4"/>
    <w:rsid w:val="005F402C"/>
    <w:rsid w:val="005F44FF"/>
    <w:rsid w:val="005F5A80"/>
    <w:rsid w:val="005F76D8"/>
    <w:rsid w:val="005F7BD5"/>
    <w:rsid w:val="0060029C"/>
    <w:rsid w:val="00600A2E"/>
    <w:rsid w:val="006011A6"/>
    <w:rsid w:val="00601982"/>
    <w:rsid w:val="0060261B"/>
    <w:rsid w:val="00604AE7"/>
    <w:rsid w:val="00606215"/>
    <w:rsid w:val="00607246"/>
    <w:rsid w:val="006076AB"/>
    <w:rsid w:val="006103EB"/>
    <w:rsid w:val="00611FB6"/>
    <w:rsid w:val="00612390"/>
    <w:rsid w:val="006160AA"/>
    <w:rsid w:val="00616C0D"/>
    <w:rsid w:val="006175F7"/>
    <w:rsid w:val="00617762"/>
    <w:rsid w:val="006202C0"/>
    <w:rsid w:val="0062124E"/>
    <w:rsid w:val="0062135B"/>
    <w:rsid w:val="00621D58"/>
    <w:rsid w:val="00621E99"/>
    <w:rsid w:val="00622AAE"/>
    <w:rsid w:val="00622E79"/>
    <w:rsid w:val="006242A5"/>
    <w:rsid w:val="006242D1"/>
    <w:rsid w:val="006248F4"/>
    <w:rsid w:val="0062491D"/>
    <w:rsid w:val="006258C2"/>
    <w:rsid w:val="006271F8"/>
    <w:rsid w:val="00631384"/>
    <w:rsid w:val="006316A9"/>
    <w:rsid w:val="00631BFF"/>
    <w:rsid w:val="00631DAA"/>
    <w:rsid w:val="00633D32"/>
    <w:rsid w:val="0063498E"/>
    <w:rsid w:val="00634A1C"/>
    <w:rsid w:val="00634CD5"/>
    <w:rsid w:val="006358FD"/>
    <w:rsid w:val="00635FD5"/>
    <w:rsid w:val="00636F22"/>
    <w:rsid w:val="006370C6"/>
    <w:rsid w:val="006405E8"/>
    <w:rsid w:val="0064243B"/>
    <w:rsid w:val="006447EC"/>
    <w:rsid w:val="00644C97"/>
    <w:rsid w:val="00644E1A"/>
    <w:rsid w:val="00645387"/>
    <w:rsid w:val="00645B79"/>
    <w:rsid w:val="0064646F"/>
    <w:rsid w:val="00647309"/>
    <w:rsid w:val="00650568"/>
    <w:rsid w:val="0065069A"/>
    <w:rsid w:val="006514AD"/>
    <w:rsid w:val="00651AD8"/>
    <w:rsid w:val="00652BA9"/>
    <w:rsid w:val="006534EB"/>
    <w:rsid w:val="00654038"/>
    <w:rsid w:val="00654FC0"/>
    <w:rsid w:val="00655B01"/>
    <w:rsid w:val="006562AC"/>
    <w:rsid w:val="00656325"/>
    <w:rsid w:val="006563D0"/>
    <w:rsid w:val="00661A2E"/>
    <w:rsid w:val="00661B26"/>
    <w:rsid w:val="006629D7"/>
    <w:rsid w:val="0066412D"/>
    <w:rsid w:val="006647E3"/>
    <w:rsid w:val="00664815"/>
    <w:rsid w:val="00667565"/>
    <w:rsid w:val="00667599"/>
    <w:rsid w:val="006675C9"/>
    <w:rsid w:val="006705E8"/>
    <w:rsid w:val="006709BE"/>
    <w:rsid w:val="006718C6"/>
    <w:rsid w:val="00672400"/>
    <w:rsid w:val="00672CC7"/>
    <w:rsid w:val="00672EC3"/>
    <w:rsid w:val="00673D85"/>
    <w:rsid w:val="00674476"/>
    <w:rsid w:val="006765B3"/>
    <w:rsid w:val="00676D7E"/>
    <w:rsid w:val="00677112"/>
    <w:rsid w:val="00677AC0"/>
    <w:rsid w:val="0068006A"/>
    <w:rsid w:val="006807EC"/>
    <w:rsid w:val="00681C23"/>
    <w:rsid w:val="0068370A"/>
    <w:rsid w:val="00690757"/>
    <w:rsid w:val="00690775"/>
    <w:rsid w:val="0069088E"/>
    <w:rsid w:val="006914DC"/>
    <w:rsid w:val="006915B7"/>
    <w:rsid w:val="0069174B"/>
    <w:rsid w:val="00691BB8"/>
    <w:rsid w:val="006942E0"/>
    <w:rsid w:val="00694520"/>
    <w:rsid w:val="006950F9"/>
    <w:rsid w:val="00695329"/>
    <w:rsid w:val="00695A8A"/>
    <w:rsid w:val="006978D2"/>
    <w:rsid w:val="006A07A8"/>
    <w:rsid w:val="006A1681"/>
    <w:rsid w:val="006A21C4"/>
    <w:rsid w:val="006A28A5"/>
    <w:rsid w:val="006A2A9E"/>
    <w:rsid w:val="006A2B4E"/>
    <w:rsid w:val="006A3CBC"/>
    <w:rsid w:val="006A439E"/>
    <w:rsid w:val="006A4AAE"/>
    <w:rsid w:val="006A4F3B"/>
    <w:rsid w:val="006A6EA1"/>
    <w:rsid w:val="006A7906"/>
    <w:rsid w:val="006A7CE6"/>
    <w:rsid w:val="006A7E4D"/>
    <w:rsid w:val="006B0B08"/>
    <w:rsid w:val="006B133E"/>
    <w:rsid w:val="006B1B9D"/>
    <w:rsid w:val="006B1C68"/>
    <w:rsid w:val="006B1D07"/>
    <w:rsid w:val="006B25FB"/>
    <w:rsid w:val="006B2CC4"/>
    <w:rsid w:val="006B3A31"/>
    <w:rsid w:val="006B5CAB"/>
    <w:rsid w:val="006B6103"/>
    <w:rsid w:val="006B6C94"/>
    <w:rsid w:val="006B7722"/>
    <w:rsid w:val="006B79F2"/>
    <w:rsid w:val="006C0F21"/>
    <w:rsid w:val="006C1F49"/>
    <w:rsid w:val="006C2C36"/>
    <w:rsid w:val="006C2D2B"/>
    <w:rsid w:val="006C33BA"/>
    <w:rsid w:val="006C42AB"/>
    <w:rsid w:val="006C5D33"/>
    <w:rsid w:val="006D0357"/>
    <w:rsid w:val="006D0F09"/>
    <w:rsid w:val="006D1270"/>
    <w:rsid w:val="006D18CE"/>
    <w:rsid w:val="006D2426"/>
    <w:rsid w:val="006D36FD"/>
    <w:rsid w:val="006D3900"/>
    <w:rsid w:val="006D4525"/>
    <w:rsid w:val="006D4A70"/>
    <w:rsid w:val="006D509F"/>
    <w:rsid w:val="006E007B"/>
    <w:rsid w:val="006E29E0"/>
    <w:rsid w:val="006E354C"/>
    <w:rsid w:val="006E3F75"/>
    <w:rsid w:val="006E41FF"/>
    <w:rsid w:val="006E4B76"/>
    <w:rsid w:val="006E52C7"/>
    <w:rsid w:val="006E5F06"/>
    <w:rsid w:val="006E61AA"/>
    <w:rsid w:val="006E7E27"/>
    <w:rsid w:val="006F0417"/>
    <w:rsid w:val="006F0D8F"/>
    <w:rsid w:val="006F229B"/>
    <w:rsid w:val="006F368E"/>
    <w:rsid w:val="006F36EC"/>
    <w:rsid w:val="006F37A6"/>
    <w:rsid w:val="006F3E5C"/>
    <w:rsid w:val="006F409C"/>
    <w:rsid w:val="006F44D5"/>
    <w:rsid w:val="006F4D69"/>
    <w:rsid w:val="006F4DDD"/>
    <w:rsid w:val="006F4EEE"/>
    <w:rsid w:val="006F52BF"/>
    <w:rsid w:val="006F5433"/>
    <w:rsid w:val="006F7E75"/>
    <w:rsid w:val="0070011B"/>
    <w:rsid w:val="00700507"/>
    <w:rsid w:val="0070224F"/>
    <w:rsid w:val="00702A32"/>
    <w:rsid w:val="00702F60"/>
    <w:rsid w:val="00703376"/>
    <w:rsid w:val="00704627"/>
    <w:rsid w:val="0070466B"/>
    <w:rsid w:val="0070473F"/>
    <w:rsid w:val="007050E3"/>
    <w:rsid w:val="007054C9"/>
    <w:rsid w:val="00705619"/>
    <w:rsid w:val="0070561F"/>
    <w:rsid w:val="00705B15"/>
    <w:rsid w:val="0070652E"/>
    <w:rsid w:val="00706E96"/>
    <w:rsid w:val="00707644"/>
    <w:rsid w:val="00710E14"/>
    <w:rsid w:val="00712990"/>
    <w:rsid w:val="00713232"/>
    <w:rsid w:val="007134AE"/>
    <w:rsid w:val="007141AA"/>
    <w:rsid w:val="00714C91"/>
    <w:rsid w:val="007153C1"/>
    <w:rsid w:val="007156EC"/>
    <w:rsid w:val="007158E3"/>
    <w:rsid w:val="00715AC7"/>
    <w:rsid w:val="007172AE"/>
    <w:rsid w:val="00723D7B"/>
    <w:rsid w:val="00723FAA"/>
    <w:rsid w:val="0072631F"/>
    <w:rsid w:val="007305F2"/>
    <w:rsid w:val="00733C50"/>
    <w:rsid w:val="007347AE"/>
    <w:rsid w:val="00735D6C"/>
    <w:rsid w:val="00735E14"/>
    <w:rsid w:val="00735FD9"/>
    <w:rsid w:val="00737F10"/>
    <w:rsid w:val="00740422"/>
    <w:rsid w:val="00740605"/>
    <w:rsid w:val="00740DCE"/>
    <w:rsid w:val="00742410"/>
    <w:rsid w:val="00742455"/>
    <w:rsid w:val="00742D5B"/>
    <w:rsid w:val="007431C0"/>
    <w:rsid w:val="00743520"/>
    <w:rsid w:val="00744430"/>
    <w:rsid w:val="00744C2D"/>
    <w:rsid w:val="00744CD4"/>
    <w:rsid w:val="00746CD9"/>
    <w:rsid w:val="007479DD"/>
    <w:rsid w:val="00747D2C"/>
    <w:rsid w:val="00750764"/>
    <w:rsid w:val="00752454"/>
    <w:rsid w:val="0075279E"/>
    <w:rsid w:val="007534B4"/>
    <w:rsid w:val="00753B8A"/>
    <w:rsid w:val="00753F3B"/>
    <w:rsid w:val="00755589"/>
    <w:rsid w:val="00757679"/>
    <w:rsid w:val="0076164F"/>
    <w:rsid w:val="00762BDF"/>
    <w:rsid w:val="007631A2"/>
    <w:rsid w:val="00763D45"/>
    <w:rsid w:val="00764F7F"/>
    <w:rsid w:val="00765714"/>
    <w:rsid w:val="00765CAF"/>
    <w:rsid w:val="00766ABD"/>
    <w:rsid w:val="00766D93"/>
    <w:rsid w:val="00767D5A"/>
    <w:rsid w:val="007706AD"/>
    <w:rsid w:val="00771E4E"/>
    <w:rsid w:val="00772181"/>
    <w:rsid w:val="00772563"/>
    <w:rsid w:val="007734A8"/>
    <w:rsid w:val="00773B09"/>
    <w:rsid w:val="00775B38"/>
    <w:rsid w:val="00776BBE"/>
    <w:rsid w:val="0077723A"/>
    <w:rsid w:val="00777EA6"/>
    <w:rsid w:val="00781570"/>
    <w:rsid w:val="00781E3B"/>
    <w:rsid w:val="00782C08"/>
    <w:rsid w:val="00782FDB"/>
    <w:rsid w:val="00785C13"/>
    <w:rsid w:val="0078643B"/>
    <w:rsid w:val="00786C9A"/>
    <w:rsid w:val="00790422"/>
    <w:rsid w:val="00790AB7"/>
    <w:rsid w:val="00790CD7"/>
    <w:rsid w:val="00791954"/>
    <w:rsid w:val="00791CD4"/>
    <w:rsid w:val="0079227B"/>
    <w:rsid w:val="00794117"/>
    <w:rsid w:val="00795CA3"/>
    <w:rsid w:val="00796131"/>
    <w:rsid w:val="007965A0"/>
    <w:rsid w:val="00797849"/>
    <w:rsid w:val="007979B3"/>
    <w:rsid w:val="00797FDC"/>
    <w:rsid w:val="007A023C"/>
    <w:rsid w:val="007A0B69"/>
    <w:rsid w:val="007A1538"/>
    <w:rsid w:val="007A47A5"/>
    <w:rsid w:val="007A49BA"/>
    <w:rsid w:val="007A5360"/>
    <w:rsid w:val="007A6099"/>
    <w:rsid w:val="007A65DA"/>
    <w:rsid w:val="007A6814"/>
    <w:rsid w:val="007B196E"/>
    <w:rsid w:val="007B2B86"/>
    <w:rsid w:val="007B331B"/>
    <w:rsid w:val="007B693F"/>
    <w:rsid w:val="007B7273"/>
    <w:rsid w:val="007C0100"/>
    <w:rsid w:val="007C0534"/>
    <w:rsid w:val="007C0CD2"/>
    <w:rsid w:val="007C1BC9"/>
    <w:rsid w:val="007C31FF"/>
    <w:rsid w:val="007C3286"/>
    <w:rsid w:val="007C3A91"/>
    <w:rsid w:val="007C3C76"/>
    <w:rsid w:val="007C5F57"/>
    <w:rsid w:val="007C75C8"/>
    <w:rsid w:val="007C7F6A"/>
    <w:rsid w:val="007D0AB8"/>
    <w:rsid w:val="007D1F6A"/>
    <w:rsid w:val="007D252E"/>
    <w:rsid w:val="007D2C5D"/>
    <w:rsid w:val="007D30C0"/>
    <w:rsid w:val="007D3686"/>
    <w:rsid w:val="007D445A"/>
    <w:rsid w:val="007D6619"/>
    <w:rsid w:val="007D6DEA"/>
    <w:rsid w:val="007E00E9"/>
    <w:rsid w:val="007E05C0"/>
    <w:rsid w:val="007E0917"/>
    <w:rsid w:val="007E0CA5"/>
    <w:rsid w:val="007E0FB5"/>
    <w:rsid w:val="007E1A00"/>
    <w:rsid w:val="007E2156"/>
    <w:rsid w:val="007E2780"/>
    <w:rsid w:val="007E30AC"/>
    <w:rsid w:val="007E31C6"/>
    <w:rsid w:val="007E3C93"/>
    <w:rsid w:val="007E4400"/>
    <w:rsid w:val="007E4B0B"/>
    <w:rsid w:val="007E4FBC"/>
    <w:rsid w:val="007E62EB"/>
    <w:rsid w:val="007E7C33"/>
    <w:rsid w:val="007E7CC2"/>
    <w:rsid w:val="007F0254"/>
    <w:rsid w:val="007F130F"/>
    <w:rsid w:val="007F1A22"/>
    <w:rsid w:val="007F1B5B"/>
    <w:rsid w:val="007F26D4"/>
    <w:rsid w:val="007F2D9C"/>
    <w:rsid w:val="007F3D7C"/>
    <w:rsid w:val="007F48A6"/>
    <w:rsid w:val="007F4A0B"/>
    <w:rsid w:val="007F6154"/>
    <w:rsid w:val="007F6536"/>
    <w:rsid w:val="007F66F3"/>
    <w:rsid w:val="007F6EE9"/>
    <w:rsid w:val="007F7993"/>
    <w:rsid w:val="007F7FBD"/>
    <w:rsid w:val="00800C8B"/>
    <w:rsid w:val="00801CA4"/>
    <w:rsid w:val="008023A0"/>
    <w:rsid w:val="0080261A"/>
    <w:rsid w:val="0080345E"/>
    <w:rsid w:val="00804DC2"/>
    <w:rsid w:val="008050BD"/>
    <w:rsid w:val="00805781"/>
    <w:rsid w:val="00805B8D"/>
    <w:rsid w:val="00805BF2"/>
    <w:rsid w:val="00805F8F"/>
    <w:rsid w:val="0081067A"/>
    <w:rsid w:val="00810855"/>
    <w:rsid w:val="008111AA"/>
    <w:rsid w:val="0081223F"/>
    <w:rsid w:val="00812ED1"/>
    <w:rsid w:val="00813554"/>
    <w:rsid w:val="008144D1"/>
    <w:rsid w:val="0081459A"/>
    <w:rsid w:val="008148AB"/>
    <w:rsid w:val="00814E41"/>
    <w:rsid w:val="00815315"/>
    <w:rsid w:val="008176CA"/>
    <w:rsid w:val="0082077F"/>
    <w:rsid w:val="00822F32"/>
    <w:rsid w:val="00823542"/>
    <w:rsid w:val="00823856"/>
    <w:rsid w:val="008238F0"/>
    <w:rsid w:val="00823B8B"/>
    <w:rsid w:val="00824472"/>
    <w:rsid w:val="00827204"/>
    <w:rsid w:val="00827D62"/>
    <w:rsid w:val="00830AD9"/>
    <w:rsid w:val="00831E41"/>
    <w:rsid w:val="0083220D"/>
    <w:rsid w:val="00832457"/>
    <w:rsid w:val="0083258C"/>
    <w:rsid w:val="008330AE"/>
    <w:rsid w:val="008330F6"/>
    <w:rsid w:val="008337A3"/>
    <w:rsid w:val="00840407"/>
    <w:rsid w:val="00840CFC"/>
    <w:rsid w:val="00841B56"/>
    <w:rsid w:val="008423C5"/>
    <w:rsid w:val="00842CD6"/>
    <w:rsid w:val="008433A2"/>
    <w:rsid w:val="008437AD"/>
    <w:rsid w:val="00843D57"/>
    <w:rsid w:val="00844ACA"/>
    <w:rsid w:val="0084549D"/>
    <w:rsid w:val="00845EBB"/>
    <w:rsid w:val="00846C58"/>
    <w:rsid w:val="00846D89"/>
    <w:rsid w:val="00847BA6"/>
    <w:rsid w:val="00850021"/>
    <w:rsid w:val="00852C82"/>
    <w:rsid w:val="00852CE1"/>
    <w:rsid w:val="00852D94"/>
    <w:rsid w:val="00853AF3"/>
    <w:rsid w:val="00856453"/>
    <w:rsid w:val="00857767"/>
    <w:rsid w:val="0086251B"/>
    <w:rsid w:val="00862F52"/>
    <w:rsid w:val="00863261"/>
    <w:rsid w:val="00863957"/>
    <w:rsid w:val="00864665"/>
    <w:rsid w:val="00864E72"/>
    <w:rsid w:val="00865615"/>
    <w:rsid w:val="00866B18"/>
    <w:rsid w:val="0086759A"/>
    <w:rsid w:val="0086796F"/>
    <w:rsid w:val="00870185"/>
    <w:rsid w:val="0087102C"/>
    <w:rsid w:val="008712D6"/>
    <w:rsid w:val="00871804"/>
    <w:rsid w:val="00872206"/>
    <w:rsid w:val="008727CD"/>
    <w:rsid w:val="00873161"/>
    <w:rsid w:val="0087572A"/>
    <w:rsid w:val="00875D76"/>
    <w:rsid w:val="0087618E"/>
    <w:rsid w:val="0087772E"/>
    <w:rsid w:val="00880501"/>
    <w:rsid w:val="00883776"/>
    <w:rsid w:val="00884D6F"/>
    <w:rsid w:val="00890AA9"/>
    <w:rsid w:val="00891964"/>
    <w:rsid w:val="00892600"/>
    <w:rsid w:val="00892B16"/>
    <w:rsid w:val="008938C5"/>
    <w:rsid w:val="008945BB"/>
    <w:rsid w:val="00894FFC"/>
    <w:rsid w:val="008976D5"/>
    <w:rsid w:val="008978C1"/>
    <w:rsid w:val="00897DE0"/>
    <w:rsid w:val="008A0B93"/>
    <w:rsid w:val="008A0D23"/>
    <w:rsid w:val="008A1131"/>
    <w:rsid w:val="008A125C"/>
    <w:rsid w:val="008A12AC"/>
    <w:rsid w:val="008A15B4"/>
    <w:rsid w:val="008A1C63"/>
    <w:rsid w:val="008A2347"/>
    <w:rsid w:val="008A50E7"/>
    <w:rsid w:val="008A5472"/>
    <w:rsid w:val="008A63D7"/>
    <w:rsid w:val="008A6CE3"/>
    <w:rsid w:val="008B0789"/>
    <w:rsid w:val="008B15E4"/>
    <w:rsid w:val="008B46F5"/>
    <w:rsid w:val="008B5C3A"/>
    <w:rsid w:val="008B5ED3"/>
    <w:rsid w:val="008B7913"/>
    <w:rsid w:val="008B79C7"/>
    <w:rsid w:val="008C0211"/>
    <w:rsid w:val="008C17D9"/>
    <w:rsid w:val="008C3DD9"/>
    <w:rsid w:val="008C5B32"/>
    <w:rsid w:val="008C7D3E"/>
    <w:rsid w:val="008C7D57"/>
    <w:rsid w:val="008D0D25"/>
    <w:rsid w:val="008D1724"/>
    <w:rsid w:val="008D2E3E"/>
    <w:rsid w:val="008D37D0"/>
    <w:rsid w:val="008D3EDA"/>
    <w:rsid w:val="008D3FFE"/>
    <w:rsid w:val="008D4574"/>
    <w:rsid w:val="008D68A0"/>
    <w:rsid w:val="008D6CAA"/>
    <w:rsid w:val="008D716B"/>
    <w:rsid w:val="008E0E99"/>
    <w:rsid w:val="008E12A2"/>
    <w:rsid w:val="008E150C"/>
    <w:rsid w:val="008E2251"/>
    <w:rsid w:val="008E53D4"/>
    <w:rsid w:val="008E6A78"/>
    <w:rsid w:val="008F153E"/>
    <w:rsid w:val="008F2732"/>
    <w:rsid w:val="008F2EED"/>
    <w:rsid w:val="008F3241"/>
    <w:rsid w:val="008F3A70"/>
    <w:rsid w:val="008F6772"/>
    <w:rsid w:val="008F6FF1"/>
    <w:rsid w:val="00902561"/>
    <w:rsid w:val="00902E85"/>
    <w:rsid w:val="00903F43"/>
    <w:rsid w:val="00903F7D"/>
    <w:rsid w:val="009043BC"/>
    <w:rsid w:val="00904C34"/>
    <w:rsid w:val="00904C4A"/>
    <w:rsid w:val="00904EDF"/>
    <w:rsid w:val="009052C6"/>
    <w:rsid w:val="009109AE"/>
    <w:rsid w:val="009109B0"/>
    <w:rsid w:val="00914F28"/>
    <w:rsid w:val="009150C8"/>
    <w:rsid w:val="00916BB4"/>
    <w:rsid w:val="00920729"/>
    <w:rsid w:val="00920937"/>
    <w:rsid w:val="00922E3E"/>
    <w:rsid w:val="00922FCB"/>
    <w:rsid w:val="00923776"/>
    <w:rsid w:val="00923EFA"/>
    <w:rsid w:val="00924272"/>
    <w:rsid w:val="00925F27"/>
    <w:rsid w:val="00927536"/>
    <w:rsid w:val="0093042A"/>
    <w:rsid w:val="00930DC1"/>
    <w:rsid w:val="00934FD7"/>
    <w:rsid w:val="00935920"/>
    <w:rsid w:val="00935ED7"/>
    <w:rsid w:val="00936746"/>
    <w:rsid w:val="00937163"/>
    <w:rsid w:val="00940D78"/>
    <w:rsid w:val="00941469"/>
    <w:rsid w:val="00942ACE"/>
    <w:rsid w:val="00943583"/>
    <w:rsid w:val="009436B2"/>
    <w:rsid w:val="00944325"/>
    <w:rsid w:val="00945A79"/>
    <w:rsid w:val="00945DF9"/>
    <w:rsid w:val="0094627B"/>
    <w:rsid w:val="0094747A"/>
    <w:rsid w:val="00947DB7"/>
    <w:rsid w:val="00950AD2"/>
    <w:rsid w:val="00951548"/>
    <w:rsid w:val="0095328C"/>
    <w:rsid w:val="00953323"/>
    <w:rsid w:val="00953947"/>
    <w:rsid w:val="00954126"/>
    <w:rsid w:val="0095463F"/>
    <w:rsid w:val="009559A6"/>
    <w:rsid w:val="00955BF1"/>
    <w:rsid w:val="00957F0F"/>
    <w:rsid w:val="009604B9"/>
    <w:rsid w:val="00960571"/>
    <w:rsid w:val="009617C9"/>
    <w:rsid w:val="009633A3"/>
    <w:rsid w:val="00963582"/>
    <w:rsid w:val="00963A68"/>
    <w:rsid w:val="00964DB6"/>
    <w:rsid w:val="00966832"/>
    <w:rsid w:val="00970683"/>
    <w:rsid w:val="00970F99"/>
    <w:rsid w:val="009710AF"/>
    <w:rsid w:val="00971A5B"/>
    <w:rsid w:val="00972EA4"/>
    <w:rsid w:val="00973AF0"/>
    <w:rsid w:val="00975DF8"/>
    <w:rsid w:val="00975F7E"/>
    <w:rsid w:val="009764CA"/>
    <w:rsid w:val="00976D84"/>
    <w:rsid w:val="009776BD"/>
    <w:rsid w:val="00977D6B"/>
    <w:rsid w:val="00980109"/>
    <w:rsid w:val="00980640"/>
    <w:rsid w:val="00980840"/>
    <w:rsid w:val="009815AE"/>
    <w:rsid w:val="009819CE"/>
    <w:rsid w:val="00982BF5"/>
    <w:rsid w:val="00986536"/>
    <w:rsid w:val="00987ECF"/>
    <w:rsid w:val="009904CB"/>
    <w:rsid w:val="009906E3"/>
    <w:rsid w:val="00991E21"/>
    <w:rsid w:val="00992024"/>
    <w:rsid w:val="00992B7E"/>
    <w:rsid w:val="0099308D"/>
    <w:rsid w:val="00995572"/>
    <w:rsid w:val="00995D66"/>
    <w:rsid w:val="00996A50"/>
    <w:rsid w:val="009977DA"/>
    <w:rsid w:val="00997D6F"/>
    <w:rsid w:val="00997F84"/>
    <w:rsid w:val="009A1BA5"/>
    <w:rsid w:val="009A2523"/>
    <w:rsid w:val="009A28CB"/>
    <w:rsid w:val="009A2A8D"/>
    <w:rsid w:val="009A45A9"/>
    <w:rsid w:val="009A5776"/>
    <w:rsid w:val="009A63AB"/>
    <w:rsid w:val="009A67EC"/>
    <w:rsid w:val="009A7806"/>
    <w:rsid w:val="009B1562"/>
    <w:rsid w:val="009B1832"/>
    <w:rsid w:val="009B1956"/>
    <w:rsid w:val="009B3548"/>
    <w:rsid w:val="009B42C7"/>
    <w:rsid w:val="009B7317"/>
    <w:rsid w:val="009C0597"/>
    <w:rsid w:val="009C0794"/>
    <w:rsid w:val="009C117D"/>
    <w:rsid w:val="009C2428"/>
    <w:rsid w:val="009C2BFE"/>
    <w:rsid w:val="009C52DB"/>
    <w:rsid w:val="009C553F"/>
    <w:rsid w:val="009C62B8"/>
    <w:rsid w:val="009C6A46"/>
    <w:rsid w:val="009C7FB2"/>
    <w:rsid w:val="009D10DC"/>
    <w:rsid w:val="009D1A1A"/>
    <w:rsid w:val="009D2144"/>
    <w:rsid w:val="009D29FE"/>
    <w:rsid w:val="009D2A3D"/>
    <w:rsid w:val="009D306A"/>
    <w:rsid w:val="009D3311"/>
    <w:rsid w:val="009D3A3A"/>
    <w:rsid w:val="009D3D0B"/>
    <w:rsid w:val="009D60FE"/>
    <w:rsid w:val="009D6E13"/>
    <w:rsid w:val="009E01FC"/>
    <w:rsid w:val="009E07E4"/>
    <w:rsid w:val="009E0A85"/>
    <w:rsid w:val="009E1C03"/>
    <w:rsid w:val="009E4093"/>
    <w:rsid w:val="009F16A8"/>
    <w:rsid w:val="009F1863"/>
    <w:rsid w:val="009F2FDC"/>
    <w:rsid w:val="009F3120"/>
    <w:rsid w:val="009F4173"/>
    <w:rsid w:val="009F6A06"/>
    <w:rsid w:val="009F7330"/>
    <w:rsid w:val="009F7870"/>
    <w:rsid w:val="00A01F65"/>
    <w:rsid w:val="00A03D3A"/>
    <w:rsid w:val="00A05EA5"/>
    <w:rsid w:val="00A07CB4"/>
    <w:rsid w:val="00A103CE"/>
    <w:rsid w:val="00A11A07"/>
    <w:rsid w:val="00A13DA2"/>
    <w:rsid w:val="00A13E55"/>
    <w:rsid w:val="00A145A3"/>
    <w:rsid w:val="00A14604"/>
    <w:rsid w:val="00A14E28"/>
    <w:rsid w:val="00A14E2F"/>
    <w:rsid w:val="00A16900"/>
    <w:rsid w:val="00A17AE3"/>
    <w:rsid w:val="00A17C80"/>
    <w:rsid w:val="00A208D0"/>
    <w:rsid w:val="00A20B90"/>
    <w:rsid w:val="00A20D92"/>
    <w:rsid w:val="00A2105C"/>
    <w:rsid w:val="00A22C37"/>
    <w:rsid w:val="00A2305A"/>
    <w:rsid w:val="00A254F0"/>
    <w:rsid w:val="00A25C11"/>
    <w:rsid w:val="00A26FAE"/>
    <w:rsid w:val="00A27B7F"/>
    <w:rsid w:val="00A27F1C"/>
    <w:rsid w:val="00A3073F"/>
    <w:rsid w:val="00A3156E"/>
    <w:rsid w:val="00A3187F"/>
    <w:rsid w:val="00A31B9D"/>
    <w:rsid w:val="00A32F7A"/>
    <w:rsid w:val="00A34233"/>
    <w:rsid w:val="00A3778A"/>
    <w:rsid w:val="00A37BCD"/>
    <w:rsid w:val="00A40494"/>
    <w:rsid w:val="00A40681"/>
    <w:rsid w:val="00A41BAF"/>
    <w:rsid w:val="00A41ED1"/>
    <w:rsid w:val="00A42212"/>
    <w:rsid w:val="00A427F6"/>
    <w:rsid w:val="00A4375C"/>
    <w:rsid w:val="00A43B4F"/>
    <w:rsid w:val="00A43DC9"/>
    <w:rsid w:val="00A4422F"/>
    <w:rsid w:val="00A449EB"/>
    <w:rsid w:val="00A44BF5"/>
    <w:rsid w:val="00A45054"/>
    <w:rsid w:val="00A45DF8"/>
    <w:rsid w:val="00A467DC"/>
    <w:rsid w:val="00A46DD0"/>
    <w:rsid w:val="00A47A07"/>
    <w:rsid w:val="00A47A75"/>
    <w:rsid w:val="00A47EDF"/>
    <w:rsid w:val="00A47F06"/>
    <w:rsid w:val="00A50506"/>
    <w:rsid w:val="00A51291"/>
    <w:rsid w:val="00A51909"/>
    <w:rsid w:val="00A51A46"/>
    <w:rsid w:val="00A527AC"/>
    <w:rsid w:val="00A52966"/>
    <w:rsid w:val="00A53349"/>
    <w:rsid w:val="00A53BF1"/>
    <w:rsid w:val="00A53FE4"/>
    <w:rsid w:val="00A54587"/>
    <w:rsid w:val="00A54783"/>
    <w:rsid w:val="00A54DC9"/>
    <w:rsid w:val="00A54EBF"/>
    <w:rsid w:val="00A55FFD"/>
    <w:rsid w:val="00A56B3B"/>
    <w:rsid w:val="00A5792E"/>
    <w:rsid w:val="00A57FA6"/>
    <w:rsid w:val="00A60F60"/>
    <w:rsid w:val="00A60F88"/>
    <w:rsid w:val="00A617BC"/>
    <w:rsid w:val="00A62ABC"/>
    <w:rsid w:val="00A62D82"/>
    <w:rsid w:val="00A633E8"/>
    <w:rsid w:val="00A63E76"/>
    <w:rsid w:val="00A63EB2"/>
    <w:rsid w:val="00A6540C"/>
    <w:rsid w:val="00A6676B"/>
    <w:rsid w:val="00A67936"/>
    <w:rsid w:val="00A67A21"/>
    <w:rsid w:val="00A70643"/>
    <w:rsid w:val="00A71D35"/>
    <w:rsid w:val="00A72199"/>
    <w:rsid w:val="00A728E4"/>
    <w:rsid w:val="00A73E7F"/>
    <w:rsid w:val="00A73E87"/>
    <w:rsid w:val="00A74065"/>
    <w:rsid w:val="00A745A0"/>
    <w:rsid w:val="00A7549F"/>
    <w:rsid w:val="00A76441"/>
    <w:rsid w:val="00A76905"/>
    <w:rsid w:val="00A8249A"/>
    <w:rsid w:val="00A82899"/>
    <w:rsid w:val="00A83762"/>
    <w:rsid w:val="00A83856"/>
    <w:rsid w:val="00A8452F"/>
    <w:rsid w:val="00A84736"/>
    <w:rsid w:val="00A84EC9"/>
    <w:rsid w:val="00A85C17"/>
    <w:rsid w:val="00A876C6"/>
    <w:rsid w:val="00A87D2B"/>
    <w:rsid w:val="00A87EC9"/>
    <w:rsid w:val="00A90633"/>
    <w:rsid w:val="00A90780"/>
    <w:rsid w:val="00A90889"/>
    <w:rsid w:val="00A91103"/>
    <w:rsid w:val="00A91A5A"/>
    <w:rsid w:val="00A92A94"/>
    <w:rsid w:val="00A94129"/>
    <w:rsid w:val="00A95378"/>
    <w:rsid w:val="00A961CD"/>
    <w:rsid w:val="00A96C20"/>
    <w:rsid w:val="00A97092"/>
    <w:rsid w:val="00A97C95"/>
    <w:rsid w:val="00AA0BA3"/>
    <w:rsid w:val="00AA0BDF"/>
    <w:rsid w:val="00AA0DD4"/>
    <w:rsid w:val="00AA10CE"/>
    <w:rsid w:val="00AA244B"/>
    <w:rsid w:val="00AA2864"/>
    <w:rsid w:val="00AA3B63"/>
    <w:rsid w:val="00AA3EA6"/>
    <w:rsid w:val="00AA47D9"/>
    <w:rsid w:val="00AA7350"/>
    <w:rsid w:val="00AB0DFC"/>
    <w:rsid w:val="00AB1367"/>
    <w:rsid w:val="00AB1D2C"/>
    <w:rsid w:val="00AB27A6"/>
    <w:rsid w:val="00AB462F"/>
    <w:rsid w:val="00AB4B8A"/>
    <w:rsid w:val="00AB5341"/>
    <w:rsid w:val="00AB55AD"/>
    <w:rsid w:val="00AC06FC"/>
    <w:rsid w:val="00AC2418"/>
    <w:rsid w:val="00AC2DDA"/>
    <w:rsid w:val="00AC50DD"/>
    <w:rsid w:val="00AC66E2"/>
    <w:rsid w:val="00AC74D9"/>
    <w:rsid w:val="00AC7671"/>
    <w:rsid w:val="00AC769C"/>
    <w:rsid w:val="00AC7C6C"/>
    <w:rsid w:val="00AD2FC3"/>
    <w:rsid w:val="00AD46CF"/>
    <w:rsid w:val="00AD51DE"/>
    <w:rsid w:val="00AD551F"/>
    <w:rsid w:val="00AD5B66"/>
    <w:rsid w:val="00AD664F"/>
    <w:rsid w:val="00AD7DEC"/>
    <w:rsid w:val="00AD7EC6"/>
    <w:rsid w:val="00AE099F"/>
    <w:rsid w:val="00AE2FF6"/>
    <w:rsid w:val="00AE55DB"/>
    <w:rsid w:val="00AE578F"/>
    <w:rsid w:val="00AE58B6"/>
    <w:rsid w:val="00AE5ED4"/>
    <w:rsid w:val="00AE7510"/>
    <w:rsid w:val="00AE75D4"/>
    <w:rsid w:val="00AE7A84"/>
    <w:rsid w:val="00AE7B3E"/>
    <w:rsid w:val="00AE7C5D"/>
    <w:rsid w:val="00AF0862"/>
    <w:rsid w:val="00AF2711"/>
    <w:rsid w:val="00AF2888"/>
    <w:rsid w:val="00AF33DC"/>
    <w:rsid w:val="00AF4AE5"/>
    <w:rsid w:val="00AF4B93"/>
    <w:rsid w:val="00AF5B4A"/>
    <w:rsid w:val="00AF62D4"/>
    <w:rsid w:val="00AF75A6"/>
    <w:rsid w:val="00B0028E"/>
    <w:rsid w:val="00B00D30"/>
    <w:rsid w:val="00B01141"/>
    <w:rsid w:val="00B027AD"/>
    <w:rsid w:val="00B02B22"/>
    <w:rsid w:val="00B0325E"/>
    <w:rsid w:val="00B034B0"/>
    <w:rsid w:val="00B04F57"/>
    <w:rsid w:val="00B10CE0"/>
    <w:rsid w:val="00B10DF9"/>
    <w:rsid w:val="00B121C0"/>
    <w:rsid w:val="00B122C4"/>
    <w:rsid w:val="00B129E4"/>
    <w:rsid w:val="00B12C74"/>
    <w:rsid w:val="00B12D18"/>
    <w:rsid w:val="00B1408D"/>
    <w:rsid w:val="00B16462"/>
    <w:rsid w:val="00B16C2F"/>
    <w:rsid w:val="00B17970"/>
    <w:rsid w:val="00B17FFA"/>
    <w:rsid w:val="00B2065A"/>
    <w:rsid w:val="00B20675"/>
    <w:rsid w:val="00B2092D"/>
    <w:rsid w:val="00B2130A"/>
    <w:rsid w:val="00B21BDC"/>
    <w:rsid w:val="00B21BE0"/>
    <w:rsid w:val="00B226F8"/>
    <w:rsid w:val="00B229D1"/>
    <w:rsid w:val="00B23266"/>
    <w:rsid w:val="00B2446F"/>
    <w:rsid w:val="00B24514"/>
    <w:rsid w:val="00B24BCA"/>
    <w:rsid w:val="00B24F58"/>
    <w:rsid w:val="00B25493"/>
    <w:rsid w:val="00B2565A"/>
    <w:rsid w:val="00B25EEA"/>
    <w:rsid w:val="00B26024"/>
    <w:rsid w:val="00B27758"/>
    <w:rsid w:val="00B312D9"/>
    <w:rsid w:val="00B32F28"/>
    <w:rsid w:val="00B33F74"/>
    <w:rsid w:val="00B34361"/>
    <w:rsid w:val="00B351BB"/>
    <w:rsid w:val="00B35FB4"/>
    <w:rsid w:val="00B364E0"/>
    <w:rsid w:val="00B37A16"/>
    <w:rsid w:val="00B37E67"/>
    <w:rsid w:val="00B37FD4"/>
    <w:rsid w:val="00B40573"/>
    <w:rsid w:val="00B40620"/>
    <w:rsid w:val="00B417FB"/>
    <w:rsid w:val="00B41EA5"/>
    <w:rsid w:val="00B424D5"/>
    <w:rsid w:val="00B43EE8"/>
    <w:rsid w:val="00B4442B"/>
    <w:rsid w:val="00B44D47"/>
    <w:rsid w:val="00B45311"/>
    <w:rsid w:val="00B500DC"/>
    <w:rsid w:val="00B50AEE"/>
    <w:rsid w:val="00B51C13"/>
    <w:rsid w:val="00B52117"/>
    <w:rsid w:val="00B539F5"/>
    <w:rsid w:val="00B54D80"/>
    <w:rsid w:val="00B56C25"/>
    <w:rsid w:val="00B56CFB"/>
    <w:rsid w:val="00B571DE"/>
    <w:rsid w:val="00B6096C"/>
    <w:rsid w:val="00B60D77"/>
    <w:rsid w:val="00B61072"/>
    <w:rsid w:val="00B6150D"/>
    <w:rsid w:val="00B624BF"/>
    <w:rsid w:val="00B62802"/>
    <w:rsid w:val="00B629AA"/>
    <w:rsid w:val="00B64F33"/>
    <w:rsid w:val="00B66324"/>
    <w:rsid w:val="00B66741"/>
    <w:rsid w:val="00B676CD"/>
    <w:rsid w:val="00B7216F"/>
    <w:rsid w:val="00B72941"/>
    <w:rsid w:val="00B72F3C"/>
    <w:rsid w:val="00B7319F"/>
    <w:rsid w:val="00B7369C"/>
    <w:rsid w:val="00B74FC5"/>
    <w:rsid w:val="00B7546F"/>
    <w:rsid w:val="00B75AE4"/>
    <w:rsid w:val="00B766B5"/>
    <w:rsid w:val="00B778EB"/>
    <w:rsid w:val="00B81545"/>
    <w:rsid w:val="00B81A5B"/>
    <w:rsid w:val="00B83BAA"/>
    <w:rsid w:val="00B83BB8"/>
    <w:rsid w:val="00B86811"/>
    <w:rsid w:val="00B87423"/>
    <w:rsid w:val="00B940A2"/>
    <w:rsid w:val="00B95585"/>
    <w:rsid w:val="00B9763F"/>
    <w:rsid w:val="00BA03B2"/>
    <w:rsid w:val="00BA2107"/>
    <w:rsid w:val="00BA3C91"/>
    <w:rsid w:val="00BA3FC3"/>
    <w:rsid w:val="00BA4435"/>
    <w:rsid w:val="00BA4BF2"/>
    <w:rsid w:val="00BA7696"/>
    <w:rsid w:val="00BB03DC"/>
    <w:rsid w:val="00BB0B81"/>
    <w:rsid w:val="00BB140D"/>
    <w:rsid w:val="00BB1C05"/>
    <w:rsid w:val="00BB2752"/>
    <w:rsid w:val="00BB336B"/>
    <w:rsid w:val="00BB3548"/>
    <w:rsid w:val="00BB36A7"/>
    <w:rsid w:val="00BB4859"/>
    <w:rsid w:val="00BB5BE0"/>
    <w:rsid w:val="00BB5F6B"/>
    <w:rsid w:val="00BC01C9"/>
    <w:rsid w:val="00BC18F2"/>
    <w:rsid w:val="00BC237B"/>
    <w:rsid w:val="00BC2624"/>
    <w:rsid w:val="00BC31EC"/>
    <w:rsid w:val="00BC3A48"/>
    <w:rsid w:val="00BC3A6A"/>
    <w:rsid w:val="00BC4587"/>
    <w:rsid w:val="00BC61FF"/>
    <w:rsid w:val="00BC622B"/>
    <w:rsid w:val="00BC672D"/>
    <w:rsid w:val="00BC7641"/>
    <w:rsid w:val="00BC7792"/>
    <w:rsid w:val="00BD0710"/>
    <w:rsid w:val="00BD1E29"/>
    <w:rsid w:val="00BD27B7"/>
    <w:rsid w:val="00BD4908"/>
    <w:rsid w:val="00BD57B5"/>
    <w:rsid w:val="00BD57CB"/>
    <w:rsid w:val="00BD5FB8"/>
    <w:rsid w:val="00BD686B"/>
    <w:rsid w:val="00BD6CDC"/>
    <w:rsid w:val="00BD769A"/>
    <w:rsid w:val="00BD7F71"/>
    <w:rsid w:val="00BE05CB"/>
    <w:rsid w:val="00BE0D6B"/>
    <w:rsid w:val="00BE11EE"/>
    <w:rsid w:val="00BE159E"/>
    <w:rsid w:val="00BE1694"/>
    <w:rsid w:val="00BE1784"/>
    <w:rsid w:val="00BE1F47"/>
    <w:rsid w:val="00BE29FA"/>
    <w:rsid w:val="00BE392A"/>
    <w:rsid w:val="00BE3F31"/>
    <w:rsid w:val="00BE4960"/>
    <w:rsid w:val="00BE53FD"/>
    <w:rsid w:val="00BE625D"/>
    <w:rsid w:val="00BE7361"/>
    <w:rsid w:val="00BF3C42"/>
    <w:rsid w:val="00BF40FF"/>
    <w:rsid w:val="00BF5CDD"/>
    <w:rsid w:val="00C007AB"/>
    <w:rsid w:val="00C00C75"/>
    <w:rsid w:val="00C01CD1"/>
    <w:rsid w:val="00C026B5"/>
    <w:rsid w:val="00C0334B"/>
    <w:rsid w:val="00C03D3E"/>
    <w:rsid w:val="00C03E3A"/>
    <w:rsid w:val="00C05AC9"/>
    <w:rsid w:val="00C05EB5"/>
    <w:rsid w:val="00C10EE7"/>
    <w:rsid w:val="00C12755"/>
    <w:rsid w:val="00C13499"/>
    <w:rsid w:val="00C1627C"/>
    <w:rsid w:val="00C16566"/>
    <w:rsid w:val="00C1690A"/>
    <w:rsid w:val="00C16C11"/>
    <w:rsid w:val="00C1796A"/>
    <w:rsid w:val="00C22CE0"/>
    <w:rsid w:val="00C23214"/>
    <w:rsid w:val="00C23761"/>
    <w:rsid w:val="00C239D8"/>
    <w:rsid w:val="00C23D26"/>
    <w:rsid w:val="00C25056"/>
    <w:rsid w:val="00C255E1"/>
    <w:rsid w:val="00C25634"/>
    <w:rsid w:val="00C257E0"/>
    <w:rsid w:val="00C26159"/>
    <w:rsid w:val="00C263B0"/>
    <w:rsid w:val="00C26899"/>
    <w:rsid w:val="00C26ECD"/>
    <w:rsid w:val="00C27253"/>
    <w:rsid w:val="00C27569"/>
    <w:rsid w:val="00C27B3B"/>
    <w:rsid w:val="00C30DA0"/>
    <w:rsid w:val="00C31021"/>
    <w:rsid w:val="00C3162A"/>
    <w:rsid w:val="00C31B1B"/>
    <w:rsid w:val="00C32147"/>
    <w:rsid w:val="00C32159"/>
    <w:rsid w:val="00C34013"/>
    <w:rsid w:val="00C347EA"/>
    <w:rsid w:val="00C34EC3"/>
    <w:rsid w:val="00C35C08"/>
    <w:rsid w:val="00C366DF"/>
    <w:rsid w:val="00C368EF"/>
    <w:rsid w:val="00C37334"/>
    <w:rsid w:val="00C40FA6"/>
    <w:rsid w:val="00C4271F"/>
    <w:rsid w:val="00C434CC"/>
    <w:rsid w:val="00C43CC0"/>
    <w:rsid w:val="00C44D17"/>
    <w:rsid w:val="00C4612B"/>
    <w:rsid w:val="00C46495"/>
    <w:rsid w:val="00C50534"/>
    <w:rsid w:val="00C50741"/>
    <w:rsid w:val="00C50873"/>
    <w:rsid w:val="00C50966"/>
    <w:rsid w:val="00C50CAE"/>
    <w:rsid w:val="00C529A0"/>
    <w:rsid w:val="00C52A53"/>
    <w:rsid w:val="00C53047"/>
    <w:rsid w:val="00C53A4B"/>
    <w:rsid w:val="00C53B5C"/>
    <w:rsid w:val="00C540FB"/>
    <w:rsid w:val="00C549D6"/>
    <w:rsid w:val="00C54B41"/>
    <w:rsid w:val="00C5590B"/>
    <w:rsid w:val="00C55E65"/>
    <w:rsid w:val="00C5618E"/>
    <w:rsid w:val="00C608E8"/>
    <w:rsid w:val="00C60DA5"/>
    <w:rsid w:val="00C60F13"/>
    <w:rsid w:val="00C61C78"/>
    <w:rsid w:val="00C62C40"/>
    <w:rsid w:val="00C63537"/>
    <w:rsid w:val="00C6370B"/>
    <w:rsid w:val="00C63921"/>
    <w:rsid w:val="00C63C12"/>
    <w:rsid w:val="00C64FC9"/>
    <w:rsid w:val="00C6685F"/>
    <w:rsid w:val="00C67598"/>
    <w:rsid w:val="00C67D64"/>
    <w:rsid w:val="00C70111"/>
    <w:rsid w:val="00C707E8"/>
    <w:rsid w:val="00C7087D"/>
    <w:rsid w:val="00C7088A"/>
    <w:rsid w:val="00C743EA"/>
    <w:rsid w:val="00C759BD"/>
    <w:rsid w:val="00C7633F"/>
    <w:rsid w:val="00C76DB6"/>
    <w:rsid w:val="00C814ED"/>
    <w:rsid w:val="00C814EE"/>
    <w:rsid w:val="00C8168F"/>
    <w:rsid w:val="00C83FF9"/>
    <w:rsid w:val="00C859BD"/>
    <w:rsid w:val="00C85B8D"/>
    <w:rsid w:val="00C85E58"/>
    <w:rsid w:val="00C85F4B"/>
    <w:rsid w:val="00C86E46"/>
    <w:rsid w:val="00C90F3D"/>
    <w:rsid w:val="00C92338"/>
    <w:rsid w:val="00C94207"/>
    <w:rsid w:val="00C94B43"/>
    <w:rsid w:val="00C95862"/>
    <w:rsid w:val="00C95E70"/>
    <w:rsid w:val="00C968A8"/>
    <w:rsid w:val="00C96CA4"/>
    <w:rsid w:val="00C97DD0"/>
    <w:rsid w:val="00CA04B7"/>
    <w:rsid w:val="00CA0E3B"/>
    <w:rsid w:val="00CA176A"/>
    <w:rsid w:val="00CA181A"/>
    <w:rsid w:val="00CA1C2E"/>
    <w:rsid w:val="00CA2C4D"/>
    <w:rsid w:val="00CA3EFA"/>
    <w:rsid w:val="00CA43BD"/>
    <w:rsid w:val="00CA5090"/>
    <w:rsid w:val="00CA50D9"/>
    <w:rsid w:val="00CA5BAA"/>
    <w:rsid w:val="00CA60F7"/>
    <w:rsid w:val="00CA67B8"/>
    <w:rsid w:val="00CA7594"/>
    <w:rsid w:val="00CA77E3"/>
    <w:rsid w:val="00CB157A"/>
    <w:rsid w:val="00CB17F0"/>
    <w:rsid w:val="00CB1F46"/>
    <w:rsid w:val="00CB22EF"/>
    <w:rsid w:val="00CB27CF"/>
    <w:rsid w:val="00CB404E"/>
    <w:rsid w:val="00CB4904"/>
    <w:rsid w:val="00CB4FAF"/>
    <w:rsid w:val="00CB5128"/>
    <w:rsid w:val="00CB5D58"/>
    <w:rsid w:val="00CB6103"/>
    <w:rsid w:val="00CB6587"/>
    <w:rsid w:val="00CB74DB"/>
    <w:rsid w:val="00CB7576"/>
    <w:rsid w:val="00CB77A0"/>
    <w:rsid w:val="00CB7838"/>
    <w:rsid w:val="00CC0822"/>
    <w:rsid w:val="00CC1103"/>
    <w:rsid w:val="00CC1BA9"/>
    <w:rsid w:val="00CC2FE6"/>
    <w:rsid w:val="00CC4B71"/>
    <w:rsid w:val="00CC5B0D"/>
    <w:rsid w:val="00CD4ED0"/>
    <w:rsid w:val="00CD502C"/>
    <w:rsid w:val="00CD7DF8"/>
    <w:rsid w:val="00CE04F6"/>
    <w:rsid w:val="00CE0B42"/>
    <w:rsid w:val="00CE0B71"/>
    <w:rsid w:val="00CE0D90"/>
    <w:rsid w:val="00CE13D9"/>
    <w:rsid w:val="00CE1DF9"/>
    <w:rsid w:val="00CE24B1"/>
    <w:rsid w:val="00CE2FB1"/>
    <w:rsid w:val="00CE33BC"/>
    <w:rsid w:val="00CE35C2"/>
    <w:rsid w:val="00CE36A3"/>
    <w:rsid w:val="00CE43E9"/>
    <w:rsid w:val="00CE4467"/>
    <w:rsid w:val="00CE486D"/>
    <w:rsid w:val="00CE4FBE"/>
    <w:rsid w:val="00CE6F52"/>
    <w:rsid w:val="00CE7292"/>
    <w:rsid w:val="00CF1450"/>
    <w:rsid w:val="00CF275D"/>
    <w:rsid w:val="00CF2EBD"/>
    <w:rsid w:val="00CF3679"/>
    <w:rsid w:val="00CF4A1E"/>
    <w:rsid w:val="00CF77D4"/>
    <w:rsid w:val="00CF7DC2"/>
    <w:rsid w:val="00D0113B"/>
    <w:rsid w:val="00D02CFE"/>
    <w:rsid w:val="00D0381B"/>
    <w:rsid w:val="00D03868"/>
    <w:rsid w:val="00D03C52"/>
    <w:rsid w:val="00D04977"/>
    <w:rsid w:val="00D051C3"/>
    <w:rsid w:val="00D052B3"/>
    <w:rsid w:val="00D056AF"/>
    <w:rsid w:val="00D0600C"/>
    <w:rsid w:val="00D06DF0"/>
    <w:rsid w:val="00D077B3"/>
    <w:rsid w:val="00D07BFB"/>
    <w:rsid w:val="00D07ED2"/>
    <w:rsid w:val="00D11BA6"/>
    <w:rsid w:val="00D12C23"/>
    <w:rsid w:val="00D12C57"/>
    <w:rsid w:val="00D13849"/>
    <w:rsid w:val="00D1494D"/>
    <w:rsid w:val="00D15434"/>
    <w:rsid w:val="00D15AB7"/>
    <w:rsid w:val="00D16156"/>
    <w:rsid w:val="00D16BCC"/>
    <w:rsid w:val="00D16DFB"/>
    <w:rsid w:val="00D2045F"/>
    <w:rsid w:val="00D21D97"/>
    <w:rsid w:val="00D21D9A"/>
    <w:rsid w:val="00D23AEA"/>
    <w:rsid w:val="00D23D89"/>
    <w:rsid w:val="00D23F09"/>
    <w:rsid w:val="00D23FFE"/>
    <w:rsid w:val="00D24770"/>
    <w:rsid w:val="00D24DB2"/>
    <w:rsid w:val="00D26D30"/>
    <w:rsid w:val="00D3016C"/>
    <w:rsid w:val="00D36272"/>
    <w:rsid w:val="00D4151B"/>
    <w:rsid w:val="00D43E90"/>
    <w:rsid w:val="00D4481B"/>
    <w:rsid w:val="00D456E5"/>
    <w:rsid w:val="00D45F5F"/>
    <w:rsid w:val="00D468F0"/>
    <w:rsid w:val="00D46C32"/>
    <w:rsid w:val="00D47011"/>
    <w:rsid w:val="00D47CF0"/>
    <w:rsid w:val="00D50685"/>
    <w:rsid w:val="00D50703"/>
    <w:rsid w:val="00D51718"/>
    <w:rsid w:val="00D517E1"/>
    <w:rsid w:val="00D51F1E"/>
    <w:rsid w:val="00D52101"/>
    <w:rsid w:val="00D531FC"/>
    <w:rsid w:val="00D54A11"/>
    <w:rsid w:val="00D554F8"/>
    <w:rsid w:val="00D57719"/>
    <w:rsid w:val="00D577C8"/>
    <w:rsid w:val="00D57BAD"/>
    <w:rsid w:val="00D61A5A"/>
    <w:rsid w:val="00D62424"/>
    <w:rsid w:val="00D62B70"/>
    <w:rsid w:val="00D62C82"/>
    <w:rsid w:val="00D630BD"/>
    <w:rsid w:val="00D63944"/>
    <w:rsid w:val="00D63ED2"/>
    <w:rsid w:val="00D64821"/>
    <w:rsid w:val="00D64A67"/>
    <w:rsid w:val="00D65000"/>
    <w:rsid w:val="00D66AA7"/>
    <w:rsid w:val="00D66B46"/>
    <w:rsid w:val="00D66C84"/>
    <w:rsid w:val="00D671B9"/>
    <w:rsid w:val="00D6793D"/>
    <w:rsid w:val="00D701D4"/>
    <w:rsid w:val="00D70487"/>
    <w:rsid w:val="00D70A55"/>
    <w:rsid w:val="00D70EE0"/>
    <w:rsid w:val="00D714EE"/>
    <w:rsid w:val="00D71637"/>
    <w:rsid w:val="00D71A25"/>
    <w:rsid w:val="00D727C5"/>
    <w:rsid w:val="00D727C9"/>
    <w:rsid w:val="00D72DB1"/>
    <w:rsid w:val="00D72EDE"/>
    <w:rsid w:val="00D74064"/>
    <w:rsid w:val="00D75698"/>
    <w:rsid w:val="00D76214"/>
    <w:rsid w:val="00D76889"/>
    <w:rsid w:val="00D76FF9"/>
    <w:rsid w:val="00D7722B"/>
    <w:rsid w:val="00D77463"/>
    <w:rsid w:val="00D80B5B"/>
    <w:rsid w:val="00D80D20"/>
    <w:rsid w:val="00D8179D"/>
    <w:rsid w:val="00D81ABB"/>
    <w:rsid w:val="00D82D7F"/>
    <w:rsid w:val="00D83D09"/>
    <w:rsid w:val="00D8493F"/>
    <w:rsid w:val="00D850A0"/>
    <w:rsid w:val="00D85111"/>
    <w:rsid w:val="00D8765A"/>
    <w:rsid w:val="00D87C19"/>
    <w:rsid w:val="00D903F2"/>
    <w:rsid w:val="00D906AE"/>
    <w:rsid w:val="00D91FEF"/>
    <w:rsid w:val="00D953A4"/>
    <w:rsid w:val="00D954E5"/>
    <w:rsid w:val="00D954F1"/>
    <w:rsid w:val="00D960CC"/>
    <w:rsid w:val="00D9644E"/>
    <w:rsid w:val="00D96B6B"/>
    <w:rsid w:val="00D96B7E"/>
    <w:rsid w:val="00D96CC5"/>
    <w:rsid w:val="00DA04A9"/>
    <w:rsid w:val="00DA1F75"/>
    <w:rsid w:val="00DA24D0"/>
    <w:rsid w:val="00DA4DB1"/>
    <w:rsid w:val="00DA528E"/>
    <w:rsid w:val="00DA71EF"/>
    <w:rsid w:val="00DA73CA"/>
    <w:rsid w:val="00DB020C"/>
    <w:rsid w:val="00DB2953"/>
    <w:rsid w:val="00DB4C6E"/>
    <w:rsid w:val="00DB58ED"/>
    <w:rsid w:val="00DB7526"/>
    <w:rsid w:val="00DC05EC"/>
    <w:rsid w:val="00DC152B"/>
    <w:rsid w:val="00DC1C5D"/>
    <w:rsid w:val="00DC2A60"/>
    <w:rsid w:val="00DC2B42"/>
    <w:rsid w:val="00DC38EC"/>
    <w:rsid w:val="00DC4A02"/>
    <w:rsid w:val="00DC4DD8"/>
    <w:rsid w:val="00DC4EB7"/>
    <w:rsid w:val="00DC5DBD"/>
    <w:rsid w:val="00DC6BDE"/>
    <w:rsid w:val="00DC6CFA"/>
    <w:rsid w:val="00DC7C76"/>
    <w:rsid w:val="00DD1655"/>
    <w:rsid w:val="00DD2B60"/>
    <w:rsid w:val="00DD2D6A"/>
    <w:rsid w:val="00DD3B39"/>
    <w:rsid w:val="00DD6063"/>
    <w:rsid w:val="00DD66C6"/>
    <w:rsid w:val="00DD7E57"/>
    <w:rsid w:val="00DE13BD"/>
    <w:rsid w:val="00DE2AF7"/>
    <w:rsid w:val="00DE2E38"/>
    <w:rsid w:val="00DE3063"/>
    <w:rsid w:val="00DE3FB8"/>
    <w:rsid w:val="00DE40C4"/>
    <w:rsid w:val="00DE5766"/>
    <w:rsid w:val="00DE5E55"/>
    <w:rsid w:val="00DE6524"/>
    <w:rsid w:val="00DE74E8"/>
    <w:rsid w:val="00DE7D7C"/>
    <w:rsid w:val="00DF1014"/>
    <w:rsid w:val="00DF1A61"/>
    <w:rsid w:val="00DF229C"/>
    <w:rsid w:val="00DF2B53"/>
    <w:rsid w:val="00DF3B74"/>
    <w:rsid w:val="00DF4FC9"/>
    <w:rsid w:val="00DF641F"/>
    <w:rsid w:val="00DF6608"/>
    <w:rsid w:val="00E001BC"/>
    <w:rsid w:val="00E004BE"/>
    <w:rsid w:val="00E017B9"/>
    <w:rsid w:val="00E0272E"/>
    <w:rsid w:val="00E02BEE"/>
    <w:rsid w:val="00E02C2D"/>
    <w:rsid w:val="00E05279"/>
    <w:rsid w:val="00E06003"/>
    <w:rsid w:val="00E060FA"/>
    <w:rsid w:val="00E132D3"/>
    <w:rsid w:val="00E15138"/>
    <w:rsid w:val="00E1564E"/>
    <w:rsid w:val="00E159A3"/>
    <w:rsid w:val="00E15AFD"/>
    <w:rsid w:val="00E1616B"/>
    <w:rsid w:val="00E16732"/>
    <w:rsid w:val="00E17297"/>
    <w:rsid w:val="00E17C69"/>
    <w:rsid w:val="00E20305"/>
    <w:rsid w:val="00E21068"/>
    <w:rsid w:val="00E228A1"/>
    <w:rsid w:val="00E22AEB"/>
    <w:rsid w:val="00E22D39"/>
    <w:rsid w:val="00E2314A"/>
    <w:rsid w:val="00E2478C"/>
    <w:rsid w:val="00E24F18"/>
    <w:rsid w:val="00E259DF"/>
    <w:rsid w:val="00E26422"/>
    <w:rsid w:val="00E265A3"/>
    <w:rsid w:val="00E2686F"/>
    <w:rsid w:val="00E27246"/>
    <w:rsid w:val="00E27553"/>
    <w:rsid w:val="00E27AF3"/>
    <w:rsid w:val="00E32840"/>
    <w:rsid w:val="00E33614"/>
    <w:rsid w:val="00E33AA7"/>
    <w:rsid w:val="00E352F5"/>
    <w:rsid w:val="00E35D8B"/>
    <w:rsid w:val="00E369D3"/>
    <w:rsid w:val="00E37D49"/>
    <w:rsid w:val="00E37DD2"/>
    <w:rsid w:val="00E40586"/>
    <w:rsid w:val="00E405A3"/>
    <w:rsid w:val="00E40FFA"/>
    <w:rsid w:val="00E41C98"/>
    <w:rsid w:val="00E42E61"/>
    <w:rsid w:val="00E432C7"/>
    <w:rsid w:val="00E43359"/>
    <w:rsid w:val="00E43B15"/>
    <w:rsid w:val="00E45059"/>
    <w:rsid w:val="00E452E9"/>
    <w:rsid w:val="00E45DAC"/>
    <w:rsid w:val="00E46153"/>
    <w:rsid w:val="00E4641D"/>
    <w:rsid w:val="00E46E56"/>
    <w:rsid w:val="00E5075F"/>
    <w:rsid w:val="00E5210F"/>
    <w:rsid w:val="00E5317D"/>
    <w:rsid w:val="00E53688"/>
    <w:rsid w:val="00E56243"/>
    <w:rsid w:val="00E56697"/>
    <w:rsid w:val="00E56809"/>
    <w:rsid w:val="00E56876"/>
    <w:rsid w:val="00E570B4"/>
    <w:rsid w:val="00E60459"/>
    <w:rsid w:val="00E62497"/>
    <w:rsid w:val="00E632FD"/>
    <w:rsid w:val="00E65AFF"/>
    <w:rsid w:val="00E66233"/>
    <w:rsid w:val="00E70669"/>
    <w:rsid w:val="00E71B4A"/>
    <w:rsid w:val="00E72B61"/>
    <w:rsid w:val="00E72DA9"/>
    <w:rsid w:val="00E72E16"/>
    <w:rsid w:val="00E73A9D"/>
    <w:rsid w:val="00E75AFC"/>
    <w:rsid w:val="00E76A20"/>
    <w:rsid w:val="00E80B10"/>
    <w:rsid w:val="00E81EF3"/>
    <w:rsid w:val="00E83035"/>
    <w:rsid w:val="00E83B75"/>
    <w:rsid w:val="00E84A7E"/>
    <w:rsid w:val="00E854CB"/>
    <w:rsid w:val="00E858F4"/>
    <w:rsid w:val="00E87BAA"/>
    <w:rsid w:val="00E87DE6"/>
    <w:rsid w:val="00E87E7D"/>
    <w:rsid w:val="00E87F80"/>
    <w:rsid w:val="00E90BE3"/>
    <w:rsid w:val="00E92E8D"/>
    <w:rsid w:val="00E93554"/>
    <w:rsid w:val="00E93ED2"/>
    <w:rsid w:val="00E974B1"/>
    <w:rsid w:val="00EA1869"/>
    <w:rsid w:val="00EA31B3"/>
    <w:rsid w:val="00EA3B30"/>
    <w:rsid w:val="00EA4496"/>
    <w:rsid w:val="00EA47B9"/>
    <w:rsid w:val="00EA5170"/>
    <w:rsid w:val="00EA616F"/>
    <w:rsid w:val="00EA6602"/>
    <w:rsid w:val="00EA6BA8"/>
    <w:rsid w:val="00EA7047"/>
    <w:rsid w:val="00EA7E1D"/>
    <w:rsid w:val="00EB01E7"/>
    <w:rsid w:val="00EB0BC4"/>
    <w:rsid w:val="00EB14D5"/>
    <w:rsid w:val="00EB1F11"/>
    <w:rsid w:val="00EB1F96"/>
    <w:rsid w:val="00EB23A1"/>
    <w:rsid w:val="00EB4391"/>
    <w:rsid w:val="00EB4B47"/>
    <w:rsid w:val="00EB4DB4"/>
    <w:rsid w:val="00EB6615"/>
    <w:rsid w:val="00EB76B2"/>
    <w:rsid w:val="00EB7D0B"/>
    <w:rsid w:val="00EC3578"/>
    <w:rsid w:val="00EC3581"/>
    <w:rsid w:val="00EC358E"/>
    <w:rsid w:val="00EC3F00"/>
    <w:rsid w:val="00EC42EF"/>
    <w:rsid w:val="00EC6591"/>
    <w:rsid w:val="00EC7209"/>
    <w:rsid w:val="00ED01BC"/>
    <w:rsid w:val="00ED0F90"/>
    <w:rsid w:val="00ED119F"/>
    <w:rsid w:val="00ED1B1F"/>
    <w:rsid w:val="00ED2E44"/>
    <w:rsid w:val="00ED3B2F"/>
    <w:rsid w:val="00ED48B6"/>
    <w:rsid w:val="00ED6939"/>
    <w:rsid w:val="00ED705E"/>
    <w:rsid w:val="00ED738B"/>
    <w:rsid w:val="00ED771D"/>
    <w:rsid w:val="00EE01EA"/>
    <w:rsid w:val="00EE12FE"/>
    <w:rsid w:val="00EE22B2"/>
    <w:rsid w:val="00EE2E38"/>
    <w:rsid w:val="00EE397F"/>
    <w:rsid w:val="00EE52F7"/>
    <w:rsid w:val="00EE5337"/>
    <w:rsid w:val="00EE6E7E"/>
    <w:rsid w:val="00EF0011"/>
    <w:rsid w:val="00EF1564"/>
    <w:rsid w:val="00EF1760"/>
    <w:rsid w:val="00EF239D"/>
    <w:rsid w:val="00EF2886"/>
    <w:rsid w:val="00EF2A99"/>
    <w:rsid w:val="00EF3164"/>
    <w:rsid w:val="00EF4E0F"/>
    <w:rsid w:val="00EF51FA"/>
    <w:rsid w:val="00EF5916"/>
    <w:rsid w:val="00EF5F4A"/>
    <w:rsid w:val="00F00D11"/>
    <w:rsid w:val="00F01E11"/>
    <w:rsid w:val="00F038CF"/>
    <w:rsid w:val="00F051DB"/>
    <w:rsid w:val="00F057E1"/>
    <w:rsid w:val="00F06D9C"/>
    <w:rsid w:val="00F10156"/>
    <w:rsid w:val="00F11F17"/>
    <w:rsid w:val="00F13268"/>
    <w:rsid w:val="00F14B54"/>
    <w:rsid w:val="00F14C61"/>
    <w:rsid w:val="00F1524F"/>
    <w:rsid w:val="00F15E07"/>
    <w:rsid w:val="00F16B57"/>
    <w:rsid w:val="00F20D87"/>
    <w:rsid w:val="00F21ED3"/>
    <w:rsid w:val="00F23EA7"/>
    <w:rsid w:val="00F2463A"/>
    <w:rsid w:val="00F27DB3"/>
    <w:rsid w:val="00F3016A"/>
    <w:rsid w:val="00F30181"/>
    <w:rsid w:val="00F30304"/>
    <w:rsid w:val="00F30F2A"/>
    <w:rsid w:val="00F31CE5"/>
    <w:rsid w:val="00F31D74"/>
    <w:rsid w:val="00F327F8"/>
    <w:rsid w:val="00F32E75"/>
    <w:rsid w:val="00F333B7"/>
    <w:rsid w:val="00F340D6"/>
    <w:rsid w:val="00F34CE4"/>
    <w:rsid w:val="00F3762C"/>
    <w:rsid w:val="00F408B7"/>
    <w:rsid w:val="00F40ACB"/>
    <w:rsid w:val="00F412AF"/>
    <w:rsid w:val="00F419E4"/>
    <w:rsid w:val="00F42639"/>
    <w:rsid w:val="00F42C03"/>
    <w:rsid w:val="00F439E9"/>
    <w:rsid w:val="00F43C2F"/>
    <w:rsid w:val="00F43E75"/>
    <w:rsid w:val="00F446C1"/>
    <w:rsid w:val="00F45256"/>
    <w:rsid w:val="00F458B8"/>
    <w:rsid w:val="00F463CF"/>
    <w:rsid w:val="00F47484"/>
    <w:rsid w:val="00F47C03"/>
    <w:rsid w:val="00F51DE4"/>
    <w:rsid w:val="00F51F9B"/>
    <w:rsid w:val="00F52AC6"/>
    <w:rsid w:val="00F53298"/>
    <w:rsid w:val="00F53BAE"/>
    <w:rsid w:val="00F54E3B"/>
    <w:rsid w:val="00F54F47"/>
    <w:rsid w:val="00F55732"/>
    <w:rsid w:val="00F56594"/>
    <w:rsid w:val="00F56696"/>
    <w:rsid w:val="00F56730"/>
    <w:rsid w:val="00F575AE"/>
    <w:rsid w:val="00F60517"/>
    <w:rsid w:val="00F605B4"/>
    <w:rsid w:val="00F611F6"/>
    <w:rsid w:val="00F61E84"/>
    <w:rsid w:val="00F62CC9"/>
    <w:rsid w:val="00F62CD6"/>
    <w:rsid w:val="00F62E61"/>
    <w:rsid w:val="00F641AA"/>
    <w:rsid w:val="00F64825"/>
    <w:rsid w:val="00F64908"/>
    <w:rsid w:val="00F66366"/>
    <w:rsid w:val="00F6790C"/>
    <w:rsid w:val="00F70838"/>
    <w:rsid w:val="00F7229B"/>
    <w:rsid w:val="00F72453"/>
    <w:rsid w:val="00F724BF"/>
    <w:rsid w:val="00F7250B"/>
    <w:rsid w:val="00F72CFF"/>
    <w:rsid w:val="00F7495C"/>
    <w:rsid w:val="00F81201"/>
    <w:rsid w:val="00F81B0E"/>
    <w:rsid w:val="00F82F94"/>
    <w:rsid w:val="00F83986"/>
    <w:rsid w:val="00F84BE5"/>
    <w:rsid w:val="00F85D77"/>
    <w:rsid w:val="00F8618D"/>
    <w:rsid w:val="00F875E0"/>
    <w:rsid w:val="00F9129E"/>
    <w:rsid w:val="00F9135D"/>
    <w:rsid w:val="00F922A7"/>
    <w:rsid w:val="00F9305C"/>
    <w:rsid w:val="00F9658B"/>
    <w:rsid w:val="00F96DF8"/>
    <w:rsid w:val="00F97C8B"/>
    <w:rsid w:val="00F97C8E"/>
    <w:rsid w:val="00FA048E"/>
    <w:rsid w:val="00FA0D82"/>
    <w:rsid w:val="00FA1E62"/>
    <w:rsid w:val="00FA27EC"/>
    <w:rsid w:val="00FA3E55"/>
    <w:rsid w:val="00FA6229"/>
    <w:rsid w:val="00FA66FD"/>
    <w:rsid w:val="00FA6F3C"/>
    <w:rsid w:val="00FB00DD"/>
    <w:rsid w:val="00FB06F6"/>
    <w:rsid w:val="00FB1F07"/>
    <w:rsid w:val="00FB23D8"/>
    <w:rsid w:val="00FB58FF"/>
    <w:rsid w:val="00FB6608"/>
    <w:rsid w:val="00FB6626"/>
    <w:rsid w:val="00FB6629"/>
    <w:rsid w:val="00FB6849"/>
    <w:rsid w:val="00FC0D11"/>
    <w:rsid w:val="00FC197A"/>
    <w:rsid w:val="00FC3D23"/>
    <w:rsid w:val="00FC5110"/>
    <w:rsid w:val="00FC6665"/>
    <w:rsid w:val="00FC6F25"/>
    <w:rsid w:val="00FD00A4"/>
    <w:rsid w:val="00FD0C8E"/>
    <w:rsid w:val="00FD1535"/>
    <w:rsid w:val="00FD1695"/>
    <w:rsid w:val="00FD2C8C"/>
    <w:rsid w:val="00FD3F95"/>
    <w:rsid w:val="00FD5214"/>
    <w:rsid w:val="00FD58BA"/>
    <w:rsid w:val="00FD5942"/>
    <w:rsid w:val="00FD5984"/>
    <w:rsid w:val="00FD611B"/>
    <w:rsid w:val="00FD6540"/>
    <w:rsid w:val="00FD7D0E"/>
    <w:rsid w:val="00FE0E50"/>
    <w:rsid w:val="00FE1F73"/>
    <w:rsid w:val="00FE2D36"/>
    <w:rsid w:val="00FE2E09"/>
    <w:rsid w:val="00FE334F"/>
    <w:rsid w:val="00FE34D0"/>
    <w:rsid w:val="00FE381A"/>
    <w:rsid w:val="00FE3C56"/>
    <w:rsid w:val="00FE449E"/>
    <w:rsid w:val="00FE4D2B"/>
    <w:rsid w:val="00FE675D"/>
    <w:rsid w:val="00FE6A28"/>
    <w:rsid w:val="00FE7E55"/>
    <w:rsid w:val="00FF2BE2"/>
    <w:rsid w:val="00FF3195"/>
    <w:rsid w:val="00FF3738"/>
    <w:rsid w:val="00FF3CF8"/>
    <w:rsid w:val="00FF4F58"/>
    <w:rsid w:val="00FF4F65"/>
    <w:rsid w:val="00FF697B"/>
    <w:rsid w:val="00FF6F16"/>
    <w:rsid w:val="00FF75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71EAB"/>
  <w15:chartTrackingRefBased/>
  <w15:docId w15:val="{1C46BBC1-1F78-4831-A0DD-FD364E25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913"/>
  </w:style>
  <w:style w:type="paragraph" w:styleId="Heading1">
    <w:name w:val="heading 1"/>
    <w:basedOn w:val="Normal"/>
    <w:link w:val="Heading1Char"/>
    <w:uiPriority w:val="9"/>
    <w:qFormat/>
    <w:rsid w:val="00A545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324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0FB"/>
    <w:pPr>
      <w:ind w:left="720"/>
      <w:contextualSpacing/>
    </w:pPr>
  </w:style>
  <w:style w:type="table" w:styleId="TableGrid">
    <w:name w:val="Table Grid"/>
    <w:basedOn w:val="TableNormal"/>
    <w:uiPriority w:val="39"/>
    <w:rsid w:val="00B21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0B69"/>
    <w:rPr>
      <w:color w:val="0563C1" w:themeColor="hyperlink"/>
      <w:u w:val="single"/>
    </w:rPr>
  </w:style>
  <w:style w:type="character" w:customStyle="1" w:styleId="articlecitationvolume">
    <w:name w:val="articlecitation_volume"/>
    <w:basedOn w:val="DefaultParagraphFont"/>
    <w:rsid w:val="003E205D"/>
  </w:style>
  <w:style w:type="character" w:customStyle="1" w:styleId="articlecitationpages">
    <w:name w:val="articlecitation_pages"/>
    <w:basedOn w:val="DefaultParagraphFont"/>
    <w:rsid w:val="003E205D"/>
  </w:style>
  <w:style w:type="paragraph" w:customStyle="1" w:styleId="Default">
    <w:name w:val="Default"/>
    <w:rsid w:val="00E87BAA"/>
    <w:pPr>
      <w:autoSpaceDE w:val="0"/>
      <w:autoSpaceDN w:val="0"/>
      <w:adjustRightInd w:val="0"/>
      <w:spacing w:after="0" w:line="240" w:lineRule="auto"/>
    </w:pPr>
    <w:rPr>
      <w:rFonts w:ascii="AOIND F+ Gulliver" w:hAnsi="AOIND F+ Gulliver" w:cs="AOIND F+ Gulliver"/>
      <w:color w:val="000000"/>
      <w:sz w:val="24"/>
      <w:szCs w:val="24"/>
    </w:rPr>
  </w:style>
  <w:style w:type="paragraph" w:styleId="Header">
    <w:name w:val="header"/>
    <w:basedOn w:val="Normal"/>
    <w:link w:val="HeaderChar"/>
    <w:uiPriority w:val="99"/>
    <w:unhideWhenUsed/>
    <w:rsid w:val="00FD6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11B"/>
  </w:style>
  <w:style w:type="paragraph" w:styleId="Footer">
    <w:name w:val="footer"/>
    <w:basedOn w:val="Normal"/>
    <w:link w:val="FooterChar"/>
    <w:uiPriority w:val="99"/>
    <w:unhideWhenUsed/>
    <w:rsid w:val="00FD6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11B"/>
  </w:style>
  <w:style w:type="character" w:styleId="FootnoteReference">
    <w:name w:val="footnote reference"/>
    <w:basedOn w:val="DefaultParagraphFont"/>
    <w:uiPriority w:val="99"/>
    <w:semiHidden/>
    <w:unhideWhenUsed/>
    <w:rsid w:val="00871804"/>
    <w:rPr>
      <w:vertAlign w:val="superscript"/>
    </w:rPr>
  </w:style>
  <w:style w:type="paragraph" w:styleId="FootnoteText">
    <w:name w:val="footnote text"/>
    <w:basedOn w:val="Normal"/>
    <w:link w:val="FootnoteTextChar"/>
    <w:uiPriority w:val="99"/>
    <w:semiHidden/>
    <w:unhideWhenUsed/>
    <w:rsid w:val="002C17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721"/>
    <w:rPr>
      <w:sz w:val="20"/>
      <w:szCs w:val="20"/>
    </w:rPr>
  </w:style>
  <w:style w:type="character" w:customStyle="1" w:styleId="Heading1Char">
    <w:name w:val="Heading 1 Char"/>
    <w:basedOn w:val="DefaultParagraphFont"/>
    <w:link w:val="Heading1"/>
    <w:uiPriority w:val="9"/>
    <w:rsid w:val="00A54587"/>
    <w:rPr>
      <w:rFonts w:ascii="Times New Roman" w:eastAsia="Times New Roman" w:hAnsi="Times New Roman" w:cs="Times New Roman"/>
      <w:b/>
      <w:bCs/>
      <w:kern w:val="36"/>
      <w:sz w:val="48"/>
      <w:szCs w:val="48"/>
    </w:rPr>
  </w:style>
  <w:style w:type="character" w:customStyle="1" w:styleId="title-text">
    <w:name w:val="title-text"/>
    <w:basedOn w:val="DefaultParagraphFont"/>
    <w:rsid w:val="00A54587"/>
  </w:style>
  <w:style w:type="paragraph" w:styleId="NoSpacing">
    <w:name w:val="No Spacing"/>
    <w:uiPriority w:val="1"/>
    <w:qFormat/>
    <w:rsid w:val="002A0C0E"/>
    <w:pPr>
      <w:spacing w:after="0" w:line="240" w:lineRule="auto"/>
    </w:pPr>
  </w:style>
  <w:style w:type="character" w:styleId="PlaceholderText">
    <w:name w:val="Placeholder Text"/>
    <w:basedOn w:val="DefaultParagraphFont"/>
    <w:uiPriority w:val="99"/>
    <w:semiHidden/>
    <w:rsid w:val="007F2D9C"/>
    <w:rPr>
      <w:color w:val="808080"/>
    </w:rPr>
  </w:style>
  <w:style w:type="paragraph" w:styleId="NormalWeb">
    <w:name w:val="Normal (Web)"/>
    <w:basedOn w:val="Normal"/>
    <w:uiPriority w:val="99"/>
    <w:unhideWhenUsed/>
    <w:rsid w:val="00D1615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26793"/>
    <w:pPr>
      <w:spacing w:after="0" w:line="240" w:lineRule="auto"/>
    </w:pPr>
  </w:style>
  <w:style w:type="paragraph" w:styleId="BalloonText">
    <w:name w:val="Balloon Text"/>
    <w:basedOn w:val="Normal"/>
    <w:link w:val="BalloonTextChar"/>
    <w:uiPriority w:val="99"/>
    <w:semiHidden/>
    <w:unhideWhenUsed/>
    <w:rsid w:val="00126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793"/>
    <w:rPr>
      <w:rFonts w:ascii="Segoe UI" w:hAnsi="Segoe UI" w:cs="Segoe UI"/>
      <w:sz w:val="18"/>
      <w:szCs w:val="18"/>
    </w:rPr>
  </w:style>
  <w:style w:type="character" w:customStyle="1" w:styleId="Heading3Char">
    <w:name w:val="Heading 3 Char"/>
    <w:basedOn w:val="DefaultParagraphFont"/>
    <w:link w:val="Heading3"/>
    <w:uiPriority w:val="9"/>
    <w:semiHidden/>
    <w:rsid w:val="003324B4"/>
    <w:rPr>
      <w:rFonts w:asciiTheme="majorHAnsi" w:eastAsiaTheme="majorEastAsia" w:hAnsiTheme="majorHAnsi" w:cstheme="majorBidi"/>
      <w:color w:val="1F4D78" w:themeColor="accent1" w:themeShade="7F"/>
      <w:sz w:val="24"/>
      <w:szCs w:val="24"/>
    </w:rPr>
  </w:style>
  <w:style w:type="character" w:customStyle="1" w:styleId="words">
    <w:name w:val="words"/>
    <w:basedOn w:val="DefaultParagraphFont"/>
    <w:rsid w:val="00F81B0E"/>
  </w:style>
  <w:style w:type="character" w:styleId="LineNumber">
    <w:name w:val="line number"/>
    <w:basedOn w:val="DefaultParagraphFont"/>
    <w:uiPriority w:val="99"/>
    <w:semiHidden/>
    <w:unhideWhenUsed/>
    <w:rsid w:val="001345F5"/>
  </w:style>
  <w:style w:type="paragraph" w:styleId="HTMLPreformatted">
    <w:name w:val="HTML Preformatted"/>
    <w:basedOn w:val="Normal"/>
    <w:link w:val="HTMLPreformattedChar"/>
    <w:uiPriority w:val="99"/>
    <w:semiHidden/>
    <w:unhideWhenUsed/>
    <w:rsid w:val="00F45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5256"/>
    <w:rPr>
      <w:rFonts w:ascii="Courier New" w:eastAsia="Times New Roman" w:hAnsi="Courier New" w:cs="Courier New"/>
      <w:sz w:val="20"/>
      <w:szCs w:val="20"/>
    </w:rPr>
  </w:style>
  <w:style w:type="character" w:customStyle="1" w:styleId="y2iqfc">
    <w:name w:val="y2iqfc"/>
    <w:basedOn w:val="DefaultParagraphFont"/>
    <w:rsid w:val="00F45256"/>
  </w:style>
  <w:style w:type="character" w:customStyle="1" w:styleId="topic-highlight">
    <w:name w:val="topic-highlight"/>
    <w:basedOn w:val="DefaultParagraphFont"/>
    <w:rsid w:val="004E4709"/>
  </w:style>
  <w:style w:type="character" w:styleId="Emphasis">
    <w:name w:val="Emphasis"/>
    <w:basedOn w:val="DefaultParagraphFont"/>
    <w:uiPriority w:val="20"/>
    <w:qFormat/>
    <w:rsid w:val="003B6710"/>
    <w:rPr>
      <w:i/>
      <w:iCs/>
    </w:rPr>
  </w:style>
  <w:style w:type="character" w:styleId="CommentReference">
    <w:name w:val="annotation reference"/>
    <w:basedOn w:val="DefaultParagraphFont"/>
    <w:uiPriority w:val="99"/>
    <w:semiHidden/>
    <w:unhideWhenUsed/>
    <w:rsid w:val="000B5555"/>
    <w:rPr>
      <w:sz w:val="16"/>
      <w:szCs w:val="16"/>
    </w:rPr>
  </w:style>
  <w:style w:type="paragraph" w:styleId="CommentText">
    <w:name w:val="annotation text"/>
    <w:basedOn w:val="Normal"/>
    <w:link w:val="CommentTextChar"/>
    <w:uiPriority w:val="99"/>
    <w:semiHidden/>
    <w:unhideWhenUsed/>
    <w:rsid w:val="000B5555"/>
    <w:pPr>
      <w:spacing w:line="240" w:lineRule="auto"/>
    </w:pPr>
    <w:rPr>
      <w:sz w:val="20"/>
      <w:szCs w:val="20"/>
    </w:rPr>
  </w:style>
  <w:style w:type="character" w:customStyle="1" w:styleId="CommentTextChar">
    <w:name w:val="Comment Text Char"/>
    <w:basedOn w:val="DefaultParagraphFont"/>
    <w:link w:val="CommentText"/>
    <w:uiPriority w:val="99"/>
    <w:semiHidden/>
    <w:rsid w:val="000B5555"/>
    <w:rPr>
      <w:sz w:val="20"/>
      <w:szCs w:val="20"/>
    </w:rPr>
  </w:style>
  <w:style w:type="paragraph" w:styleId="CommentSubject">
    <w:name w:val="annotation subject"/>
    <w:basedOn w:val="CommentText"/>
    <w:next w:val="CommentText"/>
    <w:link w:val="CommentSubjectChar"/>
    <w:uiPriority w:val="99"/>
    <w:semiHidden/>
    <w:unhideWhenUsed/>
    <w:rsid w:val="000B5555"/>
    <w:rPr>
      <w:b/>
      <w:bCs/>
    </w:rPr>
  </w:style>
  <w:style w:type="character" w:customStyle="1" w:styleId="CommentSubjectChar">
    <w:name w:val="Comment Subject Char"/>
    <w:basedOn w:val="CommentTextChar"/>
    <w:link w:val="CommentSubject"/>
    <w:uiPriority w:val="99"/>
    <w:semiHidden/>
    <w:rsid w:val="000B5555"/>
    <w:rPr>
      <w:b/>
      <w:bCs/>
      <w:sz w:val="20"/>
      <w:szCs w:val="20"/>
    </w:rPr>
  </w:style>
  <w:style w:type="paragraph" w:customStyle="1" w:styleId="mb-25">
    <w:name w:val="mb-2.5"/>
    <w:basedOn w:val="Normal"/>
    <w:rsid w:val="000162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E42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194">
      <w:bodyDiv w:val="1"/>
      <w:marLeft w:val="0"/>
      <w:marRight w:val="0"/>
      <w:marTop w:val="0"/>
      <w:marBottom w:val="0"/>
      <w:divBdr>
        <w:top w:val="none" w:sz="0" w:space="0" w:color="auto"/>
        <w:left w:val="none" w:sz="0" w:space="0" w:color="auto"/>
        <w:bottom w:val="none" w:sz="0" w:space="0" w:color="auto"/>
        <w:right w:val="none" w:sz="0" w:space="0" w:color="auto"/>
      </w:divBdr>
    </w:div>
    <w:div w:id="51078983">
      <w:bodyDiv w:val="1"/>
      <w:marLeft w:val="0"/>
      <w:marRight w:val="0"/>
      <w:marTop w:val="0"/>
      <w:marBottom w:val="0"/>
      <w:divBdr>
        <w:top w:val="none" w:sz="0" w:space="0" w:color="auto"/>
        <w:left w:val="none" w:sz="0" w:space="0" w:color="auto"/>
        <w:bottom w:val="none" w:sz="0" w:space="0" w:color="auto"/>
        <w:right w:val="none" w:sz="0" w:space="0" w:color="auto"/>
      </w:divBdr>
    </w:div>
    <w:div w:id="60952471">
      <w:bodyDiv w:val="1"/>
      <w:marLeft w:val="0"/>
      <w:marRight w:val="0"/>
      <w:marTop w:val="0"/>
      <w:marBottom w:val="0"/>
      <w:divBdr>
        <w:top w:val="none" w:sz="0" w:space="0" w:color="auto"/>
        <w:left w:val="none" w:sz="0" w:space="0" w:color="auto"/>
        <w:bottom w:val="none" w:sz="0" w:space="0" w:color="auto"/>
        <w:right w:val="none" w:sz="0" w:space="0" w:color="auto"/>
      </w:divBdr>
    </w:div>
    <w:div w:id="103961612">
      <w:bodyDiv w:val="1"/>
      <w:marLeft w:val="0"/>
      <w:marRight w:val="0"/>
      <w:marTop w:val="0"/>
      <w:marBottom w:val="0"/>
      <w:divBdr>
        <w:top w:val="none" w:sz="0" w:space="0" w:color="auto"/>
        <w:left w:val="none" w:sz="0" w:space="0" w:color="auto"/>
        <w:bottom w:val="none" w:sz="0" w:space="0" w:color="auto"/>
        <w:right w:val="none" w:sz="0" w:space="0" w:color="auto"/>
      </w:divBdr>
    </w:div>
    <w:div w:id="122624090">
      <w:bodyDiv w:val="1"/>
      <w:marLeft w:val="0"/>
      <w:marRight w:val="0"/>
      <w:marTop w:val="0"/>
      <w:marBottom w:val="0"/>
      <w:divBdr>
        <w:top w:val="none" w:sz="0" w:space="0" w:color="auto"/>
        <w:left w:val="none" w:sz="0" w:space="0" w:color="auto"/>
        <w:bottom w:val="none" w:sz="0" w:space="0" w:color="auto"/>
        <w:right w:val="none" w:sz="0" w:space="0" w:color="auto"/>
      </w:divBdr>
    </w:div>
    <w:div w:id="142696994">
      <w:bodyDiv w:val="1"/>
      <w:marLeft w:val="0"/>
      <w:marRight w:val="0"/>
      <w:marTop w:val="0"/>
      <w:marBottom w:val="0"/>
      <w:divBdr>
        <w:top w:val="none" w:sz="0" w:space="0" w:color="auto"/>
        <w:left w:val="none" w:sz="0" w:space="0" w:color="auto"/>
        <w:bottom w:val="none" w:sz="0" w:space="0" w:color="auto"/>
        <w:right w:val="none" w:sz="0" w:space="0" w:color="auto"/>
      </w:divBdr>
    </w:div>
    <w:div w:id="146867392">
      <w:bodyDiv w:val="1"/>
      <w:marLeft w:val="0"/>
      <w:marRight w:val="0"/>
      <w:marTop w:val="0"/>
      <w:marBottom w:val="0"/>
      <w:divBdr>
        <w:top w:val="none" w:sz="0" w:space="0" w:color="auto"/>
        <w:left w:val="none" w:sz="0" w:space="0" w:color="auto"/>
        <w:bottom w:val="none" w:sz="0" w:space="0" w:color="auto"/>
        <w:right w:val="none" w:sz="0" w:space="0" w:color="auto"/>
      </w:divBdr>
    </w:div>
    <w:div w:id="165219829">
      <w:bodyDiv w:val="1"/>
      <w:marLeft w:val="0"/>
      <w:marRight w:val="0"/>
      <w:marTop w:val="0"/>
      <w:marBottom w:val="0"/>
      <w:divBdr>
        <w:top w:val="none" w:sz="0" w:space="0" w:color="auto"/>
        <w:left w:val="none" w:sz="0" w:space="0" w:color="auto"/>
        <w:bottom w:val="none" w:sz="0" w:space="0" w:color="auto"/>
        <w:right w:val="none" w:sz="0" w:space="0" w:color="auto"/>
      </w:divBdr>
    </w:div>
    <w:div w:id="165830879">
      <w:bodyDiv w:val="1"/>
      <w:marLeft w:val="0"/>
      <w:marRight w:val="0"/>
      <w:marTop w:val="0"/>
      <w:marBottom w:val="0"/>
      <w:divBdr>
        <w:top w:val="none" w:sz="0" w:space="0" w:color="auto"/>
        <w:left w:val="none" w:sz="0" w:space="0" w:color="auto"/>
        <w:bottom w:val="none" w:sz="0" w:space="0" w:color="auto"/>
        <w:right w:val="none" w:sz="0" w:space="0" w:color="auto"/>
      </w:divBdr>
    </w:div>
    <w:div w:id="255864004">
      <w:bodyDiv w:val="1"/>
      <w:marLeft w:val="0"/>
      <w:marRight w:val="0"/>
      <w:marTop w:val="0"/>
      <w:marBottom w:val="0"/>
      <w:divBdr>
        <w:top w:val="none" w:sz="0" w:space="0" w:color="auto"/>
        <w:left w:val="none" w:sz="0" w:space="0" w:color="auto"/>
        <w:bottom w:val="none" w:sz="0" w:space="0" w:color="auto"/>
        <w:right w:val="none" w:sz="0" w:space="0" w:color="auto"/>
      </w:divBdr>
    </w:div>
    <w:div w:id="283460230">
      <w:bodyDiv w:val="1"/>
      <w:marLeft w:val="0"/>
      <w:marRight w:val="0"/>
      <w:marTop w:val="0"/>
      <w:marBottom w:val="0"/>
      <w:divBdr>
        <w:top w:val="none" w:sz="0" w:space="0" w:color="auto"/>
        <w:left w:val="none" w:sz="0" w:space="0" w:color="auto"/>
        <w:bottom w:val="none" w:sz="0" w:space="0" w:color="auto"/>
        <w:right w:val="none" w:sz="0" w:space="0" w:color="auto"/>
      </w:divBdr>
    </w:div>
    <w:div w:id="309335312">
      <w:bodyDiv w:val="1"/>
      <w:marLeft w:val="0"/>
      <w:marRight w:val="0"/>
      <w:marTop w:val="0"/>
      <w:marBottom w:val="0"/>
      <w:divBdr>
        <w:top w:val="none" w:sz="0" w:space="0" w:color="auto"/>
        <w:left w:val="none" w:sz="0" w:space="0" w:color="auto"/>
        <w:bottom w:val="none" w:sz="0" w:space="0" w:color="auto"/>
        <w:right w:val="none" w:sz="0" w:space="0" w:color="auto"/>
      </w:divBdr>
    </w:div>
    <w:div w:id="315106439">
      <w:bodyDiv w:val="1"/>
      <w:marLeft w:val="0"/>
      <w:marRight w:val="0"/>
      <w:marTop w:val="0"/>
      <w:marBottom w:val="0"/>
      <w:divBdr>
        <w:top w:val="none" w:sz="0" w:space="0" w:color="auto"/>
        <w:left w:val="none" w:sz="0" w:space="0" w:color="auto"/>
        <w:bottom w:val="none" w:sz="0" w:space="0" w:color="auto"/>
        <w:right w:val="none" w:sz="0" w:space="0" w:color="auto"/>
      </w:divBdr>
    </w:div>
    <w:div w:id="332882527">
      <w:bodyDiv w:val="1"/>
      <w:marLeft w:val="0"/>
      <w:marRight w:val="0"/>
      <w:marTop w:val="0"/>
      <w:marBottom w:val="0"/>
      <w:divBdr>
        <w:top w:val="none" w:sz="0" w:space="0" w:color="auto"/>
        <w:left w:val="none" w:sz="0" w:space="0" w:color="auto"/>
        <w:bottom w:val="none" w:sz="0" w:space="0" w:color="auto"/>
        <w:right w:val="none" w:sz="0" w:space="0" w:color="auto"/>
      </w:divBdr>
    </w:div>
    <w:div w:id="346254063">
      <w:bodyDiv w:val="1"/>
      <w:marLeft w:val="0"/>
      <w:marRight w:val="0"/>
      <w:marTop w:val="0"/>
      <w:marBottom w:val="0"/>
      <w:divBdr>
        <w:top w:val="none" w:sz="0" w:space="0" w:color="auto"/>
        <w:left w:val="none" w:sz="0" w:space="0" w:color="auto"/>
        <w:bottom w:val="none" w:sz="0" w:space="0" w:color="auto"/>
        <w:right w:val="none" w:sz="0" w:space="0" w:color="auto"/>
      </w:divBdr>
    </w:div>
    <w:div w:id="364984866">
      <w:bodyDiv w:val="1"/>
      <w:marLeft w:val="0"/>
      <w:marRight w:val="0"/>
      <w:marTop w:val="0"/>
      <w:marBottom w:val="0"/>
      <w:divBdr>
        <w:top w:val="none" w:sz="0" w:space="0" w:color="auto"/>
        <w:left w:val="none" w:sz="0" w:space="0" w:color="auto"/>
        <w:bottom w:val="none" w:sz="0" w:space="0" w:color="auto"/>
        <w:right w:val="none" w:sz="0" w:space="0" w:color="auto"/>
      </w:divBdr>
    </w:div>
    <w:div w:id="368532288">
      <w:bodyDiv w:val="1"/>
      <w:marLeft w:val="0"/>
      <w:marRight w:val="0"/>
      <w:marTop w:val="0"/>
      <w:marBottom w:val="0"/>
      <w:divBdr>
        <w:top w:val="none" w:sz="0" w:space="0" w:color="auto"/>
        <w:left w:val="none" w:sz="0" w:space="0" w:color="auto"/>
        <w:bottom w:val="none" w:sz="0" w:space="0" w:color="auto"/>
        <w:right w:val="none" w:sz="0" w:space="0" w:color="auto"/>
      </w:divBdr>
    </w:div>
    <w:div w:id="389620457">
      <w:bodyDiv w:val="1"/>
      <w:marLeft w:val="0"/>
      <w:marRight w:val="0"/>
      <w:marTop w:val="0"/>
      <w:marBottom w:val="0"/>
      <w:divBdr>
        <w:top w:val="none" w:sz="0" w:space="0" w:color="auto"/>
        <w:left w:val="none" w:sz="0" w:space="0" w:color="auto"/>
        <w:bottom w:val="none" w:sz="0" w:space="0" w:color="auto"/>
        <w:right w:val="none" w:sz="0" w:space="0" w:color="auto"/>
      </w:divBdr>
    </w:div>
    <w:div w:id="391974202">
      <w:bodyDiv w:val="1"/>
      <w:marLeft w:val="0"/>
      <w:marRight w:val="0"/>
      <w:marTop w:val="0"/>
      <w:marBottom w:val="0"/>
      <w:divBdr>
        <w:top w:val="none" w:sz="0" w:space="0" w:color="auto"/>
        <w:left w:val="none" w:sz="0" w:space="0" w:color="auto"/>
        <w:bottom w:val="none" w:sz="0" w:space="0" w:color="auto"/>
        <w:right w:val="none" w:sz="0" w:space="0" w:color="auto"/>
      </w:divBdr>
    </w:div>
    <w:div w:id="411702307">
      <w:bodyDiv w:val="1"/>
      <w:marLeft w:val="0"/>
      <w:marRight w:val="0"/>
      <w:marTop w:val="0"/>
      <w:marBottom w:val="0"/>
      <w:divBdr>
        <w:top w:val="none" w:sz="0" w:space="0" w:color="auto"/>
        <w:left w:val="none" w:sz="0" w:space="0" w:color="auto"/>
        <w:bottom w:val="none" w:sz="0" w:space="0" w:color="auto"/>
        <w:right w:val="none" w:sz="0" w:space="0" w:color="auto"/>
      </w:divBdr>
    </w:div>
    <w:div w:id="451631612">
      <w:bodyDiv w:val="1"/>
      <w:marLeft w:val="0"/>
      <w:marRight w:val="0"/>
      <w:marTop w:val="0"/>
      <w:marBottom w:val="0"/>
      <w:divBdr>
        <w:top w:val="none" w:sz="0" w:space="0" w:color="auto"/>
        <w:left w:val="none" w:sz="0" w:space="0" w:color="auto"/>
        <w:bottom w:val="none" w:sz="0" w:space="0" w:color="auto"/>
        <w:right w:val="none" w:sz="0" w:space="0" w:color="auto"/>
      </w:divBdr>
    </w:div>
    <w:div w:id="475728040">
      <w:bodyDiv w:val="1"/>
      <w:marLeft w:val="0"/>
      <w:marRight w:val="0"/>
      <w:marTop w:val="0"/>
      <w:marBottom w:val="0"/>
      <w:divBdr>
        <w:top w:val="none" w:sz="0" w:space="0" w:color="auto"/>
        <w:left w:val="none" w:sz="0" w:space="0" w:color="auto"/>
        <w:bottom w:val="none" w:sz="0" w:space="0" w:color="auto"/>
        <w:right w:val="none" w:sz="0" w:space="0" w:color="auto"/>
      </w:divBdr>
    </w:div>
    <w:div w:id="486020341">
      <w:bodyDiv w:val="1"/>
      <w:marLeft w:val="0"/>
      <w:marRight w:val="0"/>
      <w:marTop w:val="0"/>
      <w:marBottom w:val="0"/>
      <w:divBdr>
        <w:top w:val="none" w:sz="0" w:space="0" w:color="auto"/>
        <w:left w:val="none" w:sz="0" w:space="0" w:color="auto"/>
        <w:bottom w:val="none" w:sz="0" w:space="0" w:color="auto"/>
        <w:right w:val="none" w:sz="0" w:space="0" w:color="auto"/>
      </w:divBdr>
    </w:div>
    <w:div w:id="643777933">
      <w:bodyDiv w:val="1"/>
      <w:marLeft w:val="0"/>
      <w:marRight w:val="0"/>
      <w:marTop w:val="0"/>
      <w:marBottom w:val="0"/>
      <w:divBdr>
        <w:top w:val="none" w:sz="0" w:space="0" w:color="auto"/>
        <w:left w:val="none" w:sz="0" w:space="0" w:color="auto"/>
        <w:bottom w:val="none" w:sz="0" w:space="0" w:color="auto"/>
        <w:right w:val="none" w:sz="0" w:space="0" w:color="auto"/>
      </w:divBdr>
    </w:div>
    <w:div w:id="709112878">
      <w:bodyDiv w:val="1"/>
      <w:marLeft w:val="0"/>
      <w:marRight w:val="0"/>
      <w:marTop w:val="0"/>
      <w:marBottom w:val="0"/>
      <w:divBdr>
        <w:top w:val="none" w:sz="0" w:space="0" w:color="auto"/>
        <w:left w:val="none" w:sz="0" w:space="0" w:color="auto"/>
        <w:bottom w:val="none" w:sz="0" w:space="0" w:color="auto"/>
        <w:right w:val="none" w:sz="0" w:space="0" w:color="auto"/>
      </w:divBdr>
    </w:div>
    <w:div w:id="709719842">
      <w:bodyDiv w:val="1"/>
      <w:marLeft w:val="0"/>
      <w:marRight w:val="0"/>
      <w:marTop w:val="0"/>
      <w:marBottom w:val="0"/>
      <w:divBdr>
        <w:top w:val="none" w:sz="0" w:space="0" w:color="auto"/>
        <w:left w:val="none" w:sz="0" w:space="0" w:color="auto"/>
        <w:bottom w:val="none" w:sz="0" w:space="0" w:color="auto"/>
        <w:right w:val="none" w:sz="0" w:space="0" w:color="auto"/>
      </w:divBdr>
    </w:div>
    <w:div w:id="715201421">
      <w:bodyDiv w:val="1"/>
      <w:marLeft w:val="0"/>
      <w:marRight w:val="0"/>
      <w:marTop w:val="0"/>
      <w:marBottom w:val="0"/>
      <w:divBdr>
        <w:top w:val="none" w:sz="0" w:space="0" w:color="auto"/>
        <w:left w:val="none" w:sz="0" w:space="0" w:color="auto"/>
        <w:bottom w:val="none" w:sz="0" w:space="0" w:color="auto"/>
        <w:right w:val="none" w:sz="0" w:space="0" w:color="auto"/>
      </w:divBdr>
    </w:div>
    <w:div w:id="728770250">
      <w:bodyDiv w:val="1"/>
      <w:marLeft w:val="0"/>
      <w:marRight w:val="0"/>
      <w:marTop w:val="0"/>
      <w:marBottom w:val="0"/>
      <w:divBdr>
        <w:top w:val="none" w:sz="0" w:space="0" w:color="auto"/>
        <w:left w:val="none" w:sz="0" w:space="0" w:color="auto"/>
        <w:bottom w:val="none" w:sz="0" w:space="0" w:color="auto"/>
        <w:right w:val="none" w:sz="0" w:space="0" w:color="auto"/>
      </w:divBdr>
    </w:div>
    <w:div w:id="734279520">
      <w:bodyDiv w:val="1"/>
      <w:marLeft w:val="0"/>
      <w:marRight w:val="0"/>
      <w:marTop w:val="0"/>
      <w:marBottom w:val="0"/>
      <w:divBdr>
        <w:top w:val="none" w:sz="0" w:space="0" w:color="auto"/>
        <w:left w:val="none" w:sz="0" w:space="0" w:color="auto"/>
        <w:bottom w:val="none" w:sz="0" w:space="0" w:color="auto"/>
        <w:right w:val="none" w:sz="0" w:space="0" w:color="auto"/>
      </w:divBdr>
    </w:div>
    <w:div w:id="761413364">
      <w:bodyDiv w:val="1"/>
      <w:marLeft w:val="0"/>
      <w:marRight w:val="0"/>
      <w:marTop w:val="0"/>
      <w:marBottom w:val="0"/>
      <w:divBdr>
        <w:top w:val="none" w:sz="0" w:space="0" w:color="auto"/>
        <w:left w:val="none" w:sz="0" w:space="0" w:color="auto"/>
        <w:bottom w:val="none" w:sz="0" w:space="0" w:color="auto"/>
        <w:right w:val="none" w:sz="0" w:space="0" w:color="auto"/>
      </w:divBdr>
    </w:div>
    <w:div w:id="790512720">
      <w:bodyDiv w:val="1"/>
      <w:marLeft w:val="0"/>
      <w:marRight w:val="0"/>
      <w:marTop w:val="0"/>
      <w:marBottom w:val="0"/>
      <w:divBdr>
        <w:top w:val="none" w:sz="0" w:space="0" w:color="auto"/>
        <w:left w:val="none" w:sz="0" w:space="0" w:color="auto"/>
        <w:bottom w:val="none" w:sz="0" w:space="0" w:color="auto"/>
        <w:right w:val="none" w:sz="0" w:space="0" w:color="auto"/>
      </w:divBdr>
    </w:div>
    <w:div w:id="797450170">
      <w:bodyDiv w:val="1"/>
      <w:marLeft w:val="0"/>
      <w:marRight w:val="0"/>
      <w:marTop w:val="0"/>
      <w:marBottom w:val="0"/>
      <w:divBdr>
        <w:top w:val="none" w:sz="0" w:space="0" w:color="auto"/>
        <w:left w:val="none" w:sz="0" w:space="0" w:color="auto"/>
        <w:bottom w:val="none" w:sz="0" w:space="0" w:color="auto"/>
        <w:right w:val="none" w:sz="0" w:space="0" w:color="auto"/>
      </w:divBdr>
    </w:div>
    <w:div w:id="805465084">
      <w:bodyDiv w:val="1"/>
      <w:marLeft w:val="0"/>
      <w:marRight w:val="0"/>
      <w:marTop w:val="0"/>
      <w:marBottom w:val="0"/>
      <w:divBdr>
        <w:top w:val="none" w:sz="0" w:space="0" w:color="auto"/>
        <w:left w:val="none" w:sz="0" w:space="0" w:color="auto"/>
        <w:bottom w:val="none" w:sz="0" w:space="0" w:color="auto"/>
        <w:right w:val="none" w:sz="0" w:space="0" w:color="auto"/>
      </w:divBdr>
    </w:div>
    <w:div w:id="827290344">
      <w:bodyDiv w:val="1"/>
      <w:marLeft w:val="0"/>
      <w:marRight w:val="0"/>
      <w:marTop w:val="0"/>
      <w:marBottom w:val="0"/>
      <w:divBdr>
        <w:top w:val="none" w:sz="0" w:space="0" w:color="auto"/>
        <w:left w:val="none" w:sz="0" w:space="0" w:color="auto"/>
        <w:bottom w:val="none" w:sz="0" w:space="0" w:color="auto"/>
        <w:right w:val="none" w:sz="0" w:space="0" w:color="auto"/>
      </w:divBdr>
    </w:div>
    <w:div w:id="832985496">
      <w:bodyDiv w:val="1"/>
      <w:marLeft w:val="0"/>
      <w:marRight w:val="0"/>
      <w:marTop w:val="0"/>
      <w:marBottom w:val="0"/>
      <w:divBdr>
        <w:top w:val="none" w:sz="0" w:space="0" w:color="auto"/>
        <w:left w:val="none" w:sz="0" w:space="0" w:color="auto"/>
        <w:bottom w:val="none" w:sz="0" w:space="0" w:color="auto"/>
        <w:right w:val="none" w:sz="0" w:space="0" w:color="auto"/>
      </w:divBdr>
    </w:div>
    <w:div w:id="843861217">
      <w:bodyDiv w:val="1"/>
      <w:marLeft w:val="0"/>
      <w:marRight w:val="0"/>
      <w:marTop w:val="0"/>
      <w:marBottom w:val="0"/>
      <w:divBdr>
        <w:top w:val="none" w:sz="0" w:space="0" w:color="auto"/>
        <w:left w:val="none" w:sz="0" w:space="0" w:color="auto"/>
        <w:bottom w:val="none" w:sz="0" w:space="0" w:color="auto"/>
        <w:right w:val="none" w:sz="0" w:space="0" w:color="auto"/>
      </w:divBdr>
    </w:div>
    <w:div w:id="879513798">
      <w:bodyDiv w:val="1"/>
      <w:marLeft w:val="0"/>
      <w:marRight w:val="0"/>
      <w:marTop w:val="0"/>
      <w:marBottom w:val="0"/>
      <w:divBdr>
        <w:top w:val="none" w:sz="0" w:space="0" w:color="auto"/>
        <w:left w:val="none" w:sz="0" w:space="0" w:color="auto"/>
        <w:bottom w:val="none" w:sz="0" w:space="0" w:color="auto"/>
        <w:right w:val="none" w:sz="0" w:space="0" w:color="auto"/>
      </w:divBdr>
    </w:div>
    <w:div w:id="916784980">
      <w:bodyDiv w:val="1"/>
      <w:marLeft w:val="0"/>
      <w:marRight w:val="0"/>
      <w:marTop w:val="0"/>
      <w:marBottom w:val="0"/>
      <w:divBdr>
        <w:top w:val="none" w:sz="0" w:space="0" w:color="auto"/>
        <w:left w:val="none" w:sz="0" w:space="0" w:color="auto"/>
        <w:bottom w:val="none" w:sz="0" w:space="0" w:color="auto"/>
        <w:right w:val="none" w:sz="0" w:space="0" w:color="auto"/>
      </w:divBdr>
    </w:div>
    <w:div w:id="984508801">
      <w:bodyDiv w:val="1"/>
      <w:marLeft w:val="0"/>
      <w:marRight w:val="0"/>
      <w:marTop w:val="0"/>
      <w:marBottom w:val="0"/>
      <w:divBdr>
        <w:top w:val="none" w:sz="0" w:space="0" w:color="auto"/>
        <w:left w:val="none" w:sz="0" w:space="0" w:color="auto"/>
        <w:bottom w:val="none" w:sz="0" w:space="0" w:color="auto"/>
        <w:right w:val="none" w:sz="0" w:space="0" w:color="auto"/>
      </w:divBdr>
    </w:div>
    <w:div w:id="992098589">
      <w:bodyDiv w:val="1"/>
      <w:marLeft w:val="0"/>
      <w:marRight w:val="0"/>
      <w:marTop w:val="0"/>
      <w:marBottom w:val="0"/>
      <w:divBdr>
        <w:top w:val="none" w:sz="0" w:space="0" w:color="auto"/>
        <w:left w:val="none" w:sz="0" w:space="0" w:color="auto"/>
        <w:bottom w:val="none" w:sz="0" w:space="0" w:color="auto"/>
        <w:right w:val="none" w:sz="0" w:space="0" w:color="auto"/>
      </w:divBdr>
    </w:div>
    <w:div w:id="1004165791">
      <w:bodyDiv w:val="1"/>
      <w:marLeft w:val="0"/>
      <w:marRight w:val="0"/>
      <w:marTop w:val="0"/>
      <w:marBottom w:val="0"/>
      <w:divBdr>
        <w:top w:val="none" w:sz="0" w:space="0" w:color="auto"/>
        <w:left w:val="none" w:sz="0" w:space="0" w:color="auto"/>
        <w:bottom w:val="none" w:sz="0" w:space="0" w:color="auto"/>
        <w:right w:val="none" w:sz="0" w:space="0" w:color="auto"/>
      </w:divBdr>
    </w:div>
    <w:div w:id="1057776504">
      <w:bodyDiv w:val="1"/>
      <w:marLeft w:val="0"/>
      <w:marRight w:val="0"/>
      <w:marTop w:val="0"/>
      <w:marBottom w:val="0"/>
      <w:divBdr>
        <w:top w:val="none" w:sz="0" w:space="0" w:color="auto"/>
        <w:left w:val="none" w:sz="0" w:space="0" w:color="auto"/>
        <w:bottom w:val="none" w:sz="0" w:space="0" w:color="auto"/>
        <w:right w:val="none" w:sz="0" w:space="0" w:color="auto"/>
      </w:divBdr>
    </w:div>
    <w:div w:id="1058742996">
      <w:bodyDiv w:val="1"/>
      <w:marLeft w:val="0"/>
      <w:marRight w:val="0"/>
      <w:marTop w:val="0"/>
      <w:marBottom w:val="0"/>
      <w:divBdr>
        <w:top w:val="none" w:sz="0" w:space="0" w:color="auto"/>
        <w:left w:val="none" w:sz="0" w:space="0" w:color="auto"/>
        <w:bottom w:val="none" w:sz="0" w:space="0" w:color="auto"/>
        <w:right w:val="none" w:sz="0" w:space="0" w:color="auto"/>
      </w:divBdr>
    </w:div>
    <w:div w:id="1066611883">
      <w:bodyDiv w:val="1"/>
      <w:marLeft w:val="0"/>
      <w:marRight w:val="0"/>
      <w:marTop w:val="0"/>
      <w:marBottom w:val="0"/>
      <w:divBdr>
        <w:top w:val="none" w:sz="0" w:space="0" w:color="auto"/>
        <w:left w:val="none" w:sz="0" w:space="0" w:color="auto"/>
        <w:bottom w:val="none" w:sz="0" w:space="0" w:color="auto"/>
        <w:right w:val="none" w:sz="0" w:space="0" w:color="auto"/>
      </w:divBdr>
    </w:div>
    <w:div w:id="1067413538">
      <w:bodyDiv w:val="1"/>
      <w:marLeft w:val="0"/>
      <w:marRight w:val="0"/>
      <w:marTop w:val="0"/>
      <w:marBottom w:val="0"/>
      <w:divBdr>
        <w:top w:val="none" w:sz="0" w:space="0" w:color="auto"/>
        <w:left w:val="none" w:sz="0" w:space="0" w:color="auto"/>
        <w:bottom w:val="none" w:sz="0" w:space="0" w:color="auto"/>
        <w:right w:val="none" w:sz="0" w:space="0" w:color="auto"/>
      </w:divBdr>
    </w:div>
    <w:div w:id="1120496391">
      <w:bodyDiv w:val="1"/>
      <w:marLeft w:val="0"/>
      <w:marRight w:val="0"/>
      <w:marTop w:val="0"/>
      <w:marBottom w:val="0"/>
      <w:divBdr>
        <w:top w:val="none" w:sz="0" w:space="0" w:color="auto"/>
        <w:left w:val="none" w:sz="0" w:space="0" w:color="auto"/>
        <w:bottom w:val="none" w:sz="0" w:space="0" w:color="auto"/>
        <w:right w:val="none" w:sz="0" w:space="0" w:color="auto"/>
      </w:divBdr>
    </w:div>
    <w:div w:id="1188450336">
      <w:bodyDiv w:val="1"/>
      <w:marLeft w:val="0"/>
      <w:marRight w:val="0"/>
      <w:marTop w:val="0"/>
      <w:marBottom w:val="0"/>
      <w:divBdr>
        <w:top w:val="none" w:sz="0" w:space="0" w:color="auto"/>
        <w:left w:val="none" w:sz="0" w:space="0" w:color="auto"/>
        <w:bottom w:val="none" w:sz="0" w:space="0" w:color="auto"/>
        <w:right w:val="none" w:sz="0" w:space="0" w:color="auto"/>
      </w:divBdr>
    </w:div>
    <w:div w:id="1218399724">
      <w:bodyDiv w:val="1"/>
      <w:marLeft w:val="0"/>
      <w:marRight w:val="0"/>
      <w:marTop w:val="0"/>
      <w:marBottom w:val="0"/>
      <w:divBdr>
        <w:top w:val="none" w:sz="0" w:space="0" w:color="auto"/>
        <w:left w:val="none" w:sz="0" w:space="0" w:color="auto"/>
        <w:bottom w:val="none" w:sz="0" w:space="0" w:color="auto"/>
        <w:right w:val="none" w:sz="0" w:space="0" w:color="auto"/>
      </w:divBdr>
    </w:div>
    <w:div w:id="1289045109">
      <w:bodyDiv w:val="1"/>
      <w:marLeft w:val="0"/>
      <w:marRight w:val="0"/>
      <w:marTop w:val="0"/>
      <w:marBottom w:val="0"/>
      <w:divBdr>
        <w:top w:val="none" w:sz="0" w:space="0" w:color="auto"/>
        <w:left w:val="none" w:sz="0" w:space="0" w:color="auto"/>
        <w:bottom w:val="none" w:sz="0" w:space="0" w:color="auto"/>
        <w:right w:val="none" w:sz="0" w:space="0" w:color="auto"/>
      </w:divBdr>
    </w:div>
    <w:div w:id="1359546272">
      <w:bodyDiv w:val="1"/>
      <w:marLeft w:val="0"/>
      <w:marRight w:val="0"/>
      <w:marTop w:val="0"/>
      <w:marBottom w:val="0"/>
      <w:divBdr>
        <w:top w:val="none" w:sz="0" w:space="0" w:color="auto"/>
        <w:left w:val="none" w:sz="0" w:space="0" w:color="auto"/>
        <w:bottom w:val="none" w:sz="0" w:space="0" w:color="auto"/>
        <w:right w:val="none" w:sz="0" w:space="0" w:color="auto"/>
      </w:divBdr>
    </w:div>
    <w:div w:id="1361471995">
      <w:bodyDiv w:val="1"/>
      <w:marLeft w:val="0"/>
      <w:marRight w:val="0"/>
      <w:marTop w:val="0"/>
      <w:marBottom w:val="0"/>
      <w:divBdr>
        <w:top w:val="none" w:sz="0" w:space="0" w:color="auto"/>
        <w:left w:val="none" w:sz="0" w:space="0" w:color="auto"/>
        <w:bottom w:val="none" w:sz="0" w:space="0" w:color="auto"/>
        <w:right w:val="none" w:sz="0" w:space="0" w:color="auto"/>
      </w:divBdr>
    </w:div>
    <w:div w:id="1404334207">
      <w:bodyDiv w:val="1"/>
      <w:marLeft w:val="0"/>
      <w:marRight w:val="0"/>
      <w:marTop w:val="0"/>
      <w:marBottom w:val="0"/>
      <w:divBdr>
        <w:top w:val="none" w:sz="0" w:space="0" w:color="auto"/>
        <w:left w:val="none" w:sz="0" w:space="0" w:color="auto"/>
        <w:bottom w:val="none" w:sz="0" w:space="0" w:color="auto"/>
        <w:right w:val="none" w:sz="0" w:space="0" w:color="auto"/>
      </w:divBdr>
    </w:div>
    <w:div w:id="1421953078">
      <w:bodyDiv w:val="1"/>
      <w:marLeft w:val="0"/>
      <w:marRight w:val="0"/>
      <w:marTop w:val="0"/>
      <w:marBottom w:val="0"/>
      <w:divBdr>
        <w:top w:val="none" w:sz="0" w:space="0" w:color="auto"/>
        <w:left w:val="none" w:sz="0" w:space="0" w:color="auto"/>
        <w:bottom w:val="none" w:sz="0" w:space="0" w:color="auto"/>
        <w:right w:val="none" w:sz="0" w:space="0" w:color="auto"/>
      </w:divBdr>
    </w:div>
    <w:div w:id="1430466167">
      <w:bodyDiv w:val="1"/>
      <w:marLeft w:val="0"/>
      <w:marRight w:val="0"/>
      <w:marTop w:val="0"/>
      <w:marBottom w:val="0"/>
      <w:divBdr>
        <w:top w:val="none" w:sz="0" w:space="0" w:color="auto"/>
        <w:left w:val="none" w:sz="0" w:space="0" w:color="auto"/>
        <w:bottom w:val="none" w:sz="0" w:space="0" w:color="auto"/>
        <w:right w:val="none" w:sz="0" w:space="0" w:color="auto"/>
      </w:divBdr>
    </w:div>
    <w:div w:id="1438062639">
      <w:bodyDiv w:val="1"/>
      <w:marLeft w:val="0"/>
      <w:marRight w:val="0"/>
      <w:marTop w:val="0"/>
      <w:marBottom w:val="0"/>
      <w:divBdr>
        <w:top w:val="none" w:sz="0" w:space="0" w:color="auto"/>
        <w:left w:val="none" w:sz="0" w:space="0" w:color="auto"/>
        <w:bottom w:val="none" w:sz="0" w:space="0" w:color="auto"/>
        <w:right w:val="none" w:sz="0" w:space="0" w:color="auto"/>
      </w:divBdr>
    </w:div>
    <w:div w:id="1456606825">
      <w:bodyDiv w:val="1"/>
      <w:marLeft w:val="0"/>
      <w:marRight w:val="0"/>
      <w:marTop w:val="0"/>
      <w:marBottom w:val="0"/>
      <w:divBdr>
        <w:top w:val="none" w:sz="0" w:space="0" w:color="auto"/>
        <w:left w:val="none" w:sz="0" w:space="0" w:color="auto"/>
        <w:bottom w:val="none" w:sz="0" w:space="0" w:color="auto"/>
        <w:right w:val="none" w:sz="0" w:space="0" w:color="auto"/>
      </w:divBdr>
    </w:div>
    <w:div w:id="1477649482">
      <w:bodyDiv w:val="1"/>
      <w:marLeft w:val="0"/>
      <w:marRight w:val="0"/>
      <w:marTop w:val="0"/>
      <w:marBottom w:val="0"/>
      <w:divBdr>
        <w:top w:val="none" w:sz="0" w:space="0" w:color="auto"/>
        <w:left w:val="none" w:sz="0" w:space="0" w:color="auto"/>
        <w:bottom w:val="none" w:sz="0" w:space="0" w:color="auto"/>
        <w:right w:val="none" w:sz="0" w:space="0" w:color="auto"/>
      </w:divBdr>
    </w:div>
    <w:div w:id="1491172942">
      <w:bodyDiv w:val="1"/>
      <w:marLeft w:val="0"/>
      <w:marRight w:val="0"/>
      <w:marTop w:val="0"/>
      <w:marBottom w:val="0"/>
      <w:divBdr>
        <w:top w:val="none" w:sz="0" w:space="0" w:color="auto"/>
        <w:left w:val="none" w:sz="0" w:space="0" w:color="auto"/>
        <w:bottom w:val="none" w:sz="0" w:space="0" w:color="auto"/>
        <w:right w:val="none" w:sz="0" w:space="0" w:color="auto"/>
      </w:divBdr>
    </w:div>
    <w:div w:id="1568492573">
      <w:bodyDiv w:val="1"/>
      <w:marLeft w:val="0"/>
      <w:marRight w:val="0"/>
      <w:marTop w:val="0"/>
      <w:marBottom w:val="0"/>
      <w:divBdr>
        <w:top w:val="none" w:sz="0" w:space="0" w:color="auto"/>
        <w:left w:val="none" w:sz="0" w:space="0" w:color="auto"/>
        <w:bottom w:val="none" w:sz="0" w:space="0" w:color="auto"/>
        <w:right w:val="none" w:sz="0" w:space="0" w:color="auto"/>
      </w:divBdr>
    </w:div>
    <w:div w:id="1602641570">
      <w:bodyDiv w:val="1"/>
      <w:marLeft w:val="0"/>
      <w:marRight w:val="0"/>
      <w:marTop w:val="0"/>
      <w:marBottom w:val="0"/>
      <w:divBdr>
        <w:top w:val="none" w:sz="0" w:space="0" w:color="auto"/>
        <w:left w:val="none" w:sz="0" w:space="0" w:color="auto"/>
        <w:bottom w:val="none" w:sz="0" w:space="0" w:color="auto"/>
        <w:right w:val="none" w:sz="0" w:space="0" w:color="auto"/>
      </w:divBdr>
    </w:div>
    <w:div w:id="1623802817">
      <w:bodyDiv w:val="1"/>
      <w:marLeft w:val="0"/>
      <w:marRight w:val="0"/>
      <w:marTop w:val="0"/>
      <w:marBottom w:val="0"/>
      <w:divBdr>
        <w:top w:val="none" w:sz="0" w:space="0" w:color="auto"/>
        <w:left w:val="none" w:sz="0" w:space="0" w:color="auto"/>
        <w:bottom w:val="none" w:sz="0" w:space="0" w:color="auto"/>
        <w:right w:val="none" w:sz="0" w:space="0" w:color="auto"/>
      </w:divBdr>
    </w:div>
    <w:div w:id="1638025965">
      <w:bodyDiv w:val="1"/>
      <w:marLeft w:val="0"/>
      <w:marRight w:val="0"/>
      <w:marTop w:val="0"/>
      <w:marBottom w:val="0"/>
      <w:divBdr>
        <w:top w:val="none" w:sz="0" w:space="0" w:color="auto"/>
        <w:left w:val="none" w:sz="0" w:space="0" w:color="auto"/>
        <w:bottom w:val="none" w:sz="0" w:space="0" w:color="auto"/>
        <w:right w:val="none" w:sz="0" w:space="0" w:color="auto"/>
      </w:divBdr>
    </w:div>
    <w:div w:id="1673222500">
      <w:bodyDiv w:val="1"/>
      <w:marLeft w:val="0"/>
      <w:marRight w:val="0"/>
      <w:marTop w:val="0"/>
      <w:marBottom w:val="0"/>
      <w:divBdr>
        <w:top w:val="none" w:sz="0" w:space="0" w:color="auto"/>
        <w:left w:val="none" w:sz="0" w:space="0" w:color="auto"/>
        <w:bottom w:val="none" w:sz="0" w:space="0" w:color="auto"/>
        <w:right w:val="none" w:sz="0" w:space="0" w:color="auto"/>
      </w:divBdr>
    </w:div>
    <w:div w:id="1673409657">
      <w:bodyDiv w:val="1"/>
      <w:marLeft w:val="0"/>
      <w:marRight w:val="0"/>
      <w:marTop w:val="0"/>
      <w:marBottom w:val="0"/>
      <w:divBdr>
        <w:top w:val="none" w:sz="0" w:space="0" w:color="auto"/>
        <w:left w:val="none" w:sz="0" w:space="0" w:color="auto"/>
        <w:bottom w:val="none" w:sz="0" w:space="0" w:color="auto"/>
        <w:right w:val="none" w:sz="0" w:space="0" w:color="auto"/>
      </w:divBdr>
    </w:div>
    <w:div w:id="1674528285">
      <w:bodyDiv w:val="1"/>
      <w:marLeft w:val="0"/>
      <w:marRight w:val="0"/>
      <w:marTop w:val="0"/>
      <w:marBottom w:val="0"/>
      <w:divBdr>
        <w:top w:val="none" w:sz="0" w:space="0" w:color="auto"/>
        <w:left w:val="none" w:sz="0" w:space="0" w:color="auto"/>
        <w:bottom w:val="none" w:sz="0" w:space="0" w:color="auto"/>
        <w:right w:val="none" w:sz="0" w:space="0" w:color="auto"/>
      </w:divBdr>
    </w:div>
    <w:div w:id="1692339106">
      <w:bodyDiv w:val="1"/>
      <w:marLeft w:val="0"/>
      <w:marRight w:val="0"/>
      <w:marTop w:val="0"/>
      <w:marBottom w:val="0"/>
      <w:divBdr>
        <w:top w:val="none" w:sz="0" w:space="0" w:color="auto"/>
        <w:left w:val="none" w:sz="0" w:space="0" w:color="auto"/>
        <w:bottom w:val="none" w:sz="0" w:space="0" w:color="auto"/>
        <w:right w:val="none" w:sz="0" w:space="0" w:color="auto"/>
      </w:divBdr>
    </w:div>
    <w:div w:id="1693456103">
      <w:bodyDiv w:val="1"/>
      <w:marLeft w:val="0"/>
      <w:marRight w:val="0"/>
      <w:marTop w:val="0"/>
      <w:marBottom w:val="0"/>
      <w:divBdr>
        <w:top w:val="none" w:sz="0" w:space="0" w:color="auto"/>
        <w:left w:val="none" w:sz="0" w:space="0" w:color="auto"/>
        <w:bottom w:val="none" w:sz="0" w:space="0" w:color="auto"/>
        <w:right w:val="none" w:sz="0" w:space="0" w:color="auto"/>
      </w:divBdr>
    </w:div>
    <w:div w:id="1706829276">
      <w:bodyDiv w:val="1"/>
      <w:marLeft w:val="0"/>
      <w:marRight w:val="0"/>
      <w:marTop w:val="0"/>
      <w:marBottom w:val="0"/>
      <w:divBdr>
        <w:top w:val="none" w:sz="0" w:space="0" w:color="auto"/>
        <w:left w:val="none" w:sz="0" w:space="0" w:color="auto"/>
        <w:bottom w:val="none" w:sz="0" w:space="0" w:color="auto"/>
        <w:right w:val="none" w:sz="0" w:space="0" w:color="auto"/>
      </w:divBdr>
    </w:div>
    <w:div w:id="1714890755">
      <w:bodyDiv w:val="1"/>
      <w:marLeft w:val="0"/>
      <w:marRight w:val="0"/>
      <w:marTop w:val="0"/>
      <w:marBottom w:val="0"/>
      <w:divBdr>
        <w:top w:val="none" w:sz="0" w:space="0" w:color="auto"/>
        <w:left w:val="none" w:sz="0" w:space="0" w:color="auto"/>
        <w:bottom w:val="none" w:sz="0" w:space="0" w:color="auto"/>
        <w:right w:val="none" w:sz="0" w:space="0" w:color="auto"/>
      </w:divBdr>
    </w:div>
    <w:div w:id="1779985625">
      <w:bodyDiv w:val="1"/>
      <w:marLeft w:val="0"/>
      <w:marRight w:val="0"/>
      <w:marTop w:val="0"/>
      <w:marBottom w:val="0"/>
      <w:divBdr>
        <w:top w:val="none" w:sz="0" w:space="0" w:color="auto"/>
        <w:left w:val="none" w:sz="0" w:space="0" w:color="auto"/>
        <w:bottom w:val="none" w:sz="0" w:space="0" w:color="auto"/>
        <w:right w:val="none" w:sz="0" w:space="0" w:color="auto"/>
      </w:divBdr>
    </w:div>
    <w:div w:id="1783185459">
      <w:bodyDiv w:val="1"/>
      <w:marLeft w:val="0"/>
      <w:marRight w:val="0"/>
      <w:marTop w:val="0"/>
      <w:marBottom w:val="0"/>
      <w:divBdr>
        <w:top w:val="none" w:sz="0" w:space="0" w:color="auto"/>
        <w:left w:val="none" w:sz="0" w:space="0" w:color="auto"/>
        <w:bottom w:val="none" w:sz="0" w:space="0" w:color="auto"/>
        <w:right w:val="none" w:sz="0" w:space="0" w:color="auto"/>
      </w:divBdr>
    </w:div>
    <w:div w:id="1800565141">
      <w:bodyDiv w:val="1"/>
      <w:marLeft w:val="0"/>
      <w:marRight w:val="0"/>
      <w:marTop w:val="0"/>
      <w:marBottom w:val="0"/>
      <w:divBdr>
        <w:top w:val="none" w:sz="0" w:space="0" w:color="auto"/>
        <w:left w:val="none" w:sz="0" w:space="0" w:color="auto"/>
        <w:bottom w:val="none" w:sz="0" w:space="0" w:color="auto"/>
        <w:right w:val="none" w:sz="0" w:space="0" w:color="auto"/>
      </w:divBdr>
    </w:div>
    <w:div w:id="1823810693">
      <w:bodyDiv w:val="1"/>
      <w:marLeft w:val="0"/>
      <w:marRight w:val="0"/>
      <w:marTop w:val="0"/>
      <w:marBottom w:val="0"/>
      <w:divBdr>
        <w:top w:val="none" w:sz="0" w:space="0" w:color="auto"/>
        <w:left w:val="none" w:sz="0" w:space="0" w:color="auto"/>
        <w:bottom w:val="none" w:sz="0" w:space="0" w:color="auto"/>
        <w:right w:val="none" w:sz="0" w:space="0" w:color="auto"/>
      </w:divBdr>
    </w:div>
    <w:div w:id="1852716752">
      <w:bodyDiv w:val="1"/>
      <w:marLeft w:val="0"/>
      <w:marRight w:val="0"/>
      <w:marTop w:val="0"/>
      <w:marBottom w:val="0"/>
      <w:divBdr>
        <w:top w:val="none" w:sz="0" w:space="0" w:color="auto"/>
        <w:left w:val="none" w:sz="0" w:space="0" w:color="auto"/>
        <w:bottom w:val="none" w:sz="0" w:space="0" w:color="auto"/>
        <w:right w:val="none" w:sz="0" w:space="0" w:color="auto"/>
      </w:divBdr>
    </w:div>
    <w:div w:id="1905410544">
      <w:bodyDiv w:val="1"/>
      <w:marLeft w:val="0"/>
      <w:marRight w:val="0"/>
      <w:marTop w:val="0"/>
      <w:marBottom w:val="0"/>
      <w:divBdr>
        <w:top w:val="none" w:sz="0" w:space="0" w:color="auto"/>
        <w:left w:val="none" w:sz="0" w:space="0" w:color="auto"/>
        <w:bottom w:val="none" w:sz="0" w:space="0" w:color="auto"/>
        <w:right w:val="none" w:sz="0" w:space="0" w:color="auto"/>
      </w:divBdr>
    </w:div>
    <w:div w:id="1912614990">
      <w:bodyDiv w:val="1"/>
      <w:marLeft w:val="0"/>
      <w:marRight w:val="0"/>
      <w:marTop w:val="0"/>
      <w:marBottom w:val="0"/>
      <w:divBdr>
        <w:top w:val="none" w:sz="0" w:space="0" w:color="auto"/>
        <w:left w:val="none" w:sz="0" w:space="0" w:color="auto"/>
        <w:bottom w:val="none" w:sz="0" w:space="0" w:color="auto"/>
        <w:right w:val="none" w:sz="0" w:space="0" w:color="auto"/>
      </w:divBdr>
    </w:div>
    <w:div w:id="1938630598">
      <w:bodyDiv w:val="1"/>
      <w:marLeft w:val="0"/>
      <w:marRight w:val="0"/>
      <w:marTop w:val="0"/>
      <w:marBottom w:val="0"/>
      <w:divBdr>
        <w:top w:val="none" w:sz="0" w:space="0" w:color="auto"/>
        <w:left w:val="none" w:sz="0" w:space="0" w:color="auto"/>
        <w:bottom w:val="none" w:sz="0" w:space="0" w:color="auto"/>
        <w:right w:val="none" w:sz="0" w:space="0" w:color="auto"/>
      </w:divBdr>
    </w:div>
    <w:div w:id="1949116535">
      <w:bodyDiv w:val="1"/>
      <w:marLeft w:val="0"/>
      <w:marRight w:val="0"/>
      <w:marTop w:val="0"/>
      <w:marBottom w:val="0"/>
      <w:divBdr>
        <w:top w:val="none" w:sz="0" w:space="0" w:color="auto"/>
        <w:left w:val="none" w:sz="0" w:space="0" w:color="auto"/>
        <w:bottom w:val="none" w:sz="0" w:space="0" w:color="auto"/>
        <w:right w:val="none" w:sz="0" w:space="0" w:color="auto"/>
      </w:divBdr>
    </w:div>
    <w:div w:id="1953201013">
      <w:bodyDiv w:val="1"/>
      <w:marLeft w:val="0"/>
      <w:marRight w:val="0"/>
      <w:marTop w:val="0"/>
      <w:marBottom w:val="0"/>
      <w:divBdr>
        <w:top w:val="none" w:sz="0" w:space="0" w:color="auto"/>
        <w:left w:val="none" w:sz="0" w:space="0" w:color="auto"/>
        <w:bottom w:val="none" w:sz="0" w:space="0" w:color="auto"/>
        <w:right w:val="none" w:sz="0" w:space="0" w:color="auto"/>
      </w:divBdr>
    </w:div>
    <w:div w:id="1969554524">
      <w:bodyDiv w:val="1"/>
      <w:marLeft w:val="0"/>
      <w:marRight w:val="0"/>
      <w:marTop w:val="0"/>
      <w:marBottom w:val="0"/>
      <w:divBdr>
        <w:top w:val="none" w:sz="0" w:space="0" w:color="auto"/>
        <w:left w:val="none" w:sz="0" w:space="0" w:color="auto"/>
        <w:bottom w:val="none" w:sz="0" w:space="0" w:color="auto"/>
        <w:right w:val="none" w:sz="0" w:space="0" w:color="auto"/>
      </w:divBdr>
    </w:div>
    <w:div w:id="2000158846">
      <w:bodyDiv w:val="1"/>
      <w:marLeft w:val="0"/>
      <w:marRight w:val="0"/>
      <w:marTop w:val="0"/>
      <w:marBottom w:val="0"/>
      <w:divBdr>
        <w:top w:val="none" w:sz="0" w:space="0" w:color="auto"/>
        <w:left w:val="none" w:sz="0" w:space="0" w:color="auto"/>
        <w:bottom w:val="none" w:sz="0" w:space="0" w:color="auto"/>
        <w:right w:val="none" w:sz="0" w:space="0" w:color="auto"/>
      </w:divBdr>
    </w:div>
    <w:div w:id="2019119622">
      <w:bodyDiv w:val="1"/>
      <w:marLeft w:val="0"/>
      <w:marRight w:val="0"/>
      <w:marTop w:val="0"/>
      <w:marBottom w:val="0"/>
      <w:divBdr>
        <w:top w:val="none" w:sz="0" w:space="0" w:color="auto"/>
        <w:left w:val="none" w:sz="0" w:space="0" w:color="auto"/>
        <w:bottom w:val="none" w:sz="0" w:space="0" w:color="auto"/>
        <w:right w:val="none" w:sz="0" w:space="0" w:color="auto"/>
      </w:divBdr>
    </w:div>
    <w:div w:id="2025129980">
      <w:bodyDiv w:val="1"/>
      <w:marLeft w:val="0"/>
      <w:marRight w:val="0"/>
      <w:marTop w:val="0"/>
      <w:marBottom w:val="0"/>
      <w:divBdr>
        <w:top w:val="none" w:sz="0" w:space="0" w:color="auto"/>
        <w:left w:val="none" w:sz="0" w:space="0" w:color="auto"/>
        <w:bottom w:val="none" w:sz="0" w:space="0" w:color="auto"/>
        <w:right w:val="none" w:sz="0" w:space="0" w:color="auto"/>
      </w:divBdr>
    </w:div>
    <w:div w:id="2025982845">
      <w:bodyDiv w:val="1"/>
      <w:marLeft w:val="0"/>
      <w:marRight w:val="0"/>
      <w:marTop w:val="0"/>
      <w:marBottom w:val="0"/>
      <w:divBdr>
        <w:top w:val="none" w:sz="0" w:space="0" w:color="auto"/>
        <w:left w:val="none" w:sz="0" w:space="0" w:color="auto"/>
        <w:bottom w:val="none" w:sz="0" w:space="0" w:color="auto"/>
        <w:right w:val="none" w:sz="0" w:space="0" w:color="auto"/>
      </w:divBdr>
    </w:div>
    <w:div w:id="2058964860">
      <w:bodyDiv w:val="1"/>
      <w:marLeft w:val="0"/>
      <w:marRight w:val="0"/>
      <w:marTop w:val="0"/>
      <w:marBottom w:val="0"/>
      <w:divBdr>
        <w:top w:val="none" w:sz="0" w:space="0" w:color="auto"/>
        <w:left w:val="none" w:sz="0" w:space="0" w:color="auto"/>
        <w:bottom w:val="none" w:sz="0" w:space="0" w:color="auto"/>
        <w:right w:val="none" w:sz="0" w:space="0" w:color="auto"/>
      </w:divBdr>
    </w:div>
    <w:div w:id="2071229873">
      <w:bodyDiv w:val="1"/>
      <w:marLeft w:val="0"/>
      <w:marRight w:val="0"/>
      <w:marTop w:val="0"/>
      <w:marBottom w:val="0"/>
      <w:divBdr>
        <w:top w:val="none" w:sz="0" w:space="0" w:color="auto"/>
        <w:left w:val="none" w:sz="0" w:space="0" w:color="auto"/>
        <w:bottom w:val="none" w:sz="0" w:space="0" w:color="auto"/>
        <w:right w:val="none" w:sz="0" w:space="0" w:color="auto"/>
      </w:divBdr>
    </w:div>
    <w:div w:id="2110268484">
      <w:bodyDiv w:val="1"/>
      <w:marLeft w:val="0"/>
      <w:marRight w:val="0"/>
      <w:marTop w:val="0"/>
      <w:marBottom w:val="0"/>
      <w:divBdr>
        <w:top w:val="none" w:sz="0" w:space="0" w:color="auto"/>
        <w:left w:val="none" w:sz="0" w:space="0" w:color="auto"/>
        <w:bottom w:val="none" w:sz="0" w:space="0" w:color="auto"/>
        <w:right w:val="none" w:sz="0" w:space="0" w:color="auto"/>
      </w:divBdr>
    </w:div>
    <w:div w:id="2115051416">
      <w:bodyDiv w:val="1"/>
      <w:marLeft w:val="0"/>
      <w:marRight w:val="0"/>
      <w:marTop w:val="0"/>
      <w:marBottom w:val="0"/>
      <w:divBdr>
        <w:top w:val="none" w:sz="0" w:space="0" w:color="auto"/>
        <w:left w:val="none" w:sz="0" w:space="0" w:color="auto"/>
        <w:bottom w:val="none" w:sz="0" w:space="0" w:color="auto"/>
        <w:right w:val="none" w:sz="0" w:space="0" w:color="auto"/>
      </w:divBdr>
    </w:div>
    <w:div w:id="2140295593">
      <w:bodyDiv w:val="1"/>
      <w:marLeft w:val="0"/>
      <w:marRight w:val="0"/>
      <w:marTop w:val="0"/>
      <w:marBottom w:val="0"/>
      <w:divBdr>
        <w:top w:val="none" w:sz="0" w:space="0" w:color="auto"/>
        <w:left w:val="none" w:sz="0" w:space="0" w:color="auto"/>
        <w:bottom w:val="none" w:sz="0" w:space="0" w:color="auto"/>
        <w:right w:val="none" w:sz="0" w:space="0" w:color="auto"/>
      </w:divBdr>
    </w:div>
    <w:div w:id="21441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chart" Target="charts/chart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Dropbox\24-IF%203PPVC\3%20PPVC%20-%20Cop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01a7ac365d4d06c1/24-IF-3PPVC/3%20PPVC%20-%20Cop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i\Dropbox\24-IF%203PPVC\3%20PPVC%20-%20Cop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i\Dropbox\24-IF%203PPVC\3%20PPVC%20-%20Cop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01a7ac365d4d06c1/24-IF-3PPVC/3%20PPVC.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1" baseline="0">
                <a:effectLst/>
                <a:latin typeface="Times New Roman" panose="02020603050405020304" pitchFamily="18" charset="0"/>
                <a:cs typeface="Times New Roman" panose="02020603050405020304" pitchFamily="18" charset="0"/>
              </a:rPr>
              <a:t>GWP</a:t>
            </a:r>
            <a:endParaRPr lang="en-US" sz="900">
              <a:effectLst/>
              <a:latin typeface="Times New Roman" panose="02020603050405020304" pitchFamily="18" charset="0"/>
              <a:cs typeface="Times New Roman" panose="02020603050405020304" pitchFamily="18" charset="0"/>
            </a:endParaRPr>
          </a:p>
        </c:rich>
      </c:tx>
      <c:layout>
        <c:manualLayout>
          <c:xMode val="edge"/>
          <c:yMode val="edge"/>
          <c:x val="0.4628541119860017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846981627296588"/>
          <c:y val="1.7757903928352314E-2"/>
          <c:w val="0.85097462817147862"/>
          <c:h val="0.96448419214329539"/>
        </c:manualLayout>
      </c:layout>
      <c:barChart>
        <c:barDir val="col"/>
        <c:grouping val="clustered"/>
        <c:varyColors val="0"/>
        <c:ser>
          <c:idx val="0"/>
          <c:order val="0"/>
          <c:tx>
            <c:strRef>
              <c:f>'CO2 Main'!$G$34</c:f>
              <c:strCache>
                <c:ptCount val="1"/>
                <c:pt idx="0">
                  <c:v>S-PPVC</c:v>
                </c:pt>
              </c:strCache>
            </c:strRef>
          </c:tx>
          <c:spPr>
            <a:solidFill>
              <a:schemeClr val="accent1"/>
            </a:solidFill>
            <a:ln>
              <a:noFill/>
            </a:ln>
            <a:effectLst/>
          </c:spPr>
          <c:invertIfNegative val="0"/>
          <c:cat>
            <c:strRef>
              <c:f>'CO2 Main'!$H$33:$M$33</c:f>
              <c:strCache>
                <c:ptCount val="6"/>
                <c:pt idx="0">
                  <c:v>Production</c:v>
                </c:pt>
                <c:pt idx="1">
                  <c:v>Transport </c:v>
                </c:pt>
                <c:pt idx="2">
                  <c:v>On-site </c:v>
                </c:pt>
                <c:pt idx="3">
                  <c:v>Maintenance </c:v>
                </c:pt>
                <c:pt idx="4">
                  <c:v>End of life </c:v>
                </c:pt>
                <c:pt idx="5">
                  <c:v>Total</c:v>
                </c:pt>
              </c:strCache>
            </c:strRef>
          </c:cat>
          <c:val>
            <c:numRef>
              <c:f>'CO2 Main'!$H$34:$M$34</c:f>
              <c:numCache>
                <c:formatCode>General</c:formatCode>
                <c:ptCount val="6"/>
                <c:pt idx="0">
                  <c:v>11256.458593542682</c:v>
                </c:pt>
                <c:pt idx="1">
                  <c:v>1014.0350877192982</c:v>
                </c:pt>
                <c:pt idx="2">
                  <c:v>210.52631578947367</c:v>
                </c:pt>
                <c:pt idx="3">
                  <c:v>562.82292967713408</c:v>
                </c:pt>
                <c:pt idx="4">
                  <c:v>-4100</c:v>
                </c:pt>
                <c:pt idx="5">
                  <c:v>8943.8429267285865</c:v>
                </c:pt>
              </c:numCache>
            </c:numRef>
          </c:val>
          <c:extLst>
            <c:ext xmlns:c16="http://schemas.microsoft.com/office/drawing/2014/chart" uri="{C3380CC4-5D6E-409C-BE32-E72D297353CC}">
              <c16:uniqueId val="{00000000-2A27-4B0D-84CE-602B064754C7}"/>
            </c:ext>
          </c:extLst>
        </c:ser>
        <c:ser>
          <c:idx val="1"/>
          <c:order val="1"/>
          <c:tx>
            <c:strRef>
              <c:f>'CO2 Main'!$G$35</c:f>
              <c:strCache>
                <c:ptCount val="1"/>
                <c:pt idx="0">
                  <c:v>C-PPVC</c:v>
                </c:pt>
              </c:strCache>
            </c:strRef>
          </c:tx>
          <c:spPr>
            <a:solidFill>
              <a:schemeClr val="accent2"/>
            </a:solidFill>
            <a:ln>
              <a:noFill/>
            </a:ln>
            <a:effectLst/>
          </c:spPr>
          <c:invertIfNegative val="0"/>
          <c:cat>
            <c:strRef>
              <c:f>'CO2 Main'!$H$33:$M$33</c:f>
              <c:strCache>
                <c:ptCount val="6"/>
                <c:pt idx="0">
                  <c:v>Production</c:v>
                </c:pt>
                <c:pt idx="1">
                  <c:v>Transport </c:v>
                </c:pt>
                <c:pt idx="2">
                  <c:v>On-site </c:v>
                </c:pt>
                <c:pt idx="3">
                  <c:v>Maintenance </c:v>
                </c:pt>
                <c:pt idx="4">
                  <c:v>End of life </c:v>
                </c:pt>
                <c:pt idx="5">
                  <c:v>Total</c:v>
                </c:pt>
              </c:strCache>
            </c:strRef>
          </c:cat>
          <c:val>
            <c:numRef>
              <c:f>'CO2 Main'!$H$35:$M$35</c:f>
              <c:numCache>
                <c:formatCode>General</c:formatCode>
                <c:ptCount val="6"/>
                <c:pt idx="0">
                  <c:v>9294.1473684210523</c:v>
                </c:pt>
                <c:pt idx="1">
                  <c:v>1014.0350877192982</c:v>
                </c:pt>
                <c:pt idx="2">
                  <c:v>210.52631578947367</c:v>
                </c:pt>
                <c:pt idx="3">
                  <c:v>464.70736842105265</c:v>
                </c:pt>
                <c:pt idx="4">
                  <c:v>-800</c:v>
                </c:pt>
                <c:pt idx="5">
                  <c:v>10183.416140350875</c:v>
                </c:pt>
              </c:numCache>
            </c:numRef>
          </c:val>
          <c:extLst>
            <c:ext xmlns:c16="http://schemas.microsoft.com/office/drawing/2014/chart" uri="{C3380CC4-5D6E-409C-BE32-E72D297353CC}">
              <c16:uniqueId val="{00000001-2A27-4B0D-84CE-602B064754C7}"/>
            </c:ext>
          </c:extLst>
        </c:ser>
        <c:ser>
          <c:idx val="2"/>
          <c:order val="2"/>
          <c:tx>
            <c:strRef>
              <c:f>'CO2 Main'!$G$36</c:f>
              <c:strCache>
                <c:ptCount val="1"/>
                <c:pt idx="0">
                  <c:v>T-PPVC</c:v>
                </c:pt>
              </c:strCache>
            </c:strRef>
          </c:tx>
          <c:spPr>
            <a:solidFill>
              <a:schemeClr val="accent3"/>
            </a:solidFill>
            <a:ln>
              <a:noFill/>
            </a:ln>
            <a:effectLst/>
          </c:spPr>
          <c:invertIfNegative val="0"/>
          <c:cat>
            <c:strRef>
              <c:f>'CO2 Main'!$H$33:$M$33</c:f>
              <c:strCache>
                <c:ptCount val="6"/>
                <c:pt idx="0">
                  <c:v>Production</c:v>
                </c:pt>
                <c:pt idx="1">
                  <c:v>Transport </c:v>
                </c:pt>
                <c:pt idx="2">
                  <c:v>On-site </c:v>
                </c:pt>
                <c:pt idx="3">
                  <c:v>Maintenance </c:v>
                </c:pt>
                <c:pt idx="4">
                  <c:v>End of life </c:v>
                </c:pt>
                <c:pt idx="5">
                  <c:v>Total</c:v>
                </c:pt>
              </c:strCache>
            </c:strRef>
          </c:cat>
          <c:val>
            <c:numRef>
              <c:f>'CO2 Main'!$H$36:$M$36</c:f>
              <c:numCache>
                <c:formatCode>General</c:formatCode>
                <c:ptCount val="6"/>
                <c:pt idx="0">
                  <c:v>7890</c:v>
                </c:pt>
                <c:pt idx="1">
                  <c:v>1014.0350877192982</c:v>
                </c:pt>
                <c:pt idx="2">
                  <c:v>210.52631578947367</c:v>
                </c:pt>
                <c:pt idx="3">
                  <c:v>294.54385964912279</c:v>
                </c:pt>
                <c:pt idx="4">
                  <c:v>-1456.140350877193</c:v>
                </c:pt>
                <c:pt idx="5">
                  <c:v>7952.9649122807004</c:v>
                </c:pt>
              </c:numCache>
            </c:numRef>
          </c:val>
          <c:extLst>
            <c:ext xmlns:c16="http://schemas.microsoft.com/office/drawing/2014/chart" uri="{C3380CC4-5D6E-409C-BE32-E72D297353CC}">
              <c16:uniqueId val="{00000002-2A27-4B0D-84CE-602B064754C7}"/>
            </c:ext>
          </c:extLst>
        </c:ser>
        <c:dLbls>
          <c:showLegendKey val="0"/>
          <c:showVal val="0"/>
          <c:showCatName val="0"/>
          <c:showSerName val="0"/>
          <c:showPercent val="0"/>
          <c:showBubbleSize val="0"/>
        </c:dLbls>
        <c:gapWidth val="219"/>
        <c:overlap val="-27"/>
        <c:axId val="-1458246336"/>
        <c:axId val="-1458239264"/>
      </c:barChart>
      <c:catAx>
        <c:axId val="-145824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239264"/>
        <c:crosses val="autoZero"/>
        <c:auto val="1"/>
        <c:lblAlgn val="ctr"/>
        <c:lblOffset val="100"/>
        <c:noMultiLvlLbl val="0"/>
      </c:catAx>
      <c:valAx>
        <c:axId val="-1458239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solidFill>
                      <a:srgbClr val="0070C0"/>
                    </a:solidFill>
                    <a:effectLst/>
                    <a:latin typeface="Times New Roman" panose="02020603050405020304" pitchFamily="18" charset="0"/>
                    <a:cs typeface="Times New Roman" panose="02020603050405020304" pitchFamily="18" charset="0"/>
                  </a:rPr>
                  <a:t>Kg CO</a:t>
                </a:r>
                <a:r>
                  <a:rPr lang="en-US" sz="1000" b="0" i="0" u="none" strike="noStrike" baseline="-25000">
                    <a:solidFill>
                      <a:srgbClr val="0070C0"/>
                    </a:solidFill>
                    <a:effectLst/>
                    <a:latin typeface="Times New Roman" panose="02020603050405020304" pitchFamily="18" charset="0"/>
                    <a:cs typeface="Times New Roman" panose="02020603050405020304" pitchFamily="18" charset="0"/>
                  </a:rPr>
                  <a:t>2eq</a:t>
                </a:r>
                <a:endParaRPr lang="en-US">
                  <a:solidFill>
                    <a:srgbClr val="0070C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8246336"/>
        <c:crosses val="autoZero"/>
        <c:crossBetween val="between"/>
      </c:valAx>
      <c:spPr>
        <a:noFill/>
        <a:ln>
          <a:noFill/>
        </a:ln>
        <a:effectLst/>
      </c:spPr>
    </c:plotArea>
    <c:legend>
      <c:legendPos val="b"/>
      <c:layout>
        <c:manualLayout>
          <c:xMode val="edge"/>
          <c:yMode val="edge"/>
          <c:x val="0.19634448818897637"/>
          <c:y val="0.90348051430280074"/>
          <c:w val="0.62119969378827644"/>
          <c:h val="7.120303000099671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b="0" i="1" baseline="0">
                <a:effectLst/>
                <a:latin typeface="Times New Roman" panose="02020603050405020304" pitchFamily="18" charset="0"/>
                <a:cs typeface="Times New Roman" panose="02020603050405020304" pitchFamily="18" charset="0"/>
              </a:rPr>
              <a:t>Embodied Energy </a:t>
            </a:r>
            <a:endParaRPr lang="en-US" sz="1000">
              <a:effectLst/>
              <a:latin typeface="Times New Roman" panose="02020603050405020304" pitchFamily="18" charset="0"/>
              <a:cs typeface="Times New Roman" panose="02020603050405020304" pitchFamily="18" charset="0"/>
            </a:endParaRPr>
          </a:p>
        </c:rich>
      </c:tx>
      <c:layout>
        <c:manualLayout>
          <c:xMode val="edge"/>
          <c:yMode val="edge"/>
          <c:x val="0.40916969357158528"/>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1760785126317415"/>
          <c:y val="1.6457896073686883E-2"/>
          <c:w val="0.88239214873682581"/>
          <c:h val="0.96708420785262628"/>
        </c:manualLayout>
      </c:layout>
      <c:barChart>
        <c:barDir val="col"/>
        <c:grouping val="clustered"/>
        <c:varyColors val="0"/>
        <c:ser>
          <c:idx val="0"/>
          <c:order val="0"/>
          <c:tx>
            <c:strRef>
              <c:f>'EE-Gigajoules'!$K$12</c:f>
              <c:strCache>
                <c:ptCount val="1"/>
                <c:pt idx="0">
                  <c:v>S-PPVC</c:v>
                </c:pt>
              </c:strCache>
            </c:strRef>
          </c:tx>
          <c:spPr>
            <a:solidFill>
              <a:schemeClr val="accent1">
                <a:alpha val="85000"/>
              </a:schemeClr>
            </a:solidFill>
            <a:ln w="9525" cap="flat" cmpd="sng" algn="ctr">
              <a:solidFill>
                <a:schemeClr val="lt1">
                  <a:alpha val="50000"/>
                </a:schemeClr>
              </a:solidFill>
              <a:round/>
            </a:ln>
            <a:effectLst/>
          </c:spPr>
          <c:invertIfNegative val="0"/>
          <c:dLbls>
            <c:delete val="1"/>
          </c:dLbls>
          <c:cat>
            <c:strRef>
              <c:f>'EE-Gigajoules'!$L$11:$Q$11</c:f>
              <c:strCache>
                <c:ptCount val="6"/>
                <c:pt idx="0">
                  <c:v>Production  </c:v>
                </c:pt>
                <c:pt idx="1">
                  <c:v>Transport </c:v>
                </c:pt>
                <c:pt idx="2">
                  <c:v>On-site </c:v>
                </c:pt>
                <c:pt idx="3">
                  <c:v>Maintenance </c:v>
                </c:pt>
                <c:pt idx="4">
                  <c:v>End of life </c:v>
                </c:pt>
                <c:pt idx="5">
                  <c:v>Total</c:v>
                </c:pt>
              </c:strCache>
            </c:strRef>
          </c:cat>
          <c:val>
            <c:numRef>
              <c:f>'EE-Gigajoules'!$L$12:$Q$12</c:f>
              <c:numCache>
                <c:formatCode>General</c:formatCode>
                <c:ptCount val="6"/>
                <c:pt idx="0">
                  <c:v>320340</c:v>
                </c:pt>
                <c:pt idx="1">
                  <c:v>5687.5</c:v>
                </c:pt>
                <c:pt idx="2">
                  <c:v>2587.5</c:v>
                </c:pt>
                <c:pt idx="3">
                  <c:v>9441.8823529411784</c:v>
                </c:pt>
                <c:pt idx="4">
                  <c:v>-96000</c:v>
                </c:pt>
                <c:pt idx="5">
                  <c:v>242056.8823529412</c:v>
                </c:pt>
              </c:numCache>
            </c:numRef>
          </c:val>
          <c:extLst>
            <c:ext xmlns:c16="http://schemas.microsoft.com/office/drawing/2014/chart" uri="{C3380CC4-5D6E-409C-BE32-E72D297353CC}">
              <c16:uniqueId val="{00000000-F8CC-4823-9D34-1FB650DC00F1}"/>
            </c:ext>
          </c:extLst>
        </c:ser>
        <c:ser>
          <c:idx val="1"/>
          <c:order val="1"/>
          <c:tx>
            <c:strRef>
              <c:f>'EE-Gigajoules'!$K$13</c:f>
              <c:strCache>
                <c:ptCount val="1"/>
                <c:pt idx="0">
                  <c:v>C-PPVC</c:v>
                </c:pt>
              </c:strCache>
            </c:strRef>
          </c:tx>
          <c:spPr>
            <a:solidFill>
              <a:schemeClr val="accent2">
                <a:alpha val="85000"/>
              </a:schemeClr>
            </a:solidFill>
            <a:ln w="9525" cap="flat" cmpd="sng" algn="ctr">
              <a:solidFill>
                <a:schemeClr val="lt1">
                  <a:alpha val="50000"/>
                </a:schemeClr>
              </a:solidFill>
              <a:round/>
            </a:ln>
            <a:effectLst/>
          </c:spPr>
          <c:invertIfNegative val="0"/>
          <c:dLbls>
            <c:delete val="1"/>
          </c:dLbls>
          <c:cat>
            <c:strRef>
              <c:f>'EE-Gigajoules'!$L$11:$Q$11</c:f>
              <c:strCache>
                <c:ptCount val="6"/>
                <c:pt idx="0">
                  <c:v>Production  </c:v>
                </c:pt>
                <c:pt idx="1">
                  <c:v>Transport </c:v>
                </c:pt>
                <c:pt idx="2">
                  <c:v>On-site </c:v>
                </c:pt>
                <c:pt idx="3">
                  <c:v>Maintenance </c:v>
                </c:pt>
                <c:pt idx="4">
                  <c:v>End of life </c:v>
                </c:pt>
                <c:pt idx="5">
                  <c:v>Total</c:v>
                </c:pt>
              </c:strCache>
            </c:strRef>
          </c:cat>
          <c:val>
            <c:numRef>
              <c:f>'EE-Gigajoules'!$L$13:$Q$13</c:f>
              <c:numCache>
                <c:formatCode>General</c:formatCode>
                <c:ptCount val="6"/>
                <c:pt idx="0">
                  <c:v>283739</c:v>
                </c:pt>
                <c:pt idx="1">
                  <c:v>5687.5</c:v>
                </c:pt>
                <c:pt idx="2">
                  <c:v>2787.5</c:v>
                </c:pt>
                <c:pt idx="3">
                  <c:v>9352</c:v>
                </c:pt>
                <c:pt idx="4">
                  <c:v>-42000</c:v>
                </c:pt>
                <c:pt idx="5">
                  <c:v>259566</c:v>
                </c:pt>
              </c:numCache>
            </c:numRef>
          </c:val>
          <c:extLst>
            <c:ext xmlns:c16="http://schemas.microsoft.com/office/drawing/2014/chart" uri="{C3380CC4-5D6E-409C-BE32-E72D297353CC}">
              <c16:uniqueId val="{00000001-F8CC-4823-9D34-1FB650DC00F1}"/>
            </c:ext>
          </c:extLst>
        </c:ser>
        <c:ser>
          <c:idx val="2"/>
          <c:order val="2"/>
          <c:tx>
            <c:strRef>
              <c:f>'EE-Gigajoules'!$K$14</c:f>
              <c:strCache>
                <c:ptCount val="1"/>
                <c:pt idx="0">
                  <c:v>T-PPVC</c:v>
                </c:pt>
              </c:strCache>
            </c:strRef>
          </c:tx>
          <c:spPr>
            <a:solidFill>
              <a:schemeClr val="accent3">
                <a:alpha val="85000"/>
              </a:schemeClr>
            </a:solidFill>
            <a:ln w="9525" cap="flat" cmpd="sng" algn="ctr">
              <a:solidFill>
                <a:schemeClr val="lt1">
                  <a:alpha val="50000"/>
                </a:schemeClr>
              </a:solidFill>
              <a:round/>
            </a:ln>
            <a:effectLst/>
          </c:spPr>
          <c:invertIfNegative val="0"/>
          <c:dLbls>
            <c:delete val="1"/>
          </c:dLbls>
          <c:cat>
            <c:strRef>
              <c:f>'EE-Gigajoules'!$L$11:$Q$11</c:f>
              <c:strCache>
                <c:ptCount val="6"/>
                <c:pt idx="0">
                  <c:v>Production  </c:v>
                </c:pt>
                <c:pt idx="1">
                  <c:v>Transport </c:v>
                </c:pt>
                <c:pt idx="2">
                  <c:v>On-site </c:v>
                </c:pt>
                <c:pt idx="3">
                  <c:v>Maintenance </c:v>
                </c:pt>
                <c:pt idx="4">
                  <c:v>End of life </c:v>
                </c:pt>
                <c:pt idx="5">
                  <c:v>Total</c:v>
                </c:pt>
              </c:strCache>
            </c:strRef>
          </c:cat>
          <c:val>
            <c:numRef>
              <c:f>'EE-Gigajoules'!$L$14:$Q$14</c:f>
              <c:numCache>
                <c:formatCode>General</c:formatCode>
                <c:ptCount val="6"/>
                <c:pt idx="0">
                  <c:v>240450</c:v>
                </c:pt>
                <c:pt idx="1">
                  <c:v>4687.5</c:v>
                </c:pt>
                <c:pt idx="2">
                  <c:v>1857.5</c:v>
                </c:pt>
                <c:pt idx="3">
                  <c:v>9086.7709999999988</c:v>
                </c:pt>
                <c:pt idx="4">
                  <c:v>-46000</c:v>
                </c:pt>
                <c:pt idx="5">
                  <c:v>210081.77100000001</c:v>
                </c:pt>
              </c:numCache>
            </c:numRef>
          </c:val>
          <c:extLst>
            <c:ext xmlns:c16="http://schemas.microsoft.com/office/drawing/2014/chart" uri="{C3380CC4-5D6E-409C-BE32-E72D297353CC}">
              <c16:uniqueId val="{00000002-F8CC-4823-9D34-1FB650DC00F1}"/>
            </c:ext>
          </c:extLst>
        </c:ser>
        <c:dLbls>
          <c:dLblPos val="inEnd"/>
          <c:showLegendKey val="0"/>
          <c:showVal val="1"/>
          <c:showCatName val="0"/>
          <c:showSerName val="0"/>
          <c:showPercent val="0"/>
          <c:showBubbleSize val="0"/>
        </c:dLbls>
        <c:gapWidth val="65"/>
        <c:axId val="-1458250688"/>
        <c:axId val="-1458252320"/>
      </c:barChart>
      <c:catAx>
        <c:axId val="-1458250688"/>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458252320"/>
        <c:crosses val="autoZero"/>
        <c:auto val="1"/>
        <c:lblAlgn val="ctr"/>
        <c:lblOffset val="100"/>
        <c:noMultiLvlLbl val="0"/>
      </c:catAx>
      <c:valAx>
        <c:axId val="-145825232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1050" b="1" i="0" baseline="0">
                    <a:effectLst/>
                    <a:latin typeface="Times New Roman" panose="02020603050405020304" pitchFamily="18" charset="0"/>
                    <a:cs typeface="Times New Roman" panose="02020603050405020304" pitchFamily="18" charset="0"/>
                  </a:rPr>
                  <a:t>MJ</a:t>
                </a:r>
                <a:endParaRPr lang="en-US" sz="400">
                  <a:effectLst/>
                  <a:latin typeface="Times New Roman" panose="02020603050405020304" pitchFamily="18" charset="0"/>
                  <a:cs typeface="Times New Roman" panose="02020603050405020304" pitchFamily="18" charset="0"/>
                </a:endParaRPr>
              </a:p>
            </c:rich>
          </c:tx>
          <c:layout>
            <c:manualLayout>
              <c:xMode val="edge"/>
              <c:yMode val="edge"/>
              <c:x val="0"/>
              <c:y val="0.4056159861460616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458250688"/>
        <c:crosses val="autoZero"/>
        <c:crossBetween val="between"/>
      </c:valAx>
      <c:spPr>
        <a:noFill/>
        <a:ln>
          <a:noFill/>
        </a:ln>
        <a:effectLst/>
      </c:spPr>
    </c:plotArea>
    <c:legend>
      <c:legendPos val="b"/>
      <c:layout>
        <c:manualLayout>
          <c:xMode val="edge"/>
          <c:yMode val="edge"/>
          <c:x val="0.33495790773831291"/>
          <c:y val="0.92579088565256773"/>
          <c:w val="0.33008418452337418"/>
          <c:h val="6.2696349076908686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LCC</a:t>
            </a:r>
          </a:p>
        </c:rich>
      </c:tx>
      <c:layout>
        <c:manualLayout>
          <c:xMode val="edge"/>
          <c:yMode val="edge"/>
          <c:x val="0.41291657799531817"/>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96811378307441"/>
          <c:y val="1.8074493186080606E-2"/>
          <c:w val="0.78646768816060153"/>
          <c:h val="0.95040614279874158"/>
        </c:manualLayout>
      </c:layout>
      <c:barChart>
        <c:barDir val="col"/>
        <c:grouping val="stacked"/>
        <c:varyColors val="0"/>
        <c:ser>
          <c:idx val="0"/>
          <c:order val="0"/>
          <c:tx>
            <c:strRef>
              <c:f>Cost!$E$49</c:f>
              <c:strCache>
                <c:ptCount val="1"/>
                <c:pt idx="0">
                  <c:v>Construction </c:v>
                </c:pt>
              </c:strCache>
            </c:strRef>
          </c:tx>
          <c:spPr>
            <a:solidFill>
              <a:schemeClr val="accent1"/>
            </a:solidFill>
            <a:ln>
              <a:noFill/>
            </a:ln>
            <a:effectLst/>
          </c:spPr>
          <c:invertIfNegative val="0"/>
          <c:cat>
            <c:strRef>
              <c:f>Cost!$D$50:$D$52</c:f>
              <c:strCache>
                <c:ptCount val="3"/>
                <c:pt idx="0">
                  <c:v>S-PPVC</c:v>
                </c:pt>
                <c:pt idx="1">
                  <c:v>C-PPVC</c:v>
                </c:pt>
                <c:pt idx="2">
                  <c:v>T-PPVC</c:v>
                </c:pt>
              </c:strCache>
            </c:strRef>
          </c:cat>
          <c:val>
            <c:numRef>
              <c:f>Cost!$E$50:$E$52</c:f>
              <c:numCache>
                <c:formatCode>General</c:formatCode>
                <c:ptCount val="3"/>
                <c:pt idx="0">
                  <c:v>63846.080000000002</c:v>
                </c:pt>
                <c:pt idx="1">
                  <c:v>59073.279999999999</c:v>
                </c:pt>
                <c:pt idx="2">
                  <c:v>70700</c:v>
                </c:pt>
              </c:numCache>
            </c:numRef>
          </c:val>
          <c:extLst>
            <c:ext xmlns:c16="http://schemas.microsoft.com/office/drawing/2014/chart" uri="{C3380CC4-5D6E-409C-BE32-E72D297353CC}">
              <c16:uniqueId val="{00000000-DA43-4C95-B789-97F005BDDA6D}"/>
            </c:ext>
          </c:extLst>
        </c:ser>
        <c:ser>
          <c:idx val="1"/>
          <c:order val="1"/>
          <c:tx>
            <c:strRef>
              <c:f>Cost!$F$49</c:f>
              <c:strCache>
                <c:ptCount val="1"/>
                <c:pt idx="0">
                  <c:v>Transport</c:v>
                </c:pt>
              </c:strCache>
            </c:strRef>
          </c:tx>
          <c:spPr>
            <a:solidFill>
              <a:schemeClr val="accent2"/>
            </a:solidFill>
            <a:ln>
              <a:noFill/>
            </a:ln>
            <a:effectLst/>
          </c:spPr>
          <c:invertIfNegative val="0"/>
          <c:cat>
            <c:strRef>
              <c:f>Cost!$D$50:$D$52</c:f>
              <c:strCache>
                <c:ptCount val="3"/>
                <c:pt idx="0">
                  <c:v>S-PPVC</c:v>
                </c:pt>
                <c:pt idx="1">
                  <c:v>C-PPVC</c:v>
                </c:pt>
                <c:pt idx="2">
                  <c:v>T-PPVC</c:v>
                </c:pt>
              </c:strCache>
            </c:strRef>
          </c:cat>
          <c:val>
            <c:numRef>
              <c:f>Cost!$F$50:$F$52</c:f>
              <c:numCache>
                <c:formatCode>General</c:formatCode>
                <c:ptCount val="3"/>
                <c:pt idx="0">
                  <c:v>5100</c:v>
                </c:pt>
                <c:pt idx="1">
                  <c:v>5100</c:v>
                </c:pt>
                <c:pt idx="2">
                  <c:v>5100</c:v>
                </c:pt>
              </c:numCache>
            </c:numRef>
          </c:val>
          <c:extLst>
            <c:ext xmlns:c16="http://schemas.microsoft.com/office/drawing/2014/chart" uri="{C3380CC4-5D6E-409C-BE32-E72D297353CC}">
              <c16:uniqueId val="{00000001-DA43-4C95-B789-97F005BDDA6D}"/>
            </c:ext>
          </c:extLst>
        </c:ser>
        <c:ser>
          <c:idx val="2"/>
          <c:order val="2"/>
          <c:tx>
            <c:strRef>
              <c:f>Cost!$G$49</c:f>
              <c:strCache>
                <c:ptCount val="1"/>
                <c:pt idx="0">
                  <c:v>Crane on site operation</c:v>
                </c:pt>
              </c:strCache>
            </c:strRef>
          </c:tx>
          <c:spPr>
            <a:solidFill>
              <a:schemeClr val="accent3"/>
            </a:solidFill>
            <a:ln>
              <a:noFill/>
            </a:ln>
            <a:effectLst/>
          </c:spPr>
          <c:invertIfNegative val="0"/>
          <c:cat>
            <c:strRef>
              <c:f>Cost!$D$50:$D$52</c:f>
              <c:strCache>
                <c:ptCount val="3"/>
                <c:pt idx="0">
                  <c:v>S-PPVC</c:v>
                </c:pt>
                <c:pt idx="1">
                  <c:v>C-PPVC</c:v>
                </c:pt>
                <c:pt idx="2">
                  <c:v>T-PPVC</c:v>
                </c:pt>
              </c:strCache>
            </c:strRef>
          </c:cat>
          <c:val>
            <c:numRef>
              <c:f>Cost!$G$50:$G$52</c:f>
              <c:numCache>
                <c:formatCode>General</c:formatCode>
                <c:ptCount val="3"/>
                <c:pt idx="0">
                  <c:v>1400</c:v>
                </c:pt>
                <c:pt idx="1">
                  <c:v>1400</c:v>
                </c:pt>
                <c:pt idx="2">
                  <c:v>1400</c:v>
                </c:pt>
              </c:numCache>
            </c:numRef>
          </c:val>
          <c:extLst>
            <c:ext xmlns:c16="http://schemas.microsoft.com/office/drawing/2014/chart" uri="{C3380CC4-5D6E-409C-BE32-E72D297353CC}">
              <c16:uniqueId val="{00000002-DA43-4C95-B789-97F005BDDA6D}"/>
            </c:ext>
          </c:extLst>
        </c:ser>
        <c:ser>
          <c:idx val="3"/>
          <c:order val="3"/>
          <c:tx>
            <c:strRef>
              <c:f>Cost!$H$49</c:f>
              <c:strCache>
                <c:ptCount val="1"/>
                <c:pt idx="0">
                  <c:v>Maintenance</c:v>
                </c:pt>
              </c:strCache>
            </c:strRef>
          </c:tx>
          <c:spPr>
            <a:solidFill>
              <a:schemeClr val="accent4"/>
            </a:solidFill>
            <a:ln>
              <a:noFill/>
            </a:ln>
            <a:effectLst/>
          </c:spPr>
          <c:invertIfNegative val="0"/>
          <c:cat>
            <c:strRef>
              <c:f>Cost!$D$50:$D$52</c:f>
              <c:strCache>
                <c:ptCount val="3"/>
                <c:pt idx="0">
                  <c:v>S-PPVC</c:v>
                </c:pt>
                <c:pt idx="1">
                  <c:v>C-PPVC</c:v>
                </c:pt>
                <c:pt idx="2">
                  <c:v>T-PPVC</c:v>
                </c:pt>
              </c:strCache>
            </c:strRef>
          </c:cat>
          <c:val>
            <c:numRef>
              <c:f>Cost!$H$50:$H$52</c:f>
              <c:numCache>
                <c:formatCode>General</c:formatCode>
                <c:ptCount val="3"/>
                <c:pt idx="0">
                  <c:v>3192.3040000000001</c:v>
                </c:pt>
                <c:pt idx="1">
                  <c:v>2953.6640000000002</c:v>
                </c:pt>
                <c:pt idx="2">
                  <c:v>3535</c:v>
                </c:pt>
              </c:numCache>
            </c:numRef>
          </c:val>
          <c:extLst>
            <c:ext xmlns:c16="http://schemas.microsoft.com/office/drawing/2014/chart" uri="{C3380CC4-5D6E-409C-BE32-E72D297353CC}">
              <c16:uniqueId val="{00000003-DA43-4C95-B789-97F005BDDA6D}"/>
            </c:ext>
          </c:extLst>
        </c:ser>
        <c:ser>
          <c:idx val="4"/>
          <c:order val="4"/>
          <c:tx>
            <c:strRef>
              <c:f>Cost!$I$49</c:f>
              <c:strCache>
                <c:ptCount val="1"/>
                <c:pt idx="0">
                  <c:v>End of life</c:v>
                </c:pt>
              </c:strCache>
            </c:strRef>
          </c:tx>
          <c:spPr>
            <a:solidFill>
              <a:schemeClr val="accent5"/>
            </a:solidFill>
            <a:ln>
              <a:noFill/>
            </a:ln>
            <a:effectLst/>
          </c:spPr>
          <c:invertIfNegative val="0"/>
          <c:cat>
            <c:strRef>
              <c:f>Cost!$D$50:$D$52</c:f>
              <c:strCache>
                <c:ptCount val="3"/>
                <c:pt idx="0">
                  <c:v>S-PPVC</c:v>
                </c:pt>
                <c:pt idx="1">
                  <c:v>C-PPVC</c:v>
                </c:pt>
                <c:pt idx="2">
                  <c:v>T-PPVC</c:v>
                </c:pt>
              </c:strCache>
            </c:strRef>
          </c:cat>
          <c:val>
            <c:numRef>
              <c:f>Cost!$I$50:$I$52</c:f>
              <c:numCache>
                <c:formatCode>General</c:formatCode>
                <c:ptCount val="3"/>
                <c:pt idx="0">
                  <c:v>-2100</c:v>
                </c:pt>
                <c:pt idx="1">
                  <c:v>-200</c:v>
                </c:pt>
                <c:pt idx="2">
                  <c:v>-4200</c:v>
                </c:pt>
              </c:numCache>
            </c:numRef>
          </c:val>
          <c:extLst>
            <c:ext xmlns:c16="http://schemas.microsoft.com/office/drawing/2014/chart" uri="{C3380CC4-5D6E-409C-BE32-E72D297353CC}">
              <c16:uniqueId val="{00000004-DA43-4C95-B789-97F005BDDA6D}"/>
            </c:ext>
          </c:extLst>
        </c:ser>
        <c:dLbls>
          <c:showLegendKey val="0"/>
          <c:showVal val="0"/>
          <c:showCatName val="0"/>
          <c:showSerName val="0"/>
          <c:showPercent val="0"/>
          <c:showBubbleSize val="0"/>
        </c:dLbls>
        <c:gapWidth val="150"/>
        <c:overlap val="100"/>
        <c:axId val="-1458249056"/>
        <c:axId val="-1458250144"/>
      </c:barChart>
      <c:catAx>
        <c:axId val="-145824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250144"/>
        <c:crosses val="autoZero"/>
        <c:auto val="1"/>
        <c:lblAlgn val="ctr"/>
        <c:lblOffset val="100"/>
        <c:noMultiLvlLbl val="0"/>
      </c:catAx>
      <c:valAx>
        <c:axId val="-1458250144"/>
        <c:scaling>
          <c:orientation val="minMax"/>
          <c:max val="85000"/>
          <c:min val="-18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MYR</a:t>
                </a:r>
              </a:p>
            </c:rich>
          </c:tx>
          <c:layout>
            <c:manualLayout>
              <c:xMode val="edge"/>
              <c:yMode val="edge"/>
              <c:x val="0"/>
              <c:y val="0.465643340857787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458249056"/>
        <c:crosses val="autoZero"/>
        <c:crossBetween val="between"/>
        <c:majorUnit val="10000"/>
      </c:valAx>
      <c:spPr>
        <a:noFill/>
        <a:ln>
          <a:noFill/>
        </a:ln>
        <a:effectLst/>
      </c:spPr>
    </c:plotArea>
    <c:legend>
      <c:legendPos val="b"/>
      <c:layout>
        <c:manualLayout>
          <c:xMode val="edge"/>
          <c:yMode val="edge"/>
          <c:x val="0.14728027239838262"/>
          <c:y val="0.88486695935017157"/>
          <c:w val="0.81668369156558118"/>
          <c:h val="0.1151330406498284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latin typeface="Times New Roman" panose="02020603050405020304" pitchFamily="18" charset="0"/>
                <a:cs typeface="Times New Roman" panose="02020603050405020304" pitchFamily="18" charset="0"/>
              </a:rPr>
              <a:t>TOTAL LCC</a:t>
            </a:r>
          </a:p>
        </c:rich>
      </c:tx>
      <c:layout>
        <c:manualLayout>
          <c:xMode val="edge"/>
          <c:yMode val="edge"/>
          <c:x val="0.36400796452167616"/>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451715087338221"/>
          <c:y val="1.7666515551750948E-2"/>
          <c:w val="0.81342673545117206"/>
          <c:h val="0.91544461976025915"/>
        </c:manualLayout>
      </c:layout>
      <c:barChart>
        <c:barDir val="col"/>
        <c:grouping val="clustered"/>
        <c:varyColors val="0"/>
        <c:ser>
          <c:idx val="0"/>
          <c:order val="0"/>
          <c:tx>
            <c:strRef>
              <c:f>Cost!$J$37</c:f>
              <c:strCache>
                <c:ptCount val="1"/>
                <c:pt idx="0">
                  <c:v>TOTAL LCA</c:v>
                </c:pt>
              </c:strCache>
            </c:strRef>
          </c:tx>
          <c:spPr>
            <a:solidFill>
              <a:schemeClr val="accent1"/>
            </a:solidFill>
            <a:ln>
              <a:noFill/>
            </a:ln>
            <a:effectLst/>
          </c:spPr>
          <c:invertIfNegative val="0"/>
          <c:cat>
            <c:strRef>
              <c:f>Cost!$I$38:$I$40</c:f>
              <c:strCache>
                <c:ptCount val="3"/>
                <c:pt idx="0">
                  <c:v>S-PPVC</c:v>
                </c:pt>
                <c:pt idx="1">
                  <c:v>C-PPVC</c:v>
                </c:pt>
                <c:pt idx="2">
                  <c:v>T-PPVC</c:v>
                </c:pt>
              </c:strCache>
            </c:strRef>
          </c:cat>
          <c:val>
            <c:numRef>
              <c:f>Cost!$J$38:$J$40</c:f>
              <c:numCache>
                <c:formatCode>General</c:formatCode>
                <c:ptCount val="3"/>
                <c:pt idx="0">
                  <c:v>71438.384000000005</c:v>
                </c:pt>
                <c:pt idx="1">
                  <c:v>68326.944000000003</c:v>
                </c:pt>
                <c:pt idx="2">
                  <c:v>76535</c:v>
                </c:pt>
              </c:numCache>
            </c:numRef>
          </c:val>
          <c:extLst>
            <c:ext xmlns:c16="http://schemas.microsoft.com/office/drawing/2014/chart" uri="{C3380CC4-5D6E-409C-BE32-E72D297353CC}">
              <c16:uniqueId val="{00000000-206D-4CAE-A3F5-B33A876B873A}"/>
            </c:ext>
          </c:extLst>
        </c:ser>
        <c:dLbls>
          <c:showLegendKey val="0"/>
          <c:showVal val="0"/>
          <c:showCatName val="0"/>
          <c:showSerName val="0"/>
          <c:showPercent val="0"/>
          <c:showBubbleSize val="0"/>
        </c:dLbls>
        <c:gapWidth val="219"/>
        <c:overlap val="-27"/>
        <c:axId val="-1456460928"/>
        <c:axId val="-1456455488"/>
      </c:barChart>
      <c:catAx>
        <c:axId val="-1456460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6455488"/>
        <c:crosses val="autoZero"/>
        <c:auto val="1"/>
        <c:lblAlgn val="ctr"/>
        <c:lblOffset val="100"/>
        <c:noMultiLvlLbl val="0"/>
      </c:catAx>
      <c:valAx>
        <c:axId val="-145645548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MYR</a:t>
                </a:r>
              </a:p>
            </c:rich>
          </c:tx>
          <c:layout>
            <c:manualLayout>
              <c:xMode val="edge"/>
              <c:yMode val="edge"/>
              <c:x val="0"/>
              <c:y val="0.4913375281214847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6460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b="0">
                <a:latin typeface="Times New Roman" panose="02020603050405020304" pitchFamily="18" charset="0"/>
                <a:cs typeface="Times New Roman" panose="02020603050405020304" pitchFamily="18" charset="0"/>
              </a:rPr>
              <a:t>SLCA</a:t>
            </a:r>
          </a:p>
        </c:rich>
      </c:tx>
      <c:layout>
        <c:manualLayout>
          <c:xMode val="edge"/>
          <c:yMode val="edge"/>
          <c:x val="0.44282633420822404"/>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1296799692125375"/>
          <c:y val="2.5428331875182269E-2"/>
          <c:w val="0.8870320030787463"/>
          <c:h val="0.88292468649752109"/>
        </c:manualLayout>
      </c:layout>
      <c:barChart>
        <c:barDir val="col"/>
        <c:grouping val="stack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social!$M$9:$O$9</c:f>
              <c:strCache>
                <c:ptCount val="3"/>
                <c:pt idx="0">
                  <c:v>S-PPVC</c:v>
                </c:pt>
                <c:pt idx="1">
                  <c:v>C-PPVC</c:v>
                </c:pt>
                <c:pt idx="2">
                  <c:v>T-PPVC</c:v>
                </c:pt>
              </c:strCache>
            </c:strRef>
          </c:cat>
          <c:val>
            <c:numRef>
              <c:f>social!$M$10:$O$10</c:f>
              <c:numCache>
                <c:formatCode>General</c:formatCode>
                <c:ptCount val="3"/>
                <c:pt idx="0">
                  <c:v>8.3699999999999992</c:v>
                </c:pt>
                <c:pt idx="1">
                  <c:v>7.6300000000000008</c:v>
                </c:pt>
                <c:pt idx="2">
                  <c:v>6.9999999999999991</c:v>
                </c:pt>
              </c:numCache>
            </c:numRef>
          </c:val>
          <c:extLst>
            <c:ext xmlns:c16="http://schemas.microsoft.com/office/drawing/2014/chart" uri="{C3380CC4-5D6E-409C-BE32-E72D297353CC}">
              <c16:uniqueId val="{00000000-5B78-47DA-AA40-C8669E33F3A2}"/>
            </c:ext>
          </c:extLst>
        </c:ser>
        <c:dLbls>
          <c:dLblPos val="ctr"/>
          <c:showLegendKey val="0"/>
          <c:showVal val="1"/>
          <c:showCatName val="0"/>
          <c:showSerName val="0"/>
          <c:showPercent val="0"/>
          <c:showBubbleSize val="0"/>
        </c:dLbls>
        <c:gapWidth val="150"/>
        <c:overlap val="100"/>
        <c:axId val="-1456450048"/>
        <c:axId val="-1456463104"/>
      </c:barChart>
      <c:catAx>
        <c:axId val="-1456450048"/>
        <c:scaling>
          <c:orientation val="minMax"/>
        </c:scaling>
        <c:delete val="0"/>
        <c:axPos val="b"/>
        <c:numFmt formatCode="General"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1456463104"/>
        <c:crosses val="autoZero"/>
        <c:auto val="1"/>
        <c:lblAlgn val="ctr"/>
        <c:lblOffset val="100"/>
        <c:noMultiLvlLbl val="0"/>
      </c:catAx>
      <c:valAx>
        <c:axId val="-1456463104"/>
        <c:scaling>
          <c:orientation val="minMax"/>
          <c:min val="1"/>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a:latin typeface="Times New Roman" panose="02020603050405020304" pitchFamily="18" charset="0"/>
                    <a:cs typeface="Times New Roman" panose="02020603050405020304" pitchFamily="18" charset="0"/>
                  </a:rPr>
                  <a:t>Normalized Value </a:t>
                </a:r>
              </a:p>
            </c:rich>
          </c:tx>
          <c:layout>
            <c:manualLayout>
              <c:xMode val="edge"/>
              <c:yMode val="edge"/>
              <c:x val="5.5555555555555558E-3"/>
              <c:y val="0.2982677165354330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56450048"/>
        <c:crosses val="autoZero"/>
        <c:crossBetween val="between"/>
        <c:majorUnit val="0.5"/>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3AF01F3B1C448288AB148F06B90084"/>
        <w:category>
          <w:name w:val="General"/>
          <w:gallery w:val="placeholder"/>
        </w:category>
        <w:types>
          <w:type w:val="bbPlcHdr"/>
        </w:types>
        <w:behaviors>
          <w:behavior w:val="content"/>
        </w:behaviors>
        <w:guid w:val="{FAE2337D-71AB-46D9-A810-B72725B80EE2}"/>
      </w:docPartPr>
      <w:docPartBody>
        <w:p w:rsidR="006A5847" w:rsidRDefault="00C263B8" w:rsidP="00C263B8">
          <w:pPr>
            <w:pStyle w:val="D73AF01F3B1C448288AB148F06B90084"/>
          </w:pPr>
          <w:r w:rsidRPr="0045120B">
            <w:rPr>
              <w:rStyle w:val="PlaceholderText"/>
            </w:rPr>
            <w:t>Click or tap here to enter text.</w:t>
          </w:r>
        </w:p>
      </w:docPartBody>
    </w:docPart>
    <w:docPart>
      <w:docPartPr>
        <w:name w:val="EA8E25D049B548CAB9904D99F60FCBF8"/>
        <w:category>
          <w:name w:val="General"/>
          <w:gallery w:val="placeholder"/>
        </w:category>
        <w:types>
          <w:type w:val="bbPlcHdr"/>
        </w:types>
        <w:behaviors>
          <w:behavior w:val="content"/>
        </w:behaviors>
        <w:guid w:val="{652A2438-0F2D-4660-839A-E89977216EEB}"/>
      </w:docPartPr>
      <w:docPartBody>
        <w:p w:rsidR="006A5847" w:rsidRDefault="00C263B8" w:rsidP="00C263B8">
          <w:pPr>
            <w:pStyle w:val="EA8E25D049B548CAB9904D99F60FCBF8"/>
          </w:pPr>
          <w:r w:rsidRPr="0045120B">
            <w:rPr>
              <w:rStyle w:val="PlaceholderText"/>
            </w:rPr>
            <w:t>Click or tap here to enter text.</w:t>
          </w:r>
        </w:p>
      </w:docPartBody>
    </w:docPart>
    <w:docPart>
      <w:docPartPr>
        <w:name w:val="DA2F77B243DB440B8EA0B5B7BC0ED204"/>
        <w:category>
          <w:name w:val="General"/>
          <w:gallery w:val="placeholder"/>
        </w:category>
        <w:types>
          <w:type w:val="bbPlcHdr"/>
        </w:types>
        <w:behaviors>
          <w:behavior w:val="content"/>
        </w:behaviors>
        <w:guid w:val="{D0BE77D6-FC26-4A20-BADD-8D9A485CCA12}"/>
      </w:docPartPr>
      <w:docPartBody>
        <w:p w:rsidR="00113E0A" w:rsidRDefault="001C6B61" w:rsidP="001C6B61">
          <w:pPr>
            <w:pStyle w:val="DA2F77B243DB440B8EA0B5B7BC0ED204"/>
          </w:pPr>
          <w:r w:rsidRPr="008840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OIND F+ Gulliver">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3B8"/>
    <w:rsid w:val="0009068D"/>
    <w:rsid w:val="000D2F23"/>
    <w:rsid w:val="00113E0A"/>
    <w:rsid w:val="001940E7"/>
    <w:rsid w:val="001A2EC9"/>
    <w:rsid w:val="001A577E"/>
    <w:rsid w:val="001C6B61"/>
    <w:rsid w:val="002D516C"/>
    <w:rsid w:val="003D070D"/>
    <w:rsid w:val="006018C4"/>
    <w:rsid w:val="00663A52"/>
    <w:rsid w:val="006A1585"/>
    <w:rsid w:val="006A5847"/>
    <w:rsid w:val="00C00F3C"/>
    <w:rsid w:val="00C263B8"/>
    <w:rsid w:val="00DE5475"/>
    <w:rsid w:val="00E6340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MY" w:eastAsia="en-M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B61"/>
    <w:rPr>
      <w:color w:val="808080"/>
    </w:rPr>
  </w:style>
  <w:style w:type="paragraph" w:customStyle="1" w:styleId="D73AF01F3B1C448288AB148F06B90084">
    <w:name w:val="D73AF01F3B1C448288AB148F06B90084"/>
    <w:rsid w:val="00C263B8"/>
  </w:style>
  <w:style w:type="paragraph" w:customStyle="1" w:styleId="EA8E25D049B548CAB9904D99F60FCBF8">
    <w:name w:val="EA8E25D049B548CAB9904D99F60FCBF8"/>
    <w:rsid w:val="00C263B8"/>
  </w:style>
  <w:style w:type="paragraph" w:customStyle="1" w:styleId="DA2F77B243DB440B8EA0B5B7BC0ED204">
    <w:name w:val="DA2F77B243DB440B8EA0B5B7BC0ED204"/>
    <w:rsid w:val="001C6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ADDCC-7730-4B72-A868-08FDFD22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12771</Words>
  <Characters>72801</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ATB LCA</cp:lastModifiedBy>
  <cp:revision>2</cp:revision>
  <dcterms:created xsi:type="dcterms:W3CDTF">2023-06-14T05:40:00Z</dcterms:created>
  <dcterms:modified xsi:type="dcterms:W3CDTF">2024-07-04T06:36:00Z</dcterms:modified>
</cp:coreProperties>
</file>