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334" w:rsidRDefault="00566334">
      <w:pPr>
        <w:pStyle w:val="Body"/>
        <w:spacing w:line="360" w:lineRule="auto"/>
        <w:rPr>
          <w:rFonts w:ascii="Arial Bold"/>
          <w:sz w:val="36"/>
          <w:szCs w:val="36"/>
        </w:rPr>
      </w:pPr>
    </w:p>
    <w:p w:rsidR="00566334" w:rsidRPr="00566334" w:rsidRDefault="00566334" w:rsidP="00566334">
      <w:pPr>
        <w:pStyle w:val="Body"/>
        <w:spacing w:line="480" w:lineRule="auto"/>
        <w:rPr>
          <w:b/>
        </w:rPr>
      </w:pPr>
      <w:r w:rsidRPr="00566334">
        <w:rPr>
          <w:b/>
        </w:rPr>
        <w:t>Title Page</w:t>
      </w:r>
    </w:p>
    <w:p w:rsidR="00566334" w:rsidRPr="00566334" w:rsidRDefault="00566334" w:rsidP="00566334">
      <w:pPr>
        <w:pStyle w:val="Body"/>
        <w:spacing w:line="480" w:lineRule="auto"/>
        <w:rPr>
          <w:sz w:val="36"/>
          <w:szCs w:val="36"/>
        </w:rPr>
      </w:pPr>
    </w:p>
    <w:p w:rsidR="00566334" w:rsidRPr="00566334" w:rsidRDefault="00566334" w:rsidP="00566334">
      <w:pPr>
        <w:pStyle w:val="Body"/>
        <w:spacing w:line="480" w:lineRule="auto"/>
        <w:rPr>
          <w:sz w:val="36"/>
          <w:szCs w:val="36"/>
        </w:rPr>
      </w:pPr>
    </w:p>
    <w:p w:rsidR="00172BEA" w:rsidRPr="00566334" w:rsidRDefault="00E3157A" w:rsidP="00566334">
      <w:pPr>
        <w:pStyle w:val="Body"/>
        <w:spacing w:line="480" w:lineRule="auto"/>
        <w:rPr>
          <w:rFonts w:eastAsia="Arial Bold"/>
          <w:sz w:val="36"/>
          <w:szCs w:val="36"/>
        </w:rPr>
      </w:pPr>
      <w:r w:rsidRPr="00566334">
        <w:rPr>
          <w:sz w:val="36"/>
          <w:szCs w:val="36"/>
        </w:rPr>
        <w:t xml:space="preserve">Stretched but not </w:t>
      </w:r>
      <w:proofErr w:type="gramStart"/>
      <w:r w:rsidRPr="00566334">
        <w:rPr>
          <w:sz w:val="36"/>
          <w:szCs w:val="36"/>
        </w:rPr>
        <w:t>Snapped</w:t>
      </w:r>
      <w:proofErr w:type="gramEnd"/>
      <w:r w:rsidRPr="00566334">
        <w:rPr>
          <w:sz w:val="36"/>
          <w:szCs w:val="36"/>
        </w:rPr>
        <w:t>: Constitutional Lessons from the 2010 Coalition Government in Britain</w:t>
      </w:r>
    </w:p>
    <w:p w:rsidR="00566334" w:rsidRPr="00566334" w:rsidRDefault="00566334" w:rsidP="00566334">
      <w:pPr>
        <w:pStyle w:val="Body"/>
        <w:spacing w:line="480" w:lineRule="auto"/>
        <w:rPr>
          <w:lang w:val="de-DE"/>
        </w:rPr>
      </w:pPr>
    </w:p>
    <w:p w:rsidR="00566334" w:rsidRPr="00566334" w:rsidRDefault="00566334" w:rsidP="00566334">
      <w:pPr>
        <w:pStyle w:val="Body"/>
        <w:spacing w:line="480" w:lineRule="auto"/>
        <w:rPr>
          <w:lang w:val="de-DE"/>
        </w:rPr>
      </w:pPr>
    </w:p>
    <w:p w:rsidR="00566334" w:rsidRPr="00566334" w:rsidRDefault="00566334" w:rsidP="00566334">
      <w:pPr>
        <w:pStyle w:val="Body"/>
        <w:spacing w:line="480" w:lineRule="auto"/>
        <w:rPr>
          <w:lang w:val="de-DE"/>
        </w:rPr>
      </w:pPr>
    </w:p>
    <w:p w:rsidR="00566334" w:rsidRPr="00566334" w:rsidRDefault="00566334" w:rsidP="00566334">
      <w:pPr>
        <w:pStyle w:val="Body"/>
        <w:spacing w:line="480" w:lineRule="auto"/>
        <w:rPr>
          <w:lang w:val="de-DE"/>
        </w:rPr>
      </w:pPr>
    </w:p>
    <w:p w:rsidR="00566334" w:rsidRPr="00566334" w:rsidRDefault="00566334" w:rsidP="00566334">
      <w:pPr>
        <w:pStyle w:val="Body"/>
        <w:spacing w:line="480" w:lineRule="auto"/>
        <w:rPr>
          <w:b/>
          <w:lang w:val="de-DE"/>
        </w:rPr>
      </w:pPr>
      <w:r w:rsidRPr="00566334">
        <w:rPr>
          <w:b/>
          <w:lang w:val="de-DE"/>
        </w:rPr>
        <w:t>Author Details:</w:t>
      </w:r>
    </w:p>
    <w:p w:rsidR="00566334" w:rsidRPr="00566334" w:rsidRDefault="00566334" w:rsidP="00566334">
      <w:pPr>
        <w:pStyle w:val="Body"/>
        <w:spacing w:line="480" w:lineRule="auto"/>
        <w:rPr>
          <w:lang w:val="de-DE"/>
        </w:rPr>
      </w:pPr>
    </w:p>
    <w:p w:rsidR="00172BEA" w:rsidRPr="00566334" w:rsidRDefault="00E3157A" w:rsidP="00566334">
      <w:pPr>
        <w:pStyle w:val="Body"/>
        <w:spacing w:line="480" w:lineRule="auto"/>
      </w:pPr>
      <w:r w:rsidRPr="00566334">
        <w:rPr>
          <w:lang w:val="de-DE"/>
        </w:rPr>
        <w:t>Stephen Barber</w:t>
      </w:r>
      <w:r w:rsidR="00566334" w:rsidRPr="00566334">
        <w:rPr>
          <w:lang w:val="de-DE"/>
        </w:rPr>
        <w:t>, Reader in Public Policy, London South Bank University. 90</w:t>
      </w:r>
      <w:r w:rsidR="00566334">
        <w:rPr>
          <w:lang w:val="de-DE"/>
        </w:rPr>
        <w:t xml:space="preserve"> </w:t>
      </w:r>
      <w:r w:rsidR="00566334" w:rsidRPr="00566334">
        <w:rPr>
          <w:lang w:val="de-DE"/>
        </w:rPr>
        <w:t>London Road, London SE1 6LN, UK. E-mail: barbers@lsbu.ac.uk, Twitter: @StephenBarberUK</w:t>
      </w:r>
    </w:p>
    <w:p w:rsidR="00172BEA" w:rsidRDefault="00172BEA">
      <w:pPr>
        <w:pStyle w:val="Body"/>
        <w:spacing w:line="360" w:lineRule="auto"/>
      </w:pPr>
    </w:p>
    <w:p w:rsidR="00566334" w:rsidRDefault="00566334">
      <w:pPr>
        <w:pStyle w:val="Body"/>
        <w:spacing w:line="360" w:lineRule="auto"/>
      </w:pPr>
    </w:p>
    <w:p w:rsidR="00172BEA" w:rsidRPr="00566334" w:rsidRDefault="00566334" w:rsidP="00566334">
      <w:pPr>
        <w:spacing w:line="480" w:lineRule="auto"/>
        <w:rPr>
          <w:rFonts w:ascii="Arial" w:eastAsia="Arial Bold" w:hAnsi="Arial" w:cs="Arial"/>
          <w:b/>
        </w:rPr>
      </w:pPr>
      <w:r>
        <w:br w:type="page"/>
      </w:r>
      <w:r w:rsidR="00E3157A" w:rsidRPr="00566334">
        <w:rPr>
          <w:rFonts w:ascii="Arial" w:hAnsi="Arial" w:cs="Arial"/>
          <w:b/>
          <w:lang w:val="de-DE"/>
        </w:rPr>
        <w:lastRenderedPageBreak/>
        <w:t>Abstract</w:t>
      </w:r>
    </w:p>
    <w:p w:rsidR="00172BEA" w:rsidRPr="00566334" w:rsidRDefault="00172BEA" w:rsidP="00566334">
      <w:pPr>
        <w:pStyle w:val="Body"/>
        <w:spacing w:line="480" w:lineRule="auto"/>
      </w:pPr>
    </w:p>
    <w:p w:rsidR="00566334" w:rsidRPr="00566334" w:rsidRDefault="00E3157A" w:rsidP="00566334">
      <w:pPr>
        <w:pStyle w:val="Body"/>
        <w:spacing w:line="480" w:lineRule="auto"/>
        <w:rPr>
          <w:lang w:val="en-GB"/>
        </w:rPr>
      </w:pPr>
      <w:r w:rsidRPr="00566334">
        <w:rPr>
          <w:lang w:val="en-GB"/>
        </w:rPr>
        <w:t>Taking as its point of departure, Felicity Matthews' (2011) article '</w:t>
      </w:r>
      <w:r w:rsidRPr="00566334">
        <w:t>Constitutional stretching: coalition governance and the Westminster model</w:t>
      </w:r>
      <w:r w:rsidRPr="00566334">
        <w:rPr>
          <w:lang w:val="en-GB"/>
        </w:rPr>
        <w:t xml:space="preserve">' published in </w:t>
      </w:r>
      <w:r w:rsidRPr="00566334">
        <w:rPr>
          <w:i/>
          <w:iCs/>
          <w:lang w:val="en-GB"/>
        </w:rPr>
        <w:t>Commonwealth &amp; Comparative Politics</w:t>
      </w:r>
      <w:r w:rsidRPr="00566334">
        <w:rPr>
          <w:lang w:val="en-GB"/>
        </w:rPr>
        <w:t xml:space="preserve">, this </w:t>
      </w:r>
      <w:r w:rsidR="004E28BF">
        <w:rPr>
          <w:lang w:val="en-GB"/>
        </w:rPr>
        <w:t>article</w:t>
      </w:r>
      <w:r w:rsidRPr="00566334">
        <w:rPr>
          <w:lang w:val="en-GB"/>
        </w:rPr>
        <w:t xml:space="preserve"> draws on the experience of coalition government in Westminster to </w:t>
      </w:r>
      <w:r w:rsidR="004E28BF">
        <w:rPr>
          <w:lang w:val="en-GB"/>
        </w:rPr>
        <w:t xml:space="preserve">review, </w:t>
      </w:r>
      <w:r w:rsidRPr="00566334">
        <w:rPr>
          <w:lang w:val="en-GB"/>
        </w:rPr>
        <w:t xml:space="preserve">categorise and consider </w:t>
      </w:r>
      <w:r w:rsidR="004E28BF" w:rsidRPr="004E28BF">
        <w:rPr>
          <w:lang w:val="en-GB"/>
        </w:rPr>
        <w:t xml:space="preserve">how </w:t>
      </w:r>
      <w:r w:rsidR="004E28BF">
        <w:rPr>
          <w:lang w:val="en-GB"/>
        </w:rPr>
        <w:t>power sharing</w:t>
      </w:r>
      <w:r w:rsidR="004E28BF" w:rsidRPr="004E28BF">
        <w:rPr>
          <w:lang w:val="en-GB"/>
        </w:rPr>
        <w:t xml:space="preserve"> has necessitated a rethink of what is the British constitution.</w:t>
      </w:r>
      <w:r w:rsidR="004E28BF">
        <w:rPr>
          <w:lang w:val="en-GB"/>
        </w:rPr>
        <w:t xml:space="preserve"> Defining constitutional stretching as being about the sustained operation of two-party  government within the Westminster Model, i</w:t>
      </w:r>
      <w:r w:rsidRPr="00566334">
        <w:rPr>
          <w:lang w:val="en-GB"/>
        </w:rPr>
        <w:t xml:space="preserve">t shows that </w:t>
      </w:r>
      <w:r w:rsidR="004E28BF">
        <w:rPr>
          <w:lang w:val="en-GB"/>
        </w:rPr>
        <w:t>traditional practices around</w:t>
      </w:r>
      <w:r w:rsidRPr="00566334">
        <w:rPr>
          <w:lang w:val="en-GB"/>
        </w:rPr>
        <w:t xml:space="preserve"> </w:t>
      </w:r>
      <w:r w:rsidR="004E28BF">
        <w:rPr>
          <w:lang w:val="en-GB"/>
        </w:rPr>
        <w:t xml:space="preserve">manifestos, </w:t>
      </w:r>
      <w:r w:rsidRPr="00566334">
        <w:rPr>
          <w:lang w:val="en-GB"/>
        </w:rPr>
        <w:t xml:space="preserve">collective responsibility and the prerogative have been adjusted since 2010 in order to facilitate functioning </w:t>
      </w:r>
      <w:r w:rsidR="004E28BF">
        <w:rPr>
          <w:lang w:val="en-GB"/>
        </w:rPr>
        <w:t>administration</w:t>
      </w:r>
      <w:r w:rsidRPr="00566334">
        <w:rPr>
          <w:lang w:val="en-GB"/>
        </w:rPr>
        <w:t xml:space="preserve">.  The article observes that some stretching is not entirely novel with precedents to be found in earlier single party administrations.  It further </w:t>
      </w:r>
      <w:r w:rsidR="004E28BF">
        <w:rPr>
          <w:lang w:val="en-GB"/>
        </w:rPr>
        <w:t>argues</w:t>
      </w:r>
      <w:r w:rsidRPr="00566334">
        <w:rPr>
          <w:lang w:val="en-GB"/>
        </w:rPr>
        <w:t xml:space="preserve"> that while conventions have been </w:t>
      </w:r>
      <w:r w:rsidR="004E28BF">
        <w:rPr>
          <w:lang w:val="en-GB"/>
        </w:rPr>
        <w:t>strained</w:t>
      </w:r>
      <w:r w:rsidRPr="00566334">
        <w:rPr>
          <w:lang w:val="en-GB"/>
        </w:rPr>
        <w:t xml:space="preserve">, the </w:t>
      </w:r>
      <w:r w:rsidR="00263306">
        <w:rPr>
          <w:lang w:val="en-GB"/>
        </w:rPr>
        <w:t>Cameron/Clegg</w:t>
      </w:r>
      <w:r w:rsidR="004E28BF">
        <w:rPr>
          <w:lang w:val="en-GB"/>
        </w:rPr>
        <w:t xml:space="preserve"> government survived, </w:t>
      </w:r>
      <w:r w:rsidRPr="00566334">
        <w:rPr>
          <w:lang w:val="en-GB"/>
        </w:rPr>
        <w:t xml:space="preserve">suggesting a need to adjust our understanding of constitutional concepts.  Given the likelihood of future </w:t>
      </w:r>
      <w:r w:rsidR="004E28BF">
        <w:rPr>
          <w:lang w:val="en-GB"/>
        </w:rPr>
        <w:t>hung parliaments</w:t>
      </w:r>
      <w:r w:rsidRPr="00566334">
        <w:rPr>
          <w:lang w:val="en-GB"/>
        </w:rPr>
        <w:t>,</w:t>
      </w:r>
      <w:r w:rsidR="00FD797B">
        <w:rPr>
          <w:lang w:val="en-GB"/>
        </w:rPr>
        <w:t xml:space="preserve"> this could mean more permanent </w:t>
      </w:r>
      <w:r w:rsidR="004011AD">
        <w:rPr>
          <w:lang w:val="en-GB"/>
        </w:rPr>
        <w:t xml:space="preserve">constitutional </w:t>
      </w:r>
      <w:r w:rsidR="00FD797B">
        <w:rPr>
          <w:lang w:val="en-GB"/>
        </w:rPr>
        <w:t>change and</w:t>
      </w:r>
      <w:r w:rsidRPr="00566334">
        <w:rPr>
          <w:lang w:val="en-GB"/>
        </w:rPr>
        <w:t xml:space="preserve"> the article makes some modest suggestions for updating </w:t>
      </w:r>
      <w:r w:rsidR="00064D2F">
        <w:rPr>
          <w:lang w:val="en-GB"/>
        </w:rPr>
        <w:t>guidance</w:t>
      </w:r>
      <w:r w:rsidRPr="00566334">
        <w:rPr>
          <w:lang w:val="en-GB"/>
        </w:rPr>
        <w:t>.</w:t>
      </w:r>
    </w:p>
    <w:p w:rsidR="00566334" w:rsidRPr="00566334" w:rsidRDefault="00566334" w:rsidP="00566334">
      <w:pPr>
        <w:pStyle w:val="Body"/>
        <w:spacing w:line="480" w:lineRule="auto"/>
        <w:rPr>
          <w:lang w:val="en-GB"/>
        </w:rPr>
      </w:pPr>
    </w:p>
    <w:p w:rsidR="00172BEA" w:rsidRPr="00566334" w:rsidRDefault="00566334" w:rsidP="00566334">
      <w:pPr>
        <w:pStyle w:val="Body"/>
        <w:spacing w:line="480" w:lineRule="auto"/>
      </w:pPr>
      <w:r w:rsidRPr="00566334">
        <w:rPr>
          <w:b/>
          <w:lang w:val="en-GB"/>
        </w:rPr>
        <w:t>Key words:</w:t>
      </w:r>
      <w:r w:rsidRPr="00566334">
        <w:rPr>
          <w:lang w:val="en-GB"/>
        </w:rPr>
        <w:t xml:space="preserve"> Coalition, Constitutional Reform, Westminster System, Majoritarian, Collective Responsibility. </w:t>
      </w:r>
    </w:p>
    <w:p w:rsidR="00172BEA" w:rsidRPr="00566334" w:rsidRDefault="00172BEA" w:rsidP="00566334">
      <w:pPr>
        <w:pStyle w:val="Body"/>
        <w:spacing w:line="480" w:lineRule="auto"/>
        <w:rPr>
          <w:rFonts w:eastAsia="Arial Bold"/>
        </w:rPr>
      </w:pPr>
    </w:p>
    <w:p w:rsidR="00566334" w:rsidRPr="00566334" w:rsidRDefault="00566334" w:rsidP="00566334">
      <w:pPr>
        <w:spacing w:line="480" w:lineRule="auto"/>
        <w:rPr>
          <w:rFonts w:ascii="Arial" w:eastAsia="Arial" w:hAnsi="Arial" w:cs="Arial"/>
          <w:color w:val="000000"/>
          <w:u w:color="000000"/>
          <w:lang w:eastAsia="en-GB"/>
        </w:rPr>
      </w:pPr>
      <w:r w:rsidRPr="00566334">
        <w:rPr>
          <w:rFonts w:ascii="Arial" w:hAnsi="Arial" w:cs="Arial"/>
        </w:rPr>
        <w:br w:type="page"/>
      </w:r>
    </w:p>
    <w:p w:rsidR="00172BEA" w:rsidRPr="00566334" w:rsidRDefault="00566334" w:rsidP="00566334">
      <w:pPr>
        <w:pStyle w:val="Body"/>
        <w:spacing w:line="480" w:lineRule="auto"/>
        <w:rPr>
          <w:b/>
        </w:rPr>
      </w:pPr>
      <w:r w:rsidRPr="00566334">
        <w:rPr>
          <w:b/>
        </w:rPr>
        <w:lastRenderedPageBreak/>
        <w:t xml:space="preserve"> Main Text</w:t>
      </w:r>
    </w:p>
    <w:p w:rsidR="00566334" w:rsidRPr="00566334" w:rsidRDefault="00566334" w:rsidP="00566334">
      <w:pPr>
        <w:pStyle w:val="Body"/>
        <w:spacing w:line="480" w:lineRule="auto"/>
      </w:pPr>
    </w:p>
    <w:p w:rsidR="00172BEA" w:rsidRPr="00CC7140" w:rsidRDefault="00E3157A" w:rsidP="00566334">
      <w:pPr>
        <w:pStyle w:val="Body"/>
        <w:spacing w:line="480" w:lineRule="auto"/>
        <w:rPr>
          <w:color w:val="auto"/>
        </w:rPr>
      </w:pPr>
      <w:r w:rsidRPr="00566334">
        <w:t xml:space="preserve">The </w:t>
      </w:r>
      <w:r w:rsidR="00B114FA">
        <w:t>‘</w:t>
      </w:r>
      <w:r w:rsidRPr="00566334">
        <w:t>constitutional stretching</w:t>
      </w:r>
      <w:r w:rsidR="00B114FA">
        <w:t>’</w:t>
      </w:r>
      <w:r w:rsidRPr="00566334">
        <w:t xml:space="preserve"> of the British majoritarian Westminster system emerging from the 2010 coalition remains </w:t>
      </w:r>
      <w:r w:rsidRPr="00566334">
        <w:rPr>
          <w:lang w:val="en-GB"/>
        </w:rPr>
        <w:t>under-explored</w:t>
      </w:r>
      <w:r w:rsidRPr="00566334">
        <w:t xml:space="preserve"> by academics and is only recently being addressed by parliamentarians themselves</w:t>
      </w:r>
      <w:r w:rsidR="00D6060C">
        <w:t xml:space="preserve"> (</w:t>
      </w:r>
      <w:proofErr w:type="spellStart"/>
      <w:r w:rsidR="00D6060C">
        <w:t>HoL</w:t>
      </w:r>
      <w:proofErr w:type="spellEnd"/>
      <w:r w:rsidR="00D6060C">
        <w:t>, 2013)</w:t>
      </w:r>
      <w:r w:rsidRPr="00566334">
        <w:t>. And yet with a general election approaching which could once again result in hung parliament</w:t>
      </w:r>
      <w:r w:rsidRPr="00566334">
        <w:rPr>
          <w:rFonts w:eastAsia="Times New Roman"/>
          <w:vertAlign w:val="superscript"/>
        </w:rPr>
        <w:endnoteReference w:id="2"/>
      </w:r>
      <w:r w:rsidRPr="00566334">
        <w:t xml:space="preserve">, there is a need to draw lessons from the novel experience of UK coalition government to better understand constitutional norms and practices under such conditions. When Felicity Matthews (2011) examined the topic in </w:t>
      </w:r>
      <w:r w:rsidRPr="00566334">
        <w:rPr>
          <w:i/>
          <w:iCs/>
        </w:rPr>
        <w:t>Commonwealth &amp; Comparative Politics</w:t>
      </w:r>
      <w:r w:rsidRPr="00566334">
        <w:t xml:space="preserve">, the Conservative – Liberal Democrat coalition was still in its infancy. Despite this, she was able to explore the culture and assumptions of the Westminster model through the dynamics of coalition and to offer an early analysis of governance challenges. Others have since contributed to the wider analysis. Hazel and Yong (2012) for instance have studied how the coalition works; </w:t>
      </w:r>
      <w:proofErr w:type="spellStart"/>
      <w:r w:rsidRPr="00566334">
        <w:t>Bennister</w:t>
      </w:r>
      <w:proofErr w:type="spellEnd"/>
      <w:r w:rsidRPr="00566334">
        <w:t xml:space="preserve"> &amp; Heffernan (2012) have </w:t>
      </w:r>
      <w:r w:rsidRPr="00CC7140">
        <w:rPr>
          <w:color w:val="auto"/>
        </w:rPr>
        <w:t xml:space="preserve">examined how Prime Minister David Cameron and Deputy Prime Minister Nick Clegg operate together in Whitehall; </w:t>
      </w:r>
      <w:proofErr w:type="spellStart"/>
      <w:r w:rsidRPr="00CC7140">
        <w:rPr>
          <w:color w:val="auto"/>
        </w:rPr>
        <w:t>Hayton</w:t>
      </w:r>
      <w:proofErr w:type="spellEnd"/>
      <w:r w:rsidRPr="00CC7140">
        <w:rPr>
          <w:color w:val="auto"/>
        </w:rPr>
        <w:t xml:space="preserve"> (2014) has explored the strategic positioning of the Conservatives within coalition. Nonetheless, our understanding is far from complete</w:t>
      </w:r>
      <w:r w:rsidR="00B114FA" w:rsidRPr="00CC7140">
        <w:rPr>
          <w:color w:val="auto"/>
        </w:rPr>
        <w:t xml:space="preserve"> in terms of how coalition has necessitated a rethink of what is the British constitution.  This is the primary focus of this article.</w:t>
      </w:r>
      <w:r w:rsidRPr="00CC7140">
        <w:rPr>
          <w:color w:val="auto"/>
        </w:rPr>
        <w:t xml:space="preserve"> </w:t>
      </w:r>
    </w:p>
    <w:p w:rsidR="00172BEA" w:rsidRPr="00CC7140" w:rsidRDefault="00E3157A" w:rsidP="00566334">
      <w:pPr>
        <w:pStyle w:val="Body"/>
        <w:spacing w:line="480" w:lineRule="auto"/>
        <w:rPr>
          <w:color w:val="auto"/>
        </w:rPr>
      </w:pPr>
      <w:r w:rsidRPr="00CC7140">
        <w:rPr>
          <w:color w:val="auto"/>
        </w:rPr>
        <w:t>Taking Matthews (2011) as its point of departure and responding to her ‘plea</w:t>
      </w:r>
      <w:r w:rsidRPr="00CC7140">
        <w:rPr>
          <w:color w:val="auto"/>
          <w:lang w:val="fr-FR"/>
        </w:rPr>
        <w:t xml:space="preserve">’ </w:t>
      </w:r>
      <w:r w:rsidRPr="00CC7140">
        <w:rPr>
          <w:color w:val="auto"/>
        </w:rPr>
        <w:t>to scholars to help navigate the ‘unchartered terrain</w:t>
      </w:r>
      <w:r w:rsidRPr="00CC7140">
        <w:rPr>
          <w:color w:val="auto"/>
          <w:lang w:val="fr-FR"/>
        </w:rPr>
        <w:t xml:space="preserve">’ </w:t>
      </w:r>
      <w:r w:rsidRPr="00CC7140">
        <w:rPr>
          <w:color w:val="auto"/>
        </w:rPr>
        <w:t xml:space="preserve">of British coalition politics, this article </w:t>
      </w:r>
      <w:r w:rsidR="008B48E7" w:rsidRPr="00CC7140">
        <w:rPr>
          <w:color w:val="auto"/>
        </w:rPr>
        <w:t xml:space="preserve">reviews, </w:t>
      </w:r>
      <w:r w:rsidRPr="00CC7140">
        <w:rPr>
          <w:color w:val="auto"/>
        </w:rPr>
        <w:t xml:space="preserve">considers and </w:t>
      </w:r>
      <w:r w:rsidRPr="00CC7140">
        <w:rPr>
          <w:color w:val="auto"/>
          <w:lang w:val="en-GB"/>
        </w:rPr>
        <w:t>categorises</w:t>
      </w:r>
      <w:r w:rsidRPr="00CC7140">
        <w:rPr>
          <w:color w:val="auto"/>
        </w:rPr>
        <w:t xml:space="preserve"> the constitutional impact of coalition given the </w:t>
      </w:r>
      <w:r w:rsidRPr="00CC7140">
        <w:rPr>
          <w:color w:val="auto"/>
        </w:rPr>
        <w:lastRenderedPageBreak/>
        <w:t xml:space="preserve">experience of four years in office.  </w:t>
      </w:r>
      <w:r w:rsidR="00B114FA" w:rsidRPr="00CC7140">
        <w:rPr>
          <w:color w:val="auto"/>
        </w:rPr>
        <w:t xml:space="preserve">Its </w:t>
      </w:r>
      <w:r w:rsidR="000C17DE" w:rsidRPr="00CC7140">
        <w:rPr>
          <w:color w:val="auto"/>
        </w:rPr>
        <w:t xml:space="preserve">further </w:t>
      </w:r>
      <w:r w:rsidR="00B114FA" w:rsidRPr="00CC7140">
        <w:rPr>
          <w:color w:val="auto"/>
        </w:rPr>
        <w:t xml:space="preserve">contribution is to </w:t>
      </w:r>
      <w:r w:rsidR="00B114FA" w:rsidRPr="00CC7140">
        <w:rPr>
          <w:color w:val="auto"/>
          <w:lang w:val="en-GB"/>
        </w:rPr>
        <w:t>analyse</w:t>
      </w:r>
      <w:r w:rsidR="00B114FA" w:rsidRPr="00CC7140">
        <w:rPr>
          <w:color w:val="auto"/>
        </w:rPr>
        <w:t xml:space="preserve"> these developments through the conceptual lens of </w:t>
      </w:r>
      <w:r w:rsidR="008B48E7" w:rsidRPr="00CC7140">
        <w:rPr>
          <w:color w:val="auto"/>
        </w:rPr>
        <w:t>‘</w:t>
      </w:r>
      <w:r w:rsidR="00B114FA" w:rsidRPr="00CC7140">
        <w:rPr>
          <w:color w:val="auto"/>
        </w:rPr>
        <w:t>constitutional stretching</w:t>
      </w:r>
      <w:r w:rsidR="008B48E7" w:rsidRPr="00CC7140">
        <w:rPr>
          <w:color w:val="auto"/>
        </w:rPr>
        <w:t>’</w:t>
      </w:r>
      <w:r w:rsidR="00B114FA" w:rsidRPr="00CC7140">
        <w:rPr>
          <w:color w:val="auto"/>
        </w:rPr>
        <w:t xml:space="preserve">.  </w:t>
      </w:r>
      <w:r w:rsidR="00C47BEB" w:rsidRPr="00CC7140">
        <w:rPr>
          <w:color w:val="auto"/>
        </w:rPr>
        <w:t>The</w:t>
      </w:r>
      <w:r w:rsidR="000C17DE" w:rsidRPr="00CC7140">
        <w:rPr>
          <w:color w:val="auto"/>
        </w:rPr>
        <w:t xml:space="preserve"> methodological approach is to concentrate</w:t>
      </w:r>
      <w:r w:rsidRPr="00CC7140">
        <w:rPr>
          <w:color w:val="auto"/>
        </w:rPr>
        <w:t xml:space="preserve"> on what is judged to be the most significant areas – legitimacy, </w:t>
      </w:r>
      <w:r w:rsidR="004A47DE" w:rsidRPr="00CC7140">
        <w:rPr>
          <w:color w:val="auto"/>
        </w:rPr>
        <w:t xml:space="preserve">manifestos, </w:t>
      </w:r>
      <w:r w:rsidRPr="00CC7140">
        <w:rPr>
          <w:color w:val="auto"/>
        </w:rPr>
        <w:t>coalition agreement, collective responsibility and the prerogative</w:t>
      </w:r>
      <w:r w:rsidR="000C17DE" w:rsidRPr="00CC7140">
        <w:rPr>
          <w:color w:val="auto"/>
        </w:rPr>
        <w:t xml:space="preserve"> </w:t>
      </w:r>
      <w:r w:rsidR="004A47DE" w:rsidRPr="00CC7140">
        <w:rPr>
          <w:color w:val="auto"/>
        </w:rPr>
        <w:t xml:space="preserve">- </w:t>
      </w:r>
      <w:r w:rsidR="000C17DE" w:rsidRPr="00CC7140">
        <w:rPr>
          <w:color w:val="auto"/>
        </w:rPr>
        <w:t xml:space="preserve">to critique the </w:t>
      </w:r>
      <w:r w:rsidR="00FD797B" w:rsidRPr="00CC7140">
        <w:rPr>
          <w:color w:val="auto"/>
        </w:rPr>
        <w:t xml:space="preserve">real world </w:t>
      </w:r>
      <w:r w:rsidR="000C17DE" w:rsidRPr="00CC7140">
        <w:rPr>
          <w:color w:val="auto"/>
        </w:rPr>
        <w:t xml:space="preserve">changes to have taken place. </w:t>
      </w:r>
      <w:r w:rsidR="008B48E7" w:rsidRPr="00CC7140">
        <w:rPr>
          <w:color w:val="auto"/>
        </w:rPr>
        <w:t>Within these confines, the article suggests that areas of constitutional elasticity can relate</w:t>
      </w:r>
      <w:r w:rsidR="000C17DE" w:rsidRPr="00CC7140">
        <w:rPr>
          <w:color w:val="auto"/>
        </w:rPr>
        <w:t xml:space="preserve"> </w:t>
      </w:r>
      <w:r w:rsidR="008B48E7" w:rsidRPr="00CC7140">
        <w:rPr>
          <w:color w:val="auto"/>
        </w:rPr>
        <w:t>to either the Westminster model or the sustainability of the administration itself</w:t>
      </w:r>
      <w:r w:rsidR="004A47DE" w:rsidRPr="00CC7140">
        <w:rPr>
          <w:color w:val="auto"/>
        </w:rPr>
        <w:t xml:space="preserve">.  </w:t>
      </w:r>
      <w:r w:rsidR="003F6F84" w:rsidRPr="00CC7140">
        <w:rPr>
          <w:color w:val="auto"/>
        </w:rPr>
        <w:t>Here</w:t>
      </w:r>
      <w:r w:rsidR="004A47DE" w:rsidRPr="00CC7140">
        <w:rPr>
          <w:color w:val="auto"/>
        </w:rPr>
        <w:t>, it advances the view that</w:t>
      </w:r>
      <w:r w:rsidR="008B48E7" w:rsidRPr="00CC7140">
        <w:rPr>
          <w:color w:val="auto"/>
        </w:rPr>
        <w:t xml:space="preserve"> </w:t>
      </w:r>
      <w:r w:rsidR="004A47DE" w:rsidRPr="00CC7140">
        <w:rPr>
          <w:color w:val="auto"/>
        </w:rPr>
        <w:t xml:space="preserve">questions of </w:t>
      </w:r>
      <w:r w:rsidR="003F6F84" w:rsidRPr="00CC7140">
        <w:rPr>
          <w:color w:val="auto"/>
        </w:rPr>
        <w:t xml:space="preserve">legitimacy, </w:t>
      </w:r>
      <w:r w:rsidR="004A47DE" w:rsidRPr="00CC7140">
        <w:rPr>
          <w:color w:val="auto"/>
        </w:rPr>
        <w:t xml:space="preserve">use of </w:t>
      </w:r>
      <w:r w:rsidR="008B48E7" w:rsidRPr="00CC7140">
        <w:rPr>
          <w:color w:val="auto"/>
        </w:rPr>
        <w:t xml:space="preserve">manifestos </w:t>
      </w:r>
      <w:r w:rsidR="003F6F84" w:rsidRPr="00CC7140">
        <w:rPr>
          <w:color w:val="auto"/>
        </w:rPr>
        <w:t xml:space="preserve">and the coalition agreement </w:t>
      </w:r>
      <w:r w:rsidR="00294829" w:rsidRPr="00CC7140">
        <w:rPr>
          <w:color w:val="auto"/>
        </w:rPr>
        <w:t xml:space="preserve">can more easily be </w:t>
      </w:r>
      <w:r w:rsidR="00294829" w:rsidRPr="00CC7140">
        <w:rPr>
          <w:color w:val="auto"/>
          <w:lang w:val="en-GB"/>
        </w:rPr>
        <w:t>categoris</w:t>
      </w:r>
      <w:r w:rsidR="008B48E7" w:rsidRPr="00CC7140">
        <w:rPr>
          <w:color w:val="auto"/>
          <w:lang w:val="en-GB"/>
        </w:rPr>
        <w:t>ed</w:t>
      </w:r>
      <w:r w:rsidR="008B48E7" w:rsidRPr="00CC7140">
        <w:rPr>
          <w:color w:val="auto"/>
        </w:rPr>
        <w:t xml:space="preserve"> as </w:t>
      </w:r>
      <w:r w:rsidR="004A47DE" w:rsidRPr="00CC7140">
        <w:rPr>
          <w:color w:val="auto"/>
        </w:rPr>
        <w:t>stretching the Westminster model</w:t>
      </w:r>
      <w:r w:rsidR="008B48E7" w:rsidRPr="00CC7140">
        <w:rPr>
          <w:color w:val="auto"/>
        </w:rPr>
        <w:t xml:space="preserve"> with collective responsibility and prerogative power </w:t>
      </w:r>
      <w:r w:rsidR="004A47DE" w:rsidRPr="00CC7140">
        <w:rPr>
          <w:color w:val="auto"/>
        </w:rPr>
        <w:t xml:space="preserve">straining the viability of the </w:t>
      </w:r>
      <w:r w:rsidR="003F6F84" w:rsidRPr="00CC7140">
        <w:rPr>
          <w:color w:val="auto"/>
        </w:rPr>
        <w:t>government</w:t>
      </w:r>
      <w:r w:rsidR="004A47DE" w:rsidRPr="00CC7140">
        <w:rPr>
          <w:color w:val="auto"/>
        </w:rPr>
        <w:t xml:space="preserve"> itself</w:t>
      </w:r>
      <w:r w:rsidR="008B48E7" w:rsidRPr="00CC7140">
        <w:rPr>
          <w:color w:val="auto"/>
        </w:rPr>
        <w:t xml:space="preserve">. </w:t>
      </w:r>
      <w:r w:rsidR="000C17DE" w:rsidRPr="00CC7140">
        <w:rPr>
          <w:color w:val="auto"/>
        </w:rPr>
        <w:t xml:space="preserve">In doing so, </w:t>
      </w:r>
      <w:r w:rsidRPr="00CC7140">
        <w:rPr>
          <w:color w:val="auto"/>
        </w:rPr>
        <w:t xml:space="preserve">the article </w:t>
      </w:r>
      <w:r w:rsidR="004A47DE" w:rsidRPr="00CC7140">
        <w:rPr>
          <w:color w:val="auto"/>
        </w:rPr>
        <w:t>shows</w:t>
      </w:r>
      <w:r w:rsidRPr="00CC7140">
        <w:rPr>
          <w:color w:val="auto"/>
        </w:rPr>
        <w:t xml:space="preserve"> that traditional assumptions</w:t>
      </w:r>
      <w:r w:rsidR="00B114FA" w:rsidRPr="00CC7140">
        <w:rPr>
          <w:color w:val="auto"/>
        </w:rPr>
        <w:t>, based around the Westminster model,</w:t>
      </w:r>
      <w:r w:rsidRPr="00CC7140">
        <w:rPr>
          <w:color w:val="auto"/>
        </w:rPr>
        <w:t xml:space="preserve"> have been stretched during the </w:t>
      </w:r>
      <w:r w:rsidR="00263306" w:rsidRPr="00CC7140">
        <w:rPr>
          <w:color w:val="auto"/>
        </w:rPr>
        <w:t>Cameron/Clegg</w:t>
      </w:r>
      <w:r w:rsidRPr="00CC7140">
        <w:rPr>
          <w:color w:val="auto"/>
        </w:rPr>
        <w:t xml:space="preserve"> coalition but observes that the survival of the government throughout these tests means that our conceptions of</w:t>
      </w:r>
      <w:r w:rsidR="00630F03" w:rsidRPr="00CC7140">
        <w:rPr>
          <w:color w:val="auto"/>
        </w:rPr>
        <w:t xml:space="preserve"> such norms need</w:t>
      </w:r>
      <w:r w:rsidRPr="00CC7140">
        <w:rPr>
          <w:color w:val="auto"/>
        </w:rPr>
        <w:t xml:space="preserve"> to be relaxed.  In an effort to support future practice, it concludes with some modest recommendations.  While the article concentrates exclusively on the experience in the United Kingdom, it too represents an invitation to international scholars to offer comparisons that might better develop the understanding of </w:t>
      </w:r>
      <w:r w:rsidR="00963A31" w:rsidRPr="00CC7140">
        <w:rPr>
          <w:color w:val="auto"/>
        </w:rPr>
        <w:t xml:space="preserve">British </w:t>
      </w:r>
      <w:r w:rsidRPr="00CC7140">
        <w:rPr>
          <w:color w:val="auto"/>
        </w:rPr>
        <w:t xml:space="preserve">coalition politics. The </w:t>
      </w:r>
      <w:proofErr w:type="spellStart"/>
      <w:r w:rsidRPr="00CC7140">
        <w:rPr>
          <w:color w:val="auto"/>
        </w:rPr>
        <w:t>programme</w:t>
      </w:r>
      <w:proofErr w:type="spellEnd"/>
      <w:r w:rsidRPr="00CC7140">
        <w:rPr>
          <w:color w:val="auto"/>
        </w:rPr>
        <w:t xml:space="preserve"> of legislative constitutional reform pursued by the government remains ou</w:t>
      </w:r>
      <w:r w:rsidR="004A47DE" w:rsidRPr="00CC7140">
        <w:rPr>
          <w:color w:val="auto"/>
        </w:rPr>
        <w:t xml:space="preserve">tside the scope of this article and consequently the analysis is interested in the impact of the practice of government rather than intentional reform. </w:t>
      </w:r>
      <w:r w:rsidRPr="00CC7140">
        <w:rPr>
          <w:color w:val="auto"/>
        </w:rPr>
        <w:t xml:space="preserve"> </w:t>
      </w:r>
    </w:p>
    <w:p w:rsidR="000C17DE" w:rsidRPr="00CC7140" w:rsidRDefault="000C17DE" w:rsidP="00566334">
      <w:pPr>
        <w:pStyle w:val="Body"/>
        <w:spacing w:line="480" w:lineRule="auto"/>
        <w:rPr>
          <w:b/>
          <w:color w:val="auto"/>
        </w:rPr>
      </w:pPr>
    </w:p>
    <w:p w:rsidR="00CC7140" w:rsidRDefault="00CC7140" w:rsidP="00566334">
      <w:pPr>
        <w:pStyle w:val="Body"/>
        <w:spacing w:line="480" w:lineRule="auto"/>
        <w:rPr>
          <w:b/>
          <w:color w:val="auto"/>
        </w:rPr>
      </w:pPr>
    </w:p>
    <w:p w:rsidR="000C17DE" w:rsidRPr="00CC7140" w:rsidRDefault="000C17DE" w:rsidP="00566334">
      <w:pPr>
        <w:pStyle w:val="Body"/>
        <w:spacing w:line="480" w:lineRule="auto"/>
        <w:rPr>
          <w:b/>
          <w:color w:val="auto"/>
        </w:rPr>
      </w:pPr>
      <w:r w:rsidRPr="00CC7140">
        <w:rPr>
          <w:b/>
          <w:color w:val="auto"/>
        </w:rPr>
        <w:lastRenderedPageBreak/>
        <w:t xml:space="preserve">Constitutional Stretching </w:t>
      </w:r>
    </w:p>
    <w:p w:rsidR="00CE665C" w:rsidRPr="00CC7140" w:rsidRDefault="0092259D" w:rsidP="00566334">
      <w:pPr>
        <w:pStyle w:val="Body"/>
        <w:spacing w:line="480" w:lineRule="auto"/>
        <w:rPr>
          <w:color w:val="auto"/>
        </w:rPr>
      </w:pPr>
      <w:r w:rsidRPr="00CC7140">
        <w:rPr>
          <w:color w:val="auto"/>
        </w:rPr>
        <w:t>A</w:t>
      </w:r>
      <w:r w:rsidR="000C17DE" w:rsidRPr="00CC7140">
        <w:rPr>
          <w:color w:val="auto"/>
        </w:rPr>
        <w:t xml:space="preserve"> dimension </w:t>
      </w:r>
      <w:r w:rsidR="00CE665C" w:rsidRPr="00CC7140">
        <w:rPr>
          <w:color w:val="auto"/>
        </w:rPr>
        <w:t>adopted</w:t>
      </w:r>
      <w:r w:rsidR="000C17DE" w:rsidRPr="00CC7140">
        <w:rPr>
          <w:color w:val="auto"/>
        </w:rPr>
        <w:t xml:space="preserve"> </w:t>
      </w:r>
      <w:r w:rsidRPr="00CC7140">
        <w:rPr>
          <w:color w:val="auto"/>
        </w:rPr>
        <w:t xml:space="preserve">in Matthews (2011) and </w:t>
      </w:r>
      <w:r w:rsidR="00CE665C" w:rsidRPr="00CC7140">
        <w:rPr>
          <w:color w:val="auto"/>
        </w:rPr>
        <w:t>developed</w:t>
      </w:r>
      <w:r w:rsidRPr="00CC7140">
        <w:rPr>
          <w:color w:val="auto"/>
        </w:rPr>
        <w:t xml:space="preserve"> here </w:t>
      </w:r>
      <w:r w:rsidR="000C17DE" w:rsidRPr="00CC7140">
        <w:rPr>
          <w:color w:val="auto"/>
        </w:rPr>
        <w:t xml:space="preserve">is that of constitutional stretching. </w:t>
      </w:r>
      <w:r w:rsidR="00C8304F" w:rsidRPr="00CC7140">
        <w:rPr>
          <w:color w:val="auto"/>
        </w:rPr>
        <w:t xml:space="preserve">This section unpacks this </w:t>
      </w:r>
      <w:r w:rsidR="00CE665C" w:rsidRPr="00CC7140">
        <w:rPr>
          <w:color w:val="auto"/>
        </w:rPr>
        <w:t>concept</w:t>
      </w:r>
      <w:r w:rsidR="00C8304F" w:rsidRPr="00CC7140">
        <w:rPr>
          <w:color w:val="auto"/>
        </w:rPr>
        <w:t xml:space="preserve"> so that it might be used to better understand how </w:t>
      </w:r>
      <w:r w:rsidR="008B48E7" w:rsidRPr="00CC7140">
        <w:rPr>
          <w:color w:val="auto"/>
        </w:rPr>
        <w:t xml:space="preserve">the operation of </w:t>
      </w:r>
      <w:r w:rsidR="00C8304F" w:rsidRPr="00CC7140">
        <w:rPr>
          <w:color w:val="auto"/>
        </w:rPr>
        <w:t>coalition has changed the British constitution</w:t>
      </w:r>
      <w:r w:rsidR="00D6060C" w:rsidRPr="00CC7140">
        <w:rPr>
          <w:color w:val="auto"/>
        </w:rPr>
        <w:t xml:space="preserve">; that is the </w:t>
      </w:r>
      <w:r w:rsidR="00D6060C" w:rsidRPr="00CC7140">
        <w:rPr>
          <w:color w:val="auto"/>
          <w:lang w:val="en-GB"/>
        </w:rPr>
        <w:t>institutionali</w:t>
      </w:r>
      <w:r w:rsidR="007313E2" w:rsidRPr="00CC7140">
        <w:rPr>
          <w:color w:val="auto"/>
          <w:lang w:val="en-GB"/>
        </w:rPr>
        <w:t>s</w:t>
      </w:r>
      <w:r w:rsidR="00D6060C" w:rsidRPr="00CC7140">
        <w:rPr>
          <w:color w:val="auto"/>
          <w:lang w:val="en-GB"/>
        </w:rPr>
        <w:t>ed</w:t>
      </w:r>
      <w:r w:rsidR="00D6060C" w:rsidRPr="00CC7140">
        <w:rPr>
          <w:color w:val="auto"/>
        </w:rPr>
        <w:t xml:space="preserve"> rules and practices by which the country is governed</w:t>
      </w:r>
      <w:r w:rsidR="00C8304F" w:rsidRPr="00CC7140">
        <w:rPr>
          <w:color w:val="auto"/>
        </w:rPr>
        <w:t>.</w:t>
      </w:r>
      <w:r w:rsidR="0001092A" w:rsidRPr="00CC7140">
        <w:rPr>
          <w:color w:val="auto"/>
        </w:rPr>
        <w:t xml:space="preserve"> In considering the elasticity of the constitution in adapting to new circumstances, it suggests constitutional ‘snapping’ to be the point </w:t>
      </w:r>
      <w:r w:rsidR="00041F79">
        <w:rPr>
          <w:color w:val="auto"/>
        </w:rPr>
        <w:t>at</w:t>
      </w:r>
      <w:r w:rsidR="00041F79" w:rsidRPr="00CC7140">
        <w:rPr>
          <w:color w:val="auto"/>
        </w:rPr>
        <w:t xml:space="preserve"> </w:t>
      </w:r>
      <w:r w:rsidR="0001092A" w:rsidRPr="00CC7140">
        <w:rPr>
          <w:color w:val="auto"/>
        </w:rPr>
        <w:t xml:space="preserve">which structures </w:t>
      </w:r>
      <w:r w:rsidR="00041F79">
        <w:rPr>
          <w:color w:val="auto"/>
        </w:rPr>
        <w:t>can no longer</w:t>
      </w:r>
      <w:r w:rsidR="0001092A" w:rsidRPr="00CC7140">
        <w:rPr>
          <w:color w:val="auto"/>
        </w:rPr>
        <w:t xml:space="preserve"> maintain a functioning administration or that the principles underlining the Westminster Model, long a feature of the British system of parliamentary government, are changed fundamentally.  </w:t>
      </w:r>
    </w:p>
    <w:p w:rsidR="0002749E" w:rsidRPr="00CC7140" w:rsidRDefault="00FD797B" w:rsidP="00566334">
      <w:pPr>
        <w:pStyle w:val="Body"/>
        <w:spacing w:line="480" w:lineRule="auto"/>
        <w:rPr>
          <w:color w:val="auto"/>
        </w:rPr>
      </w:pPr>
      <w:r w:rsidRPr="00CC7140">
        <w:rPr>
          <w:color w:val="auto"/>
        </w:rPr>
        <w:t>T</w:t>
      </w:r>
      <w:r w:rsidR="003479BE" w:rsidRPr="00CC7140">
        <w:rPr>
          <w:color w:val="auto"/>
        </w:rPr>
        <w:t xml:space="preserve">he elasticity of constitutional practices and </w:t>
      </w:r>
      <w:r w:rsidR="00C8304F" w:rsidRPr="00CC7140">
        <w:rPr>
          <w:color w:val="auto"/>
        </w:rPr>
        <w:t xml:space="preserve">precedents </w:t>
      </w:r>
      <w:r w:rsidR="003479BE" w:rsidRPr="00CC7140">
        <w:rPr>
          <w:color w:val="auto"/>
        </w:rPr>
        <w:t xml:space="preserve">when </w:t>
      </w:r>
      <w:r w:rsidR="00D6060C" w:rsidRPr="00CC7140">
        <w:rPr>
          <w:color w:val="auto"/>
        </w:rPr>
        <w:t>‘</w:t>
      </w:r>
      <w:r w:rsidR="0002749E" w:rsidRPr="00CC7140">
        <w:rPr>
          <w:color w:val="auto"/>
        </w:rPr>
        <w:t>unusual</w:t>
      </w:r>
      <w:r w:rsidR="00D6060C" w:rsidRPr="00CC7140">
        <w:rPr>
          <w:color w:val="auto"/>
        </w:rPr>
        <w:t>’</w:t>
      </w:r>
      <w:r w:rsidR="0002749E" w:rsidRPr="00CC7140">
        <w:rPr>
          <w:color w:val="auto"/>
        </w:rPr>
        <w:t xml:space="preserve"> arrangements are put in place </w:t>
      </w:r>
      <w:r w:rsidR="003479BE" w:rsidRPr="00CC7140">
        <w:rPr>
          <w:color w:val="auto"/>
        </w:rPr>
        <w:t xml:space="preserve">is central to </w:t>
      </w:r>
      <w:r w:rsidR="0002749E" w:rsidRPr="00CC7140">
        <w:rPr>
          <w:color w:val="auto"/>
        </w:rPr>
        <w:t xml:space="preserve">the understanding of change. </w:t>
      </w:r>
      <w:r w:rsidR="00C47BEB" w:rsidRPr="00CC7140">
        <w:rPr>
          <w:color w:val="auto"/>
        </w:rPr>
        <w:t xml:space="preserve"> </w:t>
      </w:r>
      <w:proofErr w:type="gramStart"/>
      <w:r w:rsidR="008B48E7" w:rsidRPr="00CC7140">
        <w:rPr>
          <w:color w:val="auto"/>
        </w:rPr>
        <w:t>That being so,</w:t>
      </w:r>
      <w:r w:rsidR="0002749E" w:rsidRPr="00CC7140">
        <w:rPr>
          <w:color w:val="auto"/>
        </w:rPr>
        <w:t xml:space="preserve"> a</w:t>
      </w:r>
      <w:r w:rsidR="00E3157A" w:rsidRPr="00CC7140">
        <w:rPr>
          <w:color w:val="auto"/>
        </w:rPr>
        <w:t>ll governments are coalitions</w:t>
      </w:r>
      <w:r w:rsidR="004A47DE" w:rsidRPr="00CC7140">
        <w:rPr>
          <w:color w:val="auto"/>
        </w:rPr>
        <w:t xml:space="preserve"> of sorts</w:t>
      </w:r>
      <w:r w:rsidR="00E3157A" w:rsidRPr="00CC7140">
        <w:rPr>
          <w:color w:val="auto"/>
        </w:rPr>
        <w:t>, drawn from competing opinion (usually within a single party).</w:t>
      </w:r>
      <w:proofErr w:type="gramEnd"/>
      <w:r w:rsidR="00E3157A" w:rsidRPr="00CC7140">
        <w:rPr>
          <w:color w:val="auto"/>
        </w:rPr>
        <w:t xml:space="preserve">  The 2010 coalition </w:t>
      </w:r>
      <w:r w:rsidR="00E3157A" w:rsidRPr="00CC7140">
        <w:rPr>
          <w:color w:val="auto"/>
          <w:lang w:val="en-GB"/>
        </w:rPr>
        <w:t>has shown itself to be,</w:t>
      </w:r>
      <w:r w:rsidR="00E3157A" w:rsidRPr="00CC7140">
        <w:rPr>
          <w:color w:val="auto"/>
        </w:rPr>
        <w:t xml:space="preserve"> in many ways</w:t>
      </w:r>
      <w:r w:rsidR="00E3157A" w:rsidRPr="00CC7140">
        <w:rPr>
          <w:color w:val="auto"/>
          <w:lang w:val="en-GB"/>
        </w:rPr>
        <w:t>,</w:t>
      </w:r>
      <w:r w:rsidR="00E3157A" w:rsidRPr="00CC7140">
        <w:rPr>
          <w:color w:val="auto"/>
        </w:rPr>
        <w:t xml:space="preserve"> more ideologically comfortable than the divisions between the ‘</w:t>
      </w:r>
      <w:r w:rsidR="00E3157A" w:rsidRPr="00CC7140">
        <w:rPr>
          <w:color w:val="auto"/>
          <w:lang w:val="nl-NL"/>
        </w:rPr>
        <w:t>wets</w:t>
      </w:r>
      <w:r w:rsidR="00E3157A" w:rsidRPr="00CC7140">
        <w:rPr>
          <w:color w:val="auto"/>
          <w:lang w:val="fr-FR"/>
        </w:rPr>
        <w:t xml:space="preserve">’ </w:t>
      </w:r>
      <w:r w:rsidR="00E3157A" w:rsidRPr="00CC7140">
        <w:rPr>
          <w:color w:val="auto"/>
        </w:rPr>
        <w:t>and the ‘</w:t>
      </w:r>
      <w:proofErr w:type="spellStart"/>
      <w:r w:rsidR="00E3157A" w:rsidRPr="00CC7140">
        <w:rPr>
          <w:color w:val="auto"/>
        </w:rPr>
        <w:t>drys</w:t>
      </w:r>
      <w:proofErr w:type="spellEnd"/>
      <w:r w:rsidR="00E3157A" w:rsidRPr="00CC7140">
        <w:rPr>
          <w:color w:val="auto"/>
          <w:lang w:val="fr-FR"/>
        </w:rPr>
        <w:t xml:space="preserve">’ </w:t>
      </w:r>
      <w:r w:rsidR="00E3157A" w:rsidRPr="00CC7140">
        <w:rPr>
          <w:color w:val="auto"/>
        </w:rPr>
        <w:t xml:space="preserve">(and other </w:t>
      </w:r>
      <w:r w:rsidR="00E3157A" w:rsidRPr="00CC7140">
        <w:rPr>
          <w:color w:val="auto"/>
          <w:lang w:val="en-GB"/>
        </w:rPr>
        <w:t>categorisations</w:t>
      </w:r>
      <w:r w:rsidR="00E3157A" w:rsidRPr="00CC7140">
        <w:rPr>
          <w:color w:val="auto"/>
        </w:rPr>
        <w:t>) in the Thatcher and Major governments (</w:t>
      </w:r>
      <w:proofErr w:type="spellStart"/>
      <w:r w:rsidR="00E3157A" w:rsidRPr="00CC7140">
        <w:rPr>
          <w:color w:val="auto"/>
        </w:rPr>
        <w:t>Heppel</w:t>
      </w:r>
      <w:proofErr w:type="spellEnd"/>
      <w:r w:rsidR="00E3157A" w:rsidRPr="00CC7140">
        <w:rPr>
          <w:color w:val="auto"/>
        </w:rPr>
        <w:t>, 2002) and more functional in their relationships than the tribal splits between the ‘</w:t>
      </w:r>
      <w:proofErr w:type="spellStart"/>
      <w:r w:rsidR="00E3157A" w:rsidRPr="00CC7140">
        <w:rPr>
          <w:color w:val="auto"/>
          <w:lang w:val="fr-FR"/>
        </w:rPr>
        <w:t>Blairites</w:t>
      </w:r>
      <w:proofErr w:type="spellEnd"/>
      <w:r w:rsidR="00E3157A" w:rsidRPr="00CC7140">
        <w:rPr>
          <w:color w:val="auto"/>
          <w:lang w:val="en-GB"/>
        </w:rPr>
        <w:t>'</w:t>
      </w:r>
      <w:r w:rsidR="00E3157A" w:rsidRPr="00CC7140">
        <w:rPr>
          <w:color w:val="auto"/>
        </w:rPr>
        <w:t xml:space="preserve"> and the ‘</w:t>
      </w:r>
      <w:proofErr w:type="spellStart"/>
      <w:r w:rsidR="00E3157A" w:rsidRPr="00CC7140">
        <w:rPr>
          <w:color w:val="auto"/>
        </w:rPr>
        <w:t>Brownites</w:t>
      </w:r>
      <w:proofErr w:type="spellEnd"/>
      <w:r w:rsidR="00E3157A" w:rsidRPr="00CC7140">
        <w:rPr>
          <w:color w:val="auto"/>
          <w:lang w:val="fr-FR"/>
        </w:rPr>
        <w:t xml:space="preserve">’ </w:t>
      </w:r>
      <w:r w:rsidR="00E3157A" w:rsidRPr="00CC7140">
        <w:rPr>
          <w:color w:val="auto"/>
        </w:rPr>
        <w:t xml:space="preserve">of the Blair administration (Heffernan, 2011).  While there have been some public rows between the parties in the Cameron/Clegg coalition, the more serious disagreements have not always been drawn on party lines but rather have been between the Treasury and spending departments (for example the </w:t>
      </w:r>
      <w:proofErr w:type="spellStart"/>
      <w:r w:rsidR="00E3157A" w:rsidRPr="00CC7140">
        <w:rPr>
          <w:color w:val="auto"/>
        </w:rPr>
        <w:t>MoD</w:t>
      </w:r>
      <w:proofErr w:type="spellEnd"/>
      <w:r w:rsidR="00E3157A" w:rsidRPr="00CC7140">
        <w:rPr>
          <w:color w:val="auto"/>
        </w:rPr>
        <w:t xml:space="preserve"> and Social Security) reflecting the tough public spending environment more than coalition. </w:t>
      </w:r>
    </w:p>
    <w:p w:rsidR="003B5A4C" w:rsidRPr="00CC7140" w:rsidRDefault="002032EA" w:rsidP="00566334">
      <w:pPr>
        <w:pStyle w:val="Body"/>
        <w:spacing w:line="480" w:lineRule="auto"/>
        <w:rPr>
          <w:color w:val="auto"/>
        </w:rPr>
      </w:pPr>
      <w:r w:rsidRPr="00CC7140">
        <w:rPr>
          <w:color w:val="auto"/>
        </w:rPr>
        <w:lastRenderedPageBreak/>
        <w:t>Even though the first-past-the-post electoral system, has usually delivered majority governments on minority votes, t</w:t>
      </w:r>
      <w:r w:rsidR="0002749E" w:rsidRPr="00CC7140">
        <w:rPr>
          <w:color w:val="auto"/>
        </w:rPr>
        <w:t>he British constitution is flexible, accommodating and has supported previous multi-party coalition</w:t>
      </w:r>
      <w:r w:rsidRPr="00CC7140">
        <w:rPr>
          <w:color w:val="auto"/>
        </w:rPr>
        <w:t>s</w:t>
      </w:r>
      <w:r w:rsidR="0002749E" w:rsidRPr="00CC7140">
        <w:rPr>
          <w:color w:val="auto"/>
        </w:rPr>
        <w:t xml:space="preserve">. </w:t>
      </w:r>
      <w:r w:rsidR="00CE665C" w:rsidRPr="00CC7140">
        <w:rPr>
          <w:color w:val="auto"/>
        </w:rPr>
        <w:t>This</w:t>
      </w:r>
      <w:r w:rsidRPr="00CC7140">
        <w:rPr>
          <w:color w:val="auto"/>
        </w:rPr>
        <w:t xml:space="preserve"> relative elasticity needs to be considered since </w:t>
      </w:r>
      <w:r w:rsidR="004A47DE" w:rsidRPr="00CC7140">
        <w:rPr>
          <w:color w:val="auto"/>
        </w:rPr>
        <w:t>a</w:t>
      </w:r>
      <w:r w:rsidR="0002238D" w:rsidRPr="00CC7140">
        <w:rPr>
          <w:color w:val="auto"/>
        </w:rPr>
        <w:t>ny</w:t>
      </w:r>
      <w:r w:rsidR="004A47DE" w:rsidRPr="00CC7140">
        <w:rPr>
          <w:color w:val="auto"/>
        </w:rPr>
        <w:t xml:space="preserve"> definition of </w:t>
      </w:r>
      <w:r w:rsidRPr="00CC7140">
        <w:rPr>
          <w:color w:val="auto"/>
        </w:rPr>
        <w:t>limitless adaptability makes the notion of stretching less conceptually useful.</w:t>
      </w:r>
      <w:r w:rsidR="0002238D" w:rsidRPr="00CC7140">
        <w:rPr>
          <w:color w:val="auto"/>
        </w:rPr>
        <w:t xml:space="preserve"> </w:t>
      </w:r>
      <w:r w:rsidR="00F31DDD">
        <w:rPr>
          <w:color w:val="auto"/>
        </w:rPr>
        <w:t>Indeed ‘standard accounts’ of the parliamentary system have already been ‘stretched to the breaking point’ (</w:t>
      </w:r>
      <w:proofErr w:type="spellStart"/>
      <w:r w:rsidR="00F31DDD">
        <w:rPr>
          <w:color w:val="auto"/>
        </w:rPr>
        <w:t>Urbinani</w:t>
      </w:r>
      <w:proofErr w:type="spellEnd"/>
      <w:r w:rsidR="00F31DDD">
        <w:rPr>
          <w:color w:val="auto"/>
        </w:rPr>
        <w:t xml:space="preserve"> &amp; Warren, 2008, 390). </w:t>
      </w:r>
      <w:r w:rsidR="0002238D" w:rsidRPr="00CC7140">
        <w:rPr>
          <w:color w:val="auto"/>
        </w:rPr>
        <w:t>And</w:t>
      </w:r>
      <w:r w:rsidR="00FD797B" w:rsidRPr="00CC7140">
        <w:rPr>
          <w:color w:val="auto"/>
        </w:rPr>
        <w:t>, in a practical sense,</w:t>
      </w:r>
      <w:r w:rsidR="0002238D" w:rsidRPr="00CC7140">
        <w:rPr>
          <w:color w:val="auto"/>
        </w:rPr>
        <w:t xml:space="preserve"> while ‘it must be sufficient to allow adaption to the pressures that arise naturally from the dynamic development of an organic state struct</w:t>
      </w:r>
      <w:r w:rsidR="00D6060C" w:rsidRPr="00CC7140">
        <w:rPr>
          <w:color w:val="auto"/>
        </w:rPr>
        <w:t>ure’ it must be ‘</w:t>
      </w:r>
      <w:proofErr w:type="spellStart"/>
      <w:r w:rsidR="00D6060C" w:rsidRPr="00CC7140">
        <w:rPr>
          <w:color w:val="auto"/>
        </w:rPr>
        <w:t>institutionalis</w:t>
      </w:r>
      <w:r w:rsidR="0002238D" w:rsidRPr="00CC7140">
        <w:rPr>
          <w:color w:val="auto"/>
        </w:rPr>
        <w:t>ed</w:t>
      </w:r>
      <w:proofErr w:type="spellEnd"/>
      <w:r w:rsidR="0002238D" w:rsidRPr="00CC7140">
        <w:rPr>
          <w:color w:val="auto"/>
        </w:rPr>
        <w:t xml:space="preserve">’ and capable of </w:t>
      </w:r>
      <w:r w:rsidRPr="00CC7140">
        <w:rPr>
          <w:color w:val="auto"/>
        </w:rPr>
        <w:t xml:space="preserve"> </w:t>
      </w:r>
      <w:r w:rsidR="0002238D" w:rsidRPr="00CC7140">
        <w:rPr>
          <w:color w:val="auto"/>
        </w:rPr>
        <w:t xml:space="preserve">preventing institutions from ‘acting improperly’ (Feldman, 2005, 338). </w:t>
      </w:r>
      <w:r w:rsidR="00CE665C" w:rsidRPr="00CC7140">
        <w:rPr>
          <w:color w:val="auto"/>
        </w:rPr>
        <w:t xml:space="preserve">Just where would tension mean constitutional snapping? Here the inability of existing structures to maintain a functioning government is an evident </w:t>
      </w:r>
      <w:r w:rsidR="0001092A" w:rsidRPr="00CC7140">
        <w:rPr>
          <w:color w:val="auto"/>
        </w:rPr>
        <w:t>snapping point</w:t>
      </w:r>
      <w:r w:rsidR="00CE665C" w:rsidRPr="00CC7140">
        <w:rPr>
          <w:color w:val="auto"/>
        </w:rPr>
        <w:t xml:space="preserve">. </w:t>
      </w:r>
      <w:r w:rsidR="003B5A4C" w:rsidRPr="00CC7140">
        <w:rPr>
          <w:color w:val="auto"/>
        </w:rPr>
        <w:t xml:space="preserve">And the </w:t>
      </w:r>
      <w:r w:rsidR="00FD797B" w:rsidRPr="00CC7140">
        <w:rPr>
          <w:color w:val="auto"/>
        </w:rPr>
        <w:t>observation</w:t>
      </w:r>
      <w:r w:rsidR="003B5A4C" w:rsidRPr="00CC7140">
        <w:rPr>
          <w:color w:val="auto"/>
        </w:rPr>
        <w:t xml:space="preserve"> that the 2010 coalition did not </w:t>
      </w:r>
      <w:r w:rsidR="008B48E7" w:rsidRPr="00CC7140">
        <w:rPr>
          <w:color w:val="auto"/>
        </w:rPr>
        <w:t xml:space="preserve">collapse </w:t>
      </w:r>
      <w:r w:rsidR="003B5A4C" w:rsidRPr="00CC7140">
        <w:rPr>
          <w:color w:val="auto"/>
        </w:rPr>
        <w:t xml:space="preserve">means that where practices have differed, they must be considered to </w:t>
      </w:r>
      <w:r w:rsidR="004A47DE" w:rsidRPr="00CC7140">
        <w:rPr>
          <w:color w:val="auto"/>
        </w:rPr>
        <w:t>have changed the constitution</w:t>
      </w:r>
      <w:r w:rsidR="003B5A4C" w:rsidRPr="00CC7140">
        <w:rPr>
          <w:color w:val="auto"/>
        </w:rPr>
        <w:t xml:space="preserve">.  </w:t>
      </w:r>
    </w:p>
    <w:p w:rsidR="00181EB9" w:rsidRPr="00CC7140" w:rsidRDefault="0001092A" w:rsidP="003F6F84">
      <w:pPr>
        <w:pStyle w:val="Body"/>
        <w:spacing w:line="480" w:lineRule="auto"/>
        <w:rPr>
          <w:color w:val="auto"/>
        </w:rPr>
      </w:pPr>
      <w:r w:rsidRPr="00CC7140">
        <w:rPr>
          <w:color w:val="auto"/>
        </w:rPr>
        <w:t xml:space="preserve">But it is possible to be more subtle than this to </w:t>
      </w:r>
      <w:r w:rsidR="004A47DE" w:rsidRPr="00CC7140">
        <w:rPr>
          <w:color w:val="auto"/>
        </w:rPr>
        <w:t xml:space="preserve">consider snapping as a change in </w:t>
      </w:r>
      <w:r w:rsidR="00DD09F2" w:rsidRPr="00CC7140">
        <w:rPr>
          <w:color w:val="auto"/>
        </w:rPr>
        <w:t xml:space="preserve">what might be termed constitutional </w:t>
      </w:r>
      <w:r w:rsidR="003F6F84" w:rsidRPr="00CC7140">
        <w:rPr>
          <w:color w:val="auto"/>
        </w:rPr>
        <w:t>typology</w:t>
      </w:r>
      <w:r w:rsidR="00181EB9" w:rsidRPr="00CC7140">
        <w:rPr>
          <w:color w:val="auto"/>
        </w:rPr>
        <w:t xml:space="preserve">. In Britain this </w:t>
      </w:r>
      <w:r w:rsidR="00DD09F2" w:rsidRPr="00CC7140">
        <w:rPr>
          <w:color w:val="auto"/>
        </w:rPr>
        <w:t>means</w:t>
      </w:r>
      <w:r w:rsidR="00181EB9" w:rsidRPr="00CC7140">
        <w:rPr>
          <w:color w:val="auto"/>
        </w:rPr>
        <w:t xml:space="preserve"> the Westminster model which </w:t>
      </w:r>
      <w:r w:rsidR="00DD09F2" w:rsidRPr="00CC7140">
        <w:rPr>
          <w:color w:val="auto"/>
        </w:rPr>
        <w:t>continues to be</w:t>
      </w:r>
      <w:r w:rsidR="00181EB9" w:rsidRPr="00CC7140">
        <w:rPr>
          <w:color w:val="auto"/>
        </w:rPr>
        <w:t xml:space="preserve"> explored in the literature (</w:t>
      </w:r>
      <w:proofErr w:type="spellStart"/>
      <w:r w:rsidR="00181EB9" w:rsidRPr="00CC7140">
        <w:rPr>
          <w:color w:val="auto"/>
        </w:rPr>
        <w:t>Bevir</w:t>
      </w:r>
      <w:proofErr w:type="spellEnd"/>
      <w:r w:rsidR="00181EB9" w:rsidRPr="00CC7140">
        <w:rPr>
          <w:color w:val="auto"/>
        </w:rPr>
        <w:t xml:space="preserve">, 2008; </w:t>
      </w:r>
      <w:proofErr w:type="spellStart"/>
      <w:r w:rsidR="00181EB9" w:rsidRPr="00CC7140">
        <w:rPr>
          <w:color w:val="auto"/>
        </w:rPr>
        <w:t>Lijphart</w:t>
      </w:r>
      <w:proofErr w:type="spellEnd"/>
      <w:r w:rsidR="00181EB9" w:rsidRPr="00CC7140">
        <w:rPr>
          <w:color w:val="auto"/>
        </w:rPr>
        <w:t xml:space="preserve"> 1999; Matthews 2011; Norton, 2008) and </w:t>
      </w:r>
      <w:r w:rsidR="00DD09F2" w:rsidRPr="00CC7140">
        <w:rPr>
          <w:color w:val="auto"/>
        </w:rPr>
        <w:t xml:space="preserve">is usually </w:t>
      </w:r>
      <w:r w:rsidR="00181EB9" w:rsidRPr="00CC7140">
        <w:rPr>
          <w:color w:val="auto"/>
        </w:rPr>
        <w:t xml:space="preserve">defined </w:t>
      </w:r>
      <w:r w:rsidR="00FD797B" w:rsidRPr="00CC7140">
        <w:rPr>
          <w:color w:val="auto"/>
        </w:rPr>
        <w:t xml:space="preserve">by scholars </w:t>
      </w:r>
      <w:r w:rsidR="00181EB9" w:rsidRPr="00CC7140">
        <w:rPr>
          <w:color w:val="auto"/>
        </w:rPr>
        <w:t xml:space="preserve">as </w:t>
      </w:r>
      <w:r w:rsidR="00DD09F2" w:rsidRPr="00CC7140">
        <w:rPr>
          <w:color w:val="auto"/>
        </w:rPr>
        <w:t xml:space="preserve">majoritarian, </w:t>
      </w:r>
      <w:r w:rsidR="00181EB9" w:rsidRPr="00CC7140">
        <w:rPr>
          <w:color w:val="auto"/>
        </w:rPr>
        <w:t xml:space="preserve">tribal, oppositional and confrontational in </w:t>
      </w:r>
      <w:r w:rsidR="00181EB9" w:rsidRPr="00CC7140">
        <w:rPr>
          <w:color w:val="auto"/>
          <w:lang w:val="en-GB"/>
        </w:rPr>
        <w:t>organisation</w:t>
      </w:r>
      <w:r w:rsidR="00181EB9" w:rsidRPr="00CC7140">
        <w:rPr>
          <w:color w:val="auto"/>
        </w:rPr>
        <w:t xml:space="preserve"> and practice.</w:t>
      </w:r>
      <w:r w:rsidR="00E3157A" w:rsidRPr="00CC7140">
        <w:rPr>
          <w:color w:val="auto"/>
        </w:rPr>
        <w:t xml:space="preserve"> There is a paid Leader of the Opposition whose job it is to legitimately oppose the government and together with a shadow cabinet act as an alternative government.  </w:t>
      </w:r>
      <w:r w:rsidR="00181EB9" w:rsidRPr="00CC7140">
        <w:rPr>
          <w:color w:val="auto"/>
        </w:rPr>
        <w:t xml:space="preserve">While all </w:t>
      </w:r>
      <w:r w:rsidR="006364CF" w:rsidRPr="00CC7140">
        <w:rPr>
          <w:color w:val="auto"/>
        </w:rPr>
        <w:t>democratic political systems highlight their distinctive policies and values, the Westminster model is not</w:t>
      </w:r>
      <w:r w:rsidR="00E3157A" w:rsidRPr="00CC7140">
        <w:rPr>
          <w:color w:val="auto"/>
        </w:rPr>
        <w:t xml:space="preserve"> only combative but also exaggerat</w:t>
      </w:r>
      <w:r w:rsidR="006364CF" w:rsidRPr="00CC7140">
        <w:rPr>
          <w:color w:val="auto"/>
        </w:rPr>
        <w:t>es</w:t>
      </w:r>
      <w:r w:rsidR="00E3157A" w:rsidRPr="00CC7140">
        <w:rPr>
          <w:color w:val="auto"/>
        </w:rPr>
        <w:t xml:space="preserve"> differences between parties</w:t>
      </w:r>
      <w:r w:rsidR="006364CF" w:rsidRPr="00CC7140">
        <w:rPr>
          <w:color w:val="auto"/>
        </w:rPr>
        <w:t xml:space="preserve"> </w:t>
      </w:r>
      <w:r w:rsidR="00963A31" w:rsidRPr="00CC7140">
        <w:rPr>
          <w:color w:val="auto"/>
        </w:rPr>
        <w:t xml:space="preserve">because of this </w:t>
      </w:r>
      <w:r w:rsidR="00963A31" w:rsidRPr="00CC7140">
        <w:rPr>
          <w:color w:val="auto"/>
        </w:rPr>
        <w:lastRenderedPageBreak/>
        <w:t>concentration of power</w:t>
      </w:r>
      <w:r w:rsidR="00FD797B" w:rsidRPr="00CC7140">
        <w:rPr>
          <w:color w:val="auto"/>
        </w:rPr>
        <w:t>; facilitating</w:t>
      </w:r>
      <w:r w:rsidR="00E3157A" w:rsidRPr="00CC7140">
        <w:rPr>
          <w:color w:val="auto"/>
        </w:rPr>
        <w:t xml:space="preserve"> the alternation of </w:t>
      </w:r>
      <w:r w:rsidR="006364CF" w:rsidRPr="00CC7140">
        <w:rPr>
          <w:color w:val="auto"/>
        </w:rPr>
        <w:t xml:space="preserve">(usually) </w:t>
      </w:r>
      <w:r w:rsidR="00E3157A" w:rsidRPr="00CC7140">
        <w:rPr>
          <w:color w:val="auto"/>
        </w:rPr>
        <w:t>single party majority governments in office</w:t>
      </w:r>
      <w:r w:rsidR="006364CF" w:rsidRPr="00CC7140">
        <w:rPr>
          <w:color w:val="auto"/>
        </w:rPr>
        <w:t>. This contrasts with</w:t>
      </w:r>
      <w:r w:rsidR="00E3157A" w:rsidRPr="00CC7140">
        <w:rPr>
          <w:color w:val="auto"/>
        </w:rPr>
        <w:t xml:space="preserve"> more </w:t>
      </w:r>
      <w:r w:rsidR="0002238D" w:rsidRPr="00CC7140">
        <w:rPr>
          <w:color w:val="auto"/>
        </w:rPr>
        <w:t>‘</w:t>
      </w:r>
      <w:r w:rsidR="00E3157A" w:rsidRPr="00CC7140">
        <w:rPr>
          <w:color w:val="auto"/>
        </w:rPr>
        <w:t>consensu</w:t>
      </w:r>
      <w:r w:rsidR="006364CF" w:rsidRPr="00CC7140">
        <w:rPr>
          <w:color w:val="auto"/>
        </w:rPr>
        <w:t>s</w:t>
      </w:r>
      <w:r w:rsidR="0002238D" w:rsidRPr="00CC7140">
        <w:rPr>
          <w:color w:val="auto"/>
        </w:rPr>
        <w:t>’</w:t>
      </w:r>
      <w:r w:rsidR="006364CF" w:rsidRPr="00CC7140">
        <w:rPr>
          <w:color w:val="auto"/>
        </w:rPr>
        <w:t xml:space="preserve"> based systems</w:t>
      </w:r>
      <w:r w:rsidR="00FD797B" w:rsidRPr="00CC7140">
        <w:rPr>
          <w:color w:val="auto"/>
        </w:rPr>
        <w:t xml:space="preserve"> around the democratic world</w:t>
      </w:r>
      <w:r w:rsidR="006364CF" w:rsidRPr="00CC7140">
        <w:rPr>
          <w:color w:val="auto"/>
        </w:rPr>
        <w:t xml:space="preserve"> which routinely</w:t>
      </w:r>
      <w:r w:rsidR="00E3157A" w:rsidRPr="00CC7140">
        <w:rPr>
          <w:color w:val="auto"/>
        </w:rPr>
        <w:t xml:space="preserve"> </w:t>
      </w:r>
      <w:r w:rsidR="006364CF" w:rsidRPr="00CC7140">
        <w:rPr>
          <w:color w:val="auto"/>
        </w:rPr>
        <w:t>form</w:t>
      </w:r>
      <w:r w:rsidR="00E3157A" w:rsidRPr="00CC7140">
        <w:rPr>
          <w:color w:val="auto"/>
        </w:rPr>
        <w:t xml:space="preserve"> and maintain coalitions</w:t>
      </w:r>
      <w:r w:rsidR="00DD09F2" w:rsidRPr="00CC7140">
        <w:rPr>
          <w:color w:val="auto"/>
        </w:rPr>
        <w:t xml:space="preserve"> and are classified separately in the literature</w:t>
      </w:r>
      <w:r w:rsidR="0002238D" w:rsidRPr="00CC7140">
        <w:rPr>
          <w:color w:val="auto"/>
        </w:rPr>
        <w:t xml:space="preserve"> most notably by </w:t>
      </w:r>
      <w:proofErr w:type="spellStart"/>
      <w:r w:rsidR="0002238D" w:rsidRPr="00CC7140">
        <w:rPr>
          <w:color w:val="auto"/>
        </w:rPr>
        <w:t>Lijphart</w:t>
      </w:r>
      <w:proofErr w:type="spellEnd"/>
      <w:r w:rsidR="0002238D" w:rsidRPr="00CC7140">
        <w:rPr>
          <w:color w:val="auto"/>
        </w:rPr>
        <w:t xml:space="preserve"> (</w:t>
      </w:r>
      <w:r w:rsidR="00E3157A" w:rsidRPr="00CC7140">
        <w:rPr>
          <w:color w:val="auto"/>
        </w:rPr>
        <w:t>1999).</w:t>
      </w:r>
      <w:r w:rsidR="00E3157A" w:rsidRPr="00CC7140">
        <w:rPr>
          <w:color w:val="auto"/>
          <w:lang w:val="en-GB"/>
        </w:rPr>
        <w:t xml:space="preserve"> </w:t>
      </w:r>
      <w:r w:rsidR="00E3157A" w:rsidRPr="00CC7140">
        <w:rPr>
          <w:color w:val="auto"/>
        </w:rPr>
        <w:t xml:space="preserve"> </w:t>
      </w:r>
      <w:r w:rsidR="00DD09F2" w:rsidRPr="00CC7140">
        <w:rPr>
          <w:color w:val="auto"/>
        </w:rPr>
        <w:t>T</w:t>
      </w:r>
      <w:r w:rsidR="00181EB9" w:rsidRPr="00CC7140">
        <w:rPr>
          <w:color w:val="auto"/>
        </w:rPr>
        <w:t xml:space="preserve">he experience since 2010 has defied </w:t>
      </w:r>
      <w:r w:rsidR="006364CF" w:rsidRPr="00CC7140">
        <w:rPr>
          <w:color w:val="auto"/>
        </w:rPr>
        <w:t xml:space="preserve">the </w:t>
      </w:r>
      <w:r w:rsidR="00181EB9" w:rsidRPr="00CC7140">
        <w:rPr>
          <w:color w:val="auto"/>
        </w:rPr>
        <w:t xml:space="preserve">tradition that 'policy overlap or convergence between political parties have never been </w:t>
      </w:r>
      <w:proofErr w:type="spellStart"/>
      <w:r w:rsidR="00181EB9" w:rsidRPr="00CC7140">
        <w:rPr>
          <w:color w:val="auto"/>
        </w:rPr>
        <w:t>emphasised</w:t>
      </w:r>
      <w:proofErr w:type="spellEnd"/>
      <w:r w:rsidR="00181EB9" w:rsidRPr="00CC7140">
        <w:rPr>
          <w:color w:val="auto"/>
        </w:rPr>
        <w:t xml:space="preserve"> in British politics' (Matthews, 2011, 505).</w:t>
      </w:r>
      <w:r w:rsidR="00FE0C37" w:rsidRPr="00CC7140">
        <w:rPr>
          <w:color w:val="auto"/>
        </w:rPr>
        <w:t xml:space="preserve"> </w:t>
      </w:r>
      <w:r w:rsidR="00DD09F2" w:rsidRPr="00CC7140">
        <w:rPr>
          <w:color w:val="auto"/>
        </w:rPr>
        <w:t>Consequently the model has been stretched in accommodating two parties in office</w:t>
      </w:r>
      <w:r w:rsidR="00D9600D" w:rsidRPr="00CC7140">
        <w:rPr>
          <w:color w:val="auto"/>
        </w:rPr>
        <w:t xml:space="preserve"> (</w:t>
      </w:r>
      <w:r w:rsidR="007313E2" w:rsidRPr="00CC7140">
        <w:rPr>
          <w:color w:val="auto"/>
        </w:rPr>
        <w:t>following</w:t>
      </w:r>
      <w:r w:rsidR="00D9600D" w:rsidRPr="00CC7140">
        <w:rPr>
          <w:color w:val="auto"/>
        </w:rPr>
        <w:t xml:space="preserve"> other reforms such as devolution) </w:t>
      </w:r>
      <w:r w:rsidR="00DD09F2" w:rsidRPr="00CC7140">
        <w:rPr>
          <w:color w:val="auto"/>
        </w:rPr>
        <w:t xml:space="preserve">to what some scholars have referred to as ‘modified </w:t>
      </w:r>
      <w:proofErr w:type="spellStart"/>
      <w:r w:rsidR="00DD09F2" w:rsidRPr="00CC7140">
        <w:rPr>
          <w:color w:val="auto"/>
        </w:rPr>
        <w:t>majoritarianism</w:t>
      </w:r>
      <w:proofErr w:type="spellEnd"/>
      <w:r w:rsidR="00DD09F2" w:rsidRPr="00CC7140">
        <w:rPr>
          <w:color w:val="auto"/>
        </w:rPr>
        <w:t>’ (</w:t>
      </w:r>
      <w:r w:rsidR="00D9600D" w:rsidRPr="00CC7140">
        <w:rPr>
          <w:color w:val="auto"/>
        </w:rPr>
        <w:t>Flinders, 2011</w:t>
      </w:r>
      <w:r w:rsidR="00DD09F2" w:rsidRPr="00CC7140">
        <w:rPr>
          <w:color w:val="auto"/>
        </w:rPr>
        <w:t xml:space="preserve">; Matthews 2011). Viewed empirically, </w:t>
      </w:r>
      <w:r w:rsidR="003F6F84" w:rsidRPr="00CC7140">
        <w:rPr>
          <w:color w:val="auto"/>
        </w:rPr>
        <w:t xml:space="preserve">however, </w:t>
      </w:r>
      <w:r w:rsidR="00DD09F2" w:rsidRPr="00CC7140">
        <w:rPr>
          <w:color w:val="auto"/>
        </w:rPr>
        <w:t xml:space="preserve">the Westminster model has </w:t>
      </w:r>
      <w:r w:rsidR="00383C57" w:rsidRPr="00CC7140">
        <w:rPr>
          <w:color w:val="auto"/>
        </w:rPr>
        <w:t xml:space="preserve">perhaps </w:t>
      </w:r>
      <w:r w:rsidR="00DD09F2" w:rsidRPr="00CC7140">
        <w:rPr>
          <w:color w:val="auto"/>
        </w:rPr>
        <w:t>proved more resilient than Matthews expected</w:t>
      </w:r>
      <w:r w:rsidR="00383C57" w:rsidRPr="00CC7140">
        <w:rPr>
          <w:color w:val="auto"/>
        </w:rPr>
        <w:t xml:space="preserve"> and this is explored further in </w:t>
      </w:r>
      <w:r w:rsidR="0002238D" w:rsidRPr="00CC7140">
        <w:rPr>
          <w:color w:val="auto"/>
        </w:rPr>
        <w:t>the next section with a discussion around legitimacy and party manifestos</w:t>
      </w:r>
      <w:r w:rsidR="00DD09F2" w:rsidRPr="00CC7140">
        <w:rPr>
          <w:color w:val="auto"/>
        </w:rPr>
        <w:t xml:space="preserve">.  </w:t>
      </w:r>
      <w:r w:rsidR="00DD53FC" w:rsidRPr="00CC7140">
        <w:rPr>
          <w:color w:val="auto"/>
        </w:rPr>
        <w:t>However, o</w:t>
      </w:r>
      <w:r w:rsidR="00DD09F2" w:rsidRPr="00CC7140">
        <w:rPr>
          <w:color w:val="auto"/>
        </w:rPr>
        <w:t xml:space="preserve">ne </w:t>
      </w:r>
      <w:r w:rsidR="00D6060C" w:rsidRPr="00CC7140">
        <w:rPr>
          <w:color w:val="auto"/>
        </w:rPr>
        <w:t xml:space="preserve">other </w:t>
      </w:r>
      <w:r w:rsidR="00DD09F2" w:rsidRPr="00CC7140">
        <w:rPr>
          <w:color w:val="auto"/>
        </w:rPr>
        <w:t xml:space="preserve">way </w:t>
      </w:r>
      <w:r w:rsidR="00383C57" w:rsidRPr="00CC7140">
        <w:rPr>
          <w:color w:val="auto"/>
        </w:rPr>
        <w:t xml:space="preserve">to assess this is to consider the impact on the official opposition.  Here the experience of coalition does not appear to have significantly altered the opposition </w:t>
      </w:r>
      <w:proofErr w:type="spellStart"/>
      <w:r w:rsidR="00383C57" w:rsidRPr="00CC7140">
        <w:rPr>
          <w:color w:val="auto"/>
        </w:rPr>
        <w:t>Labour</w:t>
      </w:r>
      <w:proofErr w:type="spellEnd"/>
      <w:r w:rsidR="00383C57" w:rsidRPr="00CC7140">
        <w:rPr>
          <w:color w:val="auto"/>
        </w:rPr>
        <w:t xml:space="preserve"> party’s approach.  Indeed rather than being seen as more consensual, under Ed </w:t>
      </w:r>
      <w:proofErr w:type="spellStart"/>
      <w:r w:rsidR="00383C57" w:rsidRPr="00CC7140">
        <w:rPr>
          <w:color w:val="auto"/>
        </w:rPr>
        <w:t>Miliband’s</w:t>
      </w:r>
      <w:proofErr w:type="spellEnd"/>
      <w:r w:rsidR="00383C57" w:rsidRPr="00CC7140">
        <w:rPr>
          <w:color w:val="auto"/>
        </w:rPr>
        <w:t xml:space="preserve"> lead, </w:t>
      </w:r>
      <w:proofErr w:type="spellStart"/>
      <w:r w:rsidR="00383C57" w:rsidRPr="00CC7140">
        <w:rPr>
          <w:color w:val="auto"/>
        </w:rPr>
        <w:t>Labour</w:t>
      </w:r>
      <w:proofErr w:type="spellEnd"/>
      <w:r w:rsidR="00383C57" w:rsidRPr="00CC7140">
        <w:rPr>
          <w:color w:val="auto"/>
        </w:rPr>
        <w:t xml:space="preserve"> might be said to be oppositional, tribal and confrontational.  </w:t>
      </w:r>
      <w:r w:rsidR="003F6F84" w:rsidRPr="00CC7140">
        <w:rPr>
          <w:color w:val="auto"/>
        </w:rPr>
        <w:t>A</w:t>
      </w:r>
      <w:r w:rsidR="00383C57" w:rsidRPr="00CC7140">
        <w:rPr>
          <w:color w:val="auto"/>
        </w:rPr>
        <w:t xml:space="preserve"> prominent example of this is its approach to economic policy where the party has strongly opposed the ‘austerity’ policies of government despite the programmatic closeness to its ow</w:t>
      </w:r>
      <w:r w:rsidR="00963A31" w:rsidRPr="00CC7140">
        <w:rPr>
          <w:color w:val="auto"/>
        </w:rPr>
        <w:t>n actions in office before 2010</w:t>
      </w:r>
      <w:r w:rsidR="00383C57" w:rsidRPr="00CC7140">
        <w:rPr>
          <w:color w:val="auto"/>
        </w:rPr>
        <w:t xml:space="preserve"> </w:t>
      </w:r>
      <w:r w:rsidR="00D9600D" w:rsidRPr="00CC7140">
        <w:rPr>
          <w:color w:val="auto"/>
        </w:rPr>
        <w:t>(Wickham-Jones, 2013</w:t>
      </w:r>
      <w:r w:rsidR="00CF1836">
        <w:rPr>
          <w:color w:val="auto"/>
        </w:rPr>
        <w:t xml:space="preserve">; </w:t>
      </w:r>
      <w:proofErr w:type="spellStart"/>
      <w:r w:rsidR="00CF1836">
        <w:rPr>
          <w:color w:val="auto"/>
        </w:rPr>
        <w:t>Heppell</w:t>
      </w:r>
      <w:proofErr w:type="spellEnd"/>
      <w:r w:rsidR="00CF1836">
        <w:rPr>
          <w:color w:val="auto"/>
        </w:rPr>
        <w:t xml:space="preserve"> &amp; Hill, 2012</w:t>
      </w:r>
      <w:r w:rsidR="00D9600D" w:rsidRPr="00CC7140">
        <w:rPr>
          <w:color w:val="auto"/>
        </w:rPr>
        <w:t>).</w:t>
      </w:r>
      <w:r w:rsidR="003F6F84" w:rsidRPr="00CC7140">
        <w:rPr>
          <w:color w:val="auto"/>
        </w:rPr>
        <w:t xml:space="preserve">  Moreover, the approach of the governing Conservatives to this stance has been ‘to</w:t>
      </w:r>
      <w:r w:rsidR="00D9600D" w:rsidRPr="00CC7140">
        <w:rPr>
          <w:color w:val="auto"/>
        </w:rPr>
        <w:t xml:space="preserve"> </w:t>
      </w:r>
      <w:r w:rsidR="003F6F84" w:rsidRPr="00CC7140">
        <w:rPr>
          <w:color w:val="auto"/>
        </w:rPr>
        <w:t xml:space="preserve">simultaneously divorce both </w:t>
      </w:r>
      <w:proofErr w:type="spellStart"/>
      <w:r w:rsidR="003F6F84" w:rsidRPr="00CC7140">
        <w:rPr>
          <w:color w:val="auto"/>
        </w:rPr>
        <w:t>Labour</w:t>
      </w:r>
      <w:proofErr w:type="spellEnd"/>
      <w:r w:rsidR="003F6F84" w:rsidRPr="00CC7140">
        <w:rPr>
          <w:color w:val="auto"/>
        </w:rPr>
        <w:t xml:space="preserve"> and Liberal Democrat progressives whilst also attributing the</w:t>
      </w:r>
      <w:r w:rsidR="00D9600D" w:rsidRPr="00CC7140">
        <w:rPr>
          <w:color w:val="auto"/>
        </w:rPr>
        <w:t xml:space="preserve"> </w:t>
      </w:r>
      <w:r w:rsidR="003F6F84" w:rsidRPr="00CC7140">
        <w:rPr>
          <w:color w:val="auto"/>
        </w:rPr>
        <w:t>Blair/Brown premierships for the global economic downturn</w:t>
      </w:r>
      <w:r w:rsidR="00D9600D" w:rsidRPr="00CC7140">
        <w:rPr>
          <w:color w:val="auto"/>
        </w:rPr>
        <w:t>’ (</w:t>
      </w:r>
      <w:proofErr w:type="spellStart"/>
      <w:r w:rsidR="00D9600D" w:rsidRPr="00CC7140">
        <w:rPr>
          <w:color w:val="auto"/>
        </w:rPr>
        <w:t>Crines</w:t>
      </w:r>
      <w:proofErr w:type="spellEnd"/>
      <w:r w:rsidR="00D9600D" w:rsidRPr="00CC7140">
        <w:rPr>
          <w:color w:val="auto"/>
        </w:rPr>
        <w:t>, 2012).</w:t>
      </w:r>
      <w:r w:rsidR="00DD53FC" w:rsidRPr="00CC7140">
        <w:rPr>
          <w:color w:val="auto"/>
        </w:rPr>
        <w:t xml:space="preserve"> Such </w:t>
      </w:r>
      <w:r w:rsidR="00DD53FC" w:rsidRPr="00CC7140">
        <w:rPr>
          <w:color w:val="auto"/>
          <w:lang w:val="en-GB"/>
        </w:rPr>
        <w:t>behavio</w:t>
      </w:r>
      <w:r w:rsidR="00963A31" w:rsidRPr="00CC7140">
        <w:rPr>
          <w:color w:val="auto"/>
          <w:lang w:val="en-GB"/>
        </w:rPr>
        <w:t>u</w:t>
      </w:r>
      <w:r w:rsidR="00DD53FC" w:rsidRPr="00CC7140">
        <w:rPr>
          <w:color w:val="auto"/>
          <w:lang w:val="en-GB"/>
        </w:rPr>
        <w:t>r</w:t>
      </w:r>
      <w:r w:rsidR="00DD53FC" w:rsidRPr="00CC7140">
        <w:rPr>
          <w:color w:val="auto"/>
        </w:rPr>
        <w:t xml:space="preserve"> is consistent with traditional ideas of the Westminster Model.</w:t>
      </w:r>
    </w:p>
    <w:p w:rsidR="00FE0C37" w:rsidRPr="00CC7140" w:rsidRDefault="003F6F84" w:rsidP="00FE0C37">
      <w:pPr>
        <w:pStyle w:val="Body"/>
        <w:spacing w:line="480" w:lineRule="auto"/>
        <w:rPr>
          <w:color w:val="auto"/>
        </w:rPr>
      </w:pPr>
      <w:r w:rsidRPr="00CC7140">
        <w:rPr>
          <w:color w:val="auto"/>
        </w:rPr>
        <w:lastRenderedPageBreak/>
        <w:t>The conceptual lens through which constitutional change can be viewed is consequently within this notion of stretching by a government of two parties and within the Westminster model</w:t>
      </w:r>
      <w:r w:rsidR="00DD53FC" w:rsidRPr="00CC7140">
        <w:rPr>
          <w:color w:val="auto"/>
        </w:rPr>
        <w:t>.  T</w:t>
      </w:r>
      <w:r w:rsidR="006364CF" w:rsidRPr="00CC7140">
        <w:rPr>
          <w:color w:val="auto"/>
        </w:rPr>
        <w:t>his</w:t>
      </w:r>
      <w:r w:rsidR="00FE0C37" w:rsidRPr="00CC7140">
        <w:rPr>
          <w:color w:val="auto"/>
        </w:rPr>
        <w:t xml:space="preserve"> understanding </w:t>
      </w:r>
      <w:r w:rsidR="006364CF" w:rsidRPr="00CC7140">
        <w:rPr>
          <w:color w:val="auto"/>
        </w:rPr>
        <w:t xml:space="preserve">will </w:t>
      </w:r>
      <w:r w:rsidR="00FE0C37" w:rsidRPr="00CC7140">
        <w:rPr>
          <w:color w:val="auto"/>
        </w:rPr>
        <w:t>be</w:t>
      </w:r>
      <w:r w:rsidR="006364CF" w:rsidRPr="00CC7140">
        <w:rPr>
          <w:color w:val="auto"/>
        </w:rPr>
        <w:t xml:space="preserve"> all the more </w:t>
      </w:r>
      <w:r w:rsidR="00FE0C37" w:rsidRPr="00CC7140">
        <w:rPr>
          <w:color w:val="auto"/>
        </w:rPr>
        <w:t xml:space="preserve">significant should </w:t>
      </w:r>
      <w:proofErr w:type="gramStart"/>
      <w:r w:rsidR="00FE0C37" w:rsidRPr="00CC7140">
        <w:rPr>
          <w:color w:val="auto"/>
        </w:rPr>
        <w:t>changes</w:t>
      </w:r>
      <w:proofErr w:type="gramEnd"/>
      <w:r w:rsidR="00FE0C37" w:rsidRPr="00CC7140">
        <w:rPr>
          <w:color w:val="auto"/>
        </w:rPr>
        <w:t xml:space="preserve"> prove to be more than transitory.  While the 2010 </w:t>
      </w:r>
      <w:r w:rsidR="00FD797B" w:rsidRPr="00CC7140">
        <w:rPr>
          <w:color w:val="auto"/>
        </w:rPr>
        <w:t xml:space="preserve">election outcome </w:t>
      </w:r>
      <w:r w:rsidR="00FE0C37" w:rsidRPr="00CC7140">
        <w:rPr>
          <w:color w:val="auto"/>
        </w:rPr>
        <w:t>was something of a novelty, the longitudinal data suggests that hung parliaments are likely to become a more regular feature of British politics even without electoral reform. It is noteworthy that if one goes back to the 1955 general election</w:t>
      </w:r>
      <w:r w:rsidR="0024102C" w:rsidRPr="00CC7140">
        <w:rPr>
          <w:color w:val="auto"/>
        </w:rPr>
        <w:t>, which saw the winning party achieve the highest share of the vote at any time since the second world war,</w:t>
      </w:r>
      <w:r w:rsidR="00FE0C37" w:rsidRPr="00CC7140">
        <w:rPr>
          <w:color w:val="auto"/>
        </w:rPr>
        <w:t xml:space="preserve"> all but 3.9% of votes were cast for the Conservative or </w:t>
      </w:r>
      <w:proofErr w:type="spellStart"/>
      <w:r w:rsidR="00FE0C37" w:rsidRPr="00CC7140">
        <w:rPr>
          <w:color w:val="auto"/>
        </w:rPr>
        <w:t>Labour</w:t>
      </w:r>
      <w:proofErr w:type="spellEnd"/>
      <w:r w:rsidR="00FE0C37" w:rsidRPr="00CC7140">
        <w:rPr>
          <w:color w:val="auto"/>
        </w:rPr>
        <w:t xml:space="preserve"> parties and other than MPs belonging to those two, just 6 seats were won by the Liberals and 2 by Sinn </w:t>
      </w:r>
      <w:proofErr w:type="spellStart"/>
      <w:r w:rsidR="00FE0C37" w:rsidRPr="00CC7140">
        <w:rPr>
          <w:color w:val="auto"/>
        </w:rPr>
        <w:t>Féin</w:t>
      </w:r>
      <w:proofErr w:type="spellEnd"/>
      <w:r w:rsidR="00FE0C37" w:rsidRPr="00CC7140">
        <w:rPr>
          <w:color w:val="auto"/>
        </w:rPr>
        <w:t>. Fifty years later in 2005 and a full 32% of the votes cast were for parties or candidates other than the ‘big two’. This has coincided with the rise of an increasingly credible third party, today in the form of the Liberal Democrats but the vote is broader than this encompassing minority parties and independents.  Table 1 offers some comprehensive data for each of the 1</w:t>
      </w:r>
      <w:r w:rsidR="0024102C" w:rsidRPr="00CC7140">
        <w:rPr>
          <w:color w:val="auto"/>
        </w:rPr>
        <w:t>8</w:t>
      </w:r>
      <w:r w:rsidR="00BE4135" w:rsidRPr="00CC7140">
        <w:rPr>
          <w:color w:val="auto"/>
        </w:rPr>
        <w:t xml:space="preserve"> general elections between 194</w:t>
      </w:r>
      <w:r w:rsidR="00FE0C37" w:rsidRPr="00CC7140">
        <w:rPr>
          <w:color w:val="auto"/>
        </w:rPr>
        <w:t xml:space="preserve">5-2010, from which there is undeniably a trend towards a sizeable vote for alternative parties and candidates. Indeed by the 2010 election which resulted in coalition, just 65% of the electorate voted for Conservative or </w:t>
      </w:r>
      <w:proofErr w:type="spellStart"/>
      <w:r w:rsidR="00FE0C37" w:rsidRPr="00CC7140">
        <w:rPr>
          <w:color w:val="auto"/>
        </w:rPr>
        <w:t>Labour</w:t>
      </w:r>
      <w:proofErr w:type="spellEnd"/>
      <w:r w:rsidR="00FE0C37" w:rsidRPr="00CC7140">
        <w:rPr>
          <w:color w:val="auto"/>
        </w:rPr>
        <w:t xml:space="preserve"> candidates.  </w:t>
      </w:r>
      <w:r w:rsidR="00BE4135" w:rsidRPr="00CC7140">
        <w:rPr>
          <w:color w:val="auto"/>
        </w:rPr>
        <w:t>D</w:t>
      </w:r>
      <w:r w:rsidR="00FE0C37" w:rsidRPr="00CC7140">
        <w:rPr>
          <w:color w:val="auto"/>
        </w:rPr>
        <w:t xml:space="preserve">espite the bias the electoral system has against candidates not supported by one of the main parties, the number of MPs not taking the Conservative or </w:t>
      </w:r>
      <w:proofErr w:type="spellStart"/>
      <w:r w:rsidR="00FE0C37" w:rsidRPr="00CC7140">
        <w:rPr>
          <w:color w:val="auto"/>
        </w:rPr>
        <w:t>Labour</w:t>
      </w:r>
      <w:proofErr w:type="spellEnd"/>
      <w:r w:rsidR="00FE0C37" w:rsidRPr="00CC7140">
        <w:rPr>
          <w:color w:val="auto"/>
        </w:rPr>
        <w:t xml:space="preserve"> Whip in the Commons has increased tenfold over fifty years making it that bit harder for leading parties to win a majority.</w:t>
      </w:r>
    </w:p>
    <w:p w:rsidR="00566334" w:rsidRPr="00CC7140" w:rsidRDefault="00566334" w:rsidP="00CF03F5">
      <w:pPr>
        <w:spacing w:line="360" w:lineRule="auto"/>
        <w:rPr>
          <w:rFonts w:ascii="Arial Bold"/>
        </w:rPr>
      </w:pPr>
    </w:p>
    <w:p w:rsidR="00566334" w:rsidRPr="00CC7140" w:rsidRDefault="0024102C" w:rsidP="0024102C">
      <w:pPr>
        <w:pStyle w:val="ListParagraph"/>
        <w:spacing w:line="360" w:lineRule="auto"/>
        <w:ind w:left="0"/>
        <w:rPr>
          <w:color w:val="auto"/>
        </w:rPr>
      </w:pPr>
      <w:r w:rsidRPr="00CC7140">
        <w:rPr>
          <w:color w:val="auto"/>
        </w:rPr>
        <w:t>TABLE 1 ABOUT HERE</w:t>
      </w:r>
    </w:p>
    <w:p w:rsidR="00566334" w:rsidRPr="00CC7140" w:rsidRDefault="00566334">
      <w:pPr>
        <w:pStyle w:val="ListParagraph"/>
        <w:spacing w:line="360" w:lineRule="auto"/>
        <w:rPr>
          <w:rFonts w:ascii="Arial Bold"/>
          <w:color w:val="auto"/>
        </w:rPr>
      </w:pPr>
    </w:p>
    <w:p w:rsidR="00172BEA" w:rsidRPr="00CC7140" w:rsidRDefault="00172BEA">
      <w:pPr>
        <w:pStyle w:val="Body"/>
        <w:spacing w:line="360" w:lineRule="auto"/>
        <w:rPr>
          <w:color w:val="auto"/>
        </w:rPr>
      </w:pPr>
    </w:p>
    <w:p w:rsidR="00FD797B" w:rsidRPr="00CC7140" w:rsidRDefault="00383C57" w:rsidP="00566334">
      <w:pPr>
        <w:pStyle w:val="Body"/>
        <w:spacing w:line="480" w:lineRule="auto"/>
        <w:rPr>
          <w:color w:val="auto"/>
          <w:lang w:val="en-GB"/>
        </w:rPr>
      </w:pPr>
      <w:r w:rsidRPr="00CC7140">
        <w:rPr>
          <w:color w:val="auto"/>
        </w:rPr>
        <w:t>Furthermore, t</w:t>
      </w:r>
      <w:r w:rsidR="00E3157A" w:rsidRPr="00CC7140">
        <w:rPr>
          <w:color w:val="auto"/>
        </w:rPr>
        <w:t xml:space="preserve">he reduction in the number of marginal seats as is noted by several scholars (Curtis, 2010; </w:t>
      </w:r>
      <w:proofErr w:type="spellStart"/>
      <w:r w:rsidR="00E3157A" w:rsidRPr="00CC7140">
        <w:rPr>
          <w:color w:val="auto"/>
        </w:rPr>
        <w:t>Hodgeson</w:t>
      </w:r>
      <w:proofErr w:type="spellEnd"/>
      <w:r w:rsidR="00E3157A" w:rsidRPr="00CC7140">
        <w:rPr>
          <w:color w:val="auto"/>
        </w:rPr>
        <w:t xml:space="preserve"> et al, 2012) could well mean that the 2005 and 2010 elections (where the vote for the leading party was in the mid 30% rather than above 40% as was the case 1979-2001) are not an aberration.  </w:t>
      </w:r>
      <w:r w:rsidR="00E3157A" w:rsidRPr="00CC7140">
        <w:rPr>
          <w:color w:val="auto"/>
          <w:lang w:val="en-GB"/>
        </w:rPr>
        <w:t xml:space="preserve">Indeed, </w:t>
      </w:r>
      <w:proofErr w:type="spellStart"/>
      <w:r w:rsidR="00E3157A" w:rsidRPr="00CC7140">
        <w:rPr>
          <w:color w:val="auto"/>
          <w:lang w:val="en-GB"/>
        </w:rPr>
        <w:t>Paun</w:t>
      </w:r>
      <w:proofErr w:type="spellEnd"/>
      <w:r w:rsidR="00E3157A" w:rsidRPr="00CC7140">
        <w:rPr>
          <w:color w:val="auto"/>
          <w:lang w:val="en-GB"/>
        </w:rPr>
        <w:t xml:space="preserve"> (2011) has </w:t>
      </w:r>
      <w:r w:rsidR="00D6060C" w:rsidRPr="00CC7140">
        <w:rPr>
          <w:color w:val="auto"/>
          <w:lang w:val="en-GB"/>
        </w:rPr>
        <w:t>demonstrated</w:t>
      </w:r>
      <w:r w:rsidR="00E3157A" w:rsidRPr="00CC7140">
        <w:rPr>
          <w:color w:val="auto"/>
          <w:lang w:val="en-GB"/>
        </w:rPr>
        <w:t xml:space="preserve"> that greater pluralism in party systems has delivered legislatures with no single party majority not only in Britain but also</w:t>
      </w:r>
      <w:r w:rsidR="00630F03" w:rsidRPr="00CC7140">
        <w:rPr>
          <w:color w:val="auto"/>
          <w:lang w:val="en-GB"/>
        </w:rPr>
        <w:t xml:space="preserve"> in</w:t>
      </w:r>
      <w:r w:rsidR="00E3157A" w:rsidRPr="00CC7140">
        <w:rPr>
          <w:color w:val="auto"/>
          <w:lang w:val="en-GB"/>
        </w:rPr>
        <w:t xml:space="preserve"> 'Westminster family' parliaments of Canada, Australia and New Zealand. </w:t>
      </w:r>
    </w:p>
    <w:p w:rsidR="00CF03F5" w:rsidRPr="00CC7140" w:rsidRDefault="00383C57" w:rsidP="00566334">
      <w:pPr>
        <w:pStyle w:val="Body"/>
        <w:spacing w:line="480" w:lineRule="auto"/>
        <w:rPr>
          <w:color w:val="auto"/>
          <w:lang w:val="en-GB"/>
        </w:rPr>
      </w:pPr>
      <w:r w:rsidRPr="00CC7140">
        <w:rPr>
          <w:color w:val="auto"/>
          <w:lang w:val="en-GB"/>
        </w:rPr>
        <w:t xml:space="preserve">Constitutional stretching can be </w:t>
      </w:r>
      <w:r w:rsidR="00FB2A50" w:rsidRPr="00CC7140">
        <w:rPr>
          <w:color w:val="auto"/>
          <w:lang w:val="en-GB"/>
        </w:rPr>
        <w:t>understood</w:t>
      </w:r>
      <w:r w:rsidRPr="00CC7140">
        <w:rPr>
          <w:color w:val="auto"/>
          <w:lang w:val="en-GB"/>
        </w:rPr>
        <w:t xml:space="preserve"> </w:t>
      </w:r>
      <w:r w:rsidR="00FB2A50" w:rsidRPr="00CC7140">
        <w:rPr>
          <w:color w:val="auto"/>
          <w:lang w:val="en-GB"/>
        </w:rPr>
        <w:t>to be</w:t>
      </w:r>
      <w:r w:rsidRPr="00CC7140">
        <w:rPr>
          <w:color w:val="auto"/>
          <w:lang w:val="en-GB"/>
        </w:rPr>
        <w:t xml:space="preserve"> elasticity in the practices</w:t>
      </w:r>
      <w:r w:rsidR="00FB2A50" w:rsidRPr="00CC7140">
        <w:rPr>
          <w:color w:val="auto"/>
          <w:lang w:val="en-GB"/>
        </w:rPr>
        <w:t xml:space="preserve"> and conventions</w:t>
      </w:r>
      <w:r w:rsidRPr="00CC7140">
        <w:rPr>
          <w:color w:val="auto"/>
          <w:lang w:val="en-GB"/>
        </w:rPr>
        <w:t xml:space="preserve"> of government </w:t>
      </w:r>
      <w:r w:rsidR="00FB2A50" w:rsidRPr="00CC7140">
        <w:rPr>
          <w:color w:val="auto"/>
          <w:lang w:val="en-GB"/>
        </w:rPr>
        <w:t xml:space="preserve">and adjustments to the Westminster model. The remainder of this article will consider some principle changes to the British constitution as a result of the </w:t>
      </w:r>
      <w:r w:rsidR="00263306" w:rsidRPr="00CC7140">
        <w:rPr>
          <w:color w:val="auto"/>
          <w:lang w:val="en-GB"/>
        </w:rPr>
        <w:t>Cameron/Clegg</w:t>
      </w:r>
      <w:r w:rsidR="00FB2A50" w:rsidRPr="00CC7140">
        <w:rPr>
          <w:color w:val="auto"/>
          <w:lang w:val="en-GB"/>
        </w:rPr>
        <w:t xml:space="preserve"> government’s renegotiation of institutionalised practice.  However, the contention is that while conventions have been stretched, they have not ‘snapped’ in the sense that the </w:t>
      </w:r>
      <w:r w:rsidR="00DD53FC" w:rsidRPr="00CC7140">
        <w:rPr>
          <w:color w:val="auto"/>
          <w:lang w:val="en-GB"/>
        </w:rPr>
        <w:t>tribal and oppositional</w:t>
      </w:r>
      <w:r w:rsidR="00FB2A50" w:rsidRPr="00CC7140">
        <w:rPr>
          <w:color w:val="auto"/>
          <w:lang w:val="en-GB"/>
        </w:rPr>
        <w:t xml:space="preserve"> system has </w:t>
      </w:r>
      <w:r w:rsidR="00DD53FC" w:rsidRPr="00CC7140">
        <w:rPr>
          <w:color w:val="auto"/>
          <w:lang w:val="en-GB"/>
        </w:rPr>
        <w:t xml:space="preserve">largely </w:t>
      </w:r>
      <w:r w:rsidR="00FB2A50" w:rsidRPr="00CC7140">
        <w:rPr>
          <w:color w:val="auto"/>
          <w:lang w:val="en-GB"/>
        </w:rPr>
        <w:t xml:space="preserve">prevailed </w:t>
      </w:r>
      <w:r w:rsidR="00DD53FC" w:rsidRPr="00CC7140">
        <w:rPr>
          <w:color w:val="auto"/>
          <w:lang w:val="en-GB"/>
        </w:rPr>
        <w:t>while</w:t>
      </w:r>
      <w:r w:rsidR="00FB2A50" w:rsidRPr="00CC7140">
        <w:rPr>
          <w:color w:val="auto"/>
          <w:lang w:val="en-GB"/>
        </w:rPr>
        <w:t xml:space="preserve"> the coalition has survived in office.  </w:t>
      </w:r>
      <w:r w:rsidRPr="00CC7140">
        <w:rPr>
          <w:color w:val="auto"/>
          <w:lang w:val="en-GB"/>
        </w:rPr>
        <w:t>Changes to the British constitution resulting from this stretching</w:t>
      </w:r>
      <w:r w:rsidR="00963A31" w:rsidRPr="00CC7140">
        <w:rPr>
          <w:color w:val="auto"/>
          <w:lang w:val="en-GB"/>
        </w:rPr>
        <w:t>,</w:t>
      </w:r>
      <w:r w:rsidR="00CF03F5" w:rsidRPr="00CC7140">
        <w:rPr>
          <w:color w:val="auto"/>
          <w:lang w:val="en-GB"/>
        </w:rPr>
        <w:t xml:space="preserve"> </w:t>
      </w:r>
      <w:r w:rsidR="00DD53FC" w:rsidRPr="00CC7140">
        <w:rPr>
          <w:color w:val="auto"/>
          <w:lang w:val="en-GB"/>
        </w:rPr>
        <w:t xml:space="preserve">categorised </w:t>
      </w:r>
      <w:r w:rsidR="00FB2A50" w:rsidRPr="00CC7140">
        <w:rPr>
          <w:color w:val="auto"/>
          <w:lang w:val="en-GB"/>
        </w:rPr>
        <w:t>and identified here</w:t>
      </w:r>
      <w:r w:rsidR="00963A31" w:rsidRPr="00CC7140">
        <w:rPr>
          <w:color w:val="auto"/>
          <w:lang w:val="en-GB"/>
        </w:rPr>
        <w:t>,</w:t>
      </w:r>
      <w:r w:rsidR="00FB2A50" w:rsidRPr="00CC7140">
        <w:rPr>
          <w:color w:val="auto"/>
          <w:lang w:val="en-GB"/>
        </w:rPr>
        <w:t xml:space="preserve"> could also become a more permanent feature should voting trends continue.</w:t>
      </w:r>
    </w:p>
    <w:p w:rsidR="00843A76" w:rsidRPr="00CC7140" w:rsidRDefault="00843A76" w:rsidP="00566334">
      <w:pPr>
        <w:pStyle w:val="Body"/>
        <w:spacing w:line="480" w:lineRule="auto"/>
        <w:rPr>
          <w:color w:val="auto"/>
          <w:lang w:val="en-GB"/>
        </w:rPr>
      </w:pPr>
    </w:p>
    <w:p w:rsidR="00172BEA" w:rsidRPr="00CC7140" w:rsidRDefault="00E3157A" w:rsidP="00566334">
      <w:pPr>
        <w:pStyle w:val="Body"/>
        <w:spacing w:line="480" w:lineRule="auto"/>
        <w:rPr>
          <w:rFonts w:eastAsia="Arial Bold"/>
          <w:b/>
          <w:color w:val="auto"/>
        </w:rPr>
      </w:pPr>
      <w:r w:rsidRPr="00CC7140">
        <w:rPr>
          <w:color w:val="auto"/>
          <w:lang w:val="en-GB"/>
        </w:rPr>
        <w:t xml:space="preserve"> </w:t>
      </w:r>
      <w:r w:rsidRPr="00CC7140">
        <w:rPr>
          <w:b/>
          <w:color w:val="auto"/>
        </w:rPr>
        <w:t xml:space="preserve">Legitimacy, Manifestos </w:t>
      </w:r>
      <w:r w:rsidR="00963A31" w:rsidRPr="00CC7140">
        <w:rPr>
          <w:b/>
          <w:color w:val="auto"/>
        </w:rPr>
        <w:t xml:space="preserve">and Agreements </w:t>
      </w:r>
    </w:p>
    <w:p w:rsidR="00DD53FC" w:rsidRPr="00CC7140" w:rsidRDefault="007D53F5" w:rsidP="00566334">
      <w:pPr>
        <w:pStyle w:val="Body"/>
        <w:spacing w:line="480" w:lineRule="auto"/>
        <w:rPr>
          <w:color w:val="auto"/>
        </w:rPr>
      </w:pPr>
      <w:r w:rsidRPr="00CC7140">
        <w:rPr>
          <w:color w:val="auto"/>
        </w:rPr>
        <w:t>When the House of Lords</w:t>
      </w:r>
      <w:r w:rsidR="00CF1836">
        <w:rPr>
          <w:color w:val="auto"/>
        </w:rPr>
        <w:t xml:space="preserve"> Constitution Select Committee</w:t>
      </w:r>
      <w:r w:rsidRPr="00CC7140">
        <w:rPr>
          <w:color w:val="auto"/>
        </w:rPr>
        <w:t xml:space="preserve"> chose to investigate the impact of coalition, its call for evidence (2013) suggested a question of parliamentary </w:t>
      </w:r>
      <w:r w:rsidRPr="00CC7140">
        <w:rPr>
          <w:color w:val="auto"/>
        </w:rPr>
        <w:lastRenderedPageBreak/>
        <w:t xml:space="preserve">legitimacy ‘in that the Government’s right to exercise executive authority stems from the confidence of the House of Commons, which in turn is a recognition of popular acceptance of the governing party’s proposals as contained in its manifesto’. </w:t>
      </w:r>
      <w:r w:rsidR="00E3157A" w:rsidRPr="00CC7140">
        <w:rPr>
          <w:color w:val="auto"/>
        </w:rPr>
        <w:t>Th</w:t>
      </w:r>
      <w:r w:rsidRPr="00CC7140">
        <w:rPr>
          <w:color w:val="auto"/>
        </w:rPr>
        <w:t>is</w:t>
      </w:r>
      <w:r w:rsidR="00E3157A" w:rsidRPr="00CC7140">
        <w:rPr>
          <w:color w:val="auto"/>
        </w:rPr>
        <w:t xml:space="preserve"> question of legitimacy has been raised </w:t>
      </w:r>
      <w:r w:rsidR="000E1D8F" w:rsidRPr="00CC7140">
        <w:rPr>
          <w:color w:val="auto"/>
        </w:rPr>
        <w:t xml:space="preserve">elsewhere </w:t>
      </w:r>
      <w:r w:rsidR="00E3157A" w:rsidRPr="00CC7140">
        <w:rPr>
          <w:color w:val="auto"/>
        </w:rPr>
        <w:t>since the formation of a government comprising two or more parties, post-election, means that the electorate did not consciously vote for that specific combination of personnel or policy (</w:t>
      </w:r>
      <w:proofErr w:type="spellStart"/>
      <w:r w:rsidR="00E3157A" w:rsidRPr="00CC7140">
        <w:rPr>
          <w:color w:val="auto"/>
        </w:rPr>
        <w:t>Bogdanor</w:t>
      </w:r>
      <w:proofErr w:type="spellEnd"/>
      <w:r w:rsidR="00E3157A" w:rsidRPr="00CC7140">
        <w:rPr>
          <w:color w:val="auto"/>
        </w:rPr>
        <w:t>, 2011</w:t>
      </w:r>
      <w:r w:rsidR="00E3157A" w:rsidRPr="00CC7140">
        <w:rPr>
          <w:color w:val="auto"/>
          <w:lang w:val="en-GB"/>
        </w:rPr>
        <w:t>b</w:t>
      </w:r>
      <w:r w:rsidR="00E3157A" w:rsidRPr="00CC7140">
        <w:rPr>
          <w:color w:val="auto"/>
        </w:rPr>
        <w:t xml:space="preserve">). Indeed had the public known the outcome in advance, voting intentions might have changed. </w:t>
      </w:r>
      <w:r w:rsidR="000E1D8F" w:rsidRPr="00CC7140">
        <w:rPr>
          <w:color w:val="auto"/>
        </w:rPr>
        <w:t xml:space="preserve">Such views contrast with the traditional understanding of parliamentary government in Britain where </w:t>
      </w:r>
      <w:r w:rsidR="00843A76" w:rsidRPr="00CC7140">
        <w:rPr>
          <w:color w:val="auto"/>
        </w:rPr>
        <w:t>the</w:t>
      </w:r>
      <w:r w:rsidR="000E1D8F" w:rsidRPr="00CC7140">
        <w:rPr>
          <w:color w:val="auto"/>
        </w:rPr>
        <w:t xml:space="preserve"> vote share won by the party or parties is largely an irrelevance. Here governments can claim legitimacy where they command the confidence of the House of Commons. Consequently, questioning the legitimacy of the 2010 coalition must </w:t>
      </w:r>
      <w:r w:rsidR="00A20F56" w:rsidRPr="00CC7140">
        <w:rPr>
          <w:color w:val="auto"/>
        </w:rPr>
        <w:t xml:space="preserve">logically </w:t>
      </w:r>
      <w:r w:rsidR="000E1D8F" w:rsidRPr="00CC7140">
        <w:rPr>
          <w:color w:val="auto"/>
        </w:rPr>
        <w:t xml:space="preserve">also mean questioning the model. </w:t>
      </w:r>
    </w:p>
    <w:p w:rsidR="00DD53FC" w:rsidRPr="00CC7140" w:rsidRDefault="00DD53FC" w:rsidP="00566334">
      <w:pPr>
        <w:pStyle w:val="Body"/>
        <w:spacing w:line="480" w:lineRule="auto"/>
        <w:rPr>
          <w:color w:val="auto"/>
        </w:rPr>
      </w:pPr>
      <w:r w:rsidRPr="00CC7140">
        <w:rPr>
          <w:color w:val="auto"/>
        </w:rPr>
        <w:t>This section takes the legitimacy critique suggested by the Lords and assess</w:t>
      </w:r>
      <w:r w:rsidR="00A20F56" w:rsidRPr="00CC7140">
        <w:rPr>
          <w:color w:val="auto"/>
        </w:rPr>
        <w:t>es</w:t>
      </w:r>
      <w:r w:rsidRPr="00CC7140">
        <w:rPr>
          <w:color w:val="auto"/>
        </w:rPr>
        <w:t xml:space="preserve"> the stretched role of manifesto commitments as </w:t>
      </w:r>
      <w:r w:rsidR="00A20F56" w:rsidRPr="00CC7140">
        <w:rPr>
          <w:color w:val="auto"/>
        </w:rPr>
        <w:t>becoming</w:t>
      </w:r>
      <w:r w:rsidRPr="00CC7140">
        <w:rPr>
          <w:color w:val="auto"/>
        </w:rPr>
        <w:t xml:space="preserve"> the basis for Coalition</w:t>
      </w:r>
      <w:r w:rsidR="00A20F56" w:rsidRPr="00CC7140">
        <w:rPr>
          <w:color w:val="auto"/>
        </w:rPr>
        <w:t xml:space="preserve"> Agreement.  It argues that while arrangements since 2010 have strained the Westminster Model, it h</w:t>
      </w:r>
      <w:r w:rsidR="00777359" w:rsidRPr="00CC7140">
        <w:rPr>
          <w:color w:val="auto"/>
        </w:rPr>
        <w:t>as proven</w:t>
      </w:r>
      <w:r w:rsidR="00A20F56" w:rsidRPr="00CC7140">
        <w:rPr>
          <w:color w:val="auto"/>
        </w:rPr>
        <w:t xml:space="preserve"> resilient. What follows </w:t>
      </w:r>
      <w:r w:rsidR="00777359" w:rsidRPr="00CC7140">
        <w:rPr>
          <w:color w:val="auto"/>
        </w:rPr>
        <w:t>demonstrates</w:t>
      </w:r>
      <w:r w:rsidR="00A20F56" w:rsidRPr="00CC7140">
        <w:rPr>
          <w:color w:val="auto"/>
        </w:rPr>
        <w:t xml:space="preserve"> that while power sharing has changed the practice of government, </w:t>
      </w:r>
      <w:r w:rsidR="00FD797B" w:rsidRPr="00CC7140">
        <w:rPr>
          <w:color w:val="auto"/>
        </w:rPr>
        <w:t xml:space="preserve">despite two parties occupying the government benches, </w:t>
      </w:r>
      <w:r w:rsidR="00A20F56" w:rsidRPr="00CC7140">
        <w:rPr>
          <w:color w:val="auto"/>
        </w:rPr>
        <w:t xml:space="preserve">traditional parliamentary arrangements and principles remain </w:t>
      </w:r>
      <w:r w:rsidR="00963A31" w:rsidRPr="00CC7140">
        <w:rPr>
          <w:color w:val="auto"/>
        </w:rPr>
        <w:t xml:space="preserve">broadly </w:t>
      </w:r>
      <w:r w:rsidR="00963A31" w:rsidRPr="00CC7140">
        <w:rPr>
          <w:color w:val="auto"/>
          <w:lang w:val="en-GB"/>
        </w:rPr>
        <w:t>recogniz</w:t>
      </w:r>
      <w:r w:rsidR="00A20F56" w:rsidRPr="00CC7140">
        <w:rPr>
          <w:color w:val="auto"/>
          <w:lang w:val="en-GB"/>
        </w:rPr>
        <w:t>able</w:t>
      </w:r>
      <w:r w:rsidR="00A20F56" w:rsidRPr="00CC7140">
        <w:rPr>
          <w:color w:val="auto"/>
        </w:rPr>
        <w:t xml:space="preserve">.  </w:t>
      </w:r>
      <w:r w:rsidR="00A44ED5" w:rsidRPr="00CC7140">
        <w:rPr>
          <w:color w:val="auto"/>
        </w:rPr>
        <w:t>Indeed, Conservative and Liberal Democrat backbenchers have usually chosen to sit separately</w:t>
      </w:r>
      <w:r w:rsidR="007313E2" w:rsidRPr="00CC7140">
        <w:rPr>
          <w:color w:val="auto"/>
        </w:rPr>
        <w:t xml:space="preserve"> in the House</w:t>
      </w:r>
      <w:r w:rsidR="00A44ED5" w:rsidRPr="00CC7140">
        <w:rPr>
          <w:color w:val="auto"/>
        </w:rPr>
        <w:t xml:space="preserve">. </w:t>
      </w:r>
    </w:p>
    <w:p w:rsidR="00172BEA" w:rsidRPr="00CC7140" w:rsidRDefault="00E3157A" w:rsidP="00566334">
      <w:pPr>
        <w:pStyle w:val="Body"/>
        <w:spacing w:line="480" w:lineRule="auto"/>
        <w:rPr>
          <w:color w:val="auto"/>
        </w:rPr>
      </w:pPr>
      <w:r w:rsidRPr="00CC7140">
        <w:rPr>
          <w:color w:val="auto"/>
        </w:rPr>
        <w:t xml:space="preserve">Mathews (2011, 488) </w:t>
      </w:r>
      <w:r w:rsidR="00EF59AD" w:rsidRPr="00CC7140">
        <w:rPr>
          <w:color w:val="auto"/>
        </w:rPr>
        <w:t>describes traditional Westminster arrangements as</w:t>
      </w:r>
      <w:r w:rsidRPr="00CC7140">
        <w:rPr>
          <w:color w:val="auto"/>
        </w:rPr>
        <w:t xml:space="preserve"> ‘hoarding of power within single party cabinets… adversarial, exclusive and with little emphasis on public participation</w:t>
      </w:r>
      <w:r w:rsidRPr="00CC7140">
        <w:rPr>
          <w:color w:val="auto"/>
          <w:lang w:val="fr-FR"/>
        </w:rPr>
        <w:t>’</w:t>
      </w:r>
      <w:r w:rsidRPr="00CC7140">
        <w:rPr>
          <w:color w:val="auto"/>
        </w:rPr>
        <w:t xml:space="preserve">, as sometimes being seen as more legitimate than consensual </w:t>
      </w:r>
      <w:r w:rsidRPr="00CC7140">
        <w:rPr>
          <w:color w:val="auto"/>
        </w:rPr>
        <w:lastRenderedPageBreak/>
        <w:t xml:space="preserve">power sharing.   </w:t>
      </w:r>
      <w:r w:rsidR="00A20F56" w:rsidRPr="00CC7140">
        <w:rPr>
          <w:color w:val="auto"/>
        </w:rPr>
        <w:t xml:space="preserve">Indeed, criticism leveled at the </w:t>
      </w:r>
      <w:r w:rsidR="00263306" w:rsidRPr="00CC7140">
        <w:rPr>
          <w:color w:val="auto"/>
        </w:rPr>
        <w:t>Cameron/Clegg</w:t>
      </w:r>
      <w:r w:rsidR="00A20F56" w:rsidRPr="00CC7140">
        <w:rPr>
          <w:color w:val="auto"/>
        </w:rPr>
        <w:t xml:space="preserve"> coalition from right (</w:t>
      </w:r>
      <w:r w:rsidR="00777359" w:rsidRPr="00CC7140">
        <w:rPr>
          <w:color w:val="auto"/>
        </w:rPr>
        <w:t xml:space="preserve">Hitchens, 2010) and left (Mayer, 2010) of the political spectrum as well as the </w:t>
      </w:r>
      <w:r w:rsidR="00EF59AD" w:rsidRPr="00CC7140">
        <w:rPr>
          <w:color w:val="auto"/>
        </w:rPr>
        <w:t>question raised by the Lords Select Committee</w:t>
      </w:r>
      <w:r w:rsidR="00D6060C" w:rsidRPr="00CC7140">
        <w:rPr>
          <w:color w:val="auto"/>
        </w:rPr>
        <w:t>, show</w:t>
      </w:r>
      <w:r w:rsidR="00777359" w:rsidRPr="00CC7140">
        <w:rPr>
          <w:color w:val="auto"/>
        </w:rPr>
        <w:t xml:space="preserve"> that</w:t>
      </w:r>
      <w:r w:rsidR="00EF59AD" w:rsidRPr="00CC7140">
        <w:rPr>
          <w:color w:val="auto"/>
        </w:rPr>
        <w:t xml:space="preserve"> it is power sharing that is </w:t>
      </w:r>
      <w:r w:rsidR="00777359" w:rsidRPr="00CC7140">
        <w:rPr>
          <w:color w:val="auto"/>
        </w:rPr>
        <w:t xml:space="preserve">usually </w:t>
      </w:r>
      <w:r w:rsidR="00EF59AD" w:rsidRPr="00CC7140">
        <w:rPr>
          <w:color w:val="auto"/>
        </w:rPr>
        <w:t xml:space="preserve">at the heart of the case. </w:t>
      </w:r>
      <w:r w:rsidR="00777359" w:rsidRPr="00CC7140">
        <w:rPr>
          <w:color w:val="auto"/>
        </w:rPr>
        <w:t xml:space="preserve">These do not represent calls for greater popular sovereignty due to electoral changes that might be associated with </w:t>
      </w:r>
      <w:proofErr w:type="spellStart"/>
      <w:r w:rsidR="00777359" w:rsidRPr="00CC7140">
        <w:rPr>
          <w:color w:val="auto"/>
        </w:rPr>
        <w:t>Bogdanor</w:t>
      </w:r>
      <w:proofErr w:type="spellEnd"/>
      <w:r w:rsidR="00777359" w:rsidRPr="00CC7140">
        <w:rPr>
          <w:color w:val="auto"/>
        </w:rPr>
        <w:t xml:space="preserve"> (2011b)</w:t>
      </w:r>
      <w:r w:rsidR="00963A31" w:rsidRPr="00CC7140">
        <w:rPr>
          <w:color w:val="auto"/>
        </w:rPr>
        <w:t xml:space="preserve"> or constitutional reformers</w:t>
      </w:r>
      <w:r w:rsidR="00777359" w:rsidRPr="00CC7140">
        <w:rPr>
          <w:color w:val="auto"/>
        </w:rPr>
        <w:t>.</w:t>
      </w:r>
    </w:p>
    <w:p w:rsidR="00777359" w:rsidRPr="00CC7140" w:rsidRDefault="00EF59AD" w:rsidP="00566334">
      <w:pPr>
        <w:pStyle w:val="Body"/>
        <w:spacing w:line="480" w:lineRule="auto"/>
        <w:rPr>
          <w:color w:val="auto"/>
        </w:rPr>
      </w:pPr>
      <w:r w:rsidRPr="00CC7140">
        <w:rPr>
          <w:color w:val="auto"/>
        </w:rPr>
        <w:t>B</w:t>
      </w:r>
      <w:r w:rsidR="00294829" w:rsidRPr="00CC7140">
        <w:rPr>
          <w:color w:val="auto"/>
        </w:rPr>
        <w:t>ut b</w:t>
      </w:r>
      <w:r w:rsidRPr="00CC7140">
        <w:rPr>
          <w:color w:val="auto"/>
        </w:rPr>
        <w:t>y this measure</w:t>
      </w:r>
      <w:r w:rsidR="00294829" w:rsidRPr="00CC7140">
        <w:rPr>
          <w:color w:val="auto"/>
        </w:rPr>
        <w:t>,</w:t>
      </w:r>
      <w:r w:rsidRPr="00CC7140">
        <w:rPr>
          <w:color w:val="auto"/>
        </w:rPr>
        <w:t xml:space="preserve"> and c</w:t>
      </w:r>
      <w:r w:rsidR="00E3157A" w:rsidRPr="00CC7140">
        <w:rPr>
          <w:color w:val="auto"/>
        </w:rPr>
        <w:t>omparing the experience of the 2005 and 2010 elections, it is difficult to maintain the argument that Tony Blair</w:t>
      </w:r>
      <w:r w:rsidR="00E3157A" w:rsidRPr="00CC7140">
        <w:rPr>
          <w:color w:val="auto"/>
          <w:lang w:val="fr-FR"/>
        </w:rPr>
        <w:t>’</w:t>
      </w:r>
      <w:r w:rsidR="00E3157A" w:rsidRPr="00CC7140">
        <w:rPr>
          <w:color w:val="auto"/>
        </w:rPr>
        <w:t xml:space="preserve">s </w:t>
      </w:r>
      <w:proofErr w:type="spellStart"/>
      <w:r w:rsidR="00E3157A" w:rsidRPr="00CC7140">
        <w:rPr>
          <w:color w:val="auto"/>
        </w:rPr>
        <w:t>Labour</w:t>
      </w:r>
      <w:proofErr w:type="spellEnd"/>
      <w:r w:rsidR="00E3157A" w:rsidRPr="00CC7140">
        <w:rPr>
          <w:color w:val="auto"/>
        </w:rPr>
        <w:t xml:space="preserve"> party had a greater electoral mandate from its 35.2% of the vote in 2005 than David Cameron</w:t>
      </w:r>
      <w:r w:rsidR="00E3157A" w:rsidRPr="00CC7140">
        <w:rPr>
          <w:color w:val="auto"/>
          <w:lang w:val="fr-FR"/>
        </w:rPr>
        <w:t>’</w:t>
      </w:r>
      <w:r w:rsidR="00E3157A" w:rsidRPr="00CC7140">
        <w:rPr>
          <w:color w:val="auto"/>
        </w:rPr>
        <w:t>s Conservatives on 36.1% five years later.  And yet few questioned the legitimacy of Blair</w:t>
      </w:r>
      <w:r w:rsidR="00E3157A" w:rsidRPr="00CC7140">
        <w:rPr>
          <w:color w:val="auto"/>
          <w:lang w:val="fr-FR"/>
        </w:rPr>
        <w:t>’</w:t>
      </w:r>
      <w:r w:rsidR="00E3157A" w:rsidRPr="00CC7140">
        <w:rPr>
          <w:color w:val="auto"/>
        </w:rPr>
        <w:t xml:space="preserve">s government when two thirds of the electorate had voted for parties other than the one which held office exclusively.   While recognizing the limits of the arithmetic, the 2010 coalition represented a combined share of the vote of 59% (and the combined seats in the Commons being 306 plus 57 representing a proportional 58.4% of the House). Consequently, the formation of a coalition meant that Britain had a government which in some form represented more than half of votes cast at a general election for the first time in post-war history. </w:t>
      </w:r>
      <w:r w:rsidR="00777359" w:rsidRPr="00CC7140">
        <w:rPr>
          <w:color w:val="auto"/>
        </w:rPr>
        <w:t xml:space="preserve">But this has barely featured in support of the government’s legitimacy because parliamentary sovereignty remains the </w:t>
      </w:r>
      <w:r w:rsidR="00963A31" w:rsidRPr="00CC7140">
        <w:rPr>
          <w:color w:val="auto"/>
        </w:rPr>
        <w:t xml:space="preserve">key </w:t>
      </w:r>
      <w:r w:rsidR="00777359" w:rsidRPr="00CC7140">
        <w:rPr>
          <w:color w:val="auto"/>
        </w:rPr>
        <w:t>measure. Indeed the case that coalitions are less legitimate overlooks conventions and practices that many critics wish to preserve.</w:t>
      </w:r>
    </w:p>
    <w:p w:rsidR="00EF59AD" w:rsidRPr="00CC7140" w:rsidRDefault="00820EFE" w:rsidP="00566334">
      <w:pPr>
        <w:pStyle w:val="Body"/>
        <w:spacing w:line="480" w:lineRule="auto"/>
        <w:rPr>
          <w:color w:val="auto"/>
        </w:rPr>
      </w:pPr>
      <w:r w:rsidRPr="00CC7140">
        <w:rPr>
          <w:color w:val="auto"/>
        </w:rPr>
        <w:t xml:space="preserve">The link between Members of Parliament and their constituencies is so valued that it </w:t>
      </w:r>
      <w:r w:rsidR="00843A76" w:rsidRPr="00CC7140">
        <w:rPr>
          <w:color w:val="auto"/>
        </w:rPr>
        <w:t>invariably</w:t>
      </w:r>
      <w:r w:rsidRPr="00CC7140">
        <w:rPr>
          <w:color w:val="auto"/>
        </w:rPr>
        <w:t xml:space="preserve"> emerges as an objection to electoral reform (Norton, 1999).   A long established principle is that Members hold the sovereign authority of their constituents </w:t>
      </w:r>
      <w:r w:rsidRPr="00CC7140">
        <w:rPr>
          <w:color w:val="auto"/>
        </w:rPr>
        <w:lastRenderedPageBreak/>
        <w:t xml:space="preserve">for the duration of the parliament (Bagehot, 1867) and are free to vote against their government, resign the whip or even cross the floor without the need for a by-election (though practices have evolved even over the past century). In the Westminster system, a prime minister is able to form a government where he or she can command the confidence of Parliament and this is confirmed by votes of MPs notably in acceptance of the Queen’s speech which details a government’s proposed </w:t>
      </w:r>
      <w:proofErr w:type="spellStart"/>
      <w:r w:rsidRPr="00CC7140">
        <w:rPr>
          <w:color w:val="auto"/>
        </w:rPr>
        <w:t>programme</w:t>
      </w:r>
      <w:proofErr w:type="spellEnd"/>
      <w:r w:rsidRPr="00CC7140">
        <w:rPr>
          <w:color w:val="auto"/>
        </w:rPr>
        <w:t xml:space="preserve">.  Governments do not need to perpetually command the confidence of the electorate.  Indeed the constitutional position of an MP is summed up in the famous address by Burke to his constituents when he told them: ‘Your Representative owes you, not his industry only, but his </w:t>
      </w:r>
      <w:r w:rsidRPr="00CC7140">
        <w:rPr>
          <w:color w:val="auto"/>
          <w:lang w:val="en-GB"/>
        </w:rPr>
        <w:t>judgement</w:t>
      </w:r>
      <w:r w:rsidRPr="00CC7140">
        <w:rPr>
          <w:color w:val="auto"/>
        </w:rPr>
        <w:t xml:space="preserve">; and he betrays, instead of serving you, if he sacrifices it to your opinion’.  Consequently, Parliament can agree to the formation of whatever government it sees fit and vote for whatever legislation it decides is right.  Members are held to account retrospectively at the ballot box at the </w:t>
      </w:r>
      <w:r w:rsidR="00FD797B" w:rsidRPr="00CC7140">
        <w:rPr>
          <w:color w:val="auto"/>
        </w:rPr>
        <w:t>subsequent</w:t>
      </w:r>
      <w:r w:rsidRPr="00CC7140">
        <w:rPr>
          <w:color w:val="auto"/>
        </w:rPr>
        <w:t xml:space="preserve"> election.</w:t>
      </w:r>
      <w:r w:rsidR="00963A31" w:rsidRPr="00CC7140">
        <w:rPr>
          <w:color w:val="auto"/>
        </w:rPr>
        <w:t xml:space="preserve"> Coalition has not changed this. </w:t>
      </w:r>
    </w:p>
    <w:p w:rsidR="00820EFE" w:rsidRPr="00CC7140" w:rsidRDefault="00820EFE" w:rsidP="00566334">
      <w:pPr>
        <w:pStyle w:val="Body"/>
        <w:spacing w:line="480" w:lineRule="auto"/>
        <w:rPr>
          <w:color w:val="auto"/>
        </w:rPr>
      </w:pPr>
      <w:r w:rsidRPr="00CC7140">
        <w:rPr>
          <w:color w:val="auto"/>
        </w:rPr>
        <w:t>And yet, p</w:t>
      </w:r>
      <w:r w:rsidR="00E3157A" w:rsidRPr="00CC7140">
        <w:rPr>
          <w:color w:val="auto"/>
        </w:rPr>
        <w:t>arties</w:t>
      </w:r>
      <w:r w:rsidRPr="00CC7140">
        <w:rPr>
          <w:color w:val="auto"/>
        </w:rPr>
        <w:t xml:space="preserve"> which form governments</w:t>
      </w:r>
      <w:r w:rsidR="00E3157A" w:rsidRPr="00CC7140">
        <w:rPr>
          <w:color w:val="auto"/>
        </w:rPr>
        <w:t xml:space="preserve"> and manifestos </w:t>
      </w:r>
      <w:r w:rsidRPr="00CC7140">
        <w:rPr>
          <w:color w:val="auto"/>
        </w:rPr>
        <w:t xml:space="preserve">which detail their commitments to the electorate </w:t>
      </w:r>
      <w:r w:rsidR="00E3157A" w:rsidRPr="00CC7140">
        <w:rPr>
          <w:color w:val="auto"/>
        </w:rPr>
        <w:t>are</w:t>
      </w:r>
      <w:r w:rsidRPr="00CC7140">
        <w:rPr>
          <w:color w:val="auto"/>
        </w:rPr>
        <w:t xml:space="preserve"> </w:t>
      </w:r>
      <w:r w:rsidRPr="00CC7140">
        <w:rPr>
          <w:color w:val="auto"/>
          <w:lang w:val="en-GB"/>
        </w:rPr>
        <w:t>formalis</w:t>
      </w:r>
      <w:r w:rsidR="00EF59AD" w:rsidRPr="00CC7140">
        <w:rPr>
          <w:color w:val="auto"/>
          <w:lang w:val="en-GB"/>
        </w:rPr>
        <w:t>ed</w:t>
      </w:r>
      <w:r w:rsidR="00EF59AD" w:rsidRPr="00CC7140">
        <w:rPr>
          <w:color w:val="auto"/>
        </w:rPr>
        <w:t xml:space="preserve"> parts of Westminster arrangements</w:t>
      </w:r>
      <w:r w:rsidR="00E3157A" w:rsidRPr="00CC7140">
        <w:rPr>
          <w:color w:val="auto"/>
        </w:rPr>
        <w:t xml:space="preserve">.  Short and </w:t>
      </w:r>
      <w:proofErr w:type="spellStart"/>
      <w:r w:rsidR="00E3157A" w:rsidRPr="00CC7140">
        <w:rPr>
          <w:color w:val="auto"/>
        </w:rPr>
        <w:t>Cranborne</w:t>
      </w:r>
      <w:proofErr w:type="spellEnd"/>
      <w:r w:rsidR="00E3157A" w:rsidRPr="00CC7140">
        <w:rPr>
          <w:color w:val="auto"/>
        </w:rPr>
        <w:t xml:space="preserve"> money, </w:t>
      </w:r>
      <w:r w:rsidR="00041F79">
        <w:rPr>
          <w:color w:val="auto"/>
        </w:rPr>
        <w:t xml:space="preserve">that is financial assistance to opposition parties, </w:t>
      </w:r>
      <w:r w:rsidR="00E3157A" w:rsidRPr="00CC7140">
        <w:rPr>
          <w:color w:val="auto"/>
        </w:rPr>
        <w:t xml:space="preserve">for instance, is paid directly to parties rather than Members, though is intended to support the constitutional role of loyal opposition (Kelly, 2010).  The Salisbury-Addison convention acknowledges the mandate given to a governing party by the electorate voting for policies detailed in a manifesto (Baldwin, 2007).  </w:t>
      </w:r>
    </w:p>
    <w:p w:rsidR="00FD797B" w:rsidRPr="00CC7140" w:rsidRDefault="00E3157A" w:rsidP="00566334">
      <w:pPr>
        <w:pStyle w:val="Body"/>
        <w:spacing w:line="480" w:lineRule="auto"/>
        <w:rPr>
          <w:color w:val="auto"/>
        </w:rPr>
      </w:pPr>
      <w:r w:rsidRPr="00CC7140">
        <w:rPr>
          <w:color w:val="auto"/>
        </w:rPr>
        <w:t xml:space="preserve">While it has no fundamental force, the </w:t>
      </w:r>
      <w:r w:rsidR="00EF59AD" w:rsidRPr="00CC7140">
        <w:rPr>
          <w:color w:val="auto"/>
        </w:rPr>
        <w:t xml:space="preserve">Coalition </w:t>
      </w:r>
      <w:r w:rsidRPr="00CC7140">
        <w:rPr>
          <w:color w:val="auto"/>
        </w:rPr>
        <w:t xml:space="preserve">Agreement becomes the basis of not only the policy </w:t>
      </w:r>
      <w:proofErr w:type="spellStart"/>
      <w:r w:rsidRPr="00CC7140">
        <w:rPr>
          <w:color w:val="auto"/>
        </w:rPr>
        <w:t>programme</w:t>
      </w:r>
      <w:proofErr w:type="spellEnd"/>
      <w:r w:rsidRPr="00CC7140">
        <w:rPr>
          <w:color w:val="auto"/>
        </w:rPr>
        <w:t xml:space="preserve"> – that is what is included and what is excluded – but is also </w:t>
      </w:r>
      <w:r w:rsidRPr="00CC7140">
        <w:rPr>
          <w:color w:val="auto"/>
        </w:rPr>
        <w:lastRenderedPageBreak/>
        <w:t xml:space="preserve">the settlement from which collective responsibility is derived.  While there is legitimate criticism that the electorate did not vote for the Coalition Agreement, party manifestos </w:t>
      </w:r>
      <w:r w:rsidR="00EF59AD" w:rsidRPr="00CC7140">
        <w:rPr>
          <w:color w:val="auto"/>
        </w:rPr>
        <w:t xml:space="preserve">are naturally the </w:t>
      </w:r>
      <w:r w:rsidRPr="00CC7140">
        <w:rPr>
          <w:color w:val="auto"/>
        </w:rPr>
        <w:t xml:space="preserve">basis </w:t>
      </w:r>
      <w:r w:rsidR="00843A76" w:rsidRPr="00CC7140">
        <w:rPr>
          <w:color w:val="auto"/>
        </w:rPr>
        <w:t xml:space="preserve">for </w:t>
      </w:r>
      <w:r w:rsidRPr="00CC7140">
        <w:rPr>
          <w:color w:val="auto"/>
        </w:rPr>
        <w:t>the government</w:t>
      </w:r>
      <w:r w:rsidRPr="00CC7140">
        <w:rPr>
          <w:color w:val="auto"/>
          <w:lang w:val="fr-FR"/>
        </w:rPr>
        <w:t>’</w:t>
      </w:r>
      <w:r w:rsidR="001B55F2" w:rsidRPr="00CC7140">
        <w:rPr>
          <w:color w:val="auto"/>
        </w:rPr>
        <w:t xml:space="preserve">s </w:t>
      </w:r>
      <w:proofErr w:type="spellStart"/>
      <w:r w:rsidR="001B55F2" w:rsidRPr="00CC7140">
        <w:rPr>
          <w:color w:val="auto"/>
        </w:rPr>
        <w:t>programme</w:t>
      </w:r>
      <w:proofErr w:type="spellEnd"/>
      <w:r w:rsidR="00843A76" w:rsidRPr="00CC7140">
        <w:rPr>
          <w:color w:val="auto"/>
        </w:rPr>
        <w:t>. T</w:t>
      </w:r>
      <w:r w:rsidR="00EF59AD" w:rsidRPr="00CC7140">
        <w:rPr>
          <w:color w:val="auto"/>
        </w:rPr>
        <w:t xml:space="preserve">his potentially </w:t>
      </w:r>
      <w:r w:rsidR="00963A31" w:rsidRPr="00CC7140">
        <w:rPr>
          <w:color w:val="auto"/>
        </w:rPr>
        <w:t>stretches</w:t>
      </w:r>
      <w:r w:rsidR="00EF59AD" w:rsidRPr="00CC7140">
        <w:rPr>
          <w:color w:val="auto"/>
        </w:rPr>
        <w:t xml:space="preserve"> their nature from a list of pledges to a </w:t>
      </w:r>
      <w:r w:rsidR="001B55F2" w:rsidRPr="00CC7140">
        <w:rPr>
          <w:color w:val="auto"/>
        </w:rPr>
        <w:t xml:space="preserve">document for negotiation.  </w:t>
      </w:r>
      <w:r w:rsidRPr="00CC7140">
        <w:rPr>
          <w:color w:val="auto"/>
        </w:rPr>
        <w:t xml:space="preserve"> Indeed, Matthews (2011) shows that 43.3% of policy statements detailed in the Coalition Agreement, </w:t>
      </w:r>
      <w:proofErr w:type="spellStart"/>
      <w:r w:rsidRPr="00CC7140">
        <w:rPr>
          <w:i/>
          <w:iCs/>
          <w:color w:val="auto"/>
        </w:rPr>
        <w:t>Programme</w:t>
      </w:r>
      <w:proofErr w:type="spellEnd"/>
      <w:r w:rsidRPr="00CC7140">
        <w:rPr>
          <w:i/>
          <w:iCs/>
          <w:color w:val="auto"/>
        </w:rPr>
        <w:t xml:space="preserve"> for Government</w:t>
      </w:r>
      <w:r w:rsidRPr="00CC7140">
        <w:rPr>
          <w:color w:val="auto"/>
        </w:rPr>
        <w:t xml:space="preserve"> (2010), were drawn from the Conservative party manifesto, 22.7% from the Liberal Democrat manifesto and 19.7% appeared in both</w:t>
      </w:r>
      <w:r w:rsidRPr="00CC7140">
        <w:rPr>
          <w:color w:val="auto"/>
          <w:lang w:val="en-GB"/>
        </w:rPr>
        <w:t xml:space="preserve"> (also demonstrating some programmatic overlap)</w:t>
      </w:r>
      <w:r w:rsidRPr="00CC7140">
        <w:rPr>
          <w:color w:val="auto"/>
        </w:rPr>
        <w:t>.  Just 14.3% were in neither or can be said to be uncertain in some way.</w:t>
      </w:r>
      <w:r w:rsidR="00FD797B" w:rsidRPr="00CC7140">
        <w:rPr>
          <w:color w:val="auto"/>
        </w:rPr>
        <w:t xml:space="preserve"> In a separate study,</w:t>
      </w:r>
      <w:r w:rsidRPr="00CC7140">
        <w:rPr>
          <w:color w:val="auto"/>
        </w:rPr>
        <w:t xml:space="preserve"> </w:t>
      </w:r>
      <w:r w:rsidR="00FD797B" w:rsidRPr="00CC7140">
        <w:rPr>
          <w:color w:val="auto"/>
        </w:rPr>
        <w:t>Quinn Battle and Bartle (2011) similarly concluded that both parties were able to secure gains on their own priority policies</w:t>
      </w:r>
      <w:r w:rsidR="00CF1836">
        <w:rPr>
          <w:color w:val="auto"/>
        </w:rPr>
        <w:t xml:space="preserve"> as detailed in their manifestos</w:t>
      </w:r>
      <w:r w:rsidR="00FD797B" w:rsidRPr="00CC7140">
        <w:rPr>
          <w:color w:val="auto"/>
        </w:rPr>
        <w:t>.</w:t>
      </w:r>
    </w:p>
    <w:p w:rsidR="001B55F2" w:rsidRPr="00CC7140" w:rsidRDefault="00E3157A" w:rsidP="00566334">
      <w:pPr>
        <w:pStyle w:val="Body"/>
        <w:spacing w:line="480" w:lineRule="auto"/>
        <w:rPr>
          <w:color w:val="auto"/>
        </w:rPr>
      </w:pPr>
      <w:r w:rsidRPr="00CC7140">
        <w:rPr>
          <w:color w:val="auto"/>
        </w:rPr>
        <w:t>It should also be noted that there is nothing binding about a manifesto and many governments are accused of contradicting pledges made at the previous general election. Bara</w:t>
      </w:r>
      <w:r w:rsidRPr="00CC7140">
        <w:rPr>
          <w:color w:val="auto"/>
          <w:lang w:val="fr-FR"/>
        </w:rPr>
        <w:t>’</w:t>
      </w:r>
      <w:r w:rsidRPr="00CC7140">
        <w:rPr>
          <w:color w:val="auto"/>
        </w:rPr>
        <w:t>s detailed study of manifesto im</w:t>
      </w:r>
      <w:r w:rsidR="00630F03" w:rsidRPr="00CC7140">
        <w:rPr>
          <w:color w:val="auto"/>
        </w:rPr>
        <w:t>plementation and trust concludes</w:t>
      </w:r>
      <w:r w:rsidRPr="00CC7140">
        <w:rPr>
          <w:color w:val="auto"/>
        </w:rPr>
        <w:t xml:space="preserve"> that parties ‘make too many promises which cannot easily be traced through to implementation and are open to manipulation and false claims of success</w:t>
      </w:r>
      <w:r w:rsidRPr="00CC7140">
        <w:rPr>
          <w:color w:val="auto"/>
          <w:lang w:val="fr-FR"/>
        </w:rPr>
        <w:t>’</w:t>
      </w:r>
      <w:r w:rsidR="00963A31" w:rsidRPr="00CC7140">
        <w:rPr>
          <w:color w:val="auto"/>
        </w:rPr>
        <w:t xml:space="preserve"> (2005, 599). Furthermore, manifestos as a legislative </w:t>
      </w:r>
      <w:proofErr w:type="spellStart"/>
      <w:r w:rsidR="00963A31" w:rsidRPr="00CC7140">
        <w:rPr>
          <w:color w:val="auto"/>
        </w:rPr>
        <w:t>programme</w:t>
      </w:r>
      <w:proofErr w:type="spellEnd"/>
      <w:r w:rsidR="00963A31" w:rsidRPr="00CC7140">
        <w:rPr>
          <w:color w:val="auto"/>
        </w:rPr>
        <w:t xml:space="preserve"> suffer the same weakness as Coalition Agreements in that contexts change during the course of a (five year) Parliament and there is a need to refresh objectives mid-term.</w:t>
      </w:r>
    </w:p>
    <w:p w:rsidR="00963A31" w:rsidRPr="00CC7140" w:rsidRDefault="001B55F2" w:rsidP="00566334">
      <w:pPr>
        <w:pStyle w:val="Body"/>
        <w:spacing w:line="480" w:lineRule="auto"/>
        <w:rPr>
          <w:color w:val="auto"/>
        </w:rPr>
      </w:pPr>
      <w:r w:rsidRPr="00CC7140">
        <w:rPr>
          <w:color w:val="auto"/>
        </w:rPr>
        <w:t xml:space="preserve">There is little doubt that the increased prospect of coalition negotiations will </w:t>
      </w:r>
      <w:r w:rsidRPr="00CC7140">
        <w:rPr>
          <w:color w:val="auto"/>
          <w:lang w:val="en-GB"/>
        </w:rPr>
        <w:t>incentivise</w:t>
      </w:r>
      <w:r w:rsidRPr="00CC7140">
        <w:rPr>
          <w:color w:val="auto"/>
        </w:rPr>
        <w:t xml:space="preserve"> mainstream parties to consider that possibility in drafting manifestos.  As such manifestos </w:t>
      </w:r>
      <w:r w:rsidR="00963A31" w:rsidRPr="00CC7140">
        <w:rPr>
          <w:color w:val="auto"/>
        </w:rPr>
        <w:t>now</w:t>
      </w:r>
      <w:r w:rsidRPr="00CC7140">
        <w:rPr>
          <w:color w:val="auto"/>
        </w:rPr>
        <w:t xml:space="preserve"> have a stretched role of representing a series of pledges to the </w:t>
      </w:r>
      <w:r w:rsidRPr="00CC7140">
        <w:rPr>
          <w:color w:val="auto"/>
        </w:rPr>
        <w:lastRenderedPageBreak/>
        <w:t xml:space="preserve">electorate and act as a document for negotiating a </w:t>
      </w:r>
      <w:proofErr w:type="spellStart"/>
      <w:r w:rsidRPr="00CC7140">
        <w:rPr>
          <w:color w:val="auto"/>
        </w:rPr>
        <w:t>programme</w:t>
      </w:r>
      <w:proofErr w:type="spellEnd"/>
      <w:r w:rsidRPr="00CC7140">
        <w:rPr>
          <w:color w:val="auto"/>
        </w:rPr>
        <w:t xml:space="preserve"> of government with another party.</w:t>
      </w:r>
      <w:r w:rsidR="00E3157A" w:rsidRPr="00CC7140">
        <w:rPr>
          <w:color w:val="auto"/>
        </w:rPr>
        <w:t xml:space="preserve">  </w:t>
      </w:r>
    </w:p>
    <w:p w:rsidR="00172BEA" w:rsidRPr="00CC7140" w:rsidRDefault="00E3157A" w:rsidP="00566334">
      <w:pPr>
        <w:pStyle w:val="Body"/>
        <w:spacing w:line="480" w:lineRule="auto"/>
        <w:rPr>
          <w:color w:val="auto"/>
        </w:rPr>
      </w:pPr>
      <w:r w:rsidRPr="00CC7140">
        <w:rPr>
          <w:color w:val="auto"/>
        </w:rPr>
        <w:t xml:space="preserve">It is </w:t>
      </w:r>
      <w:r w:rsidR="00963A31" w:rsidRPr="00CC7140">
        <w:rPr>
          <w:color w:val="auto"/>
        </w:rPr>
        <w:t xml:space="preserve">also </w:t>
      </w:r>
      <w:r w:rsidRPr="00CC7140">
        <w:rPr>
          <w:color w:val="auto"/>
        </w:rPr>
        <w:t xml:space="preserve">worth </w:t>
      </w:r>
      <w:r w:rsidR="00630F03" w:rsidRPr="00CC7140">
        <w:rPr>
          <w:color w:val="auto"/>
        </w:rPr>
        <w:t>considering</w:t>
      </w:r>
      <w:r w:rsidRPr="00CC7140">
        <w:rPr>
          <w:color w:val="auto"/>
        </w:rPr>
        <w:t xml:space="preserve"> that the distinction between manifestos and the Coalition Agreement might be partially responsible for an increased sense of independence of Parliament</w:t>
      </w:r>
      <w:r w:rsidR="00CF1836">
        <w:rPr>
          <w:color w:val="auto"/>
        </w:rPr>
        <w:t>arians</w:t>
      </w:r>
      <w:r w:rsidRPr="00CC7140">
        <w:rPr>
          <w:color w:val="auto"/>
        </w:rPr>
        <w:t xml:space="preserve"> since it weakens the powers of patronage enjoyed by a Prime Minister.  It is perhaps no coincidence that the 2010 Parliament has been the most rebellious since 1945 (Cowley and Stuart, 2013) as government backbenchers can claim they were elected on their party manifestos not the Coalition Agreement against which they are being whipped. </w:t>
      </w:r>
      <w:r w:rsidRPr="00CC7140">
        <w:rPr>
          <w:color w:val="auto"/>
          <w:lang w:val="en-GB"/>
        </w:rPr>
        <w:t>One might view this as positive stretching of backbench powers to hold the executive to account</w:t>
      </w:r>
      <w:r w:rsidR="00820EFE" w:rsidRPr="00CC7140">
        <w:rPr>
          <w:color w:val="auto"/>
          <w:lang w:val="en-GB"/>
        </w:rPr>
        <w:t xml:space="preserve"> but also re-enforce</w:t>
      </w:r>
      <w:r w:rsidR="00F81272" w:rsidRPr="00CC7140">
        <w:rPr>
          <w:color w:val="auto"/>
          <w:lang w:val="en-GB"/>
        </w:rPr>
        <w:t>s</w:t>
      </w:r>
      <w:r w:rsidR="00820EFE" w:rsidRPr="00CC7140">
        <w:rPr>
          <w:color w:val="auto"/>
          <w:lang w:val="en-GB"/>
        </w:rPr>
        <w:t xml:space="preserve"> the Westminster Model</w:t>
      </w:r>
      <w:r w:rsidR="00963A31" w:rsidRPr="00CC7140">
        <w:rPr>
          <w:color w:val="auto"/>
          <w:lang w:val="en-GB"/>
        </w:rPr>
        <w:t xml:space="preserve"> to some degree</w:t>
      </w:r>
      <w:r w:rsidRPr="00CC7140">
        <w:rPr>
          <w:color w:val="auto"/>
          <w:lang w:val="en-GB"/>
        </w:rPr>
        <w:t>.</w:t>
      </w:r>
    </w:p>
    <w:p w:rsidR="001B55F2" w:rsidRPr="00CC7140" w:rsidRDefault="00E3157A" w:rsidP="00566334">
      <w:pPr>
        <w:pStyle w:val="Body"/>
        <w:spacing w:line="480" w:lineRule="auto"/>
        <w:rPr>
          <w:color w:val="auto"/>
        </w:rPr>
      </w:pPr>
      <w:r w:rsidRPr="00CC7140">
        <w:rPr>
          <w:color w:val="auto"/>
        </w:rPr>
        <w:t xml:space="preserve">Having formed a government, the </w:t>
      </w:r>
      <w:r w:rsidR="00820EFE" w:rsidRPr="00CC7140">
        <w:rPr>
          <w:color w:val="auto"/>
        </w:rPr>
        <w:t>place</w:t>
      </w:r>
      <w:r w:rsidRPr="00CC7140">
        <w:rPr>
          <w:color w:val="auto"/>
        </w:rPr>
        <w:t xml:space="preserve"> of manifesto commitments continue</w:t>
      </w:r>
      <w:r w:rsidRPr="00CC7140">
        <w:rPr>
          <w:color w:val="auto"/>
          <w:lang w:val="en-GB"/>
        </w:rPr>
        <w:t>s</w:t>
      </w:r>
      <w:r w:rsidRPr="00CC7140">
        <w:rPr>
          <w:color w:val="auto"/>
        </w:rPr>
        <w:t xml:space="preserve"> to require constitutional stretching. The Salisbury–Addison convention which, since 1945 has come to mean that the House of Lords does not defeat the government on second or third reading of legislation pertaining to pledges made in a manifesto, is already severely </w:t>
      </w:r>
      <w:r w:rsidR="00F81272" w:rsidRPr="00CC7140">
        <w:rPr>
          <w:color w:val="auto"/>
        </w:rPr>
        <w:t>strained</w:t>
      </w:r>
      <w:r w:rsidRPr="00CC7140">
        <w:rPr>
          <w:color w:val="auto"/>
          <w:lang w:val="en-GB"/>
        </w:rPr>
        <w:t xml:space="preserve"> (Russell, 2010)</w:t>
      </w:r>
      <w:r w:rsidRPr="00CC7140">
        <w:rPr>
          <w:color w:val="auto"/>
        </w:rPr>
        <w:t>. Its modern origins lay in Attlee</w:t>
      </w:r>
      <w:r w:rsidRPr="00CC7140">
        <w:rPr>
          <w:color w:val="auto"/>
          <w:lang w:val="fr-FR"/>
        </w:rPr>
        <w:t>’</w:t>
      </w:r>
      <w:r w:rsidRPr="00CC7140">
        <w:rPr>
          <w:color w:val="auto"/>
        </w:rPr>
        <w:t xml:space="preserve">s landslide of 1945 and the under-representation of </w:t>
      </w:r>
      <w:proofErr w:type="spellStart"/>
      <w:r w:rsidRPr="00CC7140">
        <w:rPr>
          <w:color w:val="auto"/>
        </w:rPr>
        <w:t>Labour</w:t>
      </w:r>
      <w:proofErr w:type="spellEnd"/>
      <w:r w:rsidRPr="00CC7140">
        <w:rPr>
          <w:color w:val="auto"/>
        </w:rPr>
        <w:t xml:space="preserve"> peers in the Lords.  However, since 1999 when all but 92 hereditary peers were removed from the Chamber and it can be </w:t>
      </w:r>
      <w:r w:rsidR="00F81272" w:rsidRPr="00CC7140">
        <w:rPr>
          <w:color w:val="auto"/>
        </w:rPr>
        <w:t>seen</w:t>
      </w:r>
      <w:r w:rsidRPr="00CC7140">
        <w:rPr>
          <w:color w:val="auto"/>
        </w:rPr>
        <w:t xml:space="preserve"> that the House of Lords is actually more representative of votes cast at a general election t</w:t>
      </w:r>
      <w:r w:rsidR="001B55F2" w:rsidRPr="00CC7140">
        <w:rPr>
          <w:color w:val="auto"/>
        </w:rPr>
        <w:t>han is the Commons (Barber, 201</w:t>
      </w:r>
      <w:r w:rsidR="00F74362" w:rsidRPr="00CC7140">
        <w:rPr>
          <w:color w:val="auto"/>
        </w:rPr>
        <w:t>4</w:t>
      </w:r>
      <w:r w:rsidRPr="00CC7140">
        <w:rPr>
          <w:color w:val="auto"/>
        </w:rPr>
        <w:t xml:space="preserve">), the purpose of the convention has waned. Peers would also reasonably question the convention when it comes to minority (or even majority) governments on minority shares of votes.  After all, if only a third of the electorate has voted for a party with a particularly controversial manifesto commitment, there would not </w:t>
      </w:r>
      <w:r w:rsidRPr="00CC7140">
        <w:rPr>
          <w:color w:val="auto"/>
        </w:rPr>
        <w:lastRenderedPageBreak/>
        <w:t xml:space="preserve">seem to be the same justification for the practice.  In terms of a coalition, the context is further distorted since the settled </w:t>
      </w:r>
      <w:proofErr w:type="spellStart"/>
      <w:r w:rsidRPr="00CC7140">
        <w:rPr>
          <w:color w:val="auto"/>
        </w:rPr>
        <w:t>programme</w:t>
      </w:r>
      <w:proofErr w:type="spellEnd"/>
      <w:r w:rsidRPr="00CC7140">
        <w:rPr>
          <w:color w:val="auto"/>
        </w:rPr>
        <w:t xml:space="preserve"> is not contained in a single manifesto but rather in an agreement which the electorate has not directly approved.  As such, the convention as is commonly understood is outdated and practice should perhaps revert to the original Salisbury convention of the nineteenth century when the Third </w:t>
      </w:r>
      <w:proofErr w:type="spellStart"/>
      <w:r w:rsidRPr="00222A21">
        <w:rPr>
          <w:color w:val="auto"/>
          <w:lang w:val="en-GB"/>
        </w:rPr>
        <w:t>Marquess</w:t>
      </w:r>
      <w:proofErr w:type="spellEnd"/>
      <w:r w:rsidRPr="00CC7140">
        <w:rPr>
          <w:color w:val="auto"/>
        </w:rPr>
        <w:t xml:space="preserve"> argued that the Lords should intervene on contentious legislation where it believed the view of the Commons and the will of the people did not coincide. That being said, the </w:t>
      </w:r>
      <w:proofErr w:type="spellStart"/>
      <w:r w:rsidRPr="00CC7140">
        <w:rPr>
          <w:color w:val="auto"/>
        </w:rPr>
        <w:t>programme</w:t>
      </w:r>
      <w:proofErr w:type="spellEnd"/>
      <w:r w:rsidRPr="00CC7140">
        <w:rPr>
          <w:color w:val="auto"/>
        </w:rPr>
        <w:t xml:space="preserve"> of a coalition government which commands the confidence of the Commons is a legitimate </w:t>
      </w:r>
      <w:proofErr w:type="spellStart"/>
      <w:r w:rsidRPr="00CC7140">
        <w:rPr>
          <w:color w:val="auto"/>
        </w:rPr>
        <w:t>programme</w:t>
      </w:r>
      <w:proofErr w:type="spellEnd"/>
      <w:r w:rsidRPr="00CC7140">
        <w:rPr>
          <w:color w:val="auto"/>
        </w:rPr>
        <w:t xml:space="preserve"> and </w:t>
      </w:r>
      <w:r w:rsidR="00F81272" w:rsidRPr="00CC7140">
        <w:rPr>
          <w:color w:val="auto"/>
        </w:rPr>
        <w:t>peers</w:t>
      </w:r>
      <w:r w:rsidRPr="00CC7140">
        <w:rPr>
          <w:color w:val="auto"/>
        </w:rPr>
        <w:t xml:space="preserve"> must accept the primacy of the lower house.   </w:t>
      </w:r>
    </w:p>
    <w:p w:rsidR="00630F03" w:rsidRPr="00CC7140" w:rsidRDefault="00F74362" w:rsidP="00566334">
      <w:pPr>
        <w:pStyle w:val="Body"/>
        <w:spacing w:line="480" w:lineRule="auto"/>
        <w:rPr>
          <w:color w:val="auto"/>
        </w:rPr>
      </w:pPr>
      <w:r w:rsidRPr="00CC7140">
        <w:rPr>
          <w:color w:val="auto"/>
        </w:rPr>
        <w:t xml:space="preserve">While there have been questions concerning the legitimacy of a government of two parties not specifically endorsed by the electorate, practices since 2010 have largely re-enforced traditional principles that governments need the confidence of parliament rather than popular support.  The novelty of a Coalition Agreement has naturally stretched the role of manifestos meaning that in future they might be viewed as the basis for shared </w:t>
      </w:r>
      <w:proofErr w:type="spellStart"/>
      <w:r w:rsidRPr="00CC7140">
        <w:rPr>
          <w:color w:val="auto"/>
        </w:rPr>
        <w:t>programmes</w:t>
      </w:r>
      <w:proofErr w:type="spellEnd"/>
      <w:r w:rsidRPr="00CC7140">
        <w:rPr>
          <w:color w:val="auto"/>
        </w:rPr>
        <w:t xml:space="preserve"> as much as distinguishing parties from one another.  Meanwhile, the </w:t>
      </w:r>
      <w:r w:rsidR="001B55F2" w:rsidRPr="00CC7140">
        <w:rPr>
          <w:color w:val="auto"/>
        </w:rPr>
        <w:t>Westminster model</w:t>
      </w:r>
      <w:r w:rsidRPr="00CC7140">
        <w:rPr>
          <w:color w:val="auto"/>
        </w:rPr>
        <w:t>,</w:t>
      </w:r>
      <w:r w:rsidR="001B55F2" w:rsidRPr="00CC7140">
        <w:rPr>
          <w:color w:val="auto"/>
        </w:rPr>
        <w:t xml:space="preserve"> stretched </w:t>
      </w:r>
      <w:r w:rsidRPr="00CC7140">
        <w:rPr>
          <w:color w:val="auto"/>
        </w:rPr>
        <w:t>to accommodate power sharing, can be said to have survived.</w:t>
      </w:r>
    </w:p>
    <w:p w:rsidR="00F74362" w:rsidRPr="00CC7140" w:rsidRDefault="00F74362" w:rsidP="00566334">
      <w:pPr>
        <w:pStyle w:val="Body"/>
        <w:spacing w:line="480" w:lineRule="auto"/>
        <w:rPr>
          <w:color w:val="auto"/>
        </w:rPr>
      </w:pPr>
    </w:p>
    <w:p w:rsidR="00172BEA" w:rsidRPr="00CC7140" w:rsidRDefault="00E3157A" w:rsidP="00566334">
      <w:pPr>
        <w:pStyle w:val="Body"/>
        <w:spacing w:line="480" w:lineRule="auto"/>
        <w:rPr>
          <w:rFonts w:eastAsia="Arial Bold"/>
          <w:b/>
          <w:color w:val="auto"/>
        </w:rPr>
      </w:pPr>
      <w:r w:rsidRPr="00CC7140">
        <w:rPr>
          <w:b/>
          <w:color w:val="auto"/>
        </w:rPr>
        <w:t>Stretching the Concept of Collective Responsibility</w:t>
      </w:r>
    </w:p>
    <w:p w:rsidR="00820EFE" w:rsidRPr="00CC7140" w:rsidRDefault="00E3157A" w:rsidP="00566334">
      <w:pPr>
        <w:pStyle w:val="Body"/>
        <w:spacing w:line="480" w:lineRule="auto"/>
        <w:rPr>
          <w:color w:val="auto"/>
        </w:rPr>
      </w:pPr>
      <w:r w:rsidRPr="00CC7140">
        <w:rPr>
          <w:color w:val="auto"/>
        </w:rPr>
        <w:t xml:space="preserve">The doctrine of collective responsibility whereby all ministers are </w:t>
      </w:r>
      <w:r w:rsidRPr="00CC7140">
        <w:rPr>
          <w:i/>
          <w:iCs/>
          <w:color w:val="auto"/>
        </w:rPr>
        <w:t>bound by the collective decision of Cabinet</w:t>
      </w:r>
      <w:r w:rsidRPr="00CC7140">
        <w:rPr>
          <w:color w:val="auto"/>
          <w:lang w:val="nl-NL"/>
        </w:rPr>
        <w:t xml:space="preserve"> is </w:t>
      </w:r>
      <w:r w:rsidRPr="00CC7140">
        <w:rPr>
          <w:color w:val="auto"/>
          <w:lang w:val="en-GB"/>
        </w:rPr>
        <w:t xml:space="preserve">long debated and is </w:t>
      </w:r>
      <w:r w:rsidRPr="00CC7140">
        <w:rPr>
          <w:color w:val="auto"/>
        </w:rPr>
        <w:t>essential for any government to operate with any degree of effectiveness or confidence. (</w:t>
      </w:r>
      <w:r w:rsidR="00630F03" w:rsidRPr="00CC7140">
        <w:rPr>
          <w:color w:val="auto"/>
          <w:lang w:val="en-GB"/>
        </w:rPr>
        <w:t>Bagehot, 1867</w:t>
      </w:r>
      <w:r w:rsidRPr="00CC7140">
        <w:rPr>
          <w:color w:val="auto"/>
          <w:lang w:val="en-GB"/>
        </w:rPr>
        <w:t>; Rhodes, 2006</w:t>
      </w:r>
      <w:r w:rsidRPr="00CC7140">
        <w:rPr>
          <w:color w:val="auto"/>
          <w:u w:color="FF0000"/>
        </w:rPr>
        <w:t xml:space="preserve">)  </w:t>
      </w:r>
      <w:r w:rsidRPr="00CC7140">
        <w:rPr>
          <w:color w:val="auto"/>
        </w:rPr>
        <w:t xml:space="preserve">After all, if </w:t>
      </w:r>
      <w:r w:rsidR="00F81272" w:rsidRPr="00CC7140">
        <w:rPr>
          <w:color w:val="auto"/>
        </w:rPr>
        <w:lastRenderedPageBreak/>
        <w:t>the</w:t>
      </w:r>
      <w:r w:rsidRPr="00CC7140">
        <w:rPr>
          <w:color w:val="auto"/>
        </w:rPr>
        <w:t xml:space="preserve"> prime minister cannot command the votes of his own ministers, it is difficult to claim that he commands the confidence of Parliament and it is hard for Parliament to hold ministers to account if they do not speak for the government in a consistent fashion. </w:t>
      </w:r>
      <w:r w:rsidR="001B55F2" w:rsidRPr="00CC7140">
        <w:rPr>
          <w:color w:val="auto"/>
        </w:rPr>
        <w:t xml:space="preserve">This area of constitutional practice relates more firmly to the sustainability of the administration. </w:t>
      </w:r>
      <w:r w:rsidR="00820EFE" w:rsidRPr="00CC7140">
        <w:rPr>
          <w:color w:val="auto"/>
        </w:rPr>
        <w:t>This section will consider the degree to which the principle has been stretched since 2010 and, therefore, how constitutional practice can be said to have changed.</w:t>
      </w:r>
    </w:p>
    <w:p w:rsidR="00172BEA" w:rsidRPr="00CC7140" w:rsidRDefault="00E3157A" w:rsidP="00566334">
      <w:pPr>
        <w:pStyle w:val="Body"/>
        <w:spacing w:line="480" w:lineRule="auto"/>
        <w:rPr>
          <w:color w:val="auto"/>
        </w:rPr>
      </w:pPr>
      <w:r w:rsidRPr="00CC7140">
        <w:rPr>
          <w:color w:val="auto"/>
        </w:rPr>
        <w:t xml:space="preserve">The concept </w:t>
      </w:r>
      <w:r w:rsidR="00820EFE" w:rsidRPr="00CC7140">
        <w:rPr>
          <w:color w:val="auto"/>
        </w:rPr>
        <w:t xml:space="preserve">of collective responsibility </w:t>
      </w:r>
      <w:r w:rsidRPr="00CC7140">
        <w:rPr>
          <w:color w:val="auto"/>
        </w:rPr>
        <w:t>has been stretched during the 2010 coalition as the two parties accommodate differing views within the confines of office. However, it is important not to exaggerate practices here or indeed to overstate their novelty.  One only has to recall how Tony Benn would disassociate himself from collective decisions in the Wilson/Callaghan administration</w:t>
      </w:r>
      <w:r w:rsidR="00F81272" w:rsidRPr="00CC7140">
        <w:rPr>
          <w:color w:val="auto"/>
        </w:rPr>
        <w:t>s</w:t>
      </w:r>
      <w:r w:rsidRPr="00CC7140">
        <w:rPr>
          <w:color w:val="auto"/>
        </w:rPr>
        <w:t xml:space="preserve"> of 1974-79</w:t>
      </w:r>
      <w:r w:rsidRPr="00CC7140">
        <w:rPr>
          <w:color w:val="auto"/>
          <w:lang w:val="en-GB"/>
        </w:rPr>
        <w:t>. Justifying his independent voice (notably over Europe) in 1974, Benn (1989, 207)</w:t>
      </w:r>
      <w:r w:rsidRPr="00CC7140">
        <w:rPr>
          <w:color w:val="auto"/>
        </w:rPr>
        <w:t xml:space="preserve"> </w:t>
      </w:r>
      <w:r w:rsidRPr="00CC7140">
        <w:rPr>
          <w:color w:val="auto"/>
          <w:lang w:val="en-GB"/>
        </w:rPr>
        <w:t>simply put it that he was 'in favour of free speech'. Elsewhere</w:t>
      </w:r>
      <w:r w:rsidRPr="00CC7140">
        <w:rPr>
          <w:color w:val="auto"/>
        </w:rPr>
        <w:t xml:space="preserve"> there was open disagreement over industrial intervention policy and Europe in the Major government 1990-97 for instance between Peter Lilley and Michael Heseltine reflecting divisions in the parliamentary party (</w:t>
      </w:r>
      <w:proofErr w:type="spellStart"/>
      <w:r w:rsidRPr="00CC7140">
        <w:rPr>
          <w:color w:val="auto"/>
        </w:rPr>
        <w:t>Heppell</w:t>
      </w:r>
      <w:proofErr w:type="spellEnd"/>
      <w:r w:rsidRPr="00CC7140">
        <w:rPr>
          <w:color w:val="auto"/>
        </w:rPr>
        <w:t>, 2002). Another example is Clare Short</w:t>
      </w:r>
      <w:r w:rsidRPr="00CC7140">
        <w:rPr>
          <w:color w:val="auto"/>
          <w:lang w:val="fr-FR"/>
        </w:rPr>
        <w:t>’</w:t>
      </w:r>
      <w:r w:rsidRPr="00CC7140">
        <w:rPr>
          <w:color w:val="auto"/>
        </w:rPr>
        <w:t>s public opposition to the Iraq war while still a member of Blair</w:t>
      </w:r>
      <w:r w:rsidRPr="00CC7140">
        <w:rPr>
          <w:color w:val="auto"/>
          <w:lang w:val="fr-FR"/>
        </w:rPr>
        <w:t>’</w:t>
      </w:r>
      <w:r w:rsidRPr="00CC7140">
        <w:rPr>
          <w:color w:val="auto"/>
        </w:rPr>
        <w:t xml:space="preserve">s Cabinet (Rhodes &amp; </w:t>
      </w:r>
      <w:proofErr w:type="spellStart"/>
      <w:r w:rsidRPr="00CC7140">
        <w:rPr>
          <w:color w:val="auto"/>
        </w:rPr>
        <w:t>Bevir</w:t>
      </w:r>
      <w:proofErr w:type="spellEnd"/>
      <w:r w:rsidRPr="00CC7140">
        <w:rPr>
          <w:color w:val="auto"/>
        </w:rPr>
        <w:t>, 2006).   Consequently, it is not so much the doctrine which requires adjustment in the modern era than the mechanisms which support it. Here it is worth discussing what might constitute a breach of collective responsibility or where collective responsibility might be suspended give</w:t>
      </w:r>
      <w:r w:rsidR="00630F03" w:rsidRPr="00CC7140">
        <w:rPr>
          <w:color w:val="auto"/>
        </w:rPr>
        <w:t xml:space="preserve">n the experience of the </w:t>
      </w:r>
      <w:r w:rsidR="00263306" w:rsidRPr="00CC7140">
        <w:rPr>
          <w:color w:val="auto"/>
        </w:rPr>
        <w:t>Cameron/Clegg</w:t>
      </w:r>
      <w:r w:rsidRPr="00CC7140">
        <w:rPr>
          <w:color w:val="auto"/>
        </w:rPr>
        <w:t xml:space="preserve"> government</w:t>
      </w:r>
      <w:r w:rsidR="001B55F2" w:rsidRPr="00CC7140">
        <w:rPr>
          <w:color w:val="auto"/>
        </w:rPr>
        <w:t xml:space="preserve"> and viewed through this conceptual lens of stretching</w:t>
      </w:r>
      <w:r w:rsidRPr="00CC7140">
        <w:rPr>
          <w:color w:val="auto"/>
        </w:rPr>
        <w:t xml:space="preserve">. </w:t>
      </w:r>
    </w:p>
    <w:p w:rsidR="00172BEA" w:rsidRPr="00CC7140" w:rsidRDefault="00E3157A" w:rsidP="00566334">
      <w:pPr>
        <w:pStyle w:val="Body"/>
        <w:spacing w:line="480" w:lineRule="auto"/>
        <w:rPr>
          <w:color w:val="auto"/>
        </w:rPr>
      </w:pPr>
      <w:r w:rsidRPr="00CC7140">
        <w:rPr>
          <w:color w:val="auto"/>
        </w:rPr>
        <w:lastRenderedPageBreak/>
        <w:t xml:space="preserve">It is important to distinguish between genuine breaches or suspensions of collective responsibility and party posturing to demonstrate independence as a political force.  In respect of the 2010 coalition, there is a suspicion that there have not necessarily been more disagreements as time has passed but rather that the party leaderships have deliberately let more light shine on the process for political reasons. While there is some potential overlap here (confidentiality is a principle of collective responsibility), it is </w:t>
      </w:r>
      <w:r w:rsidR="00F81272" w:rsidRPr="00CC7140">
        <w:rPr>
          <w:color w:val="auto"/>
        </w:rPr>
        <w:t>possible</w:t>
      </w:r>
      <w:r w:rsidRPr="00CC7140">
        <w:rPr>
          <w:color w:val="auto"/>
        </w:rPr>
        <w:t xml:space="preserve"> to determine areas which are subject to collective responsibility and areas which are not.  After all, practically all governments allow Ministers to express independent views on certain issues, usually defined as matters of conscience but can be motivated by maintaining harmony.   And government cannot be expected to hold a single view on an infinite array of subjects. Ministers appearing to disagree in public is not, therefore, necessarily a breach of collective responsibility. The Ministerial Code is also helpful here in connecting collective responsibility to ‘decisions</w:t>
      </w:r>
      <w:r w:rsidRPr="00CC7140">
        <w:rPr>
          <w:color w:val="auto"/>
          <w:lang w:val="fr-FR"/>
        </w:rPr>
        <w:t xml:space="preserve">’ </w:t>
      </w:r>
      <w:r w:rsidRPr="00CC7140">
        <w:rPr>
          <w:color w:val="auto"/>
        </w:rPr>
        <w:t>made by government and the business of Cabinet and Cabinet Committees which would engage in ‘major issues of public policy because they are of critical importance to the public</w:t>
      </w:r>
      <w:r w:rsidRPr="00CC7140">
        <w:rPr>
          <w:color w:val="auto"/>
          <w:lang w:val="fr-FR"/>
        </w:rPr>
        <w:t xml:space="preserve">’ </w:t>
      </w:r>
      <w:r w:rsidRPr="00CC7140">
        <w:rPr>
          <w:color w:val="auto"/>
        </w:rPr>
        <w:t xml:space="preserve">(Ministerial Code, 2010, 2.2).  In coalition, there is a more explicit expression of differing views on a range of policy issues and these are detailed </w:t>
      </w:r>
      <w:r w:rsidRPr="00CC7140">
        <w:rPr>
          <w:color w:val="auto"/>
          <w:lang w:val="en-GB"/>
        </w:rPr>
        <w:t xml:space="preserve">publicly </w:t>
      </w:r>
      <w:r w:rsidRPr="00CC7140">
        <w:rPr>
          <w:color w:val="auto"/>
        </w:rPr>
        <w:t xml:space="preserve">in the respective party manifestos.  </w:t>
      </w:r>
    </w:p>
    <w:p w:rsidR="00172BEA" w:rsidRPr="00CC7140" w:rsidRDefault="00E3157A" w:rsidP="00566334">
      <w:pPr>
        <w:pStyle w:val="Body"/>
        <w:spacing w:line="480" w:lineRule="auto"/>
        <w:rPr>
          <w:color w:val="auto"/>
        </w:rPr>
      </w:pPr>
      <w:r w:rsidRPr="00CC7140">
        <w:rPr>
          <w:color w:val="auto"/>
        </w:rPr>
        <w:t xml:space="preserve">Consequently, it is impractical to expect collective responsibility to be maintained on a wide range of issues which do not ultimately result in Cabinet decisions since such an attempt could be much more farcical than some of the public disagreements to have taken place since 2010.  Here the universe of collective responsibility must relate to the narrower </w:t>
      </w:r>
      <w:proofErr w:type="spellStart"/>
      <w:r w:rsidRPr="00CC7140">
        <w:rPr>
          <w:color w:val="auto"/>
        </w:rPr>
        <w:t>programme</w:t>
      </w:r>
      <w:proofErr w:type="spellEnd"/>
      <w:r w:rsidRPr="00CC7140">
        <w:rPr>
          <w:color w:val="auto"/>
        </w:rPr>
        <w:t xml:space="preserve"> of government and this is defined by the Coalition Agreement or </w:t>
      </w:r>
      <w:r w:rsidRPr="00CC7140">
        <w:rPr>
          <w:color w:val="auto"/>
        </w:rPr>
        <w:lastRenderedPageBreak/>
        <w:t>other decisions which are subsequently brought to Cabinet to be taken collectively by Cabinet Ministers. For this reason, it is all the more essential that decisions made by individual Ministers which bind the government must be discussed collectively in ca</w:t>
      </w:r>
      <w:r w:rsidR="00F81272" w:rsidRPr="00CC7140">
        <w:rPr>
          <w:color w:val="auto"/>
        </w:rPr>
        <w:t xml:space="preserve">ses of potential controversy.  However, broader public expressions of disagreement do not necessarily stretch the concept. </w:t>
      </w:r>
    </w:p>
    <w:p w:rsidR="00172BEA" w:rsidRPr="00CC7140" w:rsidRDefault="00E3157A" w:rsidP="00566334">
      <w:pPr>
        <w:pStyle w:val="Body"/>
        <w:spacing w:line="480" w:lineRule="auto"/>
        <w:rPr>
          <w:color w:val="auto"/>
        </w:rPr>
      </w:pPr>
      <w:r w:rsidRPr="00CC7140">
        <w:rPr>
          <w:color w:val="auto"/>
        </w:rPr>
        <w:t xml:space="preserve">One observation about coalitions is that there inevitably needs to be a degree of collectivism which should re-enforce collective responsibility.  This contrasts, perhaps, with some assessments of </w:t>
      </w:r>
      <w:r w:rsidR="00630F03" w:rsidRPr="00CC7140">
        <w:rPr>
          <w:color w:val="auto"/>
        </w:rPr>
        <w:t xml:space="preserve">the </w:t>
      </w:r>
      <w:r w:rsidRPr="00CC7140">
        <w:rPr>
          <w:color w:val="auto"/>
        </w:rPr>
        <w:t>Thatcher and Blair administrations which are said to have been rather Presidential (the latter caricatured as ‘sofa government</w:t>
      </w:r>
      <w:r w:rsidRPr="00CC7140">
        <w:rPr>
          <w:color w:val="auto"/>
          <w:lang w:val="fr-FR"/>
        </w:rPr>
        <w:t>’</w:t>
      </w:r>
      <w:r w:rsidRPr="00CC7140">
        <w:rPr>
          <w:color w:val="auto"/>
        </w:rPr>
        <w:t xml:space="preserve">), precluding collective discussion and decision making (Foley, 2000; Rhodes &amp; </w:t>
      </w:r>
      <w:proofErr w:type="spellStart"/>
      <w:r w:rsidRPr="00CC7140">
        <w:rPr>
          <w:color w:val="auto"/>
        </w:rPr>
        <w:t>Bevir</w:t>
      </w:r>
      <w:proofErr w:type="spellEnd"/>
      <w:r w:rsidRPr="00CC7140">
        <w:rPr>
          <w:color w:val="auto"/>
        </w:rPr>
        <w:t xml:space="preserve">, 2006; Jones &amp; </w:t>
      </w:r>
      <w:proofErr w:type="spellStart"/>
      <w:r w:rsidRPr="00CC7140">
        <w:rPr>
          <w:color w:val="auto"/>
        </w:rPr>
        <w:t>Blick</w:t>
      </w:r>
      <w:proofErr w:type="spellEnd"/>
      <w:r w:rsidRPr="00CC7140">
        <w:rPr>
          <w:color w:val="auto"/>
        </w:rPr>
        <w:t xml:space="preserve">, 2010; Heffernan, 2011). Potentially, therefore, coalitions can </w:t>
      </w:r>
      <w:r w:rsidR="001B55F2" w:rsidRPr="00CC7140">
        <w:rPr>
          <w:color w:val="auto"/>
        </w:rPr>
        <w:t xml:space="preserve">better </w:t>
      </w:r>
      <w:r w:rsidRPr="00CC7140">
        <w:rPr>
          <w:color w:val="auto"/>
        </w:rPr>
        <w:t>support collective government</w:t>
      </w:r>
      <w:r w:rsidR="00820EFE" w:rsidRPr="00CC7140">
        <w:rPr>
          <w:color w:val="auto"/>
        </w:rPr>
        <w:t xml:space="preserve"> and indications of the </w:t>
      </w:r>
      <w:r w:rsidR="00263306" w:rsidRPr="00CC7140">
        <w:rPr>
          <w:color w:val="auto"/>
        </w:rPr>
        <w:t>Cameron/Clegg</w:t>
      </w:r>
      <w:r w:rsidR="00820EFE" w:rsidRPr="00CC7140">
        <w:rPr>
          <w:color w:val="auto"/>
        </w:rPr>
        <w:t xml:space="preserve"> administrations are that it has reasserted </w:t>
      </w:r>
      <w:r w:rsidR="007313E2" w:rsidRPr="00CC7140">
        <w:rPr>
          <w:color w:val="auto"/>
        </w:rPr>
        <w:t>such</w:t>
      </w:r>
      <w:r w:rsidR="00820EFE" w:rsidRPr="00CC7140">
        <w:rPr>
          <w:color w:val="auto"/>
        </w:rPr>
        <w:t xml:space="preserve"> decision making</w:t>
      </w:r>
      <w:r w:rsidRPr="00CC7140">
        <w:rPr>
          <w:color w:val="auto"/>
        </w:rPr>
        <w:t xml:space="preserve">.  This is </w:t>
      </w:r>
      <w:r w:rsidR="007313E2" w:rsidRPr="00CC7140">
        <w:rPr>
          <w:color w:val="auto"/>
        </w:rPr>
        <w:t xml:space="preserve">also </w:t>
      </w:r>
      <w:r w:rsidRPr="00CC7140">
        <w:rPr>
          <w:color w:val="auto"/>
        </w:rPr>
        <w:t>explicitly referred to in the (2012) Coalition Agreement for Stability and Reform which, in re-affirming collective responsibility, requires ‘</w:t>
      </w:r>
      <w:r w:rsidRPr="00CC7140">
        <w:rPr>
          <w:color w:val="auto"/>
          <w:lang w:val="it-IT"/>
        </w:rPr>
        <w:t>an appropriate degree of consultation and discussion among Ministers to provide an opportunity to express their views frankly as decisions are reached</w:t>
      </w:r>
      <w:r w:rsidRPr="00CC7140">
        <w:rPr>
          <w:color w:val="auto"/>
          <w:lang w:val="fr-FR"/>
        </w:rPr>
        <w:t>’</w:t>
      </w:r>
      <w:r w:rsidRPr="00CC7140">
        <w:rPr>
          <w:color w:val="auto"/>
        </w:rPr>
        <w:t xml:space="preserve">. </w:t>
      </w:r>
    </w:p>
    <w:p w:rsidR="00172BEA" w:rsidRPr="00CC7140" w:rsidRDefault="00E3157A" w:rsidP="00566334">
      <w:pPr>
        <w:pStyle w:val="Body"/>
        <w:spacing w:line="480" w:lineRule="auto"/>
        <w:rPr>
          <w:color w:val="auto"/>
        </w:rPr>
      </w:pPr>
      <w:r w:rsidRPr="00CC7140">
        <w:rPr>
          <w:color w:val="auto"/>
        </w:rPr>
        <w:t xml:space="preserve">Before considering </w:t>
      </w:r>
      <w:r w:rsidR="00820EFE" w:rsidRPr="00CC7140">
        <w:rPr>
          <w:color w:val="auto"/>
        </w:rPr>
        <w:t xml:space="preserve">how coalition has changed the practice of </w:t>
      </w:r>
      <w:r w:rsidRPr="00CC7140">
        <w:rPr>
          <w:color w:val="auto"/>
        </w:rPr>
        <w:t>suspending collective responsibility, it is worth differentiating some potential circumstances. At its most acute, collective responsibility manifests itself within Parliament where there is a vote on a piece of legislation resulting (usually) from a government decision.  Alternatively, it exists where there is an issue of collective responsibility relating to some major policy issue debated in the country.  When it comes to suspending that collective responsibility</w:t>
      </w:r>
      <w:r w:rsidR="00D6060C" w:rsidRPr="00CC7140">
        <w:rPr>
          <w:color w:val="auto"/>
        </w:rPr>
        <w:t xml:space="preserve"> </w:t>
      </w:r>
      <w:r w:rsidR="00D6060C" w:rsidRPr="00CC7140">
        <w:rPr>
          <w:color w:val="auto"/>
        </w:rPr>
        <w:lastRenderedPageBreak/>
        <w:t>and to understand the extent of stretching</w:t>
      </w:r>
      <w:r w:rsidRPr="00CC7140">
        <w:rPr>
          <w:color w:val="auto"/>
        </w:rPr>
        <w:t xml:space="preserve">, there is also a need to distinguish between strategic decisions intended to maintain functionality of a government (and therefore emerging from the leadership) and reactive or muddled suspensions in response to what looks like an inevitable parliamentary defeat or party split.  In this sense too, one might distinguish between decisions to suspend collectivity made prior to the formation of a government and those which emerge during the course of a Parliament. </w:t>
      </w:r>
      <w:r w:rsidR="00941AFE" w:rsidRPr="00CC7140">
        <w:rPr>
          <w:color w:val="auto"/>
        </w:rPr>
        <w:t>After all, haphazard suspensions could undermine the functioning of government</w:t>
      </w:r>
      <w:r w:rsidR="00F81272" w:rsidRPr="00CC7140">
        <w:rPr>
          <w:color w:val="auto"/>
        </w:rPr>
        <w:t xml:space="preserve"> and mean constitutional snapping</w:t>
      </w:r>
      <w:r w:rsidR="00941AFE" w:rsidRPr="00CC7140">
        <w:rPr>
          <w:color w:val="auto"/>
        </w:rPr>
        <w:t xml:space="preserve">. </w:t>
      </w:r>
    </w:p>
    <w:p w:rsidR="00172BEA" w:rsidRPr="00CC7140" w:rsidRDefault="00E3157A" w:rsidP="00566334">
      <w:pPr>
        <w:pStyle w:val="Body"/>
        <w:spacing w:line="480" w:lineRule="auto"/>
        <w:rPr>
          <w:color w:val="auto"/>
        </w:rPr>
      </w:pPr>
      <w:r w:rsidRPr="00CC7140">
        <w:rPr>
          <w:color w:val="auto"/>
        </w:rPr>
        <w:t>There are precedents for the suspension of collective responsibility, most recently under the (single party) government of Harold Wilson in 1975 when Cabinet Ministers were free to campaign on either side of the referendum on EEC membership and then again in 1977 under Callaghan in that same Parliament in respect of elections to the European Assembly.  Before that, it is necessary to go back to the National Government when in 1932 Tariffs were the issue that required an agreement to differ.   One might reasonably expect more suspensions from a coalition in order to facilitate a functioning government and the (2010) Coalition Agreement, written before the formation of the government, explicitly set out areas which might arise during the course of the parliament but where the partners ‘agreed to differ</w:t>
      </w:r>
      <w:r w:rsidRPr="00CC7140">
        <w:rPr>
          <w:color w:val="auto"/>
          <w:lang w:val="fr-FR"/>
        </w:rPr>
        <w:t>’</w:t>
      </w:r>
      <w:r w:rsidRPr="00CC7140">
        <w:rPr>
          <w:color w:val="auto"/>
        </w:rPr>
        <w:t xml:space="preserve">.  These included tuition fees, nuclear power and Trident. Most overtly was the plan to suspend collective responsibility during the referendum campaign on electoral reform, though legislating for that poll and the Alternative Vote system if approved, was a government decision which bound ministers collectively.   Such concessions are described by Matthews (2011, 497) as ‘a form of “safety valve”… introduced into the coalition machinery, intended to reduce the pressure </w:t>
      </w:r>
      <w:r w:rsidRPr="00CC7140">
        <w:rPr>
          <w:color w:val="auto"/>
        </w:rPr>
        <w:lastRenderedPageBreak/>
        <w:t>at certain junctures in order to protect the integrity [of the] Coalition</w:t>
      </w:r>
      <w:r w:rsidRPr="00CC7140">
        <w:rPr>
          <w:color w:val="auto"/>
          <w:lang w:val="fr-FR"/>
        </w:rPr>
        <w:t>’</w:t>
      </w:r>
      <w:r w:rsidRPr="00CC7140">
        <w:rPr>
          <w:color w:val="auto"/>
        </w:rPr>
        <w:t>s governing capacity</w:t>
      </w:r>
      <w:r w:rsidRPr="00CC7140">
        <w:rPr>
          <w:color w:val="auto"/>
          <w:lang w:val="fr-FR"/>
        </w:rPr>
        <w:t>’</w:t>
      </w:r>
      <w:r w:rsidRPr="00CC7140">
        <w:rPr>
          <w:color w:val="auto"/>
        </w:rPr>
        <w:t xml:space="preserve">. </w:t>
      </w:r>
      <w:r w:rsidR="00941AFE" w:rsidRPr="00CC7140">
        <w:rPr>
          <w:color w:val="auto"/>
        </w:rPr>
        <w:t xml:space="preserve">That is this deliberate stretching ensured that snapping did not occur. </w:t>
      </w:r>
    </w:p>
    <w:p w:rsidR="00172BEA" w:rsidRPr="00CC7140" w:rsidRDefault="00E3157A" w:rsidP="00566334">
      <w:pPr>
        <w:pStyle w:val="Body"/>
        <w:spacing w:line="480" w:lineRule="auto"/>
        <w:rPr>
          <w:color w:val="auto"/>
        </w:rPr>
      </w:pPr>
      <w:r w:rsidRPr="00CC7140">
        <w:rPr>
          <w:color w:val="auto"/>
        </w:rPr>
        <w:t xml:space="preserve">There have been occasions during the 2010 coalition, however, where the suspension of collective responsibility </w:t>
      </w:r>
      <w:r w:rsidR="001B55F2" w:rsidRPr="00CC7140">
        <w:rPr>
          <w:color w:val="auto"/>
        </w:rPr>
        <w:t>was more haphazard</w:t>
      </w:r>
      <w:r w:rsidRPr="00CC7140">
        <w:rPr>
          <w:color w:val="auto"/>
        </w:rPr>
        <w:t>.  When David Cameron was unable or unwilling to deliver sufficient Parliamentary votes to achieve House of Lords reform, Nick Clegg instructed his MPs to vote against boundary changes drafted within the Electoral Registration and Administration Bill.  Both of these had been collective policy decisions of government.  Clegg</w:t>
      </w:r>
      <w:r w:rsidRPr="00CC7140">
        <w:rPr>
          <w:color w:val="auto"/>
          <w:lang w:val="fr-FR"/>
        </w:rPr>
        <w:t>’</w:t>
      </w:r>
      <w:r w:rsidRPr="00CC7140">
        <w:rPr>
          <w:color w:val="auto"/>
        </w:rPr>
        <w:t xml:space="preserve">s justification was that the Conservatives had not </w:t>
      </w:r>
      <w:r w:rsidRPr="00CC7140">
        <w:rPr>
          <w:color w:val="auto"/>
          <w:lang w:val="en-GB"/>
        </w:rPr>
        <w:t>honoured</w:t>
      </w:r>
      <w:r w:rsidRPr="00CC7140">
        <w:rPr>
          <w:color w:val="auto"/>
        </w:rPr>
        <w:t xml:space="preserve"> the agreement on bringing democracy to the Lords.  While this is undoubtedly true</w:t>
      </w:r>
      <w:r w:rsidR="007313E2" w:rsidRPr="00CC7140">
        <w:rPr>
          <w:color w:val="auto"/>
        </w:rPr>
        <w:t xml:space="preserve"> as 116 Conservative MPs voted for the </w:t>
      </w:r>
      <w:r w:rsidR="007313E2" w:rsidRPr="00CC7140">
        <w:rPr>
          <w:color w:val="auto"/>
          <w:lang w:val="en-GB"/>
        </w:rPr>
        <w:t>amendment</w:t>
      </w:r>
      <w:r w:rsidRPr="00CC7140">
        <w:rPr>
          <w:color w:val="auto"/>
        </w:rPr>
        <w:t>, no Minister voted against Lords reform so it is only on the boundary change vote that collective responsibility was breeched</w:t>
      </w:r>
      <w:r w:rsidR="007313E2" w:rsidRPr="00CC7140">
        <w:rPr>
          <w:color w:val="auto"/>
        </w:rPr>
        <w:t xml:space="preserve"> (some Parliamentary Private Secretaries did vote for the amendment however meaning some minor stretching of convention)</w:t>
      </w:r>
      <w:r w:rsidRPr="00CC7140">
        <w:rPr>
          <w:color w:val="auto"/>
        </w:rPr>
        <w:t xml:space="preserve">. Instructively, the BBC reported </w:t>
      </w:r>
      <w:r w:rsidR="007313E2" w:rsidRPr="00CC7140">
        <w:rPr>
          <w:color w:val="auto"/>
        </w:rPr>
        <w:t>the episode</w:t>
      </w:r>
      <w:r w:rsidRPr="00CC7140">
        <w:rPr>
          <w:color w:val="auto"/>
        </w:rPr>
        <w:t xml:space="preserve"> as ‘Conservatives lose boundary review vote</w:t>
      </w:r>
      <w:r w:rsidRPr="00CC7140">
        <w:rPr>
          <w:color w:val="auto"/>
          <w:lang w:val="fr-FR"/>
        </w:rPr>
        <w:t xml:space="preserve">’ </w:t>
      </w:r>
      <w:r w:rsidRPr="00CC7140">
        <w:rPr>
          <w:color w:val="auto"/>
        </w:rPr>
        <w:t>when the legislation was one of the government</w:t>
      </w:r>
      <w:r w:rsidRPr="00CC7140">
        <w:rPr>
          <w:color w:val="auto"/>
          <w:lang w:val="fr-FR"/>
        </w:rPr>
        <w:t>’</w:t>
      </w:r>
      <w:r w:rsidRPr="00CC7140">
        <w:rPr>
          <w:color w:val="auto"/>
        </w:rPr>
        <w:t>s as a whole. This reflects reality that coalitions are negotiated between parties but executives are formed by a more exclusive group</w:t>
      </w:r>
      <w:r w:rsidR="00F81272" w:rsidRPr="00CC7140">
        <w:rPr>
          <w:color w:val="auto"/>
        </w:rPr>
        <w:t>. I</w:t>
      </w:r>
      <w:r w:rsidR="00963A31" w:rsidRPr="00CC7140">
        <w:rPr>
          <w:color w:val="auto"/>
        </w:rPr>
        <w:t xml:space="preserve">f </w:t>
      </w:r>
      <w:r w:rsidR="00F81272" w:rsidRPr="00CC7140">
        <w:rPr>
          <w:color w:val="auto"/>
        </w:rPr>
        <w:t xml:space="preserve">Clegg’s interpretation were to be </w:t>
      </w:r>
      <w:r w:rsidR="00963A31" w:rsidRPr="00CC7140">
        <w:rPr>
          <w:color w:val="auto"/>
        </w:rPr>
        <w:t>adopted</w:t>
      </w:r>
      <w:r w:rsidR="00F81272" w:rsidRPr="00CC7140">
        <w:rPr>
          <w:color w:val="auto"/>
        </w:rPr>
        <w:t>, it would</w:t>
      </w:r>
      <w:r w:rsidR="00963A31" w:rsidRPr="00CC7140">
        <w:rPr>
          <w:color w:val="auto"/>
        </w:rPr>
        <w:t xml:space="preserve"> </w:t>
      </w:r>
      <w:r w:rsidR="001B55F2" w:rsidRPr="00CC7140">
        <w:rPr>
          <w:color w:val="auto"/>
        </w:rPr>
        <w:t>stretch the concept</w:t>
      </w:r>
      <w:r w:rsidR="00963A31" w:rsidRPr="00CC7140">
        <w:rPr>
          <w:color w:val="auto"/>
        </w:rPr>
        <w:t xml:space="preserve"> beyond which could be expected to sustain a government.</w:t>
      </w:r>
      <w:r w:rsidRPr="00CC7140">
        <w:rPr>
          <w:color w:val="auto"/>
        </w:rPr>
        <w:t xml:space="preserve">   While there appears to have been some late agreement </w:t>
      </w:r>
      <w:r w:rsidR="00F81272" w:rsidRPr="00CC7140">
        <w:rPr>
          <w:color w:val="auto"/>
        </w:rPr>
        <w:t xml:space="preserve">here </w:t>
      </w:r>
      <w:r w:rsidRPr="00CC7140">
        <w:rPr>
          <w:color w:val="auto"/>
        </w:rPr>
        <w:t xml:space="preserve">between the prime minister and the deputy prime minister on this matter of suspending collective responsibility, the episode still involved some Ministers voting against a previously agreed decision of the government and being directed to do so by the leader of the junior coalition partner. </w:t>
      </w:r>
    </w:p>
    <w:p w:rsidR="00172BEA" w:rsidRPr="00CC7140" w:rsidRDefault="00E3157A" w:rsidP="00566334">
      <w:pPr>
        <w:pStyle w:val="Body"/>
        <w:spacing w:line="480" w:lineRule="auto"/>
        <w:rPr>
          <w:color w:val="auto"/>
        </w:rPr>
      </w:pPr>
      <w:r w:rsidRPr="00CC7140">
        <w:rPr>
          <w:color w:val="auto"/>
        </w:rPr>
        <w:lastRenderedPageBreak/>
        <w:t>It is not the only example. While less of a threat to the stability of the coalition and more about maintaining harmony within the Conservative party, the acquiescence by the Prime Minister to allow Ministers to vote ‘against</w:t>
      </w:r>
      <w:r w:rsidRPr="00CC7140">
        <w:rPr>
          <w:color w:val="auto"/>
          <w:lang w:val="fr-FR"/>
        </w:rPr>
        <w:t xml:space="preserve">’ </w:t>
      </w:r>
      <w:r w:rsidRPr="00CC7140">
        <w:rPr>
          <w:color w:val="auto"/>
        </w:rPr>
        <w:t>provisions in the Queen</w:t>
      </w:r>
      <w:r w:rsidRPr="00CC7140">
        <w:rPr>
          <w:color w:val="auto"/>
          <w:lang w:val="fr-FR"/>
        </w:rPr>
        <w:t>’</w:t>
      </w:r>
      <w:r w:rsidRPr="00CC7140">
        <w:rPr>
          <w:color w:val="auto"/>
        </w:rPr>
        <w:t>s Speech by way of an amendment regretting ‘that an EU referendum bill was not included</w:t>
      </w:r>
      <w:r w:rsidRPr="00CC7140">
        <w:rPr>
          <w:color w:val="auto"/>
          <w:lang w:val="fr-FR"/>
        </w:rPr>
        <w:t xml:space="preserve">’ </w:t>
      </w:r>
      <w:r w:rsidRPr="00CC7140">
        <w:rPr>
          <w:color w:val="auto"/>
        </w:rPr>
        <w:t>(HC Deb 15/5/13, c749) is more serious.  This is because historically the vote on the ‘Gracious Speech</w:t>
      </w:r>
      <w:r w:rsidRPr="00CC7140">
        <w:rPr>
          <w:color w:val="auto"/>
          <w:lang w:val="fr-FR"/>
        </w:rPr>
        <w:t xml:space="preserve">’ </w:t>
      </w:r>
      <w:r w:rsidRPr="00CC7140">
        <w:rPr>
          <w:color w:val="auto"/>
        </w:rPr>
        <w:t>is considered a confidence motion in the government.  For Ministers to, even tacitly, express no confidence in the government of which they are members but retain their seals of office is a curious state of affairs. The Coalition Agreement makes no exception here demanding that ‘in all circumstances, all members of both parties will be expected to support the Government on all matters of confidence</w:t>
      </w:r>
      <w:r w:rsidRPr="00CC7140">
        <w:rPr>
          <w:color w:val="auto"/>
          <w:lang w:val="fr-FR"/>
        </w:rPr>
        <w:t xml:space="preserve">’ </w:t>
      </w:r>
      <w:r w:rsidRPr="00CC7140">
        <w:rPr>
          <w:color w:val="auto"/>
        </w:rPr>
        <w:t>(</w:t>
      </w:r>
      <w:r w:rsidRPr="00CC7140">
        <w:rPr>
          <w:color w:val="auto"/>
          <w:lang w:val="en-GB"/>
        </w:rPr>
        <w:t xml:space="preserve">2010, </w:t>
      </w:r>
      <w:r w:rsidRPr="00CC7140">
        <w:rPr>
          <w:color w:val="auto"/>
        </w:rPr>
        <w:t xml:space="preserve">5.2)  </w:t>
      </w:r>
      <w:r w:rsidR="001B55F2" w:rsidRPr="00CC7140">
        <w:rPr>
          <w:color w:val="auto"/>
        </w:rPr>
        <w:t xml:space="preserve">These episodes of constitutional stretching suggest a need to be clearer about the doctrine of collective responsibility in coalition and the process for setting it aside. </w:t>
      </w:r>
      <w:r w:rsidRPr="00CC7140">
        <w:rPr>
          <w:color w:val="auto"/>
        </w:rPr>
        <w:t xml:space="preserve"> A further instance, the separate responses of the Conservative and Liberal Democrat leaderships</w:t>
      </w:r>
      <w:r w:rsidR="00D6060C" w:rsidRPr="00CC7140">
        <w:rPr>
          <w:color w:val="auto"/>
        </w:rPr>
        <w:t xml:space="preserve"> (as well as the </w:t>
      </w:r>
      <w:proofErr w:type="spellStart"/>
      <w:r w:rsidR="00D6060C" w:rsidRPr="00CC7140">
        <w:rPr>
          <w:color w:val="auto"/>
        </w:rPr>
        <w:t>Labour</w:t>
      </w:r>
      <w:proofErr w:type="spellEnd"/>
      <w:r w:rsidR="00D6060C" w:rsidRPr="00CC7140">
        <w:rPr>
          <w:color w:val="auto"/>
        </w:rPr>
        <w:t xml:space="preserve"> opposition)</w:t>
      </w:r>
      <w:r w:rsidRPr="00CC7140">
        <w:rPr>
          <w:color w:val="auto"/>
        </w:rPr>
        <w:t xml:space="preserve"> to the </w:t>
      </w:r>
      <w:proofErr w:type="spellStart"/>
      <w:r w:rsidRPr="00CC7140">
        <w:rPr>
          <w:color w:val="auto"/>
        </w:rPr>
        <w:t>Leveson</w:t>
      </w:r>
      <w:proofErr w:type="spellEnd"/>
      <w:r w:rsidRPr="00CC7140">
        <w:rPr>
          <w:color w:val="auto"/>
        </w:rPr>
        <w:t xml:space="preserve"> Report </w:t>
      </w:r>
      <w:r w:rsidR="00630F03" w:rsidRPr="00CC7140">
        <w:rPr>
          <w:color w:val="auto"/>
        </w:rPr>
        <w:t>on media regulation</w:t>
      </w:r>
      <w:r w:rsidR="00CF1836">
        <w:rPr>
          <w:color w:val="auto"/>
        </w:rPr>
        <w:t>,</w:t>
      </w:r>
      <w:r w:rsidR="00630F03" w:rsidRPr="00CC7140">
        <w:rPr>
          <w:color w:val="auto"/>
        </w:rPr>
        <w:t xml:space="preserve"> </w:t>
      </w:r>
      <w:r w:rsidR="00963A31" w:rsidRPr="00CC7140">
        <w:rPr>
          <w:color w:val="auto"/>
        </w:rPr>
        <w:t xml:space="preserve">is at best an </w:t>
      </w:r>
      <w:r w:rsidRPr="00CC7140">
        <w:rPr>
          <w:color w:val="auto"/>
        </w:rPr>
        <w:t>oddity given that the government collectively appointed the Commission</w:t>
      </w:r>
      <w:r w:rsidR="001B55F2" w:rsidRPr="00CC7140">
        <w:rPr>
          <w:color w:val="auto"/>
        </w:rPr>
        <w:t xml:space="preserve"> but one might argue this </w:t>
      </w:r>
      <w:r w:rsidR="004A6208" w:rsidRPr="00CC7140">
        <w:rPr>
          <w:color w:val="auto"/>
        </w:rPr>
        <w:t>represented</w:t>
      </w:r>
      <w:r w:rsidR="001B55F2" w:rsidRPr="00CC7140">
        <w:rPr>
          <w:color w:val="auto"/>
        </w:rPr>
        <w:t xml:space="preserve"> another reassertion of the </w:t>
      </w:r>
      <w:r w:rsidR="004A6208" w:rsidRPr="00CC7140">
        <w:rPr>
          <w:color w:val="auto"/>
        </w:rPr>
        <w:t xml:space="preserve">oppositional Westminster Model. </w:t>
      </w:r>
    </w:p>
    <w:p w:rsidR="00172BEA" w:rsidRPr="00CC7140" w:rsidRDefault="00E3157A" w:rsidP="00566334">
      <w:pPr>
        <w:pStyle w:val="Body"/>
        <w:spacing w:line="480" w:lineRule="auto"/>
        <w:rPr>
          <w:color w:val="auto"/>
        </w:rPr>
      </w:pPr>
      <w:r w:rsidRPr="00CC7140">
        <w:rPr>
          <w:color w:val="auto"/>
        </w:rPr>
        <w:t xml:space="preserve">The fact remains, however, that these discrepancies happened and were allowed to happen without resignations while the government otherwise continued to function.  </w:t>
      </w:r>
      <w:r w:rsidR="00F81272" w:rsidRPr="00CC7140">
        <w:rPr>
          <w:color w:val="auto"/>
        </w:rPr>
        <w:t>I</w:t>
      </w:r>
      <w:r w:rsidRPr="00CC7140">
        <w:rPr>
          <w:color w:val="auto"/>
        </w:rPr>
        <w:t xml:space="preserve">t means conceptions of acceptable practice need to be stretched to accommodate the political realities of holding together a working coalition. After all, such difficulties did not fatally wound the coalition because they were </w:t>
      </w:r>
      <w:r w:rsidR="00630F03" w:rsidRPr="00CC7140">
        <w:rPr>
          <w:color w:val="auto"/>
        </w:rPr>
        <w:t>relatively</w:t>
      </w:r>
      <w:r w:rsidRPr="00CC7140">
        <w:rPr>
          <w:color w:val="auto"/>
        </w:rPr>
        <w:t xml:space="preserve"> small elements of an overall </w:t>
      </w:r>
      <w:proofErr w:type="spellStart"/>
      <w:r w:rsidRPr="00CC7140">
        <w:rPr>
          <w:color w:val="auto"/>
        </w:rPr>
        <w:t>programme</w:t>
      </w:r>
      <w:proofErr w:type="spellEnd"/>
      <w:r w:rsidRPr="00CC7140">
        <w:rPr>
          <w:color w:val="auto"/>
        </w:rPr>
        <w:t xml:space="preserve"> and the government continued to command the confidence of Parliament.</w:t>
      </w:r>
    </w:p>
    <w:p w:rsidR="00172BEA" w:rsidRPr="00CC7140" w:rsidRDefault="00E3157A" w:rsidP="00566334">
      <w:pPr>
        <w:pStyle w:val="Body"/>
        <w:spacing w:line="480" w:lineRule="auto"/>
        <w:rPr>
          <w:color w:val="auto"/>
        </w:rPr>
      </w:pPr>
      <w:r w:rsidRPr="00CC7140">
        <w:rPr>
          <w:color w:val="auto"/>
        </w:rPr>
        <w:lastRenderedPageBreak/>
        <w:t xml:space="preserve">It appears generally agreed that the decision to suspend collective responsibility rests with the Prime Minister but in coalition (where not part of a coalition agreement) it has to be a decision taken collectively by the government and with the authority of at least the Prime Minister and the leader(s) of the coalition party who it will be assumed here will hold </w:t>
      </w:r>
      <w:proofErr w:type="gramStart"/>
      <w:r w:rsidRPr="00CC7140">
        <w:rPr>
          <w:color w:val="auto"/>
        </w:rPr>
        <w:t>office .</w:t>
      </w:r>
      <w:proofErr w:type="gramEnd"/>
      <w:r w:rsidRPr="00CC7140">
        <w:rPr>
          <w:color w:val="auto"/>
        </w:rPr>
        <w:t xml:space="preserve"> </w:t>
      </w:r>
      <w:r w:rsidR="00D6060C" w:rsidRPr="00CC7140">
        <w:rPr>
          <w:color w:val="auto"/>
        </w:rPr>
        <w:t>Given the risk of snapping, co</w:t>
      </w:r>
      <w:r w:rsidRPr="00CC7140">
        <w:rPr>
          <w:color w:val="auto"/>
        </w:rPr>
        <w:t xml:space="preserve">llective responsibility cannot be suspended very frequently, impulsively or unilaterally.  </w:t>
      </w:r>
      <w:r w:rsidRPr="00CC7140">
        <w:rPr>
          <w:color w:val="auto"/>
          <w:lang w:val="en-GB"/>
        </w:rPr>
        <w:t>Such stretching implies that d</w:t>
      </w:r>
      <w:proofErr w:type="spellStart"/>
      <w:r w:rsidRPr="00CC7140">
        <w:rPr>
          <w:color w:val="auto"/>
        </w:rPr>
        <w:t>ecisions</w:t>
      </w:r>
      <w:proofErr w:type="spellEnd"/>
      <w:r w:rsidRPr="00CC7140">
        <w:rPr>
          <w:color w:val="auto"/>
        </w:rPr>
        <w:t xml:space="preserve"> to suspend collective responsibility must be made formally by the Prime Minister and his or her deputy, ahead of a vote or campaign and formal notice given to Parliament which should have the opportunity to debate. Indeed, the Coalition Agreement explicitly states that ‘they must be specifically agreed by the Coalition Committee and Cabinet.</w:t>
      </w:r>
      <w:r w:rsidRPr="00CC7140">
        <w:rPr>
          <w:color w:val="auto"/>
          <w:lang w:val="fr-FR"/>
        </w:rPr>
        <w:t xml:space="preserve">’ </w:t>
      </w:r>
      <w:r w:rsidRPr="00CC7140">
        <w:rPr>
          <w:color w:val="auto"/>
        </w:rPr>
        <w:t>(</w:t>
      </w:r>
      <w:r w:rsidRPr="00CC7140">
        <w:rPr>
          <w:color w:val="auto"/>
          <w:lang w:val="en-GB"/>
        </w:rPr>
        <w:t xml:space="preserve">2010, </w:t>
      </w:r>
      <w:r w:rsidRPr="00CC7140">
        <w:rPr>
          <w:color w:val="auto"/>
        </w:rPr>
        <w:t xml:space="preserve">5.1) Such observations lead the discussion to the prerogative.  </w:t>
      </w:r>
    </w:p>
    <w:p w:rsidR="007C3226" w:rsidRDefault="007C3226" w:rsidP="00566334">
      <w:pPr>
        <w:pStyle w:val="Body"/>
        <w:spacing w:line="480" w:lineRule="auto"/>
        <w:rPr>
          <w:b/>
          <w:color w:val="auto"/>
        </w:rPr>
      </w:pPr>
    </w:p>
    <w:p w:rsidR="00172BEA" w:rsidRPr="00CC7140" w:rsidRDefault="00E3157A" w:rsidP="00566334">
      <w:pPr>
        <w:pStyle w:val="Body"/>
        <w:spacing w:line="480" w:lineRule="auto"/>
        <w:rPr>
          <w:rFonts w:eastAsia="Arial Bold"/>
          <w:b/>
          <w:color w:val="auto"/>
        </w:rPr>
      </w:pPr>
      <w:r w:rsidRPr="00CC7140">
        <w:rPr>
          <w:b/>
          <w:color w:val="auto"/>
        </w:rPr>
        <w:t xml:space="preserve">The Prerogative and </w:t>
      </w:r>
      <w:proofErr w:type="spellStart"/>
      <w:r w:rsidRPr="00CC7140">
        <w:rPr>
          <w:b/>
          <w:color w:val="auto"/>
        </w:rPr>
        <w:t>Organisation</w:t>
      </w:r>
      <w:proofErr w:type="spellEnd"/>
      <w:r w:rsidRPr="00CC7140">
        <w:rPr>
          <w:b/>
          <w:color w:val="auto"/>
        </w:rPr>
        <w:t xml:space="preserve"> of Government</w:t>
      </w:r>
    </w:p>
    <w:p w:rsidR="00172BEA" w:rsidRPr="00CC7140" w:rsidRDefault="00E3157A" w:rsidP="00566334">
      <w:pPr>
        <w:pStyle w:val="Body"/>
        <w:spacing w:line="480" w:lineRule="auto"/>
        <w:rPr>
          <w:color w:val="auto"/>
        </w:rPr>
      </w:pPr>
      <w:r w:rsidRPr="00CC7140">
        <w:rPr>
          <w:color w:val="auto"/>
        </w:rPr>
        <w:t>The British Prime Minister is able to exercise numerous prerogative powers including appointments, declarations of war and signing treaties</w:t>
      </w:r>
      <w:r w:rsidRPr="00CC7140">
        <w:rPr>
          <w:color w:val="auto"/>
          <w:lang w:val="en-GB"/>
        </w:rPr>
        <w:t xml:space="preserve"> (Heffernan, 2005)</w:t>
      </w:r>
      <w:r w:rsidRPr="00CC7140">
        <w:rPr>
          <w:color w:val="auto"/>
        </w:rPr>
        <w:t xml:space="preserve">. </w:t>
      </w:r>
      <w:r w:rsidR="00F81272" w:rsidRPr="00CC7140">
        <w:rPr>
          <w:color w:val="auto"/>
        </w:rPr>
        <w:t>They are a</w:t>
      </w:r>
      <w:r w:rsidR="007313E2" w:rsidRPr="00CC7140">
        <w:rPr>
          <w:color w:val="auto"/>
        </w:rPr>
        <w:t>l</w:t>
      </w:r>
      <w:r w:rsidR="00F81272" w:rsidRPr="00CC7140">
        <w:rPr>
          <w:color w:val="auto"/>
        </w:rPr>
        <w:t xml:space="preserve">so given the first opportunity to form a government following a general election. </w:t>
      </w:r>
      <w:r w:rsidRPr="00CC7140">
        <w:rPr>
          <w:color w:val="auto"/>
        </w:rPr>
        <w:t>Irrespective of traditional criticism of the Royal Prerogative by the Prime Minister (or on occasion other Ministers), such powers exercised independently are counterproductive to the operation of a functioning coalition</w:t>
      </w:r>
      <w:r w:rsidR="004A6208" w:rsidRPr="00CC7140">
        <w:rPr>
          <w:color w:val="auto"/>
        </w:rPr>
        <w:t xml:space="preserve"> and represents stretching of practice in order that government of two parties can be sustained</w:t>
      </w:r>
      <w:r w:rsidRPr="00CC7140">
        <w:rPr>
          <w:color w:val="auto"/>
        </w:rPr>
        <w:t xml:space="preserve">.  </w:t>
      </w:r>
      <w:r w:rsidR="00941AFE" w:rsidRPr="00CC7140">
        <w:rPr>
          <w:color w:val="auto"/>
        </w:rPr>
        <w:t>This section critiques the experience in respect of the 2010 coalition to better understand changed practice</w:t>
      </w:r>
      <w:r w:rsidR="00F81272" w:rsidRPr="00CC7140">
        <w:rPr>
          <w:color w:val="auto"/>
        </w:rPr>
        <w:t xml:space="preserve"> but starts with the formation of a coalition</w:t>
      </w:r>
      <w:r w:rsidR="00941AFE" w:rsidRPr="00CC7140">
        <w:rPr>
          <w:color w:val="auto"/>
        </w:rPr>
        <w:t xml:space="preserve">. </w:t>
      </w:r>
    </w:p>
    <w:p w:rsidR="00963A31" w:rsidRPr="00CC7140" w:rsidRDefault="00963A31" w:rsidP="00963A31">
      <w:pPr>
        <w:pStyle w:val="Body"/>
        <w:spacing w:line="480" w:lineRule="auto"/>
        <w:rPr>
          <w:color w:val="auto"/>
        </w:rPr>
      </w:pPr>
      <w:r w:rsidRPr="00CC7140">
        <w:rPr>
          <w:color w:val="auto"/>
        </w:rPr>
        <w:lastRenderedPageBreak/>
        <w:t>Previous peacetime occasions in the twentieth century where there has been a coalition followed agreement between parties made prior to the general election (1918, 1931). One might also consider the negotiations between Paddy Ashdown and Tony Blair prior to the 1997 election which might have led to a coalition had the parliamentary arithmetic been different.  In part this latter potential pact was as the result of the Liberal Democrats abandoning its strategic position of equidistance (Barber, 2005), something which would appear to have been reinstated in 2010</w:t>
      </w:r>
      <w:r w:rsidR="00F81272" w:rsidRPr="00CC7140">
        <w:rPr>
          <w:color w:val="auto"/>
        </w:rPr>
        <w:t xml:space="preserve"> and which has implications for this discussion.  Here,</w:t>
      </w:r>
      <w:r w:rsidRPr="00CC7140">
        <w:rPr>
          <w:color w:val="auto"/>
        </w:rPr>
        <w:t xml:space="preserve"> Nick Clegg expressed the view that the largest party should have the first opportunity to attempt to form a government.  It is an interesting point as to whether Clegg has articulated any sort of precedent here.  The incumbent has historically enjoyed the first o</w:t>
      </w:r>
      <w:r w:rsidR="00F81272" w:rsidRPr="00CC7140">
        <w:rPr>
          <w:color w:val="auto"/>
        </w:rPr>
        <w:t xml:space="preserve">pportunity to attempt to form an administration </w:t>
      </w:r>
      <w:r w:rsidRPr="00CC7140">
        <w:rPr>
          <w:color w:val="auto"/>
        </w:rPr>
        <w:t xml:space="preserve">(as was the case with Edward Heath in February 1974).  Whether or not this is possible, they must remain in office until such a time as they can advise the </w:t>
      </w:r>
      <w:r w:rsidR="00F81272" w:rsidRPr="00CC7140">
        <w:rPr>
          <w:color w:val="auto"/>
        </w:rPr>
        <w:t>monarch</w:t>
      </w:r>
      <w:r w:rsidRPr="00CC7140">
        <w:rPr>
          <w:color w:val="auto"/>
        </w:rPr>
        <w:t xml:space="preserve"> that they or another leader can form a government.</w:t>
      </w:r>
    </w:p>
    <w:p w:rsidR="00963A31" w:rsidRPr="00CC7140" w:rsidRDefault="00963A31" w:rsidP="00963A31">
      <w:pPr>
        <w:pStyle w:val="Body"/>
        <w:spacing w:line="480" w:lineRule="auto"/>
        <w:rPr>
          <w:color w:val="auto"/>
        </w:rPr>
      </w:pPr>
      <w:r w:rsidRPr="00CC7140">
        <w:rPr>
          <w:color w:val="auto"/>
        </w:rPr>
        <w:t xml:space="preserve">The </w:t>
      </w:r>
      <w:r w:rsidR="00F81272" w:rsidRPr="00CC7140">
        <w:rPr>
          <w:color w:val="auto"/>
        </w:rPr>
        <w:t>principle</w:t>
      </w:r>
      <w:r w:rsidRPr="00CC7140">
        <w:rPr>
          <w:color w:val="auto"/>
        </w:rPr>
        <w:t xml:space="preserve"> here is that the country must have a government and the incumbent should remain in office while there is space for a successor government to be formed.  This happened in 2010 when Gordon Brown remained in office (though not in London) despite some pressure to resign.  There has been a suggestion that the Cabinet Office should publish guidance for any ‘caretaker’ government and this might well be helpful (</w:t>
      </w:r>
      <w:proofErr w:type="spellStart"/>
      <w:r w:rsidR="00D6060C" w:rsidRPr="00CC7140">
        <w:rPr>
          <w:color w:val="auto"/>
        </w:rPr>
        <w:t>HoL</w:t>
      </w:r>
      <w:proofErr w:type="spellEnd"/>
      <w:r w:rsidRPr="00CC7140">
        <w:rPr>
          <w:color w:val="auto"/>
        </w:rPr>
        <w:t>, 2011).</w:t>
      </w:r>
    </w:p>
    <w:p w:rsidR="00172BEA" w:rsidRPr="00CC7140" w:rsidRDefault="00F81272" w:rsidP="00566334">
      <w:pPr>
        <w:pStyle w:val="Body"/>
        <w:spacing w:line="480" w:lineRule="auto"/>
        <w:rPr>
          <w:color w:val="auto"/>
        </w:rPr>
      </w:pPr>
      <w:r w:rsidRPr="00CC7140">
        <w:rPr>
          <w:color w:val="auto"/>
        </w:rPr>
        <w:t xml:space="preserve">Part of the deal struck between the Conservatives and Liberal Democrats in 2010 was that Clegg became Cameron’s deputy. </w:t>
      </w:r>
      <w:r w:rsidR="00E3157A" w:rsidRPr="00CC7140">
        <w:rPr>
          <w:color w:val="auto"/>
        </w:rPr>
        <w:t xml:space="preserve">There is no </w:t>
      </w:r>
      <w:r w:rsidR="00630F03" w:rsidRPr="00CC7140">
        <w:rPr>
          <w:color w:val="auto"/>
        </w:rPr>
        <w:t xml:space="preserve">permanent </w:t>
      </w:r>
      <w:r w:rsidR="00E3157A" w:rsidRPr="00CC7140">
        <w:rPr>
          <w:color w:val="auto"/>
        </w:rPr>
        <w:t xml:space="preserve">constitutional status of the office of Deputy Prime Minister in a coalition or any government.  Indeed the leader </w:t>
      </w:r>
      <w:r w:rsidR="00E3157A" w:rsidRPr="00CC7140">
        <w:rPr>
          <w:color w:val="auto"/>
        </w:rPr>
        <w:lastRenderedPageBreak/>
        <w:t xml:space="preserve">of the minority party might take a different Cabinet post (Heath offered Thorpe the Home Office in 1974; Blair talked to Ashdown about being Foreign Secretary before 1997) or might even remain outside government (Ashdown, 2000).  Nonetheless, the leader of the junior coalition partner is pivotal to the successful functioning of government and must have some strategic oversight of its </w:t>
      </w:r>
      <w:proofErr w:type="spellStart"/>
      <w:r w:rsidR="00E3157A" w:rsidRPr="00CC7140">
        <w:rPr>
          <w:color w:val="auto"/>
        </w:rPr>
        <w:t>programme</w:t>
      </w:r>
      <w:proofErr w:type="spellEnd"/>
      <w:r w:rsidR="00E3157A" w:rsidRPr="00CC7140">
        <w:rPr>
          <w:color w:val="auto"/>
        </w:rPr>
        <w:t>, key decisions and day-to-day operation. I</w:t>
      </w:r>
      <w:r w:rsidR="00E3157A" w:rsidRPr="00CC7140">
        <w:rPr>
          <w:color w:val="auto"/>
          <w:lang w:val="en-GB"/>
        </w:rPr>
        <w:t xml:space="preserve">n seeing traditional arrangements stretched, </w:t>
      </w:r>
      <w:r w:rsidR="00963A31" w:rsidRPr="00CC7140">
        <w:rPr>
          <w:color w:val="auto"/>
          <w:lang w:val="en-GB"/>
        </w:rPr>
        <w:t>future governments might</w:t>
      </w:r>
      <w:r w:rsidR="00E3157A" w:rsidRPr="00CC7140">
        <w:rPr>
          <w:color w:val="auto"/>
        </w:rPr>
        <w:t xml:space="preserve"> </w:t>
      </w:r>
      <w:r w:rsidRPr="00CC7140">
        <w:rPr>
          <w:color w:val="auto"/>
        </w:rPr>
        <w:t xml:space="preserve">choose to </w:t>
      </w:r>
      <w:r w:rsidR="00E3157A" w:rsidRPr="00CC7140">
        <w:rPr>
          <w:color w:val="auto"/>
        </w:rPr>
        <w:t xml:space="preserve">embed that role within the core executive and future coalitions might find some </w:t>
      </w:r>
      <w:r w:rsidR="00E3157A" w:rsidRPr="00CC7140">
        <w:rPr>
          <w:color w:val="auto"/>
          <w:lang w:val="en-GB"/>
        </w:rPr>
        <w:t>organised</w:t>
      </w:r>
      <w:r w:rsidR="00E3157A" w:rsidRPr="00CC7140">
        <w:rPr>
          <w:color w:val="auto"/>
        </w:rPr>
        <w:t xml:space="preserve"> structure useful.  Interestingly earlier Deputy Prime Ministers in the shape of Willie Whitelaw, Michael Heseltine and John Prescott have helped facilitate smoother running of single party governments (Gay, 2006) which might similarly be described as coalitions of opinion</w:t>
      </w:r>
      <w:r w:rsidR="004A6208" w:rsidRPr="00CC7140">
        <w:rPr>
          <w:color w:val="auto"/>
        </w:rPr>
        <w:t xml:space="preserve"> but in </w:t>
      </w:r>
      <w:r w:rsidR="00CF1836">
        <w:rPr>
          <w:color w:val="auto"/>
        </w:rPr>
        <w:t xml:space="preserve">two party </w:t>
      </w:r>
      <w:r w:rsidR="004A6208" w:rsidRPr="00CC7140">
        <w:rPr>
          <w:color w:val="auto"/>
        </w:rPr>
        <w:t>coalition the power must be shared</w:t>
      </w:r>
      <w:r w:rsidR="00E3157A" w:rsidRPr="00CC7140">
        <w:rPr>
          <w:color w:val="auto"/>
        </w:rPr>
        <w:t xml:space="preserve">. </w:t>
      </w:r>
    </w:p>
    <w:p w:rsidR="00F81272" w:rsidRPr="00CC7140" w:rsidRDefault="00E3157A" w:rsidP="00566334">
      <w:pPr>
        <w:pStyle w:val="Body"/>
        <w:spacing w:line="480" w:lineRule="auto"/>
        <w:rPr>
          <w:color w:val="auto"/>
        </w:rPr>
      </w:pPr>
      <w:r w:rsidRPr="00CC7140">
        <w:rPr>
          <w:color w:val="auto"/>
        </w:rPr>
        <w:t xml:space="preserve">The exercise of Royal Prerogative powers by the Prime Minister is in many instances </w:t>
      </w:r>
      <w:r w:rsidRPr="00CC7140">
        <w:rPr>
          <w:color w:val="auto"/>
          <w:lang w:val="en-GB"/>
        </w:rPr>
        <w:t xml:space="preserve">not </w:t>
      </w:r>
      <w:r w:rsidRPr="00CC7140">
        <w:rPr>
          <w:color w:val="auto"/>
        </w:rPr>
        <w:t>conducive to a functioning coalition.  It is inconceivable, to take an extreme example, that a Prime Minister could declare war independently and without agreement of a coalition partner</w:t>
      </w:r>
      <w:r w:rsidRPr="00CC7140">
        <w:rPr>
          <w:color w:val="auto"/>
          <w:lang w:val="en-GB"/>
        </w:rPr>
        <w:t xml:space="preserve"> (indeed it appears to have become practice to hold a parliamentary vote prior to military engagement)</w:t>
      </w:r>
      <w:r w:rsidRPr="00CC7140">
        <w:rPr>
          <w:color w:val="auto"/>
        </w:rPr>
        <w:t xml:space="preserve">. More routinely, while the Prime Minister retains ultimate power for appointing ministers, it can only be within the framework of what is agreed between the parties. Nick Clegg has enjoyed the right to consultation ahead of reshuffles and the ability to nominate potential Ministers from his own party (Quinn </w:t>
      </w:r>
      <w:proofErr w:type="gramStart"/>
      <w:r w:rsidRPr="00CC7140">
        <w:rPr>
          <w:color w:val="auto"/>
        </w:rPr>
        <w:t>et</w:t>
      </w:r>
      <w:proofErr w:type="gramEnd"/>
      <w:r w:rsidRPr="00CC7140">
        <w:rPr>
          <w:color w:val="auto"/>
        </w:rPr>
        <w:t xml:space="preserve"> all, 2011).  The negotiations leading to a coalition, and informed by the relative strength of the parties, will have included the number of Cabinet and more junior ministers for the respective parties as well as the portfolios they occupy.  Such portfolios, it would seem, </w:t>
      </w:r>
      <w:r w:rsidRPr="00CC7140">
        <w:rPr>
          <w:color w:val="auto"/>
        </w:rPr>
        <w:lastRenderedPageBreak/>
        <w:t xml:space="preserve">are open to negotiation at periodic reshuffles though it is notable that, in the 2010 Parliament, none of the Cabinet jobs changed parties and that Cameron avoided the sort of routine reshuffle that </w:t>
      </w:r>
      <w:r w:rsidRPr="00CC7140">
        <w:rPr>
          <w:color w:val="auto"/>
          <w:lang w:val="en-GB"/>
        </w:rPr>
        <w:t>bedevilled</w:t>
      </w:r>
      <w:r w:rsidRPr="00CC7140">
        <w:rPr>
          <w:color w:val="auto"/>
        </w:rPr>
        <w:t xml:space="preserve"> previous administrations</w:t>
      </w:r>
      <w:r w:rsidR="004A6208" w:rsidRPr="00CC7140">
        <w:rPr>
          <w:color w:val="auto"/>
        </w:rPr>
        <w:t xml:space="preserve"> (</w:t>
      </w:r>
      <w:proofErr w:type="spellStart"/>
      <w:r w:rsidR="004A6208" w:rsidRPr="00CC7140">
        <w:rPr>
          <w:color w:val="auto"/>
        </w:rPr>
        <w:t>Heppell</w:t>
      </w:r>
      <w:proofErr w:type="spellEnd"/>
      <w:r w:rsidR="004A6208" w:rsidRPr="00CC7140">
        <w:rPr>
          <w:color w:val="auto"/>
        </w:rPr>
        <w:t>, 2014)</w:t>
      </w:r>
      <w:r w:rsidRPr="00CC7140">
        <w:rPr>
          <w:color w:val="auto"/>
        </w:rPr>
        <w:t xml:space="preserve">.  </w:t>
      </w:r>
      <w:r w:rsidR="00D6060C" w:rsidRPr="00CC7140">
        <w:rPr>
          <w:color w:val="auto"/>
        </w:rPr>
        <w:t xml:space="preserve">Indeed when, in July 2014, the Prime Minister chose to engage in his first major reshuffle by way of preparation for the general election, it was only Conservative Ministers who were moved.  Consequently not only did the </w:t>
      </w:r>
      <w:r w:rsidR="001E7487" w:rsidRPr="00CC7140">
        <w:rPr>
          <w:color w:val="auto"/>
        </w:rPr>
        <w:t xml:space="preserve">Liberal Democrat faces remain static as Conservative personnel changed around them but so too were the portfolios they occupied ‘untouchable’.  Clegg, it was reported (Murphy, 2014) would conduct his own reshuffle at a later date which would inevitably mean within the confines of previously agreed ministerial jobs. </w:t>
      </w:r>
    </w:p>
    <w:p w:rsidR="00172BEA" w:rsidRPr="00CC7140" w:rsidRDefault="00F81272" w:rsidP="00566334">
      <w:pPr>
        <w:pStyle w:val="Body"/>
        <w:spacing w:line="480" w:lineRule="auto"/>
        <w:rPr>
          <w:color w:val="auto"/>
        </w:rPr>
      </w:pPr>
      <w:r w:rsidRPr="00CC7140">
        <w:rPr>
          <w:color w:val="auto"/>
        </w:rPr>
        <w:t>U</w:t>
      </w:r>
      <w:r w:rsidR="00E3157A" w:rsidRPr="00CC7140">
        <w:rPr>
          <w:color w:val="auto"/>
        </w:rPr>
        <w:t xml:space="preserve">pon the formation of the government in May 2010, newly appointed ministers of both parties were met jointly by the Prime Minister and the Deputy Prime Minister.  More tellingly, when Cabinet Minister Chris </w:t>
      </w:r>
      <w:proofErr w:type="spellStart"/>
      <w:r w:rsidR="00E3157A" w:rsidRPr="00CC7140">
        <w:rPr>
          <w:color w:val="auto"/>
        </w:rPr>
        <w:t>Huhne</w:t>
      </w:r>
      <w:proofErr w:type="spellEnd"/>
      <w:r w:rsidR="00E3157A" w:rsidRPr="00CC7140">
        <w:rPr>
          <w:color w:val="auto"/>
        </w:rPr>
        <w:t xml:space="preserve"> resigned in 2012, the announcement of his replacement was made by the Deputy Prime Minister from Whitehall suggesting that having negotiated </w:t>
      </w:r>
      <w:proofErr w:type="gramStart"/>
      <w:r w:rsidR="00E3157A" w:rsidRPr="00CC7140">
        <w:rPr>
          <w:color w:val="auto"/>
        </w:rPr>
        <w:t>portfolios,</w:t>
      </w:r>
      <w:proofErr w:type="gramEnd"/>
      <w:r w:rsidR="00E3157A" w:rsidRPr="00CC7140">
        <w:rPr>
          <w:color w:val="auto"/>
        </w:rPr>
        <w:t xml:space="preserve"> the respective party leaders were responsible for appointments from within their own parties.  Nonetheless, the two Liberal Democrats who </w:t>
      </w:r>
      <w:r w:rsidR="00E3157A" w:rsidRPr="00CC7140">
        <w:rPr>
          <w:color w:val="auto"/>
          <w:lang w:val="en-GB"/>
        </w:rPr>
        <w:t>were forced to leave</w:t>
      </w:r>
      <w:r w:rsidR="00E3157A" w:rsidRPr="00CC7140">
        <w:rPr>
          <w:color w:val="auto"/>
        </w:rPr>
        <w:t xml:space="preserve"> Cabinet</w:t>
      </w:r>
      <w:r w:rsidR="00E3157A" w:rsidRPr="00CC7140">
        <w:rPr>
          <w:color w:val="auto"/>
          <w:lang w:val="en-GB"/>
        </w:rPr>
        <w:t xml:space="preserve"> because of personal circumstances</w:t>
      </w:r>
      <w:r w:rsidR="00E3157A" w:rsidRPr="00CC7140">
        <w:rPr>
          <w:color w:val="auto"/>
        </w:rPr>
        <w:t xml:space="preserve"> (</w:t>
      </w:r>
      <w:proofErr w:type="spellStart"/>
      <w:r w:rsidR="00E3157A" w:rsidRPr="00CC7140">
        <w:rPr>
          <w:color w:val="auto"/>
        </w:rPr>
        <w:t>Huhne</w:t>
      </w:r>
      <w:proofErr w:type="spellEnd"/>
      <w:r w:rsidR="00E3157A" w:rsidRPr="00CC7140">
        <w:rPr>
          <w:color w:val="auto"/>
        </w:rPr>
        <w:t xml:space="preserve"> and David Laws) each tendered their resignation to the Prime Minister alone as is customary.  </w:t>
      </w:r>
      <w:r w:rsidR="00C53933" w:rsidRPr="00CC7140">
        <w:rPr>
          <w:color w:val="auto"/>
        </w:rPr>
        <w:t>I</w:t>
      </w:r>
      <w:proofErr w:type="spellStart"/>
      <w:r w:rsidR="00C53933" w:rsidRPr="00CC7140">
        <w:rPr>
          <w:color w:val="auto"/>
          <w:lang w:val="en-GB"/>
        </w:rPr>
        <w:t>nstructively</w:t>
      </w:r>
      <w:proofErr w:type="spellEnd"/>
      <w:r w:rsidR="00E3157A" w:rsidRPr="00CC7140">
        <w:rPr>
          <w:color w:val="auto"/>
          <w:lang w:val="en-GB"/>
        </w:rPr>
        <w:t xml:space="preserve">, though, the one Liberal Democrat to lose his job following a reshuffle, in the shape of Scottish Secretary Michael Moore, wrote to </w:t>
      </w:r>
      <w:r w:rsidR="00930800">
        <w:rPr>
          <w:color w:val="auto"/>
          <w:lang w:val="en-GB"/>
        </w:rPr>
        <w:t xml:space="preserve">the </w:t>
      </w:r>
      <w:r w:rsidR="00E3157A" w:rsidRPr="00CC7140">
        <w:rPr>
          <w:color w:val="auto"/>
          <w:lang w:val="en-GB"/>
        </w:rPr>
        <w:t>Deputy Pr</w:t>
      </w:r>
      <w:r w:rsidR="004A6208" w:rsidRPr="00CC7140">
        <w:rPr>
          <w:color w:val="auto"/>
          <w:lang w:val="en-GB"/>
        </w:rPr>
        <w:t xml:space="preserve">ime Minister </w:t>
      </w:r>
      <w:r w:rsidR="00C53933" w:rsidRPr="00CC7140">
        <w:rPr>
          <w:color w:val="auto"/>
          <w:lang w:val="en-GB"/>
        </w:rPr>
        <w:t xml:space="preserve">and it was </w:t>
      </w:r>
      <w:r w:rsidR="004A6208" w:rsidRPr="00CC7140">
        <w:rPr>
          <w:color w:val="auto"/>
          <w:lang w:val="en-GB"/>
        </w:rPr>
        <w:t xml:space="preserve">Clegg </w:t>
      </w:r>
      <w:r w:rsidR="00C53933" w:rsidRPr="00CC7140">
        <w:rPr>
          <w:color w:val="auto"/>
          <w:lang w:val="en-GB"/>
        </w:rPr>
        <w:t xml:space="preserve">who responded in official correspondence to thank his colleague for ‘the vital role you have played’ (Clegg, 2013; </w:t>
      </w:r>
      <w:r w:rsidR="004A6208" w:rsidRPr="00CC7140">
        <w:rPr>
          <w:color w:val="auto"/>
          <w:lang w:val="en-GB"/>
        </w:rPr>
        <w:t>Barber, 2013</w:t>
      </w:r>
      <w:r w:rsidR="00E3157A" w:rsidRPr="00CC7140">
        <w:rPr>
          <w:color w:val="auto"/>
          <w:lang w:val="en-GB"/>
        </w:rPr>
        <w:t>).</w:t>
      </w:r>
      <w:r w:rsidR="004A6208" w:rsidRPr="00CC7140">
        <w:rPr>
          <w:color w:val="auto"/>
          <w:lang w:val="en-GB"/>
        </w:rPr>
        <w:t>This represents an elasticity which has changed constitutional practice.</w:t>
      </w:r>
    </w:p>
    <w:p w:rsidR="00172BEA" w:rsidRPr="00CC7140" w:rsidRDefault="004A6208" w:rsidP="00566334">
      <w:pPr>
        <w:pStyle w:val="Body"/>
        <w:spacing w:line="480" w:lineRule="auto"/>
        <w:rPr>
          <w:color w:val="auto"/>
          <w:u w:color="FF0000"/>
          <w:lang w:val="en-GB"/>
        </w:rPr>
      </w:pPr>
      <w:r w:rsidRPr="00CC7140">
        <w:rPr>
          <w:color w:val="auto"/>
          <w:u w:color="FF0000"/>
          <w:lang w:val="en-GB"/>
        </w:rPr>
        <w:lastRenderedPageBreak/>
        <w:t xml:space="preserve">There is though a limit to this stretching. </w:t>
      </w:r>
      <w:r w:rsidR="00E3157A" w:rsidRPr="00CC7140">
        <w:rPr>
          <w:color w:val="auto"/>
          <w:u w:color="FF0000"/>
          <w:lang w:val="en-GB"/>
        </w:rPr>
        <w:t xml:space="preserve">The balance of that power between parties and party leaders is inevitably uneven. Here, </w:t>
      </w:r>
      <w:proofErr w:type="spellStart"/>
      <w:r w:rsidR="00E3157A" w:rsidRPr="00CC7140">
        <w:rPr>
          <w:color w:val="auto"/>
          <w:u w:color="FF0000"/>
        </w:rPr>
        <w:t>Bennister</w:t>
      </w:r>
      <w:proofErr w:type="spellEnd"/>
      <w:r w:rsidR="00E3157A" w:rsidRPr="00CC7140">
        <w:rPr>
          <w:color w:val="auto"/>
          <w:u w:color="FF0000"/>
        </w:rPr>
        <w:t xml:space="preserve"> &amp; Heffernan </w:t>
      </w:r>
      <w:r w:rsidR="00E3157A" w:rsidRPr="00CC7140">
        <w:rPr>
          <w:color w:val="auto"/>
          <w:u w:color="FF0000"/>
          <w:lang w:val="en-GB"/>
        </w:rPr>
        <w:t xml:space="preserve">(2012) </w:t>
      </w:r>
      <w:r w:rsidR="00E3157A" w:rsidRPr="00CC7140">
        <w:rPr>
          <w:color w:val="auto"/>
          <w:u w:color="FF0000"/>
        </w:rPr>
        <w:t xml:space="preserve">show that Cameron </w:t>
      </w:r>
      <w:r w:rsidR="00E3157A" w:rsidRPr="00CC7140">
        <w:rPr>
          <w:color w:val="auto"/>
          <w:u w:color="FF0000"/>
          <w:lang w:val="en-GB"/>
        </w:rPr>
        <w:t>can be seen as</w:t>
      </w:r>
      <w:r w:rsidR="00E3157A" w:rsidRPr="00CC7140">
        <w:rPr>
          <w:color w:val="auto"/>
          <w:u w:color="FF0000"/>
        </w:rPr>
        <w:t xml:space="preserve"> the ‘</w:t>
      </w:r>
      <w:r w:rsidR="00E3157A" w:rsidRPr="00CC7140">
        <w:rPr>
          <w:color w:val="auto"/>
          <w:u w:color="FF0000"/>
          <w:lang w:val="en-GB"/>
        </w:rPr>
        <w:t>resource</w:t>
      </w:r>
      <w:r w:rsidR="00E3157A" w:rsidRPr="00CC7140">
        <w:rPr>
          <w:color w:val="auto"/>
          <w:u w:color="FF0000"/>
          <w:lang w:val="fr-FR"/>
        </w:rPr>
        <w:t xml:space="preserve"> </w:t>
      </w:r>
      <w:r w:rsidR="00E3157A" w:rsidRPr="00CC7140">
        <w:rPr>
          <w:color w:val="auto"/>
          <w:u w:color="FF0000"/>
          <w:lang w:val="en-GB"/>
        </w:rPr>
        <w:t>rich</w:t>
      </w:r>
      <w:r w:rsidR="00E3157A" w:rsidRPr="00CC7140">
        <w:rPr>
          <w:color w:val="auto"/>
          <w:u w:color="FF0000"/>
          <w:lang w:val="fr-FR"/>
        </w:rPr>
        <w:t xml:space="preserve">’ </w:t>
      </w:r>
      <w:r w:rsidR="00E3157A" w:rsidRPr="00CC7140">
        <w:rPr>
          <w:color w:val="auto"/>
          <w:u w:color="FF0000"/>
        </w:rPr>
        <w:t xml:space="preserve">actor in the </w:t>
      </w:r>
      <w:r w:rsidR="00E3157A" w:rsidRPr="00CC7140">
        <w:rPr>
          <w:color w:val="auto"/>
          <w:u w:color="FF0000"/>
          <w:lang w:val="en-GB"/>
        </w:rPr>
        <w:t xml:space="preserve">2010 </w:t>
      </w:r>
      <w:r w:rsidR="00E3157A" w:rsidRPr="00CC7140">
        <w:rPr>
          <w:color w:val="auto"/>
          <w:u w:color="FF0000"/>
        </w:rPr>
        <w:t>coalition relationship</w:t>
      </w:r>
      <w:r w:rsidR="00E3157A" w:rsidRPr="00CC7140">
        <w:rPr>
          <w:color w:val="auto"/>
          <w:u w:color="FF0000"/>
          <w:lang w:val="en-GB"/>
        </w:rPr>
        <w:t xml:space="preserve">. Indeed, where it comes to government construction, </w:t>
      </w:r>
      <w:r w:rsidRPr="00CC7140">
        <w:rPr>
          <w:color w:val="auto"/>
          <w:u w:color="FF0000"/>
          <w:lang w:val="en-GB"/>
        </w:rPr>
        <w:t>the larger party can engage in ‘gaming’</w:t>
      </w:r>
      <w:r w:rsidR="00E3157A" w:rsidRPr="00CC7140">
        <w:rPr>
          <w:color w:val="auto"/>
          <w:u w:color="FF0000"/>
          <w:lang w:val="en-GB"/>
        </w:rPr>
        <w:t xml:space="preserve"> </w:t>
      </w:r>
      <w:r w:rsidR="00E3157A" w:rsidRPr="00CC7140">
        <w:rPr>
          <w:color w:val="auto"/>
          <w:u w:color="FF0000"/>
        </w:rPr>
        <w:t>where say a Prime Minister</w:t>
      </w:r>
      <w:r w:rsidR="00E3157A" w:rsidRPr="00CC7140">
        <w:rPr>
          <w:color w:val="auto"/>
          <w:u w:color="FF0000"/>
          <w:lang w:val="en-GB"/>
        </w:rPr>
        <w:t>, controlling a majority of posts,</w:t>
      </w:r>
      <w:r w:rsidR="00630F03" w:rsidRPr="00CC7140">
        <w:rPr>
          <w:color w:val="auto"/>
          <w:u w:color="FF0000"/>
          <w:lang w:val="fr-FR"/>
        </w:rPr>
        <w:t xml:space="preserve"> appoints </w:t>
      </w:r>
      <w:proofErr w:type="spellStart"/>
      <w:r w:rsidR="00630F03" w:rsidRPr="00CC7140">
        <w:rPr>
          <w:color w:val="auto"/>
          <w:u w:color="FF0000"/>
          <w:lang w:val="fr-FR"/>
        </w:rPr>
        <w:t>M</w:t>
      </w:r>
      <w:r w:rsidR="00E3157A" w:rsidRPr="00CC7140">
        <w:rPr>
          <w:color w:val="auto"/>
          <w:u w:color="FF0000"/>
          <w:lang w:val="fr-FR"/>
        </w:rPr>
        <w:t>inisters</w:t>
      </w:r>
      <w:proofErr w:type="spellEnd"/>
      <w:r w:rsidR="00630F03" w:rsidRPr="00CC7140">
        <w:rPr>
          <w:color w:val="auto"/>
          <w:u w:color="FF0000"/>
          <w:lang w:val="en-GB"/>
        </w:rPr>
        <w:t xml:space="preserve"> of S</w:t>
      </w:r>
      <w:r w:rsidR="00E3157A" w:rsidRPr="00CC7140">
        <w:rPr>
          <w:color w:val="auto"/>
          <w:u w:color="FF0000"/>
          <w:lang w:val="en-GB"/>
        </w:rPr>
        <w:t>tate</w:t>
      </w:r>
      <w:r w:rsidR="00E3157A" w:rsidRPr="00CC7140">
        <w:rPr>
          <w:color w:val="auto"/>
          <w:u w:color="FF0000"/>
        </w:rPr>
        <w:t xml:space="preserve"> known to be hostile to a junior partner</w:t>
      </w:r>
      <w:r w:rsidR="00E3157A" w:rsidRPr="00CC7140">
        <w:rPr>
          <w:color w:val="auto"/>
          <w:u w:color="FF0000"/>
          <w:lang w:val="fr-FR"/>
        </w:rPr>
        <w:t>’</w:t>
      </w:r>
      <w:r w:rsidR="00E3157A" w:rsidRPr="00CC7140">
        <w:rPr>
          <w:color w:val="auto"/>
          <w:u w:color="FF0000"/>
        </w:rPr>
        <w:t xml:space="preserve">s </w:t>
      </w:r>
      <w:proofErr w:type="spellStart"/>
      <w:r w:rsidR="00E3157A" w:rsidRPr="00CC7140">
        <w:rPr>
          <w:color w:val="auto"/>
          <w:u w:color="FF0000"/>
        </w:rPr>
        <w:t>Secretar</w:t>
      </w:r>
      <w:r w:rsidR="00E3157A" w:rsidRPr="00CC7140">
        <w:rPr>
          <w:color w:val="auto"/>
          <w:u w:color="FF0000"/>
          <w:lang w:val="en-GB"/>
        </w:rPr>
        <w:t>ies</w:t>
      </w:r>
      <w:proofErr w:type="spellEnd"/>
      <w:r w:rsidR="00E3157A" w:rsidRPr="00CC7140">
        <w:rPr>
          <w:color w:val="auto"/>
          <w:u w:color="FF0000"/>
        </w:rPr>
        <w:t xml:space="preserve"> of State in the hope of impeding policy.  It can be </w:t>
      </w:r>
      <w:r w:rsidR="00E3157A" w:rsidRPr="00CC7140">
        <w:rPr>
          <w:color w:val="auto"/>
          <w:u w:color="FF0000"/>
          <w:lang w:val="en-GB"/>
        </w:rPr>
        <w:t>observed</w:t>
      </w:r>
      <w:r w:rsidR="00E3157A" w:rsidRPr="00CC7140">
        <w:rPr>
          <w:color w:val="auto"/>
          <w:u w:color="FF0000"/>
        </w:rPr>
        <w:t>, however, that this is a potential state of affairs not exclusive to a coalition</w:t>
      </w:r>
      <w:r w:rsidR="00E3157A" w:rsidRPr="00CC7140">
        <w:rPr>
          <w:color w:val="auto"/>
          <w:u w:color="FF0000"/>
          <w:lang w:val="en-GB"/>
        </w:rPr>
        <w:t xml:space="preserve"> and there needs to be some substantive degree of cooperation for an administration to function. It is also possible to view such </w:t>
      </w:r>
      <w:r w:rsidR="00E3157A" w:rsidRPr="00CC7140">
        <w:rPr>
          <w:color w:val="auto"/>
          <w:u w:color="FF0000"/>
        </w:rPr>
        <w:t xml:space="preserve">powers </w:t>
      </w:r>
      <w:r w:rsidR="00E3157A" w:rsidRPr="00CC7140">
        <w:rPr>
          <w:color w:val="auto"/>
          <w:u w:color="FF0000"/>
          <w:lang w:val="en-GB"/>
        </w:rPr>
        <w:t>from the position of the junior coalition partner which is why</w:t>
      </w:r>
      <w:r w:rsidR="00E3157A" w:rsidRPr="00CC7140">
        <w:rPr>
          <w:color w:val="auto"/>
          <w:u w:color="FF0000"/>
        </w:rPr>
        <w:t xml:space="preserve"> Matthews </w:t>
      </w:r>
      <w:r w:rsidR="00E3157A" w:rsidRPr="00CC7140">
        <w:rPr>
          <w:color w:val="auto"/>
          <w:u w:color="FF0000"/>
          <w:lang w:val="en-GB"/>
        </w:rPr>
        <w:t xml:space="preserve">(2011) describes constitutional </w:t>
      </w:r>
      <w:r w:rsidR="00064D2F" w:rsidRPr="00CC7140">
        <w:rPr>
          <w:color w:val="auto"/>
          <w:u w:color="FF0000"/>
          <w:lang w:val="en-GB"/>
        </w:rPr>
        <w:t>‘</w:t>
      </w:r>
      <w:r w:rsidR="00E3157A" w:rsidRPr="00CC7140">
        <w:rPr>
          <w:color w:val="auto"/>
          <w:u w:color="FF0000"/>
        </w:rPr>
        <w:t>watchdog power</w:t>
      </w:r>
      <w:r w:rsidR="00E3157A" w:rsidRPr="00CC7140">
        <w:rPr>
          <w:color w:val="auto"/>
          <w:u w:color="FF0000"/>
          <w:lang w:val="en-GB"/>
        </w:rPr>
        <w:t>s</w:t>
      </w:r>
      <w:r w:rsidR="00064D2F" w:rsidRPr="00CC7140">
        <w:rPr>
          <w:color w:val="auto"/>
          <w:u w:color="FF0000"/>
          <w:lang w:val="en-GB"/>
        </w:rPr>
        <w:t>’</w:t>
      </w:r>
      <w:r w:rsidR="00E3157A" w:rsidRPr="00CC7140">
        <w:rPr>
          <w:color w:val="auto"/>
          <w:u w:color="FF0000"/>
          <w:lang w:val="en-GB"/>
        </w:rPr>
        <w:t xml:space="preserve"> of the smaller party in government to moderate and block policy. </w:t>
      </w:r>
    </w:p>
    <w:p w:rsidR="004A6208" w:rsidRPr="00CC7140" w:rsidRDefault="00C53933" w:rsidP="00566334">
      <w:pPr>
        <w:pStyle w:val="Body"/>
        <w:spacing w:line="480" w:lineRule="auto"/>
        <w:rPr>
          <w:color w:val="auto"/>
        </w:rPr>
      </w:pPr>
      <w:r w:rsidRPr="00CC7140">
        <w:rPr>
          <w:color w:val="auto"/>
          <w:u w:color="FF0000"/>
          <w:lang w:val="en-GB"/>
        </w:rPr>
        <w:t>The idea of a coalition</w:t>
      </w:r>
      <w:r w:rsidR="00464D1F" w:rsidRPr="00CC7140">
        <w:rPr>
          <w:color w:val="auto"/>
          <w:u w:color="FF0000"/>
          <w:lang w:val="en-GB"/>
        </w:rPr>
        <w:t xml:space="preserve"> operating in a </w:t>
      </w:r>
      <w:r w:rsidR="00F81272" w:rsidRPr="00CC7140">
        <w:rPr>
          <w:color w:val="auto"/>
          <w:u w:color="FF0000"/>
          <w:lang w:val="en-GB"/>
        </w:rPr>
        <w:t xml:space="preserve">traditionally </w:t>
      </w:r>
      <w:r w:rsidR="00464D1F" w:rsidRPr="00CC7140">
        <w:rPr>
          <w:color w:val="auto"/>
          <w:u w:color="FF0000"/>
          <w:lang w:val="en-GB"/>
        </w:rPr>
        <w:t>majoritarian system was certain to stretch constitutional practice but whether it would contrast with routine power sharing arrangements in more consensual systems was less clear. More work needs to be done here but e</w:t>
      </w:r>
      <w:r w:rsidR="00C353FF" w:rsidRPr="00CC7140">
        <w:rPr>
          <w:color w:val="auto"/>
          <w:u w:color="FF0000"/>
          <w:lang w:val="en-GB"/>
        </w:rPr>
        <w:t xml:space="preserve">arly </w:t>
      </w:r>
      <w:r w:rsidR="007D6BE9" w:rsidRPr="00CC7140">
        <w:rPr>
          <w:color w:val="auto"/>
          <w:u w:color="FF0000"/>
          <w:lang w:val="en-GB"/>
        </w:rPr>
        <w:t>examination</w:t>
      </w:r>
      <w:r w:rsidR="00C353FF" w:rsidRPr="00CC7140">
        <w:rPr>
          <w:color w:val="auto"/>
          <w:u w:color="FF0000"/>
          <w:lang w:val="en-GB"/>
        </w:rPr>
        <w:t xml:space="preserve"> </w:t>
      </w:r>
      <w:r w:rsidR="007D6BE9" w:rsidRPr="00CC7140">
        <w:rPr>
          <w:color w:val="auto"/>
          <w:u w:color="FF0000"/>
          <w:lang w:val="en-GB"/>
        </w:rPr>
        <w:t>detects</w:t>
      </w:r>
      <w:r w:rsidR="00C353FF" w:rsidRPr="00CC7140">
        <w:rPr>
          <w:color w:val="auto"/>
          <w:u w:color="FF0000"/>
          <w:lang w:val="en-GB"/>
        </w:rPr>
        <w:t xml:space="preserve"> that </w:t>
      </w:r>
      <w:r w:rsidR="007D6BE9" w:rsidRPr="00CC7140">
        <w:rPr>
          <w:color w:val="auto"/>
          <w:u w:color="FF0000"/>
          <w:lang w:val="en-GB"/>
        </w:rPr>
        <w:t xml:space="preserve">while collective in its operation, </w:t>
      </w:r>
      <w:r w:rsidR="00C353FF" w:rsidRPr="00CC7140">
        <w:rPr>
          <w:color w:val="auto"/>
          <w:u w:color="FF0000"/>
          <w:lang w:val="en-GB"/>
        </w:rPr>
        <w:t xml:space="preserve">the </w:t>
      </w:r>
      <w:r w:rsidR="00263306" w:rsidRPr="00CC7140">
        <w:rPr>
          <w:color w:val="auto"/>
          <w:u w:color="FF0000"/>
          <w:lang w:val="en-GB"/>
        </w:rPr>
        <w:t>Cameron/Clegg</w:t>
      </w:r>
      <w:r w:rsidR="00C353FF" w:rsidRPr="00CC7140">
        <w:rPr>
          <w:color w:val="auto"/>
          <w:u w:color="FF0000"/>
          <w:lang w:val="en-GB"/>
        </w:rPr>
        <w:t xml:space="preserve"> coalition has not been </w:t>
      </w:r>
      <w:r w:rsidR="004A6208" w:rsidRPr="00CC7140">
        <w:rPr>
          <w:color w:val="auto"/>
          <w:u w:color="FF0000"/>
          <w:lang w:val="en-GB"/>
        </w:rPr>
        <w:t>consensus</w:t>
      </w:r>
      <w:r w:rsidR="00C353FF" w:rsidRPr="00CC7140">
        <w:rPr>
          <w:color w:val="auto"/>
          <w:u w:color="FF0000"/>
          <w:lang w:val="en-GB"/>
        </w:rPr>
        <w:t xml:space="preserve"> driven in terms of the search for l</w:t>
      </w:r>
      <w:r w:rsidR="004A6208" w:rsidRPr="00CC7140">
        <w:rPr>
          <w:color w:val="auto"/>
          <w:u w:color="FF0000"/>
          <w:lang w:val="en-GB"/>
        </w:rPr>
        <w:t>owest common denominato</w:t>
      </w:r>
      <w:r w:rsidR="00C353FF" w:rsidRPr="00CC7140">
        <w:rPr>
          <w:color w:val="auto"/>
          <w:u w:color="FF0000"/>
          <w:lang w:val="en-GB"/>
        </w:rPr>
        <w:t xml:space="preserve">r policies.  Rather it has been characterised by a radicalism that might not have happened with a single party government bereft of the ‘veil of legitimacy’ provided by coalition.  Here the </w:t>
      </w:r>
      <w:r w:rsidR="00496292" w:rsidRPr="00CC7140">
        <w:rPr>
          <w:color w:val="auto"/>
          <w:u w:color="FF0000"/>
          <w:lang w:val="en-GB"/>
        </w:rPr>
        <w:t>leaders</w:t>
      </w:r>
      <w:r w:rsidR="00C353FF" w:rsidRPr="00CC7140">
        <w:rPr>
          <w:color w:val="auto"/>
          <w:u w:color="FF0000"/>
          <w:lang w:val="en-GB"/>
        </w:rPr>
        <w:t xml:space="preserve"> have</w:t>
      </w:r>
      <w:r w:rsidR="004A6208" w:rsidRPr="00CC7140">
        <w:rPr>
          <w:color w:val="auto"/>
          <w:u w:color="FF0000"/>
          <w:lang w:val="en-GB"/>
        </w:rPr>
        <w:t xml:space="preserve"> trade</w:t>
      </w:r>
      <w:r w:rsidR="00C353FF" w:rsidRPr="00CC7140">
        <w:rPr>
          <w:color w:val="auto"/>
          <w:u w:color="FF0000"/>
          <w:lang w:val="en-GB"/>
        </w:rPr>
        <w:t>d</w:t>
      </w:r>
      <w:r w:rsidR="004A6208" w:rsidRPr="00CC7140">
        <w:rPr>
          <w:color w:val="auto"/>
          <w:u w:color="FF0000"/>
          <w:lang w:val="en-GB"/>
        </w:rPr>
        <w:t>-off</w:t>
      </w:r>
      <w:r w:rsidR="00C353FF" w:rsidRPr="00CC7140">
        <w:rPr>
          <w:color w:val="auto"/>
          <w:u w:color="FF0000"/>
          <w:lang w:val="en-GB"/>
        </w:rPr>
        <w:t xml:space="preserve"> and implemented their boldest plans while government </w:t>
      </w:r>
      <w:r w:rsidR="007D6BE9" w:rsidRPr="00CC7140">
        <w:rPr>
          <w:color w:val="auto"/>
          <w:u w:color="FF0000"/>
          <w:lang w:val="en-GB"/>
        </w:rPr>
        <w:t>has been</w:t>
      </w:r>
      <w:r w:rsidR="00C353FF" w:rsidRPr="00CC7140">
        <w:rPr>
          <w:color w:val="auto"/>
          <w:u w:color="FF0000"/>
          <w:lang w:val="en-GB"/>
        </w:rPr>
        <w:t xml:space="preserve"> able to </w:t>
      </w:r>
      <w:r w:rsidR="00496292" w:rsidRPr="00CC7140">
        <w:rPr>
          <w:color w:val="auto"/>
          <w:u w:color="FF0000"/>
          <w:lang w:val="en-GB"/>
        </w:rPr>
        <w:t xml:space="preserve">source ideas from two parties </w:t>
      </w:r>
      <w:r w:rsidR="00C353FF" w:rsidRPr="00CC7140">
        <w:rPr>
          <w:color w:val="auto"/>
          <w:u w:color="FF0000"/>
          <w:lang w:val="en-GB"/>
        </w:rPr>
        <w:t>(Ganesh, 2014)</w:t>
      </w:r>
      <w:r w:rsidR="00496292" w:rsidRPr="00CC7140">
        <w:rPr>
          <w:color w:val="auto"/>
          <w:u w:color="FF0000"/>
          <w:lang w:val="en-GB"/>
        </w:rPr>
        <w:t xml:space="preserve">. </w:t>
      </w:r>
    </w:p>
    <w:p w:rsidR="00172BEA" w:rsidRPr="00CC7140" w:rsidRDefault="00172BEA" w:rsidP="00566334">
      <w:pPr>
        <w:pStyle w:val="ListParagraph"/>
        <w:spacing w:line="480" w:lineRule="auto"/>
        <w:ind w:left="360"/>
        <w:rPr>
          <w:color w:val="auto"/>
        </w:rPr>
      </w:pPr>
    </w:p>
    <w:p w:rsidR="00172BEA" w:rsidRPr="00CC7140" w:rsidRDefault="00E3157A" w:rsidP="00566334">
      <w:pPr>
        <w:pStyle w:val="Body"/>
        <w:spacing w:line="480" w:lineRule="auto"/>
        <w:rPr>
          <w:rFonts w:eastAsia="Arial Bold"/>
          <w:b/>
          <w:color w:val="auto"/>
        </w:rPr>
      </w:pPr>
      <w:r w:rsidRPr="00CC7140">
        <w:rPr>
          <w:b/>
          <w:color w:val="auto"/>
        </w:rPr>
        <w:lastRenderedPageBreak/>
        <w:t>Conclusion</w:t>
      </w:r>
    </w:p>
    <w:p w:rsidR="00751F9C" w:rsidRPr="00CC7140" w:rsidRDefault="00E3157A" w:rsidP="00566334">
      <w:pPr>
        <w:pStyle w:val="Body"/>
        <w:spacing w:line="480" w:lineRule="auto"/>
        <w:rPr>
          <w:color w:val="auto"/>
          <w:lang w:val="en-GB"/>
        </w:rPr>
      </w:pPr>
      <w:r w:rsidRPr="00CC7140">
        <w:rPr>
          <w:color w:val="auto"/>
          <w:lang w:val="en-GB"/>
        </w:rPr>
        <w:t>Matthews (2011, 506) concludes with the view that '</w:t>
      </w:r>
      <w:r w:rsidRPr="00CC7140">
        <w:rPr>
          <w:color w:val="auto"/>
        </w:rPr>
        <w:t xml:space="preserve">the longstanding model of </w:t>
      </w:r>
      <w:proofErr w:type="spellStart"/>
      <w:r w:rsidRPr="00CC7140">
        <w:rPr>
          <w:color w:val="auto"/>
        </w:rPr>
        <w:t>centralised</w:t>
      </w:r>
      <w:proofErr w:type="spellEnd"/>
      <w:r w:rsidRPr="00CC7140">
        <w:rPr>
          <w:color w:val="auto"/>
        </w:rPr>
        <w:t xml:space="preserve"> majoritarian politics has been modified towards a more </w:t>
      </w:r>
      <w:proofErr w:type="spellStart"/>
      <w:r w:rsidRPr="00CC7140">
        <w:rPr>
          <w:color w:val="auto"/>
        </w:rPr>
        <w:t>consociational</w:t>
      </w:r>
      <w:proofErr w:type="spellEnd"/>
      <w:r w:rsidRPr="00CC7140">
        <w:rPr>
          <w:color w:val="auto"/>
        </w:rPr>
        <w:t xml:space="preserve"> form of governing</w:t>
      </w:r>
      <w:r w:rsidRPr="00CC7140">
        <w:rPr>
          <w:color w:val="auto"/>
          <w:lang w:val="en-GB"/>
        </w:rPr>
        <w:t>' and ends with a plea for scholars to add to the relatively unchartered terrain of British constitutional politics.  This article has built on that emerging body of work to categorise and discuss the princip</w:t>
      </w:r>
      <w:r w:rsidR="00F81272" w:rsidRPr="00CC7140">
        <w:rPr>
          <w:color w:val="auto"/>
          <w:lang w:val="en-GB"/>
        </w:rPr>
        <w:t>al</w:t>
      </w:r>
      <w:r w:rsidRPr="00CC7140">
        <w:rPr>
          <w:color w:val="auto"/>
          <w:lang w:val="en-GB"/>
        </w:rPr>
        <w:t xml:space="preserve"> areas of constitutional stretching to have occurred given the experience of coalition in Britain after 2010.  </w:t>
      </w:r>
      <w:r w:rsidR="00F31DF1" w:rsidRPr="00CC7140">
        <w:rPr>
          <w:color w:val="auto"/>
          <w:lang w:val="en-GB"/>
        </w:rPr>
        <w:t>By viewing events through the conceptual lens of constitutional stretching</w:t>
      </w:r>
      <w:r w:rsidR="00F81272" w:rsidRPr="00CC7140">
        <w:rPr>
          <w:color w:val="auto"/>
          <w:lang w:val="en-GB"/>
        </w:rPr>
        <w:t>,</w:t>
      </w:r>
      <w:r w:rsidR="00F31DF1" w:rsidRPr="00CC7140">
        <w:rPr>
          <w:color w:val="auto"/>
          <w:lang w:val="en-GB"/>
        </w:rPr>
        <w:t xml:space="preserve"> related to either the Westminster Model or the sustainability of government, it has considered the extent to which British constitutional practice has changed as a result of coalition.</w:t>
      </w:r>
    </w:p>
    <w:p w:rsidR="00F31DF1" w:rsidRPr="00CC7140" w:rsidRDefault="00751F9C" w:rsidP="00566334">
      <w:pPr>
        <w:pStyle w:val="Body"/>
        <w:spacing w:line="480" w:lineRule="auto"/>
        <w:rPr>
          <w:color w:val="auto"/>
          <w:lang w:val="en-GB"/>
        </w:rPr>
      </w:pPr>
      <w:r w:rsidRPr="00CC7140">
        <w:rPr>
          <w:color w:val="auto"/>
          <w:lang w:val="en-GB"/>
        </w:rPr>
        <w:t xml:space="preserve">It has made the case that </w:t>
      </w:r>
      <w:r w:rsidR="00F31DF1" w:rsidRPr="00CC7140">
        <w:rPr>
          <w:color w:val="auto"/>
          <w:lang w:val="en-GB"/>
        </w:rPr>
        <w:t>the tribal, oppositional Westminster Model as practiced in Parliament has proven relatively resilient though the emergence of Coalition Agreements has necessitated a more consensual approach by the parties forming a government</w:t>
      </w:r>
      <w:r w:rsidR="0042278C" w:rsidRPr="00CC7140">
        <w:rPr>
          <w:color w:val="auto"/>
          <w:lang w:val="en-GB"/>
        </w:rPr>
        <w:t xml:space="preserve"> and a new role for manifestos</w:t>
      </w:r>
      <w:r w:rsidR="00F31DF1" w:rsidRPr="00CC7140">
        <w:rPr>
          <w:color w:val="auto"/>
          <w:lang w:val="en-GB"/>
        </w:rPr>
        <w:t>. Nonetheless, by r</w:t>
      </w:r>
      <w:r w:rsidR="00E3157A" w:rsidRPr="00CC7140">
        <w:rPr>
          <w:color w:val="auto"/>
          <w:lang w:val="en-GB"/>
        </w:rPr>
        <w:t>ehearsing the arguments in favour o</w:t>
      </w:r>
      <w:r w:rsidR="00F31DF1" w:rsidRPr="00CC7140">
        <w:rPr>
          <w:color w:val="auto"/>
          <w:lang w:val="en-GB"/>
        </w:rPr>
        <w:t xml:space="preserve">f coalition legitimacy, it has shown that the principle that government must command the confidence </w:t>
      </w:r>
      <w:r w:rsidR="00E70AFB" w:rsidRPr="00CC7140">
        <w:rPr>
          <w:color w:val="auto"/>
          <w:lang w:val="en-GB"/>
        </w:rPr>
        <w:t>of parliament</w:t>
      </w:r>
      <w:r w:rsidR="00F31DF1" w:rsidRPr="00CC7140">
        <w:rPr>
          <w:color w:val="auto"/>
          <w:lang w:val="en-GB"/>
        </w:rPr>
        <w:t xml:space="preserve"> has not been undermined by calls for a more popular sovereignty.  </w:t>
      </w:r>
    </w:p>
    <w:p w:rsidR="00172BEA" w:rsidRPr="00CC7140" w:rsidRDefault="00F31DF1" w:rsidP="00566334">
      <w:pPr>
        <w:pStyle w:val="Body"/>
        <w:spacing w:line="480" w:lineRule="auto"/>
        <w:rPr>
          <w:rFonts w:eastAsia="Arial Bold"/>
          <w:color w:val="auto"/>
        </w:rPr>
      </w:pPr>
      <w:r w:rsidRPr="00CC7140">
        <w:rPr>
          <w:color w:val="auto"/>
          <w:lang w:val="en-GB"/>
        </w:rPr>
        <w:t>By</w:t>
      </w:r>
      <w:r w:rsidR="00E3157A" w:rsidRPr="00CC7140">
        <w:rPr>
          <w:color w:val="auto"/>
          <w:lang w:val="en-GB"/>
        </w:rPr>
        <w:t xml:space="preserve"> concentrating on collective responsibility and prerogative powers, </w:t>
      </w:r>
      <w:r w:rsidR="00E70AFB" w:rsidRPr="00CC7140">
        <w:rPr>
          <w:color w:val="auto"/>
          <w:lang w:val="en-GB"/>
        </w:rPr>
        <w:t xml:space="preserve">which relate to the sustainability of a functioning administration, </w:t>
      </w:r>
      <w:r w:rsidR="00E3157A" w:rsidRPr="00CC7140">
        <w:rPr>
          <w:color w:val="auto"/>
          <w:lang w:val="en-GB"/>
        </w:rPr>
        <w:t xml:space="preserve">it has demonstrated that many longstanding constitutional practices have </w:t>
      </w:r>
      <w:r w:rsidR="00E70AFB" w:rsidRPr="00CC7140">
        <w:rPr>
          <w:color w:val="auto"/>
          <w:lang w:val="en-GB"/>
        </w:rPr>
        <w:t>been stretched by</w:t>
      </w:r>
      <w:r w:rsidR="00E3157A" w:rsidRPr="00CC7140">
        <w:rPr>
          <w:color w:val="auto"/>
          <w:lang w:val="en-GB"/>
        </w:rPr>
        <w:t xml:space="preserve"> the </w:t>
      </w:r>
      <w:r w:rsidR="00263306" w:rsidRPr="00CC7140">
        <w:rPr>
          <w:color w:val="auto"/>
          <w:lang w:val="en-GB"/>
        </w:rPr>
        <w:t>Cameron/Clegg</w:t>
      </w:r>
      <w:r w:rsidR="00E3157A" w:rsidRPr="00CC7140">
        <w:rPr>
          <w:color w:val="auto"/>
          <w:lang w:val="en-GB"/>
        </w:rPr>
        <w:t xml:space="preserve"> coalition.  Nonetheless, it has made two broad observations.  The first is that there are numerous precedents of comparable stretching in earlier single party governments and </w:t>
      </w:r>
      <w:r w:rsidR="00E3157A" w:rsidRPr="00CC7140">
        <w:rPr>
          <w:color w:val="auto"/>
          <w:lang w:val="en-GB"/>
        </w:rPr>
        <w:lastRenderedPageBreak/>
        <w:t xml:space="preserve">that coalition ultimately requires a return to the fundamentals of Cabinet decision making. This suggests caution should be exercised in proclaiming new breaches of convention.  The second is that while traditional </w:t>
      </w:r>
      <w:r w:rsidR="00064D2F" w:rsidRPr="00CC7140">
        <w:rPr>
          <w:color w:val="auto"/>
          <w:lang w:val="en-GB"/>
        </w:rPr>
        <w:t>understanding of practices has</w:t>
      </w:r>
      <w:r w:rsidR="00E3157A" w:rsidRPr="00CC7140">
        <w:rPr>
          <w:color w:val="auto"/>
          <w:lang w:val="en-GB"/>
        </w:rPr>
        <w:t xml:space="preserve"> been stretched, the constitution has not </w:t>
      </w:r>
      <w:r w:rsidR="00064D2F" w:rsidRPr="00CC7140">
        <w:rPr>
          <w:color w:val="auto"/>
          <w:lang w:val="en-GB"/>
        </w:rPr>
        <w:t>‘</w:t>
      </w:r>
      <w:r w:rsidR="00E3157A" w:rsidRPr="00CC7140">
        <w:rPr>
          <w:color w:val="auto"/>
          <w:lang w:val="en-GB"/>
        </w:rPr>
        <w:t>snapped</w:t>
      </w:r>
      <w:r w:rsidR="00064D2F" w:rsidRPr="00CC7140">
        <w:rPr>
          <w:color w:val="auto"/>
          <w:lang w:val="en-GB"/>
        </w:rPr>
        <w:t>’</w:t>
      </w:r>
      <w:r w:rsidR="00E3157A" w:rsidRPr="00CC7140">
        <w:rPr>
          <w:color w:val="auto"/>
          <w:lang w:val="en-GB"/>
        </w:rPr>
        <w:t xml:space="preserve">.  That is, however serious these episodes might be considered, they happened and the government did not </w:t>
      </w:r>
      <w:r w:rsidR="0042278C" w:rsidRPr="00CC7140">
        <w:rPr>
          <w:color w:val="auto"/>
          <w:lang w:val="en-GB"/>
        </w:rPr>
        <w:t>collapse</w:t>
      </w:r>
      <w:r w:rsidR="00E3157A" w:rsidRPr="00CC7140">
        <w:rPr>
          <w:color w:val="auto"/>
          <w:lang w:val="en-GB"/>
        </w:rPr>
        <w:t xml:space="preserve"> as a result</w:t>
      </w:r>
      <w:r w:rsidR="0042278C" w:rsidRPr="00CC7140">
        <w:rPr>
          <w:color w:val="auto"/>
          <w:lang w:val="en-GB"/>
        </w:rPr>
        <w:t xml:space="preserve"> nor did the Westminster Model dissolve</w:t>
      </w:r>
      <w:r w:rsidR="00E3157A" w:rsidRPr="00CC7140">
        <w:rPr>
          <w:color w:val="auto"/>
          <w:lang w:val="en-GB"/>
        </w:rPr>
        <w:t xml:space="preserve">.  Consequently, long held views about acceptable constitutional practice need to be modified in light of experience.  </w:t>
      </w:r>
    </w:p>
    <w:p w:rsidR="00566334" w:rsidRPr="00CC7140" w:rsidRDefault="00E3157A" w:rsidP="00064D2F">
      <w:pPr>
        <w:pStyle w:val="Body"/>
        <w:spacing w:line="480" w:lineRule="auto"/>
        <w:rPr>
          <w:color w:val="auto"/>
        </w:rPr>
      </w:pPr>
      <w:r w:rsidRPr="00CC7140">
        <w:rPr>
          <w:color w:val="auto"/>
        </w:rPr>
        <w:t xml:space="preserve">Evidence suggests </w:t>
      </w:r>
      <w:r w:rsidR="00E70AFB" w:rsidRPr="00CC7140">
        <w:rPr>
          <w:color w:val="auto"/>
          <w:lang w:val="en-GB"/>
        </w:rPr>
        <w:t>hung parliaments</w:t>
      </w:r>
      <w:r w:rsidRPr="00CC7140">
        <w:rPr>
          <w:color w:val="auto"/>
        </w:rPr>
        <w:t xml:space="preserve"> are now more likely</w:t>
      </w:r>
      <w:r w:rsidR="00CF1836">
        <w:rPr>
          <w:color w:val="auto"/>
        </w:rPr>
        <w:t xml:space="preserve"> meaning these changes to the British constitution could be more permanent</w:t>
      </w:r>
      <w:r w:rsidRPr="00CC7140">
        <w:rPr>
          <w:color w:val="auto"/>
        </w:rPr>
        <w:t>.  As such</w:t>
      </w:r>
      <w:r w:rsidRPr="00CC7140">
        <w:rPr>
          <w:color w:val="auto"/>
          <w:lang w:val="en-GB"/>
        </w:rPr>
        <w:t>, there would seem to be an opportunity for political institutions</w:t>
      </w:r>
      <w:r w:rsidRPr="00CC7140">
        <w:rPr>
          <w:color w:val="auto"/>
        </w:rPr>
        <w:t xml:space="preserve"> </w:t>
      </w:r>
      <w:r w:rsidRPr="00CC7140">
        <w:rPr>
          <w:color w:val="auto"/>
          <w:lang w:val="en-GB"/>
        </w:rPr>
        <w:t xml:space="preserve">to </w:t>
      </w:r>
      <w:r w:rsidR="00064D2F" w:rsidRPr="00CC7140">
        <w:rPr>
          <w:color w:val="auto"/>
        </w:rPr>
        <w:t>prepare more detailed guidance</w:t>
      </w:r>
      <w:r w:rsidRPr="00CC7140">
        <w:rPr>
          <w:color w:val="auto"/>
        </w:rPr>
        <w:t xml:space="preserve"> and structures likely to facilitate stable and legitimate coalitions in the future.</w:t>
      </w:r>
      <w:r w:rsidRPr="00CC7140">
        <w:rPr>
          <w:color w:val="auto"/>
          <w:lang w:val="en-GB"/>
        </w:rPr>
        <w:t xml:space="preserve"> Here, t</w:t>
      </w:r>
      <w:r w:rsidRPr="00CC7140">
        <w:rPr>
          <w:color w:val="auto"/>
        </w:rPr>
        <w:t xml:space="preserve">he concept of collective responsibility remains essential and the Ministerial Code </w:t>
      </w:r>
      <w:r w:rsidRPr="00CC7140">
        <w:rPr>
          <w:color w:val="auto"/>
          <w:lang w:val="en-GB"/>
        </w:rPr>
        <w:t>could</w:t>
      </w:r>
      <w:r w:rsidRPr="00CC7140">
        <w:rPr>
          <w:color w:val="auto"/>
        </w:rPr>
        <w:t xml:space="preserve"> be updated to consider coalitions more explicitly</w:t>
      </w:r>
      <w:r w:rsidRPr="00CC7140">
        <w:rPr>
          <w:color w:val="auto"/>
          <w:lang w:val="en-GB"/>
        </w:rPr>
        <w:t xml:space="preserve"> in terms of embeddi</w:t>
      </w:r>
      <w:r w:rsidR="007313E2" w:rsidRPr="00CC7140">
        <w:rPr>
          <w:color w:val="auto"/>
          <w:lang w:val="en-GB"/>
        </w:rPr>
        <w:t>ng the junior coalition partner;</w:t>
      </w:r>
      <w:r w:rsidRPr="00CC7140">
        <w:rPr>
          <w:color w:val="auto"/>
          <w:lang w:val="fr-FR"/>
        </w:rPr>
        <w:t xml:space="preserve"> maintenance</w:t>
      </w:r>
      <w:r w:rsidRPr="00CC7140">
        <w:rPr>
          <w:color w:val="auto"/>
          <w:lang w:val="en-GB"/>
        </w:rPr>
        <w:t xml:space="preserve"> of the principle</w:t>
      </w:r>
      <w:r w:rsidR="007313E2" w:rsidRPr="00CC7140">
        <w:rPr>
          <w:color w:val="auto"/>
          <w:lang w:val="en-GB"/>
        </w:rPr>
        <w:t xml:space="preserve"> of collective responsibility</w:t>
      </w:r>
      <w:r w:rsidRPr="00CC7140">
        <w:rPr>
          <w:color w:val="auto"/>
        </w:rPr>
        <w:t xml:space="preserve">, procedure for suspension and communication in advance to Parliament.  The continuity of government by the incumbent during coalition negotiations is </w:t>
      </w:r>
      <w:r w:rsidRPr="00CC7140">
        <w:rPr>
          <w:color w:val="auto"/>
          <w:lang w:val="en-GB"/>
        </w:rPr>
        <w:t xml:space="preserve">also </w:t>
      </w:r>
      <w:r w:rsidRPr="00CC7140">
        <w:rPr>
          <w:color w:val="auto"/>
        </w:rPr>
        <w:t>important</w:t>
      </w:r>
      <w:r w:rsidRPr="00CC7140">
        <w:rPr>
          <w:color w:val="auto"/>
          <w:lang w:val="en-GB"/>
        </w:rPr>
        <w:t>; t</w:t>
      </w:r>
      <w:r w:rsidRPr="00CC7140">
        <w:rPr>
          <w:color w:val="auto"/>
        </w:rPr>
        <w:t xml:space="preserve">he Cabinet Office </w:t>
      </w:r>
      <w:r w:rsidRPr="00CC7140">
        <w:rPr>
          <w:color w:val="auto"/>
          <w:lang w:val="en-GB"/>
        </w:rPr>
        <w:t>might</w:t>
      </w:r>
      <w:r w:rsidRPr="00CC7140">
        <w:rPr>
          <w:color w:val="auto"/>
        </w:rPr>
        <w:t xml:space="preserve"> publish guidance to ‘caretaker governments</w:t>
      </w:r>
      <w:r w:rsidRPr="00CC7140">
        <w:rPr>
          <w:color w:val="auto"/>
          <w:lang w:val="fr-FR"/>
        </w:rPr>
        <w:t xml:space="preserve">’ </w:t>
      </w:r>
      <w:r w:rsidRPr="00CC7140">
        <w:rPr>
          <w:color w:val="auto"/>
        </w:rPr>
        <w:t>and communicate their importance.</w:t>
      </w:r>
      <w:r w:rsidRPr="00CC7140">
        <w:rPr>
          <w:color w:val="auto"/>
          <w:lang w:val="en-GB"/>
        </w:rPr>
        <w:t xml:space="preserve"> And then there is t</w:t>
      </w:r>
      <w:r w:rsidRPr="00CC7140">
        <w:rPr>
          <w:color w:val="auto"/>
        </w:rPr>
        <w:t xml:space="preserve">he Salisbury-Addison convention </w:t>
      </w:r>
      <w:r w:rsidRPr="00CC7140">
        <w:rPr>
          <w:color w:val="auto"/>
          <w:lang w:val="en-GB"/>
        </w:rPr>
        <w:t xml:space="preserve">which </w:t>
      </w:r>
      <w:r w:rsidRPr="00CC7140">
        <w:rPr>
          <w:color w:val="auto"/>
        </w:rPr>
        <w:t>has become outdated and</w:t>
      </w:r>
      <w:r w:rsidRPr="00CC7140">
        <w:rPr>
          <w:color w:val="auto"/>
          <w:lang w:val="en-GB"/>
        </w:rPr>
        <w:t xml:space="preserve"> </w:t>
      </w:r>
      <w:r w:rsidRPr="00CC7140">
        <w:rPr>
          <w:color w:val="auto"/>
        </w:rPr>
        <w:t xml:space="preserve">should be replaced by a more contemporary understanding of the role of the House of Lords in respect of both coalitions and majority governments. </w:t>
      </w:r>
    </w:p>
    <w:p w:rsidR="0024102C" w:rsidRDefault="0024102C" w:rsidP="00064D2F">
      <w:pPr>
        <w:pStyle w:val="Body"/>
        <w:spacing w:line="480" w:lineRule="auto"/>
      </w:pPr>
    </w:p>
    <w:p w:rsidR="00294829" w:rsidRDefault="00294829" w:rsidP="00064D2F">
      <w:pPr>
        <w:pStyle w:val="Body"/>
        <w:spacing w:line="480" w:lineRule="auto"/>
      </w:pPr>
    </w:p>
    <w:p w:rsidR="00294829" w:rsidRPr="00294829" w:rsidRDefault="00294829" w:rsidP="00064D2F">
      <w:pPr>
        <w:pStyle w:val="Body"/>
        <w:spacing w:line="480" w:lineRule="auto"/>
        <w:rPr>
          <w:i/>
          <w:sz w:val="20"/>
          <w:szCs w:val="20"/>
        </w:rPr>
      </w:pPr>
      <w:r w:rsidRPr="00294829">
        <w:rPr>
          <w:i/>
          <w:sz w:val="20"/>
          <w:szCs w:val="20"/>
        </w:rPr>
        <w:lastRenderedPageBreak/>
        <w:t xml:space="preserve">Acknowledgement: I should like to acknowledge the critical but constructive comments of my two anonymous reviewers who helped to improve this article considerably. </w:t>
      </w:r>
    </w:p>
    <w:p w:rsidR="00294829" w:rsidRDefault="00294829" w:rsidP="00064D2F">
      <w:pPr>
        <w:pStyle w:val="Body"/>
        <w:spacing w:line="480" w:lineRule="auto"/>
      </w:pPr>
    </w:p>
    <w:p w:rsidR="00294829" w:rsidRDefault="00294829" w:rsidP="00064D2F">
      <w:pPr>
        <w:pStyle w:val="Body"/>
        <w:spacing w:line="480" w:lineRule="auto"/>
      </w:pPr>
    </w:p>
    <w:tbl>
      <w:tblPr>
        <w:tblW w:w="5600" w:type="dxa"/>
        <w:tblInd w:w="93" w:type="dxa"/>
        <w:tblLook w:val="04A0" w:firstRow="1" w:lastRow="0" w:firstColumn="1" w:lastColumn="0" w:noHBand="0" w:noVBand="1"/>
      </w:tblPr>
      <w:tblGrid>
        <w:gridCol w:w="1162"/>
        <w:gridCol w:w="1514"/>
        <w:gridCol w:w="1638"/>
        <w:gridCol w:w="1286"/>
      </w:tblGrid>
      <w:tr w:rsidR="00263306" w:rsidRPr="00263306" w:rsidTr="00263306">
        <w:trPr>
          <w:trHeight w:val="300"/>
        </w:trPr>
        <w:tc>
          <w:tcPr>
            <w:tcW w:w="5600" w:type="dxa"/>
            <w:gridSpan w:val="4"/>
            <w:tcBorders>
              <w:top w:val="nil"/>
              <w:left w:val="nil"/>
              <w:bottom w:val="nil"/>
              <w:right w:val="nil"/>
            </w:tcBorders>
            <w:shd w:val="clear" w:color="auto" w:fill="auto"/>
            <w:noWrap/>
            <w:vAlign w:val="bottom"/>
            <w:hideMark/>
          </w:tcPr>
          <w:p w:rsidR="00263306" w:rsidRPr="00263306" w:rsidRDefault="00263306" w:rsidP="0026330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r w:rsidRPr="00263306">
              <w:rPr>
                <w:rFonts w:ascii="Arial" w:eastAsia="Times New Roman" w:hAnsi="Arial" w:cs="Arial"/>
                <w:b/>
                <w:bCs/>
                <w:color w:val="000000"/>
                <w:sz w:val="22"/>
                <w:szCs w:val="22"/>
                <w:bdr w:val="none" w:sz="0" w:space="0" w:color="auto"/>
                <w:lang w:val="en-GB" w:eastAsia="en-GB"/>
              </w:rPr>
              <w:t xml:space="preserve">Table 1: Erosion in Electoral Dominance for </w:t>
            </w:r>
          </w:p>
        </w:tc>
      </w:tr>
      <w:tr w:rsidR="00263306" w:rsidRPr="00263306" w:rsidTr="00263306">
        <w:trPr>
          <w:trHeight w:val="300"/>
        </w:trPr>
        <w:tc>
          <w:tcPr>
            <w:tcW w:w="4314" w:type="dxa"/>
            <w:gridSpan w:val="3"/>
            <w:tcBorders>
              <w:top w:val="nil"/>
              <w:left w:val="nil"/>
              <w:bottom w:val="nil"/>
              <w:right w:val="nil"/>
            </w:tcBorders>
            <w:shd w:val="clear" w:color="auto" w:fill="auto"/>
            <w:noWrap/>
            <w:vAlign w:val="bottom"/>
            <w:hideMark/>
          </w:tcPr>
          <w:p w:rsidR="00263306" w:rsidRPr="00263306" w:rsidRDefault="00263306" w:rsidP="0026330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r w:rsidRPr="00263306">
              <w:rPr>
                <w:rFonts w:ascii="Arial" w:eastAsia="Times New Roman" w:hAnsi="Arial" w:cs="Arial"/>
                <w:b/>
                <w:bCs/>
                <w:color w:val="000000"/>
                <w:sz w:val="22"/>
                <w:szCs w:val="22"/>
                <w:bdr w:val="none" w:sz="0" w:space="0" w:color="auto"/>
                <w:lang w:val="en-GB" w:eastAsia="en-GB"/>
              </w:rPr>
              <w:t>Conservative and Labour Parties</w:t>
            </w:r>
          </w:p>
        </w:tc>
        <w:tc>
          <w:tcPr>
            <w:tcW w:w="1286" w:type="dxa"/>
            <w:tcBorders>
              <w:top w:val="nil"/>
              <w:left w:val="nil"/>
              <w:bottom w:val="nil"/>
              <w:right w:val="nil"/>
            </w:tcBorders>
            <w:shd w:val="clear" w:color="auto" w:fill="auto"/>
            <w:noWrap/>
            <w:vAlign w:val="bottom"/>
            <w:hideMark/>
          </w:tcPr>
          <w:p w:rsidR="00263306" w:rsidRPr="00263306" w:rsidRDefault="00263306" w:rsidP="0026330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p>
        </w:tc>
      </w:tr>
      <w:tr w:rsidR="00263306" w:rsidRPr="00263306" w:rsidTr="00263306">
        <w:trPr>
          <w:trHeight w:val="285"/>
        </w:trPr>
        <w:tc>
          <w:tcPr>
            <w:tcW w:w="1162" w:type="dxa"/>
            <w:tcBorders>
              <w:top w:val="nil"/>
              <w:left w:val="nil"/>
              <w:bottom w:val="nil"/>
              <w:right w:val="nil"/>
            </w:tcBorders>
            <w:shd w:val="clear" w:color="auto" w:fill="auto"/>
            <w:noWrap/>
            <w:vAlign w:val="bottom"/>
            <w:hideMark/>
          </w:tcPr>
          <w:p w:rsidR="00263306" w:rsidRPr="00263306" w:rsidRDefault="00263306" w:rsidP="0026330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p>
        </w:tc>
        <w:tc>
          <w:tcPr>
            <w:tcW w:w="1514" w:type="dxa"/>
            <w:tcBorders>
              <w:top w:val="nil"/>
              <w:left w:val="nil"/>
              <w:bottom w:val="nil"/>
              <w:right w:val="nil"/>
            </w:tcBorders>
            <w:shd w:val="clear" w:color="auto" w:fill="auto"/>
            <w:noWrap/>
            <w:vAlign w:val="bottom"/>
            <w:hideMark/>
          </w:tcPr>
          <w:p w:rsidR="00263306" w:rsidRPr="00263306" w:rsidRDefault="00263306" w:rsidP="0026330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p>
        </w:tc>
        <w:tc>
          <w:tcPr>
            <w:tcW w:w="1638" w:type="dxa"/>
            <w:tcBorders>
              <w:top w:val="nil"/>
              <w:left w:val="nil"/>
              <w:bottom w:val="nil"/>
              <w:right w:val="nil"/>
            </w:tcBorders>
            <w:shd w:val="clear" w:color="auto" w:fill="auto"/>
            <w:noWrap/>
            <w:vAlign w:val="bottom"/>
            <w:hideMark/>
          </w:tcPr>
          <w:p w:rsidR="00263306" w:rsidRPr="00263306" w:rsidRDefault="00263306" w:rsidP="0026330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p>
        </w:tc>
        <w:tc>
          <w:tcPr>
            <w:tcW w:w="1286" w:type="dxa"/>
            <w:tcBorders>
              <w:top w:val="nil"/>
              <w:left w:val="nil"/>
              <w:bottom w:val="nil"/>
              <w:right w:val="nil"/>
            </w:tcBorders>
            <w:shd w:val="clear" w:color="auto" w:fill="auto"/>
            <w:noWrap/>
            <w:vAlign w:val="bottom"/>
            <w:hideMark/>
          </w:tcPr>
          <w:p w:rsidR="00263306" w:rsidRPr="00263306" w:rsidRDefault="00263306" w:rsidP="0026330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p>
        </w:tc>
      </w:tr>
      <w:tr w:rsidR="00263306" w:rsidRPr="00263306" w:rsidTr="00263306">
        <w:trPr>
          <w:trHeight w:val="1500"/>
        </w:trPr>
        <w:tc>
          <w:tcPr>
            <w:tcW w:w="1162" w:type="dxa"/>
            <w:tcBorders>
              <w:top w:val="nil"/>
              <w:left w:val="nil"/>
              <w:bottom w:val="single" w:sz="4" w:space="0" w:color="auto"/>
              <w:right w:val="nil"/>
            </w:tcBorders>
            <w:shd w:val="clear" w:color="auto" w:fill="auto"/>
            <w:noWrap/>
            <w:hideMark/>
          </w:tcPr>
          <w:p w:rsidR="00263306" w:rsidRPr="00263306" w:rsidRDefault="00263306" w:rsidP="0026330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r w:rsidRPr="00263306">
              <w:rPr>
                <w:rFonts w:ascii="Arial" w:eastAsia="Times New Roman" w:hAnsi="Arial" w:cs="Arial"/>
                <w:b/>
                <w:bCs/>
                <w:color w:val="000000"/>
                <w:sz w:val="22"/>
                <w:szCs w:val="22"/>
                <w:bdr w:val="none" w:sz="0" w:space="0" w:color="auto"/>
                <w:lang w:val="en-GB" w:eastAsia="en-GB"/>
              </w:rPr>
              <w:t>Election</w:t>
            </w:r>
          </w:p>
        </w:tc>
        <w:tc>
          <w:tcPr>
            <w:tcW w:w="1514" w:type="dxa"/>
            <w:tcBorders>
              <w:top w:val="nil"/>
              <w:left w:val="nil"/>
              <w:bottom w:val="single" w:sz="4" w:space="0" w:color="auto"/>
              <w:right w:val="nil"/>
            </w:tcBorders>
            <w:shd w:val="clear" w:color="auto" w:fill="auto"/>
            <w:hideMark/>
          </w:tcPr>
          <w:p w:rsidR="00263306" w:rsidRPr="00263306" w:rsidRDefault="00263306" w:rsidP="0026330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r w:rsidRPr="00263306">
              <w:rPr>
                <w:rFonts w:ascii="Arial" w:eastAsia="Times New Roman" w:hAnsi="Arial" w:cs="Arial"/>
                <w:b/>
                <w:bCs/>
                <w:color w:val="000000"/>
                <w:sz w:val="22"/>
                <w:szCs w:val="22"/>
                <w:bdr w:val="none" w:sz="0" w:space="0" w:color="auto"/>
                <w:lang w:val="en-GB" w:eastAsia="en-GB"/>
              </w:rPr>
              <w:t>% Vote for neither Cons or Lab</w:t>
            </w:r>
          </w:p>
        </w:tc>
        <w:tc>
          <w:tcPr>
            <w:tcW w:w="1638" w:type="dxa"/>
            <w:tcBorders>
              <w:top w:val="nil"/>
              <w:left w:val="nil"/>
              <w:bottom w:val="single" w:sz="4" w:space="0" w:color="auto"/>
              <w:right w:val="nil"/>
            </w:tcBorders>
            <w:shd w:val="clear" w:color="auto" w:fill="auto"/>
            <w:hideMark/>
          </w:tcPr>
          <w:p w:rsidR="00263306" w:rsidRPr="00263306" w:rsidRDefault="00263306" w:rsidP="0026330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r w:rsidRPr="00263306">
              <w:rPr>
                <w:rFonts w:ascii="Arial" w:eastAsia="Times New Roman" w:hAnsi="Arial" w:cs="Arial"/>
                <w:b/>
                <w:bCs/>
                <w:color w:val="000000"/>
                <w:sz w:val="22"/>
                <w:szCs w:val="22"/>
                <w:bdr w:val="none" w:sz="0" w:space="0" w:color="auto"/>
                <w:lang w:val="en-GB" w:eastAsia="en-GB"/>
              </w:rPr>
              <w:t>Seats not held by Cons or Lab</w:t>
            </w:r>
          </w:p>
        </w:tc>
        <w:tc>
          <w:tcPr>
            <w:tcW w:w="1286" w:type="dxa"/>
            <w:tcBorders>
              <w:top w:val="nil"/>
              <w:left w:val="nil"/>
              <w:bottom w:val="single" w:sz="4" w:space="0" w:color="auto"/>
              <w:right w:val="nil"/>
            </w:tcBorders>
            <w:shd w:val="clear" w:color="auto" w:fill="auto"/>
            <w:hideMark/>
          </w:tcPr>
          <w:p w:rsidR="00263306" w:rsidRPr="00263306" w:rsidRDefault="00263306" w:rsidP="0026330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r w:rsidRPr="00263306">
              <w:rPr>
                <w:rFonts w:ascii="Arial" w:eastAsia="Times New Roman" w:hAnsi="Arial" w:cs="Arial"/>
                <w:b/>
                <w:bCs/>
                <w:color w:val="000000"/>
                <w:sz w:val="22"/>
                <w:szCs w:val="22"/>
                <w:bdr w:val="none" w:sz="0" w:space="0" w:color="auto"/>
                <w:lang w:val="en-GB" w:eastAsia="en-GB"/>
              </w:rPr>
              <w:t xml:space="preserve">% Vote secured by winning party </w:t>
            </w:r>
          </w:p>
        </w:tc>
      </w:tr>
      <w:tr w:rsidR="00263306" w:rsidRPr="00263306" w:rsidTr="00263306">
        <w:trPr>
          <w:trHeight w:val="300"/>
        </w:trPr>
        <w:tc>
          <w:tcPr>
            <w:tcW w:w="1162" w:type="dxa"/>
            <w:tcBorders>
              <w:top w:val="nil"/>
              <w:left w:val="nil"/>
              <w:bottom w:val="nil"/>
              <w:right w:val="nil"/>
            </w:tcBorders>
            <w:shd w:val="clear" w:color="auto" w:fill="auto"/>
            <w:noWrap/>
            <w:hideMark/>
          </w:tcPr>
          <w:p w:rsidR="00263306" w:rsidRPr="00263306" w:rsidRDefault="00263306" w:rsidP="0026330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p>
        </w:tc>
        <w:tc>
          <w:tcPr>
            <w:tcW w:w="1514" w:type="dxa"/>
            <w:tcBorders>
              <w:top w:val="nil"/>
              <w:left w:val="nil"/>
              <w:bottom w:val="nil"/>
              <w:right w:val="nil"/>
            </w:tcBorders>
            <w:shd w:val="clear" w:color="auto" w:fill="auto"/>
            <w:hideMark/>
          </w:tcPr>
          <w:p w:rsidR="00263306" w:rsidRPr="00263306" w:rsidRDefault="00263306" w:rsidP="0026330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p>
        </w:tc>
        <w:tc>
          <w:tcPr>
            <w:tcW w:w="1638" w:type="dxa"/>
            <w:tcBorders>
              <w:top w:val="nil"/>
              <w:left w:val="nil"/>
              <w:bottom w:val="nil"/>
              <w:right w:val="nil"/>
            </w:tcBorders>
            <w:shd w:val="clear" w:color="auto" w:fill="auto"/>
            <w:hideMark/>
          </w:tcPr>
          <w:p w:rsidR="00263306" w:rsidRPr="00263306" w:rsidRDefault="00263306" w:rsidP="0026330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p>
        </w:tc>
        <w:tc>
          <w:tcPr>
            <w:tcW w:w="1286" w:type="dxa"/>
            <w:tcBorders>
              <w:top w:val="nil"/>
              <w:left w:val="nil"/>
              <w:bottom w:val="nil"/>
              <w:right w:val="nil"/>
            </w:tcBorders>
            <w:shd w:val="clear" w:color="auto" w:fill="auto"/>
            <w:hideMark/>
          </w:tcPr>
          <w:p w:rsidR="00263306" w:rsidRPr="00263306" w:rsidRDefault="00263306" w:rsidP="0026330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p>
        </w:tc>
      </w:tr>
      <w:tr w:rsidR="00263306" w:rsidRPr="00263306" w:rsidTr="00263306">
        <w:trPr>
          <w:trHeight w:val="285"/>
        </w:trPr>
        <w:tc>
          <w:tcPr>
            <w:tcW w:w="1162" w:type="dxa"/>
            <w:tcBorders>
              <w:top w:val="nil"/>
              <w:left w:val="nil"/>
              <w:bottom w:val="nil"/>
              <w:right w:val="nil"/>
            </w:tcBorders>
            <w:shd w:val="clear" w:color="auto" w:fill="auto"/>
            <w:noWrap/>
            <w:hideMark/>
          </w:tcPr>
          <w:p w:rsidR="00263306" w:rsidRPr="00263306" w:rsidRDefault="00263306" w:rsidP="0026330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263306">
              <w:rPr>
                <w:rFonts w:ascii="Arial" w:eastAsia="Times New Roman" w:hAnsi="Arial" w:cs="Arial"/>
                <w:color w:val="000000"/>
                <w:sz w:val="22"/>
                <w:szCs w:val="22"/>
                <w:bdr w:val="none" w:sz="0" w:space="0" w:color="auto"/>
                <w:lang w:val="en-GB" w:eastAsia="en-GB"/>
              </w:rPr>
              <w:t>1945</w:t>
            </w:r>
          </w:p>
        </w:tc>
        <w:tc>
          <w:tcPr>
            <w:tcW w:w="1514" w:type="dxa"/>
            <w:tcBorders>
              <w:top w:val="nil"/>
              <w:left w:val="nil"/>
              <w:bottom w:val="nil"/>
              <w:right w:val="nil"/>
            </w:tcBorders>
            <w:shd w:val="clear" w:color="auto" w:fill="auto"/>
            <w:hideMark/>
          </w:tcPr>
          <w:p w:rsidR="00263306" w:rsidRPr="00263306" w:rsidRDefault="00263306" w:rsidP="0026330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263306">
              <w:rPr>
                <w:rFonts w:ascii="Arial" w:eastAsia="Times New Roman" w:hAnsi="Arial" w:cs="Arial"/>
                <w:color w:val="000000"/>
                <w:sz w:val="22"/>
                <w:szCs w:val="22"/>
                <w:bdr w:val="none" w:sz="0" w:space="0" w:color="auto"/>
                <w:lang w:val="en-GB" w:eastAsia="en-GB"/>
              </w:rPr>
              <w:t>16%</w:t>
            </w:r>
          </w:p>
        </w:tc>
        <w:tc>
          <w:tcPr>
            <w:tcW w:w="1638" w:type="dxa"/>
            <w:tcBorders>
              <w:top w:val="nil"/>
              <w:left w:val="nil"/>
              <w:bottom w:val="nil"/>
              <w:right w:val="nil"/>
            </w:tcBorders>
            <w:shd w:val="clear" w:color="auto" w:fill="auto"/>
            <w:hideMark/>
          </w:tcPr>
          <w:p w:rsidR="00263306" w:rsidRPr="00263306" w:rsidRDefault="00263306" w:rsidP="0026330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263306">
              <w:rPr>
                <w:rFonts w:ascii="Arial" w:eastAsia="Times New Roman" w:hAnsi="Arial" w:cs="Arial"/>
                <w:color w:val="000000"/>
                <w:sz w:val="22"/>
                <w:szCs w:val="22"/>
                <w:bdr w:val="none" w:sz="0" w:space="0" w:color="auto"/>
                <w:lang w:val="en-GB" w:eastAsia="en-GB"/>
              </w:rPr>
              <w:t>50 (of 640)*</w:t>
            </w:r>
          </w:p>
        </w:tc>
        <w:tc>
          <w:tcPr>
            <w:tcW w:w="1286" w:type="dxa"/>
            <w:tcBorders>
              <w:top w:val="nil"/>
              <w:left w:val="nil"/>
              <w:bottom w:val="nil"/>
              <w:right w:val="nil"/>
            </w:tcBorders>
            <w:shd w:val="clear" w:color="auto" w:fill="auto"/>
            <w:hideMark/>
          </w:tcPr>
          <w:p w:rsidR="00263306" w:rsidRPr="00263306" w:rsidRDefault="00263306" w:rsidP="0026330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263306">
              <w:rPr>
                <w:rFonts w:ascii="Arial" w:eastAsia="Times New Roman" w:hAnsi="Arial" w:cs="Arial"/>
                <w:color w:val="000000"/>
                <w:sz w:val="22"/>
                <w:szCs w:val="22"/>
                <w:bdr w:val="none" w:sz="0" w:space="0" w:color="auto"/>
                <w:lang w:val="en-GB" w:eastAsia="en-GB"/>
              </w:rPr>
              <w:t>47.70%</w:t>
            </w:r>
          </w:p>
        </w:tc>
      </w:tr>
      <w:tr w:rsidR="00263306" w:rsidRPr="00263306" w:rsidTr="00263306">
        <w:trPr>
          <w:trHeight w:val="285"/>
        </w:trPr>
        <w:tc>
          <w:tcPr>
            <w:tcW w:w="1162" w:type="dxa"/>
            <w:tcBorders>
              <w:top w:val="nil"/>
              <w:left w:val="nil"/>
              <w:bottom w:val="nil"/>
              <w:right w:val="nil"/>
            </w:tcBorders>
            <w:shd w:val="clear" w:color="auto" w:fill="auto"/>
            <w:noWrap/>
            <w:hideMark/>
          </w:tcPr>
          <w:p w:rsidR="00263306" w:rsidRPr="00263306" w:rsidRDefault="00263306" w:rsidP="0026330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263306">
              <w:rPr>
                <w:rFonts w:ascii="Arial" w:eastAsia="Times New Roman" w:hAnsi="Arial" w:cs="Arial"/>
                <w:color w:val="000000"/>
                <w:sz w:val="22"/>
                <w:szCs w:val="22"/>
                <w:bdr w:val="none" w:sz="0" w:space="0" w:color="auto"/>
                <w:lang w:val="en-GB" w:eastAsia="en-GB"/>
              </w:rPr>
              <w:t>1950</w:t>
            </w:r>
          </w:p>
        </w:tc>
        <w:tc>
          <w:tcPr>
            <w:tcW w:w="1514" w:type="dxa"/>
            <w:tcBorders>
              <w:top w:val="nil"/>
              <w:left w:val="nil"/>
              <w:bottom w:val="nil"/>
              <w:right w:val="nil"/>
            </w:tcBorders>
            <w:shd w:val="clear" w:color="auto" w:fill="auto"/>
            <w:hideMark/>
          </w:tcPr>
          <w:p w:rsidR="00263306" w:rsidRPr="00263306" w:rsidRDefault="00263306" w:rsidP="0026330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263306">
              <w:rPr>
                <w:rFonts w:ascii="Arial" w:eastAsia="Times New Roman" w:hAnsi="Arial" w:cs="Arial"/>
                <w:color w:val="000000"/>
                <w:sz w:val="22"/>
                <w:szCs w:val="22"/>
                <w:bdr w:val="none" w:sz="0" w:space="0" w:color="auto"/>
                <w:lang w:val="en-GB" w:eastAsia="en-GB"/>
              </w:rPr>
              <w:t>14%</w:t>
            </w:r>
          </w:p>
        </w:tc>
        <w:tc>
          <w:tcPr>
            <w:tcW w:w="1638" w:type="dxa"/>
            <w:tcBorders>
              <w:top w:val="nil"/>
              <w:left w:val="nil"/>
              <w:bottom w:val="nil"/>
              <w:right w:val="nil"/>
            </w:tcBorders>
            <w:shd w:val="clear" w:color="auto" w:fill="auto"/>
            <w:hideMark/>
          </w:tcPr>
          <w:p w:rsidR="00263306" w:rsidRPr="00263306" w:rsidRDefault="00263306" w:rsidP="0026330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263306">
              <w:rPr>
                <w:rFonts w:ascii="Arial" w:eastAsia="Times New Roman" w:hAnsi="Arial" w:cs="Arial"/>
                <w:color w:val="000000"/>
                <w:sz w:val="22"/>
                <w:szCs w:val="22"/>
                <w:bdr w:val="none" w:sz="0" w:space="0" w:color="auto"/>
                <w:lang w:val="en-GB" w:eastAsia="en-GB"/>
              </w:rPr>
              <w:t>28 (of 625)*</w:t>
            </w:r>
          </w:p>
        </w:tc>
        <w:tc>
          <w:tcPr>
            <w:tcW w:w="1286" w:type="dxa"/>
            <w:tcBorders>
              <w:top w:val="nil"/>
              <w:left w:val="nil"/>
              <w:bottom w:val="nil"/>
              <w:right w:val="nil"/>
            </w:tcBorders>
            <w:shd w:val="clear" w:color="auto" w:fill="auto"/>
            <w:hideMark/>
          </w:tcPr>
          <w:p w:rsidR="00263306" w:rsidRPr="00263306" w:rsidRDefault="00263306" w:rsidP="0026330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263306">
              <w:rPr>
                <w:rFonts w:ascii="Arial" w:eastAsia="Times New Roman" w:hAnsi="Arial" w:cs="Arial"/>
                <w:color w:val="000000"/>
                <w:sz w:val="22"/>
                <w:szCs w:val="22"/>
                <w:bdr w:val="none" w:sz="0" w:space="0" w:color="auto"/>
                <w:lang w:val="en-GB" w:eastAsia="en-GB"/>
              </w:rPr>
              <w:t>46.10%</w:t>
            </w:r>
          </w:p>
        </w:tc>
      </w:tr>
      <w:tr w:rsidR="00263306" w:rsidRPr="00263306" w:rsidTr="00263306">
        <w:trPr>
          <w:trHeight w:val="285"/>
        </w:trPr>
        <w:tc>
          <w:tcPr>
            <w:tcW w:w="1162" w:type="dxa"/>
            <w:tcBorders>
              <w:top w:val="nil"/>
              <w:left w:val="nil"/>
              <w:bottom w:val="nil"/>
              <w:right w:val="nil"/>
            </w:tcBorders>
            <w:shd w:val="clear" w:color="auto" w:fill="auto"/>
            <w:noWrap/>
            <w:vAlign w:val="bottom"/>
            <w:hideMark/>
          </w:tcPr>
          <w:p w:rsidR="00263306" w:rsidRPr="00263306" w:rsidRDefault="00263306" w:rsidP="0026330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263306">
              <w:rPr>
                <w:rFonts w:ascii="Arial" w:eastAsia="Times New Roman" w:hAnsi="Arial" w:cs="Arial"/>
                <w:color w:val="000000"/>
                <w:sz w:val="22"/>
                <w:szCs w:val="22"/>
                <w:bdr w:val="none" w:sz="0" w:space="0" w:color="auto"/>
                <w:lang w:val="en-GB" w:eastAsia="en-GB"/>
              </w:rPr>
              <w:t>1951</w:t>
            </w:r>
          </w:p>
        </w:tc>
        <w:tc>
          <w:tcPr>
            <w:tcW w:w="1514" w:type="dxa"/>
            <w:tcBorders>
              <w:top w:val="nil"/>
              <w:left w:val="nil"/>
              <w:bottom w:val="nil"/>
              <w:right w:val="nil"/>
            </w:tcBorders>
            <w:shd w:val="clear" w:color="auto" w:fill="auto"/>
            <w:noWrap/>
            <w:vAlign w:val="bottom"/>
            <w:hideMark/>
          </w:tcPr>
          <w:p w:rsidR="00263306" w:rsidRPr="00263306" w:rsidRDefault="00263306" w:rsidP="0026330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263306">
              <w:rPr>
                <w:rFonts w:ascii="Arial" w:eastAsia="Times New Roman" w:hAnsi="Arial" w:cs="Arial"/>
                <w:color w:val="000000"/>
                <w:sz w:val="22"/>
                <w:szCs w:val="22"/>
                <w:bdr w:val="none" w:sz="0" w:space="0" w:color="auto"/>
                <w:lang w:val="en-GB" w:eastAsia="en-GB"/>
              </w:rPr>
              <w:t>3%</w:t>
            </w:r>
          </w:p>
        </w:tc>
        <w:tc>
          <w:tcPr>
            <w:tcW w:w="1638" w:type="dxa"/>
            <w:tcBorders>
              <w:top w:val="nil"/>
              <w:left w:val="nil"/>
              <w:bottom w:val="nil"/>
              <w:right w:val="nil"/>
            </w:tcBorders>
            <w:shd w:val="clear" w:color="auto" w:fill="auto"/>
            <w:noWrap/>
            <w:vAlign w:val="bottom"/>
            <w:hideMark/>
          </w:tcPr>
          <w:p w:rsidR="00263306" w:rsidRPr="00263306" w:rsidRDefault="00263306" w:rsidP="0026330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263306">
              <w:rPr>
                <w:rFonts w:ascii="Arial" w:eastAsia="Times New Roman" w:hAnsi="Arial" w:cs="Arial"/>
                <w:color w:val="000000"/>
                <w:sz w:val="22"/>
                <w:szCs w:val="22"/>
                <w:bdr w:val="none" w:sz="0" w:space="0" w:color="auto"/>
                <w:lang w:val="en-GB" w:eastAsia="en-GB"/>
              </w:rPr>
              <w:t>9 (of 625)</w:t>
            </w:r>
          </w:p>
        </w:tc>
        <w:tc>
          <w:tcPr>
            <w:tcW w:w="1286" w:type="dxa"/>
            <w:tcBorders>
              <w:top w:val="nil"/>
              <w:left w:val="nil"/>
              <w:bottom w:val="nil"/>
              <w:right w:val="nil"/>
            </w:tcBorders>
            <w:shd w:val="clear" w:color="auto" w:fill="auto"/>
            <w:noWrap/>
            <w:vAlign w:val="bottom"/>
            <w:hideMark/>
          </w:tcPr>
          <w:p w:rsidR="00263306" w:rsidRPr="00263306" w:rsidRDefault="00263306" w:rsidP="0026330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263306">
              <w:rPr>
                <w:rFonts w:ascii="Arial" w:eastAsia="Times New Roman" w:hAnsi="Arial" w:cs="Arial"/>
                <w:color w:val="000000"/>
                <w:sz w:val="22"/>
                <w:szCs w:val="22"/>
                <w:bdr w:val="none" w:sz="0" w:space="0" w:color="auto"/>
                <w:lang w:val="en-GB" w:eastAsia="en-GB"/>
              </w:rPr>
              <w:t>48.0%**</w:t>
            </w:r>
          </w:p>
        </w:tc>
      </w:tr>
      <w:tr w:rsidR="00263306" w:rsidRPr="00263306" w:rsidTr="00263306">
        <w:trPr>
          <w:trHeight w:val="285"/>
        </w:trPr>
        <w:tc>
          <w:tcPr>
            <w:tcW w:w="1162" w:type="dxa"/>
            <w:tcBorders>
              <w:top w:val="nil"/>
              <w:left w:val="nil"/>
              <w:bottom w:val="nil"/>
              <w:right w:val="nil"/>
            </w:tcBorders>
            <w:shd w:val="clear" w:color="auto" w:fill="auto"/>
            <w:noWrap/>
            <w:vAlign w:val="bottom"/>
            <w:hideMark/>
          </w:tcPr>
          <w:p w:rsidR="00263306" w:rsidRPr="00263306" w:rsidRDefault="00263306" w:rsidP="0026330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263306">
              <w:rPr>
                <w:rFonts w:ascii="Arial" w:eastAsia="Times New Roman" w:hAnsi="Arial" w:cs="Arial"/>
                <w:color w:val="000000"/>
                <w:sz w:val="22"/>
                <w:szCs w:val="22"/>
                <w:bdr w:val="none" w:sz="0" w:space="0" w:color="auto"/>
                <w:lang w:val="en-GB" w:eastAsia="en-GB"/>
              </w:rPr>
              <w:t>1955</w:t>
            </w:r>
          </w:p>
        </w:tc>
        <w:tc>
          <w:tcPr>
            <w:tcW w:w="1514" w:type="dxa"/>
            <w:tcBorders>
              <w:top w:val="nil"/>
              <w:left w:val="nil"/>
              <w:bottom w:val="nil"/>
              <w:right w:val="nil"/>
            </w:tcBorders>
            <w:shd w:val="clear" w:color="auto" w:fill="auto"/>
            <w:noWrap/>
            <w:vAlign w:val="bottom"/>
            <w:hideMark/>
          </w:tcPr>
          <w:p w:rsidR="00263306" w:rsidRPr="00263306" w:rsidRDefault="00263306" w:rsidP="0026330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263306">
              <w:rPr>
                <w:rFonts w:ascii="Arial" w:eastAsia="Times New Roman" w:hAnsi="Arial" w:cs="Arial"/>
                <w:color w:val="000000"/>
                <w:sz w:val="22"/>
                <w:szCs w:val="22"/>
                <w:bdr w:val="none" w:sz="0" w:space="0" w:color="auto"/>
                <w:lang w:val="en-GB" w:eastAsia="en-GB"/>
              </w:rPr>
              <w:t>4%</w:t>
            </w:r>
          </w:p>
        </w:tc>
        <w:tc>
          <w:tcPr>
            <w:tcW w:w="1638" w:type="dxa"/>
            <w:tcBorders>
              <w:top w:val="nil"/>
              <w:left w:val="nil"/>
              <w:bottom w:val="nil"/>
              <w:right w:val="nil"/>
            </w:tcBorders>
            <w:shd w:val="clear" w:color="auto" w:fill="auto"/>
            <w:noWrap/>
            <w:vAlign w:val="bottom"/>
            <w:hideMark/>
          </w:tcPr>
          <w:p w:rsidR="00263306" w:rsidRPr="00263306" w:rsidRDefault="00263306" w:rsidP="0026330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263306">
              <w:rPr>
                <w:rFonts w:ascii="Arial" w:eastAsia="Times New Roman" w:hAnsi="Arial" w:cs="Arial"/>
                <w:color w:val="000000"/>
                <w:sz w:val="22"/>
                <w:szCs w:val="22"/>
                <w:bdr w:val="none" w:sz="0" w:space="0" w:color="auto"/>
                <w:lang w:val="en-GB" w:eastAsia="en-GB"/>
              </w:rPr>
              <w:t>8 (of 630)</w:t>
            </w:r>
          </w:p>
        </w:tc>
        <w:tc>
          <w:tcPr>
            <w:tcW w:w="1286" w:type="dxa"/>
            <w:tcBorders>
              <w:top w:val="nil"/>
              <w:left w:val="nil"/>
              <w:bottom w:val="nil"/>
              <w:right w:val="nil"/>
            </w:tcBorders>
            <w:shd w:val="clear" w:color="auto" w:fill="auto"/>
            <w:noWrap/>
            <w:vAlign w:val="bottom"/>
            <w:hideMark/>
          </w:tcPr>
          <w:p w:rsidR="00263306" w:rsidRPr="00263306" w:rsidRDefault="00263306" w:rsidP="0026330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263306">
              <w:rPr>
                <w:rFonts w:ascii="Arial" w:eastAsia="Times New Roman" w:hAnsi="Arial" w:cs="Arial"/>
                <w:color w:val="000000"/>
                <w:sz w:val="22"/>
                <w:szCs w:val="22"/>
                <w:bdr w:val="none" w:sz="0" w:space="0" w:color="auto"/>
                <w:lang w:val="en-GB" w:eastAsia="en-GB"/>
              </w:rPr>
              <w:t>49.7%</w:t>
            </w:r>
          </w:p>
        </w:tc>
      </w:tr>
      <w:tr w:rsidR="00263306" w:rsidRPr="00263306" w:rsidTr="00263306">
        <w:trPr>
          <w:trHeight w:val="285"/>
        </w:trPr>
        <w:tc>
          <w:tcPr>
            <w:tcW w:w="1162" w:type="dxa"/>
            <w:tcBorders>
              <w:top w:val="nil"/>
              <w:left w:val="nil"/>
              <w:bottom w:val="nil"/>
              <w:right w:val="nil"/>
            </w:tcBorders>
            <w:shd w:val="clear" w:color="auto" w:fill="auto"/>
            <w:noWrap/>
            <w:vAlign w:val="bottom"/>
            <w:hideMark/>
          </w:tcPr>
          <w:p w:rsidR="00263306" w:rsidRPr="00263306" w:rsidRDefault="00263306" w:rsidP="0026330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263306">
              <w:rPr>
                <w:rFonts w:ascii="Arial" w:eastAsia="Times New Roman" w:hAnsi="Arial" w:cs="Arial"/>
                <w:color w:val="000000"/>
                <w:sz w:val="22"/>
                <w:szCs w:val="22"/>
                <w:bdr w:val="none" w:sz="0" w:space="0" w:color="auto"/>
                <w:lang w:val="en-GB" w:eastAsia="en-GB"/>
              </w:rPr>
              <w:t>1959</w:t>
            </w:r>
          </w:p>
        </w:tc>
        <w:tc>
          <w:tcPr>
            <w:tcW w:w="1514" w:type="dxa"/>
            <w:tcBorders>
              <w:top w:val="nil"/>
              <w:left w:val="nil"/>
              <w:bottom w:val="nil"/>
              <w:right w:val="nil"/>
            </w:tcBorders>
            <w:shd w:val="clear" w:color="auto" w:fill="auto"/>
            <w:noWrap/>
            <w:vAlign w:val="bottom"/>
            <w:hideMark/>
          </w:tcPr>
          <w:p w:rsidR="00263306" w:rsidRPr="00263306" w:rsidRDefault="00263306" w:rsidP="0026330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263306">
              <w:rPr>
                <w:rFonts w:ascii="Arial" w:eastAsia="Times New Roman" w:hAnsi="Arial" w:cs="Arial"/>
                <w:color w:val="000000"/>
                <w:sz w:val="22"/>
                <w:szCs w:val="22"/>
                <w:bdr w:val="none" w:sz="0" w:space="0" w:color="auto"/>
                <w:lang w:val="en-GB" w:eastAsia="en-GB"/>
              </w:rPr>
              <w:t>7%</w:t>
            </w:r>
          </w:p>
        </w:tc>
        <w:tc>
          <w:tcPr>
            <w:tcW w:w="1638" w:type="dxa"/>
            <w:tcBorders>
              <w:top w:val="nil"/>
              <w:left w:val="nil"/>
              <w:bottom w:val="nil"/>
              <w:right w:val="nil"/>
            </w:tcBorders>
            <w:shd w:val="clear" w:color="auto" w:fill="auto"/>
            <w:noWrap/>
            <w:vAlign w:val="bottom"/>
            <w:hideMark/>
          </w:tcPr>
          <w:p w:rsidR="00263306" w:rsidRPr="00263306" w:rsidRDefault="00263306" w:rsidP="0026330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263306">
              <w:rPr>
                <w:rFonts w:ascii="Arial" w:eastAsia="Times New Roman" w:hAnsi="Arial" w:cs="Arial"/>
                <w:color w:val="000000"/>
                <w:sz w:val="22"/>
                <w:szCs w:val="22"/>
                <w:bdr w:val="none" w:sz="0" w:space="0" w:color="auto"/>
                <w:lang w:val="en-GB" w:eastAsia="en-GB"/>
              </w:rPr>
              <w:t>7 (of 630)</w:t>
            </w:r>
          </w:p>
        </w:tc>
        <w:tc>
          <w:tcPr>
            <w:tcW w:w="1286" w:type="dxa"/>
            <w:tcBorders>
              <w:top w:val="nil"/>
              <w:left w:val="nil"/>
              <w:bottom w:val="nil"/>
              <w:right w:val="nil"/>
            </w:tcBorders>
            <w:shd w:val="clear" w:color="auto" w:fill="auto"/>
            <w:noWrap/>
            <w:vAlign w:val="bottom"/>
            <w:hideMark/>
          </w:tcPr>
          <w:p w:rsidR="00263306" w:rsidRPr="00263306" w:rsidRDefault="00263306" w:rsidP="0026330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263306">
              <w:rPr>
                <w:rFonts w:ascii="Arial" w:eastAsia="Times New Roman" w:hAnsi="Arial" w:cs="Arial"/>
                <w:color w:val="000000"/>
                <w:sz w:val="22"/>
                <w:szCs w:val="22"/>
                <w:bdr w:val="none" w:sz="0" w:space="0" w:color="auto"/>
                <w:lang w:val="en-GB" w:eastAsia="en-GB"/>
              </w:rPr>
              <w:t>49.4%</w:t>
            </w:r>
          </w:p>
        </w:tc>
      </w:tr>
      <w:tr w:rsidR="00263306" w:rsidRPr="00263306" w:rsidTr="00263306">
        <w:trPr>
          <w:trHeight w:val="285"/>
        </w:trPr>
        <w:tc>
          <w:tcPr>
            <w:tcW w:w="1162" w:type="dxa"/>
            <w:tcBorders>
              <w:top w:val="nil"/>
              <w:left w:val="nil"/>
              <w:bottom w:val="nil"/>
              <w:right w:val="nil"/>
            </w:tcBorders>
            <w:shd w:val="clear" w:color="auto" w:fill="auto"/>
            <w:noWrap/>
            <w:vAlign w:val="bottom"/>
            <w:hideMark/>
          </w:tcPr>
          <w:p w:rsidR="00263306" w:rsidRPr="00263306" w:rsidRDefault="00263306" w:rsidP="0026330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263306">
              <w:rPr>
                <w:rFonts w:ascii="Arial" w:eastAsia="Times New Roman" w:hAnsi="Arial" w:cs="Arial"/>
                <w:color w:val="000000"/>
                <w:sz w:val="22"/>
                <w:szCs w:val="22"/>
                <w:bdr w:val="none" w:sz="0" w:space="0" w:color="auto"/>
                <w:lang w:val="en-GB" w:eastAsia="en-GB"/>
              </w:rPr>
              <w:t>1964</w:t>
            </w:r>
          </w:p>
        </w:tc>
        <w:tc>
          <w:tcPr>
            <w:tcW w:w="1514" w:type="dxa"/>
            <w:tcBorders>
              <w:top w:val="nil"/>
              <w:left w:val="nil"/>
              <w:bottom w:val="nil"/>
              <w:right w:val="nil"/>
            </w:tcBorders>
            <w:shd w:val="clear" w:color="auto" w:fill="auto"/>
            <w:noWrap/>
            <w:vAlign w:val="bottom"/>
            <w:hideMark/>
          </w:tcPr>
          <w:p w:rsidR="00263306" w:rsidRPr="00263306" w:rsidRDefault="00263306" w:rsidP="0026330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263306">
              <w:rPr>
                <w:rFonts w:ascii="Arial" w:eastAsia="Times New Roman" w:hAnsi="Arial" w:cs="Arial"/>
                <w:color w:val="000000"/>
                <w:sz w:val="22"/>
                <w:szCs w:val="22"/>
                <w:bdr w:val="none" w:sz="0" w:space="0" w:color="auto"/>
                <w:lang w:val="en-GB" w:eastAsia="en-GB"/>
              </w:rPr>
              <w:t>12%</w:t>
            </w:r>
          </w:p>
        </w:tc>
        <w:tc>
          <w:tcPr>
            <w:tcW w:w="1638" w:type="dxa"/>
            <w:tcBorders>
              <w:top w:val="nil"/>
              <w:left w:val="nil"/>
              <w:bottom w:val="nil"/>
              <w:right w:val="nil"/>
            </w:tcBorders>
            <w:shd w:val="clear" w:color="auto" w:fill="auto"/>
            <w:noWrap/>
            <w:vAlign w:val="bottom"/>
            <w:hideMark/>
          </w:tcPr>
          <w:p w:rsidR="00263306" w:rsidRPr="00263306" w:rsidRDefault="00263306" w:rsidP="0026330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263306">
              <w:rPr>
                <w:rFonts w:ascii="Arial" w:eastAsia="Times New Roman" w:hAnsi="Arial" w:cs="Arial"/>
                <w:color w:val="000000"/>
                <w:sz w:val="22"/>
                <w:szCs w:val="22"/>
                <w:bdr w:val="none" w:sz="0" w:space="0" w:color="auto"/>
                <w:lang w:val="en-GB" w:eastAsia="en-GB"/>
              </w:rPr>
              <w:t xml:space="preserve">9 (of 630) </w:t>
            </w:r>
          </w:p>
        </w:tc>
        <w:tc>
          <w:tcPr>
            <w:tcW w:w="1286" w:type="dxa"/>
            <w:tcBorders>
              <w:top w:val="nil"/>
              <w:left w:val="nil"/>
              <w:bottom w:val="nil"/>
              <w:right w:val="nil"/>
            </w:tcBorders>
            <w:shd w:val="clear" w:color="auto" w:fill="auto"/>
            <w:noWrap/>
            <w:vAlign w:val="bottom"/>
            <w:hideMark/>
          </w:tcPr>
          <w:p w:rsidR="00263306" w:rsidRPr="00263306" w:rsidRDefault="00263306" w:rsidP="0026330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263306">
              <w:rPr>
                <w:rFonts w:ascii="Arial" w:eastAsia="Times New Roman" w:hAnsi="Arial" w:cs="Arial"/>
                <w:color w:val="000000"/>
                <w:sz w:val="22"/>
                <w:szCs w:val="22"/>
                <w:bdr w:val="none" w:sz="0" w:space="0" w:color="auto"/>
                <w:lang w:val="en-GB" w:eastAsia="en-GB"/>
              </w:rPr>
              <w:t>44.1%</w:t>
            </w:r>
          </w:p>
        </w:tc>
      </w:tr>
      <w:tr w:rsidR="00263306" w:rsidRPr="00263306" w:rsidTr="00263306">
        <w:trPr>
          <w:trHeight w:val="285"/>
        </w:trPr>
        <w:tc>
          <w:tcPr>
            <w:tcW w:w="1162" w:type="dxa"/>
            <w:tcBorders>
              <w:top w:val="nil"/>
              <w:left w:val="nil"/>
              <w:bottom w:val="nil"/>
              <w:right w:val="nil"/>
            </w:tcBorders>
            <w:shd w:val="clear" w:color="auto" w:fill="auto"/>
            <w:noWrap/>
            <w:vAlign w:val="bottom"/>
            <w:hideMark/>
          </w:tcPr>
          <w:p w:rsidR="00263306" w:rsidRPr="00263306" w:rsidRDefault="00263306" w:rsidP="0026330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263306">
              <w:rPr>
                <w:rFonts w:ascii="Arial" w:eastAsia="Times New Roman" w:hAnsi="Arial" w:cs="Arial"/>
                <w:color w:val="000000"/>
                <w:sz w:val="22"/>
                <w:szCs w:val="22"/>
                <w:bdr w:val="none" w:sz="0" w:space="0" w:color="auto"/>
                <w:lang w:val="en-GB" w:eastAsia="en-GB"/>
              </w:rPr>
              <w:t>1966</w:t>
            </w:r>
          </w:p>
        </w:tc>
        <w:tc>
          <w:tcPr>
            <w:tcW w:w="1514" w:type="dxa"/>
            <w:tcBorders>
              <w:top w:val="nil"/>
              <w:left w:val="nil"/>
              <w:bottom w:val="nil"/>
              <w:right w:val="nil"/>
            </w:tcBorders>
            <w:shd w:val="clear" w:color="auto" w:fill="auto"/>
            <w:noWrap/>
            <w:vAlign w:val="bottom"/>
            <w:hideMark/>
          </w:tcPr>
          <w:p w:rsidR="00263306" w:rsidRPr="00263306" w:rsidRDefault="00263306" w:rsidP="0026330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263306">
              <w:rPr>
                <w:rFonts w:ascii="Arial" w:eastAsia="Times New Roman" w:hAnsi="Arial" w:cs="Arial"/>
                <w:color w:val="000000"/>
                <w:sz w:val="22"/>
                <w:szCs w:val="22"/>
                <w:bdr w:val="none" w:sz="0" w:space="0" w:color="auto"/>
                <w:lang w:val="en-GB" w:eastAsia="en-GB"/>
              </w:rPr>
              <w:t>10%</w:t>
            </w:r>
          </w:p>
        </w:tc>
        <w:tc>
          <w:tcPr>
            <w:tcW w:w="1638" w:type="dxa"/>
            <w:tcBorders>
              <w:top w:val="nil"/>
              <w:left w:val="nil"/>
              <w:bottom w:val="nil"/>
              <w:right w:val="nil"/>
            </w:tcBorders>
            <w:shd w:val="clear" w:color="auto" w:fill="auto"/>
            <w:noWrap/>
            <w:vAlign w:val="bottom"/>
            <w:hideMark/>
          </w:tcPr>
          <w:p w:rsidR="00263306" w:rsidRPr="00263306" w:rsidRDefault="00263306" w:rsidP="0026330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263306">
              <w:rPr>
                <w:rFonts w:ascii="Arial" w:eastAsia="Times New Roman" w:hAnsi="Arial" w:cs="Arial"/>
                <w:color w:val="000000"/>
                <w:sz w:val="22"/>
                <w:szCs w:val="22"/>
                <w:bdr w:val="none" w:sz="0" w:space="0" w:color="auto"/>
                <w:lang w:val="en-GB" w:eastAsia="en-GB"/>
              </w:rPr>
              <w:t>13 (of 630)</w:t>
            </w:r>
          </w:p>
        </w:tc>
        <w:tc>
          <w:tcPr>
            <w:tcW w:w="1286" w:type="dxa"/>
            <w:tcBorders>
              <w:top w:val="nil"/>
              <w:left w:val="nil"/>
              <w:bottom w:val="nil"/>
              <w:right w:val="nil"/>
            </w:tcBorders>
            <w:shd w:val="clear" w:color="auto" w:fill="auto"/>
            <w:noWrap/>
            <w:vAlign w:val="bottom"/>
            <w:hideMark/>
          </w:tcPr>
          <w:p w:rsidR="00263306" w:rsidRPr="00263306" w:rsidRDefault="00263306" w:rsidP="0026330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263306">
              <w:rPr>
                <w:rFonts w:ascii="Arial" w:eastAsia="Times New Roman" w:hAnsi="Arial" w:cs="Arial"/>
                <w:color w:val="000000"/>
                <w:sz w:val="22"/>
                <w:szCs w:val="22"/>
                <w:bdr w:val="none" w:sz="0" w:space="0" w:color="auto"/>
                <w:lang w:val="en-GB" w:eastAsia="en-GB"/>
              </w:rPr>
              <w:t>48.0%</w:t>
            </w:r>
          </w:p>
        </w:tc>
      </w:tr>
      <w:tr w:rsidR="00263306" w:rsidRPr="00263306" w:rsidTr="00263306">
        <w:trPr>
          <w:trHeight w:val="285"/>
        </w:trPr>
        <w:tc>
          <w:tcPr>
            <w:tcW w:w="1162" w:type="dxa"/>
            <w:tcBorders>
              <w:top w:val="nil"/>
              <w:left w:val="nil"/>
              <w:bottom w:val="nil"/>
              <w:right w:val="nil"/>
            </w:tcBorders>
            <w:shd w:val="clear" w:color="auto" w:fill="auto"/>
            <w:noWrap/>
            <w:vAlign w:val="bottom"/>
            <w:hideMark/>
          </w:tcPr>
          <w:p w:rsidR="00263306" w:rsidRPr="00263306" w:rsidRDefault="00263306" w:rsidP="0026330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263306">
              <w:rPr>
                <w:rFonts w:ascii="Arial" w:eastAsia="Times New Roman" w:hAnsi="Arial" w:cs="Arial"/>
                <w:color w:val="000000"/>
                <w:sz w:val="22"/>
                <w:szCs w:val="22"/>
                <w:bdr w:val="none" w:sz="0" w:space="0" w:color="auto"/>
                <w:lang w:val="en-GB" w:eastAsia="en-GB"/>
              </w:rPr>
              <w:t>1970</w:t>
            </w:r>
          </w:p>
        </w:tc>
        <w:tc>
          <w:tcPr>
            <w:tcW w:w="1514" w:type="dxa"/>
            <w:tcBorders>
              <w:top w:val="nil"/>
              <w:left w:val="nil"/>
              <w:bottom w:val="nil"/>
              <w:right w:val="nil"/>
            </w:tcBorders>
            <w:shd w:val="clear" w:color="auto" w:fill="auto"/>
            <w:noWrap/>
            <w:vAlign w:val="bottom"/>
            <w:hideMark/>
          </w:tcPr>
          <w:p w:rsidR="00263306" w:rsidRPr="00263306" w:rsidRDefault="00263306" w:rsidP="0026330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263306">
              <w:rPr>
                <w:rFonts w:ascii="Arial" w:eastAsia="Times New Roman" w:hAnsi="Arial" w:cs="Arial"/>
                <w:color w:val="000000"/>
                <w:sz w:val="22"/>
                <w:szCs w:val="22"/>
                <w:bdr w:val="none" w:sz="0" w:space="0" w:color="auto"/>
                <w:lang w:val="en-GB" w:eastAsia="en-GB"/>
              </w:rPr>
              <w:t>11%</w:t>
            </w:r>
          </w:p>
        </w:tc>
        <w:tc>
          <w:tcPr>
            <w:tcW w:w="1638" w:type="dxa"/>
            <w:tcBorders>
              <w:top w:val="nil"/>
              <w:left w:val="nil"/>
              <w:bottom w:val="nil"/>
              <w:right w:val="nil"/>
            </w:tcBorders>
            <w:shd w:val="clear" w:color="auto" w:fill="auto"/>
            <w:noWrap/>
            <w:vAlign w:val="bottom"/>
            <w:hideMark/>
          </w:tcPr>
          <w:p w:rsidR="00263306" w:rsidRPr="00263306" w:rsidRDefault="00263306" w:rsidP="0026330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263306">
              <w:rPr>
                <w:rFonts w:ascii="Arial" w:eastAsia="Times New Roman" w:hAnsi="Arial" w:cs="Arial"/>
                <w:color w:val="000000"/>
                <w:sz w:val="22"/>
                <w:szCs w:val="22"/>
                <w:bdr w:val="none" w:sz="0" w:space="0" w:color="auto"/>
                <w:lang w:val="en-GB" w:eastAsia="en-GB"/>
              </w:rPr>
              <w:t>12 (of 630)</w:t>
            </w:r>
          </w:p>
        </w:tc>
        <w:tc>
          <w:tcPr>
            <w:tcW w:w="1286" w:type="dxa"/>
            <w:tcBorders>
              <w:top w:val="nil"/>
              <w:left w:val="nil"/>
              <w:bottom w:val="nil"/>
              <w:right w:val="nil"/>
            </w:tcBorders>
            <w:shd w:val="clear" w:color="auto" w:fill="auto"/>
            <w:noWrap/>
            <w:vAlign w:val="bottom"/>
            <w:hideMark/>
          </w:tcPr>
          <w:p w:rsidR="00263306" w:rsidRPr="00263306" w:rsidRDefault="00263306" w:rsidP="0026330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263306">
              <w:rPr>
                <w:rFonts w:ascii="Arial" w:eastAsia="Times New Roman" w:hAnsi="Arial" w:cs="Arial"/>
                <w:color w:val="000000"/>
                <w:sz w:val="22"/>
                <w:szCs w:val="22"/>
                <w:bdr w:val="none" w:sz="0" w:space="0" w:color="auto"/>
                <w:lang w:val="en-GB" w:eastAsia="en-GB"/>
              </w:rPr>
              <w:t>46.40%</w:t>
            </w:r>
          </w:p>
        </w:tc>
      </w:tr>
      <w:tr w:rsidR="00263306" w:rsidRPr="00263306" w:rsidTr="00263306">
        <w:trPr>
          <w:trHeight w:val="285"/>
        </w:trPr>
        <w:tc>
          <w:tcPr>
            <w:tcW w:w="1162" w:type="dxa"/>
            <w:tcBorders>
              <w:top w:val="nil"/>
              <w:left w:val="nil"/>
              <w:bottom w:val="nil"/>
              <w:right w:val="nil"/>
            </w:tcBorders>
            <w:shd w:val="clear" w:color="auto" w:fill="auto"/>
            <w:noWrap/>
            <w:vAlign w:val="bottom"/>
            <w:hideMark/>
          </w:tcPr>
          <w:p w:rsidR="00263306" w:rsidRPr="00263306" w:rsidRDefault="00263306" w:rsidP="0026330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263306">
              <w:rPr>
                <w:rFonts w:ascii="Arial" w:eastAsia="Times New Roman" w:hAnsi="Arial" w:cs="Arial"/>
                <w:color w:val="000000"/>
                <w:sz w:val="22"/>
                <w:szCs w:val="22"/>
                <w:bdr w:val="none" w:sz="0" w:space="0" w:color="auto"/>
                <w:lang w:val="en-GB" w:eastAsia="en-GB"/>
              </w:rPr>
              <w:t>1974 (F)</w:t>
            </w:r>
          </w:p>
        </w:tc>
        <w:tc>
          <w:tcPr>
            <w:tcW w:w="1514" w:type="dxa"/>
            <w:tcBorders>
              <w:top w:val="nil"/>
              <w:left w:val="nil"/>
              <w:bottom w:val="nil"/>
              <w:right w:val="nil"/>
            </w:tcBorders>
            <w:shd w:val="clear" w:color="auto" w:fill="auto"/>
            <w:noWrap/>
            <w:vAlign w:val="bottom"/>
            <w:hideMark/>
          </w:tcPr>
          <w:p w:rsidR="00263306" w:rsidRPr="00263306" w:rsidRDefault="00263306" w:rsidP="0026330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263306">
              <w:rPr>
                <w:rFonts w:ascii="Arial" w:eastAsia="Times New Roman" w:hAnsi="Arial" w:cs="Arial"/>
                <w:color w:val="000000"/>
                <w:sz w:val="22"/>
                <w:szCs w:val="22"/>
                <w:bdr w:val="none" w:sz="0" w:space="0" w:color="auto"/>
                <w:lang w:val="en-GB" w:eastAsia="en-GB"/>
              </w:rPr>
              <w:t>25%</w:t>
            </w:r>
          </w:p>
        </w:tc>
        <w:tc>
          <w:tcPr>
            <w:tcW w:w="1638" w:type="dxa"/>
            <w:tcBorders>
              <w:top w:val="nil"/>
              <w:left w:val="nil"/>
              <w:bottom w:val="nil"/>
              <w:right w:val="nil"/>
            </w:tcBorders>
            <w:shd w:val="clear" w:color="auto" w:fill="auto"/>
            <w:noWrap/>
            <w:vAlign w:val="bottom"/>
            <w:hideMark/>
          </w:tcPr>
          <w:p w:rsidR="00263306" w:rsidRPr="00263306" w:rsidRDefault="00263306" w:rsidP="0026330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263306">
              <w:rPr>
                <w:rFonts w:ascii="Arial" w:eastAsia="Times New Roman" w:hAnsi="Arial" w:cs="Arial"/>
                <w:color w:val="000000"/>
                <w:sz w:val="22"/>
                <w:szCs w:val="22"/>
                <w:bdr w:val="none" w:sz="0" w:space="0" w:color="auto"/>
                <w:lang w:val="en-GB" w:eastAsia="en-GB"/>
              </w:rPr>
              <w:t>37 (of 635)</w:t>
            </w:r>
          </w:p>
        </w:tc>
        <w:tc>
          <w:tcPr>
            <w:tcW w:w="1286" w:type="dxa"/>
            <w:tcBorders>
              <w:top w:val="nil"/>
              <w:left w:val="nil"/>
              <w:bottom w:val="nil"/>
              <w:right w:val="nil"/>
            </w:tcBorders>
            <w:shd w:val="clear" w:color="auto" w:fill="auto"/>
            <w:noWrap/>
            <w:vAlign w:val="bottom"/>
            <w:hideMark/>
          </w:tcPr>
          <w:p w:rsidR="00263306" w:rsidRPr="00263306" w:rsidRDefault="00263306" w:rsidP="0026330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263306">
              <w:rPr>
                <w:rFonts w:ascii="Arial" w:eastAsia="Times New Roman" w:hAnsi="Arial" w:cs="Arial"/>
                <w:color w:val="000000"/>
                <w:sz w:val="22"/>
                <w:szCs w:val="22"/>
                <w:bdr w:val="none" w:sz="0" w:space="0" w:color="auto"/>
                <w:lang w:val="en-GB" w:eastAsia="en-GB"/>
              </w:rPr>
              <w:t>37.2%**</w:t>
            </w:r>
          </w:p>
        </w:tc>
      </w:tr>
      <w:tr w:rsidR="00263306" w:rsidRPr="00263306" w:rsidTr="00263306">
        <w:trPr>
          <w:trHeight w:val="285"/>
        </w:trPr>
        <w:tc>
          <w:tcPr>
            <w:tcW w:w="1162" w:type="dxa"/>
            <w:tcBorders>
              <w:top w:val="nil"/>
              <w:left w:val="nil"/>
              <w:bottom w:val="nil"/>
              <w:right w:val="nil"/>
            </w:tcBorders>
            <w:shd w:val="clear" w:color="auto" w:fill="auto"/>
            <w:noWrap/>
            <w:vAlign w:val="bottom"/>
            <w:hideMark/>
          </w:tcPr>
          <w:p w:rsidR="00263306" w:rsidRPr="00263306" w:rsidRDefault="00263306" w:rsidP="0026330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263306">
              <w:rPr>
                <w:rFonts w:ascii="Arial" w:eastAsia="Times New Roman" w:hAnsi="Arial" w:cs="Arial"/>
                <w:color w:val="000000"/>
                <w:sz w:val="22"/>
                <w:szCs w:val="22"/>
                <w:bdr w:val="none" w:sz="0" w:space="0" w:color="auto"/>
                <w:lang w:val="en-GB" w:eastAsia="en-GB"/>
              </w:rPr>
              <w:t>1974 (O)</w:t>
            </w:r>
          </w:p>
        </w:tc>
        <w:tc>
          <w:tcPr>
            <w:tcW w:w="1514" w:type="dxa"/>
            <w:tcBorders>
              <w:top w:val="nil"/>
              <w:left w:val="nil"/>
              <w:bottom w:val="nil"/>
              <w:right w:val="nil"/>
            </w:tcBorders>
            <w:shd w:val="clear" w:color="auto" w:fill="auto"/>
            <w:noWrap/>
            <w:vAlign w:val="bottom"/>
            <w:hideMark/>
          </w:tcPr>
          <w:p w:rsidR="00263306" w:rsidRPr="00263306" w:rsidRDefault="00263306" w:rsidP="0026330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263306">
              <w:rPr>
                <w:rFonts w:ascii="Arial" w:eastAsia="Times New Roman" w:hAnsi="Arial" w:cs="Arial"/>
                <w:color w:val="000000"/>
                <w:sz w:val="22"/>
                <w:szCs w:val="22"/>
                <w:bdr w:val="none" w:sz="0" w:space="0" w:color="auto"/>
                <w:lang w:val="en-GB" w:eastAsia="en-GB"/>
              </w:rPr>
              <w:t>25%</w:t>
            </w:r>
          </w:p>
        </w:tc>
        <w:tc>
          <w:tcPr>
            <w:tcW w:w="1638" w:type="dxa"/>
            <w:tcBorders>
              <w:top w:val="nil"/>
              <w:left w:val="nil"/>
              <w:bottom w:val="nil"/>
              <w:right w:val="nil"/>
            </w:tcBorders>
            <w:shd w:val="clear" w:color="auto" w:fill="auto"/>
            <w:noWrap/>
            <w:vAlign w:val="bottom"/>
            <w:hideMark/>
          </w:tcPr>
          <w:p w:rsidR="00263306" w:rsidRPr="00263306" w:rsidRDefault="00263306" w:rsidP="0026330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263306">
              <w:rPr>
                <w:rFonts w:ascii="Arial" w:eastAsia="Times New Roman" w:hAnsi="Arial" w:cs="Arial"/>
                <w:color w:val="000000"/>
                <w:sz w:val="22"/>
                <w:szCs w:val="22"/>
                <w:bdr w:val="none" w:sz="0" w:space="0" w:color="auto"/>
                <w:lang w:val="en-GB" w:eastAsia="en-GB"/>
              </w:rPr>
              <w:t>39 (of 635)</w:t>
            </w:r>
          </w:p>
        </w:tc>
        <w:tc>
          <w:tcPr>
            <w:tcW w:w="1286" w:type="dxa"/>
            <w:tcBorders>
              <w:top w:val="nil"/>
              <w:left w:val="nil"/>
              <w:bottom w:val="nil"/>
              <w:right w:val="nil"/>
            </w:tcBorders>
            <w:shd w:val="clear" w:color="auto" w:fill="auto"/>
            <w:noWrap/>
            <w:vAlign w:val="bottom"/>
            <w:hideMark/>
          </w:tcPr>
          <w:p w:rsidR="00263306" w:rsidRPr="00263306" w:rsidRDefault="00263306" w:rsidP="0026330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263306">
              <w:rPr>
                <w:rFonts w:ascii="Arial" w:eastAsia="Times New Roman" w:hAnsi="Arial" w:cs="Arial"/>
                <w:color w:val="000000"/>
                <w:sz w:val="22"/>
                <w:szCs w:val="22"/>
                <w:bdr w:val="none" w:sz="0" w:space="0" w:color="auto"/>
                <w:lang w:val="en-GB" w:eastAsia="en-GB"/>
              </w:rPr>
              <w:t>39.2%</w:t>
            </w:r>
          </w:p>
        </w:tc>
      </w:tr>
      <w:tr w:rsidR="00263306" w:rsidRPr="00263306" w:rsidTr="00263306">
        <w:trPr>
          <w:trHeight w:val="285"/>
        </w:trPr>
        <w:tc>
          <w:tcPr>
            <w:tcW w:w="1162" w:type="dxa"/>
            <w:tcBorders>
              <w:top w:val="nil"/>
              <w:left w:val="nil"/>
              <w:bottom w:val="nil"/>
              <w:right w:val="nil"/>
            </w:tcBorders>
            <w:shd w:val="clear" w:color="auto" w:fill="auto"/>
            <w:noWrap/>
            <w:vAlign w:val="bottom"/>
            <w:hideMark/>
          </w:tcPr>
          <w:p w:rsidR="00263306" w:rsidRPr="00263306" w:rsidRDefault="00263306" w:rsidP="0026330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263306">
              <w:rPr>
                <w:rFonts w:ascii="Arial" w:eastAsia="Times New Roman" w:hAnsi="Arial" w:cs="Arial"/>
                <w:color w:val="000000"/>
                <w:sz w:val="22"/>
                <w:szCs w:val="22"/>
                <w:bdr w:val="none" w:sz="0" w:space="0" w:color="auto"/>
                <w:lang w:val="en-GB" w:eastAsia="en-GB"/>
              </w:rPr>
              <w:t>1979</w:t>
            </w:r>
          </w:p>
        </w:tc>
        <w:tc>
          <w:tcPr>
            <w:tcW w:w="1514" w:type="dxa"/>
            <w:tcBorders>
              <w:top w:val="nil"/>
              <w:left w:val="nil"/>
              <w:bottom w:val="nil"/>
              <w:right w:val="nil"/>
            </w:tcBorders>
            <w:shd w:val="clear" w:color="auto" w:fill="auto"/>
            <w:noWrap/>
            <w:vAlign w:val="bottom"/>
            <w:hideMark/>
          </w:tcPr>
          <w:p w:rsidR="00263306" w:rsidRPr="00263306" w:rsidRDefault="00263306" w:rsidP="0026330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263306">
              <w:rPr>
                <w:rFonts w:ascii="Arial" w:eastAsia="Times New Roman" w:hAnsi="Arial" w:cs="Arial"/>
                <w:color w:val="000000"/>
                <w:sz w:val="22"/>
                <w:szCs w:val="22"/>
                <w:bdr w:val="none" w:sz="0" w:space="0" w:color="auto"/>
                <w:lang w:val="en-GB" w:eastAsia="en-GB"/>
              </w:rPr>
              <w:t>19%</w:t>
            </w:r>
          </w:p>
        </w:tc>
        <w:tc>
          <w:tcPr>
            <w:tcW w:w="1638" w:type="dxa"/>
            <w:tcBorders>
              <w:top w:val="nil"/>
              <w:left w:val="nil"/>
              <w:bottom w:val="nil"/>
              <w:right w:val="nil"/>
            </w:tcBorders>
            <w:shd w:val="clear" w:color="auto" w:fill="auto"/>
            <w:noWrap/>
            <w:vAlign w:val="bottom"/>
            <w:hideMark/>
          </w:tcPr>
          <w:p w:rsidR="00263306" w:rsidRPr="00263306" w:rsidRDefault="00263306" w:rsidP="0026330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263306">
              <w:rPr>
                <w:rFonts w:ascii="Arial" w:eastAsia="Times New Roman" w:hAnsi="Arial" w:cs="Arial"/>
                <w:color w:val="000000"/>
                <w:sz w:val="22"/>
                <w:szCs w:val="22"/>
                <w:bdr w:val="none" w:sz="0" w:space="0" w:color="auto"/>
                <w:lang w:val="en-GB" w:eastAsia="en-GB"/>
              </w:rPr>
              <w:t>27 (of 635)</w:t>
            </w:r>
          </w:p>
        </w:tc>
        <w:tc>
          <w:tcPr>
            <w:tcW w:w="1286" w:type="dxa"/>
            <w:tcBorders>
              <w:top w:val="nil"/>
              <w:left w:val="nil"/>
              <w:bottom w:val="nil"/>
              <w:right w:val="nil"/>
            </w:tcBorders>
            <w:shd w:val="clear" w:color="auto" w:fill="auto"/>
            <w:noWrap/>
            <w:vAlign w:val="bottom"/>
            <w:hideMark/>
          </w:tcPr>
          <w:p w:rsidR="00263306" w:rsidRPr="00263306" w:rsidRDefault="00263306" w:rsidP="0026330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263306">
              <w:rPr>
                <w:rFonts w:ascii="Arial" w:eastAsia="Times New Roman" w:hAnsi="Arial" w:cs="Arial"/>
                <w:color w:val="000000"/>
                <w:sz w:val="22"/>
                <w:szCs w:val="22"/>
                <w:bdr w:val="none" w:sz="0" w:space="0" w:color="auto"/>
                <w:lang w:val="en-GB" w:eastAsia="en-GB"/>
              </w:rPr>
              <w:t>43.9%</w:t>
            </w:r>
          </w:p>
        </w:tc>
      </w:tr>
      <w:tr w:rsidR="00263306" w:rsidRPr="00263306" w:rsidTr="00263306">
        <w:trPr>
          <w:trHeight w:val="285"/>
        </w:trPr>
        <w:tc>
          <w:tcPr>
            <w:tcW w:w="1162" w:type="dxa"/>
            <w:tcBorders>
              <w:top w:val="nil"/>
              <w:left w:val="nil"/>
              <w:bottom w:val="nil"/>
              <w:right w:val="nil"/>
            </w:tcBorders>
            <w:shd w:val="clear" w:color="auto" w:fill="auto"/>
            <w:noWrap/>
            <w:vAlign w:val="bottom"/>
            <w:hideMark/>
          </w:tcPr>
          <w:p w:rsidR="00263306" w:rsidRPr="00263306" w:rsidRDefault="00263306" w:rsidP="0026330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263306">
              <w:rPr>
                <w:rFonts w:ascii="Arial" w:eastAsia="Times New Roman" w:hAnsi="Arial" w:cs="Arial"/>
                <w:color w:val="000000"/>
                <w:sz w:val="22"/>
                <w:szCs w:val="22"/>
                <w:bdr w:val="none" w:sz="0" w:space="0" w:color="auto"/>
                <w:lang w:val="en-GB" w:eastAsia="en-GB"/>
              </w:rPr>
              <w:t>1983</w:t>
            </w:r>
          </w:p>
        </w:tc>
        <w:tc>
          <w:tcPr>
            <w:tcW w:w="1514" w:type="dxa"/>
            <w:tcBorders>
              <w:top w:val="nil"/>
              <w:left w:val="nil"/>
              <w:bottom w:val="nil"/>
              <w:right w:val="nil"/>
            </w:tcBorders>
            <w:shd w:val="clear" w:color="auto" w:fill="auto"/>
            <w:noWrap/>
            <w:vAlign w:val="bottom"/>
            <w:hideMark/>
          </w:tcPr>
          <w:p w:rsidR="00263306" w:rsidRPr="00263306" w:rsidRDefault="00263306" w:rsidP="0026330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263306">
              <w:rPr>
                <w:rFonts w:ascii="Arial" w:eastAsia="Times New Roman" w:hAnsi="Arial" w:cs="Arial"/>
                <w:color w:val="000000"/>
                <w:sz w:val="22"/>
                <w:szCs w:val="22"/>
                <w:bdr w:val="none" w:sz="0" w:space="0" w:color="auto"/>
                <w:lang w:val="en-GB" w:eastAsia="en-GB"/>
              </w:rPr>
              <w:t>30%</w:t>
            </w:r>
          </w:p>
        </w:tc>
        <w:tc>
          <w:tcPr>
            <w:tcW w:w="1638" w:type="dxa"/>
            <w:tcBorders>
              <w:top w:val="nil"/>
              <w:left w:val="nil"/>
              <w:bottom w:val="nil"/>
              <w:right w:val="nil"/>
            </w:tcBorders>
            <w:shd w:val="clear" w:color="auto" w:fill="auto"/>
            <w:noWrap/>
            <w:vAlign w:val="bottom"/>
            <w:hideMark/>
          </w:tcPr>
          <w:p w:rsidR="00263306" w:rsidRPr="00263306" w:rsidRDefault="00263306" w:rsidP="0026330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263306">
              <w:rPr>
                <w:rFonts w:ascii="Arial" w:eastAsia="Times New Roman" w:hAnsi="Arial" w:cs="Arial"/>
                <w:color w:val="000000"/>
                <w:sz w:val="22"/>
                <w:szCs w:val="22"/>
                <w:bdr w:val="none" w:sz="0" w:space="0" w:color="auto"/>
                <w:lang w:val="en-GB" w:eastAsia="en-GB"/>
              </w:rPr>
              <w:t>44 (of 650)</w:t>
            </w:r>
          </w:p>
        </w:tc>
        <w:tc>
          <w:tcPr>
            <w:tcW w:w="1286" w:type="dxa"/>
            <w:tcBorders>
              <w:top w:val="nil"/>
              <w:left w:val="nil"/>
              <w:bottom w:val="nil"/>
              <w:right w:val="nil"/>
            </w:tcBorders>
            <w:shd w:val="clear" w:color="auto" w:fill="auto"/>
            <w:noWrap/>
            <w:vAlign w:val="bottom"/>
            <w:hideMark/>
          </w:tcPr>
          <w:p w:rsidR="00263306" w:rsidRPr="00263306" w:rsidRDefault="00263306" w:rsidP="0026330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263306">
              <w:rPr>
                <w:rFonts w:ascii="Arial" w:eastAsia="Times New Roman" w:hAnsi="Arial" w:cs="Arial"/>
                <w:color w:val="000000"/>
                <w:sz w:val="22"/>
                <w:szCs w:val="22"/>
                <w:bdr w:val="none" w:sz="0" w:space="0" w:color="auto"/>
                <w:lang w:val="en-GB" w:eastAsia="en-GB"/>
              </w:rPr>
              <w:t>42.4%</w:t>
            </w:r>
          </w:p>
        </w:tc>
      </w:tr>
      <w:tr w:rsidR="00263306" w:rsidRPr="00263306" w:rsidTr="00263306">
        <w:trPr>
          <w:trHeight w:val="285"/>
        </w:trPr>
        <w:tc>
          <w:tcPr>
            <w:tcW w:w="1162" w:type="dxa"/>
            <w:tcBorders>
              <w:top w:val="nil"/>
              <w:left w:val="nil"/>
              <w:bottom w:val="nil"/>
              <w:right w:val="nil"/>
            </w:tcBorders>
            <w:shd w:val="clear" w:color="auto" w:fill="auto"/>
            <w:noWrap/>
            <w:vAlign w:val="bottom"/>
            <w:hideMark/>
          </w:tcPr>
          <w:p w:rsidR="00263306" w:rsidRPr="00263306" w:rsidRDefault="00263306" w:rsidP="0026330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263306">
              <w:rPr>
                <w:rFonts w:ascii="Arial" w:eastAsia="Times New Roman" w:hAnsi="Arial" w:cs="Arial"/>
                <w:color w:val="000000"/>
                <w:sz w:val="22"/>
                <w:szCs w:val="22"/>
                <w:bdr w:val="none" w:sz="0" w:space="0" w:color="auto"/>
                <w:lang w:val="en-GB" w:eastAsia="en-GB"/>
              </w:rPr>
              <w:t>1987</w:t>
            </w:r>
          </w:p>
        </w:tc>
        <w:tc>
          <w:tcPr>
            <w:tcW w:w="1514" w:type="dxa"/>
            <w:tcBorders>
              <w:top w:val="nil"/>
              <w:left w:val="nil"/>
              <w:bottom w:val="nil"/>
              <w:right w:val="nil"/>
            </w:tcBorders>
            <w:shd w:val="clear" w:color="auto" w:fill="auto"/>
            <w:noWrap/>
            <w:vAlign w:val="bottom"/>
            <w:hideMark/>
          </w:tcPr>
          <w:p w:rsidR="00263306" w:rsidRPr="00263306" w:rsidRDefault="00263306" w:rsidP="0026330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263306">
              <w:rPr>
                <w:rFonts w:ascii="Arial" w:eastAsia="Times New Roman" w:hAnsi="Arial" w:cs="Arial"/>
                <w:color w:val="000000"/>
                <w:sz w:val="22"/>
                <w:szCs w:val="22"/>
                <w:bdr w:val="none" w:sz="0" w:space="0" w:color="auto"/>
                <w:lang w:val="en-GB" w:eastAsia="en-GB"/>
              </w:rPr>
              <w:t>27%</w:t>
            </w:r>
          </w:p>
        </w:tc>
        <w:tc>
          <w:tcPr>
            <w:tcW w:w="1638" w:type="dxa"/>
            <w:tcBorders>
              <w:top w:val="nil"/>
              <w:left w:val="nil"/>
              <w:bottom w:val="nil"/>
              <w:right w:val="nil"/>
            </w:tcBorders>
            <w:shd w:val="clear" w:color="auto" w:fill="auto"/>
            <w:noWrap/>
            <w:vAlign w:val="bottom"/>
            <w:hideMark/>
          </w:tcPr>
          <w:p w:rsidR="00263306" w:rsidRPr="00263306" w:rsidRDefault="00263306" w:rsidP="0026330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263306">
              <w:rPr>
                <w:rFonts w:ascii="Arial" w:eastAsia="Times New Roman" w:hAnsi="Arial" w:cs="Arial"/>
                <w:color w:val="000000"/>
                <w:sz w:val="22"/>
                <w:szCs w:val="22"/>
                <w:bdr w:val="none" w:sz="0" w:space="0" w:color="auto"/>
                <w:lang w:val="en-GB" w:eastAsia="en-GB"/>
              </w:rPr>
              <w:t>45 (of 650)</w:t>
            </w:r>
          </w:p>
        </w:tc>
        <w:tc>
          <w:tcPr>
            <w:tcW w:w="1286" w:type="dxa"/>
            <w:tcBorders>
              <w:top w:val="nil"/>
              <w:left w:val="nil"/>
              <w:bottom w:val="nil"/>
              <w:right w:val="nil"/>
            </w:tcBorders>
            <w:shd w:val="clear" w:color="auto" w:fill="auto"/>
            <w:noWrap/>
            <w:vAlign w:val="bottom"/>
            <w:hideMark/>
          </w:tcPr>
          <w:p w:rsidR="00263306" w:rsidRPr="00263306" w:rsidRDefault="00263306" w:rsidP="0026330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263306">
              <w:rPr>
                <w:rFonts w:ascii="Arial" w:eastAsia="Times New Roman" w:hAnsi="Arial" w:cs="Arial"/>
                <w:color w:val="000000"/>
                <w:sz w:val="22"/>
                <w:szCs w:val="22"/>
                <w:bdr w:val="none" w:sz="0" w:space="0" w:color="auto"/>
                <w:lang w:val="en-GB" w:eastAsia="en-GB"/>
              </w:rPr>
              <w:t>42.2%</w:t>
            </w:r>
          </w:p>
        </w:tc>
      </w:tr>
      <w:tr w:rsidR="00263306" w:rsidRPr="00263306" w:rsidTr="00263306">
        <w:trPr>
          <w:trHeight w:val="285"/>
        </w:trPr>
        <w:tc>
          <w:tcPr>
            <w:tcW w:w="1162" w:type="dxa"/>
            <w:tcBorders>
              <w:top w:val="nil"/>
              <w:left w:val="nil"/>
              <w:bottom w:val="nil"/>
              <w:right w:val="nil"/>
            </w:tcBorders>
            <w:shd w:val="clear" w:color="auto" w:fill="auto"/>
            <w:noWrap/>
            <w:vAlign w:val="bottom"/>
            <w:hideMark/>
          </w:tcPr>
          <w:p w:rsidR="00263306" w:rsidRPr="00263306" w:rsidRDefault="00263306" w:rsidP="0026330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263306">
              <w:rPr>
                <w:rFonts w:ascii="Arial" w:eastAsia="Times New Roman" w:hAnsi="Arial" w:cs="Arial"/>
                <w:color w:val="000000"/>
                <w:sz w:val="22"/>
                <w:szCs w:val="22"/>
                <w:bdr w:val="none" w:sz="0" w:space="0" w:color="auto"/>
                <w:lang w:val="en-GB" w:eastAsia="en-GB"/>
              </w:rPr>
              <w:t>1992</w:t>
            </w:r>
          </w:p>
        </w:tc>
        <w:tc>
          <w:tcPr>
            <w:tcW w:w="1514" w:type="dxa"/>
            <w:tcBorders>
              <w:top w:val="nil"/>
              <w:left w:val="nil"/>
              <w:bottom w:val="nil"/>
              <w:right w:val="nil"/>
            </w:tcBorders>
            <w:shd w:val="clear" w:color="auto" w:fill="auto"/>
            <w:noWrap/>
            <w:vAlign w:val="bottom"/>
            <w:hideMark/>
          </w:tcPr>
          <w:p w:rsidR="00263306" w:rsidRPr="00263306" w:rsidRDefault="00263306" w:rsidP="0026330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263306">
              <w:rPr>
                <w:rFonts w:ascii="Arial" w:eastAsia="Times New Roman" w:hAnsi="Arial" w:cs="Arial"/>
                <w:color w:val="000000"/>
                <w:sz w:val="22"/>
                <w:szCs w:val="22"/>
                <w:bdr w:val="none" w:sz="0" w:space="0" w:color="auto"/>
                <w:lang w:val="en-GB" w:eastAsia="en-GB"/>
              </w:rPr>
              <w:t>24%</w:t>
            </w:r>
          </w:p>
        </w:tc>
        <w:tc>
          <w:tcPr>
            <w:tcW w:w="1638" w:type="dxa"/>
            <w:tcBorders>
              <w:top w:val="nil"/>
              <w:left w:val="nil"/>
              <w:bottom w:val="nil"/>
              <w:right w:val="nil"/>
            </w:tcBorders>
            <w:shd w:val="clear" w:color="auto" w:fill="auto"/>
            <w:noWrap/>
            <w:vAlign w:val="bottom"/>
            <w:hideMark/>
          </w:tcPr>
          <w:p w:rsidR="00263306" w:rsidRPr="00263306" w:rsidRDefault="00263306" w:rsidP="0026330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263306">
              <w:rPr>
                <w:rFonts w:ascii="Arial" w:eastAsia="Times New Roman" w:hAnsi="Arial" w:cs="Arial"/>
                <w:color w:val="000000"/>
                <w:sz w:val="22"/>
                <w:szCs w:val="22"/>
                <w:bdr w:val="none" w:sz="0" w:space="0" w:color="auto"/>
                <w:lang w:val="en-GB" w:eastAsia="en-GB"/>
              </w:rPr>
              <w:t>44 (of 651)</w:t>
            </w:r>
          </w:p>
        </w:tc>
        <w:tc>
          <w:tcPr>
            <w:tcW w:w="1286" w:type="dxa"/>
            <w:tcBorders>
              <w:top w:val="nil"/>
              <w:left w:val="nil"/>
              <w:bottom w:val="nil"/>
              <w:right w:val="nil"/>
            </w:tcBorders>
            <w:shd w:val="clear" w:color="auto" w:fill="auto"/>
            <w:noWrap/>
            <w:vAlign w:val="bottom"/>
            <w:hideMark/>
          </w:tcPr>
          <w:p w:rsidR="00263306" w:rsidRPr="00263306" w:rsidRDefault="00263306" w:rsidP="0026330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263306">
              <w:rPr>
                <w:rFonts w:ascii="Arial" w:eastAsia="Times New Roman" w:hAnsi="Arial" w:cs="Arial"/>
                <w:color w:val="000000"/>
                <w:sz w:val="22"/>
                <w:szCs w:val="22"/>
                <w:bdr w:val="none" w:sz="0" w:space="0" w:color="auto"/>
                <w:lang w:val="en-GB" w:eastAsia="en-GB"/>
              </w:rPr>
              <w:t>41.9%</w:t>
            </w:r>
          </w:p>
        </w:tc>
      </w:tr>
      <w:tr w:rsidR="00263306" w:rsidRPr="00263306" w:rsidTr="00263306">
        <w:trPr>
          <w:trHeight w:val="285"/>
        </w:trPr>
        <w:tc>
          <w:tcPr>
            <w:tcW w:w="1162" w:type="dxa"/>
            <w:tcBorders>
              <w:top w:val="nil"/>
              <w:left w:val="nil"/>
              <w:bottom w:val="nil"/>
              <w:right w:val="nil"/>
            </w:tcBorders>
            <w:shd w:val="clear" w:color="auto" w:fill="auto"/>
            <w:noWrap/>
            <w:vAlign w:val="bottom"/>
            <w:hideMark/>
          </w:tcPr>
          <w:p w:rsidR="00263306" w:rsidRPr="00263306" w:rsidRDefault="00263306" w:rsidP="0026330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263306">
              <w:rPr>
                <w:rFonts w:ascii="Arial" w:eastAsia="Times New Roman" w:hAnsi="Arial" w:cs="Arial"/>
                <w:color w:val="000000"/>
                <w:sz w:val="22"/>
                <w:szCs w:val="22"/>
                <w:bdr w:val="none" w:sz="0" w:space="0" w:color="auto"/>
                <w:lang w:val="en-GB" w:eastAsia="en-GB"/>
              </w:rPr>
              <w:t>1997</w:t>
            </w:r>
          </w:p>
        </w:tc>
        <w:tc>
          <w:tcPr>
            <w:tcW w:w="1514" w:type="dxa"/>
            <w:tcBorders>
              <w:top w:val="nil"/>
              <w:left w:val="nil"/>
              <w:bottom w:val="nil"/>
              <w:right w:val="nil"/>
            </w:tcBorders>
            <w:shd w:val="clear" w:color="auto" w:fill="auto"/>
            <w:noWrap/>
            <w:vAlign w:val="bottom"/>
            <w:hideMark/>
          </w:tcPr>
          <w:p w:rsidR="00263306" w:rsidRPr="00263306" w:rsidRDefault="00263306" w:rsidP="0026330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263306">
              <w:rPr>
                <w:rFonts w:ascii="Arial" w:eastAsia="Times New Roman" w:hAnsi="Arial" w:cs="Arial"/>
                <w:color w:val="000000"/>
                <w:sz w:val="22"/>
                <w:szCs w:val="22"/>
                <w:bdr w:val="none" w:sz="0" w:space="0" w:color="auto"/>
                <w:lang w:val="en-GB" w:eastAsia="en-GB"/>
              </w:rPr>
              <w:t>26%</w:t>
            </w:r>
          </w:p>
        </w:tc>
        <w:tc>
          <w:tcPr>
            <w:tcW w:w="1638" w:type="dxa"/>
            <w:tcBorders>
              <w:top w:val="nil"/>
              <w:left w:val="nil"/>
              <w:bottom w:val="nil"/>
              <w:right w:val="nil"/>
            </w:tcBorders>
            <w:shd w:val="clear" w:color="auto" w:fill="auto"/>
            <w:noWrap/>
            <w:vAlign w:val="bottom"/>
            <w:hideMark/>
          </w:tcPr>
          <w:p w:rsidR="00263306" w:rsidRPr="00263306" w:rsidRDefault="00263306" w:rsidP="0026330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263306">
              <w:rPr>
                <w:rFonts w:ascii="Arial" w:eastAsia="Times New Roman" w:hAnsi="Arial" w:cs="Arial"/>
                <w:color w:val="000000"/>
                <w:sz w:val="22"/>
                <w:szCs w:val="22"/>
                <w:bdr w:val="none" w:sz="0" w:space="0" w:color="auto"/>
                <w:lang w:val="en-GB" w:eastAsia="en-GB"/>
              </w:rPr>
              <w:t>76 (of 659)</w:t>
            </w:r>
          </w:p>
        </w:tc>
        <w:tc>
          <w:tcPr>
            <w:tcW w:w="1286" w:type="dxa"/>
            <w:tcBorders>
              <w:top w:val="nil"/>
              <w:left w:val="nil"/>
              <w:bottom w:val="nil"/>
              <w:right w:val="nil"/>
            </w:tcBorders>
            <w:shd w:val="clear" w:color="auto" w:fill="auto"/>
            <w:noWrap/>
            <w:vAlign w:val="bottom"/>
            <w:hideMark/>
          </w:tcPr>
          <w:p w:rsidR="00263306" w:rsidRPr="00263306" w:rsidRDefault="00263306" w:rsidP="0026330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263306">
              <w:rPr>
                <w:rFonts w:ascii="Arial" w:eastAsia="Times New Roman" w:hAnsi="Arial" w:cs="Arial"/>
                <w:color w:val="000000"/>
                <w:sz w:val="22"/>
                <w:szCs w:val="22"/>
                <w:bdr w:val="none" w:sz="0" w:space="0" w:color="auto"/>
                <w:lang w:val="en-GB" w:eastAsia="en-GB"/>
              </w:rPr>
              <w:t>43.2%</w:t>
            </w:r>
          </w:p>
        </w:tc>
      </w:tr>
      <w:tr w:rsidR="00263306" w:rsidRPr="00263306" w:rsidTr="00263306">
        <w:trPr>
          <w:trHeight w:val="285"/>
        </w:trPr>
        <w:tc>
          <w:tcPr>
            <w:tcW w:w="1162" w:type="dxa"/>
            <w:tcBorders>
              <w:top w:val="nil"/>
              <w:left w:val="nil"/>
              <w:bottom w:val="nil"/>
              <w:right w:val="nil"/>
            </w:tcBorders>
            <w:shd w:val="clear" w:color="auto" w:fill="auto"/>
            <w:noWrap/>
            <w:vAlign w:val="bottom"/>
            <w:hideMark/>
          </w:tcPr>
          <w:p w:rsidR="00263306" w:rsidRPr="00263306" w:rsidRDefault="00263306" w:rsidP="0026330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263306">
              <w:rPr>
                <w:rFonts w:ascii="Arial" w:eastAsia="Times New Roman" w:hAnsi="Arial" w:cs="Arial"/>
                <w:color w:val="000000"/>
                <w:sz w:val="22"/>
                <w:szCs w:val="22"/>
                <w:bdr w:val="none" w:sz="0" w:space="0" w:color="auto"/>
                <w:lang w:val="en-GB" w:eastAsia="en-GB"/>
              </w:rPr>
              <w:t>2001</w:t>
            </w:r>
          </w:p>
        </w:tc>
        <w:tc>
          <w:tcPr>
            <w:tcW w:w="1514" w:type="dxa"/>
            <w:tcBorders>
              <w:top w:val="nil"/>
              <w:left w:val="nil"/>
              <w:bottom w:val="nil"/>
              <w:right w:val="nil"/>
            </w:tcBorders>
            <w:shd w:val="clear" w:color="auto" w:fill="auto"/>
            <w:noWrap/>
            <w:vAlign w:val="bottom"/>
            <w:hideMark/>
          </w:tcPr>
          <w:p w:rsidR="00263306" w:rsidRPr="00263306" w:rsidRDefault="00263306" w:rsidP="0026330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263306">
              <w:rPr>
                <w:rFonts w:ascii="Arial" w:eastAsia="Times New Roman" w:hAnsi="Arial" w:cs="Arial"/>
                <w:color w:val="000000"/>
                <w:sz w:val="22"/>
                <w:szCs w:val="22"/>
                <w:bdr w:val="none" w:sz="0" w:space="0" w:color="auto"/>
                <w:lang w:val="en-GB" w:eastAsia="en-GB"/>
              </w:rPr>
              <w:t>28%</w:t>
            </w:r>
          </w:p>
        </w:tc>
        <w:tc>
          <w:tcPr>
            <w:tcW w:w="1638" w:type="dxa"/>
            <w:tcBorders>
              <w:top w:val="nil"/>
              <w:left w:val="nil"/>
              <w:bottom w:val="nil"/>
              <w:right w:val="nil"/>
            </w:tcBorders>
            <w:shd w:val="clear" w:color="auto" w:fill="auto"/>
            <w:noWrap/>
            <w:vAlign w:val="bottom"/>
            <w:hideMark/>
          </w:tcPr>
          <w:p w:rsidR="00263306" w:rsidRPr="00263306" w:rsidRDefault="00263306" w:rsidP="0026330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263306">
              <w:rPr>
                <w:rFonts w:ascii="Arial" w:eastAsia="Times New Roman" w:hAnsi="Arial" w:cs="Arial"/>
                <w:color w:val="000000"/>
                <w:sz w:val="22"/>
                <w:szCs w:val="22"/>
                <w:bdr w:val="none" w:sz="0" w:space="0" w:color="auto"/>
                <w:lang w:val="en-GB" w:eastAsia="en-GB"/>
              </w:rPr>
              <w:t>80 (of 659)</w:t>
            </w:r>
          </w:p>
        </w:tc>
        <w:tc>
          <w:tcPr>
            <w:tcW w:w="1286" w:type="dxa"/>
            <w:tcBorders>
              <w:top w:val="nil"/>
              <w:left w:val="nil"/>
              <w:bottom w:val="nil"/>
              <w:right w:val="nil"/>
            </w:tcBorders>
            <w:shd w:val="clear" w:color="auto" w:fill="auto"/>
            <w:noWrap/>
            <w:vAlign w:val="bottom"/>
            <w:hideMark/>
          </w:tcPr>
          <w:p w:rsidR="00263306" w:rsidRPr="00263306" w:rsidRDefault="00263306" w:rsidP="0026330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263306">
              <w:rPr>
                <w:rFonts w:ascii="Arial" w:eastAsia="Times New Roman" w:hAnsi="Arial" w:cs="Arial"/>
                <w:color w:val="000000"/>
                <w:sz w:val="22"/>
                <w:szCs w:val="22"/>
                <w:bdr w:val="none" w:sz="0" w:space="0" w:color="auto"/>
                <w:lang w:val="en-GB" w:eastAsia="en-GB"/>
              </w:rPr>
              <w:t>40.7%</w:t>
            </w:r>
          </w:p>
        </w:tc>
      </w:tr>
      <w:tr w:rsidR="00263306" w:rsidRPr="00263306" w:rsidTr="00263306">
        <w:trPr>
          <w:trHeight w:val="285"/>
        </w:trPr>
        <w:tc>
          <w:tcPr>
            <w:tcW w:w="1162" w:type="dxa"/>
            <w:tcBorders>
              <w:top w:val="nil"/>
              <w:left w:val="nil"/>
              <w:bottom w:val="nil"/>
              <w:right w:val="nil"/>
            </w:tcBorders>
            <w:shd w:val="clear" w:color="auto" w:fill="auto"/>
            <w:noWrap/>
            <w:vAlign w:val="bottom"/>
            <w:hideMark/>
          </w:tcPr>
          <w:p w:rsidR="00263306" w:rsidRPr="00263306" w:rsidRDefault="00263306" w:rsidP="0026330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263306">
              <w:rPr>
                <w:rFonts w:ascii="Arial" w:eastAsia="Times New Roman" w:hAnsi="Arial" w:cs="Arial"/>
                <w:color w:val="000000"/>
                <w:sz w:val="22"/>
                <w:szCs w:val="22"/>
                <w:bdr w:val="none" w:sz="0" w:space="0" w:color="auto"/>
                <w:lang w:val="en-GB" w:eastAsia="en-GB"/>
              </w:rPr>
              <w:t>2005</w:t>
            </w:r>
          </w:p>
        </w:tc>
        <w:tc>
          <w:tcPr>
            <w:tcW w:w="1514" w:type="dxa"/>
            <w:tcBorders>
              <w:top w:val="nil"/>
              <w:left w:val="nil"/>
              <w:bottom w:val="nil"/>
              <w:right w:val="nil"/>
            </w:tcBorders>
            <w:shd w:val="clear" w:color="auto" w:fill="auto"/>
            <w:noWrap/>
            <w:vAlign w:val="bottom"/>
            <w:hideMark/>
          </w:tcPr>
          <w:p w:rsidR="00263306" w:rsidRPr="00263306" w:rsidRDefault="00263306" w:rsidP="0026330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263306">
              <w:rPr>
                <w:rFonts w:ascii="Arial" w:eastAsia="Times New Roman" w:hAnsi="Arial" w:cs="Arial"/>
                <w:color w:val="000000"/>
                <w:sz w:val="22"/>
                <w:szCs w:val="22"/>
                <w:bdr w:val="none" w:sz="0" w:space="0" w:color="auto"/>
                <w:lang w:val="en-GB" w:eastAsia="en-GB"/>
              </w:rPr>
              <w:t>32%</w:t>
            </w:r>
          </w:p>
        </w:tc>
        <w:tc>
          <w:tcPr>
            <w:tcW w:w="1638" w:type="dxa"/>
            <w:tcBorders>
              <w:top w:val="nil"/>
              <w:left w:val="nil"/>
              <w:bottom w:val="nil"/>
              <w:right w:val="nil"/>
            </w:tcBorders>
            <w:shd w:val="clear" w:color="auto" w:fill="auto"/>
            <w:noWrap/>
            <w:vAlign w:val="bottom"/>
            <w:hideMark/>
          </w:tcPr>
          <w:p w:rsidR="00263306" w:rsidRPr="00263306" w:rsidRDefault="00263306" w:rsidP="0026330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263306">
              <w:rPr>
                <w:rFonts w:ascii="Arial" w:eastAsia="Times New Roman" w:hAnsi="Arial" w:cs="Arial"/>
                <w:color w:val="000000"/>
                <w:sz w:val="22"/>
                <w:szCs w:val="22"/>
                <w:bdr w:val="none" w:sz="0" w:space="0" w:color="auto"/>
                <w:lang w:val="en-GB" w:eastAsia="en-GB"/>
              </w:rPr>
              <w:t>78 (of 646)</w:t>
            </w:r>
          </w:p>
        </w:tc>
        <w:tc>
          <w:tcPr>
            <w:tcW w:w="1286" w:type="dxa"/>
            <w:tcBorders>
              <w:top w:val="nil"/>
              <w:left w:val="nil"/>
              <w:bottom w:val="nil"/>
              <w:right w:val="nil"/>
            </w:tcBorders>
            <w:shd w:val="clear" w:color="auto" w:fill="auto"/>
            <w:noWrap/>
            <w:vAlign w:val="bottom"/>
            <w:hideMark/>
          </w:tcPr>
          <w:p w:rsidR="00263306" w:rsidRPr="00263306" w:rsidRDefault="00263306" w:rsidP="0026330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263306">
              <w:rPr>
                <w:rFonts w:ascii="Arial" w:eastAsia="Times New Roman" w:hAnsi="Arial" w:cs="Arial"/>
                <w:color w:val="000000"/>
                <w:sz w:val="22"/>
                <w:szCs w:val="22"/>
                <w:bdr w:val="none" w:sz="0" w:space="0" w:color="auto"/>
                <w:lang w:val="en-GB" w:eastAsia="en-GB"/>
              </w:rPr>
              <w:t>35.2%</w:t>
            </w:r>
          </w:p>
        </w:tc>
      </w:tr>
      <w:tr w:rsidR="00263306" w:rsidRPr="00263306" w:rsidTr="00263306">
        <w:trPr>
          <w:trHeight w:val="285"/>
        </w:trPr>
        <w:tc>
          <w:tcPr>
            <w:tcW w:w="1162" w:type="dxa"/>
            <w:tcBorders>
              <w:top w:val="nil"/>
              <w:left w:val="nil"/>
              <w:bottom w:val="nil"/>
              <w:right w:val="nil"/>
            </w:tcBorders>
            <w:shd w:val="clear" w:color="auto" w:fill="auto"/>
            <w:noWrap/>
            <w:vAlign w:val="bottom"/>
            <w:hideMark/>
          </w:tcPr>
          <w:p w:rsidR="00263306" w:rsidRPr="00263306" w:rsidRDefault="00263306" w:rsidP="0026330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263306">
              <w:rPr>
                <w:rFonts w:ascii="Arial" w:eastAsia="Times New Roman" w:hAnsi="Arial" w:cs="Arial"/>
                <w:color w:val="000000"/>
                <w:sz w:val="22"/>
                <w:szCs w:val="22"/>
                <w:bdr w:val="none" w:sz="0" w:space="0" w:color="auto"/>
                <w:lang w:val="en-GB" w:eastAsia="en-GB"/>
              </w:rPr>
              <w:t>2010</w:t>
            </w:r>
          </w:p>
        </w:tc>
        <w:tc>
          <w:tcPr>
            <w:tcW w:w="1514" w:type="dxa"/>
            <w:tcBorders>
              <w:top w:val="nil"/>
              <w:left w:val="nil"/>
              <w:bottom w:val="nil"/>
              <w:right w:val="nil"/>
            </w:tcBorders>
            <w:shd w:val="clear" w:color="auto" w:fill="auto"/>
            <w:noWrap/>
            <w:vAlign w:val="bottom"/>
            <w:hideMark/>
          </w:tcPr>
          <w:p w:rsidR="00263306" w:rsidRPr="00263306" w:rsidRDefault="00263306" w:rsidP="0026330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263306">
              <w:rPr>
                <w:rFonts w:ascii="Arial" w:eastAsia="Times New Roman" w:hAnsi="Arial" w:cs="Arial"/>
                <w:color w:val="000000"/>
                <w:sz w:val="22"/>
                <w:szCs w:val="22"/>
                <w:bdr w:val="none" w:sz="0" w:space="0" w:color="auto"/>
                <w:lang w:val="en-GB" w:eastAsia="en-GB"/>
              </w:rPr>
              <w:t>35%</w:t>
            </w:r>
          </w:p>
        </w:tc>
        <w:tc>
          <w:tcPr>
            <w:tcW w:w="1638" w:type="dxa"/>
            <w:tcBorders>
              <w:top w:val="nil"/>
              <w:left w:val="nil"/>
              <w:bottom w:val="nil"/>
              <w:right w:val="nil"/>
            </w:tcBorders>
            <w:shd w:val="clear" w:color="auto" w:fill="auto"/>
            <w:noWrap/>
            <w:vAlign w:val="bottom"/>
            <w:hideMark/>
          </w:tcPr>
          <w:p w:rsidR="00263306" w:rsidRPr="00263306" w:rsidRDefault="00263306" w:rsidP="0026330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263306">
              <w:rPr>
                <w:rFonts w:ascii="Arial" w:eastAsia="Times New Roman" w:hAnsi="Arial" w:cs="Arial"/>
                <w:color w:val="000000"/>
                <w:sz w:val="22"/>
                <w:szCs w:val="22"/>
                <w:bdr w:val="none" w:sz="0" w:space="0" w:color="auto"/>
                <w:lang w:val="en-GB" w:eastAsia="en-GB"/>
              </w:rPr>
              <w:t>86 (of 650)</w:t>
            </w:r>
          </w:p>
        </w:tc>
        <w:tc>
          <w:tcPr>
            <w:tcW w:w="1286" w:type="dxa"/>
            <w:tcBorders>
              <w:top w:val="nil"/>
              <w:left w:val="nil"/>
              <w:bottom w:val="nil"/>
              <w:right w:val="nil"/>
            </w:tcBorders>
            <w:shd w:val="clear" w:color="auto" w:fill="auto"/>
            <w:noWrap/>
            <w:vAlign w:val="bottom"/>
            <w:hideMark/>
          </w:tcPr>
          <w:p w:rsidR="00263306" w:rsidRPr="00263306" w:rsidRDefault="00263306" w:rsidP="0026330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263306">
              <w:rPr>
                <w:rFonts w:ascii="Arial" w:eastAsia="Times New Roman" w:hAnsi="Arial" w:cs="Arial"/>
                <w:color w:val="000000"/>
                <w:sz w:val="22"/>
                <w:szCs w:val="22"/>
                <w:bdr w:val="none" w:sz="0" w:space="0" w:color="auto"/>
                <w:lang w:val="en-GB" w:eastAsia="en-GB"/>
              </w:rPr>
              <w:t>36.1%***</w:t>
            </w:r>
          </w:p>
        </w:tc>
      </w:tr>
    </w:tbl>
    <w:p w:rsidR="0024102C" w:rsidRDefault="0024102C" w:rsidP="00064D2F">
      <w:pPr>
        <w:pStyle w:val="Body"/>
        <w:spacing w:line="480" w:lineRule="auto"/>
      </w:pPr>
    </w:p>
    <w:p w:rsidR="00263306" w:rsidRPr="00263306" w:rsidRDefault="00263306" w:rsidP="00263306">
      <w:pPr>
        <w:pStyle w:val="Body"/>
        <w:spacing w:line="480" w:lineRule="auto"/>
        <w:rPr>
          <w:sz w:val="18"/>
          <w:szCs w:val="18"/>
        </w:rPr>
      </w:pPr>
      <w:r w:rsidRPr="00263306">
        <w:rPr>
          <w:sz w:val="18"/>
          <w:szCs w:val="18"/>
        </w:rPr>
        <w:t xml:space="preserve">*This includes some Independent </w:t>
      </w:r>
      <w:proofErr w:type="spellStart"/>
      <w:r w:rsidRPr="00263306">
        <w:rPr>
          <w:sz w:val="18"/>
          <w:szCs w:val="18"/>
        </w:rPr>
        <w:t>Labour</w:t>
      </w:r>
      <w:proofErr w:type="spellEnd"/>
      <w:r w:rsidRPr="00263306">
        <w:rPr>
          <w:sz w:val="18"/>
          <w:szCs w:val="18"/>
        </w:rPr>
        <w:t>, Independent Conservative and Liberal National the latter of whom are sometimes included with the Conservatives</w:t>
      </w:r>
      <w:r w:rsidRPr="00263306">
        <w:rPr>
          <w:sz w:val="18"/>
          <w:szCs w:val="18"/>
        </w:rPr>
        <w:tab/>
      </w:r>
    </w:p>
    <w:p w:rsidR="00263306" w:rsidRPr="00263306" w:rsidRDefault="00263306" w:rsidP="00263306">
      <w:pPr>
        <w:pStyle w:val="Body"/>
        <w:spacing w:line="480" w:lineRule="auto"/>
        <w:rPr>
          <w:sz w:val="18"/>
          <w:szCs w:val="18"/>
        </w:rPr>
      </w:pPr>
      <w:r w:rsidRPr="00263306">
        <w:rPr>
          <w:sz w:val="18"/>
          <w:szCs w:val="18"/>
        </w:rPr>
        <w:lastRenderedPageBreak/>
        <w:t xml:space="preserve">** Clement Attlee's </w:t>
      </w:r>
      <w:proofErr w:type="spellStart"/>
      <w:r w:rsidRPr="00263306">
        <w:rPr>
          <w:sz w:val="18"/>
          <w:szCs w:val="18"/>
        </w:rPr>
        <w:t>Labour</w:t>
      </w:r>
      <w:proofErr w:type="spellEnd"/>
      <w:r w:rsidRPr="00263306">
        <w:rPr>
          <w:sz w:val="18"/>
          <w:szCs w:val="18"/>
        </w:rPr>
        <w:t xml:space="preserve"> party won a marginally higher 48.8% percentage of the vote in 1951 but fewer seats; </w:t>
      </w:r>
      <w:proofErr w:type="gramStart"/>
      <w:r w:rsidRPr="00263306">
        <w:rPr>
          <w:sz w:val="18"/>
          <w:szCs w:val="18"/>
        </w:rPr>
        <w:t>similarly  Harold</w:t>
      </w:r>
      <w:proofErr w:type="gramEnd"/>
      <w:r w:rsidRPr="00263306">
        <w:rPr>
          <w:sz w:val="18"/>
          <w:szCs w:val="18"/>
        </w:rPr>
        <w:t xml:space="preserve"> Wilson's </w:t>
      </w:r>
      <w:proofErr w:type="spellStart"/>
      <w:r w:rsidRPr="00263306">
        <w:rPr>
          <w:sz w:val="18"/>
          <w:szCs w:val="18"/>
        </w:rPr>
        <w:t>Labour</w:t>
      </w:r>
      <w:proofErr w:type="spellEnd"/>
      <w:r w:rsidRPr="00263306">
        <w:rPr>
          <w:sz w:val="18"/>
          <w:szCs w:val="18"/>
        </w:rPr>
        <w:t xml:space="preserve"> party won more seats and formed a minority governm</w:t>
      </w:r>
      <w:r w:rsidR="00D41439">
        <w:rPr>
          <w:sz w:val="18"/>
          <w:szCs w:val="18"/>
        </w:rPr>
        <w:t>en</w:t>
      </w:r>
      <w:r w:rsidRPr="00263306">
        <w:rPr>
          <w:sz w:val="18"/>
          <w:szCs w:val="18"/>
        </w:rPr>
        <w:t>t but the Conservatives won a marginally higher 37.9% of the vote</w:t>
      </w:r>
      <w:r w:rsidRPr="00263306">
        <w:rPr>
          <w:sz w:val="18"/>
          <w:szCs w:val="18"/>
        </w:rPr>
        <w:tab/>
      </w:r>
      <w:r w:rsidRPr="00263306">
        <w:rPr>
          <w:sz w:val="18"/>
          <w:szCs w:val="18"/>
        </w:rPr>
        <w:tab/>
      </w:r>
      <w:r w:rsidRPr="00263306">
        <w:rPr>
          <w:sz w:val="18"/>
          <w:szCs w:val="18"/>
        </w:rPr>
        <w:tab/>
      </w:r>
    </w:p>
    <w:p w:rsidR="0024102C" w:rsidRDefault="00263306" w:rsidP="00263306">
      <w:pPr>
        <w:pStyle w:val="Body"/>
        <w:spacing w:line="480" w:lineRule="auto"/>
      </w:pPr>
      <w:r w:rsidRPr="00263306">
        <w:rPr>
          <w:sz w:val="18"/>
          <w:szCs w:val="18"/>
        </w:rPr>
        <w:t>*** The government was formed in coalition with the Liberal Democrats who won 23% of the vote making a combined 59%</w:t>
      </w:r>
      <w:r w:rsidRPr="00263306">
        <w:rPr>
          <w:sz w:val="18"/>
          <w:szCs w:val="18"/>
        </w:rPr>
        <w:tab/>
      </w:r>
      <w:r w:rsidRPr="00263306">
        <w:rPr>
          <w:sz w:val="18"/>
          <w:szCs w:val="18"/>
        </w:rPr>
        <w:tab/>
      </w:r>
      <w:r>
        <w:tab/>
      </w:r>
    </w:p>
    <w:p w:rsidR="0024102C" w:rsidRPr="00064D2F" w:rsidRDefault="0024102C" w:rsidP="00064D2F">
      <w:pPr>
        <w:pStyle w:val="Body"/>
        <w:spacing w:line="480" w:lineRule="auto"/>
      </w:pPr>
    </w:p>
    <w:p w:rsidR="00172BEA" w:rsidRDefault="00E3157A">
      <w:pPr>
        <w:pStyle w:val="Body"/>
        <w:rPr>
          <w:rFonts w:ascii="Arial Bold" w:eastAsia="Arial Bold" w:hAnsi="Arial Bold" w:cs="Arial Bold"/>
          <w:sz w:val="22"/>
          <w:szCs w:val="22"/>
        </w:rPr>
      </w:pPr>
      <w:r>
        <w:rPr>
          <w:rFonts w:ascii="Arial Bold"/>
          <w:sz w:val="22"/>
          <w:szCs w:val="22"/>
        </w:rPr>
        <w:t>References</w:t>
      </w:r>
    </w:p>
    <w:p w:rsidR="00172BEA" w:rsidRDefault="00172BEA">
      <w:pPr>
        <w:pStyle w:val="Body"/>
        <w:rPr>
          <w:sz w:val="22"/>
          <w:szCs w:val="22"/>
        </w:rPr>
      </w:pPr>
    </w:p>
    <w:p w:rsidR="00172BEA" w:rsidRDefault="00E3157A">
      <w:pPr>
        <w:pStyle w:val="Body"/>
        <w:rPr>
          <w:sz w:val="22"/>
          <w:szCs w:val="22"/>
        </w:rPr>
      </w:pPr>
      <w:r>
        <w:rPr>
          <w:sz w:val="22"/>
          <w:szCs w:val="22"/>
        </w:rPr>
        <w:t>Ashdown, P. (2000). Diaries; Volume One 1988–</w:t>
      </w:r>
      <w:r>
        <w:rPr>
          <w:sz w:val="22"/>
          <w:szCs w:val="22"/>
          <w:lang w:val="de-DE"/>
        </w:rPr>
        <w:t>1997. London: Allen Lane.</w:t>
      </w:r>
    </w:p>
    <w:p w:rsidR="00172BEA" w:rsidRDefault="00E3157A">
      <w:pPr>
        <w:pStyle w:val="Body"/>
        <w:rPr>
          <w:sz w:val="22"/>
          <w:szCs w:val="22"/>
        </w:rPr>
      </w:pPr>
      <w:r>
        <w:rPr>
          <w:sz w:val="22"/>
          <w:szCs w:val="22"/>
        </w:rPr>
        <w:t>Baldwin, N. ‘The House of Lords – Into the Future?</w:t>
      </w:r>
      <w:proofErr w:type="gramStart"/>
      <w:r>
        <w:rPr>
          <w:sz w:val="22"/>
          <w:szCs w:val="22"/>
          <w:lang w:val="fr-FR"/>
        </w:rPr>
        <w:t>’</w:t>
      </w:r>
      <w:r>
        <w:rPr>
          <w:sz w:val="22"/>
          <w:szCs w:val="22"/>
        </w:rPr>
        <w:t>,</w:t>
      </w:r>
      <w:proofErr w:type="gramEnd"/>
      <w:r>
        <w:rPr>
          <w:sz w:val="22"/>
          <w:szCs w:val="22"/>
        </w:rPr>
        <w:t xml:space="preserve"> The Journal of Legislative Studies, Volume 13, Issue 2, 2007</w:t>
      </w:r>
    </w:p>
    <w:p w:rsidR="00172BEA" w:rsidRDefault="00E3157A">
      <w:pPr>
        <w:pStyle w:val="Body"/>
        <w:rPr>
          <w:sz w:val="22"/>
          <w:szCs w:val="22"/>
        </w:rPr>
      </w:pPr>
      <w:r>
        <w:rPr>
          <w:sz w:val="22"/>
          <w:szCs w:val="22"/>
          <w:lang w:val="nl-NL"/>
        </w:rPr>
        <w:t>Bagehot, W. (18</w:t>
      </w:r>
      <w:r>
        <w:rPr>
          <w:sz w:val="22"/>
          <w:szCs w:val="22"/>
          <w:lang w:val="en-GB"/>
        </w:rPr>
        <w:t>73</w:t>
      </w:r>
      <w:r>
        <w:rPr>
          <w:sz w:val="22"/>
          <w:szCs w:val="22"/>
        </w:rPr>
        <w:t xml:space="preserve">). The English </w:t>
      </w:r>
      <w:proofErr w:type="gramStart"/>
      <w:r>
        <w:rPr>
          <w:sz w:val="22"/>
          <w:szCs w:val="22"/>
        </w:rPr>
        <w:t>constitution,</w:t>
      </w:r>
      <w:proofErr w:type="gramEnd"/>
      <w:r>
        <w:rPr>
          <w:sz w:val="22"/>
          <w:szCs w:val="22"/>
        </w:rPr>
        <w:t xml:space="preserve"> and other political essays. </w:t>
      </w:r>
      <w:r>
        <w:rPr>
          <w:sz w:val="22"/>
          <w:szCs w:val="22"/>
        </w:rPr>
        <w:tab/>
      </w:r>
    </w:p>
    <w:p w:rsidR="00172BEA" w:rsidRDefault="00E3157A">
      <w:pPr>
        <w:pStyle w:val="Body"/>
        <w:rPr>
          <w:sz w:val="22"/>
          <w:szCs w:val="22"/>
        </w:rPr>
      </w:pPr>
      <w:r>
        <w:rPr>
          <w:sz w:val="22"/>
          <w:szCs w:val="22"/>
        </w:rPr>
        <w:t>Barber, S</w:t>
      </w:r>
      <w:r>
        <w:rPr>
          <w:sz w:val="22"/>
          <w:szCs w:val="22"/>
          <w:lang w:val="en-GB"/>
        </w:rPr>
        <w:t>. (2005)</w:t>
      </w:r>
      <w:r>
        <w:rPr>
          <w:sz w:val="22"/>
          <w:szCs w:val="22"/>
        </w:rPr>
        <w:t xml:space="preserve"> Political Strategy: modern politics in contemporary Britain. </w:t>
      </w:r>
      <w:proofErr w:type="gramStart"/>
      <w:r>
        <w:rPr>
          <w:sz w:val="22"/>
          <w:szCs w:val="22"/>
        </w:rPr>
        <w:t>Liverpool Academic Press</w:t>
      </w:r>
      <w:r>
        <w:rPr>
          <w:sz w:val="22"/>
          <w:szCs w:val="22"/>
          <w:lang w:val="en-GB"/>
        </w:rPr>
        <w:t>.</w:t>
      </w:r>
      <w:proofErr w:type="gramEnd"/>
    </w:p>
    <w:p w:rsidR="00172BEA" w:rsidRDefault="00F74362">
      <w:pPr>
        <w:pStyle w:val="Body"/>
        <w:rPr>
          <w:sz w:val="22"/>
          <w:szCs w:val="22"/>
        </w:rPr>
      </w:pPr>
      <w:r>
        <w:rPr>
          <w:sz w:val="22"/>
          <w:szCs w:val="22"/>
          <w:lang w:val="en-GB"/>
        </w:rPr>
        <w:t>Barber, S. (2013</w:t>
      </w:r>
      <w:r w:rsidR="00E3157A">
        <w:rPr>
          <w:sz w:val="22"/>
          <w:szCs w:val="22"/>
          <w:lang w:val="en-GB"/>
        </w:rPr>
        <w:t xml:space="preserve">) </w:t>
      </w:r>
      <w:r w:rsidRPr="00F74362">
        <w:rPr>
          <w:sz w:val="22"/>
          <w:szCs w:val="22"/>
        </w:rPr>
        <w:t>The Coalition and Constitutional Reform Revisited’, Amicus Curiae</w:t>
      </w:r>
      <w:r w:rsidR="001014A7">
        <w:rPr>
          <w:sz w:val="22"/>
          <w:szCs w:val="22"/>
        </w:rPr>
        <w:t>, 95</w:t>
      </w:r>
      <w:r w:rsidR="00A049A1">
        <w:rPr>
          <w:sz w:val="22"/>
          <w:szCs w:val="22"/>
        </w:rPr>
        <w:t>: 16-18</w:t>
      </w:r>
      <w:r w:rsidR="001014A7">
        <w:rPr>
          <w:sz w:val="22"/>
          <w:szCs w:val="22"/>
        </w:rPr>
        <w:t>.</w:t>
      </w:r>
    </w:p>
    <w:p w:rsidR="00222A21" w:rsidRDefault="00222A21">
      <w:pPr>
        <w:pStyle w:val="Body"/>
        <w:rPr>
          <w:sz w:val="22"/>
          <w:szCs w:val="22"/>
        </w:rPr>
      </w:pPr>
      <w:r w:rsidRPr="00222A21">
        <w:rPr>
          <w:sz w:val="22"/>
          <w:szCs w:val="22"/>
        </w:rPr>
        <w:t>Barber, S. (2014) ‘Principles or Practicalities? Salvaging House of Lords Reform’, Renewal: a Journal of Social Democracy, 22 (1/2).</w:t>
      </w:r>
    </w:p>
    <w:p w:rsidR="00172BEA" w:rsidRDefault="00E3157A">
      <w:pPr>
        <w:pStyle w:val="Body"/>
        <w:rPr>
          <w:sz w:val="22"/>
          <w:szCs w:val="22"/>
        </w:rPr>
      </w:pPr>
      <w:r>
        <w:rPr>
          <w:sz w:val="22"/>
          <w:szCs w:val="22"/>
        </w:rPr>
        <w:t>Bara, J. (2005). A question of trust: Implementing party manifestos. Parliamentary Affairs, 58(3), 585-599.</w:t>
      </w:r>
    </w:p>
    <w:p w:rsidR="00172BEA" w:rsidRDefault="00E3157A">
      <w:pPr>
        <w:pStyle w:val="Body"/>
        <w:rPr>
          <w:sz w:val="22"/>
          <w:szCs w:val="22"/>
        </w:rPr>
      </w:pPr>
      <w:r>
        <w:rPr>
          <w:sz w:val="22"/>
          <w:szCs w:val="22"/>
          <w:lang w:val="en-GB"/>
        </w:rPr>
        <w:t xml:space="preserve">Benn, T. (1989), Against the Tide: diaries 1973-76, Arrow. </w:t>
      </w:r>
    </w:p>
    <w:p w:rsidR="00172BEA" w:rsidRDefault="00E3157A">
      <w:pPr>
        <w:pStyle w:val="Body"/>
        <w:rPr>
          <w:sz w:val="22"/>
          <w:szCs w:val="22"/>
        </w:rPr>
      </w:pPr>
      <w:proofErr w:type="spellStart"/>
      <w:proofErr w:type="gramStart"/>
      <w:r>
        <w:rPr>
          <w:sz w:val="22"/>
          <w:szCs w:val="22"/>
        </w:rPr>
        <w:t>Bennister</w:t>
      </w:r>
      <w:proofErr w:type="spellEnd"/>
      <w:r>
        <w:rPr>
          <w:sz w:val="22"/>
          <w:szCs w:val="22"/>
        </w:rPr>
        <w:t>, M., &amp; Heffernan, R. (2012).</w:t>
      </w:r>
      <w:proofErr w:type="gramEnd"/>
      <w:r>
        <w:rPr>
          <w:sz w:val="22"/>
          <w:szCs w:val="22"/>
        </w:rPr>
        <w:t xml:space="preserve"> Cameron as prime minister: The intra-executive politics of Britain's coalition government. Parliamentary Affairs, 65(4), 778-801.</w:t>
      </w:r>
    </w:p>
    <w:p w:rsidR="00172BEA" w:rsidRDefault="00E3157A">
      <w:pPr>
        <w:pStyle w:val="Body"/>
        <w:rPr>
          <w:sz w:val="22"/>
          <w:szCs w:val="22"/>
        </w:rPr>
      </w:pPr>
      <w:proofErr w:type="spellStart"/>
      <w:proofErr w:type="gramStart"/>
      <w:r>
        <w:rPr>
          <w:sz w:val="22"/>
          <w:szCs w:val="22"/>
        </w:rPr>
        <w:t>Bogdanor</w:t>
      </w:r>
      <w:proofErr w:type="spellEnd"/>
      <w:r>
        <w:rPr>
          <w:sz w:val="22"/>
          <w:szCs w:val="22"/>
        </w:rPr>
        <w:t>, V. (2011</w:t>
      </w:r>
      <w:r>
        <w:rPr>
          <w:sz w:val="22"/>
          <w:szCs w:val="22"/>
          <w:lang w:val="en-GB"/>
        </w:rPr>
        <w:t>a</w:t>
      </w:r>
      <w:r>
        <w:rPr>
          <w:sz w:val="22"/>
          <w:szCs w:val="22"/>
        </w:rPr>
        <w:t>) "The coalition and constitutional reform."</w:t>
      </w:r>
      <w:proofErr w:type="gramEnd"/>
      <w:r>
        <w:rPr>
          <w:sz w:val="22"/>
          <w:szCs w:val="22"/>
        </w:rPr>
        <w:t xml:space="preserve"> Amicus Curiae</w:t>
      </w:r>
      <w:r w:rsidR="00A049A1">
        <w:rPr>
          <w:sz w:val="22"/>
          <w:szCs w:val="22"/>
        </w:rPr>
        <w:t>,</w:t>
      </w:r>
      <w:r>
        <w:rPr>
          <w:sz w:val="22"/>
          <w:szCs w:val="22"/>
        </w:rPr>
        <w:t xml:space="preserve"> 86: 19-24.</w:t>
      </w:r>
    </w:p>
    <w:p w:rsidR="00172BEA" w:rsidRDefault="00E3157A">
      <w:pPr>
        <w:pStyle w:val="Body"/>
        <w:rPr>
          <w:sz w:val="22"/>
          <w:szCs w:val="22"/>
        </w:rPr>
      </w:pPr>
      <w:proofErr w:type="spellStart"/>
      <w:r>
        <w:rPr>
          <w:sz w:val="22"/>
          <w:szCs w:val="22"/>
          <w:lang w:val="en-GB"/>
        </w:rPr>
        <w:t>Bogdanor</w:t>
      </w:r>
      <w:proofErr w:type="spellEnd"/>
      <w:r>
        <w:rPr>
          <w:sz w:val="22"/>
          <w:szCs w:val="22"/>
          <w:lang w:val="en-GB"/>
        </w:rPr>
        <w:t xml:space="preserve">, V. (2001b) </w:t>
      </w:r>
      <w:proofErr w:type="gramStart"/>
      <w:r>
        <w:rPr>
          <w:sz w:val="22"/>
          <w:szCs w:val="22"/>
          <w:lang w:val="en-GB"/>
        </w:rPr>
        <w:t>The</w:t>
      </w:r>
      <w:proofErr w:type="gramEnd"/>
      <w:r>
        <w:rPr>
          <w:sz w:val="22"/>
          <w:szCs w:val="22"/>
          <w:lang w:val="en-GB"/>
        </w:rPr>
        <w:t xml:space="preserve"> coalition and the constitution, Gresham College Lecture (14 April)</w:t>
      </w:r>
    </w:p>
    <w:p w:rsidR="00C53933" w:rsidRDefault="00C53933">
      <w:pPr>
        <w:pStyle w:val="Body"/>
        <w:rPr>
          <w:sz w:val="22"/>
          <w:szCs w:val="22"/>
        </w:rPr>
      </w:pPr>
      <w:r w:rsidRPr="00C53933">
        <w:rPr>
          <w:sz w:val="22"/>
          <w:szCs w:val="22"/>
        </w:rPr>
        <w:t>Clegg,</w:t>
      </w:r>
      <w:r w:rsidR="00CE1EC3">
        <w:rPr>
          <w:sz w:val="22"/>
          <w:szCs w:val="22"/>
        </w:rPr>
        <w:t xml:space="preserve"> </w:t>
      </w:r>
      <w:r>
        <w:rPr>
          <w:sz w:val="22"/>
          <w:szCs w:val="22"/>
        </w:rPr>
        <w:t>N. (2013) correspondence with Michael Moore MP</w:t>
      </w:r>
      <w:proofErr w:type="gramStart"/>
      <w:r>
        <w:rPr>
          <w:sz w:val="22"/>
          <w:szCs w:val="22"/>
        </w:rPr>
        <w:t>,  7</w:t>
      </w:r>
      <w:proofErr w:type="gramEnd"/>
      <w:r>
        <w:rPr>
          <w:sz w:val="22"/>
          <w:szCs w:val="22"/>
        </w:rPr>
        <w:t xml:space="preserve"> October.</w:t>
      </w:r>
    </w:p>
    <w:p w:rsidR="00172BEA" w:rsidRDefault="00E3157A">
      <w:pPr>
        <w:pStyle w:val="Body"/>
        <w:rPr>
          <w:sz w:val="22"/>
          <w:szCs w:val="22"/>
        </w:rPr>
      </w:pPr>
      <w:r>
        <w:rPr>
          <w:sz w:val="22"/>
          <w:szCs w:val="22"/>
        </w:rPr>
        <w:t>Coalition Agreement on Stability and Reform, London, Cabinet Office (2012)</w:t>
      </w:r>
    </w:p>
    <w:p w:rsidR="00172BEA" w:rsidRDefault="00E3157A">
      <w:pPr>
        <w:pStyle w:val="Body"/>
        <w:rPr>
          <w:sz w:val="22"/>
          <w:szCs w:val="22"/>
        </w:rPr>
      </w:pPr>
      <w:r>
        <w:rPr>
          <w:sz w:val="22"/>
          <w:szCs w:val="22"/>
        </w:rPr>
        <w:t>Coalition Agreement on Stability and Reform, London, Cabinet Office (2012)</w:t>
      </w:r>
    </w:p>
    <w:p w:rsidR="00172BEA" w:rsidRDefault="00064D2F">
      <w:pPr>
        <w:pStyle w:val="Body"/>
        <w:rPr>
          <w:sz w:val="22"/>
          <w:szCs w:val="22"/>
        </w:rPr>
      </w:pPr>
      <w:proofErr w:type="gramStart"/>
      <w:r>
        <w:rPr>
          <w:sz w:val="22"/>
          <w:szCs w:val="22"/>
        </w:rPr>
        <w:lastRenderedPageBreak/>
        <w:t>Cowley, P. and Stuart, M. (2013).</w:t>
      </w:r>
      <w:proofErr w:type="gramEnd"/>
      <w:r w:rsidR="00E3157A">
        <w:rPr>
          <w:sz w:val="22"/>
          <w:szCs w:val="22"/>
        </w:rPr>
        <w:t xml:space="preserve"> “Parliament still remains on course to be the most rebellious since 1945”</w:t>
      </w:r>
      <w:r>
        <w:rPr>
          <w:sz w:val="22"/>
          <w:szCs w:val="22"/>
        </w:rPr>
        <w:t>, Political Insight, (14 May)</w:t>
      </w:r>
    </w:p>
    <w:p w:rsidR="00D9600D" w:rsidRDefault="00D9600D">
      <w:pPr>
        <w:pStyle w:val="Body"/>
        <w:rPr>
          <w:sz w:val="22"/>
          <w:szCs w:val="22"/>
        </w:rPr>
      </w:pPr>
      <w:proofErr w:type="spellStart"/>
      <w:r w:rsidRPr="00D9600D">
        <w:rPr>
          <w:sz w:val="22"/>
          <w:szCs w:val="22"/>
        </w:rPr>
        <w:t>Crines</w:t>
      </w:r>
      <w:proofErr w:type="spellEnd"/>
      <w:r w:rsidRPr="00D9600D">
        <w:rPr>
          <w:sz w:val="22"/>
          <w:szCs w:val="22"/>
        </w:rPr>
        <w:t xml:space="preserve">, A. (2012). The Conservatives in coalition:" how the Tories are opposing </w:t>
      </w:r>
      <w:proofErr w:type="spellStart"/>
      <w:r w:rsidRPr="00D9600D">
        <w:rPr>
          <w:sz w:val="22"/>
          <w:szCs w:val="22"/>
        </w:rPr>
        <w:t>Miliband’s</w:t>
      </w:r>
      <w:proofErr w:type="spellEnd"/>
      <w:r w:rsidRPr="00D9600D">
        <w:rPr>
          <w:sz w:val="22"/>
          <w:szCs w:val="22"/>
        </w:rPr>
        <w:t xml:space="preserve"> </w:t>
      </w:r>
      <w:proofErr w:type="spellStart"/>
      <w:r w:rsidRPr="00D9600D">
        <w:rPr>
          <w:sz w:val="22"/>
          <w:szCs w:val="22"/>
        </w:rPr>
        <w:t>Labour</w:t>
      </w:r>
      <w:proofErr w:type="spellEnd"/>
      <w:r w:rsidRPr="00D9600D">
        <w:rPr>
          <w:sz w:val="22"/>
          <w:szCs w:val="22"/>
        </w:rPr>
        <w:t xml:space="preserve"> Party". </w:t>
      </w:r>
      <w:proofErr w:type="gramStart"/>
      <w:r w:rsidRPr="00D9600D">
        <w:rPr>
          <w:sz w:val="22"/>
          <w:szCs w:val="22"/>
        </w:rPr>
        <w:t>British Politics and Policy at LSE.</w:t>
      </w:r>
      <w:proofErr w:type="gramEnd"/>
    </w:p>
    <w:p w:rsidR="00172BEA" w:rsidRDefault="00E3157A">
      <w:pPr>
        <w:pStyle w:val="Body"/>
        <w:rPr>
          <w:sz w:val="22"/>
          <w:szCs w:val="22"/>
        </w:rPr>
      </w:pPr>
      <w:proofErr w:type="spellStart"/>
      <w:proofErr w:type="gramStart"/>
      <w:r>
        <w:rPr>
          <w:sz w:val="22"/>
          <w:szCs w:val="22"/>
        </w:rPr>
        <w:t>Curtice</w:t>
      </w:r>
      <w:proofErr w:type="spellEnd"/>
      <w:r>
        <w:rPr>
          <w:sz w:val="22"/>
          <w:szCs w:val="22"/>
        </w:rPr>
        <w:t>, J.</w:t>
      </w:r>
      <w:r w:rsidR="00CE1EC3">
        <w:rPr>
          <w:sz w:val="22"/>
          <w:szCs w:val="22"/>
        </w:rPr>
        <w:t xml:space="preserve"> (2010)</w:t>
      </w:r>
      <w:r>
        <w:rPr>
          <w:sz w:val="22"/>
          <w:szCs w:val="22"/>
        </w:rPr>
        <w:t xml:space="preserve"> "So what went wrong with the electoral system?</w:t>
      </w:r>
      <w:proofErr w:type="gramEnd"/>
      <w:r>
        <w:rPr>
          <w:sz w:val="22"/>
          <w:szCs w:val="22"/>
        </w:rPr>
        <w:t xml:space="preserve"> </w:t>
      </w:r>
      <w:proofErr w:type="gramStart"/>
      <w:r>
        <w:rPr>
          <w:sz w:val="22"/>
          <w:szCs w:val="22"/>
        </w:rPr>
        <w:t>The 2010 election result and the debate about electoral reform."</w:t>
      </w:r>
      <w:proofErr w:type="gramEnd"/>
      <w:r>
        <w:rPr>
          <w:sz w:val="22"/>
          <w:szCs w:val="22"/>
        </w:rPr>
        <w:t xml:space="preserve"> </w:t>
      </w:r>
      <w:r w:rsidR="00CE1EC3">
        <w:rPr>
          <w:sz w:val="22"/>
          <w:szCs w:val="22"/>
        </w:rPr>
        <w:t>Parliamentary Affairs 63 (4)</w:t>
      </w:r>
      <w:r>
        <w:rPr>
          <w:sz w:val="22"/>
          <w:szCs w:val="22"/>
        </w:rPr>
        <w:t>: 623-638.</w:t>
      </w:r>
    </w:p>
    <w:p w:rsidR="0002238D" w:rsidRDefault="0002238D">
      <w:pPr>
        <w:pStyle w:val="Body"/>
        <w:rPr>
          <w:sz w:val="22"/>
          <w:szCs w:val="22"/>
        </w:rPr>
      </w:pPr>
      <w:r w:rsidRPr="0002238D">
        <w:rPr>
          <w:sz w:val="22"/>
          <w:szCs w:val="22"/>
        </w:rPr>
        <w:t xml:space="preserve">Feldman, D. (2005). </w:t>
      </w:r>
      <w:proofErr w:type="gramStart"/>
      <w:r w:rsidR="001E7487">
        <w:rPr>
          <w:sz w:val="22"/>
          <w:szCs w:val="22"/>
        </w:rPr>
        <w:t>None, One or Several?</w:t>
      </w:r>
      <w:proofErr w:type="gramEnd"/>
      <w:r w:rsidR="001E7487">
        <w:rPr>
          <w:sz w:val="22"/>
          <w:szCs w:val="22"/>
        </w:rPr>
        <w:t xml:space="preserve"> </w:t>
      </w:r>
      <w:proofErr w:type="gramStart"/>
      <w:r w:rsidR="001E7487">
        <w:rPr>
          <w:sz w:val="22"/>
          <w:szCs w:val="22"/>
        </w:rPr>
        <w:t>Perspectives on the UK’s constitution(s),</w:t>
      </w:r>
      <w:r w:rsidRPr="0002238D">
        <w:rPr>
          <w:sz w:val="22"/>
          <w:szCs w:val="22"/>
        </w:rPr>
        <w:t xml:space="preserve"> The Cambridge Law Journal, 64(02), 329-351.</w:t>
      </w:r>
      <w:proofErr w:type="gramEnd"/>
    </w:p>
    <w:p w:rsidR="00D9600D" w:rsidRDefault="00D9600D">
      <w:pPr>
        <w:pStyle w:val="Body"/>
        <w:rPr>
          <w:sz w:val="22"/>
          <w:szCs w:val="22"/>
        </w:rPr>
      </w:pPr>
      <w:proofErr w:type="gramStart"/>
      <w:r w:rsidRPr="00D9600D">
        <w:rPr>
          <w:sz w:val="22"/>
          <w:szCs w:val="22"/>
        </w:rPr>
        <w:t>Flinders, M. (2011).</w:t>
      </w:r>
      <w:proofErr w:type="gramEnd"/>
      <w:r w:rsidRPr="00D9600D">
        <w:rPr>
          <w:sz w:val="22"/>
          <w:szCs w:val="22"/>
        </w:rPr>
        <w:t xml:space="preserve"> Devolution, delegation and the Westminster Model: a comparative analysis of developments within the UK, 1998–2009. Commonwealth &amp; Comparative Politics, 49(1), 1-28.</w:t>
      </w:r>
    </w:p>
    <w:p w:rsidR="00172BEA" w:rsidRDefault="00E3157A">
      <w:pPr>
        <w:pStyle w:val="Body"/>
        <w:rPr>
          <w:sz w:val="22"/>
          <w:szCs w:val="22"/>
        </w:rPr>
      </w:pPr>
      <w:proofErr w:type="gramStart"/>
      <w:r>
        <w:rPr>
          <w:sz w:val="22"/>
          <w:szCs w:val="22"/>
        </w:rPr>
        <w:t>Foley, M. (2000).</w:t>
      </w:r>
      <w:proofErr w:type="gramEnd"/>
      <w:r>
        <w:rPr>
          <w:sz w:val="22"/>
          <w:szCs w:val="22"/>
        </w:rPr>
        <w:t xml:space="preserve"> </w:t>
      </w:r>
      <w:proofErr w:type="gramStart"/>
      <w:r>
        <w:rPr>
          <w:sz w:val="22"/>
          <w:szCs w:val="22"/>
        </w:rPr>
        <w:t>The British Presidency.</w:t>
      </w:r>
      <w:proofErr w:type="gramEnd"/>
      <w:r>
        <w:rPr>
          <w:sz w:val="22"/>
          <w:szCs w:val="22"/>
        </w:rPr>
        <w:t xml:space="preserve"> </w:t>
      </w:r>
      <w:proofErr w:type="gramStart"/>
      <w:r>
        <w:rPr>
          <w:sz w:val="22"/>
          <w:szCs w:val="22"/>
        </w:rPr>
        <w:t>Manchester University Press.</w:t>
      </w:r>
      <w:proofErr w:type="gramEnd"/>
    </w:p>
    <w:p w:rsidR="00BD1E25" w:rsidRDefault="00BD1E25" w:rsidP="00BD1E25">
      <w:pPr>
        <w:pStyle w:val="Body"/>
        <w:rPr>
          <w:sz w:val="22"/>
          <w:szCs w:val="22"/>
        </w:rPr>
      </w:pPr>
      <w:r>
        <w:rPr>
          <w:sz w:val="22"/>
          <w:szCs w:val="22"/>
        </w:rPr>
        <w:t>Ganesh, J. (2014). ‘</w:t>
      </w:r>
      <w:r w:rsidRPr="00BD1E25">
        <w:rPr>
          <w:sz w:val="22"/>
          <w:szCs w:val="22"/>
        </w:rPr>
        <w:t>Cameron’s coalition is a bazaar for big, radical ideas</w:t>
      </w:r>
      <w:r>
        <w:rPr>
          <w:sz w:val="22"/>
          <w:szCs w:val="22"/>
        </w:rPr>
        <w:t xml:space="preserve">’, Financial Times, 24 March. </w:t>
      </w:r>
    </w:p>
    <w:p w:rsidR="00172BEA" w:rsidRDefault="00E3157A">
      <w:pPr>
        <w:pStyle w:val="Body"/>
        <w:rPr>
          <w:sz w:val="22"/>
          <w:szCs w:val="22"/>
        </w:rPr>
      </w:pPr>
      <w:r>
        <w:rPr>
          <w:sz w:val="22"/>
          <w:szCs w:val="22"/>
        </w:rPr>
        <w:t xml:space="preserve">Gay, O. (2006). </w:t>
      </w:r>
      <w:proofErr w:type="gramStart"/>
      <w:r>
        <w:rPr>
          <w:sz w:val="22"/>
          <w:szCs w:val="22"/>
        </w:rPr>
        <w:t>The office of Deputy Prime Minister.</w:t>
      </w:r>
      <w:proofErr w:type="gramEnd"/>
      <w:r>
        <w:rPr>
          <w:sz w:val="22"/>
          <w:szCs w:val="22"/>
        </w:rPr>
        <w:t xml:space="preserve"> Standard Note: SN/PC/04023, Parliament and Constitution Centre, London: House of Commons.</w:t>
      </w:r>
    </w:p>
    <w:p w:rsidR="00172BEA" w:rsidRDefault="00E3157A">
      <w:pPr>
        <w:pStyle w:val="Body"/>
        <w:rPr>
          <w:sz w:val="22"/>
          <w:szCs w:val="22"/>
        </w:rPr>
      </w:pPr>
      <w:proofErr w:type="spellStart"/>
      <w:r>
        <w:rPr>
          <w:sz w:val="22"/>
          <w:szCs w:val="22"/>
        </w:rPr>
        <w:t>Hayton</w:t>
      </w:r>
      <w:proofErr w:type="spellEnd"/>
      <w:r>
        <w:rPr>
          <w:sz w:val="22"/>
          <w:szCs w:val="22"/>
        </w:rPr>
        <w:t xml:space="preserve">, R. (2014). </w:t>
      </w:r>
      <w:proofErr w:type="gramStart"/>
      <w:r>
        <w:rPr>
          <w:sz w:val="22"/>
          <w:szCs w:val="22"/>
        </w:rPr>
        <w:t>Conservative Party Statecraft and the Politics of Coalition.</w:t>
      </w:r>
      <w:proofErr w:type="gramEnd"/>
      <w:r>
        <w:rPr>
          <w:sz w:val="22"/>
          <w:szCs w:val="22"/>
        </w:rPr>
        <w:t xml:space="preserve"> Parliamentary Affairs, 67(1)</w:t>
      </w:r>
      <w:r w:rsidR="00CE1EC3">
        <w:rPr>
          <w:sz w:val="22"/>
          <w:szCs w:val="22"/>
        </w:rPr>
        <w:t>:</w:t>
      </w:r>
      <w:bookmarkStart w:id="0" w:name="_GoBack"/>
      <w:bookmarkEnd w:id="0"/>
      <w:r>
        <w:rPr>
          <w:sz w:val="22"/>
          <w:szCs w:val="22"/>
        </w:rPr>
        <w:t xml:space="preserve"> 6-24.</w:t>
      </w:r>
    </w:p>
    <w:p w:rsidR="00172BEA" w:rsidRDefault="00E3157A">
      <w:pPr>
        <w:pStyle w:val="Body"/>
        <w:rPr>
          <w:sz w:val="22"/>
          <w:szCs w:val="22"/>
        </w:rPr>
      </w:pPr>
      <w:proofErr w:type="spellStart"/>
      <w:proofErr w:type="gramStart"/>
      <w:r>
        <w:rPr>
          <w:sz w:val="22"/>
          <w:szCs w:val="22"/>
        </w:rPr>
        <w:t>Hazell</w:t>
      </w:r>
      <w:proofErr w:type="spellEnd"/>
      <w:r>
        <w:rPr>
          <w:sz w:val="22"/>
          <w:szCs w:val="22"/>
        </w:rPr>
        <w:t>, R. J. D., &amp; Yong, B. (2012).</w:t>
      </w:r>
      <w:proofErr w:type="gramEnd"/>
      <w:r>
        <w:rPr>
          <w:sz w:val="22"/>
          <w:szCs w:val="22"/>
        </w:rPr>
        <w:t xml:space="preserve"> The Politics of Coalition: How the Conservative Liberal Democrat Government Works</w:t>
      </w:r>
      <w:r w:rsidR="001014A7">
        <w:rPr>
          <w:sz w:val="22"/>
          <w:szCs w:val="22"/>
        </w:rPr>
        <w:t>,</w:t>
      </w:r>
      <w:r w:rsidR="001014A7" w:rsidRPr="001014A7">
        <w:t xml:space="preserve"> </w:t>
      </w:r>
      <w:r w:rsidR="001014A7" w:rsidRPr="001014A7">
        <w:rPr>
          <w:sz w:val="22"/>
          <w:szCs w:val="22"/>
        </w:rPr>
        <w:t>Oxford: Hart</w:t>
      </w:r>
      <w:r w:rsidR="001014A7">
        <w:rPr>
          <w:sz w:val="22"/>
          <w:szCs w:val="22"/>
        </w:rPr>
        <w:t>.</w:t>
      </w:r>
    </w:p>
    <w:p w:rsidR="00172BEA" w:rsidRDefault="00E3157A">
      <w:pPr>
        <w:pStyle w:val="Body"/>
        <w:rPr>
          <w:sz w:val="22"/>
          <w:szCs w:val="22"/>
        </w:rPr>
      </w:pPr>
      <w:r>
        <w:rPr>
          <w:sz w:val="22"/>
          <w:szCs w:val="22"/>
          <w:lang w:val="en-GB"/>
        </w:rPr>
        <w:t xml:space="preserve">Heffernan, R. (2005) 'Exploring (and explaining) the British Prime Minister', The British Journal of </w:t>
      </w:r>
      <w:r w:rsidR="00D41439">
        <w:rPr>
          <w:sz w:val="22"/>
          <w:szCs w:val="22"/>
          <w:lang w:val="en-GB"/>
        </w:rPr>
        <w:t>P</w:t>
      </w:r>
      <w:r>
        <w:rPr>
          <w:sz w:val="22"/>
          <w:szCs w:val="22"/>
          <w:lang w:val="en-GB"/>
        </w:rPr>
        <w:t>olitics and International Relations, 7 (4)</w:t>
      </w:r>
      <w:r w:rsidR="00CE1EC3">
        <w:rPr>
          <w:sz w:val="22"/>
          <w:szCs w:val="22"/>
          <w:lang w:val="en-GB"/>
        </w:rPr>
        <w:t>:</w:t>
      </w:r>
      <w:r>
        <w:rPr>
          <w:sz w:val="22"/>
          <w:szCs w:val="22"/>
          <w:lang w:val="en-GB"/>
        </w:rPr>
        <w:t xml:space="preserve"> 605-620</w:t>
      </w:r>
    </w:p>
    <w:p w:rsidR="00172BEA" w:rsidRDefault="00E3157A">
      <w:pPr>
        <w:pStyle w:val="Body"/>
        <w:rPr>
          <w:sz w:val="22"/>
          <w:szCs w:val="22"/>
        </w:rPr>
      </w:pPr>
      <w:r>
        <w:rPr>
          <w:sz w:val="22"/>
          <w:szCs w:val="22"/>
        </w:rPr>
        <w:t xml:space="preserve">Heffernan, R. (2011). </w:t>
      </w:r>
      <w:proofErr w:type="spellStart"/>
      <w:r>
        <w:rPr>
          <w:sz w:val="22"/>
          <w:szCs w:val="22"/>
        </w:rPr>
        <w:t>Labour's</w:t>
      </w:r>
      <w:proofErr w:type="spellEnd"/>
      <w:r>
        <w:rPr>
          <w:sz w:val="22"/>
          <w:szCs w:val="22"/>
        </w:rPr>
        <w:t xml:space="preserve"> New </w:t>
      </w:r>
      <w:proofErr w:type="spellStart"/>
      <w:r>
        <w:rPr>
          <w:sz w:val="22"/>
          <w:szCs w:val="22"/>
        </w:rPr>
        <w:t>Labour</w:t>
      </w:r>
      <w:proofErr w:type="spellEnd"/>
      <w:r>
        <w:rPr>
          <w:sz w:val="22"/>
          <w:szCs w:val="22"/>
        </w:rPr>
        <w:t xml:space="preserve"> legacy: politics after Blair and Brown. Political Studies Review, 9(2), 163-177.</w:t>
      </w:r>
    </w:p>
    <w:p w:rsidR="00172BEA" w:rsidRDefault="00E3157A">
      <w:pPr>
        <w:pStyle w:val="Body"/>
        <w:rPr>
          <w:sz w:val="22"/>
          <w:szCs w:val="22"/>
        </w:rPr>
      </w:pPr>
      <w:proofErr w:type="spellStart"/>
      <w:proofErr w:type="gramStart"/>
      <w:r>
        <w:rPr>
          <w:sz w:val="22"/>
          <w:szCs w:val="22"/>
        </w:rPr>
        <w:t>Heppell</w:t>
      </w:r>
      <w:proofErr w:type="spellEnd"/>
      <w:r>
        <w:rPr>
          <w:sz w:val="22"/>
          <w:szCs w:val="22"/>
        </w:rPr>
        <w:t>, T. (2002).</w:t>
      </w:r>
      <w:proofErr w:type="gramEnd"/>
      <w:r>
        <w:rPr>
          <w:sz w:val="22"/>
          <w:szCs w:val="22"/>
        </w:rPr>
        <w:t xml:space="preserve"> </w:t>
      </w:r>
      <w:proofErr w:type="gramStart"/>
      <w:r>
        <w:rPr>
          <w:sz w:val="22"/>
          <w:szCs w:val="22"/>
        </w:rPr>
        <w:t>The ideological composition of the parliamentary Conservative Party 1992–97.</w:t>
      </w:r>
      <w:proofErr w:type="gramEnd"/>
      <w:r>
        <w:rPr>
          <w:sz w:val="22"/>
          <w:szCs w:val="22"/>
        </w:rPr>
        <w:t xml:space="preserve"> The British Journal of Politics &amp; International Relations, 4(2), 299-324</w:t>
      </w:r>
    </w:p>
    <w:p w:rsidR="004A6208" w:rsidRDefault="004A6208">
      <w:pPr>
        <w:pStyle w:val="Body"/>
        <w:rPr>
          <w:sz w:val="22"/>
          <w:szCs w:val="22"/>
        </w:rPr>
      </w:pPr>
      <w:proofErr w:type="spellStart"/>
      <w:proofErr w:type="gramStart"/>
      <w:r w:rsidRPr="004A6208">
        <w:rPr>
          <w:sz w:val="22"/>
          <w:szCs w:val="22"/>
        </w:rPr>
        <w:t>Heppell</w:t>
      </w:r>
      <w:proofErr w:type="spellEnd"/>
      <w:r w:rsidRPr="004A6208">
        <w:rPr>
          <w:sz w:val="22"/>
          <w:szCs w:val="22"/>
        </w:rPr>
        <w:t>, T. (2014).</w:t>
      </w:r>
      <w:proofErr w:type="gramEnd"/>
      <w:r w:rsidRPr="004A6208">
        <w:rPr>
          <w:sz w:val="22"/>
          <w:szCs w:val="22"/>
        </w:rPr>
        <w:t xml:space="preserve"> </w:t>
      </w:r>
      <w:proofErr w:type="gramStart"/>
      <w:r w:rsidRPr="004A6208">
        <w:rPr>
          <w:sz w:val="22"/>
          <w:szCs w:val="22"/>
        </w:rPr>
        <w:t>Ministerial Selection and Portfolio Allocation in the Cameron Government.</w:t>
      </w:r>
      <w:proofErr w:type="gramEnd"/>
      <w:r w:rsidRPr="004A6208">
        <w:rPr>
          <w:sz w:val="22"/>
          <w:szCs w:val="22"/>
        </w:rPr>
        <w:t xml:space="preserve"> Parliamentary Affairs, 67(1), 64-79.</w:t>
      </w:r>
    </w:p>
    <w:p w:rsidR="00900010" w:rsidRDefault="00900010">
      <w:pPr>
        <w:pStyle w:val="Body"/>
        <w:rPr>
          <w:sz w:val="22"/>
          <w:szCs w:val="22"/>
        </w:rPr>
      </w:pPr>
      <w:proofErr w:type="spellStart"/>
      <w:proofErr w:type="gramStart"/>
      <w:r w:rsidRPr="00900010">
        <w:rPr>
          <w:sz w:val="22"/>
          <w:szCs w:val="22"/>
        </w:rPr>
        <w:t>Heppell</w:t>
      </w:r>
      <w:proofErr w:type="spellEnd"/>
      <w:r w:rsidRPr="00900010">
        <w:rPr>
          <w:sz w:val="22"/>
          <w:szCs w:val="22"/>
        </w:rPr>
        <w:t>, T., &amp; Hill, M. (2012).</w:t>
      </w:r>
      <w:proofErr w:type="gramEnd"/>
      <w:r w:rsidRPr="00900010">
        <w:rPr>
          <w:sz w:val="22"/>
          <w:szCs w:val="22"/>
        </w:rPr>
        <w:t xml:space="preserve"> </w:t>
      </w:r>
      <w:proofErr w:type="spellStart"/>
      <w:proofErr w:type="gramStart"/>
      <w:r w:rsidRPr="00900010">
        <w:rPr>
          <w:sz w:val="22"/>
          <w:szCs w:val="22"/>
        </w:rPr>
        <w:t>Labour</w:t>
      </w:r>
      <w:proofErr w:type="spellEnd"/>
      <w:r w:rsidRPr="00900010">
        <w:rPr>
          <w:sz w:val="22"/>
          <w:szCs w:val="22"/>
        </w:rPr>
        <w:t xml:space="preserve"> in Opposition.</w:t>
      </w:r>
      <w:proofErr w:type="gramEnd"/>
      <w:r w:rsidRPr="00900010">
        <w:rPr>
          <w:sz w:val="22"/>
          <w:szCs w:val="22"/>
        </w:rPr>
        <w:t xml:space="preserve"> </w:t>
      </w:r>
      <w:r>
        <w:rPr>
          <w:sz w:val="22"/>
          <w:szCs w:val="22"/>
        </w:rPr>
        <w:t xml:space="preserve">In </w:t>
      </w:r>
      <w:proofErr w:type="spellStart"/>
      <w:r>
        <w:rPr>
          <w:sz w:val="22"/>
          <w:szCs w:val="22"/>
        </w:rPr>
        <w:t>Heppell</w:t>
      </w:r>
      <w:proofErr w:type="spellEnd"/>
      <w:r>
        <w:rPr>
          <w:sz w:val="22"/>
          <w:szCs w:val="22"/>
        </w:rPr>
        <w:t xml:space="preserve">, T. &amp; </w:t>
      </w:r>
      <w:proofErr w:type="spellStart"/>
      <w:r>
        <w:rPr>
          <w:sz w:val="22"/>
          <w:szCs w:val="22"/>
        </w:rPr>
        <w:t>Seawright</w:t>
      </w:r>
      <w:proofErr w:type="spellEnd"/>
      <w:r>
        <w:rPr>
          <w:sz w:val="22"/>
          <w:szCs w:val="22"/>
        </w:rPr>
        <w:t xml:space="preserve">, D. </w:t>
      </w:r>
      <w:r w:rsidRPr="00900010">
        <w:rPr>
          <w:sz w:val="22"/>
          <w:szCs w:val="22"/>
        </w:rPr>
        <w:t xml:space="preserve">Cameron and the Conservatives: The Transition to Coalition Government, </w:t>
      </w:r>
      <w:r w:rsidR="001014A7" w:rsidRPr="001014A7">
        <w:rPr>
          <w:sz w:val="22"/>
          <w:szCs w:val="22"/>
        </w:rPr>
        <w:t>Basi</w:t>
      </w:r>
      <w:r w:rsidR="00D41439">
        <w:rPr>
          <w:sz w:val="22"/>
          <w:szCs w:val="22"/>
        </w:rPr>
        <w:t>n</w:t>
      </w:r>
      <w:r w:rsidR="001014A7" w:rsidRPr="001014A7">
        <w:rPr>
          <w:sz w:val="22"/>
          <w:szCs w:val="22"/>
        </w:rPr>
        <w:t>gstoke</w:t>
      </w:r>
      <w:r w:rsidR="001014A7">
        <w:rPr>
          <w:sz w:val="22"/>
          <w:szCs w:val="22"/>
        </w:rPr>
        <w:t>:</w:t>
      </w:r>
      <w:r w:rsidR="001014A7" w:rsidRPr="001014A7">
        <w:rPr>
          <w:sz w:val="22"/>
          <w:szCs w:val="22"/>
        </w:rPr>
        <w:t xml:space="preserve"> </w:t>
      </w:r>
      <w:r w:rsidR="001014A7">
        <w:rPr>
          <w:sz w:val="22"/>
          <w:szCs w:val="22"/>
        </w:rPr>
        <w:t>Palgrave Macmillan</w:t>
      </w:r>
      <w:r w:rsidRPr="00900010">
        <w:rPr>
          <w:sz w:val="22"/>
          <w:szCs w:val="22"/>
        </w:rPr>
        <w:t>.</w:t>
      </w:r>
    </w:p>
    <w:p w:rsidR="00172BEA" w:rsidRDefault="00E3157A">
      <w:pPr>
        <w:pStyle w:val="Body"/>
        <w:rPr>
          <w:sz w:val="22"/>
          <w:szCs w:val="22"/>
        </w:rPr>
      </w:pPr>
      <w:r>
        <w:rPr>
          <w:sz w:val="22"/>
          <w:szCs w:val="22"/>
        </w:rPr>
        <w:t>HM Government</w:t>
      </w:r>
      <w:r w:rsidR="001014A7">
        <w:rPr>
          <w:sz w:val="22"/>
          <w:szCs w:val="22"/>
        </w:rPr>
        <w:t>, (2010),</w:t>
      </w:r>
      <w:r>
        <w:rPr>
          <w:sz w:val="22"/>
          <w:szCs w:val="22"/>
        </w:rPr>
        <w:t xml:space="preserve"> </w:t>
      </w:r>
      <w:r w:rsidR="002F41E8">
        <w:rPr>
          <w:sz w:val="22"/>
          <w:szCs w:val="22"/>
        </w:rPr>
        <w:t>‘</w:t>
      </w:r>
      <w:r>
        <w:rPr>
          <w:sz w:val="22"/>
          <w:szCs w:val="22"/>
        </w:rPr>
        <w:t>The Coalition:</w:t>
      </w:r>
      <w:r w:rsidR="001014A7">
        <w:rPr>
          <w:sz w:val="22"/>
          <w:szCs w:val="22"/>
        </w:rPr>
        <w:t xml:space="preserve"> our </w:t>
      </w:r>
      <w:proofErr w:type="spellStart"/>
      <w:r w:rsidR="001014A7">
        <w:rPr>
          <w:sz w:val="22"/>
          <w:szCs w:val="22"/>
        </w:rPr>
        <w:t>programme</w:t>
      </w:r>
      <w:proofErr w:type="spellEnd"/>
      <w:r w:rsidR="001014A7">
        <w:rPr>
          <w:sz w:val="22"/>
          <w:szCs w:val="22"/>
        </w:rPr>
        <w:t xml:space="preserve"> for government</w:t>
      </w:r>
      <w:r w:rsidR="002F41E8">
        <w:rPr>
          <w:sz w:val="22"/>
          <w:szCs w:val="22"/>
        </w:rPr>
        <w:t>’</w:t>
      </w:r>
      <w:r w:rsidR="001014A7">
        <w:rPr>
          <w:sz w:val="22"/>
          <w:szCs w:val="22"/>
        </w:rPr>
        <w:t>.</w:t>
      </w:r>
    </w:p>
    <w:p w:rsidR="00172BEA" w:rsidRDefault="00E3157A">
      <w:pPr>
        <w:pStyle w:val="Body"/>
        <w:rPr>
          <w:sz w:val="22"/>
          <w:szCs w:val="22"/>
        </w:rPr>
      </w:pPr>
      <w:r>
        <w:rPr>
          <w:sz w:val="22"/>
          <w:szCs w:val="22"/>
        </w:rPr>
        <w:lastRenderedPageBreak/>
        <w:t xml:space="preserve">Hodgson, Robert, John Maloney, Barbara </w:t>
      </w:r>
      <w:proofErr w:type="spellStart"/>
      <w:r>
        <w:rPr>
          <w:sz w:val="22"/>
          <w:szCs w:val="22"/>
        </w:rPr>
        <w:t>Koller</w:t>
      </w:r>
      <w:proofErr w:type="spellEnd"/>
      <w:r>
        <w:rPr>
          <w:sz w:val="22"/>
          <w:szCs w:val="22"/>
        </w:rPr>
        <w:t xml:space="preserve">, </w:t>
      </w:r>
      <w:proofErr w:type="spellStart"/>
      <w:r>
        <w:rPr>
          <w:sz w:val="22"/>
          <w:szCs w:val="22"/>
        </w:rPr>
        <w:t>Caterina</w:t>
      </w:r>
      <w:proofErr w:type="spellEnd"/>
      <w:r>
        <w:rPr>
          <w:sz w:val="22"/>
          <w:szCs w:val="22"/>
        </w:rPr>
        <w:t xml:space="preserve"> </w:t>
      </w:r>
      <w:proofErr w:type="spellStart"/>
      <w:r>
        <w:rPr>
          <w:sz w:val="22"/>
          <w:szCs w:val="22"/>
        </w:rPr>
        <w:t>Mendicino</w:t>
      </w:r>
      <w:proofErr w:type="spellEnd"/>
      <w:r>
        <w:rPr>
          <w:sz w:val="22"/>
          <w:szCs w:val="22"/>
        </w:rPr>
        <w:t xml:space="preserve">, Jeffrey R. Brown, </w:t>
      </w:r>
      <w:proofErr w:type="spellStart"/>
      <w:r>
        <w:rPr>
          <w:sz w:val="22"/>
          <w:szCs w:val="22"/>
        </w:rPr>
        <w:t>Arie</w:t>
      </w:r>
      <w:proofErr w:type="spellEnd"/>
      <w:r>
        <w:rPr>
          <w:sz w:val="22"/>
          <w:szCs w:val="22"/>
        </w:rPr>
        <w:t xml:space="preserve"> </w:t>
      </w:r>
      <w:proofErr w:type="spellStart"/>
      <w:r>
        <w:rPr>
          <w:sz w:val="22"/>
          <w:szCs w:val="22"/>
        </w:rPr>
        <w:t>Kapteyn</w:t>
      </w:r>
      <w:proofErr w:type="spellEnd"/>
      <w:r>
        <w:rPr>
          <w:sz w:val="22"/>
          <w:szCs w:val="22"/>
        </w:rPr>
        <w:t xml:space="preserve">, Olivia S. Mitchell et al. "Why has Britain fewer marginal seats than it used to?." </w:t>
      </w:r>
      <w:proofErr w:type="gramStart"/>
      <w:r>
        <w:rPr>
          <w:sz w:val="22"/>
          <w:szCs w:val="22"/>
        </w:rPr>
        <w:t>Research Papers in Economics (2012).</w:t>
      </w:r>
      <w:proofErr w:type="gramEnd"/>
    </w:p>
    <w:p w:rsidR="00172BEA" w:rsidRDefault="00E3157A">
      <w:pPr>
        <w:pStyle w:val="Body"/>
        <w:rPr>
          <w:sz w:val="22"/>
          <w:szCs w:val="22"/>
          <w:lang w:val="en-GB"/>
        </w:rPr>
      </w:pPr>
      <w:r>
        <w:rPr>
          <w:sz w:val="22"/>
          <w:szCs w:val="22"/>
        </w:rPr>
        <w:t>House of Lords Library note</w:t>
      </w:r>
      <w:r>
        <w:rPr>
          <w:sz w:val="22"/>
          <w:szCs w:val="22"/>
          <w:lang w:val="en-GB"/>
        </w:rPr>
        <w:t xml:space="preserve"> (2011)</w:t>
      </w:r>
      <w:r>
        <w:rPr>
          <w:sz w:val="22"/>
          <w:szCs w:val="22"/>
        </w:rPr>
        <w:t>, Constitutional and Parliamentary Effect of Coalition Government, LLN 2011/002, 1</w:t>
      </w:r>
      <w:r>
        <w:rPr>
          <w:sz w:val="22"/>
          <w:szCs w:val="22"/>
          <w:lang w:val="en-GB"/>
        </w:rPr>
        <w:t xml:space="preserve"> November</w:t>
      </w:r>
    </w:p>
    <w:p w:rsidR="001E7487" w:rsidRDefault="001E7487">
      <w:pPr>
        <w:pStyle w:val="Body"/>
        <w:rPr>
          <w:sz w:val="22"/>
          <w:szCs w:val="22"/>
          <w:lang w:val="en-GB"/>
        </w:rPr>
      </w:pPr>
      <w:r>
        <w:rPr>
          <w:sz w:val="22"/>
          <w:szCs w:val="22"/>
          <w:lang w:val="en-GB"/>
        </w:rPr>
        <w:t>House of Lords</w:t>
      </w:r>
      <w:r w:rsidR="00AC711F">
        <w:rPr>
          <w:sz w:val="22"/>
          <w:szCs w:val="22"/>
          <w:lang w:val="en-GB"/>
        </w:rPr>
        <w:t xml:space="preserve"> </w:t>
      </w:r>
      <w:r w:rsidR="00AC711F" w:rsidRPr="00AC711F">
        <w:rPr>
          <w:sz w:val="22"/>
          <w:szCs w:val="22"/>
          <w:lang w:val="en-GB"/>
        </w:rPr>
        <w:t xml:space="preserve">Constitution Select Committee </w:t>
      </w:r>
      <w:r w:rsidR="00AC711F">
        <w:rPr>
          <w:sz w:val="22"/>
          <w:szCs w:val="22"/>
          <w:lang w:val="en-GB"/>
        </w:rPr>
        <w:t xml:space="preserve">(2013), </w:t>
      </w:r>
      <w:r w:rsidR="00AC711F" w:rsidRPr="00AC711F">
        <w:rPr>
          <w:sz w:val="22"/>
          <w:szCs w:val="22"/>
          <w:lang w:val="en-GB"/>
        </w:rPr>
        <w:t>‘Constitutional Impli</w:t>
      </w:r>
      <w:r w:rsidR="00AC711F">
        <w:rPr>
          <w:sz w:val="22"/>
          <w:szCs w:val="22"/>
          <w:lang w:val="en-GB"/>
        </w:rPr>
        <w:t xml:space="preserve">cations of Coalition Government: call for evidence’. </w:t>
      </w:r>
    </w:p>
    <w:p w:rsidR="005509D7" w:rsidRDefault="005509D7">
      <w:pPr>
        <w:pStyle w:val="Body"/>
        <w:rPr>
          <w:sz w:val="22"/>
          <w:szCs w:val="22"/>
        </w:rPr>
      </w:pPr>
      <w:proofErr w:type="gramStart"/>
      <w:r>
        <w:rPr>
          <w:sz w:val="22"/>
          <w:szCs w:val="22"/>
          <w:lang w:val="en-GB"/>
        </w:rPr>
        <w:t>Hitchens, P. (2010), ‘Actually ‘Con-Dem’ is a better name for a government that is to the left of New Labour’, Daily Mail, 13 May.</w:t>
      </w:r>
      <w:proofErr w:type="gramEnd"/>
      <w:r>
        <w:rPr>
          <w:sz w:val="22"/>
          <w:szCs w:val="22"/>
          <w:lang w:val="en-GB"/>
        </w:rPr>
        <w:t xml:space="preserve"> </w:t>
      </w:r>
    </w:p>
    <w:p w:rsidR="00172BEA" w:rsidRDefault="00E3157A">
      <w:pPr>
        <w:pStyle w:val="Body"/>
        <w:rPr>
          <w:sz w:val="22"/>
          <w:szCs w:val="22"/>
        </w:rPr>
      </w:pPr>
      <w:proofErr w:type="gramStart"/>
      <w:r>
        <w:rPr>
          <w:sz w:val="22"/>
          <w:szCs w:val="22"/>
        </w:rPr>
        <w:t xml:space="preserve">Jones, G. W., &amp; </w:t>
      </w:r>
      <w:proofErr w:type="spellStart"/>
      <w:r>
        <w:rPr>
          <w:sz w:val="22"/>
          <w:szCs w:val="22"/>
        </w:rPr>
        <w:t>Blick</w:t>
      </w:r>
      <w:proofErr w:type="spellEnd"/>
      <w:r>
        <w:rPr>
          <w:sz w:val="22"/>
          <w:szCs w:val="22"/>
        </w:rPr>
        <w:t>, A. (2010).</w:t>
      </w:r>
      <w:proofErr w:type="gramEnd"/>
      <w:r>
        <w:rPr>
          <w:sz w:val="22"/>
          <w:szCs w:val="22"/>
        </w:rPr>
        <w:t xml:space="preserve"> The PM and the centre of UK government from Tony Blair to David Cameron: how much will change in the transition from single-party to coalition government</w:t>
      </w:r>
      <w:proofErr w:type="gramStart"/>
      <w:r>
        <w:rPr>
          <w:sz w:val="22"/>
          <w:szCs w:val="22"/>
        </w:rPr>
        <w:t>?.</w:t>
      </w:r>
      <w:proofErr w:type="gramEnd"/>
      <w:r>
        <w:rPr>
          <w:sz w:val="22"/>
          <w:szCs w:val="22"/>
        </w:rPr>
        <w:t xml:space="preserve"> </w:t>
      </w:r>
      <w:proofErr w:type="gramStart"/>
      <w:r>
        <w:rPr>
          <w:sz w:val="22"/>
          <w:szCs w:val="22"/>
        </w:rPr>
        <w:t>British Politics and Policy at LSE.</w:t>
      </w:r>
      <w:proofErr w:type="gramEnd"/>
    </w:p>
    <w:p w:rsidR="00172BEA" w:rsidRDefault="00E3157A">
      <w:pPr>
        <w:pStyle w:val="Body"/>
        <w:rPr>
          <w:sz w:val="22"/>
          <w:szCs w:val="22"/>
        </w:rPr>
      </w:pPr>
      <w:proofErr w:type="gramStart"/>
      <w:r>
        <w:rPr>
          <w:sz w:val="22"/>
          <w:szCs w:val="22"/>
        </w:rPr>
        <w:t>Kelly, R. (2010) Short money, Parliament and Constitution Centre, House of Commons Library.</w:t>
      </w:r>
      <w:proofErr w:type="gramEnd"/>
    </w:p>
    <w:p w:rsidR="00172BEA" w:rsidRDefault="00E3157A">
      <w:pPr>
        <w:pStyle w:val="Body"/>
        <w:rPr>
          <w:sz w:val="22"/>
          <w:szCs w:val="22"/>
        </w:rPr>
      </w:pPr>
      <w:proofErr w:type="spellStart"/>
      <w:r>
        <w:rPr>
          <w:sz w:val="22"/>
          <w:szCs w:val="22"/>
        </w:rPr>
        <w:t>Lijphart</w:t>
      </w:r>
      <w:proofErr w:type="spellEnd"/>
      <w:r>
        <w:rPr>
          <w:sz w:val="22"/>
          <w:szCs w:val="22"/>
        </w:rPr>
        <w:t xml:space="preserve">, A. </w:t>
      </w:r>
      <w:r>
        <w:rPr>
          <w:sz w:val="22"/>
          <w:szCs w:val="22"/>
          <w:lang w:val="en-GB"/>
        </w:rPr>
        <w:t>(</w:t>
      </w:r>
      <w:r>
        <w:rPr>
          <w:sz w:val="22"/>
          <w:szCs w:val="22"/>
        </w:rPr>
        <w:t>1999</w:t>
      </w:r>
      <w:r>
        <w:rPr>
          <w:sz w:val="22"/>
          <w:szCs w:val="22"/>
          <w:lang w:val="en-GB"/>
        </w:rPr>
        <w:t>)</w:t>
      </w:r>
      <w:r>
        <w:rPr>
          <w:sz w:val="22"/>
          <w:szCs w:val="22"/>
        </w:rPr>
        <w:t>. Patterns of Democracy – Government Forms and Performance in Thirty-Six Countries, New Haven, CT: University of Yale Press.</w:t>
      </w:r>
    </w:p>
    <w:p w:rsidR="005509D7" w:rsidRDefault="005509D7">
      <w:pPr>
        <w:pStyle w:val="Body"/>
        <w:rPr>
          <w:sz w:val="22"/>
          <w:szCs w:val="22"/>
        </w:rPr>
      </w:pPr>
      <w:r>
        <w:rPr>
          <w:sz w:val="22"/>
          <w:szCs w:val="22"/>
        </w:rPr>
        <w:t xml:space="preserve">Mayer, D (2010). </w:t>
      </w:r>
      <w:proofErr w:type="gramStart"/>
      <w:r>
        <w:rPr>
          <w:sz w:val="22"/>
          <w:szCs w:val="22"/>
        </w:rPr>
        <w:t>‘The making of a cutters’ coalition’, Socialist Review, June.</w:t>
      </w:r>
      <w:proofErr w:type="gramEnd"/>
    </w:p>
    <w:p w:rsidR="00172BEA" w:rsidRDefault="00E3157A">
      <w:pPr>
        <w:pStyle w:val="Body"/>
        <w:rPr>
          <w:sz w:val="22"/>
          <w:szCs w:val="22"/>
        </w:rPr>
      </w:pPr>
      <w:proofErr w:type="gramStart"/>
      <w:r>
        <w:rPr>
          <w:sz w:val="22"/>
          <w:szCs w:val="22"/>
        </w:rPr>
        <w:t>Ministerial Code.</w:t>
      </w:r>
      <w:proofErr w:type="gramEnd"/>
      <w:r>
        <w:rPr>
          <w:sz w:val="22"/>
          <w:szCs w:val="22"/>
        </w:rPr>
        <w:t xml:space="preserve"> </w:t>
      </w:r>
      <w:proofErr w:type="gramStart"/>
      <w:r>
        <w:rPr>
          <w:sz w:val="22"/>
          <w:szCs w:val="22"/>
        </w:rPr>
        <w:t>Cabinet Office.</w:t>
      </w:r>
      <w:proofErr w:type="gramEnd"/>
      <w:r>
        <w:rPr>
          <w:sz w:val="22"/>
          <w:szCs w:val="22"/>
        </w:rPr>
        <w:t xml:space="preserve"> (2010).</w:t>
      </w:r>
    </w:p>
    <w:p w:rsidR="001E7487" w:rsidRDefault="001E7487">
      <w:pPr>
        <w:pStyle w:val="Body"/>
        <w:rPr>
          <w:sz w:val="22"/>
          <w:szCs w:val="22"/>
        </w:rPr>
      </w:pPr>
      <w:r>
        <w:rPr>
          <w:sz w:val="22"/>
          <w:szCs w:val="22"/>
        </w:rPr>
        <w:t>Murphy, J. (2014), ‘</w:t>
      </w:r>
      <w:r w:rsidRPr="001E7487">
        <w:rPr>
          <w:sz w:val="22"/>
          <w:szCs w:val="22"/>
        </w:rPr>
        <w:t>Reshuffle: Ministers facing the sack in mutiny against David Cameron</w:t>
      </w:r>
      <w:r>
        <w:rPr>
          <w:sz w:val="22"/>
          <w:szCs w:val="22"/>
        </w:rPr>
        <w:t xml:space="preserve">’, Evening Standard, </w:t>
      </w:r>
      <w:r w:rsidR="007044ED">
        <w:rPr>
          <w:sz w:val="22"/>
          <w:szCs w:val="22"/>
        </w:rPr>
        <w:t>(</w:t>
      </w:r>
      <w:r>
        <w:rPr>
          <w:sz w:val="22"/>
          <w:szCs w:val="22"/>
        </w:rPr>
        <w:t>14 July</w:t>
      </w:r>
      <w:r w:rsidR="007044ED">
        <w:rPr>
          <w:sz w:val="22"/>
          <w:szCs w:val="22"/>
        </w:rPr>
        <w:t>)</w:t>
      </w:r>
      <w:r>
        <w:rPr>
          <w:sz w:val="22"/>
          <w:szCs w:val="22"/>
        </w:rPr>
        <w:t xml:space="preserve">. </w:t>
      </w:r>
    </w:p>
    <w:p w:rsidR="00172BEA" w:rsidRDefault="00E3157A">
      <w:pPr>
        <w:pStyle w:val="Body"/>
        <w:rPr>
          <w:sz w:val="22"/>
          <w:szCs w:val="22"/>
        </w:rPr>
      </w:pPr>
      <w:r>
        <w:rPr>
          <w:sz w:val="22"/>
          <w:szCs w:val="22"/>
        </w:rPr>
        <w:t xml:space="preserve">Norton, P. (1997). </w:t>
      </w:r>
      <w:proofErr w:type="gramStart"/>
      <w:r>
        <w:rPr>
          <w:sz w:val="22"/>
          <w:szCs w:val="22"/>
        </w:rPr>
        <w:t>The case for First</w:t>
      </w:r>
      <w:r>
        <w:rPr>
          <w:rFonts w:ascii="Cambria Math" w:eastAsia="Cambria Math" w:hAnsi="Cambria Math" w:cs="Cambria Math"/>
          <w:sz w:val="22"/>
          <w:szCs w:val="22"/>
        </w:rPr>
        <w:t>‐</w:t>
      </w:r>
      <w:r>
        <w:rPr>
          <w:sz w:val="22"/>
          <w:szCs w:val="22"/>
        </w:rPr>
        <w:t>Past</w:t>
      </w:r>
      <w:r>
        <w:rPr>
          <w:rFonts w:ascii="Cambria Math" w:eastAsia="Cambria Math" w:hAnsi="Cambria Math" w:cs="Cambria Math"/>
          <w:sz w:val="22"/>
          <w:szCs w:val="22"/>
        </w:rPr>
        <w:t>‐</w:t>
      </w:r>
      <w:r>
        <w:rPr>
          <w:sz w:val="22"/>
          <w:szCs w:val="22"/>
        </w:rPr>
        <w:t>The</w:t>
      </w:r>
      <w:r>
        <w:rPr>
          <w:rFonts w:ascii="Cambria Math" w:eastAsia="Cambria Math" w:hAnsi="Cambria Math" w:cs="Cambria Math"/>
          <w:sz w:val="22"/>
          <w:szCs w:val="22"/>
        </w:rPr>
        <w:t>‐</w:t>
      </w:r>
      <w:r>
        <w:rPr>
          <w:sz w:val="22"/>
          <w:szCs w:val="22"/>
        </w:rPr>
        <w:t>Post.</w:t>
      </w:r>
      <w:proofErr w:type="gramEnd"/>
      <w:r>
        <w:rPr>
          <w:sz w:val="22"/>
          <w:szCs w:val="22"/>
        </w:rPr>
        <w:t xml:space="preserve"> Representation, 34(2), 84-88.</w:t>
      </w:r>
    </w:p>
    <w:p w:rsidR="00172BEA" w:rsidRDefault="00E3157A">
      <w:pPr>
        <w:pStyle w:val="Body"/>
        <w:rPr>
          <w:sz w:val="22"/>
          <w:szCs w:val="22"/>
        </w:rPr>
      </w:pPr>
      <w:proofErr w:type="spellStart"/>
      <w:r>
        <w:rPr>
          <w:sz w:val="22"/>
          <w:szCs w:val="22"/>
        </w:rPr>
        <w:t>Paun</w:t>
      </w:r>
      <w:proofErr w:type="spellEnd"/>
      <w:r>
        <w:rPr>
          <w:sz w:val="22"/>
          <w:szCs w:val="22"/>
        </w:rPr>
        <w:t xml:space="preserve">, A. (2011). </w:t>
      </w:r>
      <w:proofErr w:type="gramStart"/>
      <w:r>
        <w:rPr>
          <w:sz w:val="22"/>
          <w:szCs w:val="22"/>
        </w:rPr>
        <w:t>After the age of majority?</w:t>
      </w:r>
      <w:proofErr w:type="gramEnd"/>
      <w:r>
        <w:rPr>
          <w:sz w:val="22"/>
          <w:szCs w:val="22"/>
        </w:rPr>
        <w:t xml:space="preserve"> </w:t>
      </w:r>
      <w:proofErr w:type="gramStart"/>
      <w:r>
        <w:rPr>
          <w:sz w:val="22"/>
          <w:szCs w:val="22"/>
        </w:rPr>
        <w:t>Multi-party governance and the Westminster model.</w:t>
      </w:r>
      <w:proofErr w:type="gramEnd"/>
      <w:r>
        <w:rPr>
          <w:sz w:val="22"/>
          <w:szCs w:val="22"/>
        </w:rPr>
        <w:t xml:space="preserve"> Commonwealth &amp; Comparative Politics, 49(4), 440-456.</w:t>
      </w:r>
    </w:p>
    <w:p w:rsidR="00172BEA" w:rsidRDefault="00E3157A">
      <w:pPr>
        <w:pStyle w:val="Body"/>
        <w:rPr>
          <w:sz w:val="22"/>
          <w:szCs w:val="22"/>
        </w:rPr>
      </w:pPr>
      <w:proofErr w:type="gramStart"/>
      <w:r>
        <w:rPr>
          <w:sz w:val="22"/>
          <w:szCs w:val="22"/>
        </w:rPr>
        <w:t>Quinn, T., Bara, J., &amp; Bartle, J. (2011).</w:t>
      </w:r>
      <w:proofErr w:type="gramEnd"/>
      <w:r>
        <w:rPr>
          <w:sz w:val="22"/>
          <w:szCs w:val="22"/>
        </w:rPr>
        <w:t xml:space="preserve"> The UK coalition agreement of 2010: who won</w:t>
      </w:r>
      <w:proofErr w:type="gramStart"/>
      <w:r>
        <w:rPr>
          <w:sz w:val="22"/>
          <w:szCs w:val="22"/>
        </w:rPr>
        <w:t>?.</w:t>
      </w:r>
      <w:proofErr w:type="gramEnd"/>
      <w:r>
        <w:rPr>
          <w:sz w:val="22"/>
          <w:szCs w:val="22"/>
        </w:rPr>
        <w:t xml:space="preserve"> Journal of Elections, Public Opinion and Parties, 21(2), 295-312.</w:t>
      </w:r>
    </w:p>
    <w:p w:rsidR="00172BEA" w:rsidRDefault="00E3157A">
      <w:pPr>
        <w:pStyle w:val="Body"/>
        <w:rPr>
          <w:sz w:val="22"/>
          <w:szCs w:val="22"/>
        </w:rPr>
      </w:pPr>
      <w:proofErr w:type="gramStart"/>
      <w:r>
        <w:rPr>
          <w:sz w:val="22"/>
          <w:szCs w:val="22"/>
        </w:rPr>
        <w:t xml:space="preserve">Rhodes, R. A. &amp; </w:t>
      </w:r>
      <w:proofErr w:type="spellStart"/>
      <w:r>
        <w:rPr>
          <w:sz w:val="22"/>
          <w:szCs w:val="22"/>
        </w:rPr>
        <w:t>Bevir</w:t>
      </w:r>
      <w:proofErr w:type="spellEnd"/>
      <w:r>
        <w:rPr>
          <w:sz w:val="22"/>
          <w:szCs w:val="22"/>
        </w:rPr>
        <w:t>, M. (2006).</w:t>
      </w:r>
      <w:proofErr w:type="gramEnd"/>
      <w:r>
        <w:rPr>
          <w:sz w:val="22"/>
          <w:szCs w:val="22"/>
        </w:rPr>
        <w:t xml:space="preserve"> </w:t>
      </w:r>
      <w:proofErr w:type="gramStart"/>
      <w:r>
        <w:rPr>
          <w:sz w:val="22"/>
          <w:szCs w:val="22"/>
        </w:rPr>
        <w:t xml:space="preserve">Prime ministers, </w:t>
      </w:r>
      <w:proofErr w:type="spellStart"/>
      <w:r>
        <w:rPr>
          <w:sz w:val="22"/>
          <w:szCs w:val="22"/>
        </w:rPr>
        <w:t>presidentialism</w:t>
      </w:r>
      <w:proofErr w:type="spellEnd"/>
      <w:r>
        <w:rPr>
          <w:sz w:val="22"/>
          <w:szCs w:val="22"/>
        </w:rPr>
        <w:t xml:space="preserve"> and Westminster smokescreens.</w:t>
      </w:r>
      <w:proofErr w:type="gramEnd"/>
      <w:r>
        <w:rPr>
          <w:sz w:val="22"/>
          <w:szCs w:val="22"/>
        </w:rPr>
        <w:t xml:space="preserve"> Political Studies, 54(4), 671-690.</w:t>
      </w:r>
    </w:p>
    <w:p w:rsidR="00172BEA" w:rsidRDefault="00E3157A">
      <w:pPr>
        <w:pStyle w:val="Body"/>
        <w:rPr>
          <w:sz w:val="22"/>
          <w:szCs w:val="22"/>
        </w:rPr>
      </w:pPr>
      <w:r>
        <w:rPr>
          <w:sz w:val="22"/>
          <w:szCs w:val="22"/>
        </w:rPr>
        <w:t xml:space="preserve">Rhodes, R. A. W. (2006). </w:t>
      </w:r>
      <w:proofErr w:type="gramStart"/>
      <w:r>
        <w:rPr>
          <w:sz w:val="22"/>
          <w:szCs w:val="22"/>
        </w:rPr>
        <w:t>Executives in parliamentary government.</w:t>
      </w:r>
      <w:proofErr w:type="gramEnd"/>
      <w:r>
        <w:rPr>
          <w:sz w:val="22"/>
          <w:szCs w:val="22"/>
        </w:rPr>
        <w:t xml:space="preserve"> </w:t>
      </w:r>
      <w:proofErr w:type="gramStart"/>
      <w:r>
        <w:rPr>
          <w:sz w:val="22"/>
          <w:szCs w:val="22"/>
        </w:rPr>
        <w:t>The Oxford Handbook of Political Institutions, 2, 323.</w:t>
      </w:r>
      <w:proofErr w:type="gramEnd"/>
    </w:p>
    <w:p w:rsidR="00172BEA" w:rsidRDefault="00E3157A">
      <w:pPr>
        <w:pStyle w:val="Body"/>
        <w:rPr>
          <w:sz w:val="22"/>
          <w:szCs w:val="22"/>
          <w:lang w:val="en-GB"/>
        </w:rPr>
      </w:pPr>
      <w:proofErr w:type="gramStart"/>
      <w:r>
        <w:rPr>
          <w:sz w:val="22"/>
          <w:szCs w:val="22"/>
          <w:lang w:val="en-GB"/>
        </w:rPr>
        <w:t>Russell, M. (2010) 'A Stronger Second Chamber?</w:t>
      </w:r>
      <w:proofErr w:type="gramEnd"/>
      <w:r>
        <w:rPr>
          <w:sz w:val="22"/>
          <w:szCs w:val="22"/>
          <w:lang w:val="en-GB"/>
        </w:rPr>
        <w:t xml:space="preserve"> Assessing the impact of House of Lords reform in 1999 and the lessons for bicameralism', Pol</w:t>
      </w:r>
      <w:r w:rsidR="00F31DDD">
        <w:rPr>
          <w:sz w:val="22"/>
          <w:szCs w:val="22"/>
          <w:lang w:val="en-GB"/>
        </w:rPr>
        <w:t>itical Studies, 58 (5), 866-885.</w:t>
      </w:r>
    </w:p>
    <w:p w:rsidR="00F31DDD" w:rsidRDefault="00F31DDD">
      <w:pPr>
        <w:pStyle w:val="Body"/>
        <w:rPr>
          <w:sz w:val="22"/>
          <w:szCs w:val="22"/>
          <w:lang w:val="en-GB"/>
        </w:rPr>
      </w:pPr>
      <w:proofErr w:type="spellStart"/>
      <w:proofErr w:type="gramStart"/>
      <w:r w:rsidRPr="00F31DDD">
        <w:rPr>
          <w:sz w:val="22"/>
          <w:szCs w:val="22"/>
          <w:lang w:val="en-GB"/>
        </w:rPr>
        <w:t>Urbinati</w:t>
      </w:r>
      <w:proofErr w:type="spellEnd"/>
      <w:r w:rsidRPr="00F31DDD">
        <w:rPr>
          <w:sz w:val="22"/>
          <w:szCs w:val="22"/>
          <w:lang w:val="en-GB"/>
        </w:rPr>
        <w:t>, N., &amp; Warren, M. E. (2008).</w:t>
      </w:r>
      <w:proofErr w:type="gramEnd"/>
      <w:r w:rsidRPr="00F31DDD">
        <w:rPr>
          <w:sz w:val="22"/>
          <w:szCs w:val="22"/>
          <w:lang w:val="en-GB"/>
        </w:rPr>
        <w:t xml:space="preserve"> </w:t>
      </w:r>
      <w:proofErr w:type="gramStart"/>
      <w:r w:rsidRPr="00F31DDD">
        <w:rPr>
          <w:sz w:val="22"/>
          <w:szCs w:val="22"/>
          <w:lang w:val="en-GB"/>
        </w:rPr>
        <w:t>The concept of representation in contemporary democratic theory.</w:t>
      </w:r>
      <w:proofErr w:type="gramEnd"/>
      <w:r w:rsidRPr="00F31DDD">
        <w:rPr>
          <w:sz w:val="22"/>
          <w:szCs w:val="22"/>
          <w:lang w:val="en-GB"/>
        </w:rPr>
        <w:t xml:space="preserve"> </w:t>
      </w:r>
      <w:proofErr w:type="spellStart"/>
      <w:proofErr w:type="gramStart"/>
      <w:r w:rsidRPr="00F31DDD">
        <w:rPr>
          <w:sz w:val="22"/>
          <w:szCs w:val="22"/>
          <w:lang w:val="en-GB"/>
        </w:rPr>
        <w:t>Annu</w:t>
      </w:r>
      <w:proofErr w:type="spellEnd"/>
      <w:r w:rsidRPr="00F31DDD">
        <w:rPr>
          <w:sz w:val="22"/>
          <w:szCs w:val="22"/>
          <w:lang w:val="en-GB"/>
        </w:rPr>
        <w:t>.</w:t>
      </w:r>
      <w:proofErr w:type="gramEnd"/>
      <w:r w:rsidRPr="00F31DDD">
        <w:rPr>
          <w:sz w:val="22"/>
          <w:szCs w:val="22"/>
          <w:lang w:val="en-GB"/>
        </w:rPr>
        <w:t xml:space="preserve"> Rev. Polit. Sci., 11, 387-412.</w:t>
      </w:r>
    </w:p>
    <w:p w:rsidR="00D9600D" w:rsidRDefault="00D9600D">
      <w:pPr>
        <w:pStyle w:val="Body"/>
        <w:rPr>
          <w:sz w:val="22"/>
          <w:szCs w:val="22"/>
        </w:rPr>
      </w:pPr>
      <w:proofErr w:type="gramStart"/>
      <w:r w:rsidRPr="00D9600D">
        <w:rPr>
          <w:sz w:val="22"/>
          <w:szCs w:val="22"/>
        </w:rPr>
        <w:lastRenderedPageBreak/>
        <w:t>Wickham-Jones, M. (2013).</w:t>
      </w:r>
      <w:proofErr w:type="gramEnd"/>
      <w:r w:rsidRPr="00D9600D">
        <w:rPr>
          <w:sz w:val="22"/>
          <w:szCs w:val="22"/>
        </w:rPr>
        <w:t xml:space="preserve"> </w:t>
      </w:r>
      <w:proofErr w:type="spellStart"/>
      <w:r w:rsidRPr="00D9600D">
        <w:rPr>
          <w:sz w:val="22"/>
          <w:szCs w:val="22"/>
        </w:rPr>
        <w:t>Labour's</w:t>
      </w:r>
      <w:proofErr w:type="spellEnd"/>
      <w:r w:rsidRPr="00D9600D">
        <w:rPr>
          <w:sz w:val="22"/>
          <w:szCs w:val="22"/>
        </w:rPr>
        <w:t xml:space="preserve"> Austerity Problem. Dissent, 60(4), 38-42.</w:t>
      </w:r>
    </w:p>
    <w:p w:rsidR="00172BEA" w:rsidRDefault="00E3157A">
      <w:pPr>
        <w:pStyle w:val="Body"/>
        <w:rPr>
          <w:sz w:val="22"/>
          <w:szCs w:val="22"/>
        </w:rPr>
      </w:pPr>
      <w:r>
        <w:rPr>
          <w:sz w:val="22"/>
          <w:szCs w:val="22"/>
          <w:lang w:val="nl-NL"/>
        </w:rPr>
        <w:t>Wilks-Heeg, S.</w:t>
      </w:r>
      <w:r>
        <w:rPr>
          <w:sz w:val="22"/>
          <w:szCs w:val="22"/>
          <w:lang w:val="en-GB"/>
        </w:rPr>
        <w:t xml:space="preserve"> (2010).</w:t>
      </w:r>
      <w:r>
        <w:rPr>
          <w:sz w:val="22"/>
          <w:szCs w:val="22"/>
        </w:rPr>
        <w:t xml:space="preserve"> </w:t>
      </w:r>
      <w:r>
        <w:rPr>
          <w:sz w:val="22"/>
          <w:szCs w:val="22"/>
          <w:lang w:val="en-GB"/>
        </w:rPr>
        <w:t>"</w:t>
      </w:r>
      <w:r>
        <w:rPr>
          <w:sz w:val="22"/>
          <w:szCs w:val="22"/>
        </w:rPr>
        <w:t>Uninventing the ‘hung Parliament</w:t>
      </w:r>
      <w:r>
        <w:rPr>
          <w:sz w:val="22"/>
          <w:szCs w:val="22"/>
          <w:lang w:val="fr-FR"/>
        </w:rPr>
        <w:t>’</w:t>
      </w:r>
      <w:r>
        <w:rPr>
          <w:sz w:val="22"/>
          <w:szCs w:val="22"/>
        </w:rPr>
        <w:t xml:space="preserve">." </w:t>
      </w:r>
      <w:proofErr w:type="gramStart"/>
      <w:r>
        <w:rPr>
          <w:sz w:val="22"/>
          <w:szCs w:val="22"/>
        </w:rPr>
        <w:t>British Politics and Policy at LSE.</w:t>
      </w:r>
      <w:proofErr w:type="gramEnd"/>
    </w:p>
    <w:p w:rsidR="00172BEA" w:rsidRDefault="00172BEA">
      <w:pPr>
        <w:pStyle w:val="Body"/>
      </w:pPr>
    </w:p>
    <w:p w:rsidR="00172BEA" w:rsidRDefault="00172BEA">
      <w:pPr>
        <w:pStyle w:val="Body"/>
      </w:pPr>
    </w:p>
    <w:p w:rsidR="00172BEA" w:rsidRDefault="00172BEA">
      <w:pPr>
        <w:pStyle w:val="Body"/>
      </w:pPr>
    </w:p>
    <w:sectPr w:rsidR="00172BEA" w:rsidSect="008871A1">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824" w:rsidRDefault="00381824">
      <w:r>
        <w:separator/>
      </w:r>
    </w:p>
  </w:endnote>
  <w:endnote w:type="continuationSeparator" w:id="0">
    <w:p w:rsidR="00381824" w:rsidRDefault="00381824">
      <w:r>
        <w:continuationSeparator/>
      </w:r>
    </w:p>
  </w:endnote>
  <w:endnote w:type="continuationNotice" w:id="1">
    <w:p w:rsidR="00381824" w:rsidRDefault="00381824"/>
  </w:endnote>
  <w:endnote w:id="2">
    <w:p w:rsidR="00172BEA" w:rsidRDefault="00E3157A">
      <w:pPr>
        <w:pStyle w:val="EndnoteText"/>
      </w:pPr>
      <w:r>
        <w:rPr>
          <w:vertAlign w:val="superscript"/>
        </w:rPr>
        <w:endnoteRef/>
      </w:r>
      <w:r>
        <w:t xml:space="preserve"> Perhaps a point of pedantry but the term ‘hung’ parliament, which according to Stuart </w:t>
      </w:r>
      <w:proofErr w:type="spellStart"/>
      <w:r>
        <w:t>Wilks-Heeg</w:t>
      </w:r>
      <w:proofErr w:type="spellEnd"/>
      <w:r>
        <w:t xml:space="preserve"> (2010) emerged only in the 1970s, is probably derived from a hung jury which of course would be dismissed.  After the 2010 poll, ‘balanced’ was being used to describe the make-up of parliament and in the circumstances this seemed appropriate since a coalition was formed.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pitch w:val="default"/>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BEA" w:rsidRDefault="008871A1">
    <w:pPr>
      <w:pStyle w:val="Footer"/>
      <w:jc w:val="right"/>
    </w:pPr>
    <w:r>
      <w:fldChar w:fldCharType="begin"/>
    </w:r>
    <w:r w:rsidR="00E3157A">
      <w:instrText xml:space="preserve"> PAGE </w:instrText>
    </w:r>
    <w:r>
      <w:fldChar w:fldCharType="separate"/>
    </w:r>
    <w:r w:rsidR="00CE1EC3">
      <w:rPr>
        <w:noProof/>
      </w:rPr>
      <w:t>31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824" w:rsidRDefault="00381824">
      <w:r>
        <w:separator/>
      </w:r>
    </w:p>
  </w:footnote>
  <w:footnote w:type="continuationSeparator" w:id="0">
    <w:p w:rsidR="00381824" w:rsidRDefault="003818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BEA" w:rsidRDefault="00172BEA">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BEA"/>
    <w:rsid w:val="0001092A"/>
    <w:rsid w:val="0002238D"/>
    <w:rsid w:val="0002749E"/>
    <w:rsid w:val="00041F79"/>
    <w:rsid w:val="00064D2F"/>
    <w:rsid w:val="000C17DE"/>
    <w:rsid w:val="000D6168"/>
    <w:rsid w:val="000E1D8F"/>
    <w:rsid w:val="001014A7"/>
    <w:rsid w:val="00121F3D"/>
    <w:rsid w:val="00172BEA"/>
    <w:rsid w:val="00181EB9"/>
    <w:rsid w:val="001B55F2"/>
    <w:rsid w:val="001E7487"/>
    <w:rsid w:val="002032EA"/>
    <w:rsid w:val="00222A21"/>
    <w:rsid w:val="0024102C"/>
    <w:rsid w:val="00246B84"/>
    <w:rsid w:val="002503C3"/>
    <w:rsid w:val="00263306"/>
    <w:rsid w:val="00294829"/>
    <w:rsid w:val="002F41E8"/>
    <w:rsid w:val="00314C91"/>
    <w:rsid w:val="003479BE"/>
    <w:rsid w:val="00381824"/>
    <w:rsid w:val="00382FC1"/>
    <w:rsid w:val="00383C57"/>
    <w:rsid w:val="003B5A4C"/>
    <w:rsid w:val="003F6F84"/>
    <w:rsid w:val="004011AD"/>
    <w:rsid w:val="0042278C"/>
    <w:rsid w:val="00464D1F"/>
    <w:rsid w:val="00496292"/>
    <w:rsid w:val="004A47DE"/>
    <w:rsid w:val="004A6208"/>
    <w:rsid w:val="004E28BF"/>
    <w:rsid w:val="005509D7"/>
    <w:rsid w:val="00566334"/>
    <w:rsid w:val="00571E1F"/>
    <w:rsid w:val="006071B4"/>
    <w:rsid w:val="00630F03"/>
    <w:rsid w:val="006364CF"/>
    <w:rsid w:val="00685E89"/>
    <w:rsid w:val="007044ED"/>
    <w:rsid w:val="007313E2"/>
    <w:rsid w:val="00751F9C"/>
    <w:rsid w:val="00777359"/>
    <w:rsid w:val="007B4AC8"/>
    <w:rsid w:val="007C3226"/>
    <w:rsid w:val="007D53F5"/>
    <w:rsid w:val="007D6BE9"/>
    <w:rsid w:val="00820EFE"/>
    <w:rsid w:val="00843A76"/>
    <w:rsid w:val="008871A1"/>
    <w:rsid w:val="008B48E7"/>
    <w:rsid w:val="00900010"/>
    <w:rsid w:val="0092259D"/>
    <w:rsid w:val="00930800"/>
    <w:rsid w:val="00941AFE"/>
    <w:rsid w:val="00963A31"/>
    <w:rsid w:val="009C4298"/>
    <w:rsid w:val="009C47BE"/>
    <w:rsid w:val="009E2578"/>
    <w:rsid w:val="00A049A1"/>
    <w:rsid w:val="00A16565"/>
    <w:rsid w:val="00A20F56"/>
    <w:rsid w:val="00A44ED5"/>
    <w:rsid w:val="00A64549"/>
    <w:rsid w:val="00AC711F"/>
    <w:rsid w:val="00B114FA"/>
    <w:rsid w:val="00BD1E25"/>
    <w:rsid w:val="00BE4135"/>
    <w:rsid w:val="00C353FF"/>
    <w:rsid w:val="00C47BEB"/>
    <w:rsid w:val="00C53933"/>
    <w:rsid w:val="00C8304F"/>
    <w:rsid w:val="00CB09E6"/>
    <w:rsid w:val="00CC7140"/>
    <w:rsid w:val="00CE1EC3"/>
    <w:rsid w:val="00CE665C"/>
    <w:rsid w:val="00CF03F5"/>
    <w:rsid w:val="00CF1836"/>
    <w:rsid w:val="00D23275"/>
    <w:rsid w:val="00D41439"/>
    <w:rsid w:val="00D6060C"/>
    <w:rsid w:val="00D9600D"/>
    <w:rsid w:val="00DD09F2"/>
    <w:rsid w:val="00DD53FC"/>
    <w:rsid w:val="00E3157A"/>
    <w:rsid w:val="00E47E74"/>
    <w:rsid w:val="00E60112"/>
    <w:rsid w:val="00E70AFB"/>
    <w:rsid w:val="00EE74E0"/>
    <w:rsid w:val="00EF59AD"/>
    <w:rsid w:val="00F31DDD"/>
    <w:rsid w:val="00F31DF1"/>
    <w:rsid w:val="00F36174"/>
    <w:rsid w:val="00F74362"/>
    <w:rsid w:val="00F81272"/>
    <w:rsid w:val="00FB2A50"/>
    <w:rsid w:val="00FD797B"/>
    <w:rsid w:val="00FE0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513"/>
        <w:tab w:val="right" w:pos="9026"/>
      </w:tabs>
    </w:pPr>
    <w:rPr>
      <w:rFonts w:ascii="Arial" w:eastAsia="Arial" w:hAnsi="Arial" w:cs="Arial"/>
      <w:color w:val="000000"/>
      <w:sz w:val="24"/>
      <w:szCs w:val="24"/>
      <w:u w:color="000000"/>
      <w:lang w:val="en-US"/>
    </w:rPr>
  </w:style>
  <w:style w:type="paragraph" w:customStyle="1" w:styleId="Body">
    <w:name w:val="Body"/>
    <w:pPr>
      <w:spacing w:after="200" w:line="276" w:lineRule="auto"/>
    </w:pPr>
    <w:rPr>
      <w:rFonts w:ascii="Arial" w:eastAsia="Arial" w:hAnsi="Arial" w:cs="Arial"/>
      <w:color w:val="000000"/>
      <w:sz w:val="24"/>
      <w:szCs w:val="24"/>
      <w:u w:color="000000"/>
      <w:lang w:val="en-US"/>
    </w:rPr>
  </w:style>
  <w:style w:type="paragraph" w:styleId="EndnoteText">
    <w:name w:val="endnote text"/>
    <w:rPr>
      <w:rFonts w:ascii="Arial" w:eastAsia="Arial" w:hAnsi="Arial" w:cs="Arial"/>
      <w:color w:val="000000"/>
      <w:u w:color="000000"/>
      <w:lang w:val="en-US"/>
    </w:rPr>
  </w:style>
  <w:style w:type="paragraph" w:styleId="ListParagraph">
    <w:name w:val="List Paragraph"/>
    <w:pPr>
      <w:spacing w:after="200" w:line="276" w:lineRule="auto"/>
      <w:ind w:left="720"/>
    </w:pPr>
    <w:rPr>
      <w:rFonts w:ascii="Arial" w:eastAsia="Arial" w:hAnsi="Arial" w:cs="Arial"/>
      <w:color w:val="000000"/>
      <w:sz w:val="24"/>
      <w:szCs w:val="24"/>
      <w:u w:color="000000"/>
      <w:lang w:val="en-US"/>
    </w:rPr>
  </w:style>
  <w:style w:type="paragraph" w:styleId="BalloonText">
    <w:name w:val="Balloon Text"/>
    <w:basedOn w:val="Normal"/>
    <w:link w:val="BalloonTextChar"/>
    <w:uiPriority w:val="99"/>
    <w:semiHidden/>
    <w:unhideWhenUsed/>
    <w:rsid w:val="00566334"/>
    <w:rPr>
      <w:rFonts w:ascii="Tahoma" w:hAnsi="Tahoma" w:cs="Tahoma"/>
      <w:sz w:val="16"/>
      <w:szCs w:val="16"/>
    </w:rPr>
  </w:style>
  <w:style w:type="character" w:customStyle="1" w:styleId="BalloonTextChar">
    <w:name w:val="Balloon Text Char"/>
    <w:basedOn w:val="DefaultParagraphFont"/>
    <w:link w:val="BalloonText"/>
    <w:uiPriority w:val="99"/>
    <w:semiHidden/>
    <w:rsid w:val="00566334"/>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A64549"/>
    <w:rPr>
      <w:sz w:val="16"/>
      <w:szCs w:val="16"/>
    </w:rPr>
  </w:style>
  <w:style w:type="paragraph" w:styleId="CommentText">
    <w:name w:val="annotation text"/>
    <w:basedOn w:val="Normal"/>
    <w:link w:val="CommentTextChar"/>
    <w:uiPriority w:val="99"/>
    <w:semiHidden/>
    <w:unhideWhenUsed/>
    <w:rsid w:val="00A64549"/>
    <w:rPr>
      <w:sz w:val="20"/>
      <w:szCs w:val="20"/>
    </w:rPr>
  </w:style>
  <w:style w:type="character" w:customStyle="1" w:styleId="CommentTextChar">
    <w:name w:val="Comment Text Char"/>
    <w:basedOn w:val="DefaultParagraphFont"/>
    <w:link w:val="CommentText"/>
    <w:uiPriority w:val="99"/>
    <w:semiHidden/>
    <w:rsid w:val="00A64549"/>
    <w:rPr>
      <w:lang w:val="en-US" w:eastAsia="en-US"/>
    </w:rPr>
  </w:style>
  <w:style w:type="paragraph" w:styleId="CommentSubject">
    <w:name w:val="annotation subject"/>
    <w:basedOn w:val="CommentText"/>
    <w:next w:val="CommentText"/>
    <w:link w:val="CommentSubjectChar"/>
    <w:uiPriority w:val="99"/>
    <w:semiHidden/>
    <w:unhideWhenUsed/>
    <w:rsid w:val="00A64549"/>
    <w:rPr>
      <w:b/>
      <w:bCs/>
    </w:rPr>
  </w:style>
  <w:style w:type="character" w:customStyle="1" w:styleId="CommentSubjectChar">
    <w:name w:val="Comment Subject Char"/>
    <w:basedOn w:val="CommentTextChar"/>
    <w:link w:val="CommentSubject"/>
    <w:uiPriority w:val="99"/>
    <w:semiHidden/>
    <w:rsid w:val="00A64549"/>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513"/>
        <w:tab w:val="right" w:pos="9026"/>
      </w:tabs>
    </w:pPr>
    <w:rPr>
      <w:rFonts w:ascii="Arial" w:eastAsia="Arial" w:hAnsi="Arial" w:cs="Arial"/>
      <w:color w:val="000000"/>
      <w:sz w:val="24"/>
      <w:szCs w:val="24"/>
      <w:u w:color="000000"/>
      <w:lang w:val="en-US"/>
    </w:rPr>
  </w:style>
  <w:style w:type="paragraph" w:customStyle="1" w:styleId="Body">
    <w:name w:val="Body"/>
    <w:pPr>
      <w:spacing w:after="200" w:line="276" w:lineRule="auto"/>
    </w:pPr>
    <w:rPr>
      <w:rFonts w:ascii="Arial" w:eastAsia="Arial" w:hAnsi="Arial" w:cs="Arial"/>
      <w:color w:val="000000"/>
      <w:sz w:val="24"/>
      <w:szCs w:val="24"/>
      <w:u w:color="000000"/>
      <w:lang w:val="en-US"/>
    </w:rPr>
  </w:style>
  <w:style w:type="paragraph" w:styleId="EndnoteText">
    <w:name w:val="endnote text"/>
    <w:rPr>
      <w:rFonts w:ascii="Arial" w:eastAsia="Arial" w:hAnsi="Arial" w:cs="Arial"/>
      <w:color w:val="000000"/>
      <w:u w:color="000000"/>
      <w:lang w:val="en-US"/>
    </w:rPr>
  </w:style>
  <w:style w:type="paragraph" w:styleId="ListParagraph">
    <w:name w:val="List Paragraph"/>
    <w:pPr>
      <w:spacing w:after="200" w:line="276" w:lineRule="auto"/>
      <w:ind w:left="720"/>
    </w:pPr>
    <w:rPr>
      <w:rFonts w:ascii="Arial" w:eastAsia="Arial" w:hAnsi="Arial" w:cs="Arial"/>
      <w:color w:val="000000"/>
      <w:sz w:val="24"/>
      <w:szCs w:val="24"/>
      <w:u w:color="000000"/>
      <w:lang w:val="en-US"/>
    </w:rPr>
  </w:style>
  <w:style w:type="paragraph" w:styleId="BalloonText">
    <w:name w:val="Balloon Text"/>
    <w:basedOn w:val="Normal"/>
    <w:link w:val="BalloonTextChar"/>
    <w:uiPriority w:val="99"/>
    <w:semiHidden/>
    <w:unhideWhenUsed/>
    <w:rsid w:val="00566334"/>
    <w:rPr>
      <w:rFonts w:ascii="Tahoma" w:hAnsi="Tahoma" w:cs="Tahoma"/>
      <w:sz w:val="16"/>
      <w:szCs w:val="16"/>
    </w:rPr>
  </w:style>
  <w:style w:type="character" w:customStyle="1" w:styleId="BalloonTextChar">
    <w:name w:val="Balloon Text Char"/>
    <w:basedOn w:val="DefaultParagraphFont"/>
    <w:link w:val="BalloonText"/>
    <w:uiPriority w:val="99"/>
    <w:semiHidden/>
    <w:rsid w:val="00566334"/>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A64549"/>
    <w:rPr>
      <w:sz w:val="16"/>
      <w:szCs w:val="16"/>
    </w:rPr>
  </w:style>
  <w:style w:type="paragraph" w:styleId="CommentText">
    <w:name w:val="annotation text"/>
    <w:basedOn w:val="Normal"/>
    <w:link w:val="CommentTextChar"/>
    <w:uiPriority w:val="99"/>
    <w:semiHidden/>
    <w:unhideWhenUsed/>
    <w:rsid w:val="00A64549"/>
    <w:rPr>
      <w:sz w:val="20"/>
      <w:szCs w:val="20"/>
    </w:rPr>
  </w:style>
  <w:style w:type="character" w:customStyle="1" w:styleId="CommentTextChar">
    <w:name w:val="Comment Text Char"/>
    <w:basedOn w:val="DefaultParagraphFont"/>
    <w:link w:val="CommentText"/>
    <w:uiPriority w:val="99"/>
    <w:semiHidden/>
    <w:rsid w:val="00A64549"/>
    <w:rPr>
      <w:lang w:val="en-US" w:eastAsia="en-US"/>
    </w:rPr>
  </w:style>
  <w:style w:type="paragraph" w:styleId="CommentSubject">
    <w:name w:val="annotation subject"/>
    <w:basedOn w:val="CommentText"/>
    <w:next w:val="CommentText"/>
    <w:link w:val="CommentSubjectChar"/>
    <w:uiPriority w:val="99"/>
    <w:semiHidden/>
    <w:unhideWhenUsed/>
    <w:rsid w:val="00A64549"/>
    <w:rPr>
      <w:b/>
      <w:bCs/>
    </w:rPr>
  </w:style>
  <w:style w:type="character" w:customStyle="1" w:styleId="CommentSubjectChar">
    <w:name w:val="Comment Subject Char"/>
    <w:basedOn w:val="CommentTextChar"/>
    <w:link w:val="CommentSubject"/>
    <w:uiPriority w:val="99"/>
    <w:semiHidden/>
    <w:rsid w:val="00A64549"/>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288240">
      <w:bodyDiv w:val="1"/>
      <w:marLeft w:val="0"/>
      <w:marRight w:val="0"/>
      <w:marTop w:val="0"/>
      <w:marBottom w:val="0"/>
      <w:divBdr>
        <w:top w:val="none" w:sz="0" w:space="0" w:color="auto"/>
        <w:left w:val="none" w:sz="0" w:space="0" w:color="auto"/>
        <w:bottom w:val="none" w:sz="0" w:space="0" w:color="auto"/>
        <w:right w:val="none" w:sz="0" w:space="0" w:color="auto"/>
      </w:divBdr>
    </w:div>
    <w:div w:id="2138864336">
      <w:bodyDiv w:val="1"/>
      <w:marLeft w:val="0"/>
      <w:marRight w:val="0"/>
      <w:marTop w:val="0"/>
      <w:marBottom w:val="0"/>
      <w:divBdr>
        <w:top w:val="none" w:sz="0" w:space="0" w:color="auto"/>
        <w:left w:val="none" w:sz="0" w:space="0" w:color="auto"/>
        <w:bottom w:val="none" w:sz="0" w:space="0" w:color="auto"/>
        <w:right w:val="none" w:sz="0" w:space="0" w:color="auto"/>
      </w:divBdr>
      <w:divsChild>
        <w:div w:id="1091706301">
          <w:marLeft w:val="0"/>
          <w:marRight w:val="0"/>
          <w:marTop w:val="0"/>
          <w:marBottom w:val="0"/>
          <w:divBdr>
            <w:top w:val="none" w:sz="0" w:space="0" w:color="auto"/>
            <w:left w:val="none" w:sz="0" w:space="0" w:color="auto"/>
            <w:bottom w:val="none" w:sz="0" w:space="0" w:color="auto"/>
            <w:right w:val="none" w:sz="0" w:space="0" w:color="auto"/>
          </w:divBdr>
          <w:divsChild>
            <w:div w:id="1733116858">
              <w:marLeft w:val="0"/>
              <w:marRight w:val="0"/>
              <w:marTop w:val="0"/>
              <w:marBottom w:val="0"/>
              <w:divBdr>
                <w:top w:val="none" w:sz="0" w:space="0" w:color="auto"/>
                <w:left w:val="none" w:sz="0" w:space="0" w:color="auto"/>
                <w:bottom w:val="none" w:sz="0" w:space="0" w:color="auto"/>
                <w:right w:val="none" w:sz="0" w:space="0" w:color="auto"/>
              </w:divBdr>
              <w:divsChild>
                <w:div w:id="1651208990">
                  <w:marLeft w:val="0"/>
                  <w:marRight w:val="0"/>
                  <w:marTop w:val="0"/>
                  <w:marBottom w:val="0"/>
                  <w:divBdr>
                    <w:top w:val="none" w:sz="0" w:space="0" w:color="auto"/>
                    <w:left w:val="none" w:sz="0" w:space="0" w:color="auto"/>
                    <w:bottom w:val="none" w:sz="0" w:space="0" w:color="auto"/>
                    <w:right w:val="none" w:sz="0" w:space="0" w:color="auto"/>
                  </w:divBdr>
                  <w:divsChild>
                    <w:div w:id="1923679708">
                      <w:marLeft w:val="0"/>
                      <w:marRight w:val="0"/>
                      <w:marTop w:val="0"/>
                      <w:marBottom w:val="0"/>
                      <w:divBdr>
                        <w:top w:val="none" w:sz="0" w:space="0" w:color="auto"/>
                        <w:left w:val="none" w:sz="0" w:space="0" w:color="auto"/>
                        <w:bottom w:val="none" w:sz="0" w:space="0" w:color="auto"/>
                        <w:right w:val="none" w:sz="0" w:space="0" w:color="auto"/>
                      </w:divBdr>
                      <w:divsChild>
                        <w:div w:id="1695224009">
                          <w:marLeft w:val="0"/>
                          <w:marRight w:val="0"/>
                          <w:marTop w:val="0"/>
                          <w:marBottom w:val="0"/>
                          <w:divBdr>
                            <w:top w:val="none" w:sz="0" w:space="0" w:color="auto"/>
                            <w:left w:val="none" w:sz="0" w:space="0" w:color="auto"/>
                            <w:bottom w:val="none" w:sz="0" w:space="0" w:color="auto"/>
                            <w:right w:val="none" w:sz="0" w:space="0" w:color="auto"/>
                          </w:divBdr>
                          <w:divsChild>
                            <w:div w:id="1517041390">
                              <w:marLeft w:val="0"/>
                              <w:marRight w:val="0"/>
                              <w:marTop w:val="0"/>
                              <w:marBottom w:val="0"/>
                              <w:divBdr>
                                <w:top w:val="none" w:sz="0" w:space="0" w:color="auto"/>
                                <w:left w:val="none" w:sz="0" w:space="0" w:color="auto"/>
                                <w:bottom w:val="none" w:sz="0" w:space="0" w:color="auto"/>
                                <w:right w:val="none" w:sz="0" w:space="0" w:color="auto"/>
                              </w:divBdr>
                              <w:divsChild>
                                <w:div w:id="1087768946">
                                  <w:marLeft w:val="0"/>
                                  <w:marRight w:val="0"/>
                                  <w:marTop w:val="0"/>
                                  <w:marBottom w:val="0"/>
                                  <w:divBdr>
                                    <w:top w:val="none" w:sz="0" w:space="0" w:color="auto"/>
                                    <w:left w:val="none" w:sz="0" w:space="0" w:color="auto"/>
                                    <w:bottom w:val="none" w:sz="0" w:space="0" w:color="auto"/>
                                    <w:right w:val="none" w:sz="0" w:space="0" w:color="auto"/>
                                  </w:divBdr>
                                  <w:divsChild>
                                    <w:div w:id="247808880">
                                      <w:marLeft w:val="0"/>
                                      <w:marRight w:val="0"/>
                                      <w:marTop w:val="0"/>
                                      <w:marBottom w:val="0"/>
                                      <w:divBdr>
                                        <w:top w:val="none" w:sz="0" w:space="0" w:color="auto"/>
                                        <w:left w:val="none" w:sz="0" w:space="0" w:color="auto"/>
                                        <w:bottom w:val="none" w:sz="0" w:space="0" w:color="auto"/>
                                        <w:right w:val="none" w:sz="0" w:space="0" w:color="auto"/>
                                      </w:divBdr>
                                      <w:divsChild>
                                        <w:div w:id="2037923014">
                                          <w:marLeft w:val="0"/>
                                          <w:marRight w:val="0"/>
                                          <w:marTop w:val="0"/>
                                          <w:marBottom w:val="0"/>
                                          <w:divBdr>
                                            <w:top w:val="none" w:sz="0" w:space="0" w:color="auto"/>
                                            <w:left w:val="none" w:sz="0" w:space="0" w:color="auto"/>
                                            <w:bottom w:val="none" w:sz="0" w:space="0" w:color="auto"/>
                                            <w:right w:val="none" w:sz="0" w:space="0" w:color="auto"/>
                                          </w:divBdr>
                                          <w:divsChild>
                                            <w:div w:id="14049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CA987-29F3-4632-B40D-FAFA2439F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33</Pages>
  <Words>8286</Words>
  <Characters>47235</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London Southbank University</Company>
  <LinksUpToDate>false</LinksUpToDate>
  <CharactersWithSpaces>55411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Barber, Stephen</dc:creator>
  <cp:lastModifiedBy>barbers</cp:lastModifiedBy>
  <cp:revision>5</cp:revision>
  <cp:lastPrinted>2014-07-24T11:25:00Z</cp:lastPrinted>
  <dcterms:created xsi:type="dcterms:W3CDTF">2014-07-28T13:34:00Z</dcterms:created>
  <dcterms:modified xsi:type="dcterms:W3CDTF">2014-07-28T13:40:00Z</dcterms:modified>
</cp:coreProperties>
</file>