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3E19" w14:textId="67D594D4" w:rsidR="005019BA" w:rsidRPr="009F0910" w:rsidRDefault="005019BA" w:rsidP="00604A74">
      <w:pPr>
        <w:spacing w:after="0" w:line="360" w:lineRule="auto"/>
        <w:contextualSpacing/>
        <w:rPr>
          <w:rFonts w:cstheme="minorHAnsi"/>
          <w:sz w:val="24"/>
          <w:szCs w:val="24"/>
        </w:rPr>
      </w:pPr>
      <w:r w:rsidRPr="009F0910">
        <w:rPr>
          <w:rFonts w:cstheme="minorHAnsi"/>
          <w:b/>
          <w:sz w:val="24"/>
          <w:szCs w:val="24"/>
        </w:rPr>
        <w:t>Abstract</w:t>
      </w:r>
    </w:p>
    <w:p w14:paraId="268B5775" w14:textId="77777777" w:rsidR="00F92DFA" w:rsidRPr="009F0910" w:rsidRDefault="00F92DFA" w:rsidP="009F0910">
      <w:pPr>
        <w:spacing w:after="0" w:line="360" w:lineRule="auto"/>
        <w:contextualSpacing/>
        <w:jc w:val="both"/>
        <w:rPr>
          <w:rFonts w:cstheme="minorHAnsi"/>
          <w:sz w:val="24"/>
          <w:szCs w:val="24"/>
        </w:rPr>
      </w:pPr>
    </w:p>
    <w:p w14:paraId="7A442A9B" w14:textId="72DD4D83" w:rsidR="005019BA" w:rsidRPr="009F0910" w:rsidRDefault="005019BA" w:rsidP="009F0910">
      <w:pPr>
        <w:spacing w:after="0" w:line="360" w:lineRule="auto"/>
        <w:contextualSpacing/>
        <w:jc w:val="both"/>
        <w:rPr>
          <w:rFonts w:cstheme="minorHAnsi"/>
          <w:sz w:val="24"/>
          <w:szCs w:val="24"/>
        </w:rPr>
      </w:pPr>
      <w:r w:rsidRPr="009F0910">
        <w:rPr>
          <w:rFonts w:cstheme="minorHAnsi"/>
          <w:sz w:val="24"/>
          <w:szCs w:val="24"/>
        </w:rPr>
        <w:t xml:space="preserve">Sexuality in secure mental healthcare has been overlooked in both clinical praxis and academic research. In the UK, there exist no formal policies to inform staff approaches to managing inpatient sexuality. The limited research that has been undertaken in this field has found that often, prohibitive approaches are favoured, which may affect how inpatients conceptualise and experience their sexuality in the long-term. The aim of this study was to identify discursive constructions of inpatient sexuality, as articulated within semi-structured group interviews with inpatients and ward staff from a secure mental healthcare facility in England. The analysis identified constructions of inpatient sexuality within two overarching and conflicting discourses: one of the normalcy and legitimacy of sexual expression in human experience; and </w:t>
      </w:r>
      <w:r w:rsidR="00F868D1" w:rsidRPr="009F0910">
        <w:rPr>
          <w:rFonts w:cstheme="minorHAnsi"/>
          <w:sz w:val="24"/>
          <w:szCs w:val="24"/>
        </w:rPr>
        <w:t>the other</w:t>
      </w:r>
      <w:r w:rsidRPr="009F0910">
        <w:rPr>
          <w:rFonts w:cstheme="minorHAnsi"/>
          <w:sz w:val="24"/>
          <w:szCs w:val="24"/>
        </w:rPr>
        <w:t xml:space="preserve"> of risk, wherein sexuality needed to be regulated and obstructed. Inpatients’ expressions of sexuality could often only be conceptualised in terms of </w:t>
      </w:r>
      <w:r w:rsidR="00F868D1" w:rsidRPr="009F0910">
        <w:rPr>
          <w:rFonts w:cstheme="minorHAnsi"/>
          <w:sz w:val="24"/>
          <w:szCs w:val="24"/>
        </w:rPr>
        <w:t>“</w:t>
      </w:r>
      <w:r w:rsidRPr="009F0910">
        <w:rPr>
          <w:rFonts w:cstheme="minorHAnsi"/>
          <w:sz w:val="24"/>
          <w:szCs w:val="24"/>
        </w:rPr>
        <w:t xml:space="preserve">organisational misbehaviour”, acts that violated the implicit norms and codes of the institution. It is suggested that recoding inpatient sexuality as misbehaviour could have implications for inpatients’ long-term recovery. </w:t>
      </w:r>
    </w:p>
    <w:p w14:paraId="7F83767A" w14:textId="77777777" w:rsidR="00F92DFA" w:rsidRPr="009F0910" w:rsidRDefault="00F92DFA" w:rsidP="009F0910">
      <w:pPr>
        <w:spacing w:after="0" w:line="360" w:lineRule="auto"/>
        <w:contextualSpacing/>
        <w:jc w:val="both"/>
        <w:rPr>
          <w:rFonts w:cstheme="minorHAnsi"/>
          <w:sz w:val="24"/>
          <w:szCs w:val="24"/>
        </w:rPr>
      </w:pPr>
    </w:p>
    <w:p w14:paraId="347292B7" w14:textId="502A0CFF" w:rsidR="005019BA" w:rsidRPr="009F0910" w:rsidRDefault="00F92DFA" w:rsidP="009F0910">
      <w:pPr>
        <w:spacing w:after="0" w:line="360" w:lineRule="auto"/>
        <w:contextualSpacing/>
        <w:jc w:val="both"/>
        <w:rPr>
          <w:rFonts w:cstheme="minorHAnsi"/>
          <w:sz w:val="24"/>
          <w:szCs w:val="24"/>
        </w:rPr>
      </w:pPr>
      <w:r w:rsidRPr="009F0910">
        <w:rPr>
          <w:rFonts w:cstheme="minorHAnsi"/>
          <w:b/>
          <w:bCs/>
          <w:sz w:val="24"/>
          <w:szCs w:val="24"/>
        </w:rPr>
        <w:t>Keywords:</w:t>
      </w:r>
      <w:r w:rsidRPr="009F0910">
        <w:rPr>
          <w:rFonts w:cstheme="minorHAnsi"/>
          <w:sz w:val="24"/>
          <w:szCs w:val="24"/>
        </w:rPr>
        <w:t xml:space="preserve"> sexuality; mental health; </w:t>
      </w:r>
      <w:r w:rsidR="00F868D1" w:rsidRPr="009F0910">
        <w:rPr>
          <w:rFonts w:cstheme="minorHAnsi"/>
          <w:sz w:val="24"/>
          <w:szCs w:val="24"/>
        </w:rPr>
        <w:t xml:space="preserve">secure institutions, </w:t>
      </w:r>
      <w:r w:rsidR="007471DB" w:rsidRPr="009F0910">
        <w:rPr>
          <w:rFonts w:cstheme="minorHAnsi"/>
          <w:sz w:val="24"/>
          <w:szCs w:val="24"/>
        </w:rPr>
        <w:t>organisational misbehaviour</w:t>
      </w:r>
      <w:r w:rsidR="005019BA" w:rsidRPr="009F0910">
        <w:rPr>
          <w:rFonts w:cstheme="minorHAnsi"/>
          <w:sz w:val="24"/>
          <w:szCs w:val="24"/>
        </w:rPr>
        <w:br w:type="page"/>
      </w:r>
    </w:p>
    <w:p w14:paraId="3613DDE0" w14:textId="77777777" w:rsidR="007471DB" w:rsidRPr="009F0910" w:rsidRDefault="007471DB" w:rsidP="009F0910">
      <w:pPr>
        <w:spacing w:after="0" w:line="360" w:lineRule="auto"/>
        <w:contextualSpacing/>
        <w:jc w:val="both"/>
        <w:rPr>
          <w:rFonts w:cstheme="minorHAnsi"/>
          <w:b/>
          <w:bCs/>
          <w:sz w:val="24"/>
          <w:szCs w:val="24"/>
        </w:rPr>
      </w:pPr>
      <w:r w:rsidRPr="009F0910">
        <w:rPr>
          <w:rFonts w:cstheme="minorHAnsi"/>
          <w:b/>
          <w:bCs/>
          <w:sz w:val="24"/>
          <w:szCs w:val="24"/>
        </w:rPr>
        <w:lastRenderedPageBreak/>
        <w:t>Introduction</w:t>
      </w:r>
    </w:p>
    <w:p w14:paraId="42661E08" w14:textId="77777777" w:rsidR="009F0910" w:rsidRDefault="009F0910" w:rsidP="009F0910">
      <w:pPr>
        <w:spacing w:after="0" w:line="360" w:lineRule="auto"/>
        <w:contextualSpacing/>
        <w:jc w:val="both"/>
        <w:rPr>
          <w:rFonts w:cstheme="minorHAnsi"/>
          <w:sz w:val="24"/>
          <w:szCs w:val="24"/>
        </w:rPr>
      </w:pPr>
    </w:p>
    <w:p w14:paraId="1B131135" w14:textId="1B2DAD82" w:rsidR="00050B9A" w:rsidRPr="009F0910" w:rsidRDefault="002839F3" w:rsidP="009F0910">
      <w:pPr>
        <w:spacing w:after="0" w:line="360" w:lineRule="auto"/>
        <w:contextualSpacing/>
        <w:jc w:val="both"/>
        <w:rPr>
          <w:rFonts w:cstheme="minorHAnsi"/>
          <w:sz w:val="24"/>
          <w:szCs w:val="24"/>
        </w:rPr>
      </w:pPr>
      <w:r w:rsidRPr="009F0910">
        <w:rPr>
          <w:rFonts w:cstheme="minorHAnsi"/>
          <w:sz w:val="24"/>
          <w:szCs w:val="24"/>
        </w:rPr>
        <w:t>I</w:t>
      </w:r>
      <w:r w:rsidR="00592602" w:rsidRPr="009F0910">
        <w:rPr>
          <w:rFonts w:cstheme="minorHAnsi"/>
          <w:sz w:val="24"/>
          <w:szCs w:val="24"/>
        </w:rPr>
        <w:t xml:space="preserve">ssues of sexuality in secure mental </w:t>
      </w:r>
      <w:r w:rsidR="00785373" w:rsidRPr="009F0910">
        <w:rPr>
          <w:rFonts w:cstheme="minorHAnsi"/>
          <w:sz w:val="24"/>
          <w:szCs w:val="24"/>
        </w:rPr>
        <w:t xml:space="preserve">healthcare </w:t>
      </w:r>
      <w:r w:rsidRPr="009F0910">
        <w:rPr>
          <w:rFonts w:cstheme="minorHAnsi"/>
          <w:sz w:val="24"/>
          <w:szCs w:val="24"/>
        </w:rPr>
        <w:t xml:space="preserve">have been </w:t>
      </w:r>
      <w:r w:rsidR="00C94653" w:rsidRPr="009F0910">
        <w:rPr>
          <w:rFonts w:cstheme="minorHAnsi"/>
          <w:sz w:val="24"/>
          <w:szCs w:val="24"/>
        </w:rPr>
        <w:t>overlooked</w:t>
      </w:r>
      <w:r w:rsidRPr="009F0910">
        <w:rPr>
          <w:rFonts w:cstheme="minorHAnsi"/>
          <w:sz w:val="24"/>
          <w:szCs w:val="24"/>
        </w:rPr>
        <w:t xml:space="preserve"> </w:t>
      </w:r>
      <w:r w:rsidR="00C81DAA" w:rsidRPr="009F0910">
        <w:rPr>
          <w:rFonts w:cstheme="minorHAnsi"/>
          <w:sz w:val="24"/>
          <w:szCs w:val="24"/>
        </w:rPr>
        <w:t xml:space="preserve">historically </w:t>
      </w:r>
      <w:r w:rsidRPr="009F0910">
        <w:rPr>
          <w:rFonts w:cstheme="minorHAnsi"/>
          <w:sz w:val="24"/>
          <w:szCs w:val="24"/>
        </w:rPr>
        <w:t xml:space="preserve">in both clinical praxis and the academic literature </w:t>
      </w:r>
      <w:r w:rsidR="00DD7026" w:rsidRPr="009F0910">
        <w:rPr>
          <w:rFonts w:cstheme="minorHAnsi"/>
          <w:sz w:val="24"/>
          <w:szCs w:val="24"/>
        </w:rPr>
        <w:t>(</w:t>
      </w:r>
      <w:r w:rsidR="00A61FF4" w:rsidRPr="009F0910">
        <w:rPr>
          <w:rFonts w:cstheme="minorHAnsi"/>
          <w:sz w:val="24"/>
          <w:szCs w:val="24"/>
        </w:rPr>
        <w:t>Brown</w:t>
      </w:r>
      <w:r w:rsidR="007E4263" w:rsidRPr="009F0910">
        <w:rPr>
          <w:rFonts w:cstheme="minorHAnsi"/>
          <w:sz w:val="24"/>
          <w:szCs w:val="24"/>
        </w:rPr>
        <w:t xml:space="preserve"> </w:t>
      </w:r>
      <w:r w:rsidR="006E34A7" w:rsidRPr="009F0910">
        <w:rPr>
          <w:rFonts w:cstheme="minorHAnsi"/>
          <w:sz w:val="24"/>
          <w:szCs w:val="24"/>
        </w:rPr>
        <w:t>et al.</w:t>
      </w:r>
      <w:r w:rsidR="005E19E3" w:rsidRPr="009F0910">
        <w:rPr>
          <w:rFonts w:cstheme="minorHAnsi"/>
          <w:sz w:val="24"/>
          <w:szCs w:val="24"/>
        </w:rPr>
        <w:t xml:space="preserve"> </w:t>
      </w:r>
      <w:r w:rsidR="00A61FF4" w:rsidRPr="009F0910">
        <w:rPr>
          <w:rFonts w:cstheme="minorHAnsi"/>
          <w:sz w:val="24"/>
          <w:szCs w:val="24"/>
        </w:rPr>
        <w:t xml:space="preserve">2014; </w:t>
      </w:r>
      <w:r w:rsidR="008928CD" w:rsidRPr="009F0910">
        <w:rPr>
          <w:rFonts w:cstheme="minorHAnsi"/>
          <w:sz w:val="24"/>
          <w:szCs w:val="24"/>
        </w:rPr>
        <w:t xml:space="preserve">Hunter </w:t>
      </w:r>
      <w:r w:rsidR="00A61FF4" w:rsidRPr="009F0910">
        <w:rPr>
          <w:rFonts w:cstheme="minorHAnsi"/>
          <w:sz w:val="24"/>
          <w:szCs w:val="24"/>
        </w:rPr>
        <w:t xml:space="preserve">and Ahmed </w:t>
      </w:r>
      <w:r w:rsidR="008928CD" w:rsidRPr="009F0910">
        <w:rPr>
          <w:rFonts w:cstheme="minorHAnsi"/>
          <w:sz w:val="24"/>
          <w:szCs w:val="24"/>
        </w:rPr>
        <w:t>2016</w:t>
      </w:r>
      <w:r w:rsidR="008E086F" w:rsidRPr="009F0910">
        <w:rPr>
          <w:rFonts w:cstheme="minorHAnsi"/>
          <w:sz w:val="24"/>
          <w:szCs w:val="24"/>
        </w:rPr>
        <w:t xml:space="preserve">; </w:t>
      </w:r>
      <w:r w:rsidR="00CB569F" w:rsidRPr="009F0910">
        <w:rPr>
          <w:rFonts w:cstheme="minorHAnsi"/>
          <w:sz w:val="24"/>
          <w:szCs w:val="24"/>
        </w:rPr>
        <w:t xml:space="preserve">McCann, 2010; </w:t>
      </w:r>
      <w:r w:rsidR="008E086F" w:rsidRPr="009F0910">
        <w:rPr>
          <w:rFonts w:cstheme="minorHAnsi"/>
          <w:sz w:val="24"/>
          <w:szCs w:val="24"/>
        </w:rPr>
        <w:t>Ruane and Hayter 2008</w:t>
      </w:r>
      <w:r w:rsidR="008928CD" w:rsidRPr="009F0910">
        <w:rPr>
          <w:rFonts w:cstheme="minorHAnsi"/>
          <w:sz w:val="24"/>
          <w:szCs w:val="24"/>
        </w:rPr>
        <w:t>)</w:t>
      </w:r>
      <w:r w:rsidRPr="009F0910">
        <w:rPr>
          <w:rFonts w:cstheme="minorHAnsi"/>
          <w:sz w:val="24"/>
          <w:szCs w:val="24"/>
        </w:rPr>
        <w:t>. However</w:t>
      </w:r>
      <w:r w:rsidR="00715DFE" w:rsidRPr="009F0910">
        <w:rPr>
          <w:rFonts w:cstheme="minorHAnsi"/>
          <w:sz w:val="24"/>
          <w:szCs w:val="24"/>
        </w:rPr>
        <w:t>,</w:t>
      </w:r>
      <w:r w:rsidRPr="009F0910">
        <w:rPr>
          <w:rFonts w:cstheme="minorHAnsi"/>
          <w:sz w:val="24"/>
          <w:szCs w:val="24"/>
        </w:rPr>
        <w:t xml:space="preserve"> as many as 30% of </w:t>
      </w:r>
      <w:r w:rsidR="00715DFE" w:rsidRPr="009F0910">
        <w:rPr>
          <w:rFonts w:cstheme="minorHAnsi"/>
          <w:sz w:val="24"/>
          <w:szCs w:val="24"/>
        </w:rPr>
        <w:t xml:space="preserve">people in </w:t>
      </w:r>
      <w:r w:rsidR="00592602" w:rsidRPr="009F0910">
        <w:rPr>
          <w:rFonts w:cstheme="minorHAnsi"/>
          <w:sz w:val="24"/>
          <w:szCs w:val="24"/>
        </w:rPr>
        <w:t xml:space="preserve">secure </w:t>
      </w:r>
      <w:r w:rsidR="00715DFE" w:rsidRPr="009F0910">
        <w:rPr>
          <w:rFonts w:cstheme="minorHAnsi"/>
          <w:sz w:val="24"/>
          <w:szCs w:val="24"/>
        </w:rPr>
        <w:t>mental healthcare</w:t>
      </w:r>
      <w:r w:rsidRPr="009F0910">
        <w:rPr>
          <w:rFonts w:cstheme="minorHAnsi"/>
          <w:sz w:val="24"/>
          <w:szCs w:val="24"/>
        </w:rPr>
        <w:t xml:space="preserve"> report participating in some kind of sexual activity during their time as psychiatric inpatients, often </w:t>
      </w:r>
      <w:r w:rsidR="00715DFE" w:rsidRPr="009F0910">
        <w:rPr>
          <w:rFonts w:cstheme="minorHAnsi"/>
          <w:sz w:val="24"/>
          <w:szCs w:val="24"/>
        </w:rPr>
        <w:t>in contravention</w:t>
      </w:r>
      <w:r w:rsidRPr="009F0910">
        <w:rPr>
          <w:rFonts w:cstheme="minorHAnsi"/>
          <w:sz w:val="24"/>
          <w:szCs w:val="24"/>
        </w:rPr>
        <w:t xml:space="preserve"> of policies bann</w:t>
      </w:r>
      <w:r w:rsidR="00A61FF4" w:rsidRPr="009F0910">
        <w:rPr>
          <w:rFonts w:cstheme="minorHAnsi"/>
          <w:sz w:val="24"/>
          <w:szCs w:val="24"/>
        </w:rPr>
        <w:t>ing such contact (Warner et al.</w:t>
      </w:r>
      <w:r w:rsidRPr="009F0910">
        <w:rPr>
          <w:rFonts w:cstheme="minorHAnsi"/>
          <w:sz w:val="24"/>
          <w:szCs w:val="24"/>
        </w:rPr>
        <w:t xml:space="preserve"> 2004). </w:t>
      </w:r>
      <w:r w:rsidR="006C5101" w:rsidRPr="009F0910">
        <w:rPr>
          <w:rFonts w:cstheme="minorHAnsi"/>
          <w:sz w:val="24"/>
          <w:szCs w:val="24"/>
        </w:rPr>
        <w:t>Further</w:t>
      </w:r>
      <w:r w:rsidR="00F868D1" w:rsidRPr="009F0910">
        <w:rPr>
          <w:rFonts w:cstheme="minorHAnsi"/>
          <w:sz w:val="24"/>
          <w:szCs w:val="24"/>
        </w:rPr>
        <w:t>more</w:t>
      </w:r>
      <w:r w:rsidR="006C5101" w:rsidRPr="009F0910">
        <w:rPr>
          <w:rFonts w:cstheme="minorHAnsi"/>
          <w:sz w:val="24"/>
          <w:szCs w:val="24"/>
        </w:rPr>
        <w:t xml:space="preserve">, research findings suggest that fulfilling intimate and sexual relationships </w:t>
      </w:r>
      <w:r w:rsidR="00C35212" w:rsidRPr="009F0910">
        <w:rPr>
          <w:rFonts w:cstheme="minorHAnsi"/>
          <w:sz w:val="24"/>
          <w:szCs w:val="24"/>
        </w:rPr>
        <w:t>may be</w:t>
      </w:r>
      <w:r w:rsidR="006C5101" w:rsidRPr="009F0910">
        <w:rPr>
          <w:rFonts w:cstheme="minorHAnsi"/>
          <w:sz w:val="24"/>
          <w:szCs w:val="24"/>
        </w:rPr>
        <w:t xml:space="preserve"> associated with positive adjustment to life in </w:t>
      </w:r>
      <w:r w:rsidR="00C94653" w:rsidRPr="009F0910">
        <w:rPr>
          <w:rFonts w:cstheme="minorHAnsi"/>
          <w:sz w:val="24"/>
          <w:szCs w:val="24"/>
        </w:rPr>
        <w:t xml:space="preserve">mental healthcare services, </w:t>
      </w:r>
      <w:r w:rsidR="006C5101" w:rsidRPr="009F0910">
        <w:rPr>
          <w:rFonts w:cstheme="minorHAnsi"/>
          <w:sz w:val="24"/>
          <w:szCs w:val="24"/>
        </w:rPr>
        <w:t xml:space="preserve">in the community after discharge, and with other positive mental </w:t>
      </w:r>
      <w:r w:rsidR="00A61FF4" w:rsidRPr="009F0910">
        <w:rPr>
          <w:rFonts w:cstheme="minorHAnsi"/>
          <w:sz w:val="24"/>
          <w:szCs w:val="24"/>
        </w:rPr>
        <w:t>health outcomes (</w:t>
      </w:r>
      <w:proofErr w:type="spellStart"/>
      <w:r w:rsidR="00A61FF4" w:rsidRPr="009F0910">
        <w:rPr>
          <w:rFonts w:cstheme="minorHAnsi"/>
          <w:sz w:val="24"/>
          <w:szCs w:val="24"/>
        </w:rPr>
        <w:t>Gilburt</w:t>
      </w:r>
      <w:proofErr w:type="spellEnd"/>
      <w:r w:rsidR="00A61FF4" w:rsidRPr="009F0910">
        <w:rPr>
          <w:rFonts w:cstheme="minorHAnsi"/>
          <w:sz w:val="24"/>
          <w:szCs w:val="24"/>
        </w:rPr>
        <w:t>, Rose and Slade</w:t>
      </w:r>
      <w:r w:rsidR="006C5101" w:rsidRPr="009F0910">
        <w:rPr>
          <w:rFonts w:cstheme="minorHAnsi"/>
          <w:sz w:val="24"/>
          <w:szCs w:val="24"/>
        </w:rPr>
        <w:t xml:space="preserve"> 2008; </w:t>
      </w:r>
      <w:proofErr w:type="spellStart"/>
      <w:r w:rsidR="006C5101" w:rsidRPr="009F0910">
        <w:rPr>
          <w:rFonts w:cstheme="minorHAnsi"/>
          <w:sz w:val="24"/>
          <w:szCs w:val="24"/>
        </w:rPr>
        <w:t>Kawachi</w:t>
      </w:r>
      <w:proofErr w:type="spellEnd"/>
      <w:r w:rsidR="006C5101" w:rsidRPr="009F0910">
        <w:rPr>
          <w:rFonts w:cstheme="minorHAnsi"/>
          <w:sz w:val="24"/>
          <w:szCs w:val="24"/>
        </w:rPr>
        <w:t xml:space="preserve"> </w:t>
      </w:r>
      <w:r w:rsidR="00A61FF4" w:rsidRPr="009F0910">
        <w:rPr>
          <w:rFonts w:cstheme="minorHAnsi"/>
          <w:sz w:val="24"/>
          <w:szCs w:val="24"/>
        </w:rPr>
        <w:t>and Berkman</w:t>
      </w:r>
      <w:r w:rsidR="006C5101" w:rsidRPr="009F0910">
        <w:rPr>
          <w:rFonts w:cstheme="minorHAnsi"/>
          <w:sz w:val="24"/>
          <w:szCs w:val="24"/>
        </w:rPr>
        <w:t xml:space="preserve"> 2001). </w:t>
      </w:r>
      <w:r w:rsidR="0065473F" w:rsidRPr="009F0910">
        <w:rPr>
          <w:rFonts w:cstheme="minorHAnsi"/>
          <w:sz w:val="24"/>
          <w:szCs w:val="24"/>
        </w:rPr>
        <w:t xml:space="preserve">Sexuality is essential to the human condition, a fundament aspect of </w:t>
      </w:r>
      <w:r w:rsidR="0065473F" w:rsidRPr="009F0910">
        <w:rPr>
          <w:rFonts w:cstheme="minorHAnsi"/>
          <w:iCs/>
          <w:sz w:val="24"/>
          <w:szCs w:val="24"/>
        </w:rPr>
        <w:t>“the totality of being a person” (</w:t>
      </w:r>
      <w:r w:rsidR="00D76283" w:rsidRPr="009F0910">
        <w:rPr>
          <w:rFonts w:cstheme="minorHAnsi"/>
          <w:sz w:val="24"/>
          <w:szCs w:val="24"/>
        </w:rPr>
        <w:t>McCann</w:t>
      </w:r>
      <w:r w:rsidR="00D13D67" w:rsidRPr="009F0910">
        <w:rPr>
          <w:rFonts w:cstheme="minorHAnsi"/>
          <w:sz w:val="24"/>
          <w:szCs w:val="24"/>
        </w:rPr>
        <w:t xml:space="preserve"> 2000</w:t>
      </w:r>
      <w:r w:rsidR="0065473F" w:rsidRPr="009F0910">
        <w:rPr>
          <w:rFonts w:cstheme="minorHAnsi"/>
          <w:sz w:val="24"/>
          <w:szCs w:val="24"/>
        </w:rPr>
        <w:t>,</w:t>
      </w:r>
      <w:r w:rsidR="00424885" w:rsidRPr="009F0910">
        <w:rPr>
          <w:rFonts w:cstheme="minorHAnsi"/>
          <w:sz w:val="24"/>
          <w:szCs w:val="24"/>
        </w:rPr>
        <w:t xml:space="preserve"> </w:t>
      </w:r>
      <w:r w:rsidR="00D13D67" w:rsidRPr="009F0910">
        <w:rPr>
          <w:rFonts w:cstheme="minorHAnsi"/>
          <w:iCs/>
          <w:sz w:val="24"/>
          <w:szCs w:val="24"/>
        </w:rPr>
        <w:t>134</w:t>
      </w:r>
      <w:r w:rsidR="0065473F" w:rsidRPr="009F0910">
        <w:rPr>
          <w:rFonts w:cstheme="minorHAnsi"/>
          <w:iCs/>
          <w:sz w:val="24"/>
          <w:szCs w:val="24"/>
        </w:rPr>
        <w:t>)</w:t>
      </w:r>
      <w:r w:rsidR="00BB3D97" w:rsidRPr="009F0910">
        <w:rPr>
          <w:rFonts w:cstheme="minorHAnsi"/>
          <w:iCs/>
          <w:sz w:val="24"/>
          <w:szCs w:val="24"/>
        </w:rPr>
        <w:t xml:space="preserve"> and </w:t>
      </w:r>
      <w:r w:rsidR="00050B9A" w:rsidRPr="009F0910">
        <w:rPr>
          <w:rFonts w:cstheme="minorHAnsi"/>
          <w:iCs/>
          <w:sz w:val="24"/>
          <w:szCs w:val="24"/>
        </w:rPr>
        <w:t xml:space="preserve">of vitality as </w:t>
      </w:r>
      <w:r w:rsidR="008928CD" w:rsidRPr="009F0910">
        <w:rPr>
          <w:rFonts w:cstheme="minorHAnsi"/>
          <w:iCs/>
          <w:sz w:val="24"/>
          <w:szCs w:val="24"/>
        </w:rPr>
        <w:t>“</w:t>
      </w:r>
      <w:r w:rsidR="00050B9A" w:rsidRPr="009F0910">
        <w:rPr>
          <w:rFonts w:cstheme="minorHAnsi"/>
          <w:iCs/>
          <w:sz w:val="24"/>
          <w:szCs w:val="24"/>
        </w:rPr>
        <w:t>a manifestation of life, of being alive</w:t>
      </w:r>
      <w:r w:rsidR="008928CD" w:rsidRPr="009F0910">
        <w:rPr>
          <w:rFonts w:cstheme="minorHAnsi"/>
          <w:iCs/>
          <w:sz w:val="24"/>
          <w:szCs w:val="24"/>
        </w:rPr>
        <w:t>”</w:t>
      </w:r>
      <w:r w:rsidR="00A61FF4" w:rsidRPr="009F0910">
        <w:rPr>
          <w:rFonts w:cstheme="minorHAnsi"/>
          <w:iCs/>
          <w:sz w:val="24"/>
          <w:szCs w:val="24"/>
        </w:rPr>
        <w:t xml:space="preserve"> (Stern</w:t>
      </w:r>
      <w:r w:rsidR="00050B9A" w:rsidRPr="009F0910">
        <w:rPr>
          <w:rFonts w:cstheme="minorHAnsi"/>
          <w:iCs/>
          <w:sz w:val="24"/>
          <w:szCs w:val="24"/>
        </w:rPr>
        <w:t xml:space="preserve"> 2010</w:t>
      </w:r>
      <w:r w:rsidR="008928CD" w:rsidRPr="009F0910">
        <w:rPr>
          <w:rFonts w:cstheme="minorHAnsi"/>
          <w:iCs/>
          <w:sz w:val="24"/>
          <w:szCs w:val="24"/>
        </w:rPr>
        <w:t>,</w:t>
      </w:r>
      <w:r w:rsidR="005E19E3" w:rsidRPr="009F0910">
        <w:rPr>
          <w:rFonts w:cstheme="minorHAnsi"/>
          <w:iCs/>
          <w:sz w:val="24"/>
          <w:szCs w:val="24"/>
        </w:rPr>
        <w:t xml:space="preserve"> </w:t>
      </w:r>
      <w:r w:rsidR="00050B9A" w:rsidRPr="009F0910">
        <w:rPr>
          <w:rFonts w:cstheme="minorHAnsi"/>
          <w:iCs/>
          <w:sz w:val="24"/>
          <w:szCs w:val="24"/>
        </w:rPr>
        <w:t>3)</w:t>
      </w:r>
      <w:r w:rsidR="0065473F" w:rsidRPr="009F0910">
        <w:rPr>
          <w:rFonts w:cstheme="minorHAnsi"/>
          <w:sz w:val="24"/>
          <w:szCs w:val="24"/>
        </w:rPr>
        <w:t xml:space="preserve">. </w:t>
      </w:r>
      <w:r w:rsidR="006C5101" w:rsidRPr="009F0910">
        <w:rPr>
          <w:rFonts w:cstheme="minorHAnsi"/>
          <w:sz w:val="24"/>
          <w:szCs w:val="24"/>
        </w:rPr>
        <w:t xml:space="preserve">Consequently, it is paramount that more research is undertaken to explore how inpatient sexuality is managed in </w:t>
      </w:r>
      <w:r w:rsidR="00785373" w:rsidRPr="009F0910">
        <w:rPr>
          <w:rFonts w:cstheme="minorHAnsi"/>
          <w:sz w:val="24"/>
          <w:szCs w:val="24"/>
        </w:rPr>
        <w:t>secure</w:t>
      </w:r>
      <w:r w:rsidR="006C5101" w:rsidRPr="009F0910">
        <w:rPr>
          <w:rFonts w:cstheme="minorHAnsi"/>
          <w:sz w:val="24"/>
          <w:szCs w:val="24"/>
        </w:rPr>
        <w:t xml:space="preserve"> mental healthcare </w:t>
      </w:r>
      <w:r w:rsidR="00785373" w:rsidRPr="009F0910">
        <w:rPr>
          <w:rFonts w:cstheme="minorHAnsi"/>
          <w:sz w:val="24"/>
          <w:szCs w:val="24"/>
        </w:rPr>
        <w:t>facilities</w:t>
      </w:r>
      <w:r w:rsidR="006C5101" w:rsidRPr="009F0910">
        <w:rPr>
          <w:rFonts w:cstheme="minorHAnsi"/>
          <w:sz w:val="24"/>
          <w:szCs w:val="24"/>
        </w:rPr>
        <w:t>, and to inform the development of evidence-based p</w:t>
      </w:r>
      <w:r w:rsidR="005969BE" w:rsidRPr="009F0910">
        <w:rPr>
          <w:rFonts w:cstheme="minorHAnsi"/>
          <w:sz w:val="24"/>
          <w:szCs w:val="24"/>
        </w:rPr>
        <w:t>olicies</w:t>
      </w:r>
      <w:r w:rsidR="006C5101" w:rsidRPr="009F0910">
        <w:rPr>
          <w:rFonts w:cstheme="minorHAnsi"/>
          <w:sz w:val="24"/>
          <w:szCs w:val="24"/>
        </w:rPr>
        <w:t xml:space="preserve"> </w:t>
      </w:r>
      <w:r w:rsidR="005969BE" w:rsidRPr="009F0910">
        <w:rPr>
          <w:rFonts w:cstheme="minorHAnsi"/>
          <w:sz w:val="24"/>
          <w:szCs w:val="24"/>
        </w:rPr>
        <w:t>designed</w:t>
      </w:r>
      <w:r w:rsidR="0065473F" w:rsidRPr="009F0910">
        <w:rPr>
          <w:rFonts w:cstheme="minorHAnsi"/>
          <w:sz w:val="24"/>
          <w:szCs w:val="24"/>
        </w:rPr>
        <w:t xml:space="preserve"> </w:t>
      </w:r>
      <w:r w:rsidR="00870768" w:rsidRPr="009F0910">
        <w:rPr>
          <w:rFonts w:cstheme="minorHAnsi"/>
          <w:sz w:val="24"/>
          <w:szCs w:val="24"/>
        </w:rPr>
        <w:t xml:space="preserve">to </w:t>
      </w:r>
      <w:r w:rsidR="0065473F" w:rsidRPr="009F0910">
        <w:rPr>
          <w:rFonts w:cstheme="minorHAnsi"/>
          <w:sz w:val="24"/>
          <w:szCs w:val="24"/>
        </w:rPr>
        <w:t>ensure that inpatient sexuality is addressed appropriately</w:t>
      </w:r>
      <w:r w:rsidR="006C5101" w:rsidRPr="009F0910">
        <w:rPr>
          <w:rFonts w:cstheme="minorHAnsi"/>
          <w:sz w:val="24"/>
          <w:szCs w:val="24"/>
        </w:rPr>
        <w:t>. Th</w:t>
      </w:r>
      <w:r w:rsidR="0065473F" w:rsidRPr="009F0910">
        <w:rPr>
          <w:rFonts w:cstheme="minorHAnsi"/>
          <w:sz w:val="24"/>
          <w:szCs w:val="24"/>
        </w:rPr>
        <w:t xml:space="preserve">e purpose of this </w:t>
      </w:r>
      <w:r w:rsidR="0036775D" w:rsidRPr="009F0910">
        <w:rPr>
          <w:rFonts w:cstheme="minorHAnsi"/>
          <w:sz w:val="24"/>
          <w:szCs w:val="24"/>
        </w:rPr>
        <w:t xml:space="preserve">exploratory </w:t>
      </w:r>
      <w:r w:rsidR="0065473F" w:rsidRPr="009F0910">
        <w:rPr>
          <w:rFonts w:cstheme="minorHAnsi"/>
          <w:sz w:val="24"/>
          <w:szCs w:val="24"/>
        </w:rPr>
        <w:t xml:space="preserve">study </w:t>
      </w:r>
      <w:r w:rsidR="00A459F2" w:rsidRPr="009F0910">
        <w:rPr>
          <w:rFonts w:cstheme="minorHAnsi"/>
          <w:sz w:val="24"/>
          <w:szCs w:val="24"/>
        </w:rPr>
        <w:t>is to provide insight into the prevailing discourses of inpatient sexuality</w:t>
      </w:r>
      <w:r w:rsidR="0036775D" w:rsidRPr="009F0910">
        <w:rPr>
          <w:rFonts w:cstheme="minorHAnsi"/>
          <w:sz w:val="24"/>
          <w:szCs w:val="24"/>
        </w:rPr>
        <w:t xml:space="preserve"> in one secur</w:t>
      </w:r>
      <w:r w:rsidR="00415D1D" w:rsidRPr="009F0910">
        <w:rPr>
          <w:rFonts w:cstheme="minorHAnsi"/>
          <w:sz w:val="24"/>
          <w:szCs w:val="24"/>
        </w:rPr>
        <w:t xml:space="preserve">e </w:t>
      </w:r>
      <w:r w:rsidR="0090732C" w:rsidRPr="009F0910">
        <w:rPr>
          <w:rFonts w:cstheme="minorHAnsi"/>
          <w:sz w:val="24"/>
          <w:szCs w:val="24"/>
        </w:rPr>
        <w:t xml:space="preserve">mental healthcare </w:t>
      </w:r>
      <w:r w:rsidR="00785373" w:rsidRPr="009F0910">
        <w:rPr>
          <w:rFonts w:cstheme="minorHAnsi"/>
          <w:sz w:val="24"/>
          <w:szCs w:val="24"/>
        </w:rPr>
        <w:t>facility</w:t>
      </w:r>
      <w:r w:rsidR="00415D1D" w:rsidRPr="009F0910">
        <w:rPr>
          <w:rFonts w:cstheme="minorHAnsi"/>
          <w:sz w:val="24"/>
          <w:szCs w:val="24"/>
        </w:rPr>
        <w:t xml:space="preserve"> (hospital) located in England</w:t>
      </w:r>
      <w:r w:rsidR="00785373" w:rsidRPr="009F0910">
        <w:rPr>
          <w:rStyle w:val="FootnoteReference"/>
          <w:rFonts w:cstheme="minorHAnsi"/>
          <w:sz w:val="24"/>
          <w:szCs w:val="24"/>
        </w:rPr>
        <w:footnoteReference w:id="1"/>
      </w:r>
      <w:r w:rsidR="00415D1D" w:rsidRPr="009F0910">
        <w:rPr>
          <w:rFonts w:cstheme="minorHAnsi"/>
          <w:sz w:val="24"/>
          <w:szCs w:val="24"/>
        </w:rPr>
        <w:t>.</w:t>
      </w:r>
      <w:r w:rsidR="00050B9A" w:rsidRPr="009F0910">
        <w:rPr>
          <w:rFonts w:cstheme="minorHAnsi"/>
          <w:sz w:val="24"/>
          <w:szCs w:val="24"/>
        </w:rPr>
        <w:t xml:space="preserve"> A key concern is how these discourses intersect with broader norms and policies around appropriate and </w:t>
      </w:r>
      <w:r w:rsidR="00640D23" w:rsidRPr="009F0910">
        <w:rPr>
          <w:rFonts w:cstheme="minorHAnsi"/>
          <w:sz w:val="24"/>
          <w:szCs w:val="24"/>
        </w:rPr>
        <w:t>“</w:t>
      </w:r>
      <w:r w:rsidR="00050B9A" w:rsidRPr="009F0910">
        <w:rPr>
          <w:rFonts w:cstheme="minorHAnsi"/>
          <w:sz w:val="24"/>
          <w:szCs w:val="24"/>
        </w:rPr>
        <w:t>risky</w:t>
      </w:r>
      <w:r w:rsidR="00640D23" w:rsidRPr="009F0910">
        <w:rPr>
          <w:rFonts w:cstheme="minorHAnsi"/>
          <w:sz w:val="24"/>
          <w:szCs w:val="24"/>
        </w:rPr>
        <w:t>”</w:t>
      </w:r>
      <w:r w:rsidR="00050B9A" w:rsidRPr="009F0910">
        <w:rPr>
          <w:rFonts w:cstheme="minorHAnsi"/>
          <w:sz w:val="24"/>
          <w:szCs w:val="24"/>
        </w:rPr>
        <w:t xml:space="preserve"> ward </w:t>
      </w:r>
      <w:r w:rsidR="007E245B" w:rsidRPr="009F0910">
        <w:rPr>
          <w:rFonts w:cstheme="minorHAnsi"/>
          <w:sz w:val="24"/>
          <w:szCs w:val="24"/>
        </w:rPr>
        <w:t>behaviour</w:t>
      </w:r>
      <w:r w:rsidR="00050B9A" w:rsidRPr="009F0910">
        <w:rPr>
          <w:rFonts w:cstheme="minorHAnsi"/>
          <w:sz w:val="24"/>
          <w:szCs w:val="24"/>
        </w:rPr>
        <w:t xml:space="preserve"> on the part of </w:t>
      </w:r>
      <w:r w:rsidR="00A05132" w:rsidRPr="009F0910">
        <w:rPr>
          <w:rFonts w:cstheme="minorHAnsi"/>
          <w:sz w:val="24"/>
          <w:szCs w:val="24"/>
        </w:rPr>
        <w:t>in</w:t>
      </w:r>
      <w:r w:rsidR="00050B9A" w:rsidRPr="009F0910">
        <w:rPr>
          <w:rFonts w:cstheme="minorHAnsi"/>
          <w:sz w:val="24"/>
          <w:szCs w:val="24"/>
        </w:rPr>
        <w:t xml:space="preserve">patients, and the dilemmas </w:t>
      </w:r>
      <w:r w:rsidR="00640D23" w:rsidRPr="009F0910">
        <w:rPr>
          <w:rFonts w:cstheme="minorHAnsi"/>
          <w:sz w:val="24"/>
          <w:szCs w:val="24"/>
        </w:rPr>
        <w:t xml:space="preserve">this </w:t>
      </w:r>
      <w:r w:rsidR="00050B9A" w:rsidRPr="009F0910">
        <w:rPr>
          <w:rFonts w:cstheme="minorHAnsi"/>
          <w:sz w:val="24"/>
          <w:szCs w:val="24"/>
        </w:rPr>
        <w:t xml:space="preserve">creates for </w:t>
      </w:r>
      <w:r w:rsidR="00A05132" w:rsidRPr="009F0910">
        <w:rPr>
          <w:rFonts w:cstheme="minorHAnsi"/>
          <w:sz w:val="24"/>
          <w:szCs w:val="24"/>
        </w:rPr>
        <w:t xml:space="preserve">nursing and healthcare </w:t>
      </w:r>
      <w:r w:rsidR="00050B9A" w:rsidRPr="009F0910">
        <w:rPr>
          <w:rFonts w:cstheme="minorHAnsi"/>
          <w:sz w:val="24"/>
          <w:szCs w:val="24"/>
        </w:rPr>
        <w:t xml:space="preserve">staff who are </w:t>
      </w:r>
      <w:r w:rsidR="00C81DAA" w:rsidRPr="009F0910">
        <w:rPr>
          <w:rFonts w:cstheme="minorHAnsi"/>
          <w:sz w:val="24"/>
          <w:szCs w:val="24"/>
        </w:rPr>
        <w:t xml:space="preserve">at </w:t>
      </w:r>
      <w:r w:rsidR="00050B9A" w:rsidRPr="009F0910">
        <w:rPr>
          <w:rFonts w:cstheme="minorHAnsi"/>
          <w:sz w:val="24"/>
          <w:szCs w:val="24"/>
        </w:rPr>
        <w:t xml:space="preserve">the frontline </w:t>
      </w:r>
      <w:r w:rsidR="00C81DAA" w:rsidRPr="009F0910">
        <w:rPr>
          <w:rFonts w:cstheme="minorHAnsi"/>
          <w:sz w:val="24"/>
          <w:szCs w:val="24"/>
        </w:rPr>
        <w:t xml:space="preserve">in </w:t>
      </w:r>
      <w:r w:rsidR="00A05132" w:rsidRPr="009F0910">
        <w:rPr>
          <w:rFonts w:cstheme="minorHAnsi"/>
          <w:sz w:val="24"/>
          <w:szCs w:val="24"/>
        </w:rPr>
        <w:t xml:space="preserve">managing potential </w:t>
      </w:r>
      <w:r w:rsidR="00C81DAA" w:rsidRPr="009F0910">
        <w:rPr>
          <w:rFonts w:cstheme="minorHAnsi"/>
          <w:sz w:val="24"/>
          <w:szCs w:val="24"/>
        </w:rPr>
        <w:t>“</w:t>
      </w:r>
      <w:r w:rsidR="00A05132" w:rsidRPr="009F0910">
        <w:rPr>
          <w:rFonts w:cstheme="minorHAnsi"/>
          <w:sz w:val="24"/>
          <w:szCs w:val="24"/>
        </w:rPr>
        <w:t>mis</w:t>
      </w:r>
      <w:r w:rsidR="007E245B" w:rsidRPr="009F0910">
        <w:rPr>
          <w:rFonts w:cstheme="minorHAnsi"/>
          <w:sz w:val="24"/>
          <w:szCs w:val="24"/>
        </w:rPr>
        <w:t>behaviour</w:t>
      </w:r>
      <w:r w:rsidR="00C81DAA" w:rsidRPr="009F0910">
        <w:rPr>
          <w:rFonts w:cstheme="minorHAnsi"/>
          <w:sz w:val="24"/>
          <w:szCs w:val="24"/>
        </w:rPr>
        <w:t>”</w:t>
      </w:r>
      <w:r w:rsidR="00A05132" w:rsidRPr="009F0910">
        <w:rPr>
          <w:rFonts w:cstheme="minorHAnsi"/>
          <w:sz w:val="24"/>
          <w:szCs w:val="24"/>
        </w:rPr>
        <w:t>.</w:t>
      </w:r>
      <w:r w:rsidR="00785373" w:rsidRPr="009F0910">
        <w:rPr>
          <w:rFonts w:cstheme="minorHAnsi"/>
          <w:sz w:val="24"/>
          <w:szCs w:val="24"/>
        </w:rPr>
        <w:t xml:space="preserve"> </w:t>
      </w:r>
    </w:p>
    <w:p w14:paraId="232E6329" w14:textId="2DADBD82" w:rsidR="0081263C" w:rsidRPr="009F0910" w:rsidRDefault="00A05132" w:rsidP="009F0910">
      <w:pPr>
        <w:spacing w:after="0" w:line="360" w:lineRule="auto"/>
        <w:contextualSpacing/>
        <w:jc w:val="both"/>
        <w:rPr>
          <w:rFonts w:cstheme="minorHAnsi"/>
          <w:strike/>
          <w:sz w:val="24"/>
          <w:szCs w:val="24"/>
        </w:rPr>
      </w:pPr>
      <w:r w:rsidRPr="009F0910">
        <w:rPr>
          <w:rFonts w:cstheme="minorHAnsi"/>
          <w:sz w:val="24"/>
          <w:szCs w:val="24"/>
        </w:rPr>
        <w:tab/>
      </w:r>
      <w:r w:rsidR="00B901E3" w:rsidRPr="009F0910">
        <w:rPr>
          <w:rFonts w:cstheme="minorHAnsi"/>
          <w:sz w:val="24"/>
          <w:szCs w:val="24"/>
        </w:rPr>
        <w:t>Secure</w:t>
      </w:r>
      <w:r w:rsidR="002839F3" w:rsidRPr="009F0910">
        <w:rPr>
          <w:rFonts w:cstheme="minorHAnsi"/>
          <w:sz w:val="24"/>
          <w:szCs w:val="24"/>
        </w:rPr>
        <w:t xml:space="preserve"> </w:t>
      </w:r>
      <w:r w:rsidR="001B6311" w:rsidRPr="009F0910">
        <w:rPr>
          <w:rFonts w:cstheme="minorHAnsi"/>
          <w:sz w:val="24"/>
          <w:szCs w:val="24"/>
        </w:rPr>
        <w:t xml:space="preserve">mental healthcare </w:t>
      </w:r>
      <w:r w:rsidR="00B901E3" w:rsidRPr="009F0910">
        <w:rPr>
          <w:rFonts w:cstheme="minorHAnsi"/>
          <w:sz w:val="24"/>
          <w:szCs w:val="24"/>
        </w:rPr>
        <w:t>facilitie</w:t>
      </w:r>
      <w:r w:rsidR="0090732C" w:rsidRPr="009F0910">
        <w:rPr>
          <w:rFonts w:cstheme="minorHAnsi"/>
          <w:sz w:val="24"/>
          <w:szCs w:val="24"/>
        </w:rPr>
        <w:t>s</w:t>
      </w:r>
      <w:r w:rsidR="002839F3" w:rsidRPr="009F0910">
        <w:rPr>
          <w:rFonts w:cstheme="minorHAnsi"/>
          <w:sz w:val="24"/>
          <w:szCs w:val="24"/>
        </w:rPr>
        <w:t xml:space="preserve"> typically prohibit sexual </w:t>
      </w:r>
      <w:r w:rsidR="00434255" w:rsidRPr="009F0910">
        <w:rPr>
          <w:rFonts w:cstheme="minorHAnsi"/>
          <w:sz w:val="24"/>
          <w:szCs w:val="24"/>
        </w:rPr>
        <w:t>or intimate relationships among inpatients</w:t>
      </w:r>
      <w:r w:rsidR="00A61FF4" w:rsidRPr="009F0910">
        <w:rPr>
          <w:rFonts w:cstheme="minorHAnsi"/>
          <w:sz w:val="24"/>
          <w:szCs w:val="24"/>
        </w:rPr>
        <w:t xml:space="preserve"> (Brown et al. 2014</w:t>
      </w:r>
      <w:r w:rsidR="00AC0763" w:rsidRPr="009F0910">
        <w:rPr>
          <w:rFonts w:cstheme="minorHAnsi"/>
          <w:sz w:val="24"/>
          <w:szCs w:val="24"/>
        </w:rPr>
        <w:t xml:space="preserve">; Deegan, </w:t>
      </w:r>
      <w:r w:rsidR="00993768" w:rsidRPr="009F0910">
        <w:rPr>
          <w:rFonts w:cstheme="minorHAnsi"/>
          <w:sz w:val="24"/>
          <w:szCs w:val="24"/>
        </w:rPr>
        <w:t>1999</w:t>
      </w:r>
      <w:r w:rsidR="002839F3" w:rsidRPr="009F0910">
        <w:rPr>
          <w:rFonts w:cstheme="minorHAnsi"/>
          <w:sz w:val="24"/>
          <w:szCs w:val="24"/>
        </w:rPr>
        <w:t xml:space="preserve">). </w:t>
      </w:r>
      <w:r w:rsidR="007E7D1D" w:rsidRPr="009F0910">
        <w:rPr>
          <w:rFonts w:cstheme="minorHAnsi"/>
          <w:sz w:val="24"/>
          <w:szCs w:val="24"/>
        </w:rPr>
        <w:t>The prohibitive approach is often</w:t>
      </w:r>
      <w:r w:rsidR="001B6311" w:rsidRPr="009F0910">
        <w:rPr>
          <w:rFonts w:cstheme="minorHAnsi"/>
          <w:sz w:val="24"/>
          <w:szCs w:val="24"/>
        </w:rPr>
        <w:t xml:space="preserve"> </w:t>
      </w:r>
      <w:r w:rsidR="007E7D1D" w:rsidRPr="009F0910">
        <w:rPr>
          <w:rFonts w:cstheme="minorHAnsi"/>
          <w:sz w:val="24"/>
          <w:szCs w:val="24"/>
        </w:rPr>
        <w:t>justified within discourses that frame</w:t>
      </w:r>
      <w:r w:rsidR="002839F3" w:rsidRPr="009F0910">
        <w:rPr>
          <w:rFonts w:cstheme="minorHAnsi"/>
          <w:sz w:val="24"/>
          <w:szCs w:val="24"/>
        </w:rPr>
        <w:t xml:space="preserve"> </w:t>
      </w:r>
      <w:r w:rsidR="00590C1A" w:rsidRPr="009F0910">
        <w:rPr>
          <w:rFonts w:cstheme="minorHAnsi"/>
          <w:sz w:val="24"/>
          <w:szCs w:val="24"/>
        </w:rPr>
        <w:t>inpatients’</w:t>
      </w:r>
      <w:r w:rsidR="002839F3" w:rsidRPr="009F0910">
        <w:rPr>
          <w:rFonts w:cstheme="minorHAnsi"/>
          <w:sz w:val="24"/>
          <w:szCs w:val="24"/>
        </w:rPr>
        <w:t xml:space="preserve"> desire for intimacy as a distraction </w:t>
      </w:r>
      <w:r w:rsidR="007E7D1D" w:rsidRPr="009F0910">
        <w:rPr>
          <w:rFonts w:cstheme="minorHAnsi"/>
          <w:sz w:val="24"/>
          <w:szCs w:val="24"/>
        </w:rPr>
        <w:t>from</w:t>
      </w:r>
      <w:r w:rsidR="002839F3" w:rsidRPr="009F0910">
        <w:rPr>
          <w:rFonts w:cstheme="minorHAnsi"/>
          <w:sz w:val="24"/>
          <w:szCs w:val="24"/>
        </w:rPr>
        <w:t xml:space="preserve"> tr</w:t>
      </w:r>
      <w:r w:rsidR="007E7D1D" w:rsidRPr="009F0910">
        <w:rPr>
          <w:rFonts w:cstheme="minorHAnsi"/>
          <w:sz w:val="24"/>
          <w:szCs w:val="24"/>
        </w:rPr>
        <w:t>eatment, and an antecedent</w:t>
      </w:r>
      <w:r w:rsidR="00590C1A" w:rsidRPr="009F0910">
        <w:rPr>
          <w:rFonts w:cstheme="minorHAnsi"/>
          <w:sz w:val="24"/>
          <w:szCs w:val="24"/>
        </w:rPr>
        <w:t xml:space="preserve"> to unintended harm (Hunter </w:t>
      </w:r>
      <w:r w:rsidR="00A61FF4" w:rsidRPr="009F0910">
        <w:rPr>
          <w:rFonts w:cstheme="minorHAnsi"/>
          <w:sz w:val="24"/>
          <w:szCs w:val="24"/>
        </w:rPr>
        <w:t>and Ahmed</w:t>
      </w:r>
      <w:r w:rsidR="00590C1A" w:rsidRPr="009F0910">
        <w:rPr>
          <w:rFonts w:cstheme="minorHAnsi"/>
          <w:sz w:val="24"/>
          <w:szCs w:val="24"/>
        </w:rPr>
        <w:t xml:space="preserve"> 2016</w:t>
      </w:r>
      <w:r w:rsidR="00021E85" w:rsidRPr="009F0910">
        <w:rPr>
          <w:rFonts w:cstheme="minorHAnsi"/>
          <w:sz w:val="24"/>
          <w:szCs w:val="24"/>
        </w:rPr>
        <w:t>; Ruane and Hayter 2008</w:t>
      </w:r>
      <w:r w:rsidR="003230DC" w:rsidRPr="009F0910">
        <w:rPr>
          <w:rFonts w:cstheme="minorHAnsi"/>
          <w:sz w:val="24"/>
          <w:szCs w:val="24"/>
        </w:rPr>
        <w:t xml:space="preserve">). </w:t>
      </w:r>
      <w:r w:rsidR="00C14CF1" w:rsidRPr="009F0910">
        <w:rPr>
          <w:rFonts w:cstheme="minorHAnsi"/>
          <w:sz w:val="24"/>
          <w:szCs w:val="24"/>
        </w:rPr>
        <w:t xml:space="preserve">There is a paucity of official advice for clinicians in how they might manage inpatient sexuality in secure mental healthcare. </w:t>
      </w:r>
      <w:r w:rsidR="003230DC" w:rsidRPr="009F0910">
        <w:rPr>
          <w:rFonts w:cstheme="minorHAnsi"/>
          <w:sz w:val="24"/>
          <w:szCs w:val="24"/>
        </w:rPr>
        <w:t>The</w:t>
      </w:r>
      <w:r w:rsidR="00A61FF4" w:rsidRPr="009F0910">
        <w:rPr>
          <w:rFonts w:cstheme="minorHAnsi"/>
          <w:sz w:val="24"/>
          <w:szCs w:val="24"/>
        </w:rPr>
        <w:t xml:space="preserve"> Royal College of Psychiatrists</w:t>
      </w:r>
      <w:r w:rsidR="003230DC" w:rsidRPr="009F0910">
        <w:rPr>
          <w:rFonts w:cstheme="minorHAnsi"/>
          <w:sz w:val="24"/>
          <w:szCs w:val="24"/>
        </w:rPr>
        <w:t>’</w:t>
      </w:r>
      <w:r w:rsidR="00590C1A" w:rsidRPr="009F0910">
        <w:rPr>
          <w:rFonts w:cstheme="minorHAnsi"/>
          <w:sz w:val="24"/>
          <w:szCs w:val="24"/>
        </w:rPr>
        <w:t xml:space="preserve"> </w:t>
      </w:r>
      <w:r w:rsidR="003230DC" w:rsidRPr="009F0910">
        <w:rPr>
          <w:rFonts w:cstheme="minorHAnsi"/>
          <w:sz w:val="24"/>
          <w:szCs w:val="24"/>
        </w:rPr>
        <w:t>(</w:t>
      </w:r>
      <w:r w:rsidR="00590C1A" w:rsidRPr="009F0910">
        <w:rPr>
          <w:rFonts w:cstheme="minorHAnsi"/>
          <w:sz w:val="24"/>
          <w:szCs w:val="24"/>
        </w:rPr>
        <w:t>2017</w:t>
      </w:r>
      <w:r w:rsidR="003230DC" w:rsidRPr="009F0910">
        <w:rPr>
          <w:rFonts w:cstheme="minorHAnsi"/>
          <w:sz w:val="24"/>
          <w:szCs w:val="24"/>
        </w:rPr>
        <w:t xml:space="preserve">) report on </w:t>
      </w:r>
      <w:r w:rsidR="00C14CF1" w:rsidRPr="009F0910">
        <w:rPr>
          <w:rFonts w:cstheme="minorHAnsi"/>
          <w:sz w:val="24"/>
          <w:szCs w:val="24"/>
        </w:rPr>
        <w:t>s</w:t>
      </w:r>
      <w:r w:rsidR="003230DC" w:rsidRPr="009F0910">
        <w:rPr>
          <w:rFonts w:cstheme="minorHAnsi"/>
          <w:sz w:val="24"/>
          <w:szCs w:val="24"/>
        </w:rPr>
        <w:t xml:space="preserve">exual </w:t>
      </w:r>
      <w:r w:rsidR="00C14CF1" w:rsidRPr="009F0910">
        <w:rPr>
          <w:rFonts w:cstheme="minorHAnsi"/>
          <w:sz w:val="24"/>
          <w:szCs w:val="24"/>
        </w:rPr>
        <w:t>b</w:t>
      </w:r>
      <w:r w:rsidR="003230DC" w:rsidRPr="009F0910">
        <w:rPr>
          <w:rFonts w:cstheme="minorHAnsi"/>
          <w:sz w:val="24"/>
          <w:szCs w:val="24"/>
        </w:rPr>
        <w:t xml:space="preserve">oundaries </w:t>
      </w:r>
      <w:r w:rsidR="00C14CF1" w:rsidRPr="009F0910">
        <w:rPr>
          <w:rFonts w:cstheme="minorHAnsi"/>
          <w:sz w:val="24"/>
          <w:szCs w:val="24"/>
        </w:rPr>
        <w:t xml:space="preserve">draws attention to inpatients’ rights under the European </w:t>
      </w:r>
      <w:r w:rsidR="00C14CF1" w:rsidRPr="009F0910">
        <w:rPr>
          <w:rFonts w:cstheme="minorHAnsi"/>
          <w:sz w:val="24"/>
          <w:szCs w:val="24"/>
        </w:rPr>
        <w:lastRenderedPageBreak/>
        <w:t xml:space="preserve">Convention of Human Rights (ECHR) to pursue romantic relationships, while noting that, according to ECHR, “[clinicians’] interference” may be warranted, for the “protection of [inpatients’] health” (p. 11). The report offers little further guidance to clinicians on the matter. </w:t>
      </w:r>
    </w:p>
    <w:p w14:paraId="6331C5CC" w14:textId="35E739C6" w:rsidR="00166D17" w:rsidRPr="009F0910" w:rsidRDefault="00B9414C" w:rsidP="009F0910">
      <w:pPr>
        <w:spacing w:after="0" w:line="360" w:lineRule="auto"/>
        <w:ind w:firstLine="720"/>
        <w:contextualSpacing/>
        <w:jc w:val="both"/>
        <w:rPr>
          <w:rFonts w:cstheme="minorHAnsi"/>
          <w:b/>
          <w:bCs/>
          <w:iCs/>
          <w:sz w:val="24"/>
          <w:szCs w:val="24"/>
        </w:rPr>
      </w:pPr>
      <w:r w:rsidRPr="009F0910">
        <w:rPr>
          <w:rFonts w:cstheme="minorHAnsi"/>
          <w:sz w:val="24"/>
          <w:szCs w:val="24"/>
        </w:rPr>
        <w:t xml:space="preserve">Research has identified that inpatients experience </w:t>
      </w:r>
      <w:r w:rsidR="00870768" w:rsidRPr="009F0910">
        <w:rPr>
          <w:rFonts w:cstheme="minorHAnsi"/>
          <w:sz w:val="24"/>
          <w:szCs w:val="24"/>
        </w:rPr>
        <w:t xml:space="preserve">secure </w:t>
      </w:r>
      <w:r w:rsidRPr="009F0910">
        <w:rPr>
          <w:rFonts w:cstheme="minorHAnsi"/>
          <w:sz w:val="24"/>
          <w:szCs w:val="24"/>
        </w:rPr>
        <w:t>services as “anti-life” – the spaces remove both public freedoms and private comforts, distancing inpatients from their own sexualit</w:t>
      </w:r>
      <w:r w:rsidR="00D025AB" w:rsidRPr="009F0910">
        <w:rPr>
          <w:rFonts w:cstheme="minorHAnsi"/>
          <w:sz w:val="24"/>
          <w:szCs w:val="24"/>
        </w:rPr>
        <w:t>y</w:t>
      </w:r>
      <w:r w:rsidRPr="009F0910">
        <w:rPr>
          <w:rFonts w:cstheme="minorHAnsi"/>
          <w:sz w:val="24"/>
          <w:szCs w:val="24"/>
        </w:rPr>
        <w:t xml:space="preserve"> and obscuring the sense of meaning i</w:t>
      </w:r>
      <w:r w:rsidR="00A61FF4" w:rsidRPr="009F0910">
        <w:rPr>
          <w:rFonts w:cstheme="minorHAnsi"/>
          <w:sz w:val="24"/>
          <w:szCs w:val="24"/>
        </w:rPr>
        <w:t>n day-to-day life (Brown et al.</w:t>
      </w:r>
      <w:r w:rsidRPr="009F0910">
        <w:rPr>
          <w:rFonts w:cstheme="minorHAnsi"/>
          <w:sz w:val="24"/>
          <w:szCs w:val="24"/>
        </w:rPr>
        <w:t xml:space="preserve"> 2014,</w:t>
      </w:r>
      <w:r w:rsidR="00424885" w:rsidRPr="009F0910">
        <w:rPr>
          <w:rFonts w:cstheme="minorHAnsi"/>
          <w:sz w:val="24"/>
          <w:szCs w:val="24"/>
        </w:rPr>
        <w:t xml:space="preserve"> </w:t>
      </w:r>
      <w:r w:rsidRPr="009F0910">
        <w:rPr>
          <w:rFonts w:cstheme="minorHAnsi"/>
          <w:sz w:val="24"/>
          <w:szCs w:val="24"/>
        </w:rPr>
        <w:t xml:space="preserve">250). </w:t>
      </w:r>
      <w:r w:rsidR="006945ED" w:rsidRPr="009F0910">
        <w:rPr>
          <w:rFonts w:cstheme="minorHAnsi"/>
          <w:sz w:val="24"/>
          <w:szCs w:val="24"/>
        </w:rPr>
        <w:t xml:space="preserve">This </w:t>
      </w:r>
      <w:r w:rsidR="00952538" w:rsidRPr="009F0910">
        <w:rPr>
          <w:rFonts w:cstheme="minorHAnsi"/>
          <w:sz w:val="24"/>
          <w:szCs w:val="24"/>
        </w:rPr>
        <w:t>can</w:t>
      </w:r>
      <w:r w:rsidR="006945ED" w:rsidRPr="009F0910">
        <w:rPr>
          <w:rFonts w:cstheme="minorHAnsi"/>
          <w:sz w:val="24"/>
          <w:szCs w:val="24"/>
        </w:rPr>
        <w:t xml:space="preserve"> be understood in relation to the concept of </w:t>
      </w:r>
      <w:r w:rsidR="00640D23" w:rsidRPr="009F0910">
        <w:rPr>
          <w:rFonts w:cstheme="minorHAnsi"/>
          <w:sz w:val="24"/>
          <w:szCs w:val="24"/>
        </w:rPr>
        <w:t>“</w:t>
      </w:r>
      <w:r w:rsidR="006945ED" w:rsidRPr="009F0910">
        <w:rPr>
          <w:rFonts w:cstheme="minorHAnsi"/>
          <w:sz w:val="24"/>
          <w:szCs w:val="24"/>
        </w:rPr>
        <w:t>vitality</w:t>
      </w:r>
      <w:r w:rsidR="00640D23" w:rsidRPr="009F0910">
        <w:rPr>
          <w:rFonts w:cstheme="minorHAnsi"/>
          <w:sz w:val="24"/>
          <w:szCs w:val="24"/>
        </w:rPr>
        <w:t>”</w:t>
      </w:r>
      <w:r w:rsidR="006945ED" w:rsidRPr="009F0910">
        <w:rPr>
          <w:rFonts w:cstheme="minorHAnsi"/>
          <w:sz w:val="24"/>
          <w:szCs w:val="24"/>
        </w:rPr>
        <w:t xml:space="preserve"> developed by Stern (2010) and Fuchs (</w:t>
      </w:r>
      <w:r w:rsidR="005458AC" w:rsidRPr="009F0910">
        <w:rPr>
          <w:rFonts w:cstheme="minorHAnsi"/>
          <w:sz w:val="24"/>
          <w:szCs w:val="24"/>
        </w:rPr>
        <w:t>20</w:t>
      </w:r>
      <w:r w:rsidR="00E04FC6" w:rsidRPr="009F0910">
        <w:rPr>
          <w:rFonts w:cstheme="minorHAnsi"/>
          <w:sz w:val="24"/>
          <w:szCs w:val="24"/>
        </w:rPr>
        <w:t>13</w:t>
      </w:r>
      <w:r w:rsidR="0081263C" w:rsidRPr="009F0910">
        <w:rPr>
          <w:rFonts w:cstheme="minorHAnsi"/>
          <w:sz w:val="24"/>
          <w:szCs w:val="24"/>
        </w:rPr>
        <w:t>)</w:t>
      </w:r>
      <w:r w:rsidR="006945ED" w:rsidRPr="009F0910">
        <w:rPr>
          <w:rFonts w:cstheme="minorHAnsi"/>
          <w:sz w:val="24"/>
          <w:szCs w:val="24"/>
        </w:rPr>
        <w:t>, which emphasi</w:t>
      </w:r>
      <w:r w:rsidR="007E245B" w:rsidRPr="009F0910">
        <w:rPr>
          <w:rFonts w:cstheme="minorHAnsi"/>
          <w:sz w:val="24"/>
          <w:szCs w:val="24"/>
        </w:rPr>
        <w:t>s</w:t>
      </w:r>
      <w:r w:rsidR="006945ED" w:rsidRPr="009F0910">
        <w:rPr>
          <w:rFonts w:cstheme="minorHAnsi"/>
          <w:sz w:val="24"/>
          <w:szCs w:val="24"/>
        </w:rPr>
        <w:t xml:space="preserve">es that good mental health is rooted in </w:t>
      </w:r>
      <w:r w:rsidR="0081263C" w:rsidRPr="009F0910">
        <w:rPr>
          <w:rFonts w:cstheme="minorHAnsi"/>
          <w:sz w:val="24"/>
          <w:szCs w:val="24"/>
        </w:rPr>
        <w:t xml:space="preserve">a </w:t>
      </w:r>
      <w:r w:rsidR="00640D23" w:rsidRPr="009F0910">
        <w:rPr>
          <w:rFonts w:cstheme="minorHAnsi"/>
          <w:sz w:val="24"/>
          <w:szCs w:val="24"/>
        </w:rPr>
        <w:t>“</w:t>
      </w:r>
      <w:proofErr w:type="spellStart"/>
      <w:r w:rsidR="0081263C" w:rsidRPr="009F0910">
        <w:rPr>
          <w:rFonts w:eastAsia="Times New Roman" w:cstheme="minorHAnsi"/>
          <w:sz w:val="24"/>
          <w:szCs w:val="24"/>
        </w:rPr>
        <w:t>prereflective</w:t>
      </w:r>
      <w:proofErr w:type="spellEnd"/>
      <w:r w:rsidR="0081263C" w:rsidRPr="009F0910">
        <w:rPr>
          <w:rFonts w:eastAsia="Times New Roman" w:cstheme="minorHAnsi"/>
          <w:sz w:val="24"/>
          <w:szCs w:val="24"/>
        </w:rPr>
        <w:t>, undirected bodily self-awareness that constitutes the unnoticed background of all intentional feeling, perceiving, or acting</w:t>
      </w:r>
      <w:r w:rsidR="00640D23" w:rsidRPr="009F0910">
        <w:rPr>
          <w:rFonts w:eastAsia="Times New Roman" w:cstheme="minorHAnsi"/>
          <w:sz w:val="24"/>
          <w:szCs w:val="24"/>
        </w:rPr>
        <w:t xml:space="preserve">” </w:t>
      </w:r>
      <w:r w:rsidR="00A61FF4" w:rsidRPr="009F0910">
        <w:rPr>
          <w:rFonts w:eastAsia="Times New Roman" w:cstheme="minorHAnsi"/>
          <w:sz w:val="24"/>
          <w:szCs w:val="24"/>
        </w:rPr>
        <w:t xml:space="preserve">(Fuchs </w:t>
      </w:r>
      <w:r w:rsidR="0081263C" w:rsidRPr="009F0910">
        <w:rPr>
          <w:rFonts w:eastAsia="Times New Roman" w:cstheme="minorHAnsi"/>
          <w:sz w:val="24"/>
          <w:szCs w:val="24"/>
        </w:rPr>
        <w:t>2013</w:t>
      </w:r>
      <w:r w:rsidR="00640D23" w:rsidRPr="009F0910">
        <w:rPr>
          <w:rFonts w:eastAsia="Times New Roman" w:cstheme="minorHAnsi"/>
          <w:sz w:val="24"/>
          <w:szCs w:val="24"/>
        </w:rPr>
        <w:t xml:space="preserve">, </w:t>
      </w:r>
      <w:r w:rsidR="0081263C" w:rsidRPr="009F0910">
        <w:rPr>
          <w:rFonts w:eastAsia="Times New Roman" w:cstheme="minorHAnsi"/>
          <w:sz w:val="24"/>
          <w:szCs w:val="24"/>
        </w:rPr>
        <w:t xml:space="preserve">2). </w:t>
      </w:r>
      <w:r w:rsidR="00640D23" w:rsidRPr="009F0910">
        <w:rPr>
          <w:rFonts w:eastAsia="Times New Roman" w:cstheme="minorHAnsi"/>
          <w:sz w:val="24"/>
          <w:szCs w:val="24"/>
        </w:rPr>
        <w:t>“</w:t>
      </w:r>
      <w:r w:rsidR="0081263C" w:rsidRPr="009F0910">
        <w:rPr>
          <w:rFonts w:eastAsia="Times New Roman" w:cstheme="minorHAnsi"/>
          <w:sz w:val="24"/>
          <w:szCs w:val="24"/>
        </w:rPr>
        <w:t>Feeling alive</w:t>
      </w:r>
      <w:r w:rsidR="00640D23" w:rsidRPr="009F0910">
        <w:rPr>
          <w:rFonts w:eastAsia="Times New Roman" w:cstheme="minorHAnsi"/>
          <w:sz w:val="24"/>
          <w:szCs w:val="24"/>
        </w:rPr>
        <w:t>”</w:t>
      </w:r>
      <w:r w:rsidR="0081263C" w:rsidRPr="009F0910">
        <w:rPr>
          <w:rFonts w:eastAsia="Times New Roman" w:cstheme="minorHAnsi"/>
          <w:sz w:val="24"/>
          <w:szCs w:val="24"/>
        </w:rPr>
        <w:t xml:space="preserve"> underpins a sense of engagement with others and with the immediate environment. However, such feelings may be </w:t>
      </w:r>
      <w:r w:rsidRPr="009F0910">
        <w:rPr>
          <w:rFonts w:cstheme="minorHAnsi"/>
          <w:sz w:val="24"/>
          <w:szCs w:val="24"/>
        </w:rPr>
        <w:t xml:space="preserve">reformatted within the </w:t>
      </w:r>
      <w:r w:rsidR="00F610AE" w:rsidRPr="009F0910">
        <w:rPr>
          <w:rFonts w:cstheme="minorHAnsi"/>
          <w:sz w:val="24"/>
          <w:szCs w:val="24"/>
        </w:rPr>
        <w:t>secure mental health</w:t>
      </w:r>
      <w:r w:rsidR="0081263C" w:rsidRPr="009F0910">
        <w:rPr>
          <w:rFonts w:cstheme="minorHAnsi"/>
          <w:sz w:val="24"/>
          <w:szCs w:val="24"/>
        </w:rPr>
        <w:t xml:space="preserve">care </w:t>
      </w:r>
      <w:r w:rsidRPr="009F0910">
        <w:rPr>
          <w:rFonts w:cstheme="minorHAnsi"/>
          <w:sz w:val="24"/>
          <w:szCs w:val="24"/>
        </w:rPr>
        <w:t xml:space="preserve">environment, influenced by </w:t>
      </w:r>
      <w:r w:rsidR="007E245B" w:rsidRPr="009F0910">
        <w:rPr>
          <w:rFonts w:cstheme="minorHAnsi"/>
          <w:sz w:val="24"/>
          <w:szCs w:val="24"/>
        </w:rPr>
        <w:t>internalis</w:t>
      </w:r>
      <w:r w:rsidRPr="009F0910">
        <w:rPr>
          <w:rFonts w:cstheme="minorHAnsi"/>
          <w:sz w:val="24"/>
          <w:szCs w:val="24"/>
        </w:rPr>
        <w:t xml:space="preserve">ed expectations of what the psychiatric experience should be, and by the omnipresent discourse </w:t>
      </w:r>
      <w:r w:rsidR="00A61FF4" w:rsidRPr="009F0910">
        <w:rPr>
          <w:rFonts w:cstheme="minorHAnsi"/>
          <w:sz w:val="24"/>
          <w:szCs w:val="24"/>
        </w:rPr>
        <w:t>of risk (</w:t>
      </w:r>
      <w:r w:rsidRPr="009F0910">
        <w:rPr>
          <w:rFonts w:cstheme="minorHAnsi"/>
          <w:sz w:val="24"/>
          <w:szCs w:val="24"/>
        </w:rPr>
        <w:t xml:space="preserve">Jacob </w:t>
      </w:r>
      <w:r w:rsidR="00A61FF4" w:rsidRPr="009F0910">
        <w:rPr>
          <w:rFonts w:cstheme="minorHAnsi"/>
          <w:sz w:val="24"/>
          <w:szCs w:val="24"/>
        </w:rPr>
        <w:t>and Holmes</w:t>
      </w:r>
      <w:r w:rsidRPr="009F0910">
        <w:rPr>
          <w:rFonts w:cstheme="minorHAnsi"/>
          <w:sz w:val="24"/>
          <w:szCs w:val="24"/>
        </w:rPr>
        <w:t xml:space="preserve"> 2011). Brown et al. (2014) use the term “amputated sexuality” to describe the novel sexualities that emerge as a consequence of being resident in </w:t>
      </w:r>
      <w:r w:rsidR="00F610AE" w:rsidRPr="009F0910">
        <w:rPr>
          <w:rFonts w:cstheme="minorHAnsi"/>
          <w:sz w:val="24"/>
          <w:szCs w:val="24"/>
        </w:rPr>
        <w:t xml:space="preserve">secure </w:t>
      </w:r>
      <w:r w:rsidRPr="009F0910">
        <w:rPr>
          <w:rFonts w:cstheme="minorHAnsi"/>
          <w:sz w:val="24"/>
          <w:szCs w:val="24"/>
        </w:rPr>
        <w:t>mental healthcare spaces. Sexuality becomes an object of uncertainty, an aspect of the self</w:t>
      </w:r>
      <w:r w:rsidR="00870768" w:rsidRPr="009F0910">
        <w:rPr>
          <w:rFonts w:cstheme="minorHAnsi"/>
          <w:sz w:val="24"/>
          <w:szCs w:val="24"/>
        </w:rPr>
        <w:t xml:space="preserve"> – positioned </w:t>
      </w:r>
      <w:r w:rsidRPr="009F0910">
        <w:rPr>
          <w:rFonts w:cstheme="minorHAnsi"/>
          <w:sz w:val="24"/>
          <w:szCs w:val="24"/>
        </w:rPr>
        <w:t>in discourses of risk and dange</w:t>
      </w:r>
      <w:r w:rsidR="00870768" w:rsidRPr="009F0910">
        <w:rPr>
          <w:rFonts w:cstheme="minorHAnsi"/>
          <w:sz w:val="24"/>
          <w:szCs w:val="24"/>
        </w:rPr>
        <w:t xml:space="preserve">r – </w:t>
      </w:r>
      <w:r w:rsidRPr="009F0910">
        <w:rPr>
          <w:rFonts w:cstheme="minorHAnsi"/>
          <w:sz w:val="24"/>
          <w:szCs w:val="24"/>
        </w:rPr>
        <w:t xml:space="preserve">that should be forgotten or concealed. Of concern is that former inpatients may carry their transformed, amputated sexualities into the community upon discharge, and thus have difficulties in re-engaging with their sexual selves when there are greater possibilities for forming intimate and romantic relationships, away from secure services. </w:t>
      </w:r>
    </w:p>
    <w:p w14:paraId="4B119EEB" w14:textId="77777777" w:rsidR="007471DB" w:rsidRPr="009F0910" w:rsidRDefault="007471DB" w:rsidP="009F0910">
      <w:pPr>
        <w:spacing w:after="0" w:line="360" w:lineRule="auto"/>
        <w:contextualSpacing/>
        <w:jc w:val="both"/>
        <w:rPr>
          <w:rFonts w:cstheme="minorHAnsi"/>
          <w:b/>
          <w:bCs/>
          <w:iCs/>
          <w:sz w:val="24"/>
          <w:szCs w:val="24"/>
        </w:rPr>
      </w:pPr>
    </w:p>
    <w:p w14:paraId="6AA141C7" w14:textId="2331DDAB" w:rsidR="002839F3" w:rsidRPr="009F0910" w:rsidRDefault="002839F3" w:rsidP="009F0910">
      <w:pPr>
        <w:spacing w:after="0" w:line="360" w:lineRule="auto"/>
        <w:contextualSpacing/>
        <w:jc w:val="both"/>
        <w:rPr>
          <w:rFonts w:cstheme="minorHAnsi"/>
          <w:b/>
          <w:bCs/>
          <w:iCs/>
          <w:sz w:val="24"/>
          <w:szCs w:val="24"/>
        </w:rPr>
      </w:pPr>
      <w:r w:rsidRPr="009F0910">
        <w:rPr>
          <w:rFonts w:cstheme="minorHAnsi"/>
          <w:b/>
          <w:bCs/>
          <w:iCs/>
          <w:sz w:val="24"/>
          <w:szCs w:val="24"/>
        </w:rPr>
        <w:t xml:space="preserve">Staff </w:t>
      </w:r>
      <w:r w:rsidR="00E00E99" w:rsidRPr="009F0910">
        <w:rPr>
          <w:rFonts w:cstheme="minorHAnsi"/>
          <w:b/>
          <w:bCs/>
          <w:iCs/>
          <w:sz w:val="24"/>
          <w:szCs w:val="24"/>
        </w:rPr>
        <w:t xml:space="preserve">attitudes </w:t>
      </w:r>
    </w:p>
    <w:p w14:paraId="74F3489C" w14:textId="77777777" w:rsidR="007471DB" w:rsidRPr="009F0910" w:rsidRDefault="007471DB" w:rsidP="009F0910">
      <w:pPr>
        <w:spacing w:after="0" w:line="360" w:lineRule="auto"/>
        <w:contextualSpacing/>
        <w:jc w:val="both"/>
        <w:rPr>
          <w:rFonts w:cstheme="minorHAnsi"/>
          <w:sz w:val="24"/>
          <w:szCs w:val="24"/>
        </w:rPr>
      </w:pPr>
      <w:bookmarkStart w:id="0" w:name="_Hlk17984840"/>
    </w:p>
    <w:p w14:paraId="418937B6" w14:textId="2D6B79A9" w:rsidR="002839F3" w:rsidRPr="009F0910" w:rsidRDefault="000D3C1F" w:rsidP="009F0910">
      <w:pPr>
        <w:spacing w:after="0" w:line="360" w:lineRule="auto"/>
        <w:contextualSpacing/>
        <w:jc w:val="both"/>
        <w:rPr>
          <w:rFonts w:cstheme="minorHAnsi"/>
          <w:sz w:val="24"/>
          <w:szCs w:val="24"/>
        </w:rPr>
      </w:pPr>
      <w:r w:rsidRPr="009F0910">
        <w:rPr>
          <w:rFonts w:cstheme="minorHAnsi"/>
          <w:sz w:val="24"/>
          <w:szCs w:val="24"/>
        </w:rPr>
        <w:t xml:space="preserve">It has been </w:t>
      </w:r>
      <w:r w:rsidR="0004218F" w:rsidRPr="009F0910">
        <w:rPr>
          <w:rFonts w:cstheme="minorHAnsi"/>
          <w:sz w:val="24"/>
          <w:szCs w:val="24"/>
        </w:rPr>
        <w:t xml:space="preserve">suggested </w:t>
      </w:r>
      <w:r w:rsidRPr="009F0910">
        <w:rPr>
          <w:rFonts w:cstheme="minorHAnsi"/>
          <w:sz w:val="24"/>
          <w:szCs w:val="24"/>
        </w:rPr>
        <w:t xml:space="preserve">that </w:t>
      </w:r>
      <w:r w:rsidR="00F610AE" w:rsidRPr="009F0910">
        <w:rPr>
          <w:rFonts w:cstheme="minorHAnsi"/>
          <w:sz w:val="24"/>
          <w:szCs w:val="24"/>
        </w:rPr>
        <w:t xml:space="preserve">secure mental healthcare </w:t>
      </w:r>
      <w:r w:rsidRPr="009F0910">
        <w:rPr>
          <w:rFonts w:cstheme="minorHAnsi"/>
          <w:sz w:val="24"/>
          <w:szCs w:val="24"/>
        </w:rPr>
        <w:t>services</w:t>
      </w:r>
      <w:r w:rsidR="00770147" w:rsidRPr="009F0910">
        <w:rPr>
          <w:rFonts w:cstheme="minorHAnsi"/>
          <w:sz w:val="24"/>
          <w:szCs w:val="24"/>
        </w:rPr>
        <w:t xml:space="preserve"> in the UK</w:t>
      </w:r>
      <w:r w:rsidRPr="009F0910">
        <w:rPr>
          <w:rFonts w:cstheme="minorHAnsi"/>
          <w:sz w:val="24"/>
          <w:szCs w:val="24"/>
        </w:rPr>
        <w:t xml:space="preserve"> are particularly </w:t>
      </w:r>
      <w:bookmarkEnd w:id="0"/>
      <w:r w:rsidRPr="009F0910">
        <w:rPr>
          <w:rFonts w:cstheme="minorHAnsi"/>
          <w:sz w:val="24"/>
          <w:szCs w:val="24"/>
        </w:rPr>
        <w:t xml:space="preserve">prohibitive when it comes to inpatient sexual expression, compared to services in </w:t>
      </w:r>
      <w:r w:rsidR="00D025AB" w:rsidRPr="009F0910">
        <w:rPr>
          <w:rFonts w:cstheme="minorHAnsi"/>
          <w:sz w:val="24"/>
          <w:szCs w:val="24"/>
        </w:rPr>
        <w:t xml:space="preserve">some </w:t>
      </w:r>
      <w:r w:rsidRPr="009F0910">
        <w:rPr>
          <w:rFonts w:cstheme="minorHAnsi"/>
          <w:sz w:val="24"/>
          <w:szCs w:val="24"/>
        </w:rPr>
        <w:t>other Eu</w:t>
      </w:r>
      <w:r w:rsidR="00A61FF4" w:rsidRPr="009F0910">
        <w:rPr>
          <w:rFonts w:cstheme="minorHAnsi"/>
          <w:sz w:val="24"/>
          <w:szCs w:val="24"/>
        </w:rPr>
        <w:t>ropean countries (</w:t>
      </w:r>
      <w:proofErr w:type="spellStart"/>
      <w:r w:rsidR="00376B29" w:rsidRPr="009F0910">
        <w:rPr>
          <w:rFonts w:cstheme="minorHAnsi"/>
          <w:sz w:val="24"/>
          <w:szCs w:val="24"/>
        </w:rPr>
        <w:t>Tiwana</w:t>
      </w:r>
      <w:proofErr w:type="spellEnd"/>
      <w:r w:rsidR="00376B29" w:rsidRPr="009F0910">
        <w:rPr>
          <w:rFonts w:cstheme="minorHAnsi"/>
          <w:sz w:val="24"/>
          <w:szCs w:val="24"/>
        </w:rPr>
        <w:t xml:space="preserve">, McDonald and </w:t>
      </w:r>
      <w:proofErr w:type="spellStart"/>
      <w:r w:rsidR="00376B29" w:rsidRPr="009F0910">
        <w:rPr>
          <w:rFonts w:cstheme="minorHAnsi"/>
          <w:sz w:val="24"/>
          <w:szCs w:val="24"/>
        </w:rPr>
        <w:t>Völ</w:t>
      </w:r>
      <w:r w:rsidR="006C0670" w:rsidRPr="009F0910">
        <w:rPr>
          <w:rFonts w:cstheme="minorHAnsi"/>
          <w:sz w:val="24"/>
          <w:szCs w:val="24"/>
        </w:rPr>
        <w:t>l</w:t>
      </w:r>
      <w:r w:rsidR="00376B29" w:rsidRPr="009F0910">
        <w:rPr>
          <w:rFonts w:cstheme="minorHAnsi"/>
          <w:sz w:val="24"/>
          <w:szCs w:val="24"/>
        </w:rPr>
        <w:t>m</w:t>
      </w:r>
      <w:proofErr w:type="spellEnd"/>
      <w:r w:rsidR="00376B29" w:rsidRPr="009F0910">
        <w:rPr>
          <w:rFonts w:cstheme="minorHAnsi"/>
          <w:sz w:val="24"/>
          <w:szCs w:val="24"/>
        </w:rPr>
        <w:t xml:space="preserve"> </w:t>
      </w:r>
      <w:r w:rsidRPr="009F0910">
        <w:rPr>
          <w:rFonts w:cstheme="minorHAnsi"/>
          <w:sz w:val="24"/>
          <w:szCs w:val="24"/>
        </w:rPr>
        <w:t xml:space="preserve">2016). </w:t>
      </w:r>
      <w:r w:rsidR="00C705A1" w:rsidRPr="009F0910">
        <w:rPr>
          <w:rFonts w:cstheme="minorHAnsi"/>
          <w:sz w:val="24"/>
          <w:szCs w:val="24"/>
        </w:rPr>
        <w:t xml:space="preserve">In the UK, </w:t>
      </w:r>
      <w:r w:rsidR="002839F3" w:rsidRPr="009F0910">
        <w:rPr>
          <w:rFonts w:cstheme="minorHAnsi"/>
          <w:sz w:val="24"/>
          <w:szCs w:val="24"/>
        </w:rPr>
        <w:t>polic</w:t>
      </w:r>
      <w:r w:rsidR="00C705A1" w:rsidRPr="009F0910">
        <w:rPr>
          <w:rFonts w:cstheme="minorHAnsi"/>
          <w:sz w:val="24"/>
          <w:szCs w:val="24"/>
        </w:rPr>
        <w:t>ies to determine</w:t>
      </w:r>
      <w:r w:rsidR="002839F3" w:rsidRPr="009F0910">
        <w:rPr>
          <w:rFonts w:cstheme="minorHAnsi"/>
          <w:sz w:val="24"/>
          <w:szCs w:val="24"/>
        </w:rPr>
        <w:t xml:space="preserve"> how staff should respond to</w:t>
      </w:r>
      <w:r w:rsidR="00C705A1" w:rsidRPr="009F0910">
        <w:rPr>
          <w:rFonts w:cstheme="minorHAnsi"/>
          <w:sz w:val="24"/>
          <w:szCs w:val="24"/>
        </w:rPr>
        <w:t xml:space="preserve"> inpatient</w:t>
      </w:r>
      <w:r w:rsidR="002839F3" w:rsidRPr="009F0910">
        <w:rPr>
          <w:rFonts w:cstheme="minorHAnsi"/>
          <w:sz w:val="24"/>
          <w:szCs w:val="24"/>
        </w:rPr>
        <w:t xml:space="preserve"> sexual expression </w:t>
      </w:r>
      <w:r w:rsidR="0004218F" w:rsidRPr="009F0910">
        <w:rPr>
          <w:rFonts w:cstheme="minorHAnsi"/>
          <w:sz w:val="24"/>
          <w:szCs w:val="24"/>
        </w:rPr>
        <w:t xml:space="preserve">are </w:t>
      </w:r>
      <w:r w:rsidR="00C705A1" w:rsidRPr="009F0910">
        <w:rPr>
          <w:rFonts w:cstheme="minorHAnsi"/>
          <w:sz w:val="24"/>
          <w:szCs w:val="24"/>
        </w:rPr>
        <w:t>influenc</w:t>
      </w:r>
      <w:r w:rsidR="002839F3" w:rsidRPr="009F0910">
        <w:rPr>
          <w:rFonts w:cstheme="minorHAnsi"/>
          <w:sz w:val="24"/>
          <w:szCs w:val="24"/>
        </w:rPr>
        <w:t xml:space="preserve">ed </w:t>
      </w:r>
      <w:r w:rsidR="00C705A1" w:rsidRPr="009F0910">
        <w:rPr>
          <w:rFonts w:cstheme="minorHAnsi"/>
          <w:sz w:val="24"/>
          <w:szCs w:val="24"/>
        </w:rPr>
        <w:t xml:space="preserve">largely </w:t>
      </w:r>
      <w:r w:rsidR="002839F3" w:rsidRPr="009F0910">
        <w:rPr>
          <w:rFonts w:cstheme="minorHAnsi"/>
          <w:sz w:val="24"/>
          <w:szCs w:val="24"/>
        </w:rPr>
        <w:t xml:space="preserve">by the attitudes and beliefs held by </w:t>
      </w:r>
      <w:r w:rsidR="006C13BB" w:rsidRPr="009F0910">
        <w:rPr>
          <w:rFonts w:cstheme="minorHAnsi"/>
          <w:sz w:val="24"/>
          <w:szCs w:val="24"/>
        </w:rPr>
        <w:t xml:space="preserve">locally-employed </w:t>
      </w:r>
      <w:r w:rsidR="00A61FF4" w:rsidRPr="009F0910">
        <w:rPr>
          <w:rFonts w:cstheme="minorHAnsi"/>
          <w:sz w:val="24"/>
          <w:szCs w:val="24"/>
        </w:rPr>
        <w:t xml:space="preserve">clinicians </w:t>
      </w:r>
      <w:r w:rsidR="006850C1" w:rsidRPr="009F0910">
        <w:rPr>
          <w:rFonts w:cstheme="minorHAnsi"/>
          <w:sz w:val="24"/>
          <w:szCs w:val="24"/>
        </w:rPr>
        <w:t xml:space="preserve">and other staff members </w:t>
      </w:r>
      <w:r w:rsidR="00A61FF4" w:rsidRPr="009F0910">
        <w:rPr>
          <w:rFonts w:cstheme="minorHAnsi"/>
          <w:sz w:val="24"/>
          <w:szCs w:val="24"/>
        </w:rPr>
        <w:t>(</w:t>
      </w:r>
      <w:proofErr w:type="spellStart"/>
      <w:r w:rsidR="006850C1" w:rsidRPr="009F0910">
        <w:rPr>
          <w:rFonts w:cstheme="minorHAnsi"/>
          <w:sz w:val="24"/>
          <w:szCs w:val="24"/>
        </w:rPr>
        <w:t>Dein</w:t>
      </w:r>
      <w:proofErr w:type="spellEnd"/>
      <w:r w:rsidR="006850C1" w:rsidRPr="009F0910">
        <w:rPr>
          <w:rFonts w:cstheme="minorHAnsi"/>
          <w:sz w:val="24"/>
          <w:szCs w:val="24"/>
        </w:rPr>
        <w:t xml:space="preserve"> et al. 2016; </w:t>
      </w:r>
      <w:r w:rsidR="00A61FF4" w:rsidRPr="009F0910">
        <w:rPr>
          <w:rFonts w:cstheme="minorHAnsi"/>
          <w:sz w:val="24"/>
          <w:szCs w:val="24"/>
        </w:rPr>
        <w:t>Mossman</w:t>
      </w:r>
      <w:r w:rsidR="003E26A5" w:rsidRPr="009F0910">
        <w:rPr>
          <w:rFonts w:cstheme="minorHAnsi"/>
          <w:sz w:val="24"/>
          <w:szCs w:val="24"/>
        </w:rPr>
        <w:t>, Perlin and Dorfman</w:t>
      </w:r>
      <w:r w:rsidR="002839F3" w:rsidRPr="009F0910">
        <w:rPr>
          <w:rFonts w:cstheme="minorHAnsi"/>
          <w:sz w:val="24"/>
          <w:szCs w:val="24"/>
        </w:rPr>
        <w:t xml:space="preserve"> 1997). </w:t>
      </w:r>
      <w:r w:rsidR="0004218F" w:rsidRPr="009F0910">
        <w:rPr>
          <w:rFonts w:cstheme="minorHAnsi"/>
          <w:sz w:val="24"/>
          <w:szCs w:val="24"/>
        </w:rPr>
        <w:t xml:space="preserve">Beliefs that people in </w:t>
      </w:r>
      <w:r w:rsidR="00B016F3" w:rsidRPr="009F0910">
        <w:rPr>
          <w:rFonts w:cstheme="minorHAnsi"/>
          <w:sz w:val="24"/>
          <w:szCs w:val="24"/>
        </w:rPr>
        <w:t>secure forensic</w:t>
      </w:r>
      <w:r w:rsidR="0004218F" w:rsidRPr="009F0910">
        <w:rPr>
          <w:rFonts w:cstheme="minorHAnsi"/>
          <w:sz w:val="24"/>
          <w:szCs w:val="24"/>
        </w:rPr>
        <w:t xml:space="preserve"> mental healthcare should have sexual agency may conflict with </w:t>
      </w:r>
      <w:r w:rsidR="00C83BEA" w:rsidRPr="009F0910">
        <w:rPr>
          <w:rFonts w:cstheme="minorHAnsi"/>
          <w:sz w:val="24"/>
          <w:szCs w:val="24"/>
        </w:rPr>
        <w:t xml:space="preserve">beliefs held by some staff </w:t>
      </w:r>
      <w:r w:rsidR="00C83BEA" w:rsidRPr="009F0910">
        <w:rPr>
          <w:rFonts w:cstheme="minorHAnsi"/>
          <w:sz w:val="24"/>
          <w:szCs w:val="24"/>
        </w:rPr>
        <w:lastRenderedPageBreak/>
        <w:t xml:space="preserve">that </w:t>
      </w:r>
      <w:r w:rsidR="00C73C28" w:rsidRPr="009F0910">
        <w:rPr>
          <w:rFonts w:cstheme="minorHAnsi"/>
          <w:sz w:val="24"/>
          <w:szCs w:val="24"/>
        </w:rPr>
        <w:t>inpatients are undeserving of such freedom, given their offending history</w:t>
      </w:r>
      <w:r w:rsidR="00A61FF4" w:rsidRPr="009F0910">
        <w:rPr>
          <w:rFonts w:cstheme="minorHAnsi"/>
          <w:sz w:val="24"/>
          <w:szCs w:val="24"/>
        </w:rPr>
        <w:t xml:space="preserve"> (</w:t>
      </w:r>
      <w:proofErr w:type="spellStart"/>
      <w:r w:rsidR="00A61FF4" w:rsidRPr="009F0910">
        <w:rPr>
          <w:rFonts w:cstheme="minorHAnsi"/>
          <w:sz w:val="24"/>
          <w:szCs w:val="24"/>
        </w:rPr>
        <w:t>Dein</w:t>
      </w:r>
      <w:proofErr w:type="spellEnd"/>
      <w:r w:rsidR="00A61FF4" w:rsidRPr="009F0910">
        <w:rPr>
          <w:rFonts w:cstheme="minorHAnsi"/>
          <w:sz w:val="24"/>
          <w:szCs w:val="24"/>
        </w:rPr>
        <w:t xml:space="preserve"> et al. 2016; </w:t>
      </w:r>
      <w:r w:rsidR="00C83BEA" w:rsidRPr="009F0910">
        <w:rPr>
          <w:rFonts w:cstheme="minorHAnsi"/>
          <w:sz w:val="24"/>
          <w:szCs w:val="24"/>
        </w:rPr>
        <w:t>Ruane and Hayter 2008</w:t>
      </w:r>
      <w:r w:rsidR="0004218F" w:rsidRPr="009F0910">
        <w:rPr>
          <w:rFonts w:cstheme="minorHAnsi"/>
          <w:sz w:val="24"/>
          <w:szCs w:val="24"/>
        </w:rPr>
        <w:t xml:space="preserve">). </w:t>
      </w:r>
      <w:r w:rsidR="00C705A1" w:rsidRPr="009F0910">
        <w:rPr>
          <w:rFonts w:cstheme="minorHAnsi"/>
          <w:sz w:val="24"/>
          <w:szCs w:val="24"/>
        </w:rPr>
        <w:t>R</w:t>
      </w:r>
      <w:r w:rsidR="002839F3" w:rsidRPr="009F0910">
        <w:rPr>
          <w:rFonts w:cstheme="minorHAnsi"/>
          <w:sz w:val="24"/>
          <w:szCs w:val="24"/>
        </w:rPr>
        <w:t xml:space="preserve">egardless of professional background, </w:t>
      </w:r>
      <w:r w:rsidR="00C705A1" w:rsidRPr="009F0910">
        <w:rPr>
          <w:rFonts w:cstheme="minorHAnsi"/>
          <w:sz w:val="24"/>
          <w:szCs w:val="24"/>
        </w:rPr>
        <w:t xml:space="preserve">staff </w:t>
      </w:r>
      <w:r w:rsidR="002839F3" w:rsidRPr="009F0910">
        <w:rPr>
          <w:rFonts w:cstheme="minorHAnsi"/>
          <w:sz w:val="24"/>
          <w:szCs w:val="24"/>
        </w:rPr>
        <w:t xml:space="preserve">tend to be unaware of policies </w:t>
      </w:r>
      <w:r w:rsidR="00AC0531" w:rsidRPr="009F0910">
        <w:rPr>
          <w:rFonts w:cstheme="minorHAnsi"/>
          <w:sz w:val="24"/>
          <w:szCs w:val="24"/>
        </w:rPr>
        <w:t>concerning</w:t>
      </w:r>
      <w:r w:rsidR="00C705A1" w:rsidRPr="009F0910">
        <w:rPr>
          <w:rFonts w:cstheme="minorHAnsi"/>
          <w:sz w:val="24"/>
          <w:szCs w:val="24"/>
        </w:rPr>
        <w:t xml:space="preserve"> the management of</w:t>
      </w:r>
      <w:r w:rsidR="00AC0531" w:rsidRPr="009F0910">
        <w:rPr>
          <w:rFonts w:cstheme="minorHAnsi"/>
          <w:sz w:val="24"/>
          <w:szCs w:val="24"/>
        </w:rPr>
        <w:t xml:space="preserve"> inpatient sexuality,</w:t>
      </w:r>
      <w:r w:rsidR="002839F3" w:rsidRPr="009F0910">
        <w:rPr>
          <w:rFonts w:cstheme="minorHAnsi"/>
          <w:sz w:val="24"/>
          <w:szCs w:val="24"/>
        </w:rPr>
        <w:t xml:space="preserve"> and generally assume tha</w:t>
      </w:r>
      <w:r w:rsidR="00A61FF4" w:rsidRPr="009F0910">
        <w:rPr>
          <w:rFonts w:cstheme="minorHAnsi"/>
          <w:sz w:val="24"/>
          <w:szCs w:val="24"/>
        </w:rPr>
        <w:t xml:space="preserve">t they do not </w:t>
      </w:r>
      <w:r w:rsidR="00D025AB" w:rsidRPr="009F0910">
        <w:rPr>
          <w:rFonts w:cstheme="minorHAnsi"/>
          <w:sz w:val="24"/>
          <w:szCs w:val="24"/>
        </w:rPr>
        <w:t xml:space="preserve">exist </w:t>
      </w:r>
      <w:r w:rsidR="00A61FF4" w:rsidRPr="009F0910">
        <w:rPr>
          <w:rFonts w:cstheme="minorHAnsi"/>
          <w:sz w:val="24"/>
          <w:szCs w:val="24"/>
        </w:rPr>
        <w:t>(</w:t>
      </w:r>
      <w:proofErr w:type="spellStart"/>
      <w:r w:rsidR="00A61FF4" w:rsidRPr="009F0910">
        <w:rPr>
          <w:rFonts w:cstheme="minorHAnsi"/>
          <w:sz w:val="24"/>
          <w:szCs w:val="24"/>
        </w:rPr>
        <w:t>Dein</w:t>
      </w:r>
      <w:proofErr w:type="spellEnd"/>
      <w:r w:rsidR="00A61FF4" w:rsidRPr="009F0910">
        <w:rPr>
          <w:rFonts w:cstheme="minorHAnsi"/>
          <w:sz w:val="24"/>
          <w:szCs w:val="24"/>
        </w:rPr>
        <w:t xml:space="preserve"> et al.</w:t>
      </w:r>
      <w:r w:rsidR="00111BA9" w:rsidRPr="009F0910">
        <w:rPr>
          <w:rFonts w:cstheme="minorHAnsi"/>
          <w:sz w:val="24"/>
          <w:szCs w:val="24"/>
        </w:rPr>
        <w:t xml:space="preserve"> 2016</w:t>
      </w:r>
      <w:r w:rsidR="002839F3" w:rsidRPr="009F0910">
        <w:rPr>
          <w:rFonts w:cstheme="minorHAnsi"/>
          <w:sz w:val="24"/>
          <w:szCs w:val="24"/>
        </w:rPr>
        <w:t xml:space="preserve">). </w:t>
      </w:r>
    </w:p>
    <w:p w14:paraId="7A7D4819" w14:textId="0E03BEAF" w:rsidR="0033444E" w:rsidRPr="009F0910" w:rsidRDefault="00FC1F43" w:rsidP="009F0910">
      <w:pPr>
        <w:spacing w:after="0" w:line="360" w:lineRule="auto"/>
        <w:ind w:firstLine="720"/>
        <w:contextualSpacing/>
        <w:jc w:val="both"/>
        <w:rPr>
          <w:rFonts w:cstheme="minorHAnsi"/>
          <w:sz w:val="24"/>
          <w:szCs w:val="24"/>
        </w:rPr>
      </w:pPr>
      <w:r w:rsidRPr="009F0910">
        <w:rPr>
          <w:rFonts w:cstheme="minorHAnsi"/>
          <w:sz w:val="24"/>
          <w:szCs w:val="24"/>
        </w:rPr>
        <w:t xml:space="preserve">Staff </w:t>
      </w:r>
      <w:r w:rsidR="0033444E" w:rsidRPr="009F0910">
        <w:rPr>
          <w:rFonts w:cstheme="minorHAnsi"/>
          <w:sz w:val="24"/>
          <w:szCs w:val="24"/>
        </w:rPr>
        <w:t>may then tend to view</w:t>
      </w:r>
      <w:r w:rsidR="005D4556" w:rsidRPr="009F0910">
        <w:rPr>
          <w:rFonts w:cstheme="minorHAnsi"/>
          <w:sz w:val="24"/>
          <w:szCs w:val="24"/>
        </w:rPr>
        <w:t xml:space="preserve"> </w:t>
      </w:r>
      <w:r w:rsidR="0033444E" w:rsidRPr="009F0910">
        <w:rPr>
          <w:rFonts w:cstheme="minorHAnsi"/>
          <w:sz w:val="24"/>
          <w:szCs w:val="24"/>
        </w:rPr>
        <w:t xml:space="preserve">expressions of sexuality and desired intimacy </w:t>
      </w:r>
      <w:r w:rsidR="00B8460C" w:rsidRPr="009F0910">
        <w:rPr>
          <w:rFonts w:cstheme="minorHAnsi"/>
          <w:sz w:val="24"/>
          <w:szCs w:val="24"/>
        </w:rPr>
        <w:t xml:space="preserve">by and between inpatients </w:t>
      </w:r>
      <w:r w:rsidR="0033444E" w:rsidRPr="009F0910">
        <w:rPr>
          <w:rFonts w:cstheme="minorHAnsi"/>
          <w:sz w:val="24"/>
          <w:szCs w:val="24"/>
        </w:rPr>
        <w:t xml:space="preserve">as instances of </w:t>
      </w:r>
      <w:r w:rsidR="00640D23" w:rsidRPr="009F0910">
        <w:rPr>
          <w:rFonts w:cstheme="minorHAnsi"/>
          <w:sz w:val="24"/>
          <w:szCs w:val="24"/>
        </w:rPr>
        <w:t>“</w:t>
      </w:r>
      <w:r w:rsidR="00142E7A" w:rsidRPr="009F0910">
        <w:rPr>
          <w:rFonts w:cstheme="minorHAnsi"/>
          <w:sz w:val="24"/>
          <w:szCs w:val="24"/>
        </w:rPr>
        <w:t>organis</w:t>
      </w:r>
      <w:r w:rsidR="0033444E" w:rsidRPr="009F0910">
        <w:rPr>
          <w:rFonts w:cstheme="minorHAnsi"/>
          <w:sz w:val="24"/>
          <w:szCs w:val="24"/>
        </w:rPr>
        <w:t>ational mis</w:t>
      </w:r>
      <w:r w:rsidR="007E245B" w:rsidRPr="009F0910">
        <w:rPr>
          <w:rFonts w:cstheme="minorHAnsi"/>
          <w:sz w:val="24"/>
          <w:szCs w:val="24"/>
        </w:rPr>
        <w:t>behaviour</w:t>
      </w:r>
      <w:r w:rsidR="00640D23" w:rsidRPr="009F0910">
        <w:rPr>
          <w:rFonts w:cstheme="minorHAnsi"/>
          <w:sz w:val="24"/>
          <w:szCs w:val="24"/>
        </w:rPr>
        <w:t>”</w:t>
      </w:r>
      <w:r w:rsidR="00A61FF4" w:rsidRPr="009F0910">
        <w:rPr>
          <w:rFonts w:cstheme="minorHAnsi"/>
          <w:sz w:val="24"/>
          <w:szCs w:val="24"/>
        </w:rPr>
        <w:t>. Organis</w:t>
      </w:r>
      <w:r w:rsidR="0033444E" w:rsidRPr="009F0910">
        <w:rPr>
          <w:rFonts w:cstheme="minorHAnsi"/>
          <w:sz w:val="24"/>
          <w:szCs w:val="24"/>
        </w:rPr>
        <w:t>ational mis</w:t>
      </w:r>
      <w:r w:rsidR="007E245B" w:rsidRPr="009F0910">
        <w:rPr>
          <w:rFonts w:cstheme="minorHAnsi"/>
          <w:sz w:val="24"/>
          <w:szCs w:val="24"/>
        </w:rPr>
        <w:t>behaviour</w:t>
      </w:r>
      <w:r w:rsidR="0033444E" w:rsidRPr="009F0910">
        <w:rPr>
          <w:rFonts w:cstheme="minorHAnsi"/>
          <w:sz w:val="24"/>
          <w:szCs w:val="24"/>
        </w:rPr>
        <w:t xml:space="preserve"> </w:t>
      </w:r>
      <w:r w:rsidR="00322A98" w:rsidRPr="009F0910">
        <w:rPr>
          <w:rFonts w:cstheme="minorHAnsi"/>
          <w:sz w:val="24"/>
          <w:szCs w:val="24"/>
        </w:rPr>
        <w:t xml:space="preserve">is a term developed by </w:t>
      </w:r>
      <w:proofErr w:type="spellStart"/>
      <w:r w:rsidR="00322A98" w:rsidRPr="009F0910">
        <w:rPr>
          <w:rFonts w:cstheme="minorHAnsi"/>
          <w:sz w:val="24"/>
          <w:szCs w:val="24"/>
        </w:rPr>
        <w:t>Vardi</w:t>
      </w:r>
      <w:proofErr w:type="spellEnd"/>
      <w:r w:rsidR="00322A98" w:rsidRPr="009F0910">
        <w:rPr>
          <w:rFonts w:cstheme="minorHAnsi"/>
          <w:sz w:val="24"/>
          <w:szCs w:val="24"/>
        </w:rPr>
        <w:t xml:space="preserve"> and</w:t>
      </w:r>
      <w:r w:rsidR="0033444E" w:rsidRPr="009F0910">
        <w:rPr>
          <w:rFonts w:cstheme="minorHAnsi"/>
          <w:sz w:val="24"/>
          <w:szCs w:val="24"/>
        </w:rPr>
        <w:t xml:space="preserve"> Weiner (1996) to refer to actions that </w:t>
      </w:r>
      <w:r w:rsidR="00BD3650" w:rsidRPr="009F0910">
        <w:rPr>
          <w:rFonts w:cstheme="minorHAnsi"/>
          <w:sz w:val="24"/>
          <w:szCs w:val="24"/>
        </w:rPr>
        <w:t xml:space="preserve">although not illegal, </w:t>
      </w:r>
      <w:r w:rsidR="0033444E" w:rsidRPr="009F0910">
        <w:rPr>
          <w:rFonts w:cstheme="minorHAnsi"/>
          <w:sz w:val="24"/>
          <w:szCs w:val="24"/>
        </w:rPr>
        <w:t xml:space="preserve">are perceived to violate </w:t>
      </w:r>
      <w:r w:rsidR="00BD3650" w:rsidRPr="009F0910">
        <w:rPr>
          <w:rFonts w:cstheme="minorHAnsi"/>
          <w:sz w:val="24"/>
          <w:szCs w:val="24"/>
        </w:rPr>
        <w:t xml:space="preserve">the </w:t>
      </w:r>
      <w:r w:rsidR="0033444E" w:rsidRPr="009F0910">
        <w:rPr>
          <w:rFonts w:cstheme="minorHAnsi"/>
          <w:sz w:val="24"/>
          <w:szCs w:val="24"/>
        </w:rPr>
        <w:t xml:space="preserve">norms and codes of conduct of an </w:t>
      </w:r>
      <w:r w:rsidR="00142E7A" w:rsidRPr="009F0910">
        <w:rPr>
          <w:rFonts w:cstheme="minorHAnsi"/>
          <w:sz w:val="24"/>
          <w:szCs w:val="24"/>
        </w:rPr>
        <w:t>organis</w:t>
      </w:r>
      <w:r w:rsidR="0033444E" w:rsidRPr="009F0910">
        <w:rPr>
          <w:rFonts w:cstheme="minorHAnsi"/>
          <w:sz w:val="24"/>
          <w:szCs w:val="24"/>
        </w:rPr>
        <w:t>ation</w:t>
      </w:r>
      <w:r w:rsidR="00BD3650" w:rsidRPr="009F0910">
        <w:rPr>
          <w:rFonts w:cstheme="minorHAnsi"/>
          <w:sz w:val="24"/>
          <w:szCs w:val="24"/>
        </w:rPr>
        <w:t xml:space="preserve">. </w:t>
      </w:r>
      <w:r w:rsidR="0033444E" w:rsidRPr="009F0910">
        <w:rPr>
          <w:rFonts w:cstheme="minorHAnsi"/>
          <w:sz w:val="24"/>
          <w:szCs w:val="24"/>
        </w:rPr>
        <w:t>In principle,</w:t>
      </w:r>
      <w:r w:rsidR="00925172" w:rsidRPr="009F0910">
        <w:rPr>
          <w:rFonts w:cstheme="minorHAnsi"/>
          <w:sz w:val="24"/>
          <w:szCs w:val="24"/>
        </w:rPr>
        <w:t xml:space="preserve"> acts of </w:t>
      </w:r>
      <w:r w:rsidR="00A61FF4" w:rsidRPr="009F0910">
        <w:rPr>
          <w:rFonts w:cstheme="minorHAnsi"/>
          <w:sz w:val="24"/>
          <w:szCs w:val="24"/>
        </w:rPr>
        <w:t>organisational misbehaviour</w:t>
      </w:r>
      <w:r w:rsidR="00925172" w:rsidRPr="009F0910">
        <w:rPr>
          <w:rFonts w:cstheme="minorHAnsi"/>
          <w:sz w:val="24"/>
          <w:szCs w:val="24"/>
        </w:rPr>
        <w:t xml:space="preserve"> </w:t>
      </w:r>
      <w:r w:rsidR="0033444E" w:rsidRPr="009F0910">
        <w:rPr>
          <w:rFonts w:cstheme="minorHAnsi"/>
          <w:sz w:val="24"/>
          <w:szCs w:val="24"/>
        </w:rPr>
        <w:t xml:space="preserve">are </w:t>
      </w:r>
      <w:r w:rsidR="00925172" w:rsidRPr="009F0910">
        <w:rPr>
          <w:rFonts w:cstheme="minorHAnsi"/>
          <w:sz w:val="24"/>
          <w:szCs w:val="24"/>
        </w:rPr>
        <w:t>neither intrinsically good nor</w:t>
      </w:r>
      <w:r w:rsidR="0033444E" w:rsidRPr="009F0910">
        <w:rPr>
          <w:rFonts w:cstheme="minorHAnsi"/>
          <w:sz w:val="24"/>
          <w:szCs w:val="24"/>
        </w:rPr>
        <w:t xml:space="preserve"> bad since their evaluation depends on the legitimacy of the norms and codes in question</w:t>
      </w:r>
      <w:r w:rsidR="00925172" w:rsidRPr="009F0910">
        <w:rPr>
          <w:rFonts w:cstheme="minorHAnsi"/>
          <w:sz w:val="24"/>
          <w:szCs w:val="24"/>
        </w:rPr>
        <w:t xml:space="preserve">. </w:t>
      </w:r>
      <w:r w:rsidR="005D4556" w:rsidRPr="009F0910">
        <w:rPr>
          <w:rFonts w:cstheme="minorHAnsi"/>
          <w:sz w:val="24"/>
          <w:szCs w:val="24"/>
        </w:rPr>
        <w:t>Whereas</w:t>
      </w:r>
      <w:r w:rsidR="00925172" w:rsidRPr="009F0910">
        <w:rPr>
          <w:rFonts w:cstheme="minorHAnsi"/>
          <w:sz w:val="24"/>
          <w:szCs w:val="24"/>
        </w:rPr>
        <w:t xml:space="preserve"> some instances of </w:t>
      </w:r>
      <w:r w:rsidR="00142E7A" w:rsidRPr="009F0910">
        <w:rPr>
          <w:rFonts w:cstheme="minorHAnsi"/>
          <w:sz w:val="24"/>
          <w:szCs w:val="24"/>
        </w:rPr>
        <w:t>organis</w:t>
      </w:r>
      <w:r w:rsidR="00A61FF4" w:rsidRPr="009F0910">
        <w:rPr>
          <w:rFonts w:cstheme="minorHAnsi"/>
          <w:sz w:val="24"/>
          <w:szCs w:val="24"/>
        </w:rPr>
        <w:t>ational misbehaviour</w:t>
      </w:r>
      <w:r w:rsidR="00925172" w:rsidRPr="009F0910">
        <w:rPr>
          <w:rFonts w:cstheme="minorHAnsi"/>
          <w:sz w:val="24"/>
          <w:szCs w:val="24"/>
        </w:rPr>
        <w:t xml:space="preserve"> may be deliberately damaging to the </w:t>
      </w:r>
      <w:r w:rsidR="00142E7A" w:rsidRPr="009F0910">
        <w:rPr>
          <w:rFonts w:cstheme="minorHAnsi"/>
          <w:sz w:val="24"/>
          <w:szCs w:val="24"/>
        </w:rPr>
        <w:t>organis</w:t>
      </w:r>
      <w:r w:rsidR="00925172" w:rsidRPr="009F0910">
        <w:rPr>
          <w:rFonts w:cstheme="minorHAnsi"/>
          <w:sz w:val="24"/>
          <w:szCs w:val="24"/>
        </w:rPr>
        <w:t xml:space="preserve">ation, they can also </w:t>
      </w:r>
      <w:r w:rsidR="005D4556" w:rsidRPr="009F0910">
        <w:rPr>
          <w:rFonts w:cstheme="minorHAnsi"/>
          <w:sz w:val="24"/>
          <w:szCs w:val="24"/>
        </w:rPr>
        <w:t xml:space="preserve">be </w:t>
      </w:r>
      <w:r w:rsidR="00925172" w:rsidRPr="009F0910">
        <w:rPr>
          <w:rFonts w:cstheme="minorHAnsi"/>
          <w:sz w:val="24"/>
          <w:szCs w:val="24"/>
        </w:rPr>
        <w:t>attempt</w:t>
      </w:r>
      <w:r w:rsidR="005D4556" w:rsidRPr="009F0910">
        <w:rPr>
          <w:rFonts w:cstheme="minorHAnsi"/>
          <w:sz w:val="24"/>
          <w:szCs w:val="24"/>
        </w:rPr>
        <w:t>s</w:t>
      </w:r>
      <w:r w:rsidR="00925172" w:rsidRPr="009F0910">
        <w:rPr>
          <w:rFonts w:cstheme="minorHAnsi"/>
          <w:sz w:val="24"/>
          <w:szCs w:val="24"/>
        </w:rPr>
        <w:t xml:space="preserve"> to preserve individual autonomy in the face of inflexible norms</w:t>
      </w:r>
      <w:r w:rsidR="00640D23" w:rsidRPr="009F0910">
        <w:rPr>
          <w:rFonts w:cstheme="minorHAnsi"/>
          <w:sz w:val="24"/>
          <w:szCs w:val="24"/>
        </w:rPr>
        <w:t>,</w:t>
      </w:r>
      <w:r w:rsidR="00925172" w:rsidRPr="009F0910">
        <w:rPr>
          <w:rFonts w:cstheme="minorHAnsi"/>
          <w:sz w:val="24"/>
          <w:szCs w:val="24"/>
        </w:rPr>
        <w:t xml:space="preserve"> or systematic resistance to inequitable power relations (Ackroyd </w:t>
      </w:r>
      <w:r w:rsidR="00A61FF4" w:rsidRPr="009F0910">
        <w:rPr>
          <w:rFonts w:cstheme="minorHAnsi"/>
          <w:sz w:val="24"/>
          <w:szCs w:val="24"/>
        </w:rPr>
        <w:t>and Thompson</w:t>
      </w:r>
      <w:r w:rsidR="00925172" w:rsidRPr="009F0910">
        <w:rPr>
          <w:rFonts w:cstheme="minorHAnsi"/>
          <w:sz w:val="24"/>
          <w:szCs w:val="24"/>
        </w:rPr>
        <w:t xml:space="preserve"> 1999). </w:t>
      </w:r>
      <w:r w:rsidR="00142E7A" w:rsidRPr="009F0910">
        <w:rPr>
          <w:rFonts w:cstheme="minorHAnsi"/>
          <w:sz w:val="24"/>
          <w:szCs w:val="24"/>
        </w:rPr>
        <w:t>Organis</w:t>
      </w:r>
      <w:r w:rsidR="00A61FF4" w:rsidRPr="009F0910">
        <w:rPr>
          <w:rFonts w:cstheme="minorHAnsi"/>
          <w:sz w:val="24"/>
          <w:szCs w:val="24"/>
        </w:rPr>
        <w:t>ational misbehaviour</w:t>
      </w:r>
      <w:r w:rsidR="00925172" w:rsidRPr="009F0910">
        <w:rPr>
          <w:rFonts w:cstheme="minorHAnsi"/>
          <w:sz w:val="24"/>
          <w:szCs w:val="24"/>
        </w:rPr>
        <w:t xml:space="preserve"> has been seen to be particularly acute in settings where </w:t>
      </w:r>
      <w:r w:rsidR="00096A41" w:rsidRPr="009F0910">
        <w:rPr>
          <w:rFonts w:cstheme="minorHAnsi"/>
          <w:sz w:val="24"/>
          <w:szCs w:val="24"/>
        </w:rPr>
        <w:t xml:space="preserve">tight </w:t>
      </w:r>
      <w:r w:rsidR="00925172" w:rsidRPr="009F0910">
        <w:rPr>
          <w:rFonts w:cstheme="minorHAnsi"/>
          <w:sz w:val="24"/>
          <w:szCs w:val="24"/>
        </w:rPr>
        <w:t xml:space="preserve">control is exerted over sexuality and identity (Fleming </w:t>
      </w:r>
      <w:r w:rsidR="00A61FF4" w:rsidRPr="009F0910">
        <w:rPr>
          <w:rFonts w:cstheme="minorHAnsi"/>
          <w:sz w:val="24"/>
          <w:szCs w:val="24"/>
        </w:rPr>
        <w:t>and Spicer</w:t>
      </w:r>
      <w:r w:rsidR="00925172" w:rsidRPr="009F0910">
        <w:rPr>
          <w:rFonts w:cstheme="minorHAnsi"/>
          <w:sz w:val="24"/>
          <w:szCs w:val="24"/>
        </w:rPr>
        <w:t xml:space="preserve"> 2007)</w:t>
      </w:r>
      <w:r w:rsidR="00096A41" w:rsidRPr="009F0910">
        <w:rPr>
          <w:rFonts w:cstheme="minorHAnsi"/>
          <w:sz w:val="24"/>
          <w:szCs w:val="24"/>
        </w:rPr>
        <w:t xml:space="preserve">. </w:t>
      </w:r>
    </w:p>
    <w:p w14:paraId="04D0CB20" w14:textId="77777777" w:rsidR="007471DB" w:rsidRPr="009F0910" w:rsidRDefault="007471DB" w:rsidP="009F0910">
      <w:pPr>
        <w:spacing w:after="0" w:line="360" w:lineRule="auto"/>
        <w:contextualSpacing/>
        <w:jc w:val="both"/>
        <w:rPr>
          <w:rFonts w:cstheme="minorHAnsi"/>
          <w:b/>
          <w:sz w:val="24"/>
          <w:szCs w:val="24"/>
        </w:rPr>
      </w:pPr>
    </w:p>
    <w:p w14:paraId="17C77FDF" w14:textId="343588E0" w:rsidR="00B10C24" w:rsidRPr="009F0910" w:rsidRDefault="00B10C24" w:rsidP="009F0910">
      <w:pPr>
        <w:spacing w:after="0" w:line="360" w:lineRule="auto"/>
        <w:contextualSpacing/>
        <w:jc w:val="both"/>
        <w:rPr>
          <w:rFonts w:cstheme="minorHAnsi"/>
          <w:b/>
          <w:sz w:val="24"/>
          <w:szCs w:val="24"/>
        </w:rPr>
      </w:pPr>
      <w:r w:rsidRPr="009F0910">
        <w:rPr>
          <w:rFonts w:cstheme="minorHAnsi"/>
          <w:b/>
          <w:sz w:val="24"/>
          <w:szCs w:val="24"/>
        </w:rPr>
        <w:t xml:space="preserve">The present study </w:t>
      </w:r>
    </w:p>
    <w:p w14:paraId="6D0E51DD" w14:textId="77777777" w:rsidR="007471DB" w:rsidRPr="009F0910" w:rsidRDefault="007471DB" w:rsidP="009F0910">
      <w:pPr>
        <w:spacing w:after="0" w:line="360" w:lineRule="auto"/>
        <w:contextualSpacing/>
        <w:jc w:val="both"/>
        <w:rPr>
          <w:rFonts w:cstheme="minorHAnsi"/>
          <w:sz w:val="24"/>
          <w:szCs w:val="24"/>
        </w:rPr>
      </w:pPr>
    </w:p>
    <w:p w14:paraId="19E44FA3" w14:textId="3FA2AF8B" w:rsidR="002839F3" w:rsidRPr="009F0910" w:rsidRDefault="00E01BA2" w:rsidP="009F0910">
      <w:pPr>
        <w:spacing w:after="0" w:line="360" w:lineRule="auto"/>
        <w:contextualSpacing/>
        <w:jc w:val="both"/>
        <w:rPr>
          <w:rFonts w:cstheme="minorHAnsi"/>
          <w:b/>
          <w:sz w:val="24"/>
          <w:szCs w:val="24"/>
        </w:rPr>
      </w:pPr>
      <w:r w:rsidRPr="009F0910">
        <w:rPr>
          <w:rFonts w:cstheme="minorHAnsi"/>
          <w:sz w:val="24"/>
          <w:szCs w:val="24"/>
        </w:rPr>
        <w:t xml:space="preserve">The literature on sexuality </w:t>
      </w:r>
      <w:r w:rsidR="0018415E" w:rsidRPr="009F0910">
        <w:rPr>
          <w:rFonts w:cstheme="minorHAnsi"/>
          <w:sz w:val="24"/>
          <w:szCs w:val="24"/>
        </w:rPr>
        <w:t xml:space="preserve">in </w:t>
      </w:r>
      <w:r w:rsidR="00221D37" w:rsidRPr="009F0910">
        <w:rPr>
          <w:rFonts w:cstheme="minorHAnsi"/>
          <w:sz w:val="24"/>
          <w:szCs w:val="24"/>
        </w:rPr>
        <w:t>secure</w:t>
      </w:r>
      <w:r w:rsidRPr="009F0910">
        <w:rPr>
          <w:rFonts w:cstheme="minorHAnsi"/>
          <w:sz w:val="24"/>
          <w:szCs w:val="24"/>
        </w:rPr>
        <w:t xml:space="preserve"> mental healthcare is limited and</w:t>
      </w:r>
      <w:r w:rsidR="00D025AB" w:rsidRPr="009F0910">
        <w:rPr>
          <w:rFonts w:cstheme="minorHAnsi"/>
          <w:sz w:val="24"/>
          <w:szCs w:val="24"/>
        </w:rPr>
        <w:t>,</w:t>
      </w:r>
      <w:r w:rsidRPr="009F0910">
        <w:rPr>
          <w:rFonts w:cstheme="minorHAnsi"/>
          <w:sz w:val="24"/>
          <w:szCs w:val="24"/>
        </w:rPr>
        <w:t xml:space="preserve"> </w:t>
      </w:r>
      <w:r w:rsidR="00D842C9" w:rsidRPr="009F0910">
        <w:rPr>
          <w:rFonts w:cstheme="minorHAnsi"/>
          <w:sz w:val="24"/>
          <w:szCs w:val="24"/>
        </w:rPr>
        <w:t>consequently</w:t>
      </w:r>
      <w:r w:rsidRPr="009F0910">
        <w:rPr>
          <w:rFonts w:cstheme="minorHAnsi"/>
          <w:sz w:val="24"/>
          <w:szCs w:val="24"/>
        </w:rPr>
        <w:t xml:space="preserve">, there is little </w:t>
      </w:r>
      <w:r w:rsidR="0018415E" w:rsidRPr="009F0910">
        <w:rPr>
          <w:rFonts w:cstheme="minorHAnsi"/>
          <w:sz w:val="24"/>
          <w:szCs w:val="24"/>
        </w:rPr>
        <w:t xml:space="preserve">data </w:t>
      </w:r>
      <w:r w:rsidRPr="009F0910">
        <w:rPr>
          <w:rFonts w:cstheme="minorHAnsi"/>
          <w:sz w:val="24"/>
          <w:szCs w:val="24"/>
        </w:rPr>
        <w:t xml:space="preserve">to inform approaches to managing inpatient sexual expression. </w:t>
      </w:r>
      <w:r w:rsidR="00387E13" w:rsidRPr="009F0910">
        <w:rPr>
          <w:rFonts w:cstheme="minorHAnsi"/>
          <w:sz w:val="24"/>
          <w:szCs w:val="24"/>
        </w:rPr>
        <w:t xml:space="preserve">The aim of the present study </w:t>
      </w:r>
      <w:r w:rsidR="00D025AB" w:rsidRPr="009F0910">
        <w:rPr>
          <w:rFonts w:cstheme="minorHAnsi"/>
          <w:sz w:val="24"/>
          <w:szCs w:val="24"/>
        </w:rPr>
        <w:t>was</w:t>
      </w:r>
      <w:r w:rsidR="00387E13" w:rsidRPr="009F0910">
        <w:rPr>
          <w:rFonts w:cstheme="minorHAnsi"/>
          <w:sz w:val="24"/>
          <w:szCs w:val="24"/>
        </w:rPr>
        <w:t xml:space="preserve"> </w:t>
      </w:r>
      <w:r w:rsidR="00045A8F" w:rsidRPr="009F0910">
        <w:rPr>
          <w:rFonts w:cstheme="minorHAnsi"/>
          <w:sz w:val="24"/>
          <w:szCs w:val="24"/>
        </w:rPr>
        <w:t>to examine</w:t>
      </w:r>
      <w:r w:rsidR="002839F3" w:rsidRPr="009F0910">
        <w:rPr>
          <w:rFonts w:cstheme="minorHAnsi"/>
          <w:sz w:val="24"/>
          <w:szCs w:val="24"/>
        </w:rPr>
        <w:t xml:space="preserve"> </w:t>
      </w:r>
      <w:r w:rsidR="00E57827" w:rsidRPr="009F0910">
        <w:rPr>
          <w:rFonts w:cstheme="minorHAnsi"/>
          <w:sz w:val="24"/>
          <w:szCs w:val="24"/>
        </w:rPr>
        <w:t xml:space="preserve">discursive constructions </w:t>
      </w:r>
      <w:r w:rsidRPr="009F0910">
        <w:rPr>
          <w:rFonts w:cstheme="minorHAnsi"/>
          <w:sz w:val="24"/>
          <w:szCs w:val="24"/>
        </w:rPr>
        <w:t>of</w:t>
      </w:r>
      <w:r w:rsidR="00075929" w:rsidRPr="009F0910">
        <w:rPr>
          <w:rFonts w:cstheme="minorHAnsi"/>
          <w:sz w:val="24"/>
          <w:szCs w:val="24"/>
        </w:rPr>
        <w:t xml:space="preserve"> </w:t>
      </w:r>
      <w:r w:rsidR="00221D37" w:rsidRPr="009F0910">
        <w:rPr>
          <w:rFonts w:cstheme="minorHAnsi"/>
          <w:sz w:val="24"/>
          <w:szCs w:val="24"/>
        </w:rPr>
        <w:t>secure</w:t>
      </w:r>
      <w:r w:rsidRPr="009F0910">
        <w:rPr>
          <w:rFonts w:cstheme="minorHAnsi"/>
          <w:sz w:val="24"/>
          <w:szCs w:val="24"/>
        </w:rPr>
        <w:t xml:space="preserve"> mental healthcare inpatient sexuality</w:t>
      </w:r>
      <w:r w:rsidR="00A80439" w:rsidRPr="009F0910">
        <w:rPr>
          <w:rFonts w:cstheme="minorHAnsi"/>
          <w:sz w:val="24"/>
          <w:szCs w:val="24"/>
        </w:rPr>
        <w:t xml:space="preserve">, as produced </w:t>
      </w:r>
      <w:r w:rsidR="00387E13" w:rsidRPr="009F0910">
        <w:rPr>
          <w:rFonts w:cstheme="minorHAnsi"/>
          <w:sz w:val="24"/>
          <w:szCs w:val="24"/>
        </w:rPr>
        <w:t>by</w:t>
      </w:r>
      <w:r w:rsidR="00A80439" w:rsidRPr="009F0910">
        <w:rPr>
          <w:rFonts w:cstheme="minorHAnsi"/>
          <w:sz w:val="24"/>
          <w:szCs w:val="24"/>
        </w:rPr>
        <w:t xml:space="preserve"> inpatients and staff at one secure </w:t>
      </w:r>
      <w:r w:rsidR="00221D37" w:rsidRPr="009F0910">
        <w:rPr>
          <w:rFonts w:cstheme="minorHAnsi"/>
          <w:sz w:val="24"/>
          <w:szCs w:val="24"/>
        </w:rPr>
        <w:t>facility</w:t>
      </w:r>
      <w:r w:rsidR="00A80439" w:rsidRPr="009F0910">
        <w:rPr>
          <w:rFonts w:cstheme="minorHAnsi"/>
          <w:sz w:val="24"/>
          <w:szCs w:val="24"/>
        </w:rPr>
        <w:t xml:space="preserve"> in England</w:t>
      </w:r>
      <w:r w:rsidR="00E57827" w:rsidRPr="009F0910">
        <w:rPr>
          <w:rFonts w:cstheme="minorHAnsi"/>
          <w:sz w:val="24"/>
          <w:szCs w:val="24"/>
        </w:rPr>
        <w:t xml:space="preserve">. The study </w:t>
      </w:r>
      <w:r w:rsidR="00D025AB" w:rsidRPr="009F0910">
        <w:rPr>
          <w:rFonts w:cstheme="minorHAnsi"/>
          <w:sz w:val="24"/>
          <w:szCs w:val="24"/>
        </w:rPr>
        <w:t>took</w:t>
      </w:r>
      <w:r w:rsidR="00E57827" w:rsidRPr="009F0910">
        <w:rPr>
          <w:rFonts w:cstheme="minorHAnsi"/>
          <w:sz w:val="24"/>
          <w:szCs w:val="24"/>
        </w:rPr>
        <w:t xml:space="preserve"> a discourse analytic approach, i</w:t>
      </w:r>
      <w:r w:rsidR="00075929" w:rsidRPr="009F0910">
        <w:rPr>
          <w:rFonts w:cstheme="minorHAnsi"/>
          <w:sz w:val="24"/>
          <w:szCs w:val="24"/>
        </w:rPr>
        <w:t>n</w:t>
      </w:r>
      <w:r w:rsidR="00E57827" w:rsidRPr="009F0910">
        <w:rPr>
          <w:rFonts w:cstheme="minorHAnsi"/>
          <w:sz w:val="24"/>
          <w:szCs w:val="24"/>
        </w:rPr>
        <w:t xml:space="preserve">fluenced by Positioning Theory (Davies </w:t>
      </w:r>
      <w:r w:rsidR="00A61FF4" w:rsidRPr="009F0910">
        <w:rPr>
          <w:rFonts w:cstheme="minorHAnsi"/>
          <w:sz w:val="24"/>
          <w:szCs w:val="24"/>
        </w:rPr>
        <w:t>and</w:t>
      </w:r>
      <w:r w:rsidR="00E57827" w:rsidRPr="009F0910">
        <w:rPr>
          <w:rFonts w:cstheme="minorHAnsi"/>
          <w:sz w:val="24"/>
          <w:szCs w:val="24"/>
        </w:rPr>
        <w:t xml:space="preserve"> </w:t>
      </w:r>
      <w:proofErr w:type="spellStart"/>
      <w:r w:rsidR="00E57827" w:rsidRPr="009F0910">
        <w:rPr>
          <w:rFonts w:cstheme="minorHAnsi"/>
          <w:sz w:val="24"/>
          <w:szCs w:val="24"/>
        </w:rPr>
        <w:t>Harré</w:t>
      </w:r>
      <w:proofErr w:type="spellEnd"/>
      <w:r w:rsidR="00E57827" w:rsidRPr="009F0910">
        <w:rPr>
          <w:rFonts w:cstheme="minorHAnsi"/>
          <w:sz w:val="24"/>
          <w:szCs w:val="24"/>
        </w:rPr>
        <w:t xml:space="preserve"> 1990</w:t>
      </w:r>
      <w:r w:rsidR="00EF3A93" w:rsidRPr="009F0910">
        <w:rPr>
          <w:rFonts w:cstheme="minorHAnsi"/>
          <w:sz w:val="24"/>
          <w:szCs w:val="24"/>
        </w:rPr>
        <w:t xml:space="preserve">), to identify how subject </w:t>
      </w:r>
      <w:r w:rsidR="00E57827" w:rsidRPr="009F0910">
        <w:rPr>
          <w:rFonts w:cstheme="minorHAnsi"/>
          <w:sz w:val="24"/>
          <w:szCs w:val="24"/>
        </w:rPr>
        <w:t xml:space="preserve">positioning </w:t>
      </w:r>
      <w:r w:rsidR="00EF3A93" w:rsidRPr="009F0910">
        <w:rPr>
          <w:rFonts w:cstheme="minorHAnsi"/>
          <w:sz w:val="24"/>
          <w:szCs w:val="24"/>
        </w:rPr>
        <w:t>in relation to discourses of inpatient sexuality may constrain and / or facilitate</w:t>
      </w:r>
      <w:r w:rsidR="00045A8F" w:rsidRPr="009F0910">
        <w:rPr>
          <w:rFonts w:cstheme="minorHAnsi"/>
          <w:sz w:val="24"/>
          <w:szCs w:val="24"/>
        </w:rPr>
        <w:t xml:space="preserve"> the possibility and legitimacy of inpatient sexual expression. </w:t>
      </w:r>
    </w:p>
    <w:p w14:paraId="725103BF" w14:textId="77777777" w:rsidR="007471DB" w:rsidRPr="009F0910" w:rsidRDefault="007471DB" w:rsidP="009F0910">
      <w:pPr>
        <w:spacing w:after="0" w:line="360" w:lineRule="auto"/>
        <w:contextualSpacing/>
        <w:jc w:val="both"/>
        <w:rPr>
          <w:rFonts w:cstheme="minorHAnsi"/>
          <w:b/>
          <w:sz w:val="24"/>
          <w:szCs w:val="24"/>
        </w:rPr>
      </w:pPr>
    </w:p>
    <w:p w14:paraId="10D85719" w14:textId="5F354D3F" w:rsidR="009D73EB" w:rsidRPr="009F0910" w:rsidRDefault="00DA2685" w:rsidP="009F0910">
      <w:pPr>
        <w:spacing w:after="0" w:line="360" w:lineRule="auto"/>
        <w:contextualSpacing/>
        <w:jc w:val="both"/>
        <w:rPr>
          <w:rFonts w:cstheme="minorHAnsi"/>
          <w:b/>
          <w:sz w:val="24"/>
          <w:szCs w:val="24"/>
        </w:rPr>
      </w:pPr>
      <w:r w:rsidRPr="009F0910">
        <w:rPr>
          <w:rFonts w:cstheme="minorHAnsi"/>
          <w:b/>
          <w:sz w:val="24"/>
          <w:szCs w:val="24"/>
        </w:rPr>
        <w:t>Method</w:t>
      </w:r>
      <w:r w:rsidR="00D025AB" w:rsidRPr="009F0910">
        <w:rPr>
          <w:rFonts w:cstheme="minorHAnsi"/>
          <w:b/>
          <w:sz w:val="24"/>
          <w:szCs w:val="24"/>
        </w:rPr>
        <w:t>s</w:t>
      </w:r>
    </w:p>
    <w:p w14:paraId="72A64815" w14:textId="77777777" w:rsidR="007471DB" w:rsidRPr="009F0910" w:rsidRDefault="007471DB" w:rsidP="009F0910">
      <w:pPr>
        <w:spacing w:after="0" w:line="360" w:lineRule="auto"/>
        <w:contextualSpacing/>
        <w:jc w:val="both"/>
        <w:rPr>
          <w:rFonts w:cstheme="minorHAnsi"/>
          <w:b/>
          <w:sz w:val="24"/>
          <w:szCs w:val="24"/>
        </w:rPr>
      </w:pPr>
    </w:p>
    <w:p w14:paraId="56921832" w14:textId="2909A907" w:rsidR="00DA2685" w:rsidRPr="009F0910" w:rsidRDefault="00DA2685" w:rsidP="009F0910">
      <w:pPr>
        <w:spacing w:after="0" w:line="360" w:lineRule="auto"/>
        <w:contextualSpacing/>
        <w:jc w:val="both"/>
        <w:rPr>
          <w:rFonts w:cstheme="minorHAnsi"/>
          <w:b/>
          <w:i/>
          <w:iCs/>
          <w:sz w:val="24"/>
          <w:szCs w:val="24"/>
        </w:rPr>
      </w:pPr>
      <w:r w:rsidRPr="009F0910">
        <w:rPr>
          <w:rFonts w:cstheme="minorHAnsi"/>
          <w:b/>
          <w:i/>
          <w:iCs/>
          <w:sz w:val="24"/>
          <w:szCs w:val="24"/>
        </w:rPr>
        <w:t>Data collection</w:t>
      </w:r>
    </w:p>
    <w:p w14:paraId="5410E3C7" w14:textId="77777777" w:rsidR="007471DB" w:rsidRPr="009F0910" w:rsidRDefault="007471DB" w:rsidP="009F0910">
      <w:pPr>
        <w:spacing w:after="0" w:line="360" w:lineRule="auto"/>
        <w:contextualSpacing/>
        <w:jc w:val="both"/>
        <w:rPr>
          <w:rFonts w:cstheme="minorHAnsi"/>
          <w:sz w:val="24"/>
          <w:szCs w:val="24"/>
        </w:rPr>
      </w:pPr>
    </w:p>
    <w:p w14:paraId="3DB72642" w14:textId="58928272" w:rsidR="00DA2685" w:rsidRPr="009F0910" w:rsidRDefault="00DA2685" w:rsidP="009F0910">
      <w:pPr>
        <w:spacing w:after="0" w:line="360" w:lineRule="auto"/>
        <w:contextualSpacing/>
        <w:jc w:val="both"/>
        <w:rPr>
          <w:rFonts w:cstheme="minorHAnsi"/>
          <w:sz w:val="24"/>
          <w:szCs w:val="24"/>
        </w:rPr>
      </w:pPr>
      <w:r w:rsidRPr="009F0910">
        <w:rPr>
          <w:rFonts w:cstheme="minorHAnsi"/>
          <w:sz w:val="24"/>
          <w:szCs w:val="24"/>
        </w:rPr>
        <w:lastRenderedPageBreak/>
        <w:t xml:space="preserve">Data were collected via </w:t>
      </w:r>
      <w:r w:rsidR="004C1C21" w:rsidRPr="009F0910">
        <w:rPr>
          <w:rFonts w:cstheme="minorHAnsi"/>
          <w:sz w:val="24"/>
          <w:szCs w:val="24"/>
        </w:rPr>
        <w:t xml:space="preserve">semi-structured </w:t>
      </w:r>
      <w:r w:rsidRPr="009F0910">
        <w:rPr>
          <w:rFonts w:cstheme="minorHAnsi"/>
          <w:sz w:val="24"/>
          <w:szCs w:val="24"/>
        </w:rPr>
        <w:t>group interviews</w:t>
      </w:r>
      <w:r w:rsidR="004C1C21" w:rsidRPr="009F0910">
        <w:rPr>
          <w:rFonts w:cstheme="minorHAnsi"/>
          <w:sz w:val="24"/>
          <w:szCs w:val="24"/>
        </w:rPr>
        <w:t>,</w:t>
      </w:r>
      <w:r w:rsidR="00FF2867" w:rsidRPr="009F0910">
        <w:rPr>
          <w:rFonts w:cstheme="minorHAnsi"/>
          <w:sz w:val="24"/>
          <w:szCs w:val="24"/>
        </w:rPr>
        <w:t xml:space="preserve"> comprised of two</w:t>
      </w:r>
      <w:r w:rsidR="00D27370" w:rsidRPr="009F0910">
        <w:rPr>
          <w:rFonts w:cstheme="minorHAnsi"/>
          <w:sz w:val="24"/>
          <w:szCs w:val="24"/>
        </w:rPr>
        <w:t xml:space="preserve"> to </w:t>
      </w:r>
      <w:r w:rsidR="00FF2867" w:rsidRPr="009F0910">
        <w:rPr>
          <w:rFonts w:cstheme="minorHAnsi"/>
          <w:sz w:val="24"/>
          <w:szCs w:val="24"/>
        </w:rPr>
        <w:t>six</w:t>
      </w:r>
      <w:r w:rsidR="00D27370" w:rsidRPr="009F0910">
        <w:rPr>
          <w:rFonts w:cstheme="minorHAnsi"/>
          <w:sz w:val="24"/>
          <w:szCs w:val="24"/>
        </w:rPr>
        <w:t xml:space="preserve"> </w:t>
      </w:r>
      <w:r w:rsidRPr="009F0910">
        <w:rPr>
          <w:rFonts w:cstheme="minorHAnsi"/>
          <w:sz w:val="24"/>
          <w:szCs w:val="24"/>
        </w:rPr>
        <w:t xml:space="preserve">participants, who were either all ward staff members or all medium or low security </w:t>
      </w:r>
      <w:r w:rsidR="00B016F3" w:rsidRPr="009F0910">
        <w:rPr>
          <w:rFonts w:cstheme="minorHAnsi"/>
          <w:sz w:val="24"/>
          <w:szCs w:val="24"/>
        </w:rPr>
        <w:t>(“forensic”)</w:t>
      </w:r>
      <w:r w:rsidR="00221D37" w:rsidRPr="009F0910">
        <w:rPr>
          <w:rFonts w:cstheme="minorHAnsi"/>
          <w:sz w:val="24"/>
          <w:szCs w:val="24"/>
        </w:rPr>
        <w:t xml:space="preserve"> inpatients</w:t>
      </w:r>
      <w:r w:rsidRPr="009F0910">
        <w:rPr>
          <w:rFonts w:cstheme="minorHAnsi"/>
          <w:sz w:val="24"/>
          <w:szCs w:val="24"/>
        </w:rPr>
        <w:t xml:space="preserve">. </w:t>
      </w:r>
      <w:r w:rsidR="00AA6D06" w:rsidRPr="009F0910">
        <w:rPr>
          <w:rFonts w:cstheme="minorHAnsi"/>
          <w:sz w:val="24"/>
          <w:szCs w:val="24"/>
        </w:rPr>
        <w:t xml:space="preserve">Staff members were not present in inpatient interviews. </w:t>
      </w:r>
      <w:r w:rsidRPr="009F0910">
        <w:rPr>
          <w:rFonts w:cstheme="minorHAnsi"/>
          <w:sz w:val="24"/>
          <w:szCs w:val="24"/>
        </w:rPr>
        <w:t xml:space="preserve">Inpatient group interviews were homogenous in terms of gender: </w:t>
      </w:r>
      <w:r w:rsidR="006818D7" w:rsidRPr="009F0910">
        <w:rPr>
          <w:rFonts w:cstheme="minorHAnsi"/>
          <w:sz w:val="24"/>
          <w:szCs w:val="24"/>
        </w:rPr>
        <w:t>T</w:t>
      </w:r>
      <w:r w:rsidRPr="009F0910">
        <w:rPr>
          <w:rFonts w:cstheme="minorHAnsi"/>
          <w:sz w:val="24"/>
          <w:szCs w:val="24"/>
        </w:rPr>
        <w:t>here were no mixed</w:t>
      </w:r>
      <w:r w:rsidR="006818D7" w:rsidRPr="009F0910">
        <w:rPr>
          <w:rFonts w:cstheme="minorHAnsi"/>
          <w:sz w:val="24"/>
          <w:szCs w:val="24"/>
        </w:rPr>
        <w:t>-</w:t>
      </w:r>
      <w:r w:rsidR="00BD3650" w:rsidRPr="009F0910">
        <w:rPr>
          <w:rFonts w:cstheme="minorHAnsi"/>
          <w:sz w:val="24"/>
          <w:szCs w:val="24"/>
        </w:rPr>
        <w:t>gender</w:t>
      </w:r>
      <w:r w:rsidRPr="009F0910">
        <w:rPr>
          <w:rFonts w:cstheme="minorHAnsi"/>
          <w:sz w:val="24"/>
          <w:szCs w:val="24"/>
        </w:rPr>
        <w:t xml:space="preserve"> mental health</w:t>
      </w:r>
      <w:r w:rsidR="0096247C" w:rsidRPr="009F0910">
        <w:rPr>
          <w:rFonts w:cstheme="minorHAnsi"/>
          <w:sz w:val="24"/>
          <w:szCs w:val="24"/>
        </w:rPr>
        <w:t>care</w:t>
      </w:r>
      <w:r w:rsidRPr="009F0910">
        <w:rPr>
          <w:rFonts w:cstheme="minorHAnsi"/>
          <w:sz w:val="24"/>
          <w:szCs w:val="24"/>
        </w:rPr>
        <w:t xml:space="preserve"> wards in the service from where participants were drawn. </w:t>
      </w:r>
      <w:r w:rsidR="006A0425" w:rsidRPr="009F0910">
        <w:rPr>
          <w:rFonts w:cstheme="minorHAnsi"/>
          <w:sz w:val="24"/>
          <w:szCs w:val="24"/>
        </w:rPr>
        <w:t xml:space="preserve">Staff groups were mixed </w:t>
      </w:r>
      <w:r w:rsidR="00BD3650" w:rsidRPr="009F0910">
        <w:rPr>
          <w:rFonts w:cstheme="minorHAnsi"/>
          <w:sz w:val="24"/>
          <w:szCs w:val="24"/>
        </w:rPr>
        <w:t>gender</w:t>
      </w:r>
      <w:r w:rsidR="006A0425" w:rsidRPr="009F0910">
        <w:rPr>
          <w:rFonts w:cstheme="minorHAnsi"/>
          <w:sz w:val="24"/>
          <w:szCs w:val="24"/>
        </w:rPr>
        <w:t xml:space="preserve">. </w:t>
      </w:r>
      <w:r w:rsidRPr="009F0910">
        <w:rPr>
          <w:rFonts w:cstheme="minorHAnsi"/>
          <w:sz w:val="24"/>
          <w:szCs w:val="24"/>
        </w:rPr>
        <w:t xml:space="preserve">Five group interviews were </w:t>
      </w:r>
      <w:r w:rsidR="00FF2867" w:rsidRPr="009F0910">
        <w:rPr>
          <w:rFonts w:cstheme="minorHAnsi"/>
          <w:sz w:val="24"/>
          <w:szCs w:val="24"/>
        </w:rPr>
        <w:t>conducted with inpatients, and two</w:t>
      </w:r>
      <w:r w:rsidRPr="009F0910">
        <w:rPr>
          <w:rFonts w:cstheme="minorHAnsi"/>
          <w:sz w:val="24"/>
          <w:szCs w:val="24"/>
        </w:rPr>
        <w:t xml:space="preserve"> with ward staff. </w:t>
      </w:r>
      <w:r w:rsidR="00245E48" w:rsidRPr="009F0910">
        <w:rPr>
          <w:rFonts w:cstheme="minorHAnsi"/>
          <w:sz w:val="24"/>
          <w:szCs w:val="24"/>
        </w:rPr>
        <w:t>G</w:t>
      </w:r>
      <w:r w:rsidRPr="009F0910">
        <w:rPr>
          <w:rFonts w:cstheme="minorHAnsi"/>
          <w:sz w:val="24"/>
          <w:szCs w:val="24"/>
        </w:rPr>
        <w:t>roup interview</w:t>
      </w:r>
      <w:r w:rsidR="00245E48" w:rsidRPr="009F0910">
        <w:rPr>
          <w:rFonts w:cstheme="minorHAnsi"/>
          <w:sz w:val="24"/>
          <w:szCs w:val="24"/>
        </w:rPr>
        <w:t xml:space="preserve">s were run in </w:t>
      </w:r>
      <w:r w:rsidR="0096247C" w:rsidRPr="009F0910">
        <w:rPr>
          <w:rFonts w:cstheme="minorHAnsi"/>
          <w:sz w:val="24"/>
          <w:szCs w:val="24"/>
        </w:rPr>
        <w:t xml:space="preserve">meeting </w:t>
      </w:r>
      <w:r w:rsidR="00245E48" w:rsidRPr="009F0910">
        <w:rPr>
          <w:rFonts w:cstheme="minorHAnsi"/>
          <w:sz w:val="24"/>
          <w:szCs w:val="24"/>
        </w:rPr>
        <w:t xml:space="preserve">rooms in the wards </w:t>
      </w:r>
      <w:r w:rsidR="006818D7" w:rsidRPr="009F0910">
        <w:rPr>
          <w:rFonts w:cstheme="minorHAnsi"/>
          <w:sz w:val="24"/>
          <w:szCs w:val="24"/>
        </w:rPr>
        <w:t>from where participants were recruited</w:t>
      </w:r>
      <w:r w:rsidR="00245E48" w:rsidRPr="009F0910">
        <w:rPr>
          <w:rFonts w:cstheme="minorHAnsi"/>
          <w:sz w:val="24"/>
          <w:szCs w:val="24"/>
        </w:rPr>
        <w:t>. Each</w:t>
      </w:r>
      <w:r w:rsidR="006818D7" w:rsidRPr="009F0910">
        <w:rPr>
          <w:rFonts w:cstheme="minorHAnsi"/>
          <w:sz w:val="24"/>
          <w:szCs w:val="24"/>
        </w:rPr>
        <w:t xml:space="preserve"> interview</w:t>
      </w:r>
      <w:r w:rsidR="00245E48" w:rsidRPr="009F0910">
        <w:rPr>
          <w:rFonts w:cstheme="minorHAnsi"/>
          <w:sz w:val="24"/>
          <w:szCs w:val="24"/>
        </w:rPr>
        <w:t xml:space="preserve"> lasted for a duration of approximately 45 to 60 minutes. </w:t>
      </w:r>
      <w:r w:rsidR="0080608C" w:rsidRPr="009F0910">
        <w:rPr>
          <w:rFonts w:cstheme="minorHAnsi"/>
          <w:sz w:val="24"/>
          <w:szCs w:val="24"/>
        </w:rPr>
        <w:t xml:space="preserve">The interviewer was a </w:t>
      </w:r>
      <w:r w:rsidR="00D27370" w:rsidRPr="009F0910">
        <w:rPr>
          <w:rFonts w:cstheme="minorHAnsi"/>
          <w:sz w:val="24"/>
          <w:szCs w:val="24"/>
        </w:rPr>
        <w:t>28</w:t>
      </w:r>
      <w:r w:rsidR="0080608C" w:rsidRPr="009F0910">
        <w:rPr>
          <w:rFonts w:cstheme="minorHAnsi"/>
          <w:sz w:val="24"/>
          <w:szCs w:val="24"/>
        </w:rPr>
        <w:t>-year-</w:t>
      </w:r>
      <w:r w:rsidR="006D08CF" w:rsidRPr="009F0910">
        <w:rPr>
          <w:rFonts w:cstheme="minorHAnsi"/>
          <w:sz w:val="24"/>
          <w:szCs w:val="24"/>
        </w:rPr>
        <w:t xml:space="preserve">old, white British man. </w:t>
      </w:r>
    </w:p>
    <w:p w14:paraId="364381A0" w14:textId="3DBABA20" w:rsidR="00DA184D" w:rsidRPr="009F0910" w:rsidRDefault="00EA7A7C" w:rsidP="009F0910">
      <w:pPr>
        <w:spacing w:after="0" w:line="360" w:lineRule="auto"/>
        <w:ind w:firstLine="720"/>
        <w:contextualSpacing/>
        <w:jc w:val="both"/>
        <w:rPr>
          <w:rFonts w:cstheme="minorHAnsi"/>
          <w:sz w:val="24"/>
          <w:szCs w:val="24"/>
        </w:rPr>
      </w:pPr>
      <w:r w:rsidRPr="009F0910">
        <w:rPr>
          <w:rFonts w:cstheme="minorHAnsi"/>
          <w:sz w:val="24"/>
          <w:szCs w:val="24"/>
        </w:rPr>
        <w:t>The interview schedule was developed around a number of themes identified in the ex</w:t>
      </w:r>
      <w:r w:rsidR="00D025AB" w:rsidRPr="009F0910">
        <w:rPr>
          <w:rFonts w:cstheme="minorHAnsi"/>
          <w:sz w:val="24"/>
          <w:szCs w:val="24"/>
        </w:rPr>
        <w:t>isting</w:t>
      </w:r>
      <w:r w:rsidRPr="009F0910">
        <w:rPr>
          <w:rFonts w:cstheme="minorHAnsi"/>
          <w:sz w:val="24"/>
          <w:szCs w:val="24"/>
        </w:rPr>
        <w:t xml:space="preserve"> literature. </w:t>
      </w:r>
      <w:r w:rsidR="006D08CF" w:rsidRPr="009F0910">
        <w:rPr>
          <w:rFonts w:cstheme="minorHAnsi"/>
          <w:sz w:val="24"/>
          <w:szCs w:val="24"/>
        </w:rPr>
        <w:t>Questio</w:t>
      </w:r>
      <w:r w:rsidR="00A4193C" w:rsidRPr="009F0910">
        <w:rPr>
          <w:rFonts w:cstheme="minorHAnsi"/>
          <w:sz w:val="24"/>
          <w:szCs w:val="24"/>
        </w:rPr>
        <w:t>ns for inpatients were oriented tow</w:t>
      </w:r>
      <w:r w:rsidR="0080608C" w:rsidRPr="009F0910">
        <w:rPr>
          <w:rFonts w:cstheme="minorHAnsi"/>
          <w:sz w:val="24"/>
          <w:szCs w:val="24"/>
        </w:rPr>
        <w:t xml:space="preserve">ards eliciting discussion </w:t>
      </w:r>
      <w:r w:rsidR="001E3180" w:rsidRPr="009F0910">
        <w:rPr>
          <w:rFonts w:cstheme="minorHAnsi"/>
          <w:sz w:val="24"/>
          <w:szCs w:val="24"/>
        </w:rPr>
        <w:t>of intimate, emotional</w:t>
      </w:r>
      <w:r w:rsidR="006D08CF" w:rsidRPr="009F0910">
        <w:rPr>
          <w:rFonts w:cstheme="minorHAnsi"/>
          <w:sz w:val="24"/>
          <w:szCs w:val="24"/>
        </w:rPr>
        <w:t xml:space="preserve"> and/or sexual relationships </w:t>
      </w:r>
      <w:r w:rsidR="0080608C" w:rsidRPr="009F0910">
        <w:rPr>
          <w:rFonts w:cstheme="minorHAnsi"/>
          <w:sz w:val="24"/>
          <w:szCs w:val="24"/>
        </w:rPr>
        <w:t>that the participants had developed while residing in secure mental health</w:t>
      </w:r>
      <w:r w:rsidR="00FF2867" w:rsidRPr="009F0910">
        <w:rPr>
          <w:rFonts w:cstheme="minorHAnsi"/>
          <w:sz w:val="24"/>
          <w:szCs w:val="24"/>
        </w:rPr>
        <w:t>care</w:t>
      </w:r>
      <w:r w:rsidR="0080608C" w:rsidRPr="009F0910">
        <w:rPr>
          <w:rFonts w:cstheme="minorHAnsi"/>
          <w:sz w:val="24"/>
          <w:szCs w:val="24"/>
        </w:rPr>
        <w:t xml:space="preserve"> </w:t>
      </w:r>
      <w:r w:rsidR="00B016F3" w:rsidRPr="009F0910">
        <w:rPr>
          <w:rFonts w:cstheme="minorHAnsi"/>
          <w:sz w:val="24"/>
          <w:szCs w:val="24"/>
        </w:rPr>
        <w:t>facilitie</w:t>
      </w:r>
      <w:r w:rsidR="0080608C" w:rsidRPr="009F0910">
        <w:rPr>
          <w:rFonts w:cstheme="minorHAnsi"/>
          <w:sz w:val="24"/>
          <w:szCs w:val="24"/>
        </w:rPr>
        <w:t xml:space="preserve">s, and during other times in their lives. </w:t>
      </w:r>
      <w:r w:rsidR="002D5C9A" w:rsidRPr="009F0910">
        <w:rPr>
          <w:rFonts w:cstheme="minorHAnsi"/>
          <w:sz w:val="24"/>
          <w:szCs w:val="24"/>
        </w:rPr>
        <w:t xml:space="preserve">They were asked to consider how such relationships were related to their mental health and to their experiences of being </w:t>
      </w:r>
      <w:r w:rsidR="00B016F3" w:rsidRPr="009F0910">
        <w:rPr>
          <w:rFonts w:cstheme="minorHAnsi"/>
          <w:sz w:val="24"/>
          <w:szCs w:val="24"/>
        </w:rPr>
        <w:t xml:space="preserve">secure </w:t>
      </w:r>
      <w:r w:rsidR="002D5C9A" w:rsidRPr="009F0910">
        <w:rPr>
          <w:rFonts w:cstheme="minorHAnsi"/>
          <w:sz w:val="24"/>
          <w:szCs w:val="24"/>
        </w:rPr>
        <w:t>mental health</w:t>
      </w:r>
      <w:r w:rsidR="00B016F3" w:rsidRPr="009F0910">
        <w:rPr>
          <w:rFonts w:cstheme="minorHAnsi"/>
          <w:sz w:val="24"/>
          <w:szCs w:val="24"/>
        </w:rPr>
        <w:t>care</w:t>
      </w:r>
      <w:r w:rsidR="002D5C9A" w:rsidRPr="009F0910">
        <w:rPr>
          <w:rFonts w:cstheme="minorHAnsi"/>
          <w:sz w:val="24"/>
          <w:szCs w:val="24"/>
        </w:rPr>
        <w:t xml:space="preserve"> </w:t>
      </w:r>
      <w:r w:rsidR="0096247C" w:rsidRPr="009F0910">
        <w:rPr>
          <w:rFonts w:cstheme="minorHAnsi"/>
          <w:sz w:val="24"/>
          <w:szCs w:val="24"/>
        </w:rPr>
        <w:t>in</w:t>
      </w:r>
      <w:r w:rsidR="002D5C9A" w:rsidRPr="009F0910">
        <w:rPr>
          <w:rFonts w:cstheme="minorHAnsi"/>
          <w:sz w:val="24"/>
          <w:szCs w:val="24"/>
        </w:rPr>
        <w:t xml:space="preserve">patients. </w:t>
      </w:r>
      <w:r w:rsidR="00F56057" w:rsidRPr="009F0910">
        <w:rPr>
          <w:rFonts w:cstheme="minorHAnsi"/>
          <w:sz w:val="24"/>
          <w:szCs w:val="24"/>
        </w:rPr>
        <w:t xml:space="preserve">Questions for ward staff were designed to encourage discussions of how inpatients’ relationships and expressions of sexuality were, and should be, managed. </w:t>
      </w:r>
      <w:r w:rsidR="00DA184D" w:rsidRPr="009F0910">
        <w:rPr>
          <w:rFonts w:cstheme="minorHAnsi"/>
          <w:sz w:val="24"/>
          <w:szCs w:val="24"/>
        </w:rPr>
        <w:t xml:space="preserve">The interviewer kept his input to a minimum and avoided sharing his perspective on the issues discussed. The group interviews were audio recorded and transcribed verbatim. The accuracy of the transcription was checked against the original recordings. </w:t>
      </w:r>
    </w:p>
    <w:p w14:paraId="2E3E88A8" w14:textId="06D99C65" w:rsidR="00D02775" w:rsidRPr="009F0910" w:rsidRDefault="00D025AB" w:rsidP="009F0910">
      <w:pPr>
        <w:spacing w:after="0" w:line="360" w:lineRule="auto"/>
        <w:ind w:firstLine="720"/>
        <w:contextualSpacing/>
        <w:jc w:val="both"/>
        <w:rPr>
          <w:rFonts w:cstheme="minorHAnsi"/>
          <w:b/>
          <w:sz w:val="24"/>
          <w:szCs w:val="24"/>
        </w:rPr>
      </w:pPr>
      <w:r w:rsidRPr="009F0910">
        <w:rPr>
          <w:rFonts w:cstheme="minorHAnsi"/>
          <w:sz w:val="24"/>
          <w:szCs w:val="24"/>
        </w:rPr>
        <w:t>G</w:t>
      </w:r>
      <w:r w:rsidR="00DA184D" w:rsidRPr="009F0910">
        <w:rPr>
          <w:rFonts w:cstheme="minorHAnsi"/>
          <w:sz w:val="24"/>
          <w:szCs w:val="24"/>
        </w:rPr>
        <w:t xml:space="preserve">roup interview method was selected </w:t>
      </w:r>
      <w:r w:rsidR="00A50D78" w:rsidRPr="009F0910">
        <w:rPr>
          <w:rFonts w:cstheme="minorHAnsi"/>
          <w:sz w:val="24"/>
          <w:szCs w:val="24"/>
        </w:rPr>
        <w:t>because</w:t>
      </w:r>
      <w:r w:rsidR="00FF2867" w:rsidRPr="009F0910">
        <w:rPr>
          <w:rFonts w:cstheme="minorHAnsi"/>
          <w:sz w:val="24"/>
          <w:szCs w:val="24"/>
        </w:rPr>
        <w:t xml:space="preserve"> </w:t>
      </w:r>
      <w:r w:rsidR="00DA184D" w:rsidRPr="009F0910">
        <w:rPr>
          <w:rFonts w:cstheme="minorHAnsi"/>
          <w:sz w:val="24"/>
          <w:szCs w:val="24"/>
        </w:rPr>
        <w:t xml:space="preserve">it was appropriate for identifying how issues of sexuality in a </w:t>
      </w:r>
      <w:r w:rsidR="00B016F3" w:rsidRPr="009F0910">
        <w:rPr>
          <w:rFonts w:cstheme="minorHAnsi"/>
          <w:sz w:val="24"/>
          <w:szCs w:val="24"/>
        </w:rPr>
        <w:t>secure</w:t>
      </w:r>
      <w:r w:rsidR="00DA184D" w:rsidRPr="009F0910">
        <w:rPr>
          <w:rFonts w:cstheme="minorHAnsi"/>
          <w:sz w:val="24"/>
          <w:szCs w:val="24"/>
        </w:rPr>
        <w:t xml:space="preserve"> mental health</w:t>
      </w:r>
      <w:r w:rsidR="00B016F3" w:rsidRPr="009F0910">
        <w:rPr>
          <w:rFonts w:cstheme="minorHAnsi"/>
          <w:sz w:val="24"/>
          <w:szCs w:val="24"/>
        </w:rPr>
        <w:t>care</w:t>
      </w:r>
      <w:r w:rsidR="00DA184D" w:rsidRPr="009F0910">
        <w:rPr>
          <w:rFonts w:cstheme="minorHAnsi"/>
          <w:sz w:val="24"/>
          <w:szCs w:val="24"/>
        </w:rPr>
        <w:t xml:space="preserve"> setting were represented via the deployment of particular discourses. </w:t>
      </w:r>
      <w:r w:rsidR="00FF2867" w:rsidRPr="009F0910">
        <w:rPr>
          <w:rFonts w:cstheme="minorHAnsi"/>
          <w:sz w:val="24"/>
          <w:szCs w:val="24"/>
        </w:rPr>
        <w:t xml:space="preserve">Given that the purpose of the study was not to collect autobiographical, experiential data, one-to-one interviews were not deemed necessary. </w:t>
      </w:r>
      <w:r w:rsidR="00A50D78" w:rsidRPr="009F0910">
        <w:rPr>
          <w:rFonts w:cstheme="minorHAnsi"/>
          <w:sz w:val="24"/>
          <w:szCs w:val="24"/>
        </w:rPr>
        <w:t>A</w:t>
      </w:r>
      <w:r w:rsidR="00FF2867" w:rsidRPr="009F0910">
        <w:rPr>
          <w:rFonts w:cstheme="minorHAnsi"/>
          <w:sz w:val="24"/>
          <w:szCs w:val="24"/>
        </w:rPr>
        <w:t xml:space="preserve"> second reason was pragmatic: Accessing wards in a secure mental healthcare facility can be made difficult owing to concerns regarding researcher safety, unpredictable ward events, staff shortages etc., and arranging multiple individual interviews would have posed logistical and time issues. Third, it was hoped that by u</w:t>
      </w:r>
      <w:r w:rsidR="009B47EE" w:rsidRPr="009F0910">
        <w:rPr>
          <w:rFonts w:cstheme="minorHAnsi"/>
          <w:sz w:val="24"/>
          <w:szCs w:val="24"/>
        </w:rPr>
        <w:t>sing group as opposed to individual interviews</w:t>
      </w:r>
      <w:r w:rsidR="00FF2867" w:rsidRPr="009F0910">
        <w:rPr>
          <w:rFonts w:cstheme="minorHAnsi"/>
          <w:sz w:val="24"/>
          <w:szCs w:val="24"/>
        </w:rPr>
        <w:t xml:space="preserve">, there would be more diversity in </w:t>
      </w:r>
      <w:r w:rsidR="009B47EE" w:rsidRPr="009F0910">
        <w:rPr>
          <w:rFonts w:cstheme="minorHAnsi"/>
          <w:sz w:val="24"/>
          <w:szCs w:val="24"/>
        </w:rPr>
        <w:t>communication</w:t>
      </w:r>
      <w:r w:rsidR="00F83042" w:rsidRPr="009F0910">
        <w:rPr>
          <w:rFonts w:cstheme="minorHAnsi"/>
          <w:sz w:val="24"/>
          <w:szCs w:val="24"/>
        </w:rPr>
        <w:t xml:space="preserve"> (Kitzinger </w:t>
      </w:r>
      <w:r w:rsidR="000A1409" w:rsidRPr="009F0910">
        <w:rPr>
          <w:rFonts w:cstheme="minorHAnsi"/>
          <w:sz w:val="24"/>
          <w:szCs w:val="24"/>
        </w:rPr>
        <w:t>1994). The group interviews conducted were characteri</w:t>
      </w:r>
      <w:r w:rsidR="007E245B" w:rsidRPr="009F0910">
        <w:rPr>
          <w:rFonts w:cstheme="minorHAnsi"/>
          <w:sz w:val="24"/>
          <w:szCs w:val="24"/>
        </w:rPr>
        <w:t>s</w:t>
      </w:r>
      <w:r w:rsidR="000A1409" w:rsidRPr="009F0910">
        <w:rPr>
          <w:rFonts w:cstheme="minorHAnsi"/>
          <w:sz w:val="24"/>
          <w:szCs w:val="24"/>
        </w:rPr>
        <w:t>ed by a</w:t>
      </w:r>
      <w:r w:rsidR="009B47EE" w:rsidRPr="009F0910">
        <w:rPr>
          <w:rFonts w:cstheme="minorHAnsi"/>
          <w:sz w:val="24"/>
          <w:szCs w:val="24"/>
        </w:rPr>
        <w:t>necdotal stories, jokes</w:t>
      </w:r>
      <w:r w:rsidR="000A1409" w:rsidRPr="009F0910">
        <w:rPr>
          <w:rFonts w:cstheme="minorHAnsi"/>
          <w:sz w:val="24"/>
          <w:szCs w:val="24"/>
        </w:rPr>
        <w:t xml:space="preserve"> and mild teasing, reflecting their informal ethos – a likely consequence of including </w:t>
      </w:r>
      <w:r w:rsidR="00DA184D" w:rsidRPr="009F0910">
        <w:rPr>
          <w:rFonts w:cstheme="minorHAnsi"/>
          <w:sz w:val="24"/>
          <w:szCs w:val="24"/>
        </w:rPr>
        <w:t xml:space="preserve">participants </w:t>
      </w:r>
      <w:r w:rsidR="000A1409" w:rsidRPr="009F0910">
        <w:rPr>
          <w:rFonts w:cstheme="minorHAnsi"/>
          <w:sz w:val="24"/>
          <w:szCs w:val="24"/>
        </w:rPr>
        <w:t>who</w:t>
      </w:r>
      <w:r w:rsidR="00DA184D" w:rsidRPr="009F0910">
        <w:rPr>
          <w:rFonts w:cstheme="minorHAnsi"/>
          <w:sz w:val="24"/>
          <w:szCs w:val="24"/>
        </w:rPr>
        <w:t xml:space="preserve"> were known to each o</w:t>
      </w:r>
      <w:r w:rsidR="009B47EE" w:rsidRPr="009F0910">
        <w:rPr>
          <w:rFonts w:cstheme="minorHAnsi"/>
          <w:sz w:val="24"/>
          <w:szCs w:val="24"/>
        </w:rPr>
        <w:t xml:space="preserve">ther. </w:t>
      </w:r>
    </w:p>
    <w:p w14:paraId="2896F720" w14:textId="77777777" w:rsidR="007471DB" w:rsidRPr="009F0910" w:rsidRDefault="007471DB" w:rsidP="009F0910">
      <w:pPr>
        <w:spacing w:after="0" w:line="360" w:lineRule="auto"/>
        <w:contextualSpacing/>
        <w:jc w:val="both"/>
        <w:rPr>
          <w:rFonts w:cstheme="minorHAnsi"/>
          <w:b/>
          <w:sz w:val="24"/>
          <w:szCs w:val="24"/>
        </w:rPr>
      </w:pPr>
    </w:p>
    <w:p w14:paraId="1F9D5FD8" w14:textId="26FF3B69" w:rsidR="009B47EE" w:rsidRPr="009F0910" w:rsidRDefault="002201AE" w:rsidP="009F0910">
      <w:pPr>
        <w:spacing w:after="0" w:line="360" w:lineRule="auto"/>
        <w:contextualSpacing/>
        <w:jc w:val="both"/>
        <w:rPr>
          <w:rFonts w:cstheme="minorHAnsi"/>
          <w:b/>
          <w:i/>
          <w:iCs/>
          <w:sz w:val="24"/>
          <w:szCs w:val="24"/>
        </w:rPr>
      </w:pPr>
      <w:r w:rsidRPr="009F0910">
        <w:rPr>
          <w:rFonts w:cstheme="minorHAnsi"/>
          <w:b/>
          <w:i/>
          <w:iCs/>
          <w:sz w:val="24"/>
          <w:szCs w:val="24"/>
        </w:rPr>
        <w:t>Approach to d</w:t>
      </w:r>
      <w:r w:rsidR="009B47EE" w:rsidRPr="009F0910">
        <w:rPr>
          <w:rFonts w:cstheme="minorHAnsi"/>
          <w:b/>
          <w:i/>
          <w:iCs/>
          <w:sz w:val="24"/>
          <w:szCs w:val="24"/>
        </w:rPr>
        <w:t>ata analysis</w:t>
      </w:r>
      <w:r w:rsidR="009B47EE" w:rsidRPr="009F0910">
        <w:rPr>
          <w:rFonts w:cstheme="minorHAnsi"/>
          <w:b/>
          <w:i/>
          <w:iCs/>
          <w:sz w:val="24"/>
          <w:szCs w:val="24"/>
        </w:rPr>
        <w:tab/>
      </w:r>
    </w:p>
    <w:p w14:paraId="26933F03" w14:textId="77777777" w:rsidR="007471DB" w:rsidRPr="009F0910" w:rsidRDefault="007471DB" w:rsidP="009F0910">
      <w:pPr>
        <w:spacing w:after="0" w:line="360" w:lineRule="auto"/>
        <w:contextualSpacing/>
        <w:jc w:val="both"/>
        <w:rPr>
          <w:rFonts w:cstheme="minorHAnsi"/>
          <w:b/>
          <w:sz w:val="24"/>
          <w:szCs w:val="24"/>
        </w:rPr>
      </w:pPr>
    </w:p>
    <w:p w14:paraId="32D77684" w14:textId="428EDDD9" w:rsidR="004659A2" w:rsidRPr="009F0910" w:rsidRDefault="009B47EE" w:rsidP="009F0910">
      <w:pPr>
        <w:spacing w:after="0" w:line="360" w:lineRule="auto"/>
        <w:contextualSpacing/>
        <w:jc w:val="both"/>
        <w:rPr>
          <w:rFonts w:cstheme="minorHAnsi"/>
          <w:sz w:val="24"/>
          <w:szCs w:val="24"/>
        </w:rPr>
      </w:pPr>
      <w:r w:rsidRPr="009F0910">
        <w:rPr>
          <w:rFonts w:cstheme="minorHAnsi"/>
          <w:sz w:val="24"/>
          <w:szCs w:val="24"/>
        </w:rPr>
        <w:t xml:space="preserve">A </w:t>
      </w:r>
      <w:proofErr w:type="spellStart"/>
      <w:r w:rsidR="002201AE" w:rsidRPr="009F0910">
        <w:rPr>
          <w:rFonts w:cstheme="minorHAnsi"/>
          <w:sz w:val="24"/>
          <w:szCs w:val="24"/>
        </w:rPr>
        <w:t>Foucaul</w:t>
      </w:r>
      <w:r w:rsidR="00E85FAD">
        <w:rPr>
          <w:rFonts w:cstheme="minorHAnsi"/>
          <w:sz w:val="24"/>
          <w:szCs w:val="24"/>
        </w:rPr>
        <w:t>t</w:t>
      </w:r>
      <w:r w:rsidR="002201AE" w:rsidRPr="009F0910">
        <w:rPr>
          <w:rFonts w:cstheme="minorHAnsi"/>
          <w:sz w:val="24"/>
          <w:szCs w:val="24"/>
        </w:rPr>
        <w:t>ian</w:t>
      </w:r>
      <w:proofErr w:type="spellEnd"/>
      <w:r w:rsidR="002201AE" w:rsidRPr="009F0910">
        <w:rPr>
          <w:rFonts w:cstheme="minorHAnsi"/>
          <w:sz w:val="24"/>
          <w:szCs w:val="24"/>
        </w:rPr>
        <w:t xml:space="preserve"> </w:t>
      </w:r>
      <w:r w:rsidRPr="009F0910">
        <w:rPr>
          <w:rFonts w:cstheme="minorHAnsi"/>
          <w:sz w:val="24"/>
          <w:szCs w:val="24"/>
        </w:rPr>
        <w:t>discourse analytic approach was taken</w:t>
      </w:r>
      <w:r w:rsidR="002201AE" w:rsidRPr="009F0910">
        <w:rPr>
          <w:rFonts w:cstheme="minorHAnsi"/>
          <w:sz w:val="24"/>
          <w:szCs w:val="24"/>
        </w:rPr>
        <w:t>,</w:t>
      </w:r>
      <w:r w:rsidR="00045A8F" w:rsidRPr="009F0910">
        <w:rPr>
          <w:rFonts w:cstheme="minorHAnsi"/>
          <w:sz w:val="24"/>
          <w:szCs w:val="24"/>
        </w:rPr>
        <w:t xml:space="preserve"> </w:t>
      </w:r>
      <w:r w:rsidR="00F52708" w:rsidRPr="009F0910">
        <w:rPr>
          <w:rFonts w:cstheme="minorHAnsi"/>
          <w:sz w:val="24"/>
          <w:szCs w:val="24"/>
        </w:rPr>
        <w:t>as this allowed</w:t>
      </w:r>
      <w:r w:rsidR="00045A8F" w:rsidRPr="009F0910">
        <w:rPr>
          <w:rFonts w:cstheme="minorHAnsi"/>
          <w:sz w:val="24"/>
          <w:szCs w:val="24"/>
        </w:rPr>
        <w:t xml:space="preserve"> for the identification of discourses that perpetuate the legitimacy of unbalanced power relationships, such as the one between the “psychiatrist” and the “</w:t>
      </w:r>
      <w:r w:rsidR="00F52708" w:rsidRPr="009F0910">
        <w:rPr>
          <w:rFonts w:cstheme="minorHAnsi"/>
          <w:sz w:val="24"/>
          <w:szCs w:val="24"/>
        </w:rPr>
        <w:t>in</w:t>
      </w:r>
      <w:r w:rsidR="00F83042" w:rsidRPr="009F0910">
        <w:rPr>
          <w:rFonts w:cstheme="minorHAnsi"/>
          <w:sz w:val="24"/>
          <w:szCs w:val="24"/>
        </w:rPr>
        <w:t>patient” (Foucault 1987; Harper 1995</w:t>
      </w:r>
      <w:r w:rsidR="00045A8F" w:rsidRPr="009F0910">
        <w:rPr>
          <w:rFonts w:cstheme="minorHAnsi"/>
          <w:sz w:val="24"/>
          <w:szCs w:val="24"/>
        </w:rPr>
        <w:t xml:space="preserve">). </w:t>
      </w:r>
      <w:r w:rsidR="002201AE" w:rsidRPr="009F0910">
        <w:rPr>
          <w:rFonts w:cstheme="minorHAnsi"/>
          <w:sz w:val="24"/>
          <w:szCs w:val="24"/>
        </w:rPr>
        <w:t xml:space="preserve"> </w:t>
      </w:r>
      <w:r w:rsidR="005A2335" w:rsidRPr="009F0910">
        <w:rPr>
          <w:rFonts w:cstheme="minorHAnsi"/>
          <w:sz w:val="24"/>
          <w:szCs w:val="24"/>
        </w:rPr>
        <w:t xml:space="preserve">The procedure for conducting a </w:t>
      </w:r>
      <w:proofErr w:type="spellStart"/>
      <w:r w:rsidR="00F52708" w:rsidRPr="009F0910">
        <w:rPr>
          <w:rFonts w:cstheme="minorHAnsi"/>
          <w:sz w:val="24"/>
          <w:szCs w:val="24"/>
        </w:rPr>
        <w:t>Foucaul</w:t>
      </w:r>
      <w:r w:rsidR="00E85FAD">
        <w:rPr>
          <w:rFonts w:cstheme="minorHAnsi"/>
          <w:sz w:val="24"/>
          <w:szCs w:val="24"/>
        </w:rPr>
        <w:t>t</w:t>
      </w:r>
      <w:r w:rsidR="00F52708" w:rsidRPr="009F0910">
        <w:rPr>
          <w:rFonts w:cstheme="minorHAnsi"/>
          <w:sz w:val="24"/>
          <w:szCs w:val="24"/>
        </w:rPr>
        <w:t>ian</w:t>
      </w:r>
      <w:proofErr w:type="spellEnd"/>
      <w:r w:rsidR="00F52708" w:rsidRPr="009F0910">
        <w:rPr>
          <w:rFonts w:cstheme="minorHAnsi"/>
          <w:sz w:val="24"/>
          <w:szCs w:val="24"/>
        </w:rPr>
        <w:t xml:space="preserve"> </w:t>
      </w:r>
      <w:r w:rsidR="005A2335" w:rsidRPr="009F0910">
        <w:rPr>
          <w:rFonts w:cstheme="minorHAnsi"/>
          <w:sz w:val="24"/>
          <w:szCs w:val="24"/>
        </w:rPr>
        <w:t xml:space="preserve">discourse analysis </w:t>
      </w:r>
      <w:r w:rsidR="002201AE" w:rsidRPr="009F0910">
        <w:rPr>
          <w:rFonts w:cstheme="minorHAnsi"/>
          <w:sz w:val="24"/>
          <w:szCs w:val="24"/>
        </w:rPr>
        <w:t xml:space="preserve">set out by </w:t>
      </w:r>
      <w:proofErr w:type="spellStart"/>
      <w:r w:rsidR="006540B8" w:rsidRPr="009F0910">
        <w:rPr>
          <w:rFonts w:cstheme="minorHAnsi"/>
          <w:sz w:val="24"/>
          <w:szCs w:val="24"/>
        </w:rPr>
        <w:t>Willig</w:t>
      </w:r>
      <w:proofErr w:type="spellEnd"/>
      <w:r w:rsidR="006540B8" w:rsidRPr="009F0910">
        <w:rPr>
          <w:rFonts w:cstheme="minorHAnsi"/>
          <w:sz w:val="24"/>
          <w:szCs w:val="24"/>
        </w:rPr>
        <w:t xml:space="preserve"> (2013)</w:t>
      </w:r>
      <w:r w:rsidR="005A2335" w:rsidRPr="009F0910">
        <w:rPr>
          <w:rFonts w:cstheme="minorHAnsi"/>
          <w:sz w:val="24"/>
          <w:szCs w:val="24"/>
        </w:rPr>
        <w:t xml:space="preserve"> was followed</w:t>
      </w:r>
      <w:r w:rsidR="001A770C" w:rsidRPr="009F0910">
        <w:rPr>
          <w:rFonts w:cstheme="minorHAnsi"/>
          <w:sz w:val="24"/>
          <w:szCs w:val="24"/>
        </w:rPr>
        <w:t xml:space="preserve">. </w:t>
      </w:r>
      <w:r w:rsidR="003F1E43" w:rsidRPr="009F0910">
        <w:rPr>
          <w:rFonts w:cstheme="minorHAnsi"/>
          <w:sz w:val="24"/>
          <w:szCs w:val="24"/>
        </w:rPr>
        <w:t>Accordingly, the analysis focused on “discursive resources”, or how language was used to construct objects and subjects, and to delineate possibilities for lived experience (</w:t>
      </w:r>
      <w:proofErr w:type="spellStart"/>
      <w:r w:rsidR="003F1E43" w:rsidRPr="009F0910">
        <w:rPr>
          <w:rFonts w:cstheme="minorHAnsi"/>
          <w:sz w:val="24"/>
          <w:szCs w:val="24"/>
        </w:rPr>
        <w:t>Willig</w:t>
      </w:r>
      <w:proofErr w:type="spellEnd"/>
      <w:r w:rsidR="003F1E43" w:rsidRPr="009F0910">
        <w:rPr>
          <w:rFonts w:cstheme="minorHAnsi"/>
          <w:sz w:val="24"/>
          <w:szCs w:val="24"/>
        </w:rPr>
        <w:t xml:space="preserve"> 2013). One way that this is accomplished is by subject positioning: People use language to take up subject positions themselves (reflexive positioning) and by positioning others (interactive positioning: Davies and </w:t>
      </w:r>
      <w:proofErr w:type="spellStart"/>
      <w:r w:rsidR="003F1E43" w:rsidRPr="009F0910">
        <w:rPr>
          <w:rFonts w:cstheme="minorHAnsi"/>
          <w:sz w:val="24"/>
          <w:szCs w:val="24"/>
        </w:rPr>
        <w:t>Harré</w:t>
      </w:r>
      <w:proofErr w:type="spellEnd"/>
      <w:r w:rsidR="003F1E43" w:rsidRPr="009F0910">
        <w:rPr>
          <w:rFonts w:cstheme="minorHAnsi"/>
          <w:sz w:val="24"/>
          <w:szCs w:val="24"/>
        </w:rPr>
        <w:t xml:space="preserve"> 1990). People are also positioned </w:t>
      </w:r>
      <w:r w:rsidR="003F1E43" w:rsidRPr="009F0910">
        <w:rPr>
          <w:rFonts w:cstheme="minorHAnsi"/>
          <w:iCs/>
          <w:sz w:val="24"/>
          <w:szCs w:val="24"/>
        </w:rPr>
        <w:t>by others</w:t>
      </w:r>
      <w:r w:rsidR="003F1E43" w:rsidRPr="009F0910">
        <w:rPr>
          <w:rFonts w:cstheme="minorHAnsi"/>
          <w:sz w:val="24"/>
          <w:szCs w:val="24"/>
        </w:rPr>
        <w:t xml:space="preserve">, and by the dominance of locally-prevalent discourses, so they are not necessarily able to choose which subject positions they are able to take up (Parker 1992). Subject positioning has implications for the rights and obligations that an individual can stake claims on and ascribe to others (Moghaddam and </w:t>
      </w:r>
      <w:proofErr w:type="spellStart"/>
      <w:r w:rsidR="003F1E43" w:rsidRPr="009F0910">
        <w:rPr>
          <w:rFonts w:cstheme="minorHAnsi"/>
          <w:sz w:val="24"/>
          <w:szCs w:val="24"/>
        </w:rPr>
        <w:t>Harré</w:t>
      </w:r>
      <w:proofErr w:type="spellEnd"/>
      <w:r w:rsidR="003F1E43" w:rsidRPr="009F0910">
        <w:rPr>
          <w:rFonts w:cstheme="minorHAnsi"/>
          <w:sz w:val="24"/>
          <w:szCs w:val="24"/>
        </w:rPr>
        <w:t xml:space="preserve"> 2010). </w:t>
      </w:r>
      <w:r w:rsidR="0001407A" w:rsidRPr="009F0910">
        <w:rPr>
          <w:rFonts w:cstheme="minorHAnsi"/>
          <w:sz w:val="24"/>
          <w:szCs w:val="24"/>
        </w:rPr>
        <w:t xml:space="preserve">The focus of the analysis </w:t>
      </w:r>
      <w:r w:rsidR="00D025AB" w:rsidRPr="009F0910">
        <w:rPr>
          <w:rFonts w:cstheme="minorHAnsi"/>
          <w:sz w:val="24"/>
          <w:szCs w:val="24"/>
        </w:rPr>
        <w:t>here</w:t>
      </w:r>
      <w:r w:rsidR="0001407A" w:rsidRPr="009F0910">
        <w:rPr>
          <w:rFonts w:cstheme="minorHAnsi"/>
          <w:sz w:val="24"/>
          <w:szCs w:val="24"/>
        </w:rPr>
        <w:t xml:space="preserve"> was on how t</w:t>
      </w:r>
      <w:r w:rsidR="008E4911" w:rsidRPr="009F0910">
        <w:rPr>
          <w:rFonts w:cstheme="minorHAnsi"/>
          <w:sz w:val="24"/>
          <w:szCs w:val="24"/>
        </w:rPr>
        <w:t xml:space="preserve">he speakers were positioned </w:t>
      </w:r>
      <w:r w:rsidR="0001407A" w:rsidRPr="009F0910">
        <w:rPr>
          <w:rFonts w:cstheme="minorHAnsi"/>
          <w:sz w:val="24"/>
          <w:szCs w:val="24"/>
        </w:rPr>
        <w:t>(</w:t>
      </w:r>
      <w:r w:rsidR="008E4911" w:rsidRPr="009F0910">
        <w:rPr>
          <w:rFonts w:cstheme="minorHAnsi"/>
          <w:sz w:val="24"/>
          <w:szCs w:val="24"/>
        </w:rPr>
        <w:t xml:space="preserve">and </w:t>
      </w:r>
      <w:r w:rsidR="0001407A" w:rsidRPr="009F0910">
        <w:rPr>
          <w:rFonts w:cstheme="minorHAnsi"/>
          <w:sz w:val="24"/>
          <w:szCs w:val="24"/>
        </w:rPr>
        <w:t>attempted to position themselves) within the discourses access</w:t>
      </w:r>
      <w:r w:rsidR="00A525FB" w:rsidRPr="009F0910">
        <w:rPr>
          <w:rFonts w:cstheme="minorHAnsi"/>
          <w:sz w:val="24"/>
          <w:szCs w:val="24"/>
        </w:rPr>
        <w:t>ed during the group interviews, and how this positioning demarcated possibilities for experience</w:t>
      </w:r>
      <w:r w:rsidR="00F83042" w:rsidRPr="009F0910">
        <w:rPr>
          <w:rFonts w:cstheme="minorHAnsi"/>
          <w:sz w:val="24"/>
          <w:szCs w:val="24"/>
        </w:rPr>
        <w:t xml:space="preserve"> (</w:t>
      </w:r>
      <w:r w:rsidR="00034820" w:rsidRPr="009F0910">
        <w:rPr>
          <w:rFonts w:cstheme="minorHAnsi"/>
          <w:sz w:val="24"/>
          <w:szCs w:val="24"/>
        </w:rPr>
        <w:t xml:space="preserve">see </w:t>
      </w:r>
      <w:proofErr w:type="spellStart"/>
      <w:r w:rsidR="00F83042" w:rsidRPr="009F0910">
        <w:rPr>
          <w:rFonts w:cstheme="minorHAnsi"/>
          <w:sz w:val="24"/>
          <w:szCs w:val="24"/>
        </w:rPr>
        <w:t>Willig</w:t>
      </w:r>
      <w:proofErr w:type="spellEnd"/>
      <w:r w:rsidR="00F52708" w:rsidRPr="009F0910">
        <w:rPr>
          <w:rFonts w:cstheme="minorHAnsi"/>
          <w:sz w:val="24"/>
          <w:szCs w:val="24"/>
        </w:rPr>
        <w:t xml:space="preserve"> 2000)</w:t>
      </w:r>
      <w:r w:rsidR="00A525FB" w:rsidRPr="009F0910">
        <w:rPr>
          <w:rFonts w:cstheme="minorHAnsi"/>
          <w:sz w:val="24"/>
          <w:szCs w:val="24"/>
        </w:rPr>
        <w:t xml:space="preserve">. </w:t>
      </w:r>
    </w:p>
    <w:p w14:paraId="0FE82126" w14:textId="3B4188D1" w:rsidR="009B47EE" w:rsidRPr="009F0910" w:rsidRDefault="00E12FC3" w:rsidP="009F0910">
      <w:pPr>
        <w:spacing w:after="0" w:line="360" w:lineRule="auto"/>
        <w:ind w:firstLine="720"/>
        <w:contextualSpacing/>
        <w:jc w:val="both"/>
        <w:rPr>
          <w:rFonts w:cstheme="minorHAnsi"/>
          <w:sz w:val="24"/>
          <w:szCs w:val="24"/>
        </w:rPr>
      </w:pPr>
      <w:r w:rsidRPr="009F0910">
        <w:rPr>
          <w:rFonts w:cstheme="minorHAnsi"/>
          <w:sz w:val="24"/>
          <w:szCs w:val="24"/>
        </w:rPr>
        <w:t>T</w:t>
      </w:r>
      <w:r w:rsidR="00A43B60" w:rsidRPr="009F0910">
        <w:rPr>
          <w:rFonts w:cstheme="minorHAnsi"/>
          <w:sz w:val="24"/>
          <w:szCs w:val="24"/>
        </w:rPr>
        <w:t xml:space="preserve">wo </w:t>
      </w:r>
      <w:r w:rsidR="00182633" w:rsidRPr="009F0910">
        <w:rPr>
          <w:rFonts w:cstheme="minorHAnsi"/>
          <w:sz w:val="24"/>
          <w:szCs w:val="24"/>
        </w:rPr>
        <w:t xml:space="preserve">authors </w:t>
      </w:r>
      <w:r w:rsidR="00D025AB" w:rsidRPr="009F0910">
        <w:rPr>
          <w:rFonts w:cstheme="minorHAnsi"/>
          <w:sz w:val="24"/>
          <w:szCs w:val="24"/>
        </w:rPr>
        <w:t>(</w:t>
      </w:r>
      <w:r w:rsidR="00A91A7A" w:rsidRPr="009F0910">
        <w:rPr>
          <w:rFonts w:cstheme="minorHAnsi"/>
          <w:sz w:val="24"/>
          <w:szCs w:val="24"/>
        </w:rPr>
        <w:t>J</w:t>
      </w:r>
      <w:r w:rsidR="00F137D9" w:rsidRPr="009F0910">
        <w:rPr>
          <w:rFonts w:cstheme="minorHAnsi"/>
          <w:sz w:val="24"/>
          <w:szCs w:val="24"/>
        </w:rPr>
        <w:t>R and JP</w:t>
      </w:r>
      <w:r w:rsidR="00D025AB" w:rsidRPr="009F0910">
        <w:rPr>
          <w:rFonts w:cstheme="minorHAnsi"/>
          <w:sz w:val="24"/>
          <w:szCs w:val="24"/>
        </w:rPr>
        <w:t xml:space="preserve">) </w:t>
      </w:r>
      <w:r w:rsidR="00182633" w:rsidRPr="009F0910">
        <w:rPr>
          <w:rFonts w:cstheme="minorHAnsi"/>
          <w:sz w:val="24"/>
          <w:szCs w:val="24"/>
        </w:rPr>
        <w:t xml:space="preserve">annotated the transcripts extensively with their initial </w:t>
      </w:r>
      <w:r w:rsidR="00B31011" w:rsidRPr="009F0910">
        <w:rPr>
          <w:rFonts w:cstheme="minorHAnsi"/>
          <w:sz w:val="24"/>
          <w:szCs w:val="24"/>
        </w:rPr>
        <w:t>observations, which were then compared to</w:t>
      </w:r>
      <w:r w:rsidR="00182633" w:rsidRPr="009F0910">
        <w:rPr>
          <w:rFonts w:cstheme="minorHAnsi"/>
          <w:sz w:val="24"/>
          <w:szCs w:val="24"/>
        </w:rPr>
        <w:t xml:space="preserve"> </w:t>
      </w:r>
      <w:r w:rsidR="00C57268" w:rsidRPr="009F0910">
        <w:rPr>
          <w:rFonts w:cstheme="minorHAnsi"/>
          <w:sz w:val="24"/>
          <w:szCs w:val="24"/>
        </w:rPr>
        <w:t>ensure that there was a standard approach to coding</w:t>
      </w:r>
      <w:r w:rsidR="00A43B60" w:rsidRPr="009F0910">
        <w:rPr>
          <w:rFonts w:cstheme="minorHAnsi"/>
          <w:sz w:val="24"/>
          <w:szCs w:val="24"/>
        </w:rPr>
        <w:t xml:space="preserve">. </w:t>
      </w:r>
      <w:r w:rsidR="00B31011" w:rsidRPr="009F0910">
        <w:rPr>
          <w:rFonts w:cstheme="minorHAnsi"/>
          <w:sz w:val="24"/>
          <w:szCs w:val="24"/>
        </w:rPr>
        <w:t>One author</w:t>
      </w:r>
      <w:r w:rsidRPr="009F0910">
        <w:rPr>
          <w:rFonts w:cstheme="minorHAnsi"/>
          <w:sz w:val="24"/>
          <w:szCs w:val="24"/>
        </w:rPr>
        <w:t xml:space="preserve"> </w:t>
      </w:r>
      <w:r w:rsidR="00D025AB" w:rsidRPr="009F0910">
        <w:rPr>
          <w:rFonts w:cstheme="minorHAnsi"/>
          <w:sz w:val="24"/>
          <w:szCs w:val="24"/>
        </w:rPr>
        <w:t>(</w:t>
      </w:r>
      <w:r w:rsidR="00F137D9" w:rsidRPr="009F0910">
        <w:rPr>
          <w:rFonts w:cstheme="minorHAnsi"/>
          <w:sz w:val="24"/>
          <w:szCs w:val="24"/>
        </w:rPr>
        <w:t>JR</w:t>
      </w:r>
      <w:r w:rsidR="00D025AB" w:rsidRPr="009F0910">
        <w:rPr>
          <w:rFonts w:cstheme="minorHAnsi"/>
          <w:sz w:val="24"/>
          <w:szCs w:val="24"/>
        </w:rPr>
        <w:t xml:space="preserve">) </w:t>
      </w:r>
      <w:r w:rsidRPr="009F0910">
        <w:rPr>
          <w:rFonts w:cstheme="minorHAnsi"/>
          <w:sz w:val="24"/>
          <w:szCs w:val="24"/>
        </w:rPr>
        <w:t>t</w:t>
      </w:r>
      <w:r w:rsidR="00B31011" w:rsidRPr="009F0910">
        <w:rPr>
          <w:rFonts w:cstheme="minorHAnsi"/>
          <w:sz w:val="24"/>
          <w:szCs w:val="24"/>
        </w:rPr>
        <w:t xml:space="preserve">hen </w:t>
      </w:r>
      <w:r w:rsidR="00C57268" w:rsidRPr="009F0910">
        <w:rPr>
          <w:rFonts w:cstheme="minorHAnsi"/>
          <w:sz w:val="24"/>
          <w:szCs w:val="24"/>
        </w:rPr>
        <w:t>develop</w:t>
      </w:r>
      <w:r w:rsidR="00DF640A" w:rsidRPr="009F0910">
        <w:rPr>
          <w:rFonts w:cstheme="minorHAnsi"/>
          <w:sz w:val="24"/>
          <w:szCs w:val="24"/>
        </w:rPr>
        <w:t>ed</w:t>
      </w:r>
      <w:r w:rsidR="00C57268" w:rsidRPr="009F0910">
        <w:rPr>
          <w:rFonts w:cstheme="minorHAnsi"/>
          <w:sz w:val="24"/>
          <w:szCs w:val="24"/>
        </w:rPr>
        <w:t xml:space="preserve"> category labels for collections of references to the discursive objects </w:t>
      </w:r>
      <w:r w:rsidR="005A2335" w:rsidRPr="009F0910">
        <w:rPr>
          <w:rFonts w:cstheme="minorHAnsi"/>
          <w:sz w:val="24"/>
          <w:szCs w:val="24"/>
        </w:rPr>
        <w:t xml:space="preserve">of concern </w:t>
      </w:r>
      <w:r w:rsidR="00C57268" w:rsidRPr="009F0910">
        <w:rPr>
          <w:rFonts w:cstheme="minorHAnsi"/>
          <w:sz w:val="24"/>
          <w:szCs w:val="24"/>
        </w:rPr>
        <w:t>(</w:t>
      </w:r>
      <w:r w:rsidR="00A525FB" w:rsidRPr="009F0910">
        <w:rPr>
          <w:rFonts w:cstheme="minorHAnsi"/>
          <w:sz w:val="24"/>
          <w:szCs w:val="24"/>
        </w:rPr>
        <w:t xml:space="preserve">referred to collectively as “sexuality”, and </w:t>
      </w:r>
      <w:r w:rsidR="005A2335" w:rsidRPr="009F0910">
        <w:rPr>
          <w:rFonts w:cstheme="minorHAnsi"/>
          <w:sz w:val="24"/>
          <w:szCs w:val="24"/>
        </w:rPr>
        <w:t xml:space="preserve">pre-determined </w:t>
      </w:r>
      <w:r w:rsidR="00A525FB" w:rsidRPr="009F0910">
        <w:rPr>
          <w:rFonts w:cstheme="minorHAnsi"/>
          <w:sz w:val="24"/>
          <w:szCs w:val="24"/>
        </w:rPr>
        <w:t>as: sexual desire; sexual contact; solo sexual activity; feelings of attractiveness; romance; emotional / physical intimacy and relationships; sexual relationships</w:t>
      </w:r>
      <w:r w:rsidR="00C57268" w:rsidRPr="009F0910">
        <w:rPr>
          <w:rFonts w:cstheme="minorHAnsi"/>
          <w:sz w:val="24"/>
          <w:szCs w:val="24"/>
        </w:rPr>
        <w:t>). Category labels were developed in an iterative process of finding the most appropriate description for each collection of references.</w:t>
      </w:r>
      <w:r w:rsidR="00CC4D11" w:rsidRPr="009F0910">
        <w:rPr>
          <w:rFonts w:cstheme="minorHAnsi"/>
          <w:sz w:val="24"/>
          <w:szCs w:val="24"/>
        </w:rPr>
        <w:t xml:space="preserve"> Authors</w:t>
      </w:r>
      <w:r w:rsidR="00C57268" w:rsidRPr="009F0910">
        <w:rPr>
          <w:rFonts w:cstheme="minorHAnsi"/>
          <w:sz w:val="24"/>
          <w:szCs w:val="24"/>
        </w:rPr>
        <w:t xml:space="preserve"> </w:t>
      </w:r>
      <w:r w:rsidR="0087575B" w:rsidRPr="009F0910">
        <w:rPr>
          <w:rFonts w:cstheme="minorHAnsi"/>
          <w:sz w:val="24"/>
          <w:szCs w:val="24"/>
        </w:rPr>
        <w:t>JR</w:t>
      </w:r>
      <w:r w:rsidR="00CC4D11" w:rsidRPr="009F0910">
        <w:rPr>
          <w:rFonts w:cstheme="minorHAnsi"/>
          <w:sz w:val="24"/>
          <w:szCs w:val="24"/>
        </w:rPr>
        <w:t xml:space="preserve"> and SB</w:t>
      </w:r>
      <w:r w:rsidR="00DF640A" w:rsidRPr="009F0910">
        <w:rPr>
          <w:rFonts w:cstheme="minorHAnsi"/>
          <w:sz w:val="24"/>
          <w:szCs w:val="24"/>
        </w:rPr>
        <w:t xml:space="preserve"> </w:t>
      </w:r>
      <w:r w:rsidR="00D025AB" w:rsidRPr="009F0910">
        <w:rPr>
          <w:rFonts w:cstheme="minorHAnsi"/>
          <w:sz w:val="24"/>
          <w:szCs w:val="24"/>
        </w:rPr>
        <w:t xml:space="preserve">then </w:t>
      </w:r>
      <w:r w:rsidR="007F112E" w:rsidRPr="009F0910">
        <w:rPr>
          <w:rFonts w:cstheme="minorHAnsi"/>
          <w:sz w:val="24"/>
          <w:szCs w:val="24"/>
        </w:rPr>
        <w:t>examine</w:t>
      </w:r>
      <w:r w:rsidR="00DF640A" w:rsidRPr="009F0910">
        <w:rPr>
          <w:rFonts w:cstheme="minorHAnsi"/>
          <w:sz w:val="24"/>
          <w:szCs w:val="24"/>
        </w:rPr>
        <w:t>d</w:t>
      </w:r>
      <w:r w:rsidR="007F112E" w:rsidRPr="009F0910">
        <w:rPr>
          <w:rFonts w:cstheme="minorHAnsi"/>
          <w:sz w:val="24"/>
          <w:szCs w:val="24"/>
        </w:rPr>
        <w:t xml:space="preserve"> more closely the different ways that the discursive objects were constructe</w:t>
      </w:r>
      <w:r w:rsidR="00DF640A" w:rsidRPr="009F0910">
        <w:rPr>
          <w:rFonts w:cstheme="minorHAnsi"/>
          <w:sz w:val="24"/>
          <w:szCs w:val="24"/>
        </w:rPr>
        <w:t xml:space="preserve">d, and </w:t>
      </w:r>
      <w:r w:rsidR="007F112E" w:rsidRPr="009F0910">
        <w:rPr>
          <w:rFonts w:cstheme="minorHAnsi"/>
          <w:sz w:val="24"/>
          <w:szCs w:val="24"/>
        </w:rPr>
        <w:t>then turned to identifying the “action-orientation”</w:t>
      </w:r>
      <w:r w:rsidR="004258A5" w:rsidRPr="009F0910">
        <w:rPr>
          <w:rFonts w:cstheme="minorHAnsi"/>
          <w:sz w:val="24"/>
          <w:szCs w:val="24"/>
        </w:rPr>
        <w:t xml:space="preserve"> of the discourses, focusing on the speaker’s discursive practices to consider the purposes served by deploying particular discourses. Subsequently, </w:t>
      </w:r>
      <w:r w:rsidR="00C83D69" w:rsidRPr="009F0910">
        <w:rPr>
          <w:rFonts w:cstheme="minorHAnsi"/>
          <w:sz w:val="24"/>
          <w:szCs w:val="24"/>
        </w:rPr>
        <w:t>the lead author (</w:t>
      </w:r>
      <w:r w:rsidR="00F137D9" w:rsidRPr="009F0910">
        <w:rPr>
          <w:rFonts w:cstheme="minorHAnsi"/>
          <w:sz w:val="24"/>
          <w:szCs w:val="24"/>
        </w:rPr>
        <w:t>JR</w:t>
      </w:r>
      <w:r w:rsidR="00C83D69" w:rsidRPr="009F0910">
        <w:rPr>
          <w:rFonts w:cstheme="minorHAnsi"/>
          <w:sz w:val="24"/>
          <w:szCs w:val="24"/>
        </w:rPr>
        <w:t>)</w:t>
      </w:r>
      <w:r w:rsidR="004258A5" w:rsidRPr="009F0910">
        <w:rPr>
          <w:rFonts w:cstheme="minorHAnsi"/>
          <w:sz w:val="24"/>
          <w:szCs w:val="24"/>
        </w:rPr>
        <w:t xml:space="preserve"> examined how the positioning of subjects </w:t>
      </w:r>
      <w:r w:rsidR="00783221" w:rsidRPr="009F0910">
        <w:rPr>
          <w:rFonts w:cstheme="minorHAnsi"/>
          <w:sz w:val="24"/>
          <w:szCs w:val="24"/>
        </w:rPr>
        <w:t xml:space="preserve">– including the participants’ reflexing positioning – </w:t>
      </w:r>
      <w:r w:rsidR="004258A5" w:rsidRPr="009F0910">
        <w:rPr>
          <w:rFonts w:cstheme="minorHAnsi"/>
          <w:sz w:val="24"/>
          <w:szCs w:val="24"/>
        </w:rPr>
        <w:t>within the discourses had implications for</w:t>
      </w:r>
      <w:r w:rsidR="00783221" w:rsidRPr="009F0910">
        <w:rPr>
          <w:rFonts w:cstheme="minorHAnsi"/>
          <w:sz w:val="24"/>
          <w:szCs w:val="24"/>
        </w:rPr>
        <w:t xml:space="preserve"> the subjects’</w:t>
      </w:r>
      <w:r w:rsidR="004258A5" w:rsidRPr="009F0910">
        <w:rPr>
          <w:rFonts w:cstheme="minorHAnsi"/>
          <w:sz w:val="24"/>
          <w:szCs w:val="24"/>
        </w:rPr>
        <w:t xml:space="preserve"> </w:t>
      </w:r>
      <w:r w:rsidR="00783221" w:rsidRPr="009F0910">
        <w:rPr>
          <w:rFonts w:cstheme="minorHAnsi"/>
          <w:sz w:val="24"/>
          <w:szCs w:val="24"/>
        </w:rPr>
        <w:t xml:space="preserve">possibilities for action </w:t>
      </w:r>
      <w:r w:rsidR="006540B8" w:rsidRPr="009F0910">
        <w:rPr>
          <w:rFonts w:cstheme="minorHAnsi"/>
          <w:sz w:val="24"/>
          <w:szCs w:val="24"/>
        </w:rPr>
        <w:t xml:space="preserve">(what could </w:t>
      </w:r>
      <w:r w:rsidR="006540B8" w:rsidRPr="009F0910">
        <w:rPr>
          <w:rFonts w:cstheme="minorHAnsi"/>
          <w:sz w:val="24"/>
          <w:szCs w:val="24"/>
        </w:rPr>
        <w:lastRenderedPageBreak/>
        <w:t xml:space="preserve">be done) </w:t>
      </w:r>
      <w:r w:rsidR="00783221" w:rsidRPr="009F0910">
        <w:rPr>
          <w:rFonts w:cstheme="minorHAnsi"/>
          <w:sz w:val="24"/>
          <w:szCs w:val="24"/>
        </w:rPr>
        <w:t>and for experience</w:t>
      </w:r>
      <w:r w:rsidR="006540B8" w:rsidRPr="009F0910">
        <w:rPr>
          <w:rFonts w:cstheme="minorHAnsi"/>
          <w:sz w:val="24"/>
          <w:szCs w:val="24"/>
        </w:rPr>
        <w:t xml:space="preserve"> (what could be felt</w:t>
      </w:r>
      <w:r w:rsidR="00F83042" w:rsidRPr="009F0910">
        <w:rPr>
          <w:rFonts w:cstheme="minorHAnsi"/>
          <w:sz w:val="24"/>
          <w:szCs w:val="24"/>
        </w:rPr>
        <w:t xml:space="preserve">: </w:t>
      </w:r>
      <w:proofErr w:type="spellStart"/>
      <w:r w:rsidR="00F83042" w:rsidRPr="009F0910">
        <w:rPr>
          <w:rFonts w:cstheme="minorHAnsi"/>
          <w:sz w:val="24"/>
          <w:szCs w:val="24"/>
        </w:rPr>
        <w:t>Willig</w:t>
      </w:r>
      <w:proofErr w:type="spellEnd"/>
      <w:r w:rsidR="00F52708" w:rsidRPr="009F0910">
        <w:rPr>
          <w:rFonts w:cstheme="minorHAnsi"/>
          <w:sz w:val="24"/>
          <w:szCs w:val="24"/>
        </w:rPr>
        <w:t xml:space="preserve"> 2000</w:t>
      </w:r>
      <w:r w:rsidR="006540B8" w:rsidRPr="009F0910">
        <w:rPr>
          <w:rFonts w:cstheme="minorHAnsi"/>
          <w:sz w:val="24"/>
          <w:szCs w:val="24"/>
        </w:rPr>
        <w:t>)</w:t>
      </w:r>
      <w:r w:rsidR="00783221" w:rsidRPr="009F0910">
        <w:rPr>
          <w:rFonts w:cstheme="minorHAnsi"/>
          <w:sz w:val="24"/>
          <w:szCs w:val="24"/>
        </w:rPr>
        <w:t xml:space="preserve">. </w:t>
      </w:r>
      <w:r w:rsidR="006540B8" w:rsidRPr="009F0910">
        <w:rPr>
          <w:rFonts w:cstheme="minorHAnsi"/>
          <w:sz w:val="24"/>
          <w:szCs w:val="24"/>
        </w:rPr>
        <w:t xml:space="preserve">The author responsible for this part of the analysis met with the other authors frequently, to discuss the coherence of the analysis. </w:t>
      </w:r>
    </w:p>
    <w:p w14:paraId="541AEFF9" w14:textId="77777777" w:rsidR="007471DB" w:rsidRPr="009F0910" w:rsidRDefault="007471DB" w:rsidP="009F0910">
      <w:pPr>
        <w:spacing w:after="0" w:line="360" w:lineRule="auto"/>
        <w:contextualSpacing/>
        <w:jc w:val="both"/>
        <w:rPr>
          <w:rFonts w:cstheme="minorHAnsi"/>
          <w:b/>
          <w:sz w:val="24"/>
          <w:szCs w:val="24"/>
        </w:rPr>
      </w:pPr>
    </w:p>
    <w:p w14:paraId="574C564A" w14:textId="73F9E033" w:rsidR="001A67FB" w:rsidRPr="009F0910" w:rsidRDefault="001A67FB" w:rsidP="009F0910">
      <w:pPr>
        <w:spacing w:after="0" w:line="360" w:lineRule="auto"/>
        <w:contextualSpacing/>
        <w:jc w:val="both"/>
        <w:rPr>
          <w:rFonts w:cstheme="minorHAnsi"/>
          <w:b/>
          <w:sz w:val="24"/>
          <w:szCs w:val="24"/>
        </w:rPr>
      </w:pPr>
      <w:r w:rsidRPr="009F0910">
        <w:rPr>
          <w:rFonts w:cstheme="minorHAnsi"/>
          <w:b/>
          <w:sz w:val="24"/>
          <w:szCs w:val="24"/>
        </w:rPr>
        <w:t>Participants</w:t>
      </w:r>
    </w:p>
    <w:p w14:paraId="0B8176DF" w14:textId="77777777" w:rsidR="007471DB" w:rsidRPr="009F0910" w:rsidRDefault="007471DB" w:rsidP="009F0910">
      <w:pPr>
        <w:spacing w:after="0" w:line="360" w:lineRule="auto"/>
        <w:contextualSpacing/>
        <w:jc w:val="both"/>
        <w:rPr>
          <w:rFonts w:cstheme="minorHAnsi"/>
          <w:sz w:val="24"/>
          <w:szCs w:val="24"/>
        </w:rPr>
      </w:pPr>
    </w:p>
    <w:p w14:paraId="5D0B7C85" w14:textId="196AA7C0" w:rsidR="00B658DE" w:rsidRPr="009F0910" w:rsidRDefault="001A67FB" w:rsidP="009F0910">
      <w:pPr>
        <w:spacing w:after="0" w:line="360" w:lineRule="auto"/>
        <w:contextualSpacing/>
        <w:jc w:val="both"/>
        <w:rPr>
          <w:rFonts w:cstheme="minorHAnsi"/>
          <w:sz w:val="24"/>
          <w:szCs w:val="24"/>
        </w:rPr>
      </w:pPr>
      <w:r w:rsidRPr="009F0910">
        <w:rPr>
          <w:rFonts w:cstheme="minorHAnsi"/>
          <w:sz w:val="24"/>
          <w:szCs w:val="24"/>
        </w:rPr>
        <w:t>There were 26 participants</w:t>
      </w:r>
      <w:r w:rsidR="00D025AB" w:rsidRPr="009F0910">
        <w:rPr>
          <w:rFonts w:cstheme="minorHAnsi"/>
          <w:sz w:val="24"/>
          <w:szCs w:val="24"/>
        </w:rPr>
        <w:t xml:space="preserve"> in total</w:t>
      </w:r>
      <w:r w:rsidRPr="009F0910">
        <w:rPr>
          <w:rFonts w:cstheme="minorHAnsi"/>
          <w:sz w:val="24"/>
          <w:szCs w:val="24"/>
        </w:rPr>
        <w:t>: 16</w:t>
      </w:r>
      <w:r w:rsidR="00B42553" w:rsidRPr="009F0910">
        <w:rPr>
          <w:rFonts w:cstheme="minorHAnsi"/>
          <w:sz w:val="24"/>
          <w:szCs w:val="24"/>
        </w:rPr>
        <w:t xml:space="preserve"> </w:t>
      </w:r>
      <w:r w:rsidRPr="009F0910">
        <w:rPr>
          <w:rFonts w:cstheme="minorHAnsi"/>
          <w:sz w:val="24"/>
          <w:szCs w:val="24"/>
        </w:rPr>
        <w:t xml:space="preserve">inpatients </w:t>
      </w:r>
      <w:r w:rsidR="00AA6D06" w:rsidRPr="009F0910">
        <w:rPr>
          <w:rFonts w:cstheme="minorHAnsi"/>
          <w:sz w:val="24"/>
          <w:szCs w:val="24"/>
        </w:rPr>
        <w:t xml:space="preserve">(six </w:t>
      </w:r>
      <w:r w:rsidR="00FF3773" w:rsidRPr="009F0910">
        <w:rPr>
          <w:rFonts w:cstheme="minorHAnsi"/>
          <w:sz w:val="24"/>
          <w:szCs w:val="24"/>
        </w:rPr>
        <w:t>women</w:t>
      </w:r>
      <w:r w:rsidR="00AA6D06" w:rsidRPr="009F0910">
        <w:rPr>
          <w:rFonts w:cstheme="minorHAnsi"/>
          <w:sz w:val="24"/>
          <w:szCs w:val="24"/>
        </w:rPr>
        <w:t>, 10 m</w:t>
      </w:r>
      <w:r w:rsidR="00FF3773" w:rsidRPr="009F0910">
        <w:rPr>
          <w:rFonts w:cstheme="minorHAnsi"/>
          <w:sz w:val="24"/>
          <w:szCs w:val="24"/>
        </w:rPr>
        <w:t>en</w:t>
      </w:r>
      <w:r w:rsidR="00AA6D06" w:rsidRPr="009F0910">
        <w:rPr>
          <w:rFonts w:cstheme="minorHAnsi"/>
          <w:sz w:val="24"/>
          <w:szCs w:val="24"/>
        </w:rPr>
        <w:t xml:space="preserve">) </w:t>
      </w:r>
      <w:r w:rsidRPr="009F0910">
        <w:rPr>
          <w:rFonts w:cstheme="minorHAnsi"/>
          <w:sz w:val="24"/>
          <w:szCs w:val="24"/>
        </w:rPr>
        <w:t>and 10 ward staff</w:t>
      </w:r>
      <w:r w:rsidR="00AA6D06" w:rsidRPr="009F0910">
        <w:rPr>
          <w:rFonts w:cstheme="minorHAnsi"/>
          <w:sz w:val="24"/>
          <w:szCs w:val="24"/>
        </w:rPr>
        <w:t xml:space="preserve"> (three </w:t>
      </w:r>
      <w:r w:rsidR="00FF3773" w:rsidRPr="009F0910">
        <w:rPr>
          <w:rFonts w:cstheme="minorHAnsi"/>
          <w:sz w:val="24"/>
          <w:szCs w:val="24"/>
        </w:rPr>
        <w:t>women</w:t>
      </w:r>
      <w:r w:rsidR="00AA6D06" w:rsidRPr="009F0910">
        <w:rPr>
          <w:rFonts w:cstheme="minorHAnsi"/>
          <w:sz w:val="24"/>
          <w:szCs w:val="24"/>
        </w:rPr>
        <w:t xml:space="preserve">, seven </w:t>
      </w:r>
      <w:r w:rsidR="00FF3773" w:rsidRPr="009F0910">
        <w:rPr>
          <w:rFonts w:cstheme="minorHAnsi"/>
          <w:sz w:val="24"/>
          <w:szCs w:val="24"/>
        </w:rPr>
        <w:t>men</w:t>
      </w:r>
      <w:r w:rsidR="00AA6D06" w:rsidRPr="009F0910">
        <w:rPr>
          <w:rFonts w:cstheme="minorHAnsi"/>
          <w:sz w:val="24"/>
          <w:szCs w:val="24"/>
        </w:rPr>
        <w:t>)</w:t>
      </w:r>
      <w:r w:rsidRPr="009F0910">
        <w:rPr>
          <w:rFonts w:cstheme="minorHAnsi"/>
          <w:sz w:val="24"/>
          <w:szCs w:val="24"/>
        </w:rPr>
        <w:t>.</w:t>
      </w:r>
      <w:r w:rsidR="00B42553" w:rsidRPr="009F0910">
        <w:rPr>
          <w:rFonts w:cstheme="minorHAnsi"/>
          <w:sz w:val="24"/>
          <w:szCs w:val="24"/>
        </w:rPr>
        <w:t xml:space="preserve"> </w:t>
      </w:r>
      <w:r w:rsidR="00CD584C" w:rsidRPr="009F0910">
        <w:rPr>
          <w:rFonts w:cstheme="minorHAnsi"/>
          <w:sz w:val="24"/>
          <w:szCs w:val="24"/>
        </w:rPr>
        <w:t>The inpatient participants were aged 18 – 36 years (medi</w:t>
      </w:r>
      <w:r w:rsidR="001014E3" w:rsidRPr="009F0910">
        <w:rPr>
          <w:rFonts w:cstheme="minorHAnsi"/>
          <w:sz w:val="24"/>
          <w:szCs w:val="24"/>
        </w:rPr>
        <w:t>an = 27 ye</w:t>
      </w:r>
      <w:r w:rsidR="00D27370" w:rsidRPr="009F0910">
        <w:rPr>
          <w:rFonts w:cstheme="minorHAnsi"/>
          <w:sz w:val="24"/>
          <w:szCs w:val="24"/>
        </w:rPr>
        <w:t xml:space="preserve">ars). </w:t>
      </w:r>
      <w:r w:rsidR="0096247C" w:rsidRPr="009F0910">
        <w:rPr>
          <w:rFonts w:cstheme="minorHAnsi"/>
          <w:sz w:val="24"/>
          <w:szCs w:val="24"/>
        </w:rPr>
        <w:t xml:space="preserve">The ages of staff </w:t>
      </w:r>
      <w:r w:rsidR="003A5C94" w:rsidRPr="009F0910">
        <w:rPr>
          <w:rFonts w:cstheme="minorHAnsi"/>
          <w:sz w:val="24"/>
          <w:szCs w:val="24"/>
        </w:rPr>
        <w:t>participants were not collected</w:t>
      </w:r>
      <w:r w:rsidR="001014E3" w:rsidRPr="009F0910">
        <w:rPr>
          <w:rFonts w:cstheme="minorHAnsi"/>
          <w:sz w:val="24"/>
          <w:szCs w:val="24"/>
        </w:rPr>
        <w:t>.</w:t>
      </w:r>
      <w:r w:rsidR="00D27370" w:rsidRPr="009F0910">
        <w:rPr>
          <w:rFonts w:cstheme="minorHAnsi"/>
          <w:sz w:val="24"/>
          <w:szCs w:val="24"/>
        </w:rPr>
        <w:t xml:space="preserve"> </w:t>
      </w:r>
      <w:r w:rsidR="003A5C94" w:rsidRPr="009F0910">
        <w:rPr>
          <w:rFonts w:cstheme="minorHAnsi"/>
          <w:sz w:val="24"/>
          <w:szCs w:val="24"/>
        </w:rPr>
        <w:t xml:space="preserve">Six staff members were </w:t>
      </w:r>
      <w:r w:rsidR="00D025AB" w:rsidRPr="009F0910">
        <w:rPr>
          <w:rFonts w:cstheme="minorHAnsi"/>
          <w:sz w:val="24"/>
          <w:szCs w:val="24"/>
        </w:rPr>
        <w:t>h</w:t>
      </w:r>
      <w:r w:rsidR="003A5C94" w:rsidRPr="009F0910">
        <w:rPr>
          <w:rFonts w:cstheme="minorHAnsi"/>
          <w:sz w:val="24"/>
          <w:szCs w:val="24"/>
        </w:rPr>
        <w:t xml:space="preserve">ealthcare </w:t>
      </w:r>
      <w:r w:rsidR="00D025AB" w:rsidRPr="009F0910">
        <w:rPr>
          <w:rFonts w:cstheme="minorHAnsi"/>
          <w:sz w:val="24"/>
          <w:szCs w:val="24"/>
        </w:rPr>
        <w:t>a</w:t>
      </w:r>
      <w:r w:rsidR="003A5C94" w:rsidRPr="009F0910">
        <w:rPr>
          <w:rFonts w:cstheme="minorHAnsi"/>
          <w:sz w:val="24"/>
          <w:szCs w:val="24"/>
        </w:rPr>
        <w:t xml:space="preserve">ssistants (HCAs), and there was one of each of </w:t>
      </w:r>
      <w:r w:rsidR="00D025AB" w:rsidRPr="009F0910">
        <w:rPr>
          <w:rFonts w:cstheme="minorHAnsi"/>
          <w:sz w:val="24"/>
          <w:szCs w:val="24"/>
        </w:rPr>
        <w:t>s</w:t>
      </w:r>
      <w:r w:rsidR="003A5C94" w:rsidRPr="009F0910">
        <w:rPr>
          <w:rFonts w:cstheme="minorHAnsi"/>
          <w:sz w:val="24"/>
          <w:szCs w:val="24"/>
        </w:rPr>
        <w:t xml:space="preserve">enior </w:t>
      </w:r>
      <w:r w:rsidR="00D025AB" w:rsidRPr="009F0910">
        <w:rPr>
          <w:rFonts w:cstheme="minorHAnsi"/>
          <w:sz w:val="24"/>
          <w:szCs w:val="24"/>
        </w:rPr>
        <w:t>s</w:t>
      </w:r>
      <w:r w:rsidR="003A5C94" w:rsidRPr="009F0910">
        <w:rPr>
          <w:rFonts w:cstheme="minorHAnsi"/>
          <w:sz w:val="24"/>
          <w:szCs w:val="24"/>
        </w:rPr>
        <w:t xml:space="preserve">taff </w:t>
      </w:r>
      <w:r w:rsidR="00D025AB" w:rsidRPr="009F0910">
        <w:rPr>
          <w:rFonts w:cstheme="minorHAnsi"/>
          <w:sz w:val="24"/>
          <w:szCs w:val="24"/>
        </w:rPr>
        <w:t>n</w:t>
      </w:r>
      <w:r w:rsidR="003A5C94" w:rsidRPr="009F0910">
        <w:rPr>
          <w:rFonts w:cstheme="minorHAnsi"/>
          <w:sz w:val="24"/>
          <w:szCs w:val="24"/>
        </w:rPr>
        <w:t xml:space="preserve">urse, </w:t>
      </w:r>
      <w:r w:rsidR="00D025AB" w:rsidRPr="009F0910">
        <w:rPr>
          <w:rFonts w:cstheme="minorHAnsi"/>
          <w:sz w:val="24"/>
          <w:szCs w:val="24"/>
        </w:rPr>
        <w:t>s</w:t>
      </w:r>
      <w:r w:rsidR="003A5C94" w:rsidRPr="009F0910">
        <w:rPr>
          <w:rFonts w:cstheme="minorHAnsi"/>
          <w:sz w:val="24"/>
          <w:szCs w:val="24"/>
        </w:rPr>
        <w:t xml:space="preserve">taff </w:t>
      </w:r>
      <w:r w:rsidR="00D025AB" w:rsidRPr="009F0910">
        <w:rPr>
          <w:rFonts w:cstheme="minorHAnsi"/>
          <w:sz w:val="24"/>
          <w:szCs w:val="24"/>
        </w:rPr>
        <w:t>n</w:t>
      </w:r>
      <w:r w:rsidR="003A5C94" w:rsidRPr="009F0910">
        <w:rPr>
          <w:rFonts w:cstheme="minorHAnsi"/>
          <w:sz w:val="24"/>
          <w:szCs w:val="24"/>
        </w:rPr>
        <w:t xml:space="preserve">urse, </w:t>
      </w:r>
      <w:r w:rsidR="00D025AB" w:rsidRPr="009F0910">
        <w:rPr>
          <w:rFonts w:cstheme="minorHAnsi"/>
          <w:sz w:val="24"/>
          <w:szCs w:val="24"/>
        </w:rPr>
        <w:t>n</w:t>
      </w:r>
      <w:r w:rsidR="003A5C94" w:rsidRPr="009F0910">
        <w:rPr>
          <w:rFonts w:cstheme="minorHAnsi"/>
          <w:sz w:val="24"/>
          <w:szCs w:val="24"/>
        </w:rPr>
        <w:t xml:space="preserve">ursing </w:t>
      </w:r>
      <w:r w:rsidR="00D025AB" w:rsidRPr="009F0910">
        <w:rPr>
          <w:rFonts w:cstheme="minorHAnsi"/>
          <w:sz w:val="24"/>
          <w:szCs w:val="24"/>
        </w:rPr>
        <w:t>s</w:t>
      </w:r>
      <w:r w:rsidR="003A5C94" w:rsidRPr="009F0910">
        <w:rPr>
          <w:rFonts w:cstheme="minorHAnsi"/>
          <w:sz w:val="24"/>
          <w:szCs w:val="24"/>
        </w:rPr>
        <w:t xml:space="preserve">tudent, and </w:t>
      </w:r>
      <w:r w:rsidR="00D025AB" w:rsidRPr="009F0910">
        <w:rPr>
          <w:rFonts w:cstheme="minorHAnsi"/>
          <w:sz w:val="24"/>
          <w:szCs w:val="24"/>
        </w:rPr>
        <w:t>a</w:t>
      </w:r>
      <w:r w:rsidR="003A5C94" w:rsidRPr="009F0910">
        <w:rPr>
          <w:rFonts w:cstheme="minorHAnsi"/>
          <w:sz w:val="24"/>
          <w:szCs w:val="24"/>
        </w:rPr>
        <w:t xml:space="preserve">ctivity </w:t>
      </w:r>
      <w:r w:rsidR="00D025AB" w:rsidRPr="009F0910">
        <w:rPr>
          <w:rFonts w:cstheme="minorHAnsi"/>
          <w:sz w:val="24"/>
          <w:szCs w:val="24"/>
        </w:rPr>
        <w:t>c</w:t>
      </w:r>
      <w:r w:rsidR="003A5C94" w:rsidRPr="009F0910">
        <w:rPr>
          <w:rFonts w:cstheme="minorHAnsi"/>
          <w:sz w:val="24"/>
          <w:szCs w:val="24"/>
        </w:rPr>
        <w:t xml:space="preserve">o-ordinator. </w:t>
      </w:r>
    </w:p>
    <w:p w14:paraId="1512B0E7" w14:textId="49666887" w:rsidR="00D27370" w:rsidRPr="009F0910" w:rsidRDefault="001014E3" w:rsidP="009F0910">
      <w:pPr>
        <w:spacing w:after="0" w:line="360" w:lineRule="auto"/>
        <w:contextualSpacing/>
        <w:jc w:val="both"/>
        <w:rPr>
          <w:rFonts w:cstheme="minorHAnsi"/>
          <w:sz w:val="24"/>
          <w:szCs w:val="24"/>
        </w:rPr>
      </w:pPr>
      <w:r w:rsidRPr="009F0910">
        <w:rPr>
          <w:rFonts w:cstheme="minorHAnsi"/>
          <w:sz w:val="24"/>
          <w:szCs w:val="24"/>
        </w:rPr>
        <w:tab/>
      </w:r>
      <w:r w:rsidR="004D5991" w:rsidRPr="009F0910">
        <w:rPr>
          <w:rFonts w:cstheme="minorHAnsi"/>
          <w:sz w:val="24"/>
          <w:szCs w:val="24"/>
        </w:rPr>
        <w:t>Participants were selec</w:t>
      </w:r>
      <w:r w:rsidR="000A3EC2" w:rsidRPr="009F0910">
        <w:rPr>
          <w:rFonts w:cstheme="minorHAnsi"/>
          <w:sz w:val="24"/>
          <w:szCs w:val="24"/>
        </w:rPr>
        <w:t>ted by purposive sampling from</w:t>
      </w:r>
      <w:r w:rsidR="00FA114F" w:rsidRPr="009F0910">
        <w:rPr>
          <w:rFonts w:cstheme="minorHAnsi"/>
          <w:sz w:val="24"/>
          <w:szCs w:val="24"/>
        </w:rPr>
        <w:t xml:space="preserve"> one low secure and</w:t>
      </w:r>
      <w:r w:rsidR="000A3EC2" w:rsidRPr="009F0910">
        <w:rPr>
          <w:rFonts w:cstheme="minorHAnsi"/>
          <w:sz w:val="24"/>
          <w:szCs w:val="24"/>
        </w:rPr>
        <w:t xml:space="preserve"> </w:t>
      </w:r>
      <w:r w:rsidR="00FA114F" w:rsidRPr="009F0910">
        <w:rPr>
          <w:rFonts w:cstheme="minorHAnsi"/>
          <w:sz w:val="24"/>
          <w:szCs w:val="24"/>
        </w:rPr>
        <w:t xml:space="preserve">four medium-secure </w:t>
      </w:r>
      <w:r w:rsidR="004D5991" w:rsidRPr="009F0910">
        <w:rPr>
          <w:rFonts w:cstheme="minorHAnsi"/>
          <w:sz w:val="24"/>
          <w:szCs w:val="24"/>
        </w:rPr>
        <w:t>ward</w:t>
      </w:r>
      <w:r w:rsidR="00FA114F" w:rsidRPr="009F0910">
        <w:rPr>
          <w:rFonts w:cstheme="minorHAnsi"/>
          <w:sz w:val="24"/>
          <w:szCs w:val="24"/>
        </w:rPr>
        <w:t xml:space="preserve">s </w:t>
      </w:r>
      <w:r w:rsidR="004D5991" w:rsidRPr="009F0910">
        <w:rPr>
          <w:rFonts w:cstheme="minorHAnsi"/>
          <w:sz w:val="24"/>
          <w:szCs w:val="24"/>
        </w:rPr>
        <w:t>of the same mental health</w:t>
      </w:r>
      <w:r w:rsidR="0096247C" w:rsidRPr="009F0910">
        <w:rPr>
          <w:rFonts w:cstheme="minorHAnsi"/>
          <w:sz w:val="24"/>
          <w:szCs w:val="24"/>
        </w:rPr>
        <w:t>care</w:t>
      </w:r>
      <w:r w:rsidR="004D5991" w:rsidRPr="009F0910">
        <w:rPr>
          <w:rFonts w:cstheme="minorHAnsi"/>
          <w:sz w:val="24"/>
          <w:szCs w:val="24"/>
        </w:rPr>
        <w:t xml:space="preserve"> </w:t>
      </w:r>
      <w:r w:rsidR="00B016F3" w:rsidRPr="009F0910">
        <w:rPr>
          <w:rFonts w:cstheme="minorHAnsi"/>
          <w:sz w:val="24"/>
          <w:szCs w:val="24"/>
        </w:rPr>
        <w:t>facility</w:t>
      </w:r>
      <w:r w:rsidR="004D5991" w:rsidRPr="009F0910">
        <w:rPr>
          <w:rFonts w:cstheme="minorHAnsi"/>
          <w:sz w:val="24"/>
          <w:szCs w:val="24"/>
        </w:rPr>
        <w:t xml:space="preserve">, located in England. </w:t>
      </w:r>
      <w:r w:rsidR="00BF570B" w:rsidRPr="009F0910">
        <w:rPr>
          <w:rFonts w:cstheme="minorHAnsi"/>
          <w:sz w:val="24"/>
          <w:szCs w:val="24"/>
        </w:rPr>
        <w:t xml:space="preserve">Access to the wards was controlled strictly. Inpatients were not free to leave the wards by their own volition. Average duration of stay on </w:t>
      </w:r>
      <w:r w:rsidR="00A50D78" w:rsidRPr="009F0910">
        <w:rPr>
          <w:rFonts w:cstheme="minorHAnsi"/>
          <w:sz w:val="24"/>
          <w:szCs w:val="24"/>
        </w:rPr>
        <w:t>a given</w:t>
      </w:r>
      <w:r w:rsidR="00BF570B" w:rsidRPr="009F0910">
        <w:rPr>
          <w:rFonts w:cstheme="minorHAnsi"/>
          <w:sz w:val="24"/>
          <w:szCs w:val="24"/>
        </w:rPr>
        <w:t xml:space="preserve"> ward </w:t>
      </w:r>
      <w:r w:rsidR="00A50D78" w:rsidRPr="009F0910">
        <w:rPr>
          <w:rFonts w:cstheme="minorHAnsi"/>
          <w:sz w:val="24"/>
          <w:szCs w:val="24"/>
        </w:rPr>
        <w:t>was 12 to 27 months; although many inpatients resided in a number of wards during their stay at the facility</w:t>
      </w:r>
      <w:r w:rsidR="00BF570B" w:rsidRPr="009F0910">
        <w:rPr>
          <w:rFonts w:cstheme="minorHAnsi"/>
          <w:sz w:val="24"/>
          <w:szCs w:val="24"/>
        </w:rPr>
        <w:t xml:space="preserve">. </w:t>
      </w:r>
      <w:r w:rsidR="000A3EC2" w:rsidRPr="009F0910">
        <w:rPr>
          <w:rFonts w:cstheme="minorHAnsi"/>
          <w:sz w:val="24"/>
          <w:szCs w:val="24"/>
        </w:rPr>
        <w:t>To be considered for participation</w:t>
      </w:r>
      <w:r w:rsidR="00BF570B" w:rsidRPr="009F0910">
        <w:rPr>
          <w:rFonts w:cstheme="minorHAnsi"/>
          <w:sz w:val="24"/>
          <w:szCs w:val="24"/>
        </w:rPr>
        <w:t xml:space="preserve"> in the study</w:t>
      </w:r>
      <w:r w:rsidR="000A3EC2" w:rsidRPr="009F0910">
        <w:rPr>
          <w:rFonts w:cstheme="minorHAnsi"/>
          <w:sz w:val="24"/>
          <w:szCs w:val="24"/>
        </w:rPr>
        <w:t xml:space="preserve">, the inpatients had to be aged 18 or over and literate in English. Those who were experiencing cognitive impairment, were otherwise unable to provide informed consent, and / or whose participation was deemed unsuitable by clinical staff were excluded from participation. </w:t>
      </w:r>
      <w:r w:rsidR="006818D7" w:rsidRPr="009F0910">
        <w:rPr>
          <w:rFonts w:cstheme="minorHAnsi"/>
          <w:sz w:val="24"/>
          <w:szCs w:val="24"/>
        </w:rPr>
        <w:t>Recruitment of inpatients was done in</w:t>
      </w:r>
      <w:r w:rsidR="004849C3" w:rsidRPr="009F0910">
        <w:rPr>
          <w:rFonts w:cstheme="minorHAnsi"/>
          <w:sz w:val="24"/>
          <w:szCs w:val="24"/>
        </w:rPr>
        <w:t xml:space="preserve"> consultation</w:t>
      </w:r>
      <w:r w:rsidR="006818D7" w:rsidRPr="009F0910">
        <w:rPr>
          <w:rFonts w:cstheme="minorHAnsi"/>
          <w:sz w:val="24"/>
          <w:szCs w:val="24"/>
        </w:rPr>
        <w:t xml:space="preserve"> with ward staff and clinicians. </w:t>
      </w:r>
      <w:r w:rsidR="00D27370" w:rsidRPr="009F0910">
        <w:rPr>
          <w:rFonts w:cstheme="minorHAnsi"/>
          <w:sz w:val="24"/>
          <w:szCs w:val="24"/>
        </w:rPr>
        <w:t xml:space="preserve">Staff participants were recruited </w:t>
      </w:r>
      <w:r w:rsidR="006818D7" w:rsidRPr="009F0910">
        <w:rPr>
          <w:rFonts w:cstheme="minorHAnsi"/>
          <w:sz w:val="24"/>
          <w:szCs w:val="24"/>
        </w:rPr>
        <w:t>following direct, informal</w:t>
      </w:r>
      <w:r w:rsidR="00D27370" w:rsidRPr="009F0910">
        <w:rPr>
          <w:rFonts w:cstheme="minorHAnsi"/>
          <w:sz w:val="24"/>
          <w:szCs w:val="24"/>
        </w:rPr>
        <w:t xml:space="preserve"> conversations about the study between the interviewer and the ward staff. </w:t>
      </w:r>
      <w:r w:rsidR="00C24CB9" w:rsidRPr="009F0910">
        <w:rPr>
          <w:rFonts w:cstheme="minorHAnsi"/>
          <w:sz w:val="24"/>
          <w:szCs w:val="24"/>
        </w:rPr>
        <w:t xml:space="preserve">No reward or financial incentive was offered to participants. </w:t>
      </w:r>
    </w:p>
    <w:p w14:paraId="0EC90AAE" w14:textId="51AB6131" w:rsidR="00D025AB" w:rsidRPr="009F0910" w:rsidRDefault="00D025AB" w:rsidP="009F0910">
      <w:pPr>
        <w:spacing w:after="0" w:line="360" w:lineRule="auto"/>
        <w:contextualSpacing/>
        <w:jc w:val="both"/>
        <w:rPr>
          <w:rFonts w:cstheme="minorHAnsi"/>
          <w:sz w:val="24"/>
          <w:szCs w:val="24"/>
        </w:rPr>
      </w:pPr>
    </w:p>
    <w:p w14:paraId="36BC868B" w14:textId="2FF21064" w:rsidR="00D025AB" w:rsidRPr="009F0910" w:rsidRDefault="00D025AB" w:rsidP="009F0910">
      <w:pPr>
        <w:spacing w:after="0" w:line="360" w:lineRule="auto"/>
        <w:contextualSpacing/>
        <w:jc w:val="both"/>
        <w:rPr>
          <w:rFonts w:cstheme="minorHAnsi"/>
          <w:b/>
          <w:bCs/>
          <w:i/>
          <w:iCs/>
          <w:sz w:val="24"/>
          <w:szCs w:val="24"/>
        </w:rPr>
      </w:pPr>
      <w:r w:rsidRPr="009F0910">
        <w:rPr>
          <w:rFonts w:cstheme="minorHAnsi"/>
          <w:b/>
          <w:bCs/>
          <w:i/>
          <w:iCs/>
          <w:sz w:val="24"/>
          <w:szCs w:val="24"/>
        </w:rPr>
        <w:t>Ethical approval</w:t>
      </w:r>
    </w:p>
    <w:p w14:paraId="746B92AF" w14:textId="77777777" w:rsidR="00D025AB" w:rsidRPr="009F0910" w:rsidRDefault="00D025AB" w:rsidP="009F0910">
      <w:pPr>
        <w:spacing w:after="0" w:line="360" w:lineRule="auto"/>
        <w:contextualSpacing/>
        <w:jc w:val="both"/>
        <w:rPr>
          <w:rFonts w:cstheme="minorHAnsi"/>
          <w:sz w:val="24"/>
          <w:szCs w:val="24"/>
        </w:rPr>
      </w:pPr>
    </w:p>
    <w:p w14:paraId="09194691" w14:textId="10F60E80" w:rsidR="00D27370" w:rsidRPr="009F0910" w:rsidRDefault="00D27370" w:rsidP="009F0910">
      <w:pPr>
        <w:spacing w:after="0" w:line="360" w:lineRule="auto"/>
        <w:contextualSpacing/>
        <w:jc w:val="both"/>
        <w:rPr>
          <w:rFonts w:cstheme="minorHAnsi"/>
          <w:sz w:val="24"/>
          <w:szCs w:val="24"/>
        </w:rPr>
      </w:pPr>
      <w:r w:rsidRPr="009F0910">
        <w:rPr>
          <w:rFonts w:cstheme="minorHAnsi"/>
          <w:sz w:val="24"/>
          <w:szCs w:val="24"/>
        </w:rPr>
        <w:t>Ethical</w:t>
      </w:r>
      <w:r w:rsidR="00C24CB9" w:rsidRPr="009F0910">
        <w:rPr>
          <w:rFonts w:cstheme="minorHAnsi"/>
          <w:sz w:val="24"/>
          <w:szCs w:val="24"/>
        </w:rPr>
        <w:t xml:space="preserve"> approval was acqui</w:t>
      </w:r>
      <w:r w:rsidR="00105735" w:rsidRPr="009F0910">
        <w:rPr>
          <w:rFonts w:cstheme="minorHAnsi"/>
          <w:sz w:val="24"/>
          <w:szCs w:val="24"/>
        </w:rPr>
        <w:t xml:space="preserve">red from </w:t>
      </w:r>
      <w:r w:rsidR="00123B87">
        <w:rPr>
          <w:rFonts w:cstheme="minorHAnsi"/>
          <w:sz w:val="24"/>
          <w:szCs w:val="24"/>
        </w:rPr>
        <w:t>an</w:t>
      </w:r>
      <w:r w:rsidR="004F3855" w:rsidRPr="009F0910">
        <w:rPr>
          <w:rFonts w:cstheme="minorHAnsi"/>
          <w:sz w:val="24"/>
          <w:szCs w:val="24"/>
        </w:rPr>
        <w:t xml:space="preserve"> NHS </w:t>
      </w:r>
      <w:r w:rsidR="00123B87">
        <w:rPr>
          <w:rFonts w:cstheme="minorHAnsi"/>
          <w:sz w:val="24"/>
          <w:szCs w:val="24"/>
        </w:rPr>
        <w:t xml:space="preserve">Research Ethics Committee </w:t>
      </w:r>
      <w:r w:rsidR="0079263C" w:rsidRPr="009F0910">
        <w:rPr>
          <w:rFonts w:cstheme="minorHAnsi"/>
          <w:sz w:val="24"/>
          <w:szCs w:val="24"/>
        </w:rPr>
        <w:t xml:space="preserve">and from the London South Bank University </w:t>
      </w:r>
      <w:r w:rsidR="00976805" w:rsidRPr="009F0910">
        <w:rPr>
          <w:rFonts w:cstheme="minorHAnsi"/>
          <w:sz w:val="24"/>
          <w:szCs w:val="24"/>
        </w:rPr>
        <w:t xml:space="preserve">Ethics Panel. </w:t>
      </w:r>
      <w:r w:rsidR="00C24CB9" w:rsidRPr="009F0910">
        <w:rPr>
          <w:rFonts w:cstheme="minorHAnsi"/>
          <w:sz w:val="24"/>
          <w:szCs w:val="24"/>
        </w:rPr>
        <w:t xml:space="preserve">Participants gave written informed consent. They were told at the beginning of the group interviews </w:t>
      </w:r>
      <w:r w:rsidR="00353166" w:rsidRPr="009F0910">
        <w:rPr>
          <w:rFonts w:cstheme="minorHAnsi"/>
          <w:sz w:val="24"/>
          <w:szCs w:val="24"/>
        </w:rPr>
        <w:t xml:space="preserve">and reminded throughout </w:t>
      </w:r>
      <w:r w:rsidR="00C24CB9" w:rsidRPr="009F0910">
        <w:rPr>
          <w:rFonts w:cstheme="minorHAnsi"/>
          <w:sz w:val="24"/>
          <w:szCs w:val="24"/>
        </w:rPr>
        <w:t>that they were free to suspend or terminate th</w:t>
      </w:r>
      <w:r w:rsidR="00BB0D85" w:rsidRPr="009F0910">
        <w:rPr>
          <w:rFonts w:cstheme="minorHAnsi"/>
          <w:sz w:val="24"/>
          <w:szCs w:val="24"/>
        </w:rPr>
        <w:t xml:space="preserve">eir participation at any point, and </w:t>
      </w:r>
      <w:r w:rsidR="00C24CB9" w:rsidRPr="009F0910">
        <w:rPr>
          <w:rFonts w:cstheme="minorHAnsi"/>
          <w:sz w:val="24"/>
          <w:szCs w:val="24"/>
        </w:rPr>
        <w:t xml:space="preserve">that they could choose </w:t>
      </w:r>
      <w:r w:rsidR="004560A0" w:rsidRPr="009F0910">
        <w:rPr>
          <w:rFonts w:cstheme="minorHAnsi"/>
          <w:sz w:val="24"/>
          <w:szCs w:val="24"/>
        </w:rPr>
        <w:t xml:space="preserve">not </w:t>
      </w:r>
      <w:r w:rsidR="00C24CB9" w:rsidRPr="009F0910">
        <w:rPr>
          <w:rFonts w:cstheme="minorHAnsi"/>
          <w:sz w:val="24"/>
          <w:szCs w:val="24"/>
        </w:rPr>
        <w:t xml:space="preserve">to answer any given question. </w:t>
      </w:r>
      <w:r w:rsidR="00353166" w:rsidRPr="009F0910">
        <w:rPr>
          <w:rFonts w:cstheme="minorHAnsi"/>
          <w:sz w:val="24"/>
          <w:szCs w:val="24"/>
        </w:rPr>
        <w:t xml:space="preserve">They were </w:t>
      </w:r>
      <w:r w:rsidR="00730F85" w:rsidRPr="009F0910">
        <w:rPr>
          <w:rFonts w:cstheme="minorHAnsi"/>
          <w:sz w:val="24"/>
          <w:szCs w:val="24"/>
        </w:rPr>
        <w:t xml:space="preserve">also </w:t>
      </w:r>
      <w:r w:rsidR="00353166" w:rsidRPr="009F0910">
        <w:rPr>
          <w:rFonts w:cstheme="minorHAnsi"/>
          <w:sz w:val="24"/>
          <w:szCs w:val="24"/>
        </w:rPr>
        <w:t xml:space="preserve">reassured that data would be kept </w:t>
      </w:r>
      <w:r w:rsidR="006E34A7" w:rsidRPr="009F0910">
        <w:rPr>
          <w:rFonts w:cstheme="minorHAnsi"/>
          <w:sz w:val="24"/>
          <w:szCs w:val="24"/>
        </w:rPr>
        <w:t>confidential and</w:t>
      </w:r>
      <w:r w:rsidR="00353166" w:rsidRPr="009F0910">
        <w:rPr>
          <w:rFonts w:cstheme="minorHAnsi"/>
          <w:sz w:val="24"/>
          <w:szCs w:val="24"/>
        </w:rPr>
        <w:t xml:space="preserve"> would not be shared with clinicians or ward staff unless previously </w:t>
      </w:r>
      <w:r w:rsidR="00353166" w:rsidRPr="009F0910">
        <w:rPr>
          <w:rFonts w:cstheme="minorHAnsi"/>
          <w:sz w:val="24"/>
          <w:szCs w:val="24"/>
        </w:rPr>
        <w:lastRenderedPageBreak/>
        <w:t xml:space="preserve">unknown information regarding criminal activity were disclosed. </w:t>
      </w:r>
      <w:r w:rsidR="005A2335" w:rsidRPr="009F0910">
        <w:rPr>
          <w:rFonts w:cstheme="minorHAnsi"/>
          <w:sz w:val="24"/>
          <w:szCs w:val="24"/>
        </w:rPr>
        <w:t>It was made clear to the inpatient participants that the group interviews were not intended to be therapeutic, and that their participation (or lack of) would have no imp</w:t>
      </w:r>
      <w:r w:rsidR="00F52708" w:rsidRPr="009F0910">
        <w:rPr>
          <w:rFonts w:cstheme="minorHAnsi"/>
          <w:sz w:val="24"/>
          <w:szCs w:val="24"/>
        </w:rPr>
        <w:t>act on their experience in the hospital</w:t>
      </w:r>
      <w:r w:rsidR="005A2335" w:rsidRPr="009F0910">
        <w:rPr>
          <w:rFonts w:cstheme="minorHAnsi"/>
          <w:sz w:val="24"/>
          <w:szCs w:val="24"/>
        </w:rPr>
        <w:t xml:space="preserve">. </w:t>
      </w:r>
      <w:r w:rsidR="00433396" w:rsidRPr="009F0910">
        <w:rPr>
          <w:rFonts w:cstheme="minorHAnsi"/>
          <w:sz w:val="24"/>
          <w:szCs w:val="24"/>
        </w:rPr>
        <w:t xml:space="preserve">In the transcripts, participants’ names were changed to pseudonyms </w:t>
      </w:r>
      <w:r w:rsidR="000F159D" w:rsidRPr="009F0910">
        <w:rPr>
          <w:rFonts w:cstheme="minorHAnsi"/>
          <w:sz w:val="24"/>
          <w:szCs w:val="24"/>
        </w:rPr>
        <w:t xml:space="preserve">and any potentially identifying information deleted. </w:t>
      </w:r>
    </w:p>
    <w:p w14:paraId="564E4603" w14:textId="58BFB3F0" w:rsidR="007471DB" w:rsidRPr="009F0910" w:rsidRDefault="007471DB" w:rsidP="009F0910">
      <w:pPr>
        <w:spacing w:after="0" w:line="360" w:lineRule="auto"/>
        <w:contextualSpacing/>
        <w:jc w:val="both"/>
        <w:rPr>
          <w:rFonts w:cstheme="minorHAnsi"/>
          <w:b/>
          <w:sz w:val="24"/>
          <w:szCs w:val="24"/>
        </w:rPr>
      </w:pPr>
    </w:p>
    <w:p w14:paraId="4D66F2C7" w14:textId="560E5D76" w:rsidR="00D025AB" w:rsidRPr="009F0910" w:rsidRDefault="00D025AB" w:rsidP="009F0910">
      <w:pPr>
        <w:spacing w:after="0" w:line="360" w:lineRule="auto"/>
        <w:contextualSpacing/>
        <w:jc w:val="both"/>
        <w:rPr>
          <w:rFonts w:cstheme="minorHAnsi"/>
          <w:b/>
          <w:sz w:val="24"/>
          <w:szCs w:val="24"/>
        </w:rPr>
      </w:pPr>
      <w:r w:rsidRPr="009F0910">
        <w:rPr>
          <w:rFonts w:cstheme="minorHAnsi"/>
          <w:b/>
          <w:sz w:val="24"/>
          <w:szCs w:val="24"/>
        </w:rPr>
        <w:t>Findings</w:t>
      </w:r>
    </w:p>
    <w:p w14:paraId="00245CA6" w14:textId="0E030B8C" w:rsidR="00D025AB" w:rsidRPr="009F0910" w:rsidRDefault="00D025AB" w:rsidP="009F0910">
      <w:pPr>
        <w:spacing w:after="0" w:line="360" w:lineRule="auto"/>
        <w:contextualSpacing/>
        <w:jc w:val="both"/>
        <w:rPr>
          <w:rFonts w:cstheme="minorHAnsi"/>
          <w:b/>
          <w:sz w:val="24"/>
          <w:szCs w:val="24"/>
        </w:rPr>
      </w:pPr>
    </w:p>
    <w:p w14:paraId="25DEB907" w14:textId="724EBB1A" w:rsidR="00D025AB" w:rsidRPr="009F0910" w:rsidRDefault="00D025AB" w:rsidP="009F0910">
      <w:pPr>
        <w:spacing w:after="0" w:line="360" w:lineRule="auto"/>
        <w:contextualSpacing/>
        <w:jc w:val="both"/>
        <w:rPr>
          <w:rFonts w:cstheme="minorHAnsi"/>
          <w:sz w:val="24"/>
          <w:szCs w:val="24"/>
        </w:rPr>
      </w:pPr>
      <w:r w:rsidRPr="009F0910">
        <w:rPr>
          <w:rFonts w:cstheme="minorHAnsi"/>
          <w:sz w:val="24"/>
          <w:szCs w:val="24"/>
        </w:rPr>
        <w:t xml:space="preserve">Inpatients discussed sexuality in broad terms, articulating their experiences of having intimate and sexual relationships, their sexual feelings (for example, feelings of being attracted to people, and being attractive to others), their sexual orientation and their hopes for sexual futures </w:t>
      </w:r>
      <w:r w:rsidR="00B02A86" w:rsidRPr="009F0910">
        <w:rPr>
          <w:rFonts w:cstheme="minorHAnsi"/>
          <w:sz w:val="24"/>
          <w:szCs w:val="24"/>
        </w:rPr>
        <w:t>(</w:t>
      </w:r>
      <w:r w:rsidR="00431C4A" w:rsidRPr="009F0910">
        <w:rPr>
          <w:rFonts w:cstheme="minorHAnsi"/>
          <w:sz w:val="24"/>
          <w:szCs w:val="24"/>
        </w:rPr>
        <w:t>see also</w:t>
      </w:r>
      <w:r w:rsidR="00B02A86" w:rsidRPr="009F0910">
        <w:rPr>
          <w:rFonts w:cstheme="minorHAnsi"/>
          <w:sz w:val="24"/>
          <w:szCs w:val="24"/>
        </w:rPr>
        <w:t xml:space="preserve"> </w:t>
      </w:r>
      <w:r w:rsidRPr="009F0910">
        <w:rPr>
          <w:rFonts w:cstheme="minorHAnsi"/>
          <w:sz w:val="24"/>
          <w:szCs w:val="24"/>
        </w:rPr>
        <w:t xml:space="preserve">McCann </w:t>
      </w:r>
      <w:r w:rsidR="0005026B" w:rsidRPr="009F0910">
        <w:rPr>
          <w:rFonts w:cstheme="minorHAnsi"/>
          <w:sz w:val="24"/>
          <w:szCs w:val="24"/>
        </w:rPr>
        <w:t>[</w:t>
      </w:r>
      <w:r w:rsidRPr="009F0910">
        <w:rPr>
          <w:rFonts w:cstheme="minorHAnsi"/>
          <w:sz w:val="24"/>
          <w:szCs w:val="24"/>
        </w:rPr>
        <w:t>2010</w:t>
      </w:r>
      <w:r w:rsidR="0005026B" w:rsidRPr="009F0910">
        <w:rPr>
          <w:rFonts w:cstheme="minorHAnsi"/>
          <w:sz w:val="24"/>
          <w:szCs w:val="24"/>
        </w:rPr>
        <w:t>]</w:t>
      </w:r>
      <w:r w:rsidRPr="009F0910">
        <w:rPr>
          <w:rFonts w:cstheme="minorHAnsi"/>
          <w:sz w:val="24"/>
          <w:szCs w:val="24"/>
        </w:rPr>
        <w:t xml:space="preserve">). Staff </w:t>
      </w:r>
      <w:r w:rsidR="00E85FAD">
        <w:rPr>
          <w:rFonts w:cstheme="minorHAnsi"/>
          <w:sz w:val="24"/>
          <w:szCs w:val="24"/>
        </w:rPr>
        <w:t xml:space="preserve">members </w:t>
      </w:r>
      <w:r w:rsidRPr="009F0910">
        <w:rPr>
          <w:rFonts w:cstheme="minorHAnsi"/>
          <w:sz w:val="24"/>
          <w:szCs w:val="24"/>
        </w:rPr>
        <w:t xml:space="preserve">were principally concerned with sexual contact between inpatients. In the context of secure mental healthcare, sexuality was constructed within two main discourses across inpatient and staff group interviews. They are referred to here as: “The normalcy of sexuality” and “Risk, vulnerability, and appropriateness”. Tensions arose in the different constructions of sexuality within the two prevailing discourses: In the former, sexuality was seen as an intrinsic aspect of human experience to which inpatients were inevitably entitled and were determined to access; and in the latter, sexual expression was viewed as emblematic of misbehaviour and imbued with risk that staff members were determined to mitigate. The two main discourses surrounding sexuality were a synthesis of other, subordinate discourses, which are all described below, accompanied by illustrative extracts from the group interviews. In the extracts, three spaced full-stops indicate that content has been omitted for brevity. Content that appears in brackets was added by the authors. </w:t>
      </w:r>
    </w:p>
    <w:p w14:paraId="2EBDD64C" w14:textId="77777777" w:rsidR="00D025AB" w:rsidRPr="009F0910" w:rsidRDefault="00D025AB" w:rsidP="009F0910">
      <w:pPr>
        <w:spacing w:after="0" w:line="360" w:lineRule="auto"/>
        <w:contextualSpacing/>
        <w:jc w:val="both"/>
        <w:rPr>
          <w:rFonts w:cstheme="minorHAnsi"/>
          <w:b/>
          <w:sz w:val="24"/>
          <w:szCs w:val="24"/>
        </w:rPr>
      </w:pPr>
    </w:p>
    <w:p w14:paraId="6AE50A25" w14:textId="67A8EB0D" w:rsidR="0070041F" w:rsidRPr="009F0910" w:rsidRDefault="0070041F" w:rsidP="009F0910">
      <w:pPr>
        <w:spacing w:after="0" w:line="360" w:lineRule="auto"/>
        <w:contextualSpacing/>
        <w:jc w:val="both"/>
        <w:rPr>
          <w:rFonts w:cstheme="minorHAnsi"/>
          <w:bCs/>
          <w:i/>
          <w:iCs/>
          <w:sz w:val="24"/>
          <w:szCs w:val="24"/>
        </w:rPr>
      </w:pPr>
      <w:r w:rsidRPr="009F0910">
        <w:rPr>
          <w:rFonts w:cstheme="minorHAnsi"/>
          <w:b/>
          <w:i/>
          <w:iCs/>
          <w:sz w:val="24"/>
          <w:szCs w:val="24"/>
        </w:rPr>
        <w:t xml:space="preserve">The normalcy of feeling sexual </w:t>
      </w:r>
    </w:p>
    <w:p w14:paraId="4BA72CFD" w14:textId="77777777" w:rsidR="007471DB" w:rsidRPr="009F0910" w:rsidRDefault="007471DB" w:rsidP="009F0910">
      <w:pPr>
        <w:spacing w:after="0" w:line="360" w:lineRule="auto"/>
        <w:contextualSpacing/>
        <w:jc w:val="both"/>
        <w:rPr>
          <w:rFonts w:cstheme="minorHAnsi"/>
          <w:b/>
          <w:sz w:val="24"/>
          <w:szCs w:val="24"/>
        </w:rPr>
      </w:pPr>
    </w:p>
    <w:p w14:paraId="6FC311B1" w14:textId="6775C884" w:rsidR="0070041F" w:rsidRPr="009F0910" w:rsidRDefault="0070041F" w:rsidP="009F0910">
      <w:pPr>
        <w:spacing w:after="0" w:line="360" w:lineRule="auto"/>
        <w:contextualSpacing/>
        <w:jc w:val="both"/>
        <w:rPr>
          <w:rFonts w:cstheme="minorHAnsi"/>
          <w:sz w:val="24"/>
          <w:szCs w:val="24"/>
        </w:rPr>
      </w:pPr>
      <w:r w:rsidRPr="009F0910">
        <w:rPr>
          <w:rFonts w:cstheme="minorHAnsi"/>
          <w:sz w:val="24"/>
          <w:szCs w:val="24"/>
        </w:rPr>
        <w:t>Inpatients often constructed “feeling sexual” in terms of biological inevitability, and used</w:t>
      </w:r>
      <w:r w:rsidR="00F52708" w:rsidRPr="009F0910">
        <w:rPr>
          <w:rFonts w:cstheme="minorHAnsi"/>
          <w:sz w:val="24"/>
          <w:szCs w:val="24"/>
        </w:rPr>
        <w:t xml:space="preserve"> words</w:t>
      </w:r>
      <w:r w:rsidRPr="009F0910">
        <w:rPr>
          <w:rFonts w:cstheme="minorHAnsi"/>
          <w:sz w:val="24"/>
          <w:szCs w:val="24"/>
        </w:rPr>
        <w:t xml:space="preserve"> like “needs”, “urges”, and “drives” to position themselves as “ordinary people” whose desire to enact their sexualities was natural and reasonable:</w:t>
      </w:r>
    </w:p>
    <w:p w14:paraId="2C9A4B4B" w14:textId="77777777" w:rsidR="007471DB" w:rsidRPr="009F0910" w:rsidRDefault="007471DB" w:rsidP="009F0910">
      <w:pPr>
        <w:spacing w:after="0" w:line="360" w:lineRule="auto"/>
        <w:contextualSpacing/>
        <w:jc w:val="both"/>
        <w:rPr>
          <w:rFonts w:cstheme="minorHAnsi"/>
          <w:sz w:val="24"/>
          <w:szCs w:val="24"/>
        </w:rPr>
      </w:pPr>
    </w:p>
    <w:p w14:paraId="6668A212" w14:textId="2C9BF546" w:rsidR="007471DB" w:rsidRPr="009F0910" w:rsidRDefault="0070041F" w:rsidP="009F0910">
      <w:pPr>
        <w:spacing w:after="0" w:line="360" w:lineRule="auto"/>
        <w:ind w:firstLine="720"/>
        <w:contextualSpacing/>
        <w:jc w:val="both"/>
        <w:rPr>
          <w:rFonts w:cstheme="minorHAnsi"/>
          <w:iCs/>
          <w:sz w:val="24"/>
          <w:szCs w:val="24"/>
        </w:rPr>
      </w:pPr>
      <w:r w:rsidRPr="009F0910">
        <w:rPr>
          <w:rFonts w:cstheme="minorHAnsi"/>
          <w:iCs/>
          <w:sz w:val="24"/>
          <w:szCs w:val="24"/>
        </w:rPr>
        <w:t>Interviewer: Do you guys think about sex in hospital?</w:t>
      </w:r>
    </w:p>
    <w:p w14:paraId="494EAB06" w14:textId="571E889F" w:rsidR="0070041F" w:rsidRPr="009F0910" w:rsidRDefault="0070041F" w:rsidP="009F0910">
      <w:pPr>
        <w:spacing w:after="0" w:line="360" w:lineRule="auto"/>
        <w:ind w:firstLine="720"/>
        <w:contextualSpacing/>
        <w:jc w:val="both"/>
        <w:rPr>
          <w:rFonts w:cstheme="minorHAnsi"/>
          <w:iCs/>
          <w:sz w:val="24"/>
          <w:szCs w:val="24"/>
        </w:rPr>
      </w:pPr>
      <w:r w:rsidRPr="009F0910">
        <w:rPr>
          <w:rFonts w:cstheme="minorHAnsi"/>
          <w:iCs/>
          <w:sz w:val="24"/>
          <w:szCs w:val="24"/>
        </w:rPr>
        <w:lastRenderedPageBreak/>
        <w:t>Stephen [Inpatient]: Who doesn’t?! [Group laughs].</w:t>
      </w:r>
    </w:p>
    <w:p w14:paraId="6A03DFD7" w14:textId="77777777" w:rsidR="0070041F" w:rsidRPr="009F0910" w:rsidRDefault="0070041F" w:rsidP="009F0910">
      <w:pPr>
        <w:spacing w:after="0" w:line="360" w:lineRule="auto"/>
        <w:ind w:firstLine="720"/>
        <w:contextualSpacing/>
        <w:jc w:val="both"/>
        <w:rPr>
          <w:rFonts w:cstheme="minorHAnsi"/>
          <w:iCs/>
          <w:sz w:val="24"/>
          <w:szCs w:val="24"/>
        </w:rPr>
      </w:pPr>
      <w:r w:rsidRPr="009F0910">
        <w:rPr>
          <w:rFonts w:cstheme="minorHAnsi"/>
          <w:iCs/>
          <w:sz w:val="24"/>
          <w:szCs w:val="24"/>
        </w:rPr>
        <w:t>Will [Inpatient]: We wouldn’t be very healthy if we didn’t would we?</w:t>
      </w:r>
    </w:p>
    <w:p w14:paraId="31AF3311" w14:textId="77777777" w:rsidR="0070041F" w:rsidRPr="009F0910" w:rsidRDefault="0070041F" w:rsidP="009F0910">
      <w:pPr>
        <w:spacing w:after="0" w:line="360" w:lineRule="auto"/>
        <w:contextualSpacing/>
        <w:jc w:val="both"/>
        <w:rPr>
          <w:rFonts w:cstheme="minorHAnsi"/>
          <w:sz w:val="24"/>
          <w:szCs w:val="24"/>
        </w:rPr>
      </w:pPr>
    </w:p>
    <w:p w14:paraId="2946E599" w14:textId="331A3909"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For some inpatients, thinking about sex was not just “normal”, it was also a claim </w:t>
      </w:r>
      <w:r w:rsidR="00F52708" w:rsidRPr="009F0910">
        <w:rPr>
          <w:rFonts w:cstheme="minorHAnsi"/>
          <w:sz w:val="24"/>
          <w:szCs w:val="24"/>
        </w:rPr>
        <w:t xml:space="preserve">on </w:t>
      </w:r>
      <w:r w:rsidRPr="009F0910">
        <w:rPr>
          <w:rFonts w:cstheme="minorHAnsi"/>
          <w:sz w:val="24"/>
          <w:szCs w:val="24"/>
        </w:rPr>
        <w:t xml:space="preserve">health in a context where they were </w:t>
      </w:r>
      <w:r w:rsidR="00F52708" w:rsidRPr="009F0910">
        <w:rPr>
          <w:rFonts w:cstheme="minorHAnsi"/>
          <w:sz w:val="24"/>
          <w:szCs w:val="24"/>
        </w:rPr>
        <w:t xml:space="preserve">usually </w:t>
      </w:r>
      <w:r w:rsidRPr="009F0910">
        <w:rPr>
          <w:rFonts w:cstheme="minorHAnsi"/>
          <w:sz w:val="24"/>
          <w:szCs w:val="24"/>
        </w:rPr>
        <w:t xml:space="preserve">positioned as “the unwell”. Such elision of feeling sexual with being healthy was afforded greater legitimacy by references to the beliefs of medical staff regarding the inpatients’ sexual needs. For example, Will reported on conversations he had had with doctors about the effect of antipsychotic medication on his ability to masturbate: </w:t>
      </w:r>
    </w:p>
    <w:p w14:paraId="100AEF4E" w14:textId="77777777" w:rsidR="007471DB" w:rsidRPr="009F0910" w:rsidRDefault="007471DB" w:rsidP="009F0910">
      <w:pPr>
        <w:spacing w:after="0" w:line="360" w:lineRule="auto"/>
        <w:ind w:firstLine="720"/>
        <w:contextualSpacing/>
        <w:jc w:val="both"/>
        <w:rPr>
          <w:rFonts w:cstheme="minorHAnsi"/>
          <w:sz w:val="24"/>
          <w:szCs w:val="24"/>
        </w:rPr>
      </w:pPr>
    </w:p>
    <w:p w14:paraId="1FE2F0EE" w14:textId="77777777"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iCs/>
          <w:sz w:val="24"/>
          <w:szCs w:val="24"/>
        </w:rPr>
        <w:t>Will:</w:t>
      </w:r>
      <w:r w:rsidRPr="009F0910">
        <w:rPr>
          <w:rFonts w:cstheme="minorHAnsi"/>
          <w:sz w:val="24"/>
          <w:szCs w:val="24"/>
        </w:rPr>
        <w:t xml:space="preserve"> I’ve had past doctors say to me “Have you got any trouble masturbating?” and when I said when I was first on the medication that I did, they were very concerned. They said, “Well we need to reduce it then because it’s important for a young man to have that release”. </w:t>
      </w:r>
    </w:p>
    <w:p w14:paraId="6041A5D6" w14:textId="77777777" w:rsidR="0070041F" w:rsidRPr="009F0910" w:rsidRDefault="0070041F" w:rsidP="009F0910">
      <w:pPr>
        <w:spacing w:after="0" w:line="360" w:lineRule="auto"/>
        <w:contextualSpacing/>
        <w:jc w:val="both"/>
        <w:rPr>
          <w:rFonts w:cstheme="minorHAnsi"/>
          <w:sz w:val="24"/>
          <w:szCs w:val="24"/>
        </w:rPr>
      </w:pPr>
    </w:p>
    <w:p w14:paraId="2494614D" w14:textId="77777777" w:rsidR="00D025AB"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Age and gender formed part of the interpretative repertoire associated with the normalcy discourse. As in the extract above, male inpatients often described themselves as “young men” or “young lads” when they discussed masturbation or their desire for sexua</w:t>
      </w:r>
      <w:r w:rsidR="00F52708" w:rsidRPr="009F0910">
        <w:rPr>
          <w:rFonts w:cstheme="minorHAnsi"/>
          <w:sz w:val="24"/>
          <w:szCs w:val="24"/>
        </w:rPr>
        <w:t xml:space="preserve">l contact with others: </w:t>
      </w:r>
      <w:r w:rsidRPr="009F0910">
        <w:rPr>
          <w:rFonts w:cstheme="minorHAnsi"/>
          <w:sz w:val="24"/>
          <w:szCs w:val="24"/>
        </w:rPr>
        <w:t xml:space="preserve">It was both appropriate and expected for young men to pursue this kind of sexual experience. </w:t>
      </w:r>
    </w:p>
    <w:p w14:paraId="0D57F95C" w14:textId="3A9803E3" w:rsidR="00C04262" w:rsidRPr="009F0910" w:rsidRDefault="00C04262" w:rsidP="009F0910">
      <w:pPr>
        <w:spacing w:after="0" w:line="360" w:lineRule="auto"/>
        <w:ind w:firstLine="720"/>
        <w:contextualSpacing/>
        <w:jc w:val="both"/>
        <w:rPr>
          <w:rFonts w:cstheme="minorHAnsi"/>
          <w:sz w:val="24"/>
          <w:szCs w:val="24"/>
        </w:rPr>
      </w:pPr>
      <w:r w:rsidRPr="009F0910">
        <w:rPr>
          <w:rFonts w:cstheme="minorHAnsi"/>
          <w:sz w:val="24"/>
          <w:szCs w:val="24"/>
        </w:rPr>
        <w:t xml:space="preserve">For </w:t>
      </w:r>
      <w:r w:rsidR="00E85FAD">
        <w:rPr>
          <w:rFonts w:cstheme="minorHAnsi"/>
          <w:sz w:val="24"/>
          <w:szCs w:val="24"/>
        </w:rPr>
        <w:t>one inpatient participant</w:t>
      </w:r>
      <w:r w:rsidR="00D025AB" w:rsidRPr="009F0910">
        <w:rPr>
          <w:rFonts w:cstheme="minorHAnsi"/>
          <w:sz w:val="24"/>
          <w:szCs w:val="24"/>
        </w:rPr>
        <w:t xml:space="preserve">, </w:t>
      </w:r>
      <w:r w:rsidRPr="009F0910">
        <w:rPr>
          <w:rFonts w:cstheme="minorHAnsi"/>
          <w:sz w:val="24"/>
          <w:szCs w:val="24"/>
        </w:rPr>
        <w:t xml:space="preserve">Robyn, the sexual freedom associated with being a “young woman” was frustrated by her dual position as an inpatient who was confined within the walls of the mental healthcare facility: </w:t>
      </w:r>
    </w:p>
    <w:p w14:paraId="0F0D2C5D" w14:textId="77777777" w:rsidR="007471DB" w:rsidRPr="009F0910" w:rsidRDefault="007471DB" w:rsidP="009F0910">
      <w:pPr>
        <w:spacing w:after="0" w:line="360" w:lineRule="auto"/>
        <w:ind w:firstLine="720"/>
        <w:contextualSpacing/>
        <w:jc w:val="both"/>
        <w:rPr>
          <w:rFonts w:cstheme="minorHAnsi"/>
          <w:sz w:val="24"/>
          <w:szCs w:val="24"/>
        </w:rPr>
      </w:pPr>
    </w:p>
    <w:p w14:paraId="4A6FD4FB" w14:textId="72A562F6" w:rsidR="007471DB" w:rsidRPr="009F0910" w:rsidRDefault="00C04262" w:rsidP="009F0910">
      <w:pPr>
        <w:spacing w:after="0" w:line="360" w:lineRule="auto"/>
        <w:ind w:left="720"/>
        <w:contextualSpacing/>
        <w:jc w:val="both"/>
        <w:rPr>
          <w:rFonts w:cstheme="minorHAnsi"/>
          <w:iCs/>
          <w:sz w:val="24"/>
          <w:szCs w:val="24"/>
        </w:rPr>
      </w:pPr>
      <w:r w:rsidRPr="009F0910">
        <w:rPr>
          <w:rFonts w:cstheme="minorHAnsi"/>
          <w:iCs/>
          <w:sz w:val="24"/>
          <w:szCs w:val="24"/>
        </w:rPr>
        <w:t>Robyn [Inpatient]: I’m an eighteen year old girl. Of course I think about sex [group laughs].</w:t>
      </w:r>
    </w:p>
    <w:p w14:paraId="3174C9A9" w14:textId="3F4A7DF2" w:rsidR="00C04262" w:rsidRPr="009F0910" w:rsidRDefault="00C04262" w:rsidP="009F0910">
      <w:pPr>
        <w:spacing w:after="0" w:line="360" w:lineRule="auto"/>
        <w:ind w:firstLine="720"/>
        <w:contextualSpacing/>
        <w:jc w:val="both"/>
        <w:rPr>
          <w:rFonts w:cstheme="minorHAnsi"/>
          <w:iCs/>
          <w:sz w:val="24"/>
          <w:szCs w:val="24"/>
        </w:rPr>
      </w:pPr>
      <w:r w:rsidRPr="009F0910">
        <w:rPr>
          <w:rFonts w:cstheme="minorHAnsi"/>
          <w:iCs/>
          <w:sz w:val="24"/>
          <w:szCs w:val="24"/>
        </w:rPr>
        <w:t>Nicole [Inpatient]: Yeah. I think it’s different for each individual isn’t it?</w:t>
      </w:r>
    </w:p>
    <w:p w14:paraId="68692FE9" w14:textId="50B59A5D" w:rsidR="00C04262" w:rsidRPr="009F0910" w:rsidRDefault="00C04262" w:rsidP="009F0910">
      <w:pPr>
        <w:spacing w:after="0" w:line="360" w:lineRule="auto"/>
        <w:ind w:firstLine="720"/>
        <w:contextualSpacing/>
        <w:jc w:val="both"/>
        <w:rPr>
          <w:rFonts w:cstheme="minorHAnsi"/>
          <w:iCs/>
          <w:sz w:val="24"/>
          <w:szCs w:val="24"/>
        </w:rPr>
      </w:pPr>
      <w:r w:rsidRPr="009F0910">
        <w:rPr>
          <w:rFonts w:cstheme="minorHAnsi"/>
          <w:iCs/>
          <w:sz w:val="24"/>
          <w:szCs w:val="24"/>
        </w:rPr>
        <w:t>Robyn: Yeah. All my friends are, you know...</w:t>
      </w:r>
    </w:p>
    <w:p w14:paraId="265FDD7B" w14:textId="39E2F7FD" w:rsidR="00C04262" w:rsidRPr="009F0910" w:rsidRDefault="00C04262" w:rsidP="009F0910">
      <w:pPr>
        <w:spacing w:after="0" w:line="360" w:lineRule="auto"/>
        <w:ind w:firstLine="720"/>
        <w:contextualSpacing/>
        <w:jc w:val="both"/>
        <w:rPr>
          <w:rFonts w:cstheme="minorHAnsi"/>
          <w:iCs/>
          <w:sz w:val="24"/>
          <w:szCs w:val="24"/>
        </w:rPr>
      </w:pPr>
      <w:r w:rsidRPr="009F0910">
        <w:rPr>
          <w:rFonts w:cstheme="minorHAnsi"/>
          <w:iCs/>
          <w:sz w:val="24"/>
          <w:szCs w:val="24"/>
        </w:rPr>
        <w:t>Nicole: Trying new positions and doing it all [laughs].</w:t>
      </w:r>
    </w:p>
    <w:p w14:paraId="46C0775F" w14:textId="77777777" w:rsidR="00C04262" w:rsidRPr="009F0910" w:rsidRDefault="00C04262" w:rsidP="009F0910">
      <w:pPr>
        <w:spacing w:after="0" w:line="360" w:lineRule="auto"/>
        <w:ind w:left="720"/>
        <w:contextualSpacing/>
        <w:jc w:val="both"/>
        <w:rPr>
          <w:rFonts w:cstheme="minorHAnsi"/>
          <w:iCs/>
          <w:sz w:val="24"/>
          <w:szCs w:val="24"/>
        </w:rPr>
      </w:pPr>
      <w:r w:rsidRPr="009F0910">
        <w:rPr>
          <w:rFonts w:cstheme="minorHAnsi"/>
          <w:iCs/>
          <w:sz w:val="24"/>
          <w:szCs w:val="24"/>
        </w:rPr>
        <w:t xml:space="preserve">Robyn: …having sexual experiences, and I’m just sitting in hospital thinking, “Oh damn. I could be doing that but I’m not.”  </w:t>
      </w:r>
    </w:p>
    <w:p w14:paraId="60B0607C" w14:textId="77777777" w:rsidR="00C04262" w:rsidRPr="009F0910" w:rsidRDefault="00C04262" w:rsidP="009F0910">
      <w:pPr>
        <w:spacing w:after="0" w:line="360" w:lineRule="auto"/>
        <w:ind w:firstLine="720"/>
        <w:contextualSpacing/>
        <w:jc w:val="both"/>
        <w:rPr>
          <w:rFonts w:cstheme="minorHAnsi"/>
          <w:sz w:val="24"/>
          <w:szCs w:val="24"/>
        </w:rPr>
      </w:pPr>
    </w:p>
    <w:p w14:paraId="6972613E" w14:textId="72B90686" w:rsidR="00C04262" w:rsidRPr="009F0910" w:rsidRDefault="00C04262" w:rsidP="009F0910">
      <w:pPr>
        <w:spacing w:after="0" w:line="360" w:lineRule="auto"/>
        <w:ind w:firstLine="720"/>
        <w:contextualSpacing/>
        <w:jc w:val="both"/>
        <w:rPr>
          <w:rFonts w:cstheme="minorHAnsi"/>
          <w:sz w:val="24"/>
          <w:szCs w:val="24"/>
        </w:rPr>
      </w:pPr>
      <w:r w:rsidRPr="009F0910">
        <w:rPr>
          <w:rFonts w:cstheme="minorHAnsi"/>
          <w:sz w:val="24"/>
          <w:szCs w:val="24"/>
        </w:rPr>
        <w:lastRenderedPageBreak/>
        <w:t>Robyn contrasted her experience of inertia (“</w:t>
      </w:r>
      <w:r w:rsidRPr="009F0910">
        <w:rPr>
          <w:rFonts w:cstheme="minorHAnsi"/>
          <w:i/>
          <w:sz w:val="24"/>
          <w:szCs w:val="24"/>
        </w:rPr>
        <w:t>sitting</w:t>
      </w:r>
      <w:r w:rsidRPr="009F0910">
        <w:rPr>
          <w:rFonts w:cstheme="minorHAnsi"/>
          <w:sz w:val="24"/>
          <w:szCs w:val="24"/>
        </w:rPr>
        <w:t xml:space="preserve"> in hospital”) with her friends’ sexual action: The hospital was a place where real-life action was suspended. As a young woman, sexual experimentation was a known and legitimate possibility, but not for Robyn, because she was denied the freedoms to “do it all” while she resided as an inpatient. Robyn’s lack</w:t>
      </w:r>
      <w:r w:rsidRPr="009F0910">
        <w:rPr>
          <w:rFonts w:cstheme="minorHAnsi"/>
          <w:i/>
          <w:sz w:val="24"/>
          <w:szCs w:val="24"/>
        </w:rPr>
        <w:t xml:space="preserve"> </w:t>
      </w:r>
      <w:r w:rsidRPr="009F0910">
        <w:rPr>
          <w:rFonts w:cstheme="minorHAnsi"/>
          <w:sz w:val="24"/>
          <w:szCs w:val="24"/>
        </w:rPr>
        <w:t>of opportunit</w:t>
      </w:r>
      <w:r w:rsidR="00D025AB" w:rsidRPr="009F0910">
        <w:rPr>
          <w:rFonts w:cstheme="minorHAnsi"/>
          <w:sz w:val="24"/>
          <w:szCs w:val="24"/>
        </w:rPr>
        <w:t>y</w:t>
      </w:r>
      <w:r w:rsidRPr="009F0910">
        <w:rPr>
          <w:rFonts w:cstheme="minorHAnsi"/>
          <w:sz w:val="24"/>
          <w:szCs w:val="24"/>
        </w:rPr>
        <w:t xml:space="preserve"> to have sexual experiences did not mean that she was not a sexual person: She still </w:t>
      </w:r>
      <w:r w:rsidRPr="009F0910">
        <w:rPr>
          <w:rFonts w:cstheme="minorHAnsi"/>
          <w:iCs/>
          <w:sz w:val="24"/>
          <w:szCs w:val="24"/>
        </w:rPr>
        <w:t>thought</w:t>
      </w:r>
      <w:r w:rsidRPr="009F0910">
        <w:rPr>
          <w:rFonts w:cstheme="minorHAnsi"/>
          <w:sz w:val="24"/>
          <w:szCs w:val="24"/>
        </w:rPr>
        <w:t xml:space="preserve"> about sex, and positioned in the normalcy discourse, in this respect she was like any other young woman. </w:t>
      </w:r>
    </w:p>
    <w:p w14:paraId="68A03C55" w14:textId="77777777" w:rsidR="007471DB"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Whereas for inpatients the normalcy d</w:t>
      </w:r>
      <w:r w:rsidR="0087131D" w:rsidRPr="009F0910">
        <w:rPr>
          <w:rFonts w:cstheme="minorHAnsi"/>
          <w:sz w:val="24"/>
          <w:szCs w:val="24"/>
        </w:rPr>
        <w:t xml:space="preserve">iscourse functioned to </w:t>
      </w:r>
      <w:r w:rsidR="007E245B" w:rsidRPr="009F0910">
        <w:rPr>
          <w:rFonts w:cstheme="minorHAnsi"/>
          <w:sz w:val="24"/>
          <w:szCs w:val="24"/>
        </w:rPr>
        <w:t>legitimise</w:t>
      </w:r>
      <w:r w:rsidRPr="009F0910">
        <w:rPr>
          <w:rFonts w:cstheme="minorHAnsi"/>
          <w:sz w:val="24"/>
          <w:szCs w:val="24"/>
        </w:rPr>
        <w:t xml:space="preserve"> sexual feelings, and enabled inpatients to stake claims on ordinariness and health, for staff participants, it illustrated the futile struggle to try and contain inpatients’ (sexual) </w:t>
      </w:r>
      <w:r w:rsidR="007E245B" w:rsidRPr="009F0910">
        <w:rPr>
          <w:rFonts w:cstheme="minorHAnsi"/>
          <w:sz w:val="24"/>
          <w:szCs w:val="24"/>
        </w:rPr>
        <w:t>behaviour</w:t>
      </w:r>
      <w:r w:rsidRPr="009F0910">
        <w:rPr>
          <w:rFonts w:cstheme="minorHAnsi"/>
          <w:sz w:val="24"/>
          <w:szCs w:val="24"/>
        </w:rPr>
        <w:t xml:space="preserve">. </w:t>
      </w:r>
    </w:p>
    <w:p w14:paraId="469AEE85" w14:textId="0614D79C"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 </w:t>
      </w:r>
    </w:p>
    <w:p w14:paraId="40BD3B3C" w14:textId="4A7B6B9C"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Alex [</w:t>
      </w:r>
      <w:r w:rsidR="00D025AB" w:rsidRPr="009F0910">
        <w:rPr>
          <w:rFonts w:cstheme="minorHAnsi"/>
          <w:sz w:val="24"/>
          <w:szCs w:val="24"/>
        </w:rPr>
        <w:t>a</w:t>
      </w:r>
      <w:r w:rsidRPr="009F0910">
        <w:rPr>
          <w:rFonts w:cstheme="minorHAnsi"/>
          <w:sz w:val="24"/>
          <w:szCs w:val="24"/>
        </w:rPr>
        <w:t xml:space="preserve">ctivity </w:t>
      </w:r>
      <w:r w:rsidR="00D025AB" w:rsidRPr="009F0910">
        <w:rPr>
          <w:rFonts w:cstheme="minorHAnsi"/>
          <w:sz w:val="24"/>
          <w:szCs w:val="24"/>
        </w:rPr>
        <w:t>c</w:t>
      </w:r>
      <w:r w:rsidRPr="009F0910">
        <w:rPr>
          <w:rFonts w:cstheme="minorHAnsi"/>
          <w:sz w:val="24"/>
          <w:szCs w:val="24"/>
        </w:rPr>
        <w:t>o-ordinator]: [Sexual contact between inpatients] is natural isn’t it, I suppose? It’s two humans. If they find each other attractive and they’re stuck here 24/7, I can’t see how they’re not going to. If they can get away with it, they’re going to do it. It is what it is really, isn’t it?</w:t>
      </w:r>
    </w:p>
    <w:p w14:paraId="36963B3F" w14:textId="77777777" w:rsidR="0070041F" w:rsidRPr="009F0910" w:rsidRDefault="0070041F" w:rsidP="009F0910">
      <w:pPr>
        <w:spacing w:after="0" w:line="360" w:lineRule="auto"/>
        <w:ind w:firstLine="720"/>
        <w:contextualSpacing/>
        <w:jc w:val="both"/>
        <w:rPr>
          <w:rFonts w:cstheme="minorHAnsi"/>
          <w:sz w:val="24"/>
          <w:szCs w:val="24"/>
        </w:rPr>
      </w:pPr>
    </w:p>
    <w:p w14:paraId="3C6BC08B" w14:textId="66377FB7"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According to Alex, (illicit) sexual contact between inpatients was unavoidable because to be sexual was human nature; meaning that to try and prevent it was futile. Other staff participants suggested that inpatients were sufficiently wilful in their pursuit to be sexual that attempts at curbing their sexual relations could not be successful. As one participant explained, “They can spot a slight window, and they’ll use it.” Thus, sexuality was constructed as “mis</w:t>
      </w:r>
      <w:r w:rsidR="007E245B" w:rsidRPr="009F0910">
        <w:rPr>
          <w:rFonts w:cstheme="minorHAnsi"/>
          <w:sz w:val="24"/>
          <w:szCs w:val="24"/>
        </w:rPr>
        <w:t>behaviour</w:t>
      </w:r>
      <w:r w:rsidRPr="009F0910">
        <w:rPr>
          <w:rFonts w:cstheme="minorHAnsi"/>
          <w:sz w:val="24"/>
          <w:szCs w:val="24"/>
        </w:rPr>
        <w:t xml:space="preserve">”, and the inpatients positioned as sexual people who would exploit opportunities to misbehave, with the staff powerless to stop them. </w:t>
      </w:r>
    </w:p>
    <w:p w14:paraId="7A2B6C77" w14:textId="77777777" w:rsidR="007471DB" w:rsidRPr="009F0910" w:rsidRDefault="007471DB" w:rsidP="009F0910">
      <w:pPr>
        <w:spacing w:after="0" w:line="360" w:lineRule="auto"/>
        <w:ind w:firstLine="720"/>
        <w:contextualSpacing/>
        <w:jc w:val="both"/>
        <w:rPr>
          <w:rFonts w:cstheme="minorHAnsi"/>
          <w:sz w:val="24"/>
          <w:szCs w:val="24"/>
        </w:rPr>
      </w:pPr>
    </w:p>
    <w:p w14:paraId="25CFAEB0" w14:textId="77777777" w:rsidR="0070041F" w:rsidRPr="009F0910" w:rsidRDefault="0070041F" w:rsidP="009F0910">
      <w:pPr>
        <w:pStyle w:val="NoSpacing"/>
        <w:spacing w:line="360" w:lineRule="auto"/>
        <w:contextualSpacing/>
        <w:jc w:val="both"/>
        <w:rPr>
          <w:rFonts w:cstheme="minorHAnsi"/>
          <w:sz w:val="24"/>
          <w:szCs w:val="24"/>
        </w:rPr>
      </w:pPr>
      <w:r w:rsidRPr="009F0910">
        <w:rPr>
          <w:rFonts w:cstheme="minorHAnsi"/>
          <w:i/>
          <w:sz w:val="24"/>
          <w:szCs w:val="24"/>
        </w:rPr>
        <w:t>Sexuality as “feeling alive”</w:t>
      </w:r>
      <w:r w:rsidRPr="009F0910">
        <w:rPr>
          <w:rFonts w:cstheme="minorHAnsi"/>
          <w:sz w:val="24"/>
          <w:szCs w:val="24"/>
        </w:rPr>
        <w:t xml:space="preserve"> </w:t>
      </w:r>
    </w:p>
    <w:p w14:paraId="146727AB" w14:textId="77777777" w:rsidR="007471DB" w:rsidRPr="009F0910" w:rsidRDefault="007471DB" w:rsidP="009F0910">
      <w:pPr>
        <w:pStyle w:val="NoSpacing"/>
        <w:spacing w:line="360" w:lineRule="auto"/>
        <w:contextualSpacing/>
        <w:jc w:val="both"/>
        <w:rPr>
          <w:rFonts w:cstheme="minorHAnsi"/>
          <w:sz w:val="24"/>
          <w:szCs w:val="24"/>
        </w:rPr>
      </w:pPr>
    </w:p>
    <w:p w14:paraId="2B6D5421" w14:textId="756A1143" w:rsidR="0070041F" w:rsidRPr="009F0910" w:rsidRDefault="0070041F" w:rsidP="009F0910">
      <w:pPr>
        <w:pStyle w:val="NoSpacing"/>
        <w:spacing w:line="360" w:lineRule="auto"/>
        <w:contextualSpacing/>
        <w:jc w:val="both"/>
        <w:rPr>
          <w:rFonts w:cstheme="minorHAnsi"/>
          <w:sz w:val="24"/>
          <w:szCs w:val="24"/>
        </w:rPr>
      </w:pPr>
      <w:r w:rsidRPr="009F0910">
        <w:rPr>
          <w:rFonts w:cstheme="minorHAnsi"/>
          <w:sz w:val="24"/>
          <w:szCs w:val="24"/>
        </w:rPr>
        <w:t>Some inpatients used a discourse of vitality, the experience of feeling alive and present in the world (Fuchs 20</w:t>
      </w:r>
      <w:r w:rsidR="00E04FC6" w:rsidRPr="009F0910">
        <w:rPr>
          <w:rFonts w:cstheme="minorHAnsi"/>
          <w:sz w:val="24"/>
          <w:szCs w:val="24"/>
        </w:rPr>
        <w:t>13</w:t>
      </w:r>
      <w:r w:rsidRPr="009F0910">
        <w:rPr>
          <w:rFonts w:cstheme="minorHAnsi"/>
          <w:sz w:val="24"/>
          <w:szCs w:val="24"/>
        </w:rPr>
        <w:t>), when they discussed sexuality:</w:t>
      </w:r>
    </w:p>
    <w:p w14:paraId="6ECB7E02" w14:textId="77777777" w:rsidR="007471DB" w:rsidRPr="009F0910" w:rsidRDefault="007471DB" w:rsidP="009F0910">
      <w:pPr>
        <w:pStyle w:val="NoSpacing"/>
        <w:spacing w:line="360" w:lineRule="auto"/>
        <w:contextualSpacing/>
        <w:jc w:val="both"/>
        <w:rPr>
          <w:rFonts w:cstheme="minorHAnsi"/>
          <w:sz w:val="24"/>
          <w:szCs w:val="24"/>
        </w:rPr>
      </w:pPr>
    </w:p>
    <w:p w14:paraId="1C4146B0" w14:textId="77777777"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iCs/>
          <w:sz w:val="24"/>
          <w:szCs w:val="24"/>
        </w:rPr>
        <w:t>Will:</w:t>
      </w:r>
      <w:r w:rsidRPr="009F0910">
        <w:rPr>
          <w:rFonts w:cstheme="minorHAnsi"/>
          <w:sz w:val="24"/>
          <w:szCs w:val="24"/>
        </w:rPr>
        <w:t xml:space="preserve"> Someone’s sexual performing skills, if you like, is an important part of them, you know? What makes them there and exist.</w:t>
      </w:r>
    </w:p>
    <w:p w14:paraId="62A947AA" w14:textId="286BAF0E" w:rsidR="0070041F" w:rsidRPr="009F0910" w:rsidRDefault="0070041F" w:rsidP="009F0910">
      <w:pPr>
        <w:pStyle w:val="NoSpacing"/>
        <w:spacing w:line="360" w:lineRule="auto"/>
        <w:ind w:firstLine="720"/>
        <w:contextualSpacing/>
        <w:jc w:val="both"/>
        <w:rPr>
          <w:rFonts w:cstheme="minorHAnsi"/>
          <w:sz w:val="24"/>
          <w:szCs w:val="24"/>
        </w:rPr>
      </w:pPr>
      <w:bookmarkStart w:id="1" w:name="_GoBack"/>
      <w:bookmarkEnd w:id="1"/>
      <w:r w:rsidRPr="009F0910">
        <w:rPr>
          <w:rFonts w:cstheme="minorHAnsi"/>
          <w:sz w:val="24"/>
          <w:szCs w:val="24"/>
        </w:rPr>
        <w:lastRenderedPageBreak/>
        <w:t>For Will, sexuality was the bedrock of subjective experiences of existing as a whole person: Elsewhere, he spoke about the feelings of “completeness” he associated with having a “fulfilling” sex life</w:t>
      </w:r>
      <w:r w:rsidR="00B5751A" w:rsidRPr="009F0910">
        <w:rPr>
          <w:rFonts w:cstheme="minorHAnsi"/>
          <w:sz w:val="24"/>
          <w:szCs w:val="24"/>
        </w:rPr>
        <w:t xml:space="preserve"> </w:t>
      </w:r>
      <w:r w:rsidR="00F83042" w:rsidRPr="009F0910">
        <w:rPr>
          <w:rFonts w:cstheme="minorHAnsi"/>
          <w:sz w:val="24"/>
          <w:szCs w:val="24"/>
        </w:rPr>
        <w:t>(</w:t>
      </w:r>
      <w:r w:rsidR="00D56060" w:rsidRPr="009F0910">
        <w:rPr>
          <w:rFonts w:cstheme="minorHAnsi"/>
          <w:sz w:val="24"/>
          <w:szCs w:val="24"/>
        </w:rPr>
        <w:t>McCann 2000</w:t>
      </w:r>
      <w:r w:rsidRPr="009F0910">
        <w:rPr>
          <w:rFonts w:cstheme="minorHAnsi"/>
          <w:sz w:val="24"/>
          <w:szCs w:val="24"/>
        </w:rPr>
        <w:t>). Feelings of vitality and of having meaning in life may contribute to mental health recovery. Will and many other inpatient participants associated their sexualit</w:t>
      </w:r>
      <w:r w:rsidR="00695397" w:rsidRPr="009F0910">
        <w:rPr>
          <w:rFonts w:cstheme="minorHAnsi"/>
          <w:sz w:val="24"/>
          <w:szCs w:val="24"/>
        </w:rPr>
        <w:t>y</w:t>
      </w:r>
      <w:r w:rsidRPr="009F0910">
        <w:rPr>
          <w:rFonts w:cstheme="minorHAnsi"/>
          <w:sz w:val="24"/>
          <w:szCs w:val="24"/>
        </w:rPr>
        <w:t xml:space="preserve"> with positive mental health</w:t>
      </w:r>
      <w:r w:rsidR="00631A6B" w:rsidRPr="009F0910">
        <w:rPr>
          <w:rFonts w:cstheme="minorHAnsi"/>
          <w:sz w:val="24"/>
          <w:szCs w:val="24"/>
        </w:rPr>
        <w:t xml:space="preserve"> (</w:t>
      </w:r>
      <w:proofErr w:type="spellStart"/>
      <w:r w:rsidR="00631A6B" w:rsidRPr="009F0910">
        <w:rPr>
          <w:rFonts w:cstheme="minorHAnsi"/>
          <w:sz w:val="24"/>
          <w:szCs w:val="24"/>
        </w:rPr>
        <w:t>Gilburt</w:t>
      </w:r>
      <w:proofErr w:type="spellEnd"/>
      <w:r w:rsidR="00631A6B" w:rsidRPr="009F0910">
        <w:rPr>
          <w:rFonts w:cstheme="minorHAnsi"/>
          <w:sz w:val="24"/>
          <w:szCs w:val="24"/>
        </w:rPr>
        <w:t>, Rose and Slade 2008)</w:t>
      </w:r>
      <w:r w:rsidRPr="009F0910">
        <w:rPr>
          <w:rFonts w:cstheme="minorHAnsi"/>
          <w:sz w:val="24"/>
          <w:szCs w:val="24"/>
        </w:rPr>
        <w:t xml:space="preserve">. </w:t>
      </w:r>
      <w:r w:rsidR="00692528" w:rsidRPr="009F0910">
        <w:rPr>
          <w:rFonts w:cstheme="minorHAnsi"/>
          <w:sz w:val="24"/>
          <w:szCs w:val="24"/>
        </w:rPr>
        <w:t xml:space="preserve">Feeling sexual </w:t>
      </w:r>
      <w:r w:rsidRPr="009F0910">
        <w:rPr>
          <w:rFonts w:cstheme="minorHAnsi"/>
          <w:sz w:val="24"/>
          <w:szCs w:val="24"/>
        </w:rPr>
        <w:t>made</w:t>
      </w:r>
      <w:r w:rsidR="00921B10">
        <w:rPr>
          <w:rFonts w:cstheme="minorHAnsi"/>
          <w:sz w:val="24"/>
          <w:szCs w:val="24"/>
        </w:rPr>
        <w:t xml:space="preserve"> inpatients</w:t>
      </w:r>
      <w:r w:rsidRPr="009F0910">
        <w:rPr>
          <w:rFonts w:cstheme="minorHAnsi"/>
          <w:sz w:val="24"/>
          <w:szCs w:val="24"/>
        </w:rPr>
        <w:t xml:space="preserve"> feel “normal</w:t>
      </w:r>
      <w:r w:rsidR="006E34A7" w:rsidRPr="009F0910">
        <w:rPr>
          <w:rFonts w:cstheme="minorHAnsi"/>
          <w:sz w:val="24"/>
          <w:szCs w:val="24"/>
        </w:rPr>
        <w:t>” and</w:t>
      </w:r>
      <w:r w:rsidRPr="009F0910">
        <w:rPr>
          <w:rFonts w:cstheme="minorHAnsi"/>
          <w:sz w:val="24"/>
          <w:szCs w:val="24"/>
        </w:rPr>
        <w:t xml:space="preserve"> could anchor them in “reality” – particularly important while they resided in a space that was “irreal”, where real life was suspended (Bro</w:t>
      </w:r>
      <w:r w:rsidR="00F83042" w:rsidRPr="009F0910">
        <w:rPr>
          <w:rFonts w:cstheme="minorHAnsi"/>
          <w:sz w:val="24"/>
          <w:szCs w:val="24"/>
        </w:rPr>
        <w:t xml:space="preserve">wn et al. 2014; </w:t>
      </w:r>
      <w:proofErr w:type="spellStart"/>
      <w:r w:rsidR="00F83042" w:rsidRPr="009F0910">
        <w:rPr>
          <w:rFonts w:cstheme="minorHAnsi"/>
          <w:sz w:val="24"/>
          <w:szCs w:val="24"/>
        </w:rPr>
        <w:t>Reavey</w:t>
      </w:r>
      <w:proofErr w:type="spellEnd"/>
      <w:r w:rsidR="00F83042" w:rsidRPr="009F0910">
        <w:rPr>
          <w:rFonts w:cstheme="minorHAnsi"/>
          <w:sz w:val="24"/>
          <w:szCs w:val="24"/>
        </w:rPr>
        <w:t xml:space="preserve"> et al. </w:t>
      </w:r>
      <w:r w:rsidRPr="009F0910">
        <w:rPr>
          <w:rFonts w:cstheme="minorHAnsi"/>
          <w:sz w:val="24"/>
          <w:szCs w:val="24"/>
        </w:rPr>
        <w:t>2017). Thus, opportunities for sexual expression provi</w:t>
      </w:r>
      <w:r w:rsidR="00E85FAD">
        <w:rPr>
          <w:rFonts w:cstheme="minorHAnsi"/>
          <w:sz w:val="24"/>
          <w:szCs w:val="24"/>
        </w:rPr>
        <w:t>ded a line of contact with the normality</w:t>
      </w:r>
      <w:r w:rsidRPr="009F0910">
        <w:rPr>
          <w:rFonts w:cstheme="minorHAnsi"/>
          <w:sz w:val="24"/>
          <w:szCs w:val="24"/>
        </w:rPr>
        <w:t xml:space="preserve"> associated with life outside the hospital. </w:t>
      </w:r>
    </w:p>
    <w:p w14:paraId="23F0C805" w14:textId="77777777" w:rsidR="007471DB" w:rsidRPr="009F0910" w:rsidRDefault="007471DB" w:rsidP="009F0910">
      <w:pPr>
        <w:spacing w:after="0" w:line="360" w:lineRule="auto"/>
        <w:contextualSpacing/>
        <w:jc w:val="both"/>
        <w:rPr>
          <w:rFonts w:cstheme="minorHAnsi"/>
          <w:i/>
          <w:sz w:val="24"/>
          <w:szCs w:val="24"/>
        </w:rPr>
      </w:pPr>
    </w:p>
    <w:p w14:paraId="6B75BD2D" w14:textId="0FAE11E2" w:rsidR="0070041F" w:rsidRPr="009F0910" w:rsidRDefault="0070041F" w:rsidP="009F0910">
      <w:pPr>
        <w:spacing w:after="0" w:line="360" w:lineRule="auto"/>
        <w:contextualSpacing/>
        <w:jc w:val="both"/>
        <w:rPr>
          <w:rFonts w:cstheme="minorHAnsi"/>
          <w:i/>
          <w:sz w:val="24"/>
          <w:szCs w:val="24"/>
        </w:rPr>
      </w:pPr>
      <w:r w:rsidRPr="009F0910">
        <w:rPr>
          <w:rFonts w:cstheme="minorHAnsi"/>
          <w:i/>
          <w:sz w:val="24"/>
          <w:szCs w:val="24"/>
        </w:rPr>
        <w:t xml:space="preserve">Sexuality as a human right </w:t>
      </w:r>
    </w:p>
    <w:p w14:paraId="25A1914D" w14:textId="77777777" w:rsidR="007471DB" w:rsidRPr="009F0910" w:rsidRDefault="007471DB" w:rsidP="009F0910">
      <w:pPr>
        <w:spacing w:after="0" w:line="360" w:lineRule="auto"/>
        <w:contextualSpacing/>
        <w:jc w:val="both"/>
        <w:rPr>
          <w:rFonts w:cstheme="minorHAnsi"/>
          <w:sz w:val="24"/>
          <w:szCs w:val="24"/>
        </w:rPr>
      </w:pPr>
    </w:p>
    <w:p w14:paraId="1EE7556B" w14:textId="42500E0A" w:rsidR="0070041F" w:rsidRPr="009F0910" w:rsidRDefault="0070041F" w:rsidP="009F0910">
      <w:pPr>
        <w:spacing w:after="0" w:line="360" w:lineRule="auto"/>
        <w:contextualSpacing/>
        <w:jc w:val="both"/>
        <w:rPr>
          <w:rFonts w:cstheme="minorHAnsi"/>
          <w:sz w:val="24"/>
          <w:szCs w:val="24"/>
        </w:rPr>
      </w:pPr>
      <w:r w:rsidRPr="009F0910">
        <w:rPr>
          <w:rFonts w:cstheme="minorHAnsi"/>
          <w:sz w:val="24"/>
          <w:szCs w:val="24"/>
        </w:rPr>
        <w:t xml:space="preserve">Within the broader normalcy discourse, sexual experience was also constructed as something that all people had a “right” to pursue. For Nathan, having mental health problems was not a sufficient justification for the imposed celibacy he experienced at the hospital: </w:t>
      </w:r>
    </w:p>
    <w:p w14:paraId="14377206" w14:textId="77777777" w:rsidR="007471DB" w:rsidRPr="009F0910" w:rsidRDefault="007471DB" w:rsidP="009F0910">
      <w:pPr>
        <w:spacing w:after="0" w:line="360" w:lineRule="auto"/>
        <w:contextualSpacing/>
        <w:jc w:val="both"/>
        <w:rPr>
          <w:rFonts w:cstheme="minorHAnsi"/>
          <w:i/>
          <w:sz w:val="24"/>
          <w:szCs w:val="24"/>
        </w:rPr>
      </w:pPr>
    </w:p>
    <w:p w14:paraId="2BC4BD45" w14:textId="6C7082DA" w:rsidR="0070041F" w:rsidRPr="009F0910" w:rsidRDefault="0070041F" w:rsidP="009F0910">
      <w:pPr>
        <w:pStyle w:val="NoSpacing"/>
        <w:spacing w:line="360" w:lineRule="auto"/>
        <w:ind w:left="720"/>
        <w:contextualSpacing/>
        <w:jc w:val="both"/>
        <w:rPr>
          <w:rFonts w:cstheme="minorHAnsi"/>
          <w:iCs/>
          <w:sz w:val="24"/>
          <w:szCs w:val="24"/>
        </w:rPr>
      </w:pPr>
      <w:r w:rsidRPr="009F0910">
        <w:rPr>
          <w:rFonts w:cstheme="minorHAnsi"/>
          <w:iCs/>
          <w:sz w:val="24"/>
          <w:szCs w:val="24"/>
        </w:rPr>
        <w:t>Nathan: Just because I have an illness why should I be not allowed to have sex?  . . . Just because I’m ill, why can’t I go to the pub for a few hours? I can understand it’s alcohol related and that’s one thing I’m in here for. I can understand that, and drugs are illegal so I can understand that  . . .  Why can’t I have sex</w:t>
      </w:r>
      <w:r w:rsidR="00695397" w:rsidRPr="009F0910">
        <w:rPr>
          <w:rFonts w:cstheme="minorHAnsi"/>
          <w:iCs/>
          <w:sz w:val="24"/>
          <w:szCs w:val="24"/>
        </w:rPr>
        <w:t>,</w:t>
      </w:r>
      <w:r w:rsidRPr="009F0910">
        <w:rPr>
          <w:rFonts w:cstheme="minorHAnsi"/>
          <w:iCs/>
          <w:sz w:val="24"/>
          <w:szCs w:val="24"/>
        </w:rPr>
        <w:t xml:space="preserve"> if I had a girlfriend?  . . . It’s a human right.</w:t>
      </w:r>
    </w:p>
    <w:p w14:paraId="359DB9E9" w14:textId="77777777" w:rsidR="0070041F" w:rsidRPr="009F0910" w:rsidRDefault="0070041F" w:rsidP="009F0910">
      <w:pPr>
        <w:spacing w:after="0" w:line="360" w:lineRule="auto"/>
        <w:ind w:firstLine="720"/>
        <w:contextualSpacing/>
        <w:jc w:val="both"/>
        <w:rPr>
          <w:rFonts w:cstheme="minorHAnsi"/>
          <w:iCs/>
          <w:sz w:val="24"/>
          <w:szCs w:val="24"/>
        </w:rPr>
      </w:pPr>
    </w:p>
    <w:p w14:paraId="7EF2022C" w14:textId="4D0876A8"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Whereas the prohibition of substance use was legitimate, the prohibition of sexual contact was </w:t>
      </w:r>
      <w:r w:rsidR="00695397" w:rsidRPr="009F0910">
        <w:rPr>
          <w:rFonts w:cstheme="minorHAnsi"/>
          <w:sz w:val="24"/>
          <w:szCs w:val="24"/>
        </w:rPr>
        <w:t xml:space="preserve">viewed as </w:t>
      </w:r>
      <w:r w:rsidRPr="009F0910">
        <w:rPr>
          <w:rFonts w:cstheme="minorHAnsi"/>
          <w:sz w:val="24"/>
          <w:szCs w:val="24"/>
        </w:rPr>
        <w:t xml:space="preserve">an injustice, because everyone had the legal and moral right to be sexual. To some inpatients, the hospital’s prohibitive approach felt like “discrimination”, because not every inpatient was equal in terms of their capacity (and lack of) to form consensual (sexual) relationships. From Will’s perspective, a more nuanced approach to managing inpatients’ sexual needs and desires was required from staff; but a lack of trust, and a prevailing discourse of risk, meant that absolute prohibition was favoured: </w:t>
      </w:r>
    </w:p>
    <w:p w14:paraId="50487829" w14:textId="77777777" w:rsidR="007471DB" w:rsidRPr="009F0910" w:rsidRDefault="007471DB" w:rsidP="009F0910">
      <w:pPr>
        <w:spacing w:after="0" w:line="360" w:lineRule="auto"/>
        <w:ind w:firstLine="720"/>
        <w:contextualSpacing/>
        <w:jc w:val="both"/>
        <w:rPr>
          <w:rFonts w:cstheme="minorHAnsi"/>
          <w:sz w:val="24"/>
          <w:szCs w:val="24"/>
        </w:rPr>
      </w:pPr>
    </w:p>
    <w:p w14:paraId="254A4CB8" w14:textId="77777777"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lastRenderedPageBreak/>
        <w:t>Will: And the higher functioning patients are not trusted to not abuse and exploit that. So relationships are seen as just a no-no. I would be very delicate with somebody who was vulnerable in that sense but they don’t trust that I would do that. That’s why it’s the way it is.</w:t>
      </w:r>
    </w:p>
    <w:p w14:paraId="2E6DF6B4" w14:textId="77777777" w:rsidR="0070041F" w:rsidRPr="009F0910" w:rsidRDefault="0070041F" w:rsidP="009F0910">
      <w:pPr>
        <w:spacing w:after="0" w:line="360" w:lineRule="auto"/>
        <w:contextualSpacing/>
        <w:jc w:val="both"/>
        <w:rPr>
          <w:rFonts w:cstheme="minorHAnsi"/>
          <w:sz w:val="24"/>
          <w:szCs w:val="24"/>
        </w:rPr>
      </w:pPr>
    </w:p>
    <w:p w14:paraId="4B9E1249" w14:textId="073697DC"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Inpatients described how staff held metaphorical “power of attorney” over their sexual and relational possibilities, which was a source of frustration: Nicole exclaimed, “I might be a vulnerable adult, but I’m thirty-frigging-six, you know what I mean?” </w:t>
      </w:r>
      <w:r w:rsidR="00F90F65" w:rsidRPr="009F0910">
        <w:rPr>
          <w:rFonts w:cstheme="minorHAnsi"/>
          <w:sz w:val="24"/>
          <w:szCs w:val="24"/>
        </w:rPr>
        <w:t xml:space="preserve">To be denied sexual agency was experienced by inpatients as infantilising. </w:t>
      </w:r>
      <w:r w:rsidRPr="009F0910">
        <w:rPr>
          <w:rFonts w:cstheme="minorHAnsi"/>
          <w:sz w:val="24"/>
          <w:szCs w:val="24"/>
        </w:rPr>
        <w:t xml:space="preserve">However, for staff, inhibiting inpatient sexual contact was part of an overall responsibility for mitigating risk on behalf of people who could not manage it themselves: </w:t>
      </w:r>
    </w:p>
    <w:p w14:paraId="546C9A07" w14:textId="77777777" w:rsidR="007471DB" w:rsidRPr="009F0910" w:rsidRDefault="007471DB" w:rsidP="009F0910">
      <w:pPr>
        <w:spacing w:after="0" w:line="360" w:lineRule="auto"/>
        <w:ind w:firstLine="720"/>
        <w:contextualSpacing/>
        <w:jc w:val="both"/>
        <w:rPr>
          <w:rFonts w:cstheme="minorHAnsi"/>
          <w:sz w:val="24"/>
          <w:szCs w:val="24"/>
        </w:rPr>
      </w:pPr>
    </w:p>
    <w:p w14:paraId="0A304B85" w14:textId="4FA7C499"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John [</w:t>
      </w:r>
      <w:r w:rsidR="00695397" w:rsidRPr="009F0910">
        <w:rPr>
          <w:rFonts w:cstheme="minorHAnsi"/>
          <w:sz w:val="24"/>
          <w:szCs w:val="24"/>
        </w:rPr>
        <w:t>h</w:t>
      </w:r>
      <w:r w:rsidRPr="009F0910">
        <w:rPr>
          <w:rFonts w:cstheme="minorHAnsi"/>
          <w:sz w:val="24"/>
          <w:szCs w:val="24"/>
        </w:rPr>
        <w:t xml:space="preserve">ealthcare </w:t>
      </w:r>
      <w:r w:rsidR="00695397" w:rsidRPr="009F0910">
        <w:rPr>
          <w:rFonts w:cstheme="minorHAnsi"/>
          <w:sz w:val="24"/>
          <w:szCs w:val="24"/>
        </w:rPr>
        <w:t>a</w:t>
      </w:r>
      <w:r w:rsidRPr="009F0910">
        <w:rPr>
          <w:rFonts w:cstheme="minorHAnsi"/>
          <w:sz w:val="24"/>
          <w:szCs w:val="24"/>
        </w:rPr>
        <w:t>ssistant]: A lot of them view sex just as a moment in time of euphoria for whatever reason, and then don’t see any kind of negative aspects of it that could potentially happen. I don’t think they’re particularly informed on that.</w:t>
      </w:r>
    </w:p>
    <w:p w14:paraId="79CDEE5A" w14:textId="77777777" w:rsidR="0070041F" w:rsidRPr="009F0910" w:rsidRDefault="0070041F" w:rsidP="009F0910">
      <w:pPr>
        <w:spacing w:after="0" w:line="360" w:lineRule="auto"/>
        <w:ind w:left="720"/>
        <w:contextualSpacing/>
        <w:jc w:val="both"/>
        <w:rPr>
          <w:rFonts w:cstheme="minorHAnsi"/>
          <w:sz w:val="24"/>
          <w:szCs w:val="24"/>
        </w:rPr>
      </w:pPr>
    </w:p>
    <w:p w14:paraId="6C3DE602" w14:textId="0D54A2E5"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Inpatients occupied incompatible dual positions of vulnerable (or dangerous) people who were oblivious to the risks associated with sexual contact, and of consenting adults who had the decision-making capacity – and the human right – to express their </w:t>
      </w:r>
      <w:r w:rsidR="006E34A7" w:rsidRPr="009F0910">
        <w:rPr>
          <w:rFonts w:cstheme="minorHAnsi"/>
          <w:sz w:val="24"/>
          <w:szCs w:val="24"/>
        </w:rPr>
        <w:t>sexualities and</w:t>
      </w:r>
      <w:r w:rsidRPr="009F0910">
        <w:rPr>
          <w:rFonts w:cstheme="minorHAnsi"/>
          <w:sz w:val="24"/>
          <w:szCs w:val="24"/>
        </w:rPr>
        <w:t xml:space="preserve"> develop relationships with others. For most of the staff participants, the risk and vulnerability discourse was sufficiently powerful to override the possibility that inpatients were suitably positioned to make their own relationship-related decisions. </w:t>
      </w:r>
    </w:p>
    <w:p w14:paraId="5E6DC050" w14:textId="77777777" w:rsidR="007471DB" w:rsidRPr="009F0910" w:rsidRDefault="007471DB" w:rsidP="009F0910">
      <w:pPr>
        <w:spacing w:after="0" w:line="360" w:lineRule="auto"/>
        <w:contextualSpacing/>
        <w:jc w:val="both"/>
        <w:rPr>
          <w:rFonts w:cstheme="minorHAnsi"/>
          <w:b/>
          <w:bCs/>
          <w:iCs/>
          <w:sz w:val="24"/>
          <w:szCs w:val="24"/>
        </w:rPr>
      </w:pPr>
    </w:p>
    <w:p w14:paraId="1DADC98C" w14:textId="655DE6D7" w:rsidR="0070041F" w:rsidRPr="009F0910" w:rsidRDefault="0070041F" w:rsidP="009F0910">
      <w:pPr>
        <w:spacing w:after="0" w:line="360" w:lineRule="auto"/>
        <w:contextualSpacing/>
        <w:jc w:val="both"/>
        <w:rPr>
          <w:rFonts w:cstheme="minorHAnsi"/>
          <w:b/>
          <w:bCs/>
          <w:i/>
          <w:sz w:val="24"/>
          <w:szCs w:val="24"/>
        </w:rPr>
      </w:pPr>
      <w:r w:rsidRPr="009F0910">
        <w:rPr>
          <w:rFonts w:cstheme="minorHAnsi"/>
          <w:b/>
          <w:bCs/>
          <w:i/>
          <w:sz w:val="24"/>
          <w:szCs w:val="24"/>
        </w:rPr>
        <w:t xml:space="preserve">Risk, vulnerability and appropriateness </w:t>
      </w:r>
    </w:p>
    <w:p w14:paraId="1083C2ED" w14:textId="77777777" w:rsidR="007471DB" w:rsidRPr="009F0910" w:rsidRDefault="007471DB" w:rsidP="009F0910">
      <w:pPr>
        <w:spacing w:after="0" w:line="360" w:lineRule="auto"/>
        <w:contextualSpacing/>
        <w:jc w:val="both"/>
        <w:rPr>
          <w:rFonts w:cstheme="minorHAnsi"/>
          <w:b/>
          <w:sz w:val="24"/>
          <w:szCs w:val="24"/>
        </w:rPr>
      </w:pPr>
    </w:p>
    <w:p w14:paraId="2F19CC36" w14:textId="29D9B0AD" w:rsidR="0070041F" w:rsidRPr="009F0910" w:rsidRDefault="0070041F" w:rsidP="009F0910">
      <w:pPr>
        <w:spacing w:after="0" w:line="360" w:lineRule="auto"/>
        <w:contextualSpacing/>
        <w:jc w:val="both"/>
        <w:rPr>
          <w:rFonts w:cstheme="minorHAnsi"/>
          <w:sz w:val="24"/>
          <w:szCs w:val="24"/>
        </w:rPr>
      </w:pPr>
      <w:r w:rsidRPr="009F0910">
        <w:rPr>
          <w:rFonts w:cstheme="minorHAnsi"/>
          <w:sz w:val="24"/>
          <w:szCs w:val="24"/>
        </w:rPr>
        <w:t>Competing discourses of rights and risks – and the multiple positions occupied by inpatients – generated uncertainty, and staff were unclear as to the priorities and focus of the mental healthcare provision:</w:t>
      </w:r>
    </w:p>
    <w:p w14:paraId="1F5BA7A1" w14:textId="77777777" w:rsidR="007471DB" w:rsidRPr="009F0910" w:rsidRDefault="007471DB" w:rsidP="009F0910">
      <w:pPr>
        <w:spacing w:after="0" w:line="360" w:lineRule="auto"/>
        <w:contextualSpacing/>
        <w:jc w:val="both"/>
        <w:rPr>
          <w:rFonts w:cstheme="minorHAnsi"/>
          <w:sz w:val="24"/>
          <w:szCs w:val="24"/>
        </w:rPr>
      </w:pPr>
    </w:p>
    <w:p w14:paraId="0BBC10FB" w14:textId="243B4C60"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Kate [</w:t>
      </w:r>
      <w:r w:rsidR="00695397" w:rsidRPr="009F0910">
        <w:rPr>
          <w:rFonts w:cstheme="minorHAnsi"/>
          <w:sz w:val="24"/>
          <w:szCs w:val="24"/>
        </w:rPr>
        <w:t>s</w:t>
      </w:r>
      <w:r w:rsidRPr="009F0910">
        <w:rPr>
          <w:rFonts w:cstheme="minorHAnsi"/>
          <w:sz w:val="24"/>
          <w:szCs w:val="24"/>
        </w:rPr>
        <w:t xml:space="preserve">enior </w:t>
      </w:r>
      <w:r w:rsidR="00695397" w:rsidRPr="009F0910">
        <w:rPr>
          <w:rFonts w:cstheme="minorHAnsi"/>
          <w:sz w:val="24"/>
          <w:szCs w:val="24"/>
        </w:rPr>
        <w:t>health care assistant</w:t>
      </w:r>
      <w:r w:rsidRPr="009F0910">
        <w:rPr>
          <w:rFonts w:cstheme="minorHAnsi"/>
          <w:sz w:val="24"/>
          <w:szCs w:val="24"/>
        </w:rPr>
        <w:t xml:space="preserve">]: What is the purpose of the ward and with these guys and moving them on? So how do you balance? It’s a kind of struggle for me because I can think people are entitled to have relationships, but in this environment </w:t>
      </w:r>
      <w:r w:rsidRPr="009F0910">
        <w:rPr>
          <w:rFonts w:cstheme="minorHAnsi"/>
          <w:sz w:val="24"/>
          <w:szCs w:val="24"/>
        </w:rPr>
        <w:lastRenderedPageBreak/>
        <w:t xml:space="preserve">we’re looking at risk, we’re looking at all these issues, and then balancing that up with the potential risks and everything that comes with their background and their rights to maybe have a relationship as any other person would have.  </w:t>
      </w:r>
    </w:p>
    <w:p w14:paraId="48E42D19" w14:textId="77777777"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 xml:space="preserve">. . . </w:t>
      </w:r>
    </w:p>
    <w:p w14:paraId="74A2EF98" w14:textId="2251EBAA"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John</w:t>
      </w:r>
      <w:r w:rsidR="00695397" w:rsidRPr="009F0910">
        <w:rPr>
          <w:rFonts w:cstheme="minorHAnsi"/>
          <w:sz w:val="24"/>
          <w:szCs w:val="24"/>
        </w:rPr>
        <w:t xml:space="preserve"> </w:t>
      </w:r>
      <w:r w:rsidR="00707079" w:rsidRPr="009F0910">
        <w:rPr>
          <w:rFonts w:cstheme="minorHAnsi"/>
          <w:sz w:val="24"/>
          <w:szCs w:val="24"/>
        </w:rPr>
        <w:t>[healthcare assistant]:</w:t>
      </w:r>
      <w:r w:rsidRPr="009F0910">
        <w:rPr>
          <w:rFonts w:cstheme="minorHAnsi"/>
          <w:sz w:val="24"/>
          <w:szCs w:val="24"/>
        </w:rPr>
        <w:t xml:space="preserve"> I suppose it’s a question of are we here to manage risk, or are we here to start reintegration?</w:t>
      </w:r>
    </w:p>
    <w:p w14:paraId="29CEA06B" w14:textId="77777777" w:rsidR="0070041F" w:rsidRPr="009F0910" w:rsidRDefault="0070041F" w:rsidP="009F0910">
      <w:pPr>
        <w:spacing w:after="0" w:line="360" w:lineRule="auto"/>
        <w:contextualSpacing/>
        <w:jc w:val="both"/>
        <w:rPr>
          <w:rFonts w:cstheme="minorHAnsi"/>
          <w:b/>
          <w:sz w:val="24"/>
          <w:szCs w:val="24"/>
        </w:rPr>
      </w:pPr>
    </w:p>
    <w:p w14:paraId="76ECE8A2" w14:textId="79F96FC1"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Kate’s liberal attitude regarding the human right to (sexual) relationships was discordant with the more conservative risk discourse </w:t>
      </w:r>
      <w:r w:rsidR="00695397" w:rsidRPr="009F0910">
        <w:rPr>
          <w:rFonts w:cstheme="minorHAnsi"/>
          <w:sz w:val="24"/>
          <w:szCs w:val="24"/>
        </w:rPr>
        <w:t>prevalent</w:t>
      </w:r>
      <w:r w:rsidRPr="009F0910">
        <w:rPr>
          <w:rFonts w:cstheme="minorHAnsi"/>
          <w:sz w:val="24"/>
          <w:szCs w:val="24"/>
        </w:rPr>
        <w:t xml:space="preserve"> in the hospital. While Kate was concerned about the purpose of the ward, John had a more existential concern regarding his purpose as a staff member. From his perspective, managing risk was incompatible with promoting “reintegration”, because the former involved prohibition of sexual contact, whereas reintegration into the community included permissiveness towards sex and relationships. John’s rhetorical question illustrated the uncertain terrain that staff members navigated. With a lack of clarity surrounding their role, staff participants often defaulted to the discourse of risk to rationa</w:t>
      </w:r>
      <w:r w:rsidR="007E245B" w:rsidRPr="009F0910">
        <w:rPr>
          <w:rFonts w:cstheme="minorHAnsi"/>
          <w:sz w:val="24"/>
          <w:szCs w:val="24"/>
        </w:rPr>
        <w:t>lis</w:t>
      </w:r>
      <w:r w:rsidRPr="009F0910">
        <w:rPr>
          <w:rFonts w:cstheme="minorHAnsi"/>
          <w:sz w:val="24"/>
          <w:szCs w:val="24"/>
        </w:rPr>
        <w:t xml:space="preserve">e their emphasis on managing inpatient safety, rather than supporting something that may contribute to the inpatients’ recovery. The risk discourse justified the application of an (unofficial) blanket policy that inhibited inpatient sexuality, even though, from some staff members’ perspective, this was tantamount to “punishment”.  </w:t>
      </w:r>
    </w:p>
    <w:p w14:paraId="79A57ECB" w14:textId="1A3A899B"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Although some staff acknowledged that inpatients had the capacity to make decisions regarding relationships, they also had various strategies in place to prevent relationships from forming. Managing the perceived risk associated with inpatients’ expressions of sexuality required close surveillance, and implementation of obstructive strategies: </w:t>
      </w:r>
    </w:p>
    <w:p w14:paraId="52BDC90A" w14:textId="77777777" w:rsidR="007471DB" w:rsidRPr="009F0910" w:rsidRDefault="007471DB" w:rsidP="009F0910">
      <w:pPr>
        <w:spacing w:after="0" w:line="360" w:lineRule="auto"/>
        <w:ind w:firstLine="720"/>
        <w:contextualSpacing/>
        <w:jc w:val="both"/>
        <w:rPr>
          <w:rFonts w:cstheme="minorHAnsi"/>
          <w:sz w:val="24"/>
          <w:szCs w:val="24"/>
        </w:rPr>
      </w:pPr>
    </w:p>
    <w:p w14:paraId="5CFE19F8" w14:textId="55D65448" w:rsidR="0070041F" w:rsidRPr="009F0910" w:rsidRDefault="0070041F" w:rsidP="009F0910">
      <w:pPr>
        <w:spacing w:after="0" w:line="360" w:lineRule="auto"/>
        <w:ind w:left="720"/>
        <w:contextualSpacing/>
        <w:jc w:val="both"/>
        <w:rPr>
          <w:rFonts w:cstheme="minorHAnsi"/>
          <w:iCs/>
          <w:sz w:val="24"/>
          <w:szCs w:val="24"/>
        </w:rPr>
      </w:pPr>
      <w:r w:rsidRPr="009F0910">
        <w:rPr>
          <w:rFonts w:cstheme="minorHAnsi"/>
          <w:iCs/>
          <w:sz w:val="24"/>
          <w:szCs w:val="24"/>
        </w:rPr>
        <w:t>Interviewer: If two people start to partner off like that on the ward, is that tolerated or do people try to intervene and make that stop happening?</w:t>
      </w:r>
    </w:p>
    <w:p w14:paraId="1B373269" w14:textId="42D9781A"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Ayo [</w:t>
      </w:r>
      <w:r w:rsidR="00695397" w:rsidRPr="009F0910">
        <w:rPr>
          <w:rFonts w:cstheme="minorHAnsi"/>
          <w:sz w:val="24"/>
          <w:szCs w:val="24"/>
        </w:rPr>
        <w:t>s</w:t>
      </w:r>
      <w:r w:rsidRPr="009F0910">
        <w:rPr>
          <w:rFonts w:cstheme="minorHAnsi"/>
          <w:sz w:val="24"/>
          <w:szCs w:val="24"/>
        </w:rPr>
        <w:t xml:space="preserve">enior </w:t>
      </w:r>
      <w:r w:rsidR="00695397" w:rsidRPr="009F0910">
        <w:rPr>
          <w:rFonts w:cstheme="minorHAnsi"/>
          <w:sz w:val="24"/>
          <w:szCs w:val="24"/>
        </w:rPr>
        <w:t>s</w:t>
      </w:r>
      <w:r w:rsidRPr="009F0910">
        <w:rPr>
          <w:rFonts w:cstheme="minorHAnsi"/>
          <w:sz w:val="24"/>
          <w:szCs w:val="24"/>
        </w:rPr>
        <w:t xml:space="preserve">taff </w:t>
      </w:r>
      <w:r w:rsidR="00695397" w:rsidRPr="009F0910">
        <w:rPr>
          <w:rFonts w:cstheme="minorHAnsi"/>
          <w:sz w:val="24"/>
          <w:szCs w:val="24"/>
        </w:rPr>
        <w:t>n</w:t>
      </w:r>
      <w:r w:rsidRPr="009F0910">
        <w:rPr>
          <w:rFonts w:cstheme="minorHAnsi"/>
          <w:sz w:val="24"/>
          <w:szCs w:val="24"/>
        </w:rPr>
        <w:t>urse]: You can’t really because most of our guys have consent. They’re consenting adults. We can’t really physically pull them apart. However, we would be observing the interactions very, very closely, because knowing your patient you know the risks and vulnerabilities of those people.</w:t>
      </w:r>
    </w:p>
    <w:p w14:paraId="2F95AE87" w14:textId="7E5352CA"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lastRenderedPageBreak/>
        <w:t>Ross [</w:t>
      </w:r>
      <w:r w:rsidR="00695397" w:rsidRPr="009F0910">
        <w:rPr>
          <w:rFonts w:cstheme="minorHAnsi"/>
          <w:sz w:val="24"/>
          <w:szCs w:val="24"/>
        </w:rPr>
        <w:t>health care assistant</w:t>
      </w:r>
      <w:r w:rsidRPr="009F0910">
        <w:rPr>
          <w:rFonts w:cstheme="minorHAnsi"/>
          <w:sz w:val="24"/>
          <w:szCs w:val="24"/>
        </w:rPr>
        <w:t xml:space="preserve">]: It won’t be like pulling them apart. It would be more every time they’re together we’d have someone sit right near them and not letting them in the room on their own. </w:t>
      </w:r>
    </w:p>
    <w:p w14:paraId="1C55365B" w14:textId="77777777" w:rsidR="0070041F" w:rsidRPr="009F0910" w:rsidRDefault="0070041F" w:rsidP="009F0910">
      <w:pPr>
        <w:spacing w:after="0" w:line="360" w:lineRule="auto"/>
        <w:contextualSpacing/>
        <w:jc w:val="both"/>
        <w:rPr>
          <w:rFonts w:cstheme="minorHAnsi"/>
          <w:sz w:val="24"/>
          <w:szCs w:val="24"/>
        </w:rPr>
      </w:pPr>
    </w:p>
    <w:p w14:paraId="0C12F536" w14:textId="2032EB7A" w:rsidR="0070041F" w:rsidRPr="009F0910" w:rsidRDefault="0070041F" w:rsidP="009F0910">
      <w:pPr>
        <w:spacing w:after="0" w:line="360" w:lineRule="auto"/>
        <w:ind w:firstLine="720"/>
        <w:contextualSpacing/>
        <w:jc w:val="both"/>
        <w:rPr>
          <w:rFonts w:cstheme="minorHAnsi"/>
          <w:i/>
          <w:sz w:val="24"/>
          <w:szCs w:val="24"/>
        </w:rPr>
      </w:pPr>
      <w:r w:rsidRPr="009F0910">
        <w:rPr>
          <w:rFonts w:cstheme="minorHAnsi"/>
          <w:sz w:val="24"/>
          <w:szCs w:val="24"/>
        </w:rPr>
        <w:t xml:space="preserve">Here and elsewhere, </w:t>
      </w:r>
      <w:r w:rsidR="00D45BC2">
        <w:rPr>
          <w:rFonts w:cstheme="minorHAnsi"/>
          <w:sz w:val="24"/>
          <w:szCs w:val="24"/>
        </w:rPr>
        <w:t>a discourse</w:t>
      </w:r>
      <w:r w:rsidRPr="009F0910">
        <w:rPr>
          <w:rFonts w:cstheme="minorHAnsi"/>
          <w:sz w:val="24"/>
          <w:szCs w:val="24"/>
        </w:rPr>
        <w:t xml:space="preserve"> of risk, vulnerability and appropriateness demarcated the allocation of power in the ward. Ward staff controlled the inpatients’ experiences and expressions of emotional intimacy, and the discourse policed the boundaries of permitted </w:t>
      </w:r>
      <w:r w:rsidR="007E245B" w:rsidRPr="009F0910">
        <w:rPr>
          <w:rFonts w:cstheme="minorHAnsi"/>
          <w:sz w:val="24"/>
          <w:szCs w:val="24"/>
        </w:rPr>
        <w:t>behaviour</w:t>
      </w:r>
      <w:r w:rsidRPr="009F0910">
        <w:rPr>
          <w:rFonts w:cstheme="minorHAnsi"/>
          <w:sz w:val="24"/>
          <w:szCs w:val="24"/>
        </w:rPr>
        <w:t>s, and emotional experiences. Within this discourse, even the most innocuous of sexual expressions by inpatients– such as their discussing people they found attracti</w:t>
      </w:r>
      <w:r w:rsidR="0087131D" w:rsidRPr="009F0910">
        <w:rPr>
          <w:rFonts w:cstheme="minorHAnsi"/>
          <w:sz w:val="24"/>
          <w:szCs w:val="24"/>
        </w:rPr>
        <w:t>ve – were recoded as mis</w:t>
      </w:r>
      <w:r w:rsidR="007E245B" w:rsidRPr="009F0910">
        <w:rPr>
          <w:rFonts w:cstheme="minorHAnsi"/>
          <w:sz w:val="24"/>
          <w:szCs w:val="24"/>
        </w:rPr>
        <w:t>behaviour</w:t>
      </w:r>
      <w:r w:rsidRPr="009F0910">
        <w:rPr>
          <w:rFonts w:cstheme="minorHAnsi"/>
          <w:sz w:val="24"/>
          <w:szCs w:val="24"/>
        </w:rPr>
        <w:t xml:space="preserve">, and therefore warranted staff intervention. </w:t>
      </w:r>
    </w:p>
    <w:p w14:paraId="7AFEB2B0" w14:textId="77777777" w:rsidR="007471DB" w:rsidRPr="009F0910" w:rsidRDefault="007471DB" w:rsidP="009F0910">
      <w:pPr>
        <w:spacing w:after="0" w:line="360" w:lineRule="auto"/>
        <w:contextualSpacing/>
        <w:jc w:val="both"/>
        <w:rPr>
          <w:rFonts w:cstheme="minorHAnsi"/>
          <w:i/>
          <w:sz w:val="24"/>
          <w:szCs w:val="24"/>
        </w:rPr>
      </w:pPr>
    </w:p>
    <w:p w14:paraId="4E55DC47" w14:textId="50CD9CA1" w:rsidR="0070041F" w:rsidRPr="009F0910" w:rsidRDefault="0070041F" w:rsidP="009F0910">
      <w:pPr>
        <w:spacing w:after="0" w:line="360" w:lineRule="auto"/>
        <w:contextualSpacing/>
        <w:jc w:val="both"/>
        <w:rPr>
          <w:rFonts w:cstheme="minorHAnsi"/>
          <w:i/>
          <w:sz w:val="24"/>
          <w:szCs w:val="24"/>
        </w:rPr>
      </w:pPr>
      <w:r w:rsidRPr="009F0910">
        <w:rPr>
          <w:rFonts w:cstheme="minorHAnsi"/>
          <w:i/>
          <w:sz w:val="24"/>
          <w:szCs w:val="24"/>
        </w:rPr>
        <w:t xml:space="preserve">Obstructing sexuality </w:t>
      </w:r>
    </w:p>
    <w:p w14:paraId="389F68DD" w14:textId="77777777" w:rsidR="007471DB" w:rsidRPr="009F0910" w:rsidRDefault="007471DB" w:rsidP="009F0910">
      <w:pPr>
        <w:spacing w:after="0" w:line="360" w:lineRule="auto"/>
        <w:contextualSpacing/>
        <w:jc w:val="both"/>
        <w:rPr>
          <w:rFonts w:cstheme="minorHAnsi"/>
          <w:sz w:val="24"/>
          <w:szCs w:val="24"/>
        </w:rPr>
      </w:pPr>
    </w:p>
    <w:p w14:paraId="4EF06A75" w14:textId="5686AC91" w:rsidR="0070041F" w:rsidRPr="009F0910" w:rsidRDefault="0070041F" w:rsidP="009F0910">
      <w:pPr>
        <w:spacing w:after="0" w:line="360" w:lineRule="auto"/>
        <w:contextualSpacing/>
        <w:jc w:val="both"/>
        <w:rPr>
          <w:rFonts w:cstheme="minorHAnsi"/>
          <w:sz w:val="24"/>
          <w:szCs w:val="24"/>
        </w:rPr>
      </w:pPr>
      <w:r w:rsidRPr="009F0910">
        <w:rPr>
          <w:rFonts w:cstheme="minorHAnsi"/>
          <w:sz w:val="24"/>
          <w:szCs w:val="24"/>
        </w:rPr>
        <w:t xml:space="preserve">The risk, vulnerability and appropriateness </w:t>
      </w:r>
      <w:r w:rsidR="0087131D" w:rsidRPr="009F0910">
        <w:rPr>
          <w:rFonts w:cstheme="minorHAnsi"/>
          <w:sz w:val="24"/>
          <w:szCs w:val="24"/>
        </w:rPr>
        <w:t>discourse was used to rationali</w:t>
      </w:r>
      <w:r w:rsidR="007E245B" w:rsidRPr="009F0910">
        <w:rPr>
          <w:rFonts w:cstheme="minorHAnsi"/>
          <w:sz w:val="24"/>
          <w:szCs w:val="24"/>
        </w:rPr>
        <w:t>s</w:t>
      </w:r>
      <w:r w:rsidRPr="009F0910">
        <w:rPr>
          <w:rFonts w:cstheme="minorHAnsi"/>
          <w:sz w:val="24"/>
          <w:szCs w:val="24"/>
        </w:rPr>
        <w:t xml:space="preserve">e the protocols in place that managed (and precluded) aspects of the inpatients’ sexual expression. In two group interviews, inpatients described how ward staff managed inpatients’ use of sex aids for masturbation, as illustrated: </w:t>
      </w:r>
    </w:p>
    <w:p w14:paraId="07971F0E" w14:textId="77777777" w:rsidR="007471DB" w:rsidRPr="009F0910" w:rsidRDefault="007471DB" w:rsidP="009F0910">
      <w:pPr>
        <w:spacing w:after="0" w:line="360" w:lineRule="auto"/>
        <w:contextualSpacing/>
        <w:jc w:val="both"/>
        <w:rPr>
          <w:rFonts w:cstheme="minorHAnsi"/>
          <w:sz w:val="24"/>
          <w:szCs w:val="24"/>
        </w:rPr>
      </w:pPr>
    </w:p>
    <w:p w14:paraId="7830DC19" w14:textId="4B8F1089" w:rsidR="0070041F" w:rsidRPr="009F0910" w:rsidRDefault="0070041F" w:rsidP="009F0910">
      <w:pPr>
        <w:spacing w:after="0" w:line="360" w:lineRule="auto"/>
        <w:ind w:left="720"/>
        <w:contextualSpacing/>
        <w:jc w:val="both"/>
        <w:rPr>
          <w:rFonts w:cstheme="minorHAnsi"/>
          <w:iCs/>
          <w:sz w:val="24"/>
          <w:szCs w:val="24"/>
        </w:rPr>
      </w:pPr>
      <w:r w:rsidRPr="009F0910">
        <w:rPr>
          <w:rFonts w:cstheme="minorHAnsi"/>
          <w:iCs/>
          <w:sz w:val="24"/>
          <w:szCs w:val="24"/>
        </w:rPr>
        <w:t xml:space="preserve">Sophie [Inpatient]: You have to be supervised [to use a sex aid]. Like, you have five minutes then they come and check on you. </w:t>
      </w:r>
    </w:p>
    <w:p w14:paraId="0578A3DF" w14:textId="77777777" w:rsidR="0070041F" w:rsidRPr="009F0910" w:rsidRDefault="0070041F" w:rsidP="009F0910">
      <w:pPr>
        <w:spacing w:after="0" w:line="360" w:lineRule="auto"/>
        <w:ind w:left="720"/>
        <w:contextualSpacing/>
        <w:jc w:val="both"/>
        <w:rPr>
          <w:rFonts w:cstheme="minorHAnsi"/>
          <w:iCs/>
          <w:sz w:val="24"/>
          <w:szCs w:val="24"/>
        </w:rPr>
      </w:pPr>
      <w:r w:rsidRPr="009F0910">
        <w:rPr>
          <w:rFonts w:cstheme="minorHAnsi"/>
          <w:iCs/>
          <w:sz w:val="24"/>
          <w:szCs w:val="24"/>
        </w:rPr>
        <w:t>Stella [Inpatient]: You have to go to your contraband locker and ask them and then sign it out, and then you walk down the corridor with it [group laughs].</w:t>
      </w:r>
    </w:p>
    <w:p w14:paraId="00334E00" w14:textId="77777777" w:rsidR="0070041F" w:rsidRPr="009F0910" w:rsidRDefault="0070041F" w:rsidP="009F0910">
      <w:pPr>
        <w:spacing w:after="0" w:line="360" w:lineRule="auto"/>
        <w:ind w:left="720"/>
        <w:contextualSpacing/>
        <w:jc w:val="both"/>
        <w:rPr>
          <w:rFonts w:cstheme="minorHAnsi"/>
          <w:sz w:val="24"/>
          <w:szCs w:val="24"/>
        </w:rPr>
      </w:pPr>
    </w:p>
    <w:p w14:paraId="3BF83FC6" w14:textId="46ED74F7" w:rsidR="00E10418"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According to Stella, sex aids such as vibrators occupied the same status as other items of restricted use (“contraband”)</w:t>
      </w:r>
      <w:r w:rsidR="006F7354" w:rsidRPr="009F0910">
        <w:rPr>
          <w:rFonts w:cstheme="minorHAnsi"/>
          <w:sz w:val="24"/>
          <w:szCs w:val="24"/>
        </w:rPr>
        <w:t xml:space="preserve">, constructing masturbation from the inpatients’ perspective </w:t>
      </w:r>
      <w:r w:rsidRPr="009F0910">
        <w:rPr>
          <w:rFonts w:cstheme="minorHAnsi"/>
          <w:sz w:val="24"/>
          <w:szCs w:val="24"/>
        </w:rPr>
        <w:t>as an illicit or “naughty” activity</w:t>
      </w:r>
      <w:r w:rsidR="00695397" w:rsidRPr="009F0910">
        <w:rPr>
          <w:rFonts w:cstheme="minorHAnsi"/>
          <w:sz w:val="24"/>
          <w:szCs w:val="24"/>
        </w:rPr>
        <w:t>,</w:t>
      </w:r>
      <w:r w:rsidRPr="009F0910">
        <w:rPr>
          <w:rFonts w:cstheme="minorHAnsi"/>
          <w:sz w:val="24"/>
          <w:szCs w:val="24"/>
        </w:rPr>
        <w:t xml:space="preserve"> and one that could not be performed spontaneously or in privacy. Stella painted a comical picture, accentuating the absurdity of an arrangement that obliged someone to transport a sex aid from her locker to her room in plain view of others. It reinforced the lack of privacy the inpatients </w:t>
      </w:r>
      <w:r w:rsidR="006E34A7" w:rsidRPr="009F0910">
        <w:rPr>
          <w:rFonts w:cstheme="minorHAnsi"/>
          <w:sz w:val="24"/>
          <w:szCs w:val="24"/>
        </w:rPr>
        <w:t>experienced and</w:t>
      </w:r>
      <w:r w:rsidR="009D21A1" w:rsidRPr="009F0910">
        <w:rPr>
          <w:rFonts w:cstheme="minorHAnsi"/>
          <w:sz w:val="24"/>
          <w:szCs w:val="24"/>
        </w:rPr>
        <w:t xml:space="preserve"> highlighted the </w:t>
      </w:r>
      <w:r w:rsidR="006F7354" w:rsidRPr="009F0910">
        <w:rPr>
          <w:rFonts w:cstheme="minorHAnsi"/>
          <w:sz w:val="24"/>
          <w:szCs w:val="24"/>
        </w:rPr>
        <w:t xml:space="preserve">sexualised rituals that took place between staff and inpatients. </w:t>
      </w:r>
      <w:r w:rsidR="002E1263" w:rsidRPr="009F0910">
        <w:rPr>
          <w:rFonts w:cstheme="minorHAnsi"/>
          <w:sz w:val="24"/>
          <w:szCs w:val="24"/>
        </w:rPr>
        <w:t>With the possibility for (unintended) voyeurism on the part of the staff (and other inpatients)</w:t>
      </w:r>
      <w:r w:rsidR="00695397" w:rsidRPr="009F0910">
        <w:rPr>
          <w:rFonts w:cstheme="minorHAnsi"/>
          <w:sz w:val="24"/>
          <w:szCs w:val="24"/>
        </w:rPr>
        <w:t xml:space="preserve"> </w:t>
      </w:r>
      <w:r w:rsidR="002E1263" w:rsidRPr="009F0910">
        <w:rPr>
          <w:rFonts w:cstheme="minorHAnsi"/>
          <w:sz w:val="24"/>
          <w:szCs w:val="24"/>
        </w:rPr>
        <w:t xml:space="preserve">and </w:t>
      </w:r>
      <w:r w:rsidR="002E1263" w:rsidRPr="009F0910">
        <w:rPr>
          <w:rFonts w:cstheme="minorHAnsi"/>
          <w:sz w:val="24"/>
          <w:szCs w:val="24"/>
        </w:rPr>
        <w:lastRenderedPageBreak/>
        <w:t>exhibitionism on the part of the inpatients, ward policies surrounding the use of sex aids confused professional and sexual boundaries. Masturbation was a possibility; but it was not a solo activity, because staff were inadvertently – though unavoidably – part of the experience.</w:t>
      </w:r>
    </w:p>
    <w:p w14:paraId="0A0197F5" w14:textId="1162417E"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In negotiating the constant surveillance by staff, and the system of rules and punishments that governed expressions of sexuality, inpatients sometimes engaged in intimate relationships “below the radar” of the ward staff. All inpatients reported that they had either participated in, or were aware of, sexual contact during their admissions, and generally regarded non-abusive instances of this as beneficial, describing opportunities for shared intimacy as therapeutic, rehabilitative, and in keeping with their</w:t>
      </w:r>
      <w:r w:rsidR="00F83042" w:rsidRPr="009F0910">
        <w:rPr>
          <w:rFonts w:cstheme="minorHAnsi"/>
          <w:sz w:val="24"/>
          <w:szCs w:val="24"/>
        </w:rPr>
        <w:t xml:space="preserve"> human rights</w:t>
      </w:r>
      <w:r w:rsidRPr="009F0910">
        <w:rPr>
          <w:rFonts w:cstheme="minorHAnsi"/>
          <w:sz w:val="24"/>
          <w:szCs w:val="24"/>
        </w:rPr>
        <w:t xml:space="preserve">. </w:t>
      </w:r>
      <w:r w:rsidR="00B33629" w:rsidRPr="009F0910">
        <w:rPr>
          <w:rFonts w:cstheme="minorHAnsi"/>
          <w:sz w:val="24"/>
          <w:szCs w:val="24"/>
        </w:rPr>
        <w:t>According to inpatients, s</w:t>
      </w:r>
      <w:r w:rsidRPr="009F0910">
        <w:rPr>
          <w:rFonts w:cstheme="minorHAnsi"/>
          <w:sz w:val="24"/>
          <w:szCs w:val="24"/>
        </w:rPr>
        <w:t>taff members did not necessarily share these sentiments</w:t>
      </w:r>
      <w:r w:rsidR="00A50D78" w:rsidRPr="009F0910">
        <w:rPr>
          <w:rFonts w:cstheme="minorHAnsi"/>
          <w:sz w:val="24"/>
          <w:szCs w:val="24"/>
        </w:rPr>
        <w:t>. Sophie described the staff members’ unsuccessful attempts to disrupt a fledgling romantic relationship:</w:t>
      </w:r>
    </w:p>
    <w:p w14:paraId="314C831A" w14:textId="77777777" w:rsidR="007471DB" w:rsidRPr="009F0910" w:rsidRDefault="007471DB" w:rsidP="009F0910">
      <w:pPr>
        <w:spacing w:after="0" w:line="360" w:lineRule="auto"/>
        <w:ind w:firstLine="720"/>
        <w:contextualSpacing/>
        <w:jc w:val="both"/>
        <w:rPr>
          <w:rFonts w:cstheme="minorHAnsi"/>
          <w:sz w:val="24"/>
          <w:szCs w:val="24"/>
        </w:rPr>
      </w:pPr>
    </w:p>
    <w:p w14:paraId="047D2E2B" w14:textId="5F4E4F64"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Sophie: They tried to stop it. Which didn’t work [laughs].</w:t>
      </w:r>
    </w:p>
    <w:p w14:paraId="5160E8CF" w14:textId="2C332340" w:rsidR="0070041F" w:rsidRPr="009F0910" w:rsidRDefault="0070041F" w:rsidP="009F0910">
      <w:pPr>
        <w:spacing w:after="0" w:line="360" w:lineRule="auto"/>
        <w:ind w:firstLine="720"/>
        <w:contextualSpacing/>
        <w:jc w:val="both"/>
        <w:rPr>
          <w:rFonts w:cstheme="minorHAnsi"/>
          <w:bCs/>
          <w:sz w:val="24"/>
          <w:szCs w:val="24"/>
        </w:rPr>
      </w:pPr>
      <w:r w:rsidRPr="009F0910">
        <w:rPr>
          <w:rFonts w:cstheme="minorHAnsi"/>
          <w:bCs/>
          <w:sz w:val="24"/>
          <w:szCs w:val="24"/>
        </w:rPr>
        <w:t>Interviewer: How did you get around it?</w:t>
      </w:r>
    </w:p>
    <w:p w14:paraId="0DD03F16" w14:textId="77777777"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Sophie: We just worked with a plan that we wouldn’t sit near each other and that, and eventually they turned around and said, “You can sit back next to each other but there’s no messing about and no touchy-touchy.”</w:t>
      </w:r>
    </w:p>
    <w:p w14:paraId="0910D6C8" w14:textId="77777777" w:rsidR="0070041F" w:rsidRPr="009F0910" w:rsidRDefault="0070041F" w:rsidP="009F0910">
      <w:pPr>
        <w:spacing w:after="0" w:line="360" w:lineRule="auto"/>
        <w:ind w:firstLine="720"/>
        <w:contextualSpacing/>
        <w:jc w:val="both"/>
        <w:rPr>
          <w:rFonts w:cstheme="minorHAnsi"/>
          <w:sz w:val="24"/>
          <w:szCs w:val="24"/>
        </w:rPr>
      </w:pPr>
    </w:p>
    <w:p w14:paraId="660C7B70" w14:textId="445D6CD5"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Sophie’s actions were self-acknowledged </w:t>
      </w:r>
      <w:r w:rsidR="006E34A7" w:rsidRPr="009F0910">
        <w:rPr>
          <w:rFonts w:cstheme="minorHAnsi"/>
          <w:sz w:val="24"/>
          <w:szCs w:val="24"/>
        </w:rPr>
        <w:t>misbehaviour and</w:t>
      </w:r>
      <w:r w:rsidRPr="009F0910">
        <w:rPr>
          <w:rFonts w:cstheme="minorHAnsi"/>
          <w:sz w:val="24"/>
          <w:szCs w:val="24"/>
        </w:rPr>
        <w:t xml:space="preserve"> were compounded by the failure of the staff’s strategy to keep her and her girlfriend separate. Once sexuality became recoded as a matter of </w:t>
      </w:r>
      <w:r w:rsidR="00142E7A" w:rsidRPr="009F0910">
        <w:rPr>
          <w:rFonts w:cstheme="minorHAnsi"/>
          <w:sz w:val="24"/>
          <w:szCs w:val="24"/>
        </w:rPr>
        <w:t>organis</w:t>
      </w:r>
      <w:r w:rsidRPr="009F0910">
        <w:rPr>
          <w:rFonts w:cstheme="minorHAnsi"/>
          <w:sz w:val="24"/>
          <w:szCs w:val="24"/>
        </w:rPr>
        <w:t>ational mis</w:t>
      </w:r>
      <w:r w:rsidR="007E245B" w:rsidRPr="009F0910">
        <w:rPr>
          <w:rFonts w:cstheme="minorHAnsi"/>
          <w:sz w:val="24"/>
          <w:szCs w:val="24"/>
        </w:rPr>
        <w:t>behaviour</w:t>
      </w:r>
      <w:r w:rsidRPr="009F0910">
        <w:rPr>
          <w:rFonts w:cstheme="minorHAnsi"/>
          <w:sz w:val="24"/>
          <w:szCs w:val="24"/>
        </w:rPr>
        <w:t xml:space="preserve"> – rather than rights, desires or vitality – it was reduced inevitably to a play of defiance. Staff might have had their strategies for obstructing the formation of intimate</w:t>
      </w:r>
      <w:r w:rsidR="00D45BC2">
        <w:rPr>
          <w:rFonts w:cstheme="minorHAnsi"/>
          <w:sz w:val="24"/>
          <w:szCs w:val="24"/>
        </w:rPr>
        <w:t xml:space="preserve"> </w:t>
      </w:r>
      <w:r w:rsidRPr="009F0910">
        <w:rPr>
          <w:rFonts w:cstheme="minorHAnsi"/>
          <w:sz w:val="24"/>
          <w:szCs w:val="24"/>
        </w:rPr>
        <w:t>/</w:t>
      </w:r>
      <w:r w:rsidR="00D45BC2">
        <w:rPr>
          <w:rFonts w:cstheme="minorHAnsi"/>
          <w:sz w:val="24"/>
          <w:szCs w:val="24"/>
        </w:rPr>
        <w:t xml:space="preserve"> </w:t>
      </w:r>
      <w:r w:rsidRPr="009F0910">
        <w:rPr>
          <w:rFonts w:cstheme="minorHAnsi"/>
          <w:sz w:val="24"/>
          <w:szCs w:val="24"/>
        </w:rPr>
        <w:t>potentially sexual relationships, but some inpatients had counter-strategies</w:t>
      </w:r>
      <w:r w:rsidR="00695397" w:rsidRPr="009F0910">
        <w:rPr>
          <w:rFonts w:cstheme="minorHAnsi"/>
          <w:sz w:val="24"/>
          <w:szCs w:val="24"/>
        </w:rPr>
        <w:t xml:space="preserve"> in the form of</w:t>
      </w:r>
      <w:r w:rsidRPr="009F0910">
        <w:rPr>
          <w:rFonts w:cstheme="minorHAnsi"/>
          <w:sz w:val="24"/>
          <w:szCs w:val="24"/>
        </w:rPr>
        <w:t xml:space="preserve"> shows of resistance against the oppressive discourse of risk. </w:t>
      </w:r>
    </w:p>
    <w:p w14:paraId="607DB84B" w14:textId="77777777" w:rsidR="007471DB" w:rsidRPr="009F0910" w:rsidRDefault="007471DB" w:rsidP="009F0910">
      <w:pPr>
        <w:spacing w:after="0" w:line="360" w:lineRule="auto"/>
        <w:contextualSpacing/>
        <w:jc w:val="both"/>
        <w:rPr>
          <w:rFonts w:cstheme="minorHAnsi"/>
          <w:i/>
          <w:sz w:val="24"/>
          <w:szCs w:val="24"/>
        </w:rPr>
      </w:pPr>
    </w:p>
    <w:p w14:paraId="07E86E27" w14:textId="1EACF61C" w:rsidR="0070041F" w:rsidRPr="009F0910" w:rsidRDefault="0070041F" w:rsidP="009F0910">
      <w:pPr>
        <w:spacing w:after="0" w:line="360" w:lineRule="auto"/>
        <w:contextualSpacing/>
        <w:jc w:val="both"/>
        <w:rPr>
          <w:rFonts w:cstheme="minorHAnsi"/>
          <w:i/>
          <w:sz w:val="24"/>
          <w:szCs w:val="24"/>
        </w:rPr>
      </w:pPr>
      <w:r w:rsidRPr="009F0910">
        <w:rPr>
          <w:rFonts w:cstheme="minorHAnsi"/>
          <w:i/>
          <w:sz w:val="24"/>
          <w:szCs w:val="24"/>
        </w:rPr>
        <w:t xml:space="preserve">Accountability </w:t>
      </w:r>
    </w:p>
    <w:p w14:paraId="6C6A437F" w14:textId="77777777" w:rsidR="00695397" w:rsidRPr="009F0910" w:rsidRDefault="00695397" w:rsidP="009F0910">
      <w:pPr>
        <w:spacing w:after="0" w:line="360" w:lineRule="auto"/>
        <w:contextualSpacing/>
        <w:jc w:val="both"/>
        <w:rPr>
          <w:rFonts w:cstheme="minorHAnsi"/>
          <w:i/>
          <w:sz w:val="24"/>
          <w:szCs w:val="24"/>
        </w:rPr>
      </w:pPr>
    </w:p>
    <w:p w14:paraId="7AD6884F" w14:textId="4C687C2E" w:rsidR="0070041F" w:rsidRPr="009F0910" w:rsidRDefault="0070041F" w:rsidP="009F0910">
      <w:pPr>
        <w:spacing w:after="0" w:line="360" w:lineRule="auto"/>
        <w:contextualSpacing/>
        <w:jc w:val="both"/>
        <w:rPr>
          <w:rFonts w:cstheme="minorHAnsi"/>
          <w:sz w:val="24"/>
          <w:szCs w:val="24"/>
        </w:rPr>
      </w:pPr>
      <w:r w:rsidRPr="009F0910">
        <w:rPr>
          <w:rFonts w:cstheme="minorHAnsi"/>
          <w:sz w:val="24"/>
          <w:szCs w:val="24"/>
        </w:rPr>
        <w:t xml:space="preserve">Within the discourse of risk, the least qualified, trained and paid staff – who also had the greatest in-person contact with inpatients – were positioned as the most responsible for </w:t>
      </w:r>
      <w:r w:rsidRPr="009F0910">
        <w:rPr>
          <w:rFonts w:cstheme="minorHAnsi"/>
          <w:sz w:val="24"/>
          <w:szCs w:val="24"/>
        </w:rPr>
        <w:lastRenderedPageBreak/>
        <w:t xml:space="preserve">policing inpatient sexuality. From the perspective of the </w:t>
      </w:r>
      <w:r w:rsidR="00695397" w:rsidRPr="009F0910">
        <w:rPr>
          <w:rFonts w:cstheme="minorHAnsi"/>
          <w:sz w:val="24"/>
          <w:szCs w:val="24"/>
        </w:rPr>
        <w:t>h</w:t>
      </w:r>
      <w:r w:rsidRPr="009F0910">
        <w:rPr>
          <w:rFonts w:cstheme="minorHAnsi"/>
          <w:sz w:val="24"/>
          <w:szCs w:val="24"/>
        </w:rPr>
        <w:t xml:space="preserve">ealthcare </w:t>
      </w:r>
      <w:r w:rsidR="00695397" w:rsidRPr="009F0910">
        <w:rPr>
          <w:rFonts w:cstheme="minorHAnsi"/>
          <w:sz w:val="24"/>
          <w:szCs w:val="24"/>
        </w:rPr>
        <w:t>a</w:t>
      </w:r>
      <w:r w:rsidRPr="009F0910">
        <w:rPr>
          <w:rFonts w:cstheme="minorHAnsi"/>
          <w:sz w:val="24"/>
          <w:szCs w:val="24"/>
        </w:rPr>
        <w:t xml:space="preserve">ssistants who took part in group interviews, inpatient sexuality could </w:t>
      </w:r>
      <w:r w:rsidRPr="009F0910">
        <w:rPr>
          <w:rFonts w:cstheme="minorHAnsi"/>
          <w:i/>
          <w:sz w:val="24"/>
          <w:szCs w:val="24"/>
        </w:rPr>
        <w:t>only</w:t>
      </w:r>
      <w:r w:rsidRPr="009F0910">
        <w:rPr>
          <w:rFonts w:cstheme="minorHAnsi"/>
          <w:sz w:val="24"/>
          <w:szCs w:val="24"/>
        </w:rPr>
        <w:t xml:space="preserve"> be considered as a matter of mis</w:t>
      </w:r>
      <w:r w:rsidR="007E245B" w:rsidRPr="009F0910">
        <w:rPr>
          <w:rFonts w:cstheme="minorHAnsi"/>
          <w:sz w:val="24"/>
          <w:szCs w:val="24"/>
        </w:rPr>
        <w:t>behaviour</w:t>
      </w:r>
      <w:r w:rsidRPr="009F0910">
        <w:rPr>
          <w:rFonts w:cstheme="minorHAnsi"/>
          <w:sz w:val="24"/>
          <w:szCs w:val="24"/>
        </w:rPr>
        <w:t xml:space="preserve">, because they were held accountable when it occurred: </w:t>
      </w:r>
    </w:p>
    <w:p w14:paraId="3A507692" w14:textId="77777777" w:rsidR="007471DB" w:rsidRPr="009F0910" w:rsidRDefault="007471DB" w:rsidP="009F0910">
      <w:pPr>
        <w:spacing w:after="0" w:line="360" w:lineRule="auto"/>
        <w:contextualSpacing/>
        <w:jc w:val="both"/>
        <w:rPr>
          <w:rFonts w:cstheme="minorHAnsi"/>
          <w:sz w:val="24"/>
          <w:szCs w:val="24"/>
        </w:rPr>
      </w:pPr>
    </w:p>
    <w:p w14:paraId="0E306DBE" w14:textId="3BE18E3D"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i/>
          <w:iCs/>
          <w:sz w:val="24"/>
          <w:szCs w:val="24"/>
        </w:rPr>
        <w:t>John</w:t>
      </w:r>
      <w:r w:rsidRPr="009F0910">
        <w:rPr>
          <w:rFonts w:cstheme="minorHAnsi"/>
          <w:sz w:val="24"/>
          <w:szCs w:val="24"/>
        </w:rPr>
        <w:t xml:space="preserve">: </w:t>
      </w:r>
      <w:r w:rsidR="008B0E42" w:rsidRPr="009F0910">
        <w:rPr>
          <w:rFonts w:cstheme="minorHAnsi"/>
          <w:sz w:val="24"/>
          <w:szCs w:val="24"/>
        </w:rPr>
        <w:t>[Our] c</w:t>
      </w:r>
      <w:r w:rsidRPr="009F0910">
        <w:rPr>
          <w:rFonts w:cstheme="minorHAnsi"/>
          <w:sz w:val="24"/>
          <w:szCs w:val="24"/>
        </w:rPr>
        <w:t xml:space="preserve">urrent role is to ensure that </w:t>
      </w:r>
      <w:r w:rsidR="008B0E42" w:rsidRPr="009F0910">
        <w:rPr>
          <w:rFonts w:cstheme="minorHAnsi"/>
          <w:sz w:val="24"/>
          <w:szCs w:val="24"/>
        </w:rPr>
        <w:t xml:space="preserve">[sexual contact] </w:t>
      </w:r>
      <w:r w:rsidRPr="009F0910">
        <w:rPr>
          <w:rFonts w:cstheme="minorHAnsi"/>
          <w:sz w:val="24"/>
          <w:szCs w:val="24"/>
        </w:rPr>
        <w:t>doesn’t happen, essentially. It would be a huge concern whenever it has prospectively looked like it’s going to happen or has happened. It’s deemed as a failure on our part.</w:t>
      </w:r>
    </w:p>
    <w:p w14:paraId="72EED348" w14:textId="77777777"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i/>
          <w:iCs/>
          <w:sz w:val="24"/>
          <w:szCs w:val="24"/>
        </w:rPr>
        <w:t>Kate</w:t>
      </w:r>
      <w:r w:rsidRPr="009F0910">
        <w:rPr>
          <w:rFonts w:cstheme="minorHAnsi"/>
          <w:sz w:val="24"/>
          <w:szCs w:val="24"/>
        </w:rPr>
        <w:t>: Yeah, it’s a flaw. Like, “What happened there? Where were you?”</w:t>
      </w:r>
    </w:p>
    <w:p w14:paraId="78393A67" w14:textId="77777777" w:rsidR="0070041F" w:rsidRPr="009F0910" w:rsidRDefault="0070041F" w:rsidP="009F0910">
      <w:pPr>
        <w:spacing w:after="0" w:line="360" w:lineRule="auto"/>
        <w:contextualSpacing/>
        <w:jc w:val="both"/>
        <w:rPr>
          <w:rFonts w:cstheme="minorHAnsi"/>
          <w:sz w:val="24"/>
          <w:szCs w:val="24"/>
        </w:rPr>
      </w:pPr>
    </w:p>
    <w:p w14:paraId="46827C27" w14:textId="5C82683F"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 xml:space="preserve">Risk of harm therefore extended beyond inpatient safety and well-being to the staff members’ professional integrity. Some </w:t>
      </w:r>
      <w:r w:rsidR="00D45BC2">
        <w:rPr>
          <w:rFonts w:cstheme="minorHAnsi"/>
          <w:sz w:val="24"/>
          <w:szCs w:val="24"/>
        </w:rPr>
        <w:t>health</w:t>
      </w:r>
      <w:r w:rsidR="00695397" w:rsidRPr="009F0910">
        <w:rPr>
          <w:rFonts w:cstheme="minorHAnsi"/>
          <w:sz w:val="24"/>
          <w:szCs w:val="24"/>
        </w:rPr>
        <w:t>care assistants</w:t>
      </w:r>
      <w:r w:rsidRPr="009F0910">
        <w:rPr>
          <w:rFonts w:cstheme="minorHAnsi"/>
          <w:sz w:val="24"/>
          <w:szCs w:val="24"/>
        </w:rPr>
        <w:t xml:space="preserve"> were critical of the institution for providing insufficient training on matters like dealing with inpatients as sexual people. Kate claimed that policing inpatient sexuality was akin to “feeling in the dark”, and Dave reported that </w:t>
      </w:r>
      <w:r w:rsidR="00D45BC2">
        <w:rPr>
          <w:rFonts w:cstheme="minorHAnsi"/>
          <w:sz w:val="24"/>
          <w:szCs w:val="24"/>
        </w:rPr>
        <w:t>health</w:t>
      </w:r>
      <w:r w:rsidR="00695397" w:rsidRPr="009F0910">
        <w:rPr>
          <w:rFonts w:cstheme="minorHAnsi"/>
          <w:sz w:val="24"/>
          <w:szCs w:val="24"/>
        </w:rPr>
        <w:t>care assistants</w:t>
      </w:r>
      <w:r w:rsidRPr="009F0910">
        <w:rPr>
          <w:rFonts w:cstheme="minorHAnsi"/>
          <w:sz w:val="24"/>
          <w:szCs w:val="24"/>
        </w:rPr>
        <w:t xml:space="preserve"> were expected to “use [their] life experiences” to make judgments regarding appropriate ways of managing sexuality on the wards. </w:t>
      </w:r>
      <w:r w:rsidR="00D45BC2">
        <w:rPr>
          <w:rFonts w:cstheme="minorHAnsi"/>
          <w:sz w:val="24"/>
          <w:szCs w:val="24"/>
        </w:rPr>
        <w:t>Health</w:t>
      </w:r>
      <w:r w:rsidR="00695397" w:rsidRPr="009F0910">
        <w:rPr>
          <w:rFonts w:cstheme="minorHAnsi"/>
          <w:sz w:val="24"/>
          <w:szCs w:val="24"/>
        </w:rPr>
        <w:t>care assistants</w:t>
      </w:r>
      <w:r w:rsidRPr="009F0910">
        <w:rPr>
          <w:rFonts w:cstheme="minorHAnsi"/>
          <w:sz w:val="24"/>
          <w:szCs w:val="24"/>
        </w:rPr>
        <w:t xml:space="preserve"> were experts by experience of contact with inpatients (“we are on the ward 99% of the time working alongside these guys”), and yet received “minimal training”, and were excluded from any discussion about setting the norms and codes around sexual </w:t>
      </w:r>
      <w:r w:rsidR="007E245B" w:rsidRPr="009F0910">
        <w:rPr>
          <w:rFonts w:cstheme="minorHAnsi"/>
          <w:sz w:val="24"/>
          <w:szCs w:val="24"/>
        </w:rPr>
        <w:t>behaviour</w:t>
      </w:r>
      <w:r w:rsidRPr="009F0910">
        <w:rPr>
          <w:rFonts w:cstheme="minorHAnsi"/>
          <w:sz w:val="24"/>
          <w:szCs w:val="24"/>
        </w:rPr>
        <w:t xml:space="preserve"> that they were expected to enforce rigorously. Inpatients identified inconsistencies in approaches to managing inpatient sexuality between staff members:</w:t>
      </w:r>
    </w:p>
    <w:p w14:paraId="5AB09CAA" w14:textId="77777777" w:rsidR="007471DB" w:rsidRPr="009F0910" w:rsidRDefault="007471DB" w:rsidP="009F0910">
      <w:pPr>
        <w:spacing w:after="0" w:line="360" w:lineRule="auto"/>
        <w:ind w:firstLine="720"/>
        <w:contextualSpacing/>
        <w:jc w:val="both"/>
        <w:rPr>
          <w:rFonts w:cstheme="minorHAnsi"/>
          <w:sz w:val="24"/>
          <w:szCs w:val="24"/>
        </w:rPr>
      </w:pPr>
    </w:p>
    <w:p w14:paraId="16E1AC07" w14:textId="44771028" w:rsidR="0070041F" w:rsidRPr="009F0910" w:rsidRDefault="0070041F" w:rsidP="009F0910">
      <w:pPr>
        <w:spacing w:after="0" w:line="360" w:lineRule="auto"/>
        <w:ind w:firstLine="720"/>
        <w:contextualSpacing/>
        <w:jc w:val="both"/>
        <w:rPr>
          <w:rFonts w:cstheme="minorHAnsi"/>
          <w:sz w:val="24"/>
          <w:szCs w:val="24"/>
        </w:rPr>
      </w:pPr>
      <w:r w:rsidRPr="009F0910">
        <w:rPr>
          <w:rFonts w:cstheme="minorHAnsi"/>
          <w:sz w:val="24"/>
          <w:szCs w:val="24"/>
        </w:rPr>
        <w:t>Interviewer: Do you feel that it’s clear here what you are or aren’t allowed to do?</w:t>
      </w:r>
    </w:p>
    <w:p w14:paraId="6A91436F" w14:textId="77777777" w:rsidR="0070041F" w:rsidRPr="009F0910" w:rsidRDefault="0070041F" w:rsidP="009F0910">
      <w:pPr>
        <w:spacing w:after="0" w:line="360" w:lineRule="auto"/>
        <w:ind w:left="720"/>
        <w:contextualSpacing/>
        <w:jc w:val="both"/>
        <w:rPr>
          <w:rFonts w:cstheme="minorHAnsi"/>
          <w:sz w:val="24"/>
          <w:szCs w:val="24"/>
        </w:rPr>
      </w:pPr>
      <w:r w:rsidRPr="009F0910">
        <w:rPr>
          <w:rFonts w:cstheme="minorHAnsi"/>
          <w:sz w:val="24"/>
          <w:szCs w:val="24"/>
        </w:rPr>
        <w:t>Will: Well actually no, because all staff have a different interpretation of it. I can see patients sometimes play-fighting, some staff will just not say anything, other staff will say, “No. Stop that.” Even if it’s not sexual they might be kind of perceiving it as such. I’ve seen some patients having banter and play-fighting with staff and staff not complaining. They’re smiling and doing it back and having a laugh and a joke. But other staff would be like, “No, no, no. Don’t touch me at all.” It varies from person to person.</w:t>
      </w:r>
    </w:p>
    <w:p w14:paraId="61D4F0AF" w14:textId="77777777" w:rsidR="0070041F" w:rsidRPr="009F0910" w:rsidRDefault="0070041F" w:rsidP="009F0910">
      <w:pPr>
        <w:spacing w:after="0" w:line="360" w:lineRule="auto"/>
        <w:contextualSpacing/>
        <w:jc w:val="both"/>
        <w:rPr>
          <w:rFonts w:cstheme="minorHAnsi"/>
          <w:sz w:val="24"/>
          <w:szCs w:val="24"/>
        </w:rPr>
      </w:pPr>
    </w:p>
    <w:p w14:paraId="1B4592D0" w14:textId="77777777" w:rsidR="00135608" w:rsidRPr="009F0910" w:rsidRDefault="0070041F" w:rsidP="009F0910">
      <w:pPr>
        <w:pStyle w:val="NoSpacing"/>
        <w:spacing w:line="360" w:lineRule="auto"/>
        <w:ind w:firstLine="720"/>
        <w:contextualSpacing/>
        <w:jc w:val="both"/>
        <w:rPr>
          <w:rFonts w:cstheme="minorHAnsi"/>
          <w:sz w:val="24"/>
          <w:szCs w:val="24"/>
        </w:rPr>
      </w:pPr>
      <w:r w:rsidRPr="009F0910">
        <w:rPr>
          <w:rFonts w:cstheme="minorHAnsi"/>
          <w:sz w:val="24"/>
          <w:szCs w:val="24"/>
        </w:rPr>
        <w:t xml:space="preserve">Banter is a well-studied form of </w:t>
      </w:r>
      <w:r w:rsidR="00142E7A" w:rsidRPr="009F0910">
        <w:rPr>
          <w:rFonts w:cstheme="minorHAnsi"/>
          <w:sz w:val="24"/>
          <w:szCs w:val="24"/>
        </w:rPr>
        <w:t>organis</w:t>
      </w:r>
      <w:r w:rsidRPr="009F0910">
        <w:rPr>
          <w:rFonts w:cstheme="minorHAnsi"/>
          <w:sz w:val="24"/>
          <w:szCs w:val="24"/>
        </w:rPr>
        <w:t>ational mis</w:t>
      </w:r>
      <w:r w:rsidR="007E245B" w:rsidRPr="009F0910">
        <w:rPr>
          <w:rFonts w:cstheme="minorHAnsi"/>
          <w:sz w:val="24"/>
          <w:szCs w:val="24"/>
        </w:rPr>
        <w:t>behaviour</w:t>
      </w:r>
      <w:r w:rsidRPr="009F0910">
        <w:rPr>
          <w:rFonts w:cstheme="minorHAnsi"/>
          <w:sz w:val="24"/>
          <w:szCs w:val="24"/>
        </w:rPr>
        <w:t xml:space="preserve">, which is typically considered to be a means of disputing authority in a way that does not invite serious </w:t>
      </w:r>
      <w:r w:rsidRPr="009F0910">
        <w:rPr>
          <w:rFonts w:cstheme="minorHAnsi"/>
          <w:sz w:val="24"/>
          <w:szCs w:val="24"/>
        </w:rPr>
        <w:lastRenderedPageBreak/>
        <w:t xml:space="preserve">repercussions (Ackroyd </w:t>
      </w:r>
      <w:r w:rsidR="00A61FF4" w:rsidRPr="009F0910">
        <w:rPr>
          <w:rFonts w:cstheme="minorHAnsi"/>
          <w:sz w:val="24"/>
          <w:szCs w:val="24"/>
        </w:rPr>
        <w:t>and</w:t>
      </w:r>
      <w:r w:rsidR="00F83042" w:rsidRPr="009F0910">
        <w:rPr>
          <w:rFonts w:cstheme="minorHAnsi"/>
          <w:sz w:val="24"/>
          <w:szCs w:val="24"/>
        </w:rPr>
        <w:t xml:space="preserve"> Thompson</w:t>
      </w:r>
      <w:r w:rsidRPr="009F0910">
        <w:rPr>
          <w:rFonts w:cstheme="minorHAnsi"/>
          <w:sz w:val="24"/>
          <w:szCs w:val="24"/>
        </w:rPr>
        <w:t xml:space="preserve"> 1999). By framing interactions between inpatients and staff as “banter”, Will (and others) constructed their exchanges as jocular and irreverent, and not intended to be taken seriously. However, from Will’s perspective, there was inconsistency in how banter and play-fighting (which is inevitably tactile) were managed between staff members. A lack of clearly defined expectations of inpatients generated uncertainty over which </w:t>
      </w:r>
      <w:r w:rsidR="007E245B" w:rsidRPr="009F0910">
        <w:rPr>
          <w:rFonts w:cstheme="minorHAnsi"/>
          <w:sz w:val="24"/>
          <w:szCs w:val="24"/>
        </w:rPr>
        <w:t>behaviour</w:t>
      </w:r>
      <w:r w:rsidRPr="009F0910">
        <w:rPr>
          <w:rFonts w:cstheme="minorHAnsi"/>
          <w:sz w:val="24"/>
          <w:szCs w:val="24"/>
        </w:rPr>
        <w:t>s were deemed appropriate, and which were prohibited and might result in punishment.</w:t>
      </w:r>
    </w:p>
    <w:p w14:paraId="3680B3F9" w14:textId="77777777" w:rsidR="007471DB" w:rsidRPr="009F0910" w:rsidRDefault="007471DB" w:rsidP="009F0910">
      <w:pPr>
        <w:pStyle w:val="NoSpacing"/>
        <w:spacing w:line="360" w:lineRule="auto"/>
        <w:contextualSpacing/>
        <w:jc w:val="both"/>
        <w:rPr>
          <w:rFonts w:cstheme="minorHAnsi"/>
          <w:i/>
          <w:sz w:val="24"/>
          <w:szCs w:val="24"/>
        </w:rPr>
      </w:pPr>
    </w:p>
    <w:p w14:paraId="1BFBB66C" w14:textId="0F900770" w:rsidR="00B33629" w:rsidRPr="009F0910" w:rsidRDefault="0070041F" w:rsidP="009F0910">
      <w:pPr>
        <w:pStyle w:val="NoSpacing"/>
        <w:spacing w:line="360" w:lineRule="auto"/>
        <w:contextualSpacing/>
        <w:jc w:val="both"/>
        <w:rPr>
          <w:rFonts w:cstheme="minorHAnsi"/>
          <w:i/>
          <w:sz w:val="24"/>
          <w:szCs w:val="24"/>
        </w:rPr>
      </w:pPr>
      <w:r w:rsidRPr="009F0910">
        <w:rPr>
          <w:rFonts w:cstheme="minorHAnsi"/>
          <w:i/>
          <w:sz w:val="24"/>
          <w:szCs w:val="24"/>
        </w:rPr>
        <w:t xml:space="preserve">Liminality  </w:t>
      </w:r>
    </w:p>
    <w:p w14:paraId="237A1148" w14:textId="77777777" w:rsidR="00695397" w:rsidRPr="009F0910" w:rsidRDefault="00695397" w:rsidP="009F0910">
      <w:pPr>
        <w:pStyle w:val="NoSpacing"/>
        <w:spacing w:line="360" w:lineRule="auto"/>
        <w:contextualSpacing/>
        <w:jc w:val="both"/>
        <w:rPr>
          <w:rFonts w:cstheme="minorHAnsi"/>
          <w:i/>
          <w:sz w:val="24"/>
          <w:szCs w:val="24"/>
        </w:rPr>
      </w:pPr>
    </w:p>
    <w:p w14:paraId="1B5F9B50" w14:textId="227B7A0A" w:rsidR="0070041F" w:rsidRPr="009F0910" w:rsidRDefault="0070041F" w:rsidP="009F0910">
      <w:pPr>
        <w:pStyle w:val="NoSpacing"/>
        <w:spacing w:line="360" w:lineRule="auto"/>
        <w:contextualSpacing/>
        <w:jc w:val="both"/>
        <w:rPr>
          <w:rFonts w:cstheme="minorHAnsi"/>
          <w:sz w:val="24"/>
          <w:szCs w:val="24"/>
        </w:rPr>
      </w:pPr>
      <w:r w:rsidRPr="009F0910">
        <w:rPr>
          <w:rFonts w:cstheme="minorHAnsi"/>
          <w:sz w:val="24"/>
          <w:szCs w:val="24"/>
        </w:rPr>
        <w:t xml:space="preserve">The pervasiveness of discourses of risk, vulnerability and appropriateness shaped many inpatients participants’ expectations of their relational futures beyond the ward. </w:t>
      </w:r>
      <w:r w:rsidR="008B0E42" w:rsidRPr="009F0910">
        <w:rPr>
          <w:rFonts w:cstheme="minorHAnsi"/>
          <w:sz w:val="24"/>
          <w:szCs w:val="24"/>
        </w:rPr>
        <w:t>Prior research findings suggest that during their stay in hospital, inpatients’ sexualit</w:t>
      </w:r>
      <w:r w:rsidR="00695397" w:rsidRPr="009F0910">
        <w:rPr>
          <w:rFonts w:cstheme="minorHAnsi"/>
          <w:sz w:val="24"/>
          <w:szCs w:val="24"/>
        </w:rPr>
        <w:t>y</w:t>
      </w:r>
      <w:r w:rsidR="008B0E42" w:rsidRPr="009F0910">
        <w:rPr>
          <w:rFonts w:cstheme="minorHAnsi"/>
          <w:sz w:val="24"/>
          <w:szCs w:val="24"/>
        </w:rPr>
        <w:t xml:space="preserve"> </w:t>
      </w:r>
      <w:r w:rsidR="00695397" w:rsidRPr="009F0910">
        <w:rPr>
          <w:rFonts w:cstheme="minorHAnsi"/>
          <w:sz w:val="24"/>
          <w:szCs w:val="24"/>
        </w:rPr>
        <w:t xml:space="preserve">is </w:t>
      </w:r>
      <w:r w:rsidR="008B0E42" w:rsidRPr="009F0910">
        <w:rPr>
          <w:rFonts w:cstheme="minorHAnsi"/>
          <w:sz w:val="24"/>
          <w:szCs w:val="24"/>
        </w:rPr>
        <w:t>transformed by the ward-based rituals and the ethos of prohibition (</w:t>
      </w:r>
      <w:r w:rsidRPr="009F0910">
        <w:rPr>
          <w:rFonts w:cstheme="minorHAnsi"/>
          <w:sz w:val="24"/>
          <w:szCs w:val="24"/>
        </w:rPr>
        <w:t>Brown et al</w:t>
      </w:r>
      <w:r w:rsidR="008B0E42" w:rsidRPr="009F0910">
        <w:rPr>
          <w:rFonts w:cstheme="minorHAnsi"/>
          <w:sz w:val="24"/>
          <w:szCs w:val="24"/>
        </w:rPr>
        <w:t xml:space="preserve">. </w:t>
      </w:r>
      <w:r w:rsidRPr="009F0910">
        <w:rPr>
          <w:rFonts w:cstheme="minorHAnsi"/>
          <w:sz w:val="24"/>
          <w:szCs w:val="24"/>
        </w:rPr>
        <w:t>2014</w:t>
      </w:r>
      <w:r w:rsidR="008B0E42" w:rsidRPr="009F0910">
        <w:rPr>
          <w:rFonts w:cstheme="minorHAnsi"/>
          <w:sz w:val="24"/>
          <w:szCs w:val="24"/>
        </w:rPr>
        <w:t>).</w:t>
      </w:r>
      <w:r w:rsidRPr="009F0910">
        <w:rPr>
          <w:rFonts w:cstheme="minorHAnsi"/>
          <w:sz w:val="24"/>
          <w:szCs w:val="24"/>
        </w:rPr>
        <w:t xml:space="preserve"> In the present study, both </w:t>
      </w:r>
      <w:proofErr w:type="spellStart"/>
      <w:r w:rsidRPr="009F0910">
        <w:rPr>
          <w:rFonts w:cstheme="minorHAnsi"/>
          <w:sz w:val="24"/>
          <w:szCs w:val="24"/>
        </w:rPr>
        <w:t>inpatients</w:t>
      </w:r>
      <w:proofErr w:type="spellEnd"/>
      <w:r w:rsidRPr="009F0910">
        <w:rPr>
          <w:rFonts w:cstheme="minorHAnsi"/>
          <w:sz w:val="24"/>
          <w:szCs w:val="24"/>
        </w:rPr>
        <w:t xml:space="preserve"> and staff discussed how</w:t>
      </w:r>
      <w:r w:rsidR="0087131D" w:rsidRPr="009F0910">
        <w:rPr>
          <w:rFonts w:cstheme="minorHAnsi"/>
          <w:sz w:val="24"/>
          <w:szCs w:val="24"/>
        </w:rPr>
        <w:t xml:space="preserve"> the recoding of sexual </w:t>
      </w:r>
      <w:r w:rsidR="007E245B" w:rsidRPr="009F0910">
        <w:rPr>
          <w:rFonts w:cstheme="minorHAnsi"/>
          <w:sz w:val="24"/>
          <w:szCs w:val="24"/>
        </w:rPr>
        <w:t>behaviour</w:t>
      </w:r>
      <w:r w:rsidRPr="009F0910">
        <w:rPr>
          <w:rFonts w:cstheme="minorHAnsi"/>
          <w:sz w:val="24"/>
          <w:szCs w:val="24"/>
        </w:rPr>
        <w:t xml:space="preserve"> as </w:t>
      </w:r>
      <w:r w:rsidRPr="009F0910">
        <w:rPr>
          <w:rFonts w:cstheme="minorHAnsi"/>
          <w:iCs/>
          <w:sz w:val="24"/>
          <w:szCs w:val="24"/>
        </w:rPr>
        <w:t>mis</w:t>
      </w:r>
      <w:r w:rsidR="007E245B" w:rsidRPr="009F0910">
        <w:rPr>
          <w:rFonts w:cstheme="minorHAnsi"/>
          <w:sz w:val="24"/>
          <w:szCs w:val="24"/>
        </w:rPr>
        <w:t>behaviour</w:t>
      </w:r>
      <w:r w:rsidRPr="009F0910">
        <w:rPr>
          <w:rFonts w:cstheme="minorHAnsi"/>
          <w:sz w:val="24"/>
          <w:szCs w:val="24"/>
        </w:rPr>
        <w:t xml:space="preserve"> could affect the inpatients’ ability to have sexual relationships </w:t>
      </w:r>
      <w:r w:rsidR="008B0E42" w:rsidRPr="009F0910">
        <w:rPr>
          <w:rFonts w:cstheme="minorHAnsi"/>
          <w:sz w:val="24"/>
          <w:szCs w:val="24"/>
        </w:rPr>
        <w:t>in the long-term</w:t>
      </w:r>
      <w:r w:rsidRPr="009F0910">
        <w:rPr>
          <w:rFonts w:cstheme="minorHAnsi"/>
          <w:sz w:val="24"/>
          <w:szCs w:val="24"/>
        </w:rPr>
        <w:t xml:space="preserve">. As one </w:t>
      </w:r>
      <w:r w:rsidR="00D45BC2">
        <w:rPr>
          <w:rFonts w:cstheme="minorHAnsi"/>
          <w:sz w:val="24"/>
          <w:szCs w:val="24"/>
        </w:rPr>
        <w:t>healthcare assistant</w:t>
      </w:r>
      <w:r w:rsidRPr="009F0910">
        <w:rPr>
          <w:rFonts w:cstheme="minorHAnsi"/>
          <w:sz w:val="24"/>
          <w:szCs w:val="24"/>
        </w:rPr>
        <w:t xml:space="preserve"> explained, “They don’t want to leave here with that baggage of ‘I don’t want to do that – it’s naughty.’” For inpatients, the lack of opportunities to explore intimate and sexual relationships in hospital made them “scared” of exploring such relationships outside. </w:t>
      </w:r>
    </w:p>
    <w:p w14:paraId="4A9BA3F6" w14:textId="77777777" w:rsidR="007471DB" w:rsidRPr="009F0910" w:rsidRDefault="007471DB" w:rsidP="009F0910">
      <w:pPr>
        <w:pStyle w:val="NoSpacing"/>
        <w:spacing w:line="360" w:lineRule="auto"/>
        <w:contextualSpacing/>
        <w:jc w:val="both"/>
        <w:rPr>
          <w:rFonts w:cstheme="minorHAnsi"/>
          <w:sz w:val="24"/>
          <w:szCs w:val="24"/>
        </w:rPr>
      </w:pPr>
    </w:p>
    <w:p w14:paraId="3DD6115F" w14:textId="77777777" w:rsidR="0070041F" w:rsidRPr="009F0910" w:rsidRDefault="0070041F" w:rsidP="009F0910">
      <w:pPr>
        <w:pStyle w:val="NoSpacing"/>
        <w:spacing w:line="360" w:lineRule="auto"/>
        <w:ind w:left="720"/>
        <w:contextualSpacing/>
        <w:jc w:val="both"/>
        <w:rPr>
          <w:rFonts w:cstheme="minorHAnsi"/>
          <w:sz w:val="24"/>
          <w:szCs w:val="24"/>
        </w:rPr>
      </w:pPr>
      <w:r w:rsidRPr="009F0910">
        <w:rPr>
          <w:rFonts w:cstheme="minorHAnsi"/>
          <w:iCs/>
          <w:sz w:val="24"/>
          <w:szCs w:val="24"/>
        </w:rPr>
        <w:t>Nicole [Inpatient]:</w:t>
      </w:r>
      <w:r w:rsidRPr="009F0910">
        <w:rPr>
          <w:rFonts w:cstheme="minorHAnsi"/>
          <w:sz w:val="24"/>
          <w:szCs w:val="24"/>
        </w:rPr>
        <w:t xml:space="preserve"> If you’ve had relationship difficulties like me for instance, and you’ve been in for a long time like us two, this is the best place to try [relationships], with the staff support, with your doctors. You know what I mean? To try relationships. Because at the end of the day, why chuck you in the community and you’re going to meet the </w:t>
      </w:r>
      <w:proofErr w:type="spellStart"/>
      <w:r w:rsidRPr="009F0910">
        <w:rPr>
          <w:rFonts w:cstheme="minorHAnsi"/>
          <w:sz w:val="24"/>
          <w:szCs w:val="24"/>
        </w:rPr>
        <w:t>worstest</w:t>
      </w:r>
      <w:proofErr w:type="spellEnd"/>
      <w:r w:rsidRPr="009F0910">
        <w:rPr>
          <w:rFonts w:cstheme="minorHAnsi"/>
          <w:sz w:val="24"/>
          <w:szCs w:val="24"/>
        </w:rPr>
        <w:t xml:space="preserve"> man and get into the vulnerable-</w:t>
      </w:r>
      <w:proofErr w:type="spellStart"/>
      <w:r w:rsidRPr="009F0910">
        <w:rPr>
          <w:rFonts w:cstheme="minorHAnsi"/>
          <w:sz w:val="24"/>
          <w:szCs w:val="24"/>
        </w:rPr>
        <w:t>est</w:t>
      </w:r>
      <w:proofErr w:type="spellEnd"/>
      <w:r w:rsidRPr="009F0910">
        <w:rPr>
          <w:rFonts w:cstheme="minorHAnsi"/>
          <w:sz w:val="24"/>
          <w:szCs w:val="24"/>
        </w:rPr>
        <w:t xml:space="preserve"> situations, or the </w:t>
      </w:r>
      <w:proofErr w:type="spellStart"/>
      <w:r w:rsidRPr="009F0910">
        <w:rPr>
          <w:rFonts w:cstheme="minorHAnsi"/>
          <w:sz w:val="24"/>
          <w:szCs w:val="24"/>
        </w:rPr>
        <w:t>worstest</w:t>
      </w:r>
      <w:proofErr w:type="spellEnd"/>
      <w:r w:rsidRPr="009F0910">
        <w:rPr>
          <w:rFonts w:cstheme="minorHAnsi"/>
          <w:sz w:val="24"/>
          <w:szCs w:val="24"/>
        </w:rPr>
        <w:t xml:space="preserve"> woman? You know what I mean? Why not try a relationship here?</w:t>
      </w:r>
    </w:p>
    <w:p w14:paraId="58654406" w14:textId="77777777" w:rsidR="0070041F" w:rsidRPr="009F0910" w:rsidRDefault="0070041F" w:rsidP="009F0910">
      <w:pPr>
        <w:pStyle w:val="NoSpacing"/>
        <w:spacing w:line="360" w:lineRule="auto"/>
        <w:contextualSpacing/>
        <w:jc w:val="both"/>
        <w:rPr>
          <w:rFonts w:cstheme="minorHAnsi"/>
          <w:sz w:val="24"/>
          <w:szCs w:val="24"/>
        </w:rPr>
      </w:pPr>
    </w:p>
    <w:p w14:paraId="3D55C17C" w14:textId="083BDD9D" w:rsidR="0070041F" w:rsidRPr="009F0910" w:rsidRDefault="0070041F" w:rsidP="009F0910">
      <w:pPr>
        <w:pStyle w:val="NoSpacing"/>
        <w:spacing w:line="360" w:lineRule="auto"/>
        <w:ind w:firstLine="720"/>
        <w:contextualSpacing/>
        <w:jc w:val="both"/>
        <w:rPr>
          <w:rFonts w:cstheme="minorHAnsi"/>
          <w:sz w:val="24"/>
          <w:szCs w:val="24"/>
        </w:rPr>
      </w:pPr>
      <w:r w:rsidRPr="009F0910">
        <w:rPr>
          <w:rFonts w:cstheme="minorHAnsi"/>
          <w:sz w:val="24"/>
          <w:szCs w:val="24"/>
        </w:rPr>
        <w:t xml:space="preserve">As a self-identified “vulnerable adult”, Nicole saw the hospital as a place of safety, a secure base from where relationships might be explored. Here, an alternative position for staff within the discourse of risk and vulnerability was opened, one imbued with the responsibility for nurturing inpatients’ sexual and relational selves, and scaffolding attempts </w:t>
      </w:r>
      <w:r w:rsidRPr="009F0910">
        <w:rPr>
          <w:rFonts w:cstheme="minorHAnsi"/>
          <w:sz w:val="24"/>
          <w:szCs w:val="24"/>
        </w:rPr>
        <w:lastRenderedPageBreak/>
        <w:t xml:space="preserve">at forming relationships, rather than frustrating them. Ironically, by “chucking” inpatients into the community without this support, inpatients were only put in greater risk. </w:t>
      </w:r>
      <w:r w:rsidR="00640D4C" w:rsidRPr="009F0910">
        <w:rPr>
          <w:rFonts w:cstheme="minorHAnsi"/>
          <w:sz w:val="24"/>
          <w:szCs w:val="24"/>
        </w:rPr>
        <w:t xml:space="preserve">Although inpatients may have </w:t>
      </w:r>
      <w:r w:rsidR="00C0693F" w:rsidRPr="009F0910">
        <w:rPr>
          <w:rFonts w:cstheme="minorHAnsi"/>
          <w:sz w:val="24"/>
          <w:szCs w:val="24"/>
        </w:rPr>
        <w:t xml:space="preserve">had </w:t>
      </w:r>
      <w:r w:rsidR="00640D4C" w:rsidRPr="009F0910">
        <w:rPr>
          <w:rFonts w:cstheme="minorHAnsi"/>
          <w:sz w:val="24"/>
          <w:szCs w:val="24"/>
        </w:rPr>
        <w:t>opportunities for sexual experience</w:t>
      </w:r>
      <w:r w:rsidR="008B0E42" w:rsidRPr="009F0910">
        <w:rPr>
          <w:rFonts w:cstheme="minorHAnsi"/>
          <w:sz w:val="24"/>
          <w:szCs w:val="24"/>
        </w:rPr>
        <w:t>s</w:t>
      </w:r>
      <w:r w:rsidR="00640D4C" w:rsidRPr="009F0910">
        <w:rPr>
          <w:rFonts w:cstheme="minorHAnsi"/>
          <w:sz w:val="24"/>
          <w:szCs w:val="24"/>
        </w:rPr>
        <w:t xml:space="preserve"> </w:t>
      </w:r>
      <w:r w:rsidR="00C0693F" w:rsidRPr="009F0910">
        <w:rPr>
          <w:rFonts w:cstheme="minorHAnsi"/>
          <w:sz w:val="24"/>
          <w:szCs w:val="24"/>
        </w:rPr>
        <w:t>on their unescorted leave that precede</w:t>
      </w:r>
      <w:r w:rsidR="008B0E42" w:rsidRPr="009F0910">
        <w:rPr>
          <w:rFonts w:cstheme="minorHAnsi"/>
          <w:sz w:val="24"/>
          <w:szCs w:val="24"/>
        </w:rPr>
        <w:t xml:space="preserve">d </w:t>
      </w:r>
      <w:r w:rsidR="00C0693F" w:rsidRPr="009F0910">
        <w:rPr>
          <w:rFonts w:cstheme="minorHAnsi"/>
          <w:sz w:val="24"/>
          <w:szCs w:val="24"/>
        </w:rPr>
        <w:t xml:space="preserve">discharge, the prevailing conceptualisation of such experiences as misbehaviour meant that </w:t>
      </w:r>
      <w:r w:rsidR="008B0E42" w:rsidRPr="009F0910">
        <w:rPr>
          <w:rFonts w:cstheme="minorHAnsi"/>
          <w:sz w:val="24"/>
          <w:szCs w:val="24"/>
        </w:rPr>
        <w:t>these opportunities were avoided.</w:t>
      </w:r>
      <w:r w:rsidR="00C0693F" w:rsidRPr="009F0910">
        <w:rPr>
          <w:rFonts w:cstheme="minorHAnsi"/>
          <w:sz w:val="24"/>
          <w:szCs w:val="24"/>
        </w:rPr>
        <w:t xml:space="preserve"> As Natasha reported, “I feel even if I look at another man I lose my leave.”</w:t>
      </w:r>
    </w:p>
    <w:p w14:paraId="14948E19" w14:textId="3F220187" w:rsidR="0070041F" w:rsidRPr="009F0910" w:rsidRDefault="0070041F" w:rsidP="009F0910">
      <w:pPr>
        <w:pStyle w:val="NoSpacing"/>
        <w:spacing w:line="360" w:lineRule="auto"/>
        <w:ind w:firstLine="720"/>
        <w:contextualSpacing/>
        <w:jc w:val="both"/>
        <w:rPr>
          <w:rFonts w:cstheme="minorHAnsi"/>
          <w:sz w:val="24"/>
          <w:szCs w:val="24"/>
        </w:rPr>
      </w:pPr>
      <w:r w:rsidRPr="009F0910">
        <w:rPr>
          <w:rFonts w:cstheme="minorHAnsi"/>
          <w:sz w:val="24"/>
          <w:szCs w:val="24"/>
        </w:rPr>
        <w:t>Inpatient</w:t>
      </w:r>
      <w:r w:rsidR="00695397" w:rsidRPr="009F0910">
        <w:rPr>
          <w:rFonts w:cstheme="minorHAnsi"/>
          <w:sz w:val="24"/>
          <w:szCs w:val="24"/>
        </w:rPr>
        <w:t>s’</w:t>
      </w:r>
      <w:r w:rsidRPr="009F0910">
        <w:rPr>
          <w:rFonts w:cstheme="minorHAnsi"/>
          <w:sz w:val="24"/>
          <w:szCs w:val="24"/>
        </w:rPr>
        <w:t xml:space="preserve"> sexualit</w:t>
      </w:r>
      <w:r w:rsidR="00695397" w:rsidRPr="009F0910">
        <w:rPr>
          <w:rFonts w:cstheme="minorHAnsi"/>
          <w:sz w:val="24"/>
          <w:szCs w:val="24"/>
        </w:rPr>
        <w:t>y</w:t>
      </w:r>
      <w:r w:rsidRPr="009F0910">
        <w:rPr>
          <w:rFonts w:cstheme="minorHAnsi"/>
          <w:sz w:val="24"/>
          <w:szCs w:val="24"/>
        </w:rPr>
        <w:t xml:space="preserve"> w</w:t>
      </w:r>
      <w:r w:rsidR="00695397" w:rsidRPr="009F0910">
        <w:rPr>
          <w:rFonts w:cstheme="minorHAnsi"/>
          <w:sz w:val="24"/>
          <w:szCs w:val="24"/>
        </w:rPr>
        <w:t>as</w:t>
      </w:r>
      <w:r w:rsidRPr="009F0910">
        <w:rPr>
          <w:rFonts w:cstheme="minorHAnsi"/>
          <w:sz w:val="24"/>
          <w:szCs w:val="24"/>
        </w:rPr>
        <w:t xml:space="preserve"> suspended in a liminal space, their potential constrained by the discourse of risk, and the associated prohibition. </w:t>
      </w:r>
      <w:r w:rsidRPr="009F0910">
        <w:rPr>
          <w:rFonts w:cstheme="minorHAnsi"/>
          <w:iCs/>
          <w:sz w:val="24"/>
          <w:szCs w:val="24"/>
        </w:rPr>
        <w:t xml:space="preserve">The potential longer-term risks of treating sexuality as </w:t>
      </w:r>
      <w:r w:rsidR="00142E7A" w:rsidRPr="009F0910">
        <w:rPr>
          <w:rFonts w:cstheme="minorHAnsi"/>
          <w:iCs/>
          <w:sz w:val="24"/>
          <w:szCs w:val="24"/>
        </w:rPr>
        <w:t>organis</w:t>
      </w:r>
      <w:r w:rsidRPr="009F0910">
        <w:rPr>
          <w:rFonts w:cstheme="minorHAnsi"/>
          <w:iCs/>
          <w:sz w:val="24"/>
          <w:szCs w:val="24"/>
        </w:rPr>
        <w:t>ational mis</w:t>
      </w:r>
      <w:r w:rsidR="007E245B" w:rsidRPr="009F0910">
        <w:rPr>
          <w:rFonts w:cstheme="minorHAnsi"/>
          <w:iCs/>
          <w:sz w:val="24"/>
          <w:szCs w:val="24"/>
        </w:rPr>
        <w:t>behaviour</w:t>
      </w:r>
      <w:r w:rsidRPr="009F0910">
        <w:rPr>
          <w:rFonts w:cstheme="minorHAnsi"/>
          <w:iCs/>
          <w:sz w:val="24"/>
          <w:szCs w:val="24"/>
        </w:rPr>
        <w:t xml:space="preserve"> are demonstrated by these examples. If inpatients are taught to experience their desires for intimacy as matters that are for the most part relative to the norms of the </w:t>
      </w:r>
      <w:r w:rsidR="00142E7A" w:rsidRPr="009F0910">
        <w:rPr>
          <w:rFonts w:cstheme="minorHAnsi"/>
          <w:iCs/>
          <w:sz w:val="24"/>
          <w:szCs w:val="24"/>
        </w:rPr>
        <w:t>organis</w:t>
      </w:r>
      <w:r w:rsidRPr="009F0910">
        <w:rPr>
          <w:rFonts w:cstheme="minorHAnsi"/>
          <w:iCs/>
          <w:sz w:val="24"/>
          <w:szCs w:val="24"/>
        </w:rPr>
        <w:t xml:space="preserve">ation, then the withdrawing of these norms that occurs following transition into the community leaves service users without a coherent framework in which to understand and explore their “sexual freedoms”. In other words, if service users are inculcated </w:t>
      </w:r>
      <w:r w:rsidR="00695397" w:rsidRPr="009F0910">
        <w:rPr>
          <w:rFonts w:cstheme="minorHAnsi"/>
          <w:iCs/>
          <w:sz w:val="24"/>
          <w:szCs w:val="24"/>
        </w:rPr>
        <w:t>in</w:t>
      </w:r>
      <w:r w:rsidRPr="009F0910">
        <w:rPr>
          <w:rFonts w:cstheme="minorHAnsi"/>
          <w:iCs/>
          <w:sz w:val="24"/>
          <w:szCs w:val="24"/>
        </w:rPr>
        <w:t>to a discourse where sexuality is viewed through the lens of infraction and naughtiness, then the prospects for their future capacity to form and maintain intimate relationships are likely to be compromi</w:t>
      </w:r>
      <w:r w:rsidR="0087131D" w:rsidRPr="009F0910">
        <w:rPr>
          <w:rFonts w:cstheme="minorHAnsi"/>
          <w:iCs/>
          <w:sz w:val="24"/>
          <w:szCs w:val="24"/>
        </w:rPr>
        <w:t>s</w:t>
      </w:r>
      <w:r w:rsidRPr="009F0910">
        <w:rPr>
          <w:rFonts w:cstheme="minorHAnsi"/>
          <w:iCs/>
          <w:sz w:val="24"/>
          <w:szCs w:val="24"/>
        </w:rPr>
        <w:t>ed.</w:t>
      </w:r>
    </w:p>
    <w:p w14:paraId="29C281D0" w14:textId="77777777" w:rsidR="00274F96" w:rsidRPr="009F0910" w:rsidRDefault="00274F96" w:rsidP="009F0910">
      <w:pPr>
        <w:pStyle w:val="NoSpacing"/>
        <w:spacing w:line="360" w:lineRule="auto"/>
        <w:contextualSpacing/>
        <w:jc w:val="both"/>
        <w:rPr>
          <w:rFonts w:cstheme="minorHAnsi"/>
          <w:b/>
          <w:bCs/>
          <w:iCs/>
          <w:sz w:val="24"/>
          <w:szCs w:val="24"/>
        </w:rPr>
      </w:pPr>
    </w:p>
    <w:p w14:paraId="5BD6D317" w14:textId="04C8E33E" w:rsidR="00ED7912" w:rsidRPr="009F0910" w:rsidRDefault="00ED7912" w:rsidP="009F0910">
      <w:pPr>
        <w:pStyle w:val="NoSpacing"/>
        <w:spacing w:line="360" w:lineRule="auto"/>
        <w:contextualSpacing/>
        <w:jc w:val="both"/>
        <w:rPr>
          <w:rFonts w:cstheme="minorHAnsi"/>
          <w:b/>
          <w:bCs/>
          <w:iCs/>
          <w:sz w:val="24"/>
          <w:szCs w:val="24"/>
        </w:rPr>
      </w:pPr>
      <w:r w:rsidRPr="009F0910">
        <w:rPr>
          <w:rFonts w:cstheme="minorHAnsi"/>
          <w:b/>
          <w:bCs/>
          <w:iCs/>
          <w:sz w:val="24"/>
          <w:szCs w:val="24"/>
        </w:rPr>
        <w:t>Discussion</w:t>
      </w:r>
    </w:p>
    <w:p w14:paraId="780E9673" w14:textId="77777777" w:rsidR="007471DB" w:rsidRPr="009F0910" w:rsidRDefault="007471DB" w:rsidP="009F0910">
      <w:pPr>
        <w:spacing w:after="0" w:line="360" w:lineRule="auto"/>
        <w:contextualSpacing/>
        <w:jc w:val="both"/>
        <w:rPr>
          <w:rFonts w:cstheme="minorHAnsi"/>
          <w:sz w:val="24"/>
          <w:szCs w:val="24"/>
        </w:rPr>
      </w:pPr>
    </w:p>
    <w:p w14:paraId="3DD96149" w14:textId="520E5798" w:rsidR="002D0197" w:rsidRPr="009F0910" w:rsidRDefault="0075638B" w:rsidP="009F0910">
      <w:pPr>
        <w:spacing w:after="0" w:line="360" w:lineRule="auto"/>
        <w:contextualSpacing/>
        <w:jc w:val="both"/>
        <w:rPr>
          <w:rFonts w:cstheme="minorHAnsi"/>
          <w:sz w:val="24"/>
          <w:szCs w:val="24"/>
        </w:rPr>
      </w:pPr>
      <w:r w:rsidRPr="009F0910">
        <w:rPr>
          <w:rFonts w:cstheme="minorHAnsi"/>
          <w:sz w:val="24"/>
          <w:szCs w:val="24"/>
        </w:rPr>
        <w:t xml:space="preserve">The outcomes of this </w:t>
      </w:r>
      <w:r w:rsidR="007E245B" w:rsidRPr="009F0910">
        <w:rPr>
          <w:rFonts w:cstheme="minorHAnsi"/>
          <w:sz w:val="24"/>
          <w:szCs w:val="24"/>
        </w:rPr>
        <w:t>study may be summaris</w:t>
      </w:r>
      <w:r w:rsidRPr="009F0910">
        <w:rPr>
          <w:rFonts w:cstheme="minorHAnsi"/>
          <w:sz w:val="24"/>
          <w:szCs w:val="24"/>
        </w:rPr>
        <w:t>ed as follows</w:t>
      </w:r>
      <w:r w:rsidR="001E22A8" w:rsidRPr="009F0910">
        <w:rPr>
          <w:rFonts w:cstheme="minorHAnsi"/>
          <w:sz w:val="24"/>
          <w:szCs w:val="24"/>
        </w:rPr>
        <w:t xml:space="preserve">: </w:t>
      </w:r>
      <w:r w:rsidR="0070041F" w:rsidRPr="009F0910">
        <w:rPr>
          <w:rFonts w:cstheme="minorHAnsi"/>
          <w:sz w:val="24"/>
          <w:szCs w:val="24"/>
        </w:rPr>
        <w:t xml:space="preserve">1) </w:t>
      </w:r>
      <w:r w:rsidR="00695397" w:rsidRPr="009F0910">
        <w:rPr>
          <w:rFonts w:cstheme="minorHAnsi"/>
          <w:sz w:val="24"/>
          <w:szCs w:val="24"/>
        </w:rPr>
        <w:t>s</w:t>
      </w:r>
      <w:r w:rsidR="0070041F" w:rsidRPr="009F0910">
        <w:rPr>
          <w:rFonts w:cstheme="minorHAnsi"/>
          <w:sz w:val="24"/>
          <w:szCs w:val="24"/>
        </w:rPr>
        <w:t>exuality in secure mental healthcare was constructed by inpatients and staff members in discourses of normalcy, vitality, and rights, and in contradictory discourses of risk, accountability, and liminality</w:t>
      </w:r>
      <w:r w:rsidR="008B0E42" w:rsidRPr="009F0910">
        <w:rPr>
          <w:rFonts w:cstheme="minorHAnsi"/>
          <w:sz w:val="24"/>
          <w:szCs w:val="24"/>
        </w:rPr>
        <w:t>;</w:t>
      </w:r>
      <w:r w:rsidR="0070041F" w:rsidRPr="009F0910">
        <w:rPr>
          <w:rFonts w:cstheme="minorHAnsi"/>
          <w:sz w:val="24"/>
          <w:szCs w:val="24"/>
        </w:rPr>
        <w:t xml:space="preserve"> 2) </w:t>
      </w:r>
      <w:r w:rsidR="00695397" w:rsidRPr="009F0910">
        <w:rPr>
          <w:rFonts w:cstheme="minorHAnsi"/>
          <w:sz w:val="24"/>
          <w:szCs w:val="24"/>
        </w:rPr>
        <w:t>t</w:t>
      </w:r>
      <w:r w:rsidR="00F2385D" w:rsidRPr="009F0910">
        <w:rPr>
          <w:rFonts w:cstheme="minorHAnsi"/>
          <w:sz w:val="24"/>
          <w:szCs w:val="24"/>
        </w:rPr>
        <w:t>he</w:t>
      </w:r>
      <w:r w:rsidR="0070041F" w:rsidRPr="009F0910">
        <w:rPr>
          <w:rFonts w:cstheme="minorHAnsi"/>
          <w:sz w:val="24"/>
          <w:szCs w:val="24"/>
        </w:rPr>
        <w:t xml:space="preserve"> discourse of risk </w:t>
      </w:r>
      <w:r w:rsidR="00F2385D" w:rsidRPr="009F0910">
        <w:rPr>
          <w:rFonts w:cstheme="minorHAnsi"/>
          <w:sz w:val="24"/>
          <w:szCs w:val="24"/>
        </w:rPr>
        <w:t>was suffici</w:t>
      </w:r>
      <w:r w:rsidR="007E245B" w:rsidRPr="009F0910">
        <w:rPr>
          <w:rFonts w:cstheme="minorHAnsi"/>
          <w:sz w:val="24"/>
          <w:szCs w:val="24"/>
        </w:rPr>
        <w:t>ently powerful to be “internalis</w:t>
      </w:r>
      <w:r w:rsidR="00F2385D" w:rsidRPr="009F0910">
        <w:rPr>
          <w:rFonts w:cstheme="minorHAnsi"/>
          <w:sz w:val="24"/>
          <w:szCs w:val="24"/>
        </w:rPr>
        <w:t>ed”</w:t>
      </w:r>
      <w:r w:rsidR="0070041F" w:rsidRPr="009F0910">
        <w:rPr>
          <w:rFonts w:cstheme="minorHAnsi"/>
          <w:sz w:val="24"/>
          <w:szCs w:val="24"/>
        </w:rPr>
        <w:t xml:space="preserve"> by staff </w:t>
      </w:r>
      <w:r w:rsidR="00F2385D" w:rsidRPr="009F0910">
        <w:rPr>
          <w:rFonts w:cstheme="minorHAnsi"/>
          <w:i/>
          <w:sz w:val="24"/>
          <w:szCs w:val="24"/>
        </w:rPr>
        <w:t>and some inpatients</w:t>
      </w:r>
      <w:r w:rsidR="00F2385D" w:rsidRPr="009F0910">
        <w:rPr>
          <w:rFonts w:cstheme="minorHAnsi"/>
          <w:sz w:val="24"/>
          <w:szCs w:val="24"/>
        </w:rPr>
        <w:t xml:space="preserve">, and as a result, </w:t>
      </w:r>
      <w:r w:rsidR="0070041F" w:rsidRPr="009F0910">
        <w:rPr>
          <w:rFonts w:cstheme="minorHAnsi"/>
          <w:sz w:val="24"/>
          <w:szCs w:val="24"/>
        </w:rPr>
        <w:t>expressions of</w:t>
      </w:r>
      <w:r w:rsidR="00F2385D" w:rsidRPr="009F0910">
        <w:rPr>
          <w:rFonts w:cstheme="minorHAnsi"/>
          <w:sz w:val="24"/>
          <w:szCs w:val="24"/>
        </w:rPr>
        <w:t xml:space="preserve"> inpatient</w:t>
      </w:r>
      <w:r w:rsidR="0070041F" w:rsidRPr="009F0910">
        <w:rPr>
          <w:rFonts w:cstheme="minorHAnsi"/>
          <w:sz w:val="24"/>
          <w:szCs w:val="24"/>
        </w:rPr>
        <w:t xml:space="preserve"> sexuality </w:t>
      </w:r>
      <w:r w:rsidR="00F2385D" w:rsidRPr="009F0910">
        <w:rPr>
          <w:rFonts w:cstheme="minorHAnsi"/>
          <w:sz w:val="24"/>
          <w:szCs w:val="24"/>
        </w:rPr>
        <w:t xml:space="preserve">were </w:t>
      </w:r>
      <w:r w:rsidR="0070041F" w:rsidRPr="009F0910">
        <w:rPr>
          <w:rFonts w:cstheme="minorHAnsi"/>
          <w:sz w:val="24"/>
          <w:szCs w:val="24"/>
        </w:rPr>
        <w:t xml:space="preserve">viewed inevitably as a matter of </w:t>
      </w:r>
      <w:r w:rsidR="00142E7A" w:rsidRPr="009F0910">
        <w:rPr>
          <w:rFonts w:cstheme="minorHAnsi"/>
          <w:sz w:val="24"/>
          <w:szCs w:val="24"/>
        </w:rPr>
        <w:t>organis</w:t>
      </w:r>
      <w:r w:rsidR="0070041F" w:rsidRPr="009F0910">
        <w:rPr>
          <w:rFonts w:cstheme="minorHAnsi"/>
          <w:sz w:val="24"/>
          <w:szCs w:val="24"/>
        </w:rPr>
        <w:t>ational mis</w:t>
      </w:r>
      <w:r w:rsidR="007E245B" w:rsidRPr="009F0910">
        <w:rPr>
          <w:rFonts w:cstheme="minorHAnsi"/>
          <w:sz w:val="24"/>
          <w:szCs w:val="24"/>
        </w:rPr>
        <w:t>behaviour</w:t>
      </w:r>
      <w:r w:rsidR="008B0E42" w:rsidRPr="009F0910">
        <w:rPr>
          <w:rFonts w:cstheme="minorHAnsi"/>
          <w:sz w:val="24"/>
          <w:szCs w:val="24"/>
        </w:rPr>
        <w:t xml:space="preserve">; </w:t>
      </w:r>
      <w:r w:rsidR="00F2385D" w:rsidRPr="009F0910">
        <w:rPr>
          <w:rFonts w:cstheme="minorHAnsi"/>
          <w:sz w:val="24"/>
          <w:szCs w:val="24"/>
        </w:rPr>
        <w:t xml:space="preserve">3) </w:t>
      </w:r>
      <w:r w:rsidR="00695397" w:rsidRPr="009F0910">
        <w:rPr>
          <w:rFonts w:cstheme="minorHAnsi"/>
          <w:sz w:val="24"/>
          <w:szCs w:val="24"/>
        </w:rPr>
        <w:t>a</w:t>
      </w:r>
      <w:r w:rsidRPr="009F0910">
        <w:rPr>
          <w:rFonts w:cstheme="minorHAnsi"/>
          <w:sz w:val="24"/>
          <w:szCs w:val="24"/>
        </w:rPr>
        <w:t xml:space="preserve"> failure to properly engage with the desires and needs of patients around sexuality and personal relationships </w:t>
      </w:r>
      <w:r w:rsidR="00DD59AC" w:rsidRPr="009F0910">
        <w:rPr>
          <w:rFonts w:cstheme="minorHAnsi"/>
          <w:sz w:val="24"/>
          <w:szCs w:val="24"/>
        </w:rPr>
        <w:t xml:space="preserve">may </w:t>
      </w:r>
      <w:r w:rsidRPr="009F0910">
        <w:rPr>
          <w:rFonts w:cstheme="minorHAnsi"/>
          <w:sz w:val="24"/>
          <w:szCs w:val="24"/>
        </w:rPr>
        <w:t xml:space="preserve">create difficulties in both the management of </w:t>
      </w:r>
      <w:r w:rsidR="007E245B" w:rsidRPr="009F0910">
        <w:rPr>
          <w:rFonts w:cstheme="minorHAnsi"/>
          <w:sz w:val="24"/>
          <w:szCs w:val="24"/>
        </w:rPr>
        <w:t>behaviour</w:t>
      </w:r>
      <w:r w:rsidRPr="009F0910">
        <w:rPr>
          <w:rFonts w:cstheme="minorHAnsi"/>
          <w:sz w:val="24"/>
          <w:szCs w:val="24"/>
        </w:rPr>
        <w:t xml:space="preserve"> on wards</w:t>
      </w:r>
      <w:r w:rsidR="00F2385D" w:rsidRPr="009F0910">
        <w:rPr>
          <w:rFonts w:cstheme="minorHAnsi"/>
          <w:sz w:val="24"/>
          <w:szCs w:val="24"/>
        </w:rPr>
        <w:t xml:space="preserve"> (i.e., lead to subverted sexual expression),</w:t>
      </w:r>
      <w:r w:rsidRPr="009F0910">
        <w:rPr>
          <w:rFonts w:cstheme="minorHAnsi"/>
          <w:sz w:val="24"/>
          <w:szCs w:val="24"/>
        </w:rPr>
        <w:t xml:space="preserve"> and with respect to longer term recovery;</w:t>
      </w:r>
      <w:r w:rsidR="00F2385D" w:rsidRPr="009F0910">
        <w:rPr>
          <w:rFonts w:cstheme="minorHAnsi"/>
          <w:sz w:val="24"/>
          <w:szCs w:val="24"/>
        </w:rPr>
        <w:t xml:space="preserve"> </w:t>
      </w:r>
      <w:r w:rsidR="00695397" w:rsidRPr="009F0910">
        <w:rPr>
          <w:rFonts w:cstheme="minorHAnsi"/>
          <w:sz w:val="24"/>
          <w:szCs w:val="24"/>
        </w:rPr>
        <w:t xml:space="preserve">and </w:t>
      </w:r>
      <w:r w:rsidR="00F2385D" w:rsidRPr="009F0910">
        <w:rPr>
          <w:rFonts w:cstheme="minorHAnsi"/>
          <w:sz w:val="24"/>
          <w:szCs w:val="24"/>
        </w:rPr>
        <w:t>4</w:t>
      </w:r>
      <w:r w:rsidRPr="009F0910">
        <w:rPr>
          <w:rFonts w:cstheme="minorHAnsi"/>
          <w:sz w:val="24"/>
          <w:szCs w:val="24"/>
        </w:rPr>
        <w:t xml:space="preserve">) </w:t>
      </w:r>
      <w:r w:rsidR="00695397" w:rsidRPr="009F0910">
        <w:rPr>
          <w:rFonts w:cstheme="minorHAnsi"/>
          <w:sz w:val="24"/>
          <w:szCs w:val="24"/>
        </w:rPr>
        <w:t>t</w:t>
      </w:r>
      <w:r w:rsidRPr="009F0910">
        <w:rPr>
          <w:rFonts w:cstheme="minorHAnsi"/>
          <w:sz w:val="24"/>
          <w:szCs w:val="24"/>
        </w:rPr>
        <w:t xml:space="preserve">he absence of formal policy around managing </w:t>
      </w:r>
      <w:r w:rsidR="00F2385D" w:rsidRPr="009F0910">
        <w:rPr>
          <w:rFonts w:cstheme="minorHAnsi"/>
          <w:sz w:val="24"/>
          <w:szCs w:val="24"/>
        </w:rPr>
        <w:t>in</w:t>
      </w:r>
      <w:r w:rsidRPr="009F0910">
        <w:rPr>
          <w:rFonts w:cstheme="minorHAnsi"/>
          <w:sz w:val="24"/>
          <w:szCs w:val="24"/>
        </w:rPr>
        <w:t xml:space="preserve">patient sexuality </w:t>
      </w:r>
      <w:r w:rsidR="00DD59AC" w:rsidRPr="009F0910">
        <w:rPr>
          <w:rFonts w:cstheme="minorHAnsi"/>
          <w:sz w:val="24"/>
          <w:szCs w:val="24"/>
        </w:rPr>
        <w:t xml:space="preserve">may </w:t>
      </w:r>
      <w:r w:rsidRPr="009F0910">
        <w:rPr>
          <w:rFonts w:cstheme="minorHAnsi"/>
          <w:sz w:val="24"/>
          <w:szCs w:val="24"/>
        </w:rPr>
        <w:t xml:space="preserve">place staff, particularly those who have the least power within the </w:t>
      </w:r>
      <w:r w:rsidR="00142E7A" w:rsidRPr="009F0910">
        <w:rPr>
          <w:rFonts w:cstheme="minorHAnsi"/>
          <w:sz w:val="24"/>
          <w:szCs w:val="24"/>
        </w:rPr>
        <w:t>organis</w:t>
      </w:r>
      <w:r w:rsidRPr="009F0910">
        <w:rPr>
          <w:rFonts w:cstheme="minorHAnsi"/>
          <w:sz w:val="24"/>
          <w:szCs w:val="24"/>
        </w:rPr>
        <w:t>ation (i.e.</w:t>
      </w:r>
      <w:r w:rsidR="00DD59AC" w:rsidRPr="009F0910">
        <w:rPr>
          <w:rFonts w:cstheme="minorHAnsi"/>
          <w:sz w:val="24"/>
          <w:szCs w:val="24"/>
        </w:rPr>
        <w:t>,</w:t>
      </w:r>
      <w:r w:rsidRPr="009F0910">
        <w:rPr>
          <w:rFonts w:cstheme="minorHAnsi"/>
          <w:sz w:val="24"/>
          <w:szCs w:val="24"/>
        </w:rPr>
        <w:t xml:space="preserve"> </w:t>
      </w:r>
      <w:r w:rsidR="00695397" w:rsidRPr="009F0910">
        <w:rPr>
          <w:rFonts w:cstheme="minorHAnsi"/>
          <w:sz w:val="24"/>
          <w:szCs w:val="24"/>
        </w:rPr>
        <w:t>h</w:t>
      </w:r>
      <w:r w:rsidR="00F2385D" w:rsidRPr="009F0910">
        <w:rPr>
          <w:rFonts w:cstheme="minorHAnsi"/>
          <w:sz w:val="24"/>
          <w:szCs w:val="24"/>
        </w:rPr>
        <w:t>ealth</w:t>
      </w:r>
      <w:r w:rsidR="00695397" w:rsidRPr="009F0910">
        <w:rPr>
          <w:rFonts w:cstheme="minorHAnsi"/>
          <w:sz w:val="24"/>
          <w:szCs w:val="24"/>
        </w:rPr>
        <w:t xml:space="preserve"> </w:t>
      </w:r>
      <w:r w:rsidR="00F2385D" w:rsidRPr="009F0910">
        <w:rPr>
          <w:rFonts w:cstheme="minorHAnsi"/>
          <w:sz w:val="24"/>
          <w:szCs w:val="24"/>
        </w:rPr>
        <w:t xml:space="preserve">care </w:t>
      </w:r>
      <w:r w:rsidR="00695397" w:rsidRPr="009F0910">
        <w:rPr>
          <w:rFonts w:cstheme="minorHAnsi"/>
          <w:sz w:val="24"/>
          <w:szCs w:val="24"/>
        </w:rPr>
        <w:t>a</w:t>
      </w:r>
      <w:r w:rsidR="00F2385D" w:rsidRPr="009F0910">
        <w:rPr>
          <w:rFonts w:cstheme="minorHAnsi"/>
          <w:sz w:val="24"/>
          <w:szCs w:val="24"/>
        </w:rPr>
        <w:t>ssistants</w:t>
      </w:r>
      <w:r w:rsidRPr="009F0910">
        <w:rPr>
          <w:rFonts w:cstheme="minorHAnsi"/>
          <w:sz w:val="24"/>
          <w:szCs w:val="24"/>
        </w:rPr>
        <w:t xml:space="preserve">), in a </w:t>
      </w:r>
      <w:r w:rsidR="00695397" w:rsidRPr="009F0910">
        <w:rPr>
          <w:rFonts w:cstheme="minorHAnsi"/>
          <w:sz w:val="24"/>
          <w:szCs w:val="24"/>
        </w:rPr>
        <w:t>difficult</w:t>
      </w:r>
      <w:r w:rsidRPr="009F0910">
        <w:rPr>
          <w:rFonts w:cstheme="minorHAnsi"/>
          <w:sz w:val="24"/>
          <w:szCs w:val="24"/>
        </w:rPr>
        <w:t xml:space="preserve"> position where </w:t>
      </w:r>
      <w:r w:rsidR="008E7DA2" w:rsidRPr="009F0910">
        <w:rPr>
          <w:rFonts w:cstheme="minorHAnsi"/>
          <w:sz w:val="24"/>
          <w:szCs w:val="24"/>
        </w:rPr>
        <w:t xml:space="preserve">the </w:t>
      </w:r>
      <w:r w:rsidRPr="009F0910">
        <w:rPr>
          <w:rFonts w:cstheme="minorHAnsi"/>
          <w:sz w:val="24"/>
          <w:szCs w:val="24"/>
        </w:rPr>
        <w:t xml:space="preserve">maintenance of locally negotiated norms is the most </w:t>
      </w:r>
      <w:r w:rsidR="000E39F5" w:rsidRPr="009F0910">
        <w:rPr>
          <w:rFonts w:cstheme="minorHAnsi"/>
          <w:sz w:val="24"/>
          <w:szCs w:val="24"/>
        </w:rPr>
        <w:t xml:space="preserve">available </w:t>
      </w:r>
      <w:r w:rsidRPr="009F0910">
        <w:rPr>
          <w:rFonts w:cstheme="minorHAnsi"/>
          <w:sz w:val="24"/>
          <w:szCs w:val="24"/>
        </w:rPr>
        <w:t>solution</w:t>
      </w:r>
      <w:r w:rsidR="000E39F5" w:rsidRPr="009F0910">
        <w:rPr>
          <w:rFonts w:cstheme="minorHAnsi"/>
          <w:sz w:val="24"/>
          <w:szCs w:val="24"/>
        </w:rPr>
        <w:t xml:space="preserve">. </w:t>
      </w:r>
    </w:p>
    <w:p w14:paraId="4E6B4A93" w14:textId="68A52094" w:rsidR="00C66134" w:rsidRPr="009F0910" w:rsidRDefault="007531FF" w:rsidP="009F0910">
      <w:pPr>
        <w:spacing w:after="0" w:line="360" w:lineRule="auto"/>
        <w:ind w:firstLine="720"/>
        <w:contextualSpacing/>
        <w:jc w:val="both"/>
        <w:rPr>
          <w:rFonts w:cstheme="minorHAnsi"/>
          <w:sz w:val="24"/>
          <w:szCs w:val="24"/>
        </w:rPr>
      </w:pPr>
      <w:r w:rsidRPr="009F0910">
        <w:rPr>
          <w:rFonts w:cstheme="minorHAnsi"/>
          <w:sz w:val="24"/>
          <w:szCs w:val="24"/>
        </w:rPr>
        <w:lastRenderedPageBreak/>
        <w:t xml:space="preserve">As identified in previous research, the </w:t>
      </w:r>
      <w:r w:rsidR="00C66134" w:rsidRPr="009F0910">
        <w:rPr>
          <w:rFonts w:cstheme="minorHAnsi"/>
          <w:sz w:val="24"/>
          <w:szCs w:val="24"/>
        </w:rPr>
        <w:t xml:space="preserve">inpatient </w:t>
      </w:r>
      <w:r w:rsidRPr="009F0910">
        <w:rPr>
          <w:rFonts w:cstheme="minorHAnsi"/>
          <w:sz w:val="24"/>
          <w:szCs w:val="24"/>
        </w:rPr>
        <w:t>participants in this study positioned themselves as people who felt sexual but had few (or no) opportun</w:t>
      </w:r>
      <w:r w:rsidR="00B72CA3" w:rsidRPr="009F0910">
        <w:rPr>
          <w:rFonts w:cstheme="minorHAnsi"/>
          <w:sz w:val="24"/>
          <w:szCs w:val="24"/>
        </w:rPr>
        <w:t xml:space="preserve">ities to express their sexualities in ways that </w:t>
      </w:r>
      <w:r w:rsidRPr="009F0910">
        <w:rPr>
          <w:rFonts w:cstheme="minorHAnsi"/>
          <w:sz w:val="24"/>
          <w:szCs w:val="24"/>
        </w:rPr>
        <w:t>were sanctioned by ward staff</w:t>
      </w:r>
      <w:r w:rsidR="00B66952" w:rsidRPr="009F0910">
        <w:rPr>
          <w:rFonts w:cstheme="minorHAnsi"/>
          <w:sz w:val="24"/>
          <w:szCs w:val="24"/>
        </w:rPr>
        <w:t xml:space="preserve">, or </w:t>
      </w:r>
      <w:r w:rsidR="004B18AB" w:rsidRPr="009F0910">
        <w:rPr>
          <w:rFonts w:cstheme="minorHAnsi"/>
          <w:sz w:val="24"/>
          <w:szCs w:val="24"/>
        </w:rPr>
        <w:t>made possible by ward practices</w:t>
      </w:r>
      <w:r w:rsidR="002E18B8" w:rsidRPr="009F0910">
        <w:rPr>
          <w:rFonts w:cstheme="minorHAnsi"/>
          <w:sz w:val="24"/>
          <w:szCs w:val="24"/>
        </w:rPr>
        <w:t xml:space="preserve">, including when they </w:t>
      </w:r>
      <w:r w:rsidR="00A505A9" w:rsidRPr="009F0910">
        <w:rPr>
          <w:rFonts w:cstheme="minorHAnsi"/>
          <w:sz w:val="24"/>
          <w:szCs w:val="24"/>
        </w:rPr>
        <w:t>were afforded leave</w:t>
      </w:r>
      <w:r w:rsidR="004B18AB" w:rsidRPr="009F0910">
        <w:rPr>
          <w:rFonts w:cstheme="minorHAnsi"/>
          <w:sz w:val="24"/>
          <w:szCs w:val="24"/>
        </w:rPr>
        <w:t xml:space="preserve"> </w:t>
      </w:r>
      <w:r w:rsidR="00F83042" w:rsidRPr="009F0910">
        <w:rPr>
          <w:rFonts w:cstheme="minorHAnsi"/>
          <w:sz w:val="24"/>
          <w:szCs w:val="24"/>
        </w:rPr>
        <w:t>(Brown et al.</w:t>
      </w:r>
      <w:r w:rsidR="0035183F" w:rsidRPr="009F0910">
        <w:rPr>
          <w:rFonts w:cstheme="minorHAnsi"/>
          <w:sz w:val="24"/>
          <w:szCs w:val="24"/>
        </w:rPr>
        <w:t xml:space="preserve"> 2014; Deegan </w:t>
      </w:r>
      <w:r w:rsidR="00993768" w:rsidRPr="009F0910">
        <w:rPr>
          <w:rFonts w:cstheme="minorHAnsi"/>
          <w:sz w:val="24"/>
          <w:szCs w:val="24"/>
        </w:rPr>
        <w:t>1999</w:t>
      </w:r>
      <w:r w:rsidR="0035183F" w:rsidRPr="009F0910">
        <w:rPr>
          <w:rFonts w:cstheme="minorHAnsi"/>
          <w:sz w:val="24"/>
          <w:szCs w:val="24"/>
        </w:rPr>
        <w:t>;</w:t>
      </w:r>
      <w:r w:rsidR="00F83042" w:rsidRPr="009F0910">
        <w:rPr>
          <w:rFonts w:cstheme="minorHAnsi"/>
          <w:sz w:val="24"/>
          <w:szCs w:val="24"/>
        </w:rPr>
        <w:t xml:space="preserve"> </w:t>
      </w:r>
      <w:proofErr w:type="spellStart"/>
      <w:r w:rsidR="00F83042" w:rsidRPr="009F0910">
        <w:rPr>
          <w:rFonts w:cstheme="minorHAnsi"/>
          <w:sz w:val="24"/>
          <w:szCs w:val="24"/>
        </w:rPr>
        <w:t>Dein</w:t>
      </w:r>
      <w:proofErr w:type="spellEnd"/>
      <w:r w:rsidR="00F83042" w:rsidRPr="009F0910">
        <w:rPr>
          <w:rFonts w:cstheme="minorHAnsi"/>
          <w:sz w:val="24"/>
          <w:szCs w:val="24"/>
        </w:rPr>
        <w:t xml:space="preserve"> et al.</w:t>
      </w:r>
      <w:r w:rsidR="0035183F" w:rsidRPr="009F0910">
        <w:rPr>
          <w:rFonts w:cstheme="minorHAnsi"/>
          <w:sz w:val="24"/>
          <w:szCs w:val="24"/>
        </w:rPr>
        <w:t xml:space="preserve"> 201</w:t>
      </w:r>
      <w:r w:rsidR="00111BA9" w:rsidRPr="009F0910">
        <w:rPr>
          <w:rFonts w:cstheme="minorHAnsi"/>
          <w:sz w:val="24"/>
          <w:szCs w:val="24"/>
        </w:rPr>
        <w:t>6</w:t>
      </w:r>
      <w:r w:rsidR="00F83042" w:rsidRPr="009F0910">
        <w:rPr>
          <w:rFonts w:cstheme="minorHAnsi"/>
          <w:sz w:val="24"/>
          <w:szCs w:val="24"/>
        </w:rPr>
        <w:t xml:space="preserve">; McCann </w:t>
      </w:r>
      <w:r w:rsidR="00860EF2" w:rsidRPr="009F0910">
        <w:rPr>
          <w:rFonts w:cstheme="minorHAnsi"/>
          <w:sz w:val="24"/>
          <w:szCs w:val="24"/>
        </w:rPr>
        <w:t>2010</w:t>
      </w:r>
      <w:r w:rsidR="004B18AB" w:rsidRPr="009F0910">
        <w:rPr>
          <w:rFonts w:cstheme="minorHAnsi"/>
          <w:sz w:val="24"/>
          <w:szCs w:val="24"/>
        </w:rPr>
        <w:t>)</w:t>
      </w:r>
      <w:r w:rsidRPr="009F0910">
        <w:rPr>
          <w:rFonts w:cstheme="minorHAnsi"/>
          <w:sz w:val="24"/>
          <w:szCs w:val="24"/>
        </w:rPr>
        <w:t>.</w:t>
      </w:r>
      <w:r w:rsidR="00C66134" w:rsidRPr="009F0910">
        <w:rPr>
          <w:rFonts w:cstheme="minorHAnsi"/>
          <w:sz w:val="24"/>
          <w:szCs w:val="24"/>
        </w:rPr>
        <w:t xml:space="preserve"> </w:t>
      </w:r>
      <w:r w:rsidR="00DE7235" w:rsidRPr="009F0910">
        <w:rPr>
          <w:rFonts w:cstheme="minorHAnsi"/>
          <w:sz w:val="24"/>
          <w:szCs w:val="24"/>
        </w:rPr>
        <w:t>Sexuality was a preoccupation for the majority of the inpatients, but to use the nomenclature of Brown et al. (2014), it was manifest only in an amputated form: It was not embodied, but rather existed in a liminal space, temporarily suspended, but nevertheless of great salience. Inpatients deployed a discourse of the normalcy of sexuality, using rhetorical strategies that positioned them as</w:t>
      </w:r>
      <w:r w:rsidR="00C66134" w:rsidRPr="009F0910">
        <w:rPr>
          <w:rFonts w:cstheme="minorHAnsi"/>
          <w:sz w:val="24"/>
          <w:szCs w:val="24"/>
        </w:rPr>
        <w:t xml:space="preserve"> </w:t>
      </w:r>
      <w:r w:rsidR="00183427" w:rsidRPr="009F0910">
        <w:rPr>
          <w:rFonts w:cstheme="minorHAnsi"/>
          <w:sz w:val="24"/>
          <w:szCs w:val="24"/>
        </w:rPr>
        <w:t>“</w:t>
      </w:r>
      <w:r w:rsidR="00C66134" w:rsidRPr="009F0910">
        <w:rPr>
          <w:rFonts w:cstheme="minorHAnsi"/>
          <w:sz w:val="24"/>
          <w:szCs w:val="24"/>
        </w:rPr>
        <w:t>ordinary people</w:t>
      </w:r>
      <w:r w:rsidR="00183427" w:rsidRPr="009F0910">
        <w:rPr>
          <w:rFonts w:cstheme="minorHAnsi"/>
          <w:sz w:val="24"/>
          <w:szCs w:val="24"/>
        </w:rPr>
        <w:t>”</w:t>
      </w:r>
      <w:r w:rsidR="00C66134" w:rsidRPr="009F0910">
        <w:rPr>
          <w:rFonts w:cstheme="minorHAnsi"/>
          <w:sz w:val="24"/>
          <w:szCs w:val="24"/>
        </w:rPr>
        <w:t xml:space="preserve"> </w:t>
      </w:r>
      <w:r w:rsidR="00733753" w:rsidRPr="009F0910">
        <w:rPr>
          <w:rFonts w:cstheme="minorHAnsi"/>
          <w:sz w:val="24"/>
          <w:szCs w:val="24"/>
        </w:rPr>
        <w:t xml:space="preserve">for </w:t>
      </w:r>
      <w:r w:rsidR="00C66134" w:rsidRPr="009F0910">
        <w:rPr>
          <w:rFonts w:cstheme="minorHAnsi"/>
          <w:sz w:val="24"/>
          <w:szCs w:val="24"/>
        </w:rPr>
        <w:t>who</w:t>
      </w:r>
      <w:r w:rsidR="00733753" w:rsidRPr="009F0910">
        <w:rPr>
          <w:rFonts w:cstheme="minorHAnsi"/>
          <w:sz w:val="24"/>
          <w:szCs w:val="24"/>
        </w:rPr>
        <w:t xml:space="preserve">m sexuality was as essential a facet of human existence as it </w:t>
      </w:r>
      <w:r w:rsidR="00183427" w:rsidRPr="009F0910">
        <w:rPr>
          <w:rFonts w:cstheme="minorHAnsi"/>
          <w:sz w:val="24"/>
          <w:szCs w:val="24"/>
        </w:rPr>
        <w:t>might be</w:t>
      </w:r>
      <w:r w:rsidR="00BA4FB4" w:rsidRPr="009F0910">
        <w:rPr>
          <w:rFonts w:cstheme="minorHAnsi"/>
          <w:sz w:val="24"/>
          <w:szCs w:val="24"/>
        </w:rPr>
        <w:t xml:space="preserve"> </w:t>
      </w:r>
      <w:r w:rsidR="00F83042" w:rsidRPr="009F0910">
        <w:rPr>
          <w:rFonts w:cstheme="minorHAnsi"/>
          <w:sz w:val="24"/>
          <w:szCs w:val="24"/>
        </w:rPr>
        <w:t>for anyone else</w:t>
      </w:r>
      <w:r w:rsidR="002F4544" w:rsidRPr="009F0910">
        <w:rPr>
          <w:rFonts w:cstheme="minorHAnsi"/>
          <w:sz w:val="24"/>
          <w:szCs w:val="24"/>
        </w:rPr>
        <w:t xml:space="preserve"> (McCann 2000). </w:t>
      </w:r>
      <w:r w:rsidR="00DE7235" w:rsidRPr="009F0910">
        <w:rPr>
          <w:rFonts w:cstheme="minorHAnsi"/>
          <w:sz w:val="24"/>
          <w:szCs w:val="24"/>
        </w:rPr>
        <w:t xml:space="preserve">Thus, the </w:t>
      </w:r>
      <w:r w:rsidR="00183427" w:rsidRPr="009F0910">
        <w:rPr>
          <w:rFonts w:cstheme="minorHAnsi"/>
          <w:sz w:val="24"/>
          <w:szCs w:val="24"/>
        </w:rPr>
        <w:t>ward staff</w:t>
      </w:r>
      <w:r w:rsidR="00DE7235" w:rsidRPr="009F0910">
        <w:rPr>
          <w:rFonts w:cstheme="minorHAnsi"/>
          <w:sz w:val="24"/>
          <w:szCs w:val="24"/>
        </w:rPr>
        <w:t xml:space="preserve">’s prohibitive approach to sexual expression was </w:t>
      </w:r>
      <w:r w:rsidR="00245E0A" w:rsidRPr="009F0910">
        <w:rPr>
          <w:rFonts w:cstheme="minorHAnsi"/>
          <w:sz w:val="24"/>
          <w:szCs w:val="24"/>
        </w:rPr>
        <w:t xml:space="preserve">experienced by </w:t>
      </w:r>
      <w:r w:rsidR="000E39F5" w:rsidRPr="009F0910">
        <w:rPr>
          <w:rFonts w:cstheme="minorHAnsi"/>
          <w:iCs/>
          <w:sz w:val="24"/>
          <w:szCs w:val="24"/>
        </w:rPr>
        <w:t>in</w:t>
      </w:r>
      <w:r w:rsidR="00245E0A" w:rsidRPr="009F0910">
        <w:rPr>
          <w:rFonts w:cstheme="minorHAnsi"/>
          <w:iCs/>
          <w:sz w:val="24"/>
          <w:szCs w:val="24"/>
        </w:rPr>
        <w:t>patients a</w:t>
      </w:r>
      <w:r w:rsidR="00245E0A" w:rsidRPr="009F0910">
        <w:rPr>
          <w:rFonts w:cstheme="minorHAnsi"/>
          <w:sz w:val="24"/>
          <w:szCs w:val="24"/>
        </w:rPr>
        <w:t>s mis</w:t>
      </w:r>
      <w:r w:rsidR="007E245B" w:rsidRPr="009F0910">
        <w:rPr>
          <w:rFonts w:cstheme="minorHAnsi"/>
          <w:sz w:val="24"/>
          <w:szCs w:val="24"/>
        </w:rPr>
        <w:t>behaviour</w:t>
      </w:r>
      <w:r w:rsidR="00F90F65" w:rsidRPr="009F0910">
        <w:rPr>
          <w:rFonts w:cstheme="minorHAnsi"/>
          <w:sz w:val="24"/>
          <w:szCs w:val="24"/>
        </w:rPr>
        <w:t xml:space="preserve">, and they were infantilised, </w:t>
      </w:r>
      <w:r w:rsidR="00D7576C" w:rsidRPr="009F0910">
        <w:rPr>
          <w:rFonts w:cstheme="minorHAnsi"/>
          <w:sz w:val="24"/>
          <w:szCs w:val="24"/>
        </w:rPr>
        <w:t>unable to</w:t>
      </w:r>
      <w:r w:rsidR="00F90F65" w:rsidRPr="009F0910">
        <w:rPr>
          <w:rFonts w:cstheme="minorHAnsi"/>
          <w:sz w:val="24"/>
          <w:szCs w:val="24"/>
        </w:rPr>
        <w:t xml:space="preserve"> </w:t>
      </w:r>
      <w:r w:rsidR="00D7576C" w:rsidRPr="009F0910">
        <w:rPr>
          <w:rFonts w:cstheme="minorHAnsi"/>
          <w:sz w:val="24"/>
          <w:szCs w:val="24"/>
        </w:rPr>
        <w:t>make decisions surrounding their sexuality, and deemed incapable of doing so</w:t>
      </w:r>
      <w:r w:rsidR="00DE7235" w:rsidRPr="009F0910">
        <w:rPr>
          <w:rFonts w:cstheme="minorHAnsi"/>
          <w:sz w:val="24"/>
          <w:szCs w:val="24"/>
        </w:rPr>
        <w:t xml:space="preserve">. </w:t>
      </w:r>
      <w:r w:rsidR="00733753" w:rsidRPr="009F0910">
        <w:rPr>
          <w:rFonts w:cstheme="minorHAnsi"/>
          <w:sz w:val="24"/>
          <w:szCs w:val="24"/>
        </w:rPr>
        <w:t>Feeling</w:t>
      </w:r>
      <w:r w:rsidR="00B66952" w:rsidRPr="009F0910">
        <w:rPr>
          <w:rFonts w:cstheme="minorHAnsi"/>
          <w:sz w:val="24"/>
          <w:szCs w:val="24"/>
        </w:rPr>
        <w:t xml:space="preserve"> sexual </w:t>
      </w:r>
      <w:r w:rsidR="00245E0A" w:rsidRPr="009F0910">
        <w:rPr>
          <w:rFonts w:cstheme="minorHAnsi"/>
          <w:sz w:val="24"/>
          <w:szCs w:val="24"/>
        </w:rPr>
        <w:t xml:space="preserve">can be </w:t>
      </w:r>
      <w:r w:rsidR="00B66952" w:rsidRPr="009F0910">
        <w:rPr>
          <w:rFonts w:cstheme="minorHAnsi"/>
          <w:sz w:val="24"/>
          <w:szCs w:val="24"/>
        </w:rPr>
        <w:t>constructed as constitutive of feelings of vitality, wholeness, and contact with reality (</w:t>
      </w:r>
      <w:r w:rsidR="00F83042" w:rsidRPr="009F0910">
        <w:rPr>
          <w:rFonts w:cstheme="minorHAnsi"/>
          <w:sz w:val="24"/>
          <w:szCs w:val="24"/>
        </w:rPr>
        <w:t>Brown et al. 2014; Fuchs</w:t>
      </w:r>
      <w:r w:rsidR="004706A2" w:rsidRPr="009F0910">
        <w:rPr>
          <w:rFonts w:cstheme="minorHAnsi"/>
          <w:sz w:val="24"/>
          <w:szCs w:val="24"/>
        </w:rPr>
        <w:t xml:space="preserve"> 20</w:t>
      </w:r>
      <w:r w:rsidR="00E04FC6" w:rsidRPr="009F0910">
        <w:rPr>
          <w:rFonts w:cstheme="minorHAnsi"/>
          <w:sz w:val="24"/>
          <w:szCs w:val="24"/>
        </w:rPr>
        <w:t>13</w:t>
      </w:r>
      <w:r w:rsidR="00F83042" w:rsidRPr="009F0910">
        <w:rPr>
          <w:rFonts w:cstheme="minorHAnsi"/>
          <w:sz w:val="24"/>
          <w:szCs w:val="24"/>
        </w:rPr>
        <w:t xml:space="preserve">; </w:t>
      </w:r>
      <w:proofErr w:type="spellStart"/>
      <w:r w:rsidR="00C572AA" w:rsidRPr="009F0910">
        <w:rPr>
          <w:rFonts w:cstheme="minorHAnsi"/>
          <w:sz w:val="24"/>
          <w:szCs w:val="24"/>
        </w:rPr>
        <w:t>Tiwana</w:t>
      </w:r>
      <w:proofErr w:type="spellEnd"/>
      <w:r w:rsidR="00C572AA" w:rsidRPr="009F0910">
        <w:rPr>
          <w:rFonts w:cstheme="minorHAnsi"/>
          <w:sz w:val="24"/>
          <w:szCs w:val="24"/>
        </w:rPr>
        <w:t xml:space="preserve">, McDonald and </w:t>
      </w:r>
      <w:proofErr w:type="spellStart"/>
      <w:r w:rsidR="00C572AA" w:rsidRPr="009F0910">
        <w:rPr>
          <w:rFonts w:cstheme="minorHAnsi"/>
          <w:sz w:val="24"/>
          <w:szCs w:val="24"/>
        </w:rPr>
        <w:t>Völ</w:t>
      </w:r>
      <w:r w:rsidR="006C0670" w:rsidRPr="009F0910">
        <w:rPr>
          <w:rFonts w:cstheme="minorHAnsi"/>
          <w:sz w:val="24"/>
          <w:szCs w:val="24"/>
        </w:rPr>
        <w:t>l</w:t>
      </w:r>
      <w:r w:rsidR="00C572AA" w:rsidRPr="009F0910">
        <w:rPr>
          <w:rFonts w:cstheme="minorHAnsi"/>
          <w:sz w:val="24"/>
          <w:szCs w:val="24"/>
        </w:rPr>
        <w:t>m</w:t>
      </w:r>
      <w:proofErr w:type="spellEnd"/>
      <w:r w:rsidR="00C572AA" w:rsidRPr="009F0910">
        <w:rPr>
          <w:rFonts w:cstheme="minorHAnsi"/>
          <w:sz w:val="24"/>
          <w:szCs w:val="24"/>
        </w:rPr>
        <w:t xml:space="preserve"> </w:t>
      </w:r>
      <w:r w:rsidR="00183427" w:rsidRPr="009F0910">
        <w:rPr>
          <w:rFonts w:cstheme="minorHAnsi"/>
          <w:sz w:val="24"/>
          <w:szCs w:val="24"/>
        </w:rPr>
        <w:t>2016</w:t>
      </w:r>
      <w:r w:rsidR="004706A2" w:rsidRPr="009F0910">
        <w:rPr>
          <w:rFonts w:cstheme="minorHAnsi"/>
          <w:sz w:val="24"/>
          <w:szCs w:val="24"/>
        </w:rPr>
        <w:t>)</w:t>
      </w:r>
      <w:r w:rsidR="00B66952" w:rsidRPr="009F0910">
        <w:rPr>
          <w:rFonts w:cstheme="minorHAnsi"/>
          <w:sz w:val="24"/>
          <w:szCs w:val="24"/>
        </w:rPr>
        <w:t>.</w:t>
      </w:r>
      <w:r w:rsidR="00BA4FB4" w:rsidRPr="009F0910">
        <w:rPr>
          <w:rFonts w:cstheme="minorHAnsi"/>
          <w:sz w:val="24"/>
          <w:szCs w:val="24"/>
        </w:rPr>
        <w:t xml:space="preserve"> </w:t>
      </w:r>
      <w:r w:rsidR="00DD57C7" w:rsidRPr="009F0910">
        <w:rPr>
          <w:rFonts w:cstheme="minorHAnsi"/>
          <w:sz w:val="24"/>
          <w:szCs w:val="24"/>
        </w:rPr>
        <w:t xml:space="preserve">It has been documented previously that living a meaningful life, which </w:t>
      </w:r>
      <w:r w:rsidR="00695397" w:rsidRPr="009F0910">
        <w:rPr>
          <w:rFonts w:cstheme="minorHAnsi"/>
          <w:sz w:val="24"/>
          <w:szCs w:val="24"/>
        </w:rPr>
        <w:t>may</w:t>
      </w:r>
      <w:r w:rsidR="00DD57C7" w:rsidRPr="009F0910">
        <w:rPr>
          <w:rFonts w:cstheme="minorHAnsi"/>
          <w:sz w:val="24"/>
          <w:szCs w:val="24"/>
        </w:rPr>
        <w:t xml:space="preserve"> include positive experiences of sexual and intimate relationships, is associated with mental wellbeing (</w:t>
      </w:r>
      <w:proofErr w:type="spellStart"/>
      <w:r w:rsidR="00DD57C7" w:rsidRPr="009F0910">
        <w:rPr>
          <w:rFonts w:cstheme="minorHAnsi"/>
          <w:sz w:val="24"/>
          <w:szCs w:val="24"/>
        </w:rPr>
        <w:t>Kawachi</w:t>
      </w:r>
      <w:proofErr w:type="spellEnd"/>
      <w:r w:rsidR="00DD57C7" w:rsidRPr="009F0910">
        <w:rPr>
          <w:rFonts w:cstheme="minorHAnsi"/>
          <w:sz w:val="24"/>
          <w:szCs w:val="24"/>
        </w:rPr>
        <w:t xml:space="preserve"> </w:t>
      </w:r>
      <w:r w:rsidR="00A61FF4" w:rsidRPr="009F0910">
        <w:rPr>
          <w:rFonts w:cstheme="minorHAnsi"/>
          <w:sz w:val="24"/>
          <w:szCs w:val="24"/>
        </w:rPr>
        <w:t>and</w:t>
      </w:r>
      <w:r w:rsidR="00F83042" w:rsidRPr="009F0910">
        <w:rPr>
          <w:rFonts w:cstheme="minorHAnsi"/>
          <w:sz w:val="24"/>
          <w:szCs w:val="24"/>
        </w:rPr>
        <w:t xml:space="preserve"> Berkman</w:t>
      </w:r>
      <w:r w:rsidR="00DD57C7" w:rsidRPr="009F0910">
        <w:rPr>
          <w:rFonts w:cstheme="minorHAnsi"/>
          <w:sz w:val="24"/>
          <w:szCs w:val="24"/>
        </w:rPr>
        <w:t xml:space="preserve"> 2001; </w:t>
      </w:r>
      <w:r w:rsidR="00F83042" w:rsidRPr="009F0910">
        <w:rPr>
          <w:rFonts w:cstheme="minorHAnsi"/>
          <w:sz w:val="24"/>
          <w:szCs w:val="24"/>
        </w:rPr>
        <w:t>Pitt et al.</w:t>
      </w:r>
      <w:r w:rsidR="00172647" w:rsidRPr="009F0910">
        <w:rPr>
          <w:rFonts w:cstheme="minorHAnsi"/>
          <w:sz w:val="24"/>
          <w:szCs w:val="24"/>
        </w:rPr>
        <w:t xml:space="preserve"> 2007)</w:t>
      </w:r>
      <w:r w:rsidR="008C2DCF" w:rsidRPr="009F0910">
        <w:rPr>
          <w:rFonts w:cstheme="minorHAnsi"/>
          <w:sz w:val="24"/>
          <w:szCs w:val="24"/>
        </w:rPr>
        <w:t xml:space="preserve">. Future research may adopt experiential methodological approaches to examine more closely how sexuality is related to feelings of vitality among people who reside within secure mental healthcare </w:t>
      </w:r>
      <w:r w:rsidR="00B016F3" w:rsidRPr="009F0910">
        <w:rPr>
          <w:rFonts w:cstheme="minorHAnsi"/>
          <w:sz w:val="24"/>
          <w:szCs w:val="24"/>
        </w:rPr>
        <w:t>facilities</w:t>
      </w:r>
      <w:r w:rsidR="008C2DCF" w:rsidRPr="009F0910">
        <w:rPr>
          <w:rFonts w:cstheme="minorHAnsi"/>
          <w:sz w:val="24"/>
          <w:szCs w:val="24"/>
        </w:rPr>
        <w:t xml:space="preserve">. </w:t>
      </w:r>
    </w:p>
    <w:p w14:paraId="15166422" w14:textId="32EE1514" w:rsidR="00183427" w:rsidRPr="009F0910" w:rsidRDefault="009B4924" w:rsidP="009F0910">
      <w:pPr>
        <w:spacing w:after="0" w:line="360" w:lineRule="auto"/>
        <w:ind w:firstLine="720"/>
        <w:contextualSpacing/>
        <w:jc w:val="both"/>
        <w:rPr>
          <w:rFonts w:cstheme="minorHAnsi"/>
          <w:sz w:val="24"/>
          <w:szCs w:val="24"/>
        </w:rPr>
      </w:pPr>
      <w:r w:rsidRPr="009F0910">
        <w:rPr>
          <w:rFonts w:cstheme="minorHAnsi"/>
          <w:sz w:val="24"/>
          <w:szCs w:val="24"/>
        </w:rPr>
        <w:t xml:space="preserve">In order to escape the confines of the risk </w:t>
      </w:r>
      <w:r w:rsidR="000E39F5" w:rsidRPr="009F0910">
        <w:rPr>
          <w:rFonts w:cstheme="minorHAnsi"/>
          <w:sz w:val="24"/>
          <w:szCs w:val="24"/>
        </w:rPr>
        <w:t xml:space="preserve">and </w:t>
      </w:r>
      <w:r w:rsidRPr="009F0910">
        <w:rPr>
          <w:rFonts w:cstheme="minorHAnsi"/>
          <w:sz w:val="24"/>
          <w:szCs w:val="24"/>
        </w:rPr>
        <w:t>vulnerability discourse, ma</w:t>
      </w:r>
      <w:r w:rsidR="008E0948" w:rsidRPr="009F0910">
        <w:rPr>
          <w:rFonts w:cstheme="minorHAnsi"/>
          <w:sz w:val="24"/>
          <w:szCs w:val="24"/>
        </w:rPr>
        <w:t xml:space="preserve">ny inpatients </w:t>
      </w:r>
      <w:r w:rsidRPr="009F0910">
        <w:rPr>
          <w:rFonts w:cstheme="minorHAnsi"/>
          <w:sz w:val="24"/>
          <w:szCs w:val="24"/>
        </w:rPr>
        <w:t>in this study emphasi</w:t>
      </w:r>
      <w:r w:rsidR="007E245B" w:rsidRPr="009F0910">
        <w:rPr>
          <w:rFonts w:cstheme="minorHAnsi"/>
          <w:sz w:val="24"/>
          <w:szCs w:val="24"/>
        </w:rPr>
        <w:t>s</w:t>
      </w:r>
      <w:r w:rsidRPr="009F0910">
        <w:rPr>
          <w:rFonts w:cstheme="minorHAnsi"/>
          <w:sz w:val="24"/>
          <w:szCs w:val="24"/>
        </w:rPr>
        <w:t xml:space="preserve">ed </w:t>
      </w:r>
      <w:r w:rsidR="00EF6715" w:rsidRPr="009F0910">
        <w:rPr>
          <w:rFonts w:cstheme="minorHAnsi"/>
          <w:sz w:val="24"/>
          <w:szCs w:val="24"/>
        </w:rPr>
        <w:t xml:space="preserve">what they saw as </w:t>
      </w:r>
      <w:r w:rsidRPr="009F0910">
        <w:rPr>
          <w:rFonts w:cstheme="minorHAnsi"/>
          <w:sz w:val="24"/>
          <w:szCs w:val="24"/>
        </w:rPr>
        <w:t xml:space="preserve">their </w:t>
      </w:r>
      <w:r w:rsidR="008E0948" w:rsidRPr="009F0910">
        <w:rPr>
          <w:rFonts w:cstheme="minorHAnsi"/>
          <w:sz w:val="24"/>
          <w:szCs w:val="24"/>
        </w:rPr>
        <w:t>human right to feel sexual and to explore their sexual desires</w:t>
      </w:r>
      <w:r w:rsidR="00EF6715" w:rsidRPr="009F0910">
        <w:rPr>
          <w:rFonts w:cstheme="minorHAnsi"/>
          <w:sz w:val="24"/>
          <w:szCs w:val="24"/>
        </w:rPr>
        <w:t>, as adults who had the capacity to make decisions</w:t>
      </w:r>
      <w:r w:rsidR="00F83042" w:rsidRPr="009F0910">
        <w:rPr>
          <w:rFonts w:cstheme="minorHAnsi"/>
          <w:sz w:val="24"/>
          <w:szCs w:val="24"/>
        </w:rPr>
        <w:t xml:space="preserve"> (</w:t>
      </w:r>
      <w:proofErr w:type="spellStart"/>
      <w:r w:rsidR="00F83042" w:rsidRPr="009F0910">
        <w:rPr>
          <w:rFonts w:cstheme="minorHAnsi"/>
          <w:sz w:val="24"/>
          <w:szCs w:val="24"/>
        </w:rPr>
        <w:t>Dein</w:t>
      </w:r>
      <w:proofErr w:type="spellEnd"/>
      <w:r w:rsidR="00F83042" w:rsidRPr="009F0910">
        <w:rPr>
          <w:rFonts w:cstheme="minorHAnsi"/>
          <w:sz w:val="24"/>
          <w:szCs w:val="24"/>
        </w:rPr>
        <w:t xml:space="preserve"> et al.</w:t>
      </w:r>
      <w:r w:rsidR="008E0948" w:rsidRPr="009F0910">
        <w:rPr>
          <w:rFonts w:cstheme="minorHAnsi"/>
          <w:sz w:val="24"/>
          <w:szCs w:val="24"/>
        </w:rPr>
        <w:t xml:space="preserve"> 2</w:t>
      </w:r>
      <w:r w:rsidR="00111BA9" w:rsidRPr="009F0910">
        <w:rPr>
          <w:rFonts w:cstheme="minorHAnsi"/>
          <w:sz w:val="24"/>
          <w:szCs w:val="24"/>
        </w:rPr>
        <w:t>016</w:t>
      </w:r>
      <w:r w:rsidR="008E0948" w:rsidRPr="009F0910">
        <w:rPr>
          <w:rFonts w:cstheme="minorHAnsi"/>
          <w:sz w:val="24"/>
          <w:szCs w:val="24"/>
        </w:rPr>
        <w:t>). Although some staff positioned inpatie</w:t>
      </w:r>
      <w:r w:rsidR="00C9742B" w:rsidRPr="009F0910">
        <w:rPr>
          <w:rFonts w:cstheme="minorHAnsi"/>
          <w:sz w:val="24"/>
          <w:szCs w:val="24"/>
        </w:rPr>
        <w:t xml:space="preserve">nts similarly, others </w:t>
      </w:r>
      <w:r w:rsidR="000E39F5" w:rsidRPr="009F0910">
        <w:rPr>
          <w:rFonts w:cstheme="minorHAnsi"/>
          <w:sz w:val="24"/>
          <w:szCs w:val="24"/>
        </w:rPr>
        <w:t>drew</w:t>
      </w:r>
      <w:r w:rsidR="008E0948" w:rsidRPr="009F0910">
        <w:rPr>
          <w:rFonts w:cstheme="minorHAnsi"/>
          <w:sz w:val="24"/>
          <w:szCs w:val="24"/>
        </w:rPr>
        <w:t xml:space="preserve"> on </w:t>
      </w:r>
      <w:r w:rsidR="007E245B" w:rsidRPr="009F0910">
        <w:rPr>
          <w:rFonts w:cstheme="minorHAnsi"/>
          <w:sz w:val="24"/>
          <w:szCs w:val="24"/>
        </w:rPr>
        <w:t>the risk discourse to rationalis</w:t>
      </w:r>
      <w:r w:rsidR="008E0948" w:rsidRPr="009F0910">
        <w:rPr>
          <w:rFonts w:cstheme="minorHAnsi"/>
          <w:sz w:val="24"/>
          <w:szCs w:val="24"/>
        </w:rPr>
        <w:t>e their beliefs that inpatient sexuality had no place on the wards of a secure</w:t>
      </w:r>
      <w:r w:rsidR="00B016F3" w:rsidRPr="009F0910">
        <w:rPr>
          <w:rFonts w:cstheme="minorHAnsi"/>
          <w:sz w:val="24"/>
          <w:szCs w:val="24"/>
        </w:rPr>
        <w:t xml:space="preserve"> mental healthcare</w:t>
      </w:r>
      <w:r w:rsidR="008E0948" w:rsidRPr="009F0910">
        <w:rPr>
          <w:rFonts w:cstheme="minorHAnsi"/>
          <w:sz w:val="24"/>
          <w:szCs w:val="24"/>
        </w:rPr>
        <w:t xml:space="preserve"> </w:t>
      </w:r>
      <w:r w:rsidR="00B016F3" w:rsidRPr="009F0910">
        <w:rPr>
          <w:rFonts w:cstheme="minorHAnsi"/>
          <w:sz w:val="24"/>
          <w:szCs w:val="24"/>
        </w:rPr>
        <w:t>facility</w:t>
      </w:r>
      <w:r w:rsidR="008E0948" w:rsidRPr="009F0910">
        <w:rPr>
          <w:rFonts w:cstheme="minorHAnsi"/>
          <w:sz w:val="24"/>
          <w:szCs w:val="24"/>
        </w:rPr>
        <w:t xml:space="preserve">. </w:t>
      </w:r>
      <w:r w:rsidR="0035183F" w:rsidRPr="009F0910">
        <w:rPr>
          <w:rFonts w:cstheme="minorHAnsi"/>
          <w:sz w:val="24"/>
          <w:szCs w:val="24"/>
        </w:rPr>
        <w:t>Even those staff who constructed sexuality as human</w:t>
      </w:r>
      <w:r w:rsidR="00695397" w:rsidRPr="009F0910">
        <w:rPr>
          <w:rFonts w:cstheme="minorHAnsi"/>
          <w:sz w:val="24"/>
          <w:szCs w:val="24"/>
        </w:rPr>
        <w:t>,</w:t>
      </w:r>
      <w:r w:rsidR="0035183F" w:rsidRPr="009F0910">
        <w:rPr>
          <w:rFonts w:cstheme="minorHAnsi"/>
          <w:sz w:val="24"/>
          <w:szCs w:val="24"/>
        </w:rPr>
        <w:t xml:space="preserve"> and a human right</w:t>
      </w:r>
      <w:r w:rsidR="00BB17CB" w:rsidRPr="009F0910">
        <w:rPr>
          <w:rFonts w:cstheme="minorHAnsi"/>
          <w:sz w:val="24"/>
          <w:szCs w:val="24"/>
        </w:rPr>
        <w:t xml:space="preserve">, </w:t>
      </w:r>
      <w:r w:rsidR="000E39F5" w:rsidRPr="009F0910">
        <w:rPr>
          <w:rFonts w:cstheme="minorHAnsi"/>
          <w:sz w:val="24"/>
          <w:szCs w:val="24"/>
        </w:rPr>
        <w:t>used this discourse</w:t>
      </w:r>
      <w:r w:rsidR="007E245B" w:rsidRPr="009F0910">
        <w:rPr>
          <w:rFonts w:cstheme="minorHAnsi"/>
          <w:sz w:val="24"/>
          <w:szCs w:val="24"/>
        </w:rPr>
        <w:t xml:space="preserve"> to emphasis</w:t>
      </w:r>
      <w:r w:rsidR="00BB17CB" w:rsidRPr="009F0910">
        <w:rPr>
          <w:rFonts w:cstheme="minorHAnsi"/>
          <w:sz w:val="24"/>
          <w:szCs w:val="24"/>
        </w:rPr>
        <w:t>e their positions of responsibility</w:t>
      </w:r>
      <w:r w:rsidR="0035183F" w:rsidRPr="009F0910">
        <w:rPr>
          <w:rFonts w:cstheme="minorHAnsi"/>
          <w:sz w:val="24"/>
          <w:szCs w:val="24"/>
        </w:rPr>
        <w:t xml:space="preserve"> for the wellbeing of the naïve and vulnerable</w:t>
      </w:r>
      <w:r w:rsidR="006F3EEF" w:rsidRPr="009F0910">
        <w:rPr>
          <w:rFonts w:cstheme="minorHAnsi"/>
          <w:sz w:val="24"/>
          <w:szCs w:val="24"/>
        </w:rPr>
        <w:t xml:space="preserve">, </w:t>
      </w:r>
      <w:r w:rsidR="00BB17CB" w:rsidRPr="009F0910">
        <w:rPr>
          <w:rFonts w:cstheme="minorHAnsi"/>
          <w:sz w:val="24"/>
          <w:szCs w:val="24"/>
        </w:rPr>
        <w:t xml:space="preserve">those </w:t>
      </w:r>
      <w:r w:rsidR="006F3EEF" w:rsidRPr="009F0910">
        <w:rPr>
          <w:rFonts w:cstheme="minorHAnsi"/>
          <w:sz w:val="24"/>
          <w:szCs w:val="24"/>
        </w:rPr>
        <w:t>for whom sexual expression was not viable</w:t>
      </w:r>
      <w:r w:rsidR="0035183F" w:rsidRPr="009F0910">
        <w:rPr>
          <w:rFonts w:cstheme="minorHAnsi"/>
          <w:sz w:val="24"/>
          <w:szCs w:val="24"/>
        </w:rPr>
        <w:t>.</w:t>
      </w:r>
      <w:r w:rsidR="006F3EEF" w:rsidRPr="009F0910">
        <w:rPr>
          <w:rFonts w:cstheme="minorHAnsi"/>
          <w:sz w:val="24"/>
          <w:szCs w:val="24"/>
        </w:rPr>
        <w:t xml:space="preserve"> Thus, the </w:t>
      </w:r>
      <w:r w:rsidR="00046C3A" w:rsidRPr="009F0910">
        <w:rPr>
          <w:rFonts w:cstheme="minorHAnsi"/>
          <w:sz w:val="24"/>
          <w:szCs w:val="24"/>
        </w:rPr>
        <w:t xml:space="preserve">risk discourse </w:t>
      </w:r>
      <w:r w:rsidR="006F3EEF" w:rsidRPr="009F0910">
        <w:rPr>
          <w:rFonts w:cstheme="minorHAnsi"/>
          <w:sz w:val="24"/>
          <w:szCs w:val="24"/>
        </w:rPr>
        <w:t>was used to</w:t>
      </w:r>
      <w:r w:rsidR="00046C3A" w:rsidRPr="009F0910">
        <w:rPr>
          <w:rFonts w:cstheme="minorHAnsi"/>
          <w:sz w:val="24"/>
          <w:szCs w:val="24"/>
        </w:rPr>
        <w:t xml:space="preserve"> perpetuate and </w:t>
      </w:r>
      <w:r w:rsidR="007E245B" w:rsidRPr="009F0910">
        <w:rPr>
          <w:rFonts w:cstheme="minorHAnsi"/>
          <w:sz w:val="24"/>
          <w:szCs w:val="24"/>
        </w:rPr>
        <w:t>legitimise</w:t>
      </w:r>
      <w:r w:rsidR="00046C3A" w:rsidRPr="009F0910">
        <w:rPr>
          <w:rFonts w:cstheme="minorHAnsi"/>
          <w:sz w:val="24"/>
          <w:szCs w:val="24"/>
        </w:rPr>
        <w:t xml:space="preserve"> </w:t>
      </w:r>
      <w:r w:rsidR="008E0948" w:rsidRPr="009F0910">
        <w:rPr>
          <w:rFonts w:cstheme="minorHAnsi"/>
          <w:sz w:val="24"/>
          <w:szCs w:val="24"/>
        </w:rPr>
        <w:t xml:space="preserve">the </w:t>
      </w:r>
      <w:r w:rsidR="00711DFF" w:rsidRPr="009F0910">
        <w:rPr>
          <w:rFonts w:cstheme="minorHAnsi"/>
          <w:sz w:val="24"/>
          <w:szCs w:val="24"/>
        </w:rPr>
        <w:t xml:space="preserve">staff’s </w:t>
      </w:r>
      <w:r w:rsidR="008E0948" w:rsidRPr="009F0910">
        <w:rPr>
          <w:rFonts w:cstheme="minorHAnsi"/>
          <w:sz w:val="24"/>
          <w:szCs w:val="24"/>
        </w:rPr>
        <w:t>power to prohib</w:t>
      </w:r>
      <w:r w:rsidR="00711DFF" w:rsidRPr="009F0910">
        <w:rPr>
          <w:rFonts w:cstheme="minorHAnsi"/>
          <w:sz w:val="24"/>
          <w:szCs w:val="24"/>
        </w:rPr>
        <w:t xml:space="preserve">it, or </w:t>
      </w:r>
      <w:r w:rsidR="00277D39" w:rsidRPr="009F0910">
        <w:rPr>
          <w:rFonts w:cstheme="minorHAnsi"/>
          <w:sz w:val="24"/>
          <w:szCs w:val="24"/>
        </w:rPr>
        <w:t xml:space="preserve">at least </w:t>
      </w:r>
      <w:r w:rsidR="00711DFF" w:rsidRPr="009F0910">
        <w:rPr>
          <w:rFonts w:cstheme="minorHAnsi"/>
          <w:sz w:val="24"/>
          <w:szCs w:val="24"/>
        </w:rPr>
        <w:t>obstruct, the inpatients’</w:t>
      </w:r>
      <w:r w:rsidR="00F26EE9" w:rsidRPr="009F0910">
        <w:rPr>
          <w:rFonts w:cstheme="minorHAnsi"/>
          <w:sz w:val="24"/>
          <w:szCs w:val="24"/>
        </w:rPr>
        <w:t xml:space="preserve"> “right” to</w:t>
      </w:r>
      <w:r w:rsidR="00F83042" w:rsidRPr="009F0910">
        <w:rPr>
          <w:rFonts w:cstheme="minorHAnsi"/>
          <w:sz w:val="24"/>
          <w:szCs w:val="24"/>
        </w:rPr>
        <w:t xml:space="preserve"> sexual expression (Foucault</w:t>
      </w:r>
      <w:r w:rsidR="00711DFF" w:rsidRPr="009F0910">
        <w:rPr>
          <w:rFonts w:cstheme="minorHAnsi"/>
          <w:sz w:val="24"/>
          <w:szCs w:val="24"/>
        </w:rPr>
        <w:t xml:space="preserve"> 1987; </w:t>
      </w:r>
      <w:proofErr w:type="spellStart"/>
      <w:r w:rsidR="00711DFF" w:rsidRPr="009F0910">
        <w:rPr>
          <w:rFonts w:cstheme="minorHAnsi"/>
          <w:sz w:val="24"/>
          <w:szCs w:val="24"/>
        </w:rPr>
        <w:t>Willig</w:t>
      </w:r>
      <w:proofErr w:type="spellEnd"/>
      <w:r w:rsidR="00711DFF" w:rsidRPr="009F0910">
        <w:rPr>
          <w:rFonts w:cstheme="minorHAnsi"/>
          <w:sz w:val="24"/>
          <w:szCs w:val="24"/>
        </w:rPr>
        <w:t xml:space="preserve"> 2013). </w:t>
      </w:r>
    </w:p>
    <w:p w14:paraId="6E2E005D" w14:textId="7605A0FB" w:rsidR="00E418C4" w:rsidRPr="009F0910" w:rsidRDefault="003C14A2" w:rsidP="009F0910">
      <w:pPr>
        <w:spacing w:after="0" w:line="360" w:lineRule="auto"/>
        <w:ind w:firstLine="720"/>
        <w:contextualSpacing/>
        <w:jc w:val="both"/>
        <w:rPr>
          <w:rFonts w:cstheme="minorHAnsi"/>
          <w:sz w:val="24"/>
          <w:szCs w:val="24"/>
        </w:rPr>
      </w:pPr>
      <w:r w:rsidRPr="009F0910">
        <w:rPr>
          <w:rFonts w:cstheme="minorHAnsi"/>
          <w:sz w:val="24"/>
          <w:szCs w:val="24"/>
        </w:rPr>
        <w:t xml:space="preserve">The nature of the offences committed by some of the inpatients interviewed for this study was not recorded. </w:t>
      </w:r>
      <w:r w:rsidR="00494729" w:rsidRPr="009F0910">
        <w:rPr>
          <w:rFonts w:cstheme="minorHAnsi"/>
          <w:sz w:val="24"/>
          <w:szCs w:val="24"/>
        </w:rPr>
        <w:t>Clinicians at the mental healthcare facility discouraged inpatients</w:t>
      </w:r>
      <w:r w:rsidRPr="009F0910">
        <w:rPr>
          <w:rFonts w:cstheme="minorHAnsi"/>
          <w:sz w:val="24"/>
          <w:szCs w:val="24"/>
        </w:rPr>
        <w:t xml:space="preserve"> </w:t>
      </w:r>
      <w:r w:rsidRPr="009F0910">
        <w:rPr>
          <w:rFonts w:cstheme="minorHAnsi"/>
          <w:sz w:val="24"/>
          <w:szCs w:val="24"/>
        </w:rPr>
        <w:lastRenderedPageBreak/>
        <w:t xml:space="preserve">from </w:t>
      </w:r>
      <w:r w:rsidR="00494729" w:rsidRPr="009F0910">
        <w:rPr>
          <w:rFonts w:cstheme="minorHAnsi"/>
          <w:sz w:val="24"/>
          <w:szCs w:val="24"/>
        </w:rPr>
        <w:t xml:space="preserve">dwelling on </w:t>
      </w:r>
      <w:r w:rsidR="00640C97" w:rsidRPr="009F0910">
        <w:rPr>
          <w:rFonts w:cstheme="minorHAnsi"/>
          <w:sz w:val="24"/>
          <w:szCs w:val="24"/>
        </w:rPr>
        <w:t xml:space="preserve">or </w:t>
      </w:r>
      <w:r w:rsidR="00494729" w:rsidRPr="009F0910">
        <w:rPr>
          <w:rFonts w:cstheme="minorHAnsi"/>
          <w:sz w:val="24"/>
          <w:szCs w:val="24"/>
        </w:rPr>
        <w:t>discussing</w:t>
      </w:r>
      <w:r w:rsidRPr="009F0910">
        <w:rPr>
          <w:rFonts w:cstheme="minorHAnsi"/>
          <w:sz w:val="24"/>
          <w:szCs w:val="24"/>
        </w:rPr>
        <w:t xml:space="preserve"> </w:t>
      </w:r>
      <w:r w:rsidR="00494729" w:rsidRPr="009F0910">
        <w:rPr>
          <w:rFonts w:cstheme="minorHAnsi"/>
          <w:sz w:val="24"/>
          <w:szCs w:val="24"/>
        </w:rPr>
        <w:t xml:space="preserve">their offending histories as part of their pathway to recovery. It is acknowledged that some inpatients may have had histories of sexual offending, contributing to the reluctance of the staff to endorse any sexual expression (Ruane and Hayter 2008). </w:t>
      </w:r>
      <w:r w:rsidR="00046EED" w:rsidRPr="009F0910">
        <w:rPr>
          <w:rFonts w:cstheme="minorHAnsi"/>
          <w:sz w:val="24"/>
          <w:szCs w:val="24"/>
        </w:rPr>
        <w:t>Staff may have to obstruct sexual activity by those who have committed sexual offences, if they believe it to be harmful (Royal College of Psychiatrists 2017); but</w:t>
      </w:r>
      <w:r w:rsidR="00B67404" w:rsidRPr="009F0910">
        <w:rPr>
          <w:rFonts w:cstheme="minorHAnsi"/>
          <w:sz w:val="24"/>
          <w:szCs w:val="24"/>
        </w:rPr>
        <w:t xml:space="preserve"> </w:t>
      </w:r>
      <w:r w:rsidR="00046EED" w:rsidRPr="009F0910">
        <w:rPr>
          <w:rFonts w:cstheme="minorHAnsi"/>
          <w:sz w:val="24"/>
          <w:szCs w:val="24"/>
        </w:rPr>
        <w:t xml:space="preserve">it is suggested that an approach that recodes all sexual expression </w:t>
      </w:r>
      <w:r w:rsidR="00B67404" w:rsidRPr="009F0910">
        <w:rPr>
          <w:rFonts w:cstheme="minorHAnsi"/>
          <w:sz w:val="24"/>
          <w:szCs w:val="24"/>
        </w:rPr>
        <w:t>as</w:t>
      </w:r>
      <w:r w:rsidR="00046EED" w:rsidRPr="009F0910">
        <w:rPr>
          <w:rFonts w:cstheme="minorHAnsi"/>
          <w:sz w:val="24"/>
          <w:szCs w:val="24"/>
        </w:rPr>
        <w:t xml:space="preserve"> misbehaviour </w:t>
      </w:r>
      <w:r w:rsidR="00B67404" w:rsidRPr="009F0910">
        <w:rPr>
          <w:rFonts w:cstheme="minorHAnsi"/>
          <w:sz w:val="24"/>
          <w:szCs w:val="24"/>
        </w:rPr>
        <w:t>might</w:t>
      </w:r>
      <w:r w:rsidR="00046EED" w:rsidRPr="009F0910">
        <w:rPr>
          <w:rFonts w:cstheme="minorHAnsi"/>
          <w:sz w:val="24"/>
          <w:szCs w:val="24"/>
        </w:rPr>
        <w:t xml:space="preserve"> itself </w:t>
      </w:r>
      <w:r w:rsidR="00B67404" w:rsidRPr="009F0910">
        <w:rPr>
          <w:rFonts w:cstheme="minorHAnsi"/>
          <w:sz w:val="24"/>
          <w:szCs w:val="24"/>
        </w:rPr>
        <w:t xml:space="preserve">be </w:t>
      </w:r>
      <w:r w:rsidR="00046EED" w:rsidRPr="009F0910">
        <w:rPr>
          <w:rFonts w:cstheme="minorHAnsi"/>
          <w:sz w:val="24"/>
          <w:szCs w:val="24"/>
        </w:rPr>
        <w:t>harmful</w:t>
      </w:r>
      <w:r w:rsidR="00B67404" w:rsidRPr="009F0910">
        <w:rPr>
          <w:rFonts w:cstheme="minorHAnsi"/>
          <w:sz w:val="24"/>
          <w:szCs w:val="24"/>
        </w:rPr>
        <w:t xml:space="preserve">, since it may drive </w:t>
      </w:r>
      <w:r w:rsidR="00640C97" w:rsidRPr="009F0910">
        <w:rPr>
          <w:rFonts w:cstheme="minorHAnsi"/>
          <w:sz w:val="24"/>
          <w:szCs w:val="24"/>
        </w:rPr>
        <w:t>sexual contact</w:t>
      </w:r>
      <w:r w:rsidR="00B67404" w:rsidRPr="009F0910">
        <w:rPr>
          <w:rFonts w:cstheme="minorHAnsi"/>
          <w:sz w:val="24"/>
          <w:szCs w:val="24"/>
        </w:rPr>
        <w:t xml:space="preserve"> underground</w:t>
      </w:r>
      <w:r w:rsidR="00D45BC2">
        <w:rPr>
          <w:rFonts w:cstheme="minorHAnsi"/>
          <w:sz w:val="24"/>
          <w:szCs w:val="24"/>
        </w:rPr>
        <w:t>,</w:t>
      </w:r>
      <w:r w:rsidR="00695397" w:rsidRPr="009F0910">
        <w:rPr>
          <w:rFonts w:cstheme="minorHAnsi"/>
          <w:sz w:val="24"/>
          <w:szCs w:val="24"/>
        </w:rPr>
        <w:t xml:space="preserve"> with</w:t>
      </w:r>
      <w:r w:rsidR="00B67404" w:rsidRPr="009F0910">
        <w:rPr>
          <w:rFonts w:cstheme="minorHAnsi"/>
          <w:sz w:val="24"/>
          <w:szCs w:val="24"/>
        </w:rPr>
        <w:t xml:space="preserve"> long-term implications for inpatients’ future relationships (Brown et al. 2014). </w:t>
      </w:r>
    </w:p>
    <w:p w14:paraId="09DBD31E" w14:textId="119B4CCA" w:rsidR="00B02C5F" w:rsidRPr="009F0910" w:rsidRDefault="00523E5C" w:rsidP="009F0910">
      <w:pPr>
        <w:spacing w:after="0" w:line="360" w:lineRule="auto"/>
        <w:ind w:firstLine="720"/>
        <w:contextualSpacing/>
        <w:jc w:val="both"/>
        <w:rPr>
          <w:rFonts w:cstheme="minorHAnsi"/>
          <w:sz w:val="24"/>
          <w:szCs w:val="24"/>
        </w:rPr>
      </w:pPr>
      <w:r w:rsidRPr="009F0910">
        <w:rPr>
          <w:rFonts w:cstheme="minorHAnsi"/>
          <w:sz w:val="24"/>
          <w:szCs w:val="24"/>
        </w:rPr>
        <w:t>Recovery and reintegration for inpatients may be the ultimate goal</w:t>
      </w:r>
      <w:r w:rsidR="00A74468" w:rsidRPr="009F0910">
        <w:rPr>
          <w:rFonts w:cstheme="minorHAnsi"/>
          <w:sz w:val="24"/>
          <w:szCs w:val="24"/>
        </w:rPr>
        <w:t xml:space="preserve"> of </w:t>
      </w:r>
      <w:r w:rsidR="00B016F3" w:rsidRPr="009F0910">
        <w:rPr>
          <w:rFonts w:cstheme="minorHAnsi"/>
          <w:sz w:val="24"/>
          <w:szCs w:val="24"/>
        </w:rPr>
        <w:t xml:space="preserve">secure </w:t>
      </w:r>
      <w:r w:rsidR="00A74468" w:rsidRPr="009F0910">
        <w:rPr>
          <w:rFonts w:cstheme="minorHAnsi"/>
          <w:sz w:val="24"/>
          <w:szCs w:val="24"/>
        </w:rPr>
        <w:t>mental healthcare services</w:t>
      </w:r>
      <w:r w:rsidRPr="009F0910">
        <w:rPr>
          <w:rFonts w:cstheme="minorHAnsi"/>
          <w:sz w:val="24"/>
          <w:szCs w:val="24"/>
        </w:rPr>
        <w:t>, but there may be uncertainty as to how sexuality can be accommodated in these spaces where many other aspects of “real life” are suspended. In the present study,</w:t>
      </w:r>
      <w:r w:rsidR="00D8568E" w:rsidRPr="009F0910">
        <w:rPr>
          <w:rFonts w:cstheme="minorHAnsi"/>
          <w:sz w:val="24"/>
          <w:szCs w:val="24"/>
        </w:rPr>
        <w:t xml:space="preserve"> staff were positioned in uncertain roles, not clear as to how sexuality, risk, and the pursuit of inpatient recovery could be reconciled, and </w:t>
      </w:r>
      <w:r w:rsidR="00425D46" w:rsidRPr="009F0910">
        <w:rPr>
          <w:rFonts w:cstheme="minorHAnsi"/>
          <w:sz w:val="24"/>
          <w:szCs w:val="24"/>
        </w:rPr>
        <w:t>engaged in</w:t>
      </w:r>
      <w:r w:rsidR="00A314F7" w:rsidRPr="009F0910">
        <w:rPr>
          <w:rFonts w:cstheme="minorHAnsi"/>
          <w:sz w:val="24"/>
          <w:szCs w:val="24"/>
        </w:rPr>
        <w:t xml:space="preserve"> ongoing </w:t>
      </w:r>
      <w:r w:rsidR="00425D46" w:rsidRPr="009F0910">
        <w:rPr>
          <w:rFonts w:cstheme="minorHAnsi"/>
          <w:sz w:val="24"/>
          <w:szCs w:val="24"/>
        </w:rPr>
        <w:t>internal negotiation</w:t>
      </w:r>
      <w:r w:rsidR="00A314F7" w:rsidRPr="009F0910">
        <w:rPr>
          <w:rFonts w:cstheme="minorHAnsi"/>
          <w:sz w:val="24"/>
          <w:szCs w:val="24"/>
        </w:rPr>
        <w:t xml:space="preserve"> as to</w:t>
      </w:r>
      <w:r w:rsidR="00425D46" w:rsidRPr="009F0910">
        <w:rPr>
          <w:rFonts w:cstheme="minorHAnsi"/>
          <w:sz w:val="24"/>
          <w:szCs w:val="24"/>
        </w:rPr>
        <w:t xml:space="preserve"> how to enact best practice. </w:t>
      </w:r>
      <w:r w:rsidR="00B02C5F" w:rsidRPr="009F0910">
        <w:rPr>
          <w:rFonts w:cstheme="minorHAnsi"/>
          <w:sz w:val="24"/>
          <w:szCs w:val="24"/>
        </w:rPr>
        <w:t xml:space="preserve">Inpatients experienced the inconsistency that arose from this lack of clarity, perhaps consequent of the apparent lack of </w:t>
      </w:r>
      <w:r w:rsidR="00A314F7" w:rsidRPr="009F0910">
        <w:rPr>
          <w:rFonts w:cstheme="minorHAnsi"/>
          <w:sz w:val="24"/>
          <w:szCs w:val="24"/>
        </w:rPr>
        <w:t>training</w:t>
      </w:r>
      <w:r w:rsidR="00B02C5F" w:rsidRPr="009F0910">
        <w:rPr>
          <w:rFonts w:cstheme="minorHAnsi"/>
          <w:sz w:val="24"/>
          <w:szCs w:val="24"/>
        </w:rPr>
        <w:t xml:space="preserve"> for ward staff</w:t>
      </w:r>
      <w:r w:rsidR="00A314F7" w:rsidRPr="009F0910">
        <w:rPr>
          <w:rFonts w:cstheme="minorHAnsi"/>
          <w:sz w:val="24"/>
          <w:szCs w:val="24"/>
        </w:rPr>
        <w:t xml:space="preserve">, </w:t>
      </w:r>
      <w:r w:rsidR="00B02C5F" w:rsidRPr="009F0910">
        <w:rPr>
          <w:rFonts w:cstheme="minorHAnsi"/>
          <w:sz w:val="24"/>
          <w:szCs w:val="24"/>
        </w:rPr>
        <w:t xml:space="preserve">and absence of any formal policy or official </w:t>
      </w:r>
      <w:r w:rsidR="00A314F7" w:rsidRPr="009F0910">
        <w:rPr>
          <w:rFonts w:cstheme="minorHAnsi"/>
          <w:sz w:val="24"/>
          <w:szCs w:val="24"/>
        </w:rPr>
        <w:t xml:space="preserve">guidance </w:t>
      </w:r>
      <w:r w:rsidR="00B02C5F" w:rsidRPr="009F0910">
        <w:rPr>
          <w:rFonts w:cstheme="minorHAnsi"/>
          <w:sz w:val="24"/>
          <w:szCs w:val="24"/>
        </w:rPr>
        <w:t>on</w:t>
      </w:r>
      <w:r w:rsidR="00A314F7" w:rsidRPr="009F0910">
        <w:rPr>
          <w:rFonts w:cstheme="minorHAnsi"/>
          <w:sz w:val="24"/>
          <w:szCs w:val="24"/>
        </w:rPr>
        <w:t xml:space="preserve"> managing </w:t>
      </w:r>
      <w:r w:rsidR="00456BA5" w:rsidRPr="009F0910">
        <w:rPr>
          <w:rFonts w:cstheme="minorHAnsi"/>
          <w:sz w:val="24"/>
          <w:szCs w:val="24"/>
        </w:rPr>
        <w:t xml:space="preserve">issues of sexuality and relationships. </w:t>
      </w:r>
      <w:r w:rsidR="002236A3" w:rsidRPr="009F0910">
        <w:rPr>
          <w:rFonts w:cstheme="minorHAnsi"/>
          <w:sz w:val="24"/>
          <w:szCs w:val="24"/>
        </w:rPr>
        <w:t xml:space="preserve">Inpatient participants were adept at deploying particular discursive strategies that accentuated the humanness, inevitability, and at times, innocence of their sexual and relational </w:t>
      </w:r>
      <w:r w:rsidR="00136A23" w:rsidRPr="009F0910">
        <w:rPr>
          <w:rFonts w:cstheme="minorHAnsi"/>
          <w:sz w:val="24"/>
          <w:szCs w:val="24"/>
        </w:rPr>
        <w:t xml:space="preserve">needs; and in doing so highlighted the futility of uncertainty and prohibition of these </w:t>
      </w:r>
      <w:r w:rsidR="00A74468" w:rsidRPr="009F0910">
        <w:rPr>
          <w:rFonts w:cstheme="minorHAnsi"/>
          <w:sz w:val="24"/>
          <w:szCs w:val="24"/>
        </w:rPr>
        <w:t xml:space="preserve">fundamental </w:t>
      </w:r>
      <w:r w:rsidR="00136A23" w:rsidRPr="009F0910">
        <w:rPr>
          <w:rFonts w:cstheme="minorHAnsi"/>
          <w:sz w:val="24"/>
          <w:szCs w:val="24"/>
        </w:rPr>
        <w:t xml:space="preserve">aspects of human experience. </w:t>
      </w:r>
    </w:p>
    <w:p w14:paraId="7EF308D2" w14:textId="77777777" w:rsidR="00F92DFA" w:rsidRPr="009F0910" w:rsidRDefault="00F92DFA" w:rsidP="009F0910">
      <w:pPr>
        <w:spacing w:after="0" w:line="360" w:lineRule="auto"/>
        <w:contextualSpacing/>
        <w:jc w:val="both"/>
        <w:rPr>
          <w:rFonts w:cstheme="minorHAnsi"/>
          <w:sz w:val="24"/>
          <w:szCs w:val="24"/>
        </w:rPr>
      </w:pPr>
    </w:p>
    <w:p w14:paraId="4CA664E9" w14:textId="77777777" w:rsidR="00F92DFA" w:rsidRPr="009F0910" w:rsidRDefault="00F92DFA" w:rsidP="009F0910">
      <w:pPr>
        <w:tabs>
          <w:tab w:val="left" w:pos="7500"/>
        </w:tabs>
        <w:spacing w:after="0" w:line="360" w:lineRule="auto"/>
        <w:contextualSpacing/>
        <w:rPr>
          <w:rFonts w:cstheme="minorHAnsi"/>
          <w:b/>
          <w:bCs/>
          <w:sz w:val="24"/>
          <w:szCs w:val="24"/>
        </w:rPr>
      </w:pPr>
      <w:r w:rsidRPr="009F0910">
        <w:rPr>
          <w:rFonts w:cstheme="minorHAnsi"/>
          <w:b/>
          <w:bCs/>
          <w:sz w:val="24"/>
          <w:szCs w:val="24"/>
        </w:rPr>
        <w:t>Acknowledgements</w:t>
      </w:r>
    </w:p>
    <w:p w14:paraId="267A2BF7" w14:textId="71BC717F" w:rsidR="00F92DFA" w:rsidRPr="009F0910" w:rsidRDefault="00F92DFA" w:rsidP="009F0910">
      <w:pPr>
        <w:tabs>
          <w:tab w:val="left" w:pos="7500"/>
        </w:tabs>
        <w:spacing w:after="0" w:line="360" w:lineRule="auto"/>
        <w:contextualSpacing/>
        <w:rPr>
          <w:rFonts w:cstheme="minorHAnsi"/>
          <w:sz w:val="24"/>
          <w:szCs w:val="24"/>
        </w:rPr>
      </w:pPr>
      <w:r w:rsidRPr="009F0910">
        <w:rPr>
          <w:rFonts w:cstheme="minorHAnsi"/>
          <w:sz w:val="24"/>
          <w:szCs w:val="24"/>
          <w:shd w:val="clear" w:color="auto" w:fill="FFFFFF"/>
        </w:rPr>
        <w:t>The authors would like to acknowledge the assistance of St Andrew's Healthcare in conducting this study</w:t>
      </w:r>
      <w:r w:rsidR="00FB7C10" w:rsidRPr="009F0910">
        <w:rPr>
          <w:rFonts w:cstheme="minorHAnsi"/>
          <w:sz w:val="24"/>
          <w:szCs w:val="24"/>
          <w:shd w:val="clear" w:color="auto" w:fill="FFFFFF"/>
        </w:rPr>
        <w:t xml:space="preserve">. </w:t>
      </w:r>
    </w:p>
    <w:p w14:paraId="57205260" w14:textId="64DCA000" w:rsidR="00BB3F30" w:rsidRPr="009F0910" w:rsidRDefault="00BB3F30" w:rsidP="004E58BD">
      <w:pPr>
        <w:spacing w:line="240" w:lineRule="auto"/>
        <w:contextualSpacing/>
        <w:jc w:val="both"/>
        <w:rPr>
          <w:rFonts w:cstheme="minorHAnsi"/>
          <w:sz w:val="24"/>
          <w:szCs w:val="24"/>
        </w:rPr>
      </w:pPr>
      <w:r w:rsidRPr="009F0910">
        <w:rPr>
          <w:rFonts w:cstheme="minorHAnsi"/>
          <w:sz w:val="24"/>
          <w:szCs w:val="24"/>
        </w:rPr>
        <w:br w:type="page"/>
      </w:r>
    </w:p>
    <w:p w14:paraId="1EDC6B39" w14:textId="77777777" w:rsidR="00113410" w:rsidRPr="009F0910" w:rsidRDefault="00113410" w:rsidP="00113410">
      <w:pPr>
        <w:spacing w:after="0" w:line="480" w:lineRule="auto"/>
        <w:contextualSpacing/>
        <w:jc w:val="center"/>
        <w:rPr>
          <w:rFonts w:cstheme="minorHAnsi"/>
          <w:b/>
          <w:sz w:val="24"/>
          <w:szCs w:val="24"/>
        </w:rPr>
      </w:pPr>
      <w:bookmarkStart w:id="2" w:name="_Hlk17896837"/>
      <w:r w:rsidRPr="009F0910">
        <w:rPr>
          <w:rFonts w:cstheme="minorHAnsi"/>
          <w:b/>
          <w:sz w:val="24"/>
          <w:szCs w:val="24"/>
        </w:rPr>
        <w:lastRenderedPageBreak/>
        <w:t>References</w:t>
      </w:r>
    </w:p>
    <w:p w14:paraId="090A1DC9" w14:textId="77777777" w:rsidR="00113410" w:rsidRPr="009F0910" w:rsidRDefault="00113410" w:rsidP="00113410">
      <w:pPr>
        <w:spacing w:after="0" w:line="480" w:lineRule="auto"/>
        <w:contextualSpacing/>
        <w:rPr>
          <w:rFonts w:cstheme="minorHAnsi"/>
          <w:sz w:val="24"/>
          <w:szCs w:val="24"/>
          <w:shd w:val="clear" w:color="auto" w:fill="FFFFFF"/>
        </w:rPr>
      </w:pPr>
      <w:r w:rsidRPr="009F0910">
        <w:rPr>
          <w:rFonts w:cstheme="minorHAnsi"/>
          <w:sz w:val="24"/>
          <w:szCs w:val="24"/>
          <w:shd w:val="clear" w:color="auto" w:fill="FFFFFF"/>
        </w:rPr>
        <w:t>Ackroyd, S., and P. Thompson. 1999. </w:t>
      </w:r>
      <w:r w:rsidRPr="009F0910">
        <w:rPr>
          <w:rFonts w:cstheme="minorHAnsi"/>
          <w:i/>
          <w:iCs/>
          <w:sz w:val="24"/>
          <w:szCs w:val="24"/>
          <w:shd w:val="clear" w:color="auto" w:fill="FFFFFF"/>
        </w:rPr>
        <w:t xml:space="preserve">Organisational Misbehaviour. </w:t>
      </w:r>
      <w:r w:rsidRPr="009F0910">
        <w:rPr>
          <w:rFonts w:cstheme="minorHAnsi"/>
          <w:sz w:val="24"/>
          <w:szCs w:val="24"/>
          <w:shd w:val="clear" w:color="auto" w:fill="FFFFFF"/>
        </w:rPr>
        <w:t>London:</w:t>
      </w:r>
      <w:r w:rsidRPr="009F0910">
        <w:rPr>
          <w:rFonts w:cstheme="minorHAnsi"/>
          <w:i/>
          <w:iCs/>
          <w:sz w:val="24"/>
          <w:szCs w:val="24"/>
          <w:shd w:val="clear" w:color="auto" w:fill="FFFFFF"/>
        </w:rPr>
        <w:t xml:space="preserve"> </w:t>
      </w:r>
      <w:r w:rsidRPr="009F0910">
        <w:rPr>
          <w:rFonts w:cstheme="minorHAnsi"/>
          <w:sz w:val="24"/>
          <w:szCs w:val="24"/>
          <w:shd w:val="clear" w:color="auto" w:fill="FFFFFF"/>
        </w:rPr>
        <w:t xml:space="preserve">Sage </w:t>
      </w:r>
    </w:p>
    <w:p w14:paraId="642564B6" w14:textId="77777777" w:rsidR="00113410" w:rsidRPr="009F0910" w:rsidRDefault="00113410" w:rsidP="00113410">
      <w:pPr>
        <w:spacing w:after="0" w:line="480" w:lineRule="auto"/>
        <w:contextualSpacing/>
        <w:rPr>
          <w:rFonts w:cstheme="minorHAnsi"/>
          <w:sz w:val="24"/>
          <w:szCs w:val="24"/>
        </w:rPr>
      </w:pPr>
      <w:r w:rsidRPr="009F0910">
        <w:rPr>
          <w:rFonts w:cstheme="minorHAnsi"/>
          <w:sz w:val="24"/>
          <w:szCs w:val="24"/>
          <w:shd w:val="clear" w:color="auto" w:fill="FFFFFF"/>
        </w:rPr>
        <w:tab/>
        <w:t>Publications</w:t>
      </w:r>
    </w:p>
    <w:p w14:paraId="099578E8" w14:textId="36B430C9"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Brown, S. D., P. </w:t>
      </w:r>
      <w:proofErr w:type="spellStart"/>
      <w:r w:rsidRPr="009F0910">
        <w:rPr>
          <w:rFonts w:cstheme="minorHAnsi"/>
          <w:sz w:val="24"/>
          <w:szCs w:val="24"/>
        </w:rPr>
        <w:t>Reavey</w:t>
      </w:r>
      <w:proofErr w:type="spellEnd"/>
      <w:r w:rsidRPr="009F0910">
        <w:rPr>
          <w:rFonts w:cstheme="minorHAnsi"/>
          <w:sz w:val="24"/>
          <w:szCs w:val="24"/>
        </w:rPr>
        <w:t xml:space="preserve">, A. </w:t>
      </w:r>
      <w:proofErr w:type="spellStart"/>
      <w:r w:rsidRPr="009F0910">
        <w:rPr>
          <w:rFonts w:cstheme="minorHAnsi"/>
          <w:sz w:val="24"/>
          <w:szCs w:val="24"/>
        </w:rPr>
        <w:t>Kanyeredzi</w:t>
      </w:r>
      <w:proofErr w:type="spellEnd"/>
      <w:r w:rsidRPr="009F0910">
        <w:rPr>
          <w:rFonts w:cstheme="minorHAnsi"/>
          <w:sz w:val="24"/>
          <w:szCs w:val="24"/>
        </w:rPr>
        <w:t xml:space="preserve">, and R. Batty. 2014. </w:t>
      </w:r>
      <w:r w:rsidR="001C5FA0" w:rsidRPr="009F0910">
        <w:rPr>
          <w:rFonts w:cstheme="minorHAnsi"/>
          <w:sz w:val="24"/>
          <w:szCs w:val="24"/>
        </w:rPr>
        <w:t>“</w:t>
      </w:r>
      <w:r w:rsidRPr="009F0910">
        <w:rPr>
          <w:rFonts w:cstheme="minorHAnsi"/>
          <w:sz w:val="24"/>
          <w:szCs w:val="24"/>
        </w:rPr>
        <w:t>Transformations of Self and</w:t>
      </w:r>
    </w:p>
    <w:p w14:paraId="464C0724" w14:textId="2E2C2996" w:rsidR="00113410" w:rsidRPr="009F0910" w:rsidRDefault="00113410" w:rsidP="00113410">
      <w:pPr>
        <w:spacing w:after="0" w:line="480" w:lineRule="auto"/>
        <w:ind w:left="720"/>
        <w:contextualSpacing/>
        <w:rPr>
          <w:rFonts w:cstheme="minorHAnsi"/>
          <w:sz w:val="24"/>
          <w:szCs w:val="24"/>
        </w:rPr>
      </w:pPr>
      <w:r w:rsidRPr="009F0910">
        <w:rPr>
          <w:rFonts w:cstheme="minorHAnsi"/>
          <w:sz w:val="24"/>
          <w:szCs w:val="24"/>
        </w:rPr>
        <w:t>Sexuality: Psychologically Modified Experiences in the Context of Forensic Mental Health.</w:t>
      </w:r>
      <w:r w:rsidR="001C5FA0" w:rsidRPr="009F0910">
        <w:rPr>
          <w:rFonts w:cstheme="minorHAnsi"/>
          <w:sz w:val="24"/>
          <w:szCs w:val="24"/>
        </w:rPr>
        <w:t>”</w:t>
      </w:r>
      <w:r w:rsidRPr="009F0910">
        <w:rPr>
          <w:rFonts w:cstheme="minorHAnsi"/>
          <w:sz w:val="24"/>
          <w:szCs w:val="24"/>
        </w:rPr>
        <w:t xml:space="preserve"> </w:t>
      </w:r>
      <w:r w:rsidRPr="009F0910">
        <w:rPr>
          <w:rFonts w:cstheme="minorHAnsi"/>
          <w:i/>
          <w:sz w:val="24"/>
          <w:szCs w:val="24"/>
        </w:rPr>
        <w:t xml:space="preserve">Health </w:t>
      </w:r>
      <w:r w:rsidRPr="009F0910">
        <w:rPr>
          <w:rFonts w:cstheme="minorHAnsi"/>
          <w:sz w:val="24"/>
          <w:szCs w:val="24"/>
        </w:rPr>
        <w:t>18: 240-260. doi:10.1177/1363459313497606</w:t>
      </w:r>
    </w:p>
    <w:p w14:paraId="6DBAC605" w14:textId="16AA89D4" w:rsidR="00113410" w:rsidRPr="009F0910" w:rsidRDefault="00113410" w:rsidP="00113410">
      <w:pPr>
        <w:pStyle w:val="NormalWeb"/>
        <w:spacing w:before="0" w:beforeAutospacing="0" w:after="0" w:afterAutospacing="0" w:line="480" w:lineRule="auto"/>
        <w:ind w:left="480" w:hanging="480"/>
        <w:contextualSpacing/>
        <w:rPr>
          <w:rFonts w:asciiTheme="minorHAnsi" w:hAnsiTheme="minorHAnsi" w:cstheme="minorHAnsi"/>
        </w:rPr>
      </w:pPr>
      <w:r w:rsidRPr="009F0910">
        <w:rPr>
          <w:rFonts w:asciiTheme="minorHAnsi" w:hAnsiTheme="minorHAnsi" w:cstheme="minorHAnsi"/>
        </w:rPr>
        <w:t xml:space="preserve">Davies, B., and  R. </w:t>
      </w:r>
      <w:proofErr w:type="spellStart"/>
      <w:r w:rsidRPr="009F0910">
        <w:rPr>
          <w:rFonts w:asciiTheme="minorHAnsi" w:hAnsiTheme="minorHAnsi" w:cstheme="minorHAnsi"/>
        </w:rPr>
        <w:t>Harré</w:t>
      </w:r>
      <w:proofErr w:type="spellEnd"/>
      <w:r w:rsidRPr="009F0910">
        <w:rPr>
          <w:rFonts w:asciiTheme="minorHAnsi" w:hAnsiTheme="minorHAnsi" w:cstheme="minorHAnsi"/>
        </w:rPr>
        <w:t xml:space="preserve">. 1990. </w:t>
      </w:r>
      <w:r w:rsidR="001C5FA0" w:rsidRPr="009F0910">
        <w:rPr>
          <w:rFonts w:asciiTheme="minorHAnsi" w:hAnsiTheme="minorHAnsi" w:cstheme="minorHAnsi"/>
        </w:rPr>
        <w:t>“</w:t>
      </w:r>
      <w:r w:rsidRPr="009F0910">
        <w:rPr>
          <w:rFonts w:asciiTheme="minorHAnsi" w:hAnsiTheme="minorHAnsi" w:cstheme="minorHAnsi"/>
        </w:rPr>
        <w:t>Positioning: The Discursive Production of Selves.</w:t>
      </w:r>
      <w:r w:rsidR="001C5FA0" w:rsidRPr="009F0910">
        <w:rPr>
          <w:rFonts w:asciiTheme="minorHAnsi" w:hAnsiTheme="minorHAnsi" w:cstheme="minorHAnsi"/>
        </w:rPr>
        <w:t>”</w:t>
      </w:r>
      <w:r w:rsidRPr="009F0910">
        <w:rPr>
          <w:rFonts w:asciiTheme="minorHAnsi" w:hAnsiTheme="minorHAnsi" w:cstheme="minorHAnsi"/>
        </w:rPr>
        <w:t xml:space="preserve"> </w:t>
      </w:r>
      <w:r w:rsidRPr="009F0910">
        <w:rPr>
          <w:rFonts w:asciiTheme="minorHAnsi" w:hAnsiTheme="minorHAnsi" w:cstheme="minorHAnsi"/>
          <w:i/>
        </w:rPr>
        <w:t>Journal for the Theory of Social Behaviour</w:t>
      </w:r>
      <w:r w:rsidRPr="009F0910">
        <w:rPr>
          <w:rFonts w:asciiTheme="minorHAnsi" w:hAnsiTheme="minorHAnsi" w:cstheme="minorHAnsi"/>
        </w:rPr>
        <w:t xml:space="preserve"> </w:t>
      </w:r>
      <w:r w:rsidRPr="009F0910">
        <w:rPr>
          <w:rFonts w:asciiTheme="minorHAnsi" w:hAnsiTheme="minorHAnsi" w:cstheme="minorHAnsi"/>
          <w:iCs/>
        </w:rPr>
        <w:t>20</w:t>
      </w:r>
      <w:r w:rsidRPr="009F0910">
        <w:rPr>
          <w:rFonts w:asciiTheme="minorHAnsi" w:hAnsiTheme="minorHAnsi" w:cstheme="minorHAnsi"/>
        </w:rPr>
        <w:t>: 1–7. Retrieved from https://bit.ly/2o9zMB4</w:t>
      </w:r>
    </w:p>
    <w:p w14:paraId="314B94C5" w14:textId="36AEF6B0"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Deegan, P. E. 1999. </w:t>
      </w:r>
      <w:r w:rsidR="001C5FA0" w:rsidRPr="009F0910">
        <w:rPr>
          <w:rFonts w:cstheme="minorHAnsi"/>
          <w:sz w:val="24"/>
          <w:szCs w:val="24"/>
        </w:rPr>
        <w:t>“</w:t>
      </w:r>
      <w:r w:rsidRPr="009F0910">
        <w:rPr>
          <w:rFonts w:cstheme="minorHAnsi"/>
          <w:sz w:val="24"/>
          <w:szCs w:val="24"/>
        </w:rPr>
        <w:t>Human Sexuality and Mental Illness: Consumer Viewpoints and</w:t>
      </w:r>
    </w:p>
    <w:p w14:paraId="3B971339" w14:textId="104768B0" w:rsidR="00113410" w:rsidRPr="009F0910" w:rsidRDefault="00113410" w:rsidP="00113410">
      <w:pPr>
        <w:spacing w:after="0" w:line="480" w:lineRule="auto"/>
        <w:ind w:left="720"/>
        <w:contextualSpacing/>
        <w:rPr>
          <w:rFonts w:cstheme="minorHAnsi"/>
          <w:sz w:val="24"/>
          <w:szCs w:val="24"/>
        </w:rPr>
      </w:pPr>
      <w:r w:rsidRPr="009F0910">
        <w:rPr>
          <w:rFonts w:cstheme="minorHAnsi"/>
          <w:sz w:val="24"/>
          <w:szCs w:val="24"/>
        </w:rPr>
        <w:t>Recovery Principles.</w:t>
      </w:r>
      <w:r w:rsidR="001C5FA0" w:rsidRPr="009F0910">
        <w:rPr>
          <w:rFonts w:cstheme="minorHAnsi"/>
          <w:sz w:val="24"/>
          <w:szCs w:val="24"/>
        </w:rPr>
        <w:t>”</w:t>
      </w:r>
      <w:r w:rsidRPr="009F0910">
        <w:rPr>
          <w:rFonts w:cstheme="minorHAnsi"/>
          <w:sz w:val="24"/>
          <w:szCs w:val="24"/>
        </w:rPr>
        <w:t xml:space="preserve"> In </w:t>
      </w:r>
      <w:r w:rsidRPr="009F0910">
        <w:rPr>
          <w:rFonts w:cstheme="minorHAnsi"/>
          <w:i/>
          <w:sz w:val="24"/>
          <w:szCs w:val="24"/>
        </w:rPr>
        <w:t xml:space="preserve">Sexuality and Serious Mental Illness, </w:t>
      </w:r>
      <w:r w:rsidRPr="009F0910">
        <w:rPr>
          <w:rFonts w:cstheme="minorHAnsi"/>
          <w:sz w:val="24"/>
          <w:szCs w:val="24"/>
        </w:rPr>
        <w:t>edited by P. Buckley, 21–33. Amsterdam: Harwood Academics.</w:t>
      </w:r>
    </w:p>
    <w:p w14:paraId="2DC93A64" w14:textId="77777777" w:rsidR="00113410" w:rsidRPr="009F0910" w:rsidRDefault="00113410" w:rsidP="00113410">
      <w:pPr>
        <w:spacing w:after="0" w:line="480" w:lineRule="auto"/>
        <w:contextualSpacing/>
        <w:rPr>
          <w:rFonts w:cstheme="minorHAnsi"/>
          <w:sz w:val="24"/>
          <w:szCs w:val="24"/>
        </w:rPr>
      </w:pPr>
      <w:proofErr w:type="spellStart"/>
      <w:r w:rsidRPr="009F0910">
        <w:rPr>
          <w:rFonts w:cstheme="minorHAnsi"/>
          <w:sz w:val="24"/>
          <w:szCs w:val="24"/>
        </w:rPr>
        <w:t>Dein</w:t>
      </w:r>
      <w:proofErr w:type="spellEnd"/>
      <w:r w:rsidRPr="009F0910">
        <w:rPr>
          <w:rFonts w:cstheme="minorHAnsi"/>
          <w:sz w:val="24"/>
          <w:szCs w:val="24"/>
        </w:rPr>
        <w:t xml:space="preserve">, K. E., P. S. Williams, I. </w:t>
      </w:r>
      <w:proofErr w:type="spellStart"/>
      <w:r w:rsidRPr="009F0910">
        <w:rPr>
          <w:rFonts w:cstheme="minorHAnsi"/>
          <w:sz w:val="24"/>
          <w:szCs w:val="24"/>
        </w:rPr>
        <w:t>Volkonskaia</w:t>
      </w:r>
      <w:proofErr w:type="spellEnd"/>
      <w:r w:rsidRPr="009F0910">
        <w:rPr>
          <w:rFonts w:cstheme="minorHAnsi"/>
          <w:sz w:val="24"/>
          <w:szCs w:val="24"/>
        </w:rPr>
        <w:t xml:space="preserve">, A. </w:t>
      </w:r>
      <w:proofErr w:type="spellStart"/>
      <w:r w:rsidRPr="009F0910">
        <w:rPr>
          <w:rFonts w:cstheme="minorHAnsi"/>
          <w:sz w:val="24"/>
          <w:szCs w:val="24"/>
        </w:rPr>
        <w:t>Kanyeredzi</w:t>
      </w:r>
      <w:proofErr w:type="spellEnd"/>
      <w:r w:rsidRPr="009F0910">
        <w:rPr>
          <w:rFonts w:cstheme="minorHAnsi"/>
          <w:sz w:val="24"/>
          <w:szCs w:val="24"/>
        </w:rPr>
        <w:t xml:space="preserve">, P. </w:t>
      </w:r>
      <w:proofErr w:type="spellStart"/>
      <w:r w:rsidRPr="009F0910">
        <w:rPr>
          <w:rFonts w:cstheme="minorHAnsi"/>
          <w:sz w:val="24"/>
          <w:szCs w:val="24"/>
        </w:rPr>
        <w:t>Reavey</w:t>
      </w:r>
      <w:proofErr w:type="spellEnd"/>
      <w:r w:rsidRPr="009F0910">
        <w:rPr>
          <w:rFonts w:cstheme="minorHAnsi"/>
          <w:sz w:val="24"/>
          <w:szCs w:val="24"/>
        </w:rPr>
        <w:t xml:space="preserve">, and G. </w:t>
      </w:r>
      <w:proofErr w:type="spellStart"/>
      <w:r w:rsidRPr="009F0910">
        <w:rPr>
          <w:rFonts w:cstheme="minorHAnsi"/>
          <w:sz w:val="24"/>
          <w:szCs w:val="24"/>
        </w:rPr>
        <w:t>Leavey</w:t>
      </w:r>
      <w:proofErr w:type="spellEnd"/>
      <w:r w:rsidRPr="009F0910">
        <w:rPr>
          <w:rFonts w:cstheme="minorHAnsi"/>
          <w:sz w:val="24"/>
          <w:szCs w:val="24"/>
        </w:rPr>
        <w:t xml:space="preserve">. 2016. </w:t>
      </w:r>
    </w:p>
    <w:p w14:paraId="1BD1C926" w14:textId="5A63573C" w:rsidR="00113410" w:rsidRPr="009F0910" w:rsidRDefault="001C5FA0" w:rsidP="00113410">
      <w:pPr>
        <w:spacing w:after="0" w:line="480" w:lineRule="auto"/>
        <w:ind w:left="720"/>
        <w:contextualSpacing/>
        <w:rPr>
          <w:rFonts w:cstheme="minorHAnsi"/>
          <w:sz w:val="24"/>
          <w:szCs w:val="24"/>
        </w:rPr>
      </w:pPr>
      <w:r w:rsidRPr="009F0910">
        <w:rPr>
          <w:rFonts w:cstheme="minorHAnsi"/>
          <w:sz w:val="24"/>
          <w:szCs w:val="24"/>
        </w:rPr>
        <w:t>“</w:t>
      </w:r>
      <w:r w:rsidR="00113410" w:rsidRPr="009F0910">
        <w:rPr>
          <w:rFonts w:cstheme="minorHAnsi"/>
          <w:sz w:val="24"/>
          <w:szCs w:val="24"/>
        </w:rPr>
        <w:t>Examining Professionals' Perspectives on Sexuality for Service Users of a Forensic Psychiatry Unit.</w:t>
      </w:r>
      <w:r w:rsidRPr="009F0910">
        <w:rPr>
          <w:rFonts w:cstheme="minorHAnsi"/>
          <w:sz w:val="24"/>
          <w:szCs w:val="24"/>
        </w:rPr>
        <w:t>”</w:t>
      </w:r>
      <w:r w:rsidR="00113410" w:rsidRPr="009F0910">
        <w:rPr>
          <w:rFonts w:cstheme="minorHAnsi"/>
          <w:sz w:val="24"/>
          <w:szCs w:val="24"/>
        </w:rPr>
        <w:t> </w:t>
      </w:r>
      <w:r w:rsidR="00113410" w:rsidRPr="009F0910">
        <w:rPr>
          <w:rFonts w:cstheme="minorHAnsi"/>
          <w:i/>
          <w:iCs/>
          <w:sz w:val="24"/>
          <w:szCs w:val="24"/>
        </w:rPr>
        <w:t>International Journal of Law and Psychiatry</w:t>
      </w:r>
      <w:r w:rsidR="00113410" w:rsidRPr="009F0910">
        <w:rPr>
          <w:rFonts w:cstheme="minorHAnsi"/>
          <w:sz w:val="24"/>
          <w:szCs w:val="24"/>
        </w:rPr>
        <w:t xml:space="preserve"> 44: 15-23. doi:10.1016/j.ijlp.2015.08.027 </w:t>
      </w:r>
    </w:p>
    <w:p w14:paraId="5A1E80D5" w14:textId="77777777" w:rsidR="00113410" w:rsidRPr="009F0910" w:rsidRDefault="00113410" w:rsidP="00113410">
      <w:pPr>
        <w:spacing w:after="0" w:line="480" w:lineRule="auto"/>
        <w:contextualSpacing/>
        <w:rPr>
          <w:rFonts w:cstheme="minorHAnsi"/>
          <w:i/>
          <w:iCs/>
          <w:sz w:val="24"/>
          <w:szCs w:val="24"/>
          <w:shd w:val="clear" w:color="auto" w:fill="FFFFFF"/>
        </w:rPr>
      </w:pPr>
      <w:r w:rsidRPr="009F0910">
        <w:rPr>
          <w:rFonts w:cstheme="minorHAnsi"/>
          <w:sz w:val="24"/>
          <w:szCs w:val="24"/>
          <w:shd w:val="clear" w:color="auto" w:fill="FFFFFF"/>
        </w:rPr>
        <w:t>Fleming, P., and A. Spicer. 2007. </w:t>
      </w:r>
      <w:r w:rsidRPr="009F0910">
        <w:rPr>
          <w:rFonts w:cstheme="minorHAnsi"/>
          <w:i/>
          <w:iCs/>
          <w:sz w:val="24"/>
          <w:szCs w:val="24"/>
          <w:shd w:val="clear" w:color="auto" w:fill="FFFFFF"/>
        </w:rPr>
        <w:t xml:space="preserve">Contesting the Corporation: Struggle, Power and </w:t>
      </w:r>
    </w:p>
    <w:p w14:paraId="5F4156E6" w14:textId="77777777" w:rsidR="00113410" w:rsidRPr="009F0910" w:rsidRDefault="00113410" w:rsidP="00113410">
      <w:pPr>
        <w:spacing w:after="0" w:line="480" w:lineRule="auto"/>
        <w:ind w:firstLine="720"/>
        <w:contextualSpacing/>
        <w:rPr>
          <w:rFonts w:cstheme="minorHAnsi"/>
          <w:sz w:val="24"/>
          <w:szCs w:val="24"/>
        </w:rPr>
      </w:pPr>
      <w:r w:rsidRPr="009F0910">
        <w:rPr>
          <w:rFonts w:cstheme="minorHAnsi"/>
          <w:i/>
          <w:iCs/>
          <w:sz w:val="24"/>
          <w:szCs w:val="24"/>
          <w:shd w:val="clear" w:color="auto" w:fill="FFFFFF"/>
        </w:rPr>
        <w:t>Resistance in Organisations</w:t>
      </w:r>
      <w:r w:rsidRPr="009F0910">
        <w:rPr>
          <w:rFonts w:cstheme="minorHAnsi"/>
          <w:sz w:val="24"/>
          <w:szCs w:val="24"/>
          <w:shd w:val="clear" w:color="auto" w:fill="FFFFFF"/>
        </w:rPr>
        <w:t>. Cambridge: Cambridge University Press.</w:t>
      </w:r>
    </w:p>
    <w:p w14:paraId="68AFA87E" w14:textId="77777777"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Foucault, M. 1987. </w:t>
      </w:r>
      <w:r w:rsidRPr="009F0910">
        <w:rPr>
          <w:rFonts w:cstheme="minorHAnsi"/>
          <w:i/>
          <w:iCs/>
          <w:sz w:val="24"/>
          <w:szCs w:val="24"/>
        </w:rPr>
        <w:t>Mental Illness and Psychology</w:t>
      </w:r>
      <w:r w:rsidRPr="009F0910">
        <w:rPr>
          <w:rFonts w:cstheme="minorHAnsi"/>
          <w:sz w:val="24"/>
          <w:szCs w:val="24"/>
        </w:rPr>
        <w:t xml:space="preserve">: Berkeley: California Press </w:t>
      </w:r>
    </w:p>
    <w:p w14:paraId="7A24868C" w14:textId="77777777" w:rsidR="005115A4" w:rsidRPr="009F0910" w:rsidRDefault="00113410" w:rsidP="005115A4">
      <w:pPr>
        <w:spacing w:after="0" w:line="480" w:lineRule="auto"/>
        <w:contextualSpacing/>
        <w:rPr>
          <w:rFonts w:eastAsia="Times New Roman" w:cstheme="minorHAnsi"/>
          <w:i/>
          <w:iCs/>
          <w:sz w:val="24"/>
          <w:szCs w:val="24"/>
          <w:lang w:eastAsia="zh-TW"/>
        </w:rPr>
      </w:pPr>
      <w:r w:rsidRPr="009F0910">
        <w:rPr>
          <w:rFonts w:eastAsia="Times New Roman" w:cstheme="minorHAnsi"/>
          <w:sz w:val="24"/>
          <w:szCs w:val="24"/>
          <w:lang w:eastAsia="zh-TW"/>
        </w:rPr>
        <w:t xml:space="preserve">Fuchs, T. 2013. </w:t>
      </w:r>
      <w:r w:rsidR="005115A4" w:rsidRPr="009F0910">
        <w:rPr>
          <w:rFonts w:eastAsia="Times New Roman" w:cstheme="minorHAnsi"/>
          <w:sz w:val="24"/>
          <w:szCs w:val="24"/>
          <w:lang w:eastAsia="zh-TW"/>
        </w:rPr>
        <w:t>“</w:t>
      </w:r>
      <w:r w:rsidRPr="009F0910">
        <w:rPr>
          <w:rFonts w:eastAsia="Times New Roman" w:cstheme="minorHAnsi"/>
          <w:sz w:val="24"/>
          <w:szCs w:val="24"/>
          <w:lang w:eastAsia="zh-TW"/>
        </w:rPr>
        <w:t>The Phenomenology of Affectivity.</w:t>
      </w:r>
      <w:r w:rsidR="005115A4" w:rsidRPr="009F0910">
        <w:rPr>
          <w:rFonts w:eastAsia="Times New Roman" w:cstheme="minorHAnsi"/>
          <w:sz w:val="24"/>
          <w:szCs w:val="24"/>
          <w:lang w:eastAsia="zh-TW"/>
        </w:rPr>
        <w:t>”</w:t>
      </w:r>
      <w:r w:rsidRPr="009F0910">
        <w:rPr>
          <w:rFonts w:eastAsia="Times New Roman" w:cstheme="minorHAnsi"/>
          <w:sz w:val="24"/>
          <w:szCs w:val="24"/>
          <w:lang w:eastAsia="zh-TW"/>
        </w:rPr>
        <w:t xml:space="preserve"> </w:t>
      </w:r>
      <w:r w:rsidRPr="009F0910">
        <w:rPr>
          <w:rFonts w:eastAsia="Times New Roman" w:cstheme="minorHAnsi"/>
          <w:iCs/>
          <w:sz w:val="24"/>
          <w:szCs w:val="24"/>
          <w:lang w:eastAsia="zh-TW"/>
        </w:rPr>
        <w:t xml:space="preserve">In </w:t>
      </w:r>
      <w:proofErr w:type="gramStart"/>
      <w:r w:rsidRPr="009F0910">
        <w:rPr>
          <w:rFonts w:eastAsia="Times New Roman" w:cstheme="minorHAnsi"/>
          <w:i/>
          <w:iCs/>
          <w:sz w:val="24"/>
          <w:szCs w:val="24"/>
          <w:lang w:eastAsia="zh-TW"/>
        </w:rPr>
        <w:t>The</w:t>
      </w:r>
      <w:proofErr w:type="gramEnd"/>
      <w:r w:rsidRPr="009F0910">
        <w:rPr>
          <w:rFonts w:eastAsia="Times New Roman" w:cstheme="minorHAnsi"/>
          <w:i/>
          <w:iCs/>
          <w:sz w:val="24"/>
          <w:szCs w:val="24"/>
          <w:lang w:eastAsia="zh-TW"/>
        </w:rPr>
        <w:t xml:space="preserve"> Oxford Handbook of</w:t>
      </w:r>
    </w:p>
    <w:p w14:paraId="6809458B" w14:textId="4B32E268" w:rsidR="00113410" w:rsidRPr="009F0910" w:rsidRDefault="00113410" w:rsidP="005115A4">
      <w:pPr>
        <w:spacing w:after="0" w:line="480" w:lineRule="auto"/>
        <w:ind w:left="720"/>
        <w:contextualSpacing/>
        <w:rPr>
          <w:rFonts w:cstheme="minorHAnsi"/>
          <w:sz w:val="24"/>
          <w:szCs w:val="24"/>
        </w:rPr>
      </w:pPr>
      <w:r w:rsidRPr="009F0910">
        <w:rPr>
          <w:rFonts w:eastAsia="Times New Roman" w:cstheme="minorHAnsi"/>
          <w:i/>
          <w:iCs/>
          <w:sz w:val="24"/>
          <w:szCs w:val="24"/>
          <w:lang w:eastAsia="zh-TW"/>
        </w:rPr>
        <w:t>Philosophy</w:t>
      </w:r>
      <w:r w:rsidR="005115A4" w:rsidRPr="009F0910">
        <w:rPr>
          <w:rFonts w:eastAsia="Times New Roman" w:cstheme="minorHAnsi"/>
          <w:i/>
          <w:iCs/>
          <w:sz w:val="24"/>
          <w:szCs w:val="24"/>
          <w:lang w:eastAsia="zh-TW"/>
        </w:rPr>
        <w:t xml:space="preserve"> </w:t>
      </w:r>
      <w:r w:rsidRPr="009F0910">
        <w:rPr>
          <w:rFonts w:eastAsia="Times New Roman" w:cstheme="minorHAnsi"/>
          <w:i/>
          <w:iCs/>
          <w:sz w:val="24"/>
          <w:szCs w:val="24"/>
          <w:lang w:eastAsia="zh-TW"/>
        </w:rPr>
        <w:t>and Psychiatry</w:t>
      </w:r>
      <w:r w:rsidRPr="009F0910">
        <w:rPr>
          <w:rFonts w:eastAsia="Times New Roman" w:cstheme="minorHAnsi"/>
          <w:iCs/>
          <w:sz w:val="24"/>
          <w:szCs w:val="24"/>
          <w:lang w:eastAsia="zh-TW"/>
        </w:rPr>
        <w:t>, edited by</w:t>
      </w:r>
      <w:r w:rsidRPr="009F0910">
        <w:rPr>
          <w:rFonts w:cstheme="minorHAnsi"/>
          <w:iCs/>
          <w:sz w:val="24"/>
          <w:szCs w:val="24"/>
        </w:rPr>
        <w:t xml:space="preserve"> K.W.M. Fulford, M. Davies, R. G. T. Gipps, G. Graham, J. Z. Sadler, G. </w:t>
      </w:r>
      <w:proofErr w:type="spellStart"/>
      <w:r w:rsidRPr="009F0910">
        <w:rPr>
          <w:rFonts w:cstheme="minorHAnsi"/>
          <w:iCs/>
          <w:sz w:val="24"/>
          <w:szCs w:val="24"/>
        </w:rPr>
        <w:t>Stanghellini</w:t>
      </w:r>
      <w:proofErr w:type="spellEnd"/>
      <w:r w:rsidRPr="009F0910">
        <w:rPr>
          <w:rFonts w:cstheme="minorHAnsi"/>
          <w:iCs/>
          <w:sz w:val="24"/>
          <w:szCs w:val="24"/>
        </w:rPr>
        <w:t>, and T. Thornton</w:t>
      </w:r>
      <w:r w:rsidRPr="009F0910">
        <w:rPr>
          <w:rFonts w:eastAsia="Times New Roman" w:cstheme="minorHAnsi"/>
          <w:sz w:val="24"/>
          <w:szCs w:val="24"/>
          <w:lang w:eastAsia="zh-TW"/>
        </w:rPr>
        <w:t xml:space="preserve">, 612–631. Oxford: Oxford University Press. </w:t>
      </w:r>
      <w:proofErr w:type="spellStart"/>
      <w:r w:rsidRPr="009F0910">
        <w:rPr>
          <w:rFonts w:eastAsia="Times New Roman" w:cstheme="minorHAnsi"/>
          <w:sz w:val="24"/>
          <w:szCs w:val="24"/>
          <w:lang w:eastAsia="zh-TW"/>
        </w:rPr>
        <w:t>doi</w:t>
      </w:r>
      <w:proofErr w:type="spellEnd"/>
      <w:r w:rsidRPr="009F0910">
        <w:rPr>
          <w:rFonts w:eastAsia="Times New Roman" w:cstheme="minorHAnsi"/>
          <w:sz w:val="24"/>
          <w:szCs w:val="24"/>
          <w:lang w:eastAsia="zh-TW"/>
        </w:rPr>
        <w:t>:</w:t>
      </w:r>
      <w:r w:rsidRPr="009F0910">
        <w:rPr>
          <w:rFonts w:cstheme="minorHAnsi"/>
          <w:sz w:val="24"/>
          <w:szCs w:val="24"/>
        </w:rPr>
        <w:t xml:space="preserve"> 10.1093/</w:t>
      </w:r>
      <w:proofErr w:type="spellStart"/>
      <w:r w:rsidRPr="009F0910">
        <w:rPr>
          <w:rFonts w:cstheme="minorHAnsi"/>
          <w:sz w:val="24"/>
          <w:szCs w:val="24"/>
        </w:rPr>
        <w:t>oxfordhb</w:t>
      </w:r>
      <w:proofErr w:type="spellEnd"/>
      <w:r w:rsidRPr="009F0910">
        <w:rPr>
          <w:rFonts w:cstheme="minorHAnsi"/>
          <w:sz w:val="24"/>
          <w:szCs w:val="24"/>
        </w:rPr>
        <w:t>/9780199579563.013.0038</w:t>
      </w:r>
    </w:p>
    <w:p w14:paraId="46BDE480" w14:textId="1032C27B" w:rsidR="00113410" w:rsidRPr="009F0910" w:rsidRDefault="00113410" w:rsidP="00113410">
      <w:pPr>
        <w:spacing w:after="0" w:line="480" w:lineRule="auto"/>
        <w:contextualSpacing/>
        <w:rPr>
          <w:rFonts w:cstheme="minorHAnsi"/>
          <w:sz w:val="24"/>
          <w:szCs w:val="24"/>
        </w:rPr>
      </w:pPr>
      <w:proofErr w:type="spellStart"/>
      <w:r w:rsidRPr="009F0910">
        <w:rPr>
          <w:rFonts w:cstheme="minorHAnsi"/>
          <w:sz w:val="24"/>
          <w:szCs w:val="24"/>
        </w:rPr>
        <w:t>Gilburt</w:t>
      </w:r>
      <w:proofErr w:type="spellEnd"/>
      <w:r w:rsidRPr="009F0910">
        <w:rPr>
          <w:rFonts w:cstheme="minorHAnsi"/>
          <w:sz w:val="24"/>
          <w:szCs w:val="24"/>
        </w:rPr>
        <w:t xml:space="preserve">, H., D. Rose, and M. Slade. 2008. </w:t>
      </w:r>
      <w:r w:rsidR="00B37C49" w:rsidRPr="009F0910">
        <w:rPr>
          <w:rFonts w:cstheme="minorHAnsi"/>
          <w:sz w:val="24"/>
          <w:szCs w:val="24"/>
        </w:rPr>
        <w:t>“</w:t>
      </w:r>
      <w:r w:rsidRPr="009F0910">
        <w:rPr>
          <w:rFonts w:cstheme="minorHAnsi"/>
          <w:sz w:val="24"/>
          <w:szCs w:val="24"/>
        </w:rPr>
        <w:t>The Importance of Relationships in Mental Health</w:t>
      </w:r>
    </w:p>
    <w:p w14:paraId="7DF3D7C4" w14:textId="1019546B" w:rsidR="00113410" w:rsidRPr="009F0910" w:rsidRDefault="00113410" w:rsidP="00113410">
      <w:pPr>
        <w:spacing w:after="0" w:line="480" w:lineRule="auto"/>
        <w:ind w:left="720"/>
        <w:contextualSpacing/>
        <w:rPr>
          <w:rFonts w:cstheme="minorHAnsi"/>
          <w:sz w:val="24"/>
          <w:szCs w:val="24"/>
        </w:rPr>
      </w:pPr>
      <w:r w:rsidRPr="009F0910">
        <w:rPr>
          <w:rFonts w:cstheme="minorHAnsi"/>
          <w:sz w:val="24"/>
          <w:szCs w:val="24"/>
        </w:rPr>
        <w:lastRenderedPageBreak/>
        <w:t>Care: A Qualitative Study of Service Users’ Experiences of Psychiatric Hospital Admission in the UK.</w:t>
      </w:r>
      <w:r w:rsidR="00B37C49" w:rsidRPr="009F0910">
        <w:rPr>
          <w:rFonts w:cstheme="minorHAnsi"/>
          <w:sz w:val="24"/>
          <w:szCs w:val="24"/>
        </w:rPr>
        <w:t>”</w:t>
      </w:r>
      <w:r w:rsidRPr="009F0910">
        <w:rPr>
          <w:rFonts w:cstheme="minorHAnsi"/>
          <w:sz w:val="24"/>
          <w:szCs w:val="24"/>
        </w:rPr>
        <w:t xml:space="preserve"> </w:t>
      </w:r>
      <w:r w:rsidRPr="009F0910">
        <w:rPr>
          <w:rFonts w:cstheme="minorHAnsi"/>
          <w:i/>
          <w:sz w:val="24"/>
          <w:szCs w:val="24"/>
        </w:rPr>
        <w:t xml:space="preserve">BMC Health Services Research </w:t>
      </w:r>
      <w:r w:rsidRPr="009F0910">
        <w:rPr>
          <w:rFonts w:cstheme="minorHAnsi"/>
          <w:sz w:val="24"/>
          <w:szCs w:val="24"/>
        </w:rPr>
        <w:t xml:space="preserve">8: 92. </w:t>
      </w:r>
    </w:p>
    <w:p w14:paraId="0EA96F2B" w14:textId="77777777" w:rsidR="00113410" w:rsidRPr="009F0910" w:rsidRDefault="007025C9" w:rsidP="00113410">
      <w:pPr>
        <w:spacing w:after="0" w:line="480" w:lineRule="auto"/>
        <w:ind w:left="720"/>
        <w:contextualSpacing/>
        <w:rPr>
          <w:rFonts w:cstheme="minorHAnsi"/>
          <w:sz w:val="24"/>
          <w:szCs w:val="24"/>
        </w:rPr>
      </w:pPr>
      <w:hyperlink r:id="rId11" w:tgtFrame="_blank" w:history="1">
        <w:r w:rsidR="00113410" w:rsidRPr="009F0910">
          <w:rPr>
            <w:rStyle w:val="Hyperlink"/>
            <w:rFonts w:cstheme="minorHAnsi"/>
            <w:color w:val="auto"/>
            <w:sz w:val="24"/>
            <w:szCs w:val="24"/>
            <w:u w:val="none"/>
            <w:shd w:val="clear" w:color="auto" w:fill="FFFFFF"/>
          </w:rPr>
          <w:t>doi:10.1186/1472-6963-8-92</w:t>
        </w:r>
      </w:hyperlink>
    </w:p>
    <w:p w14:paraId="151A8CEE" w14:textId="17ACB698" w:rsidR="00113410" w:rsidRPr="009F0910" w:rsidRDefault="00113410" w:rsidP="00113410">
      <w:pPr>
        <w:spacing w:before="100" w:beforeAutospacing="1" w:after="100" w:afterAutospacing="1" w:line="480" w:lineRule="auto"/>
        <w:ind w:left="482" w:hanging="482"/>
        <w:contextualSpacing/>
        <w:rPr>
          <w:rFonts w:eastAsia="Times New Roman" w:cstheme="minorHAnsi"/>
          <w:sz w:val="24"/>
          <w:szCs w:val="24"/>
          <w:lang w:eastAsia="zh-TW"/>
        </w:rPr>
      </w:pPr>
      <w:r w:rsidRPr="009F0910">
        <w:rPr>
          <w:rFonts w:eastAsia="Times New Roman" w:cstheme="minorHAnsi"/>
          <w:sz w:val="24"/>
          <w:szCs w:val="24"/>
          <w:lang w:eastAsia="zh-TW"/>
        </w:rPr>
        <w:t xml:space="preserve">Harper, D. J. 1995. </w:t>
      </w:r>
      <w:r w:rsidR="00B37C49" w:rsidRPr="009F0910">
        <w:rPr>
          <w:rFonts w:eastAsia="Times New Roman" w:cstheme="minorHAnsi"/>
          <w:sz w:val="24"/>
          <w:szCs w:val="24"/>
          <w:lang w:eastAsia="zh-TW"/>
        </w:rPr>
        <w:t>“</w:t>
      </w:r>
      <w:r w:rsidRPr="009F0910">
        <w:rPr>
          <w:rFonts w:eastAsia="Times New Roman" w:cstheme="minorHAnsi"/>
          <w:sz w:val="24"/>
          <w:szCs w:val="24"/>
          <w:lang w:eastAsia="zh-TW"/>
        </w:rPr>
        <w:t xml:space="preserve">Discourse Analysis and </w:t>
      </w:r>
      <w:r w:rsidR="00B37C49" w:rsidRPr="009F0910">
        <w:rPr>
          <w:rFonts w:eastAsia="Times New Roman" w:cstheme="minorHAnsi"/>
          <w:sz w:val="24"/>
          <w:szCs w:val="24"/>
          <w:lang w:eastAsia="zh-TW"/>
        </w:rPr>
        <w:t>‘</w:t>
      </w:r>
      <w:r w:rsidRPr="009F0910">
        <w:rPr>
          <w:rFonts w:eastAsia="Times New Roman" w:cstheme="minorHAnsi"/>
          <w:sz w:val="24"/>
          <w:szCs w:val="24"/>
          <w:lang w:eastAsia="zh-TW"/>
        </w:rPr>
        <w:t>Mental Health</w:t>
      </w:r>
      <w:r w:rsidR="00B37C49" w:rsidRPr="009F0910">
        <w:rPr>
          <w:rFonts w:eastAsia="Times New Roman" w:cstheme="minorHAnsi"/>
          <w:sz w:val="24"/>
          <w:szCs w:val="24"/>
          <w:lang w:eastAsia="zh-TW"/>
        </w:rPr>
        <w:t>’.”</w:t>
      </w:r>
      <w:r w:rsidRPr="009F0910">
        <w:rPr>
          <w:rFonts w:eastAsia="Times New Roman" w:cstheme="minorHAnsi"/>
          <w:sz w:val="24"/>
          <w:szCs w:val="24"/>
          <w:lang w:eastAsia="zh-TW"/>
        </w:rPr>
        <w:t xml:space="preserve"> </w:t>
      </w:r>
      <w:r w:rsidRPr="009F0910">
        <w:rPr>
          <w:rFonts w:eastAsia="Times New Roman" w:cstheme="minorHAnsi"/>
          <w:i/>
          <w:iCs/>
          <w:sz w:val="24"/>
          <w:szCs w:val="24"/>
          <w:lang w:eastAsia="zh-TW"/>
        </w:rPr>
        <w:t>Journal of Mental Health</w:t>
      </w:r>
      <w:r w:rsidRPr="009F0910">
        <w:rPr>
          <w:rFonts w:eastAsia="Times New Roman" w:cstheme="minorHAnsi"/>
          <w:sz w:val="24"/>
          <w:szCs w:val="24"/>
          <w:lang w:eastAsia="zh-TW"/>
        </w:rPr>
        <w:t xml:space="preserve"> 4:</w:t>
      </w:r>
    </w:p>
    <w:p w14:paraId="369D44CD" w14:textId="77777777" w:rsidR="00113410" w:rsidRPr="009F0910" w:rsidRDefault="00113410" w:rsidP="00113410">
      <w:pPr>
        <w:spacing w:before="100" w:beforeAutospacing="1" w:after="100" w:afterAutospacing="1" w:line="480" w:lineRule="auto"/>
        <w:ind w:left="482" w:firstLine="238"/>
        <w:contextualSpacing/>
        <w:rPr>
          <w:rFonts w:eastAsia="Times New Roman" w:cstheme="minorHAnsi"/>
          <w:sz w:val="24"/>
          <w:szCs w:val="24"/>
          <w:lang w:eastAsia="zh-TW"/>
        </w:rPr>
      </w:pPr>
      <w:r w:rsidRPr="009F0910">
        <w:rPr>
          <w:rFonts w:eastAsia="Times New Roman" w:cstheme="minorHAnsi"/>
          <w:sz w:val="24"/>
          <w:szCs w:val="24"/>
          <w:lang w:eastAsia="zh-TW"/>
        </w:rPr>
        <w:t>347–358. doi:10.1080/09638239550037406</w:t>
      </w:r>
    </w:p>
    <w:p w14:paraId="4A654B1B" w14:textId="190A0878" w:rsidR="00113410" w:rsidRPr="009F0910" w:rsidRDefault="00113410" w:rsidP="00113410">
      <w:pPr>
        <w:spacing w:after="0" w:line="480" w:lineRule="auto"/>
        <w:contextualSpacing/>
        <w:rPr>
          <w:rFonts w:cstheme="minorHAnsi"/>
          <w:i/>
          <w:sz w:val="24"/>
          <w:szCs w:val="24"/>
        </w:rPr>
      </w:pPr>
      <w:r w:rsidRPr="009F0910">
        <w:rPr>
          <w:rFonts w:cstheme="minorHAnsi"/>
          <w:sz w:val="24"/>
          <w:szCs w:val="24"/>
          <w:lang w:val="de-DE"/>
        </w:rPr>
        <w:t xml:space="preserve">Hunter, K. M., and A. O. Ahmed. 2016. </w:t>
      </w:r>
      <w:r w:rsidR="00A172C7" w:rsidRPr="009F0910">
        <w:rPr>
          <w:rFonts w:cstheme="minorHAnsi"/>
          <w:sz w:val="24"/>
          <w:szCs w:val="24"/>
          <w:lang w:val="de-DE"/>
        </w:rPr>
        <w:t>„</w:t>
      </w:r>
      <w:r w:rsidRPr="009F0910">
        <w:rPr>
          <w:rFonts w:cstheme="minorHAnsi"/>
          <w:sz w:val="24"/>
          <w:szCs w:val="24"/>
        </w:rPr>
        <w:t>Sexuality and Sexual Health.</w:t>
      </w:r>
      <w:r w:rsidR="00A172C7" w:rsidRPr="009F0910">
        <w:rPr>
          <w:rFonts w:cstheme="minorHAnsi"/>
          <w:sz w:val="24"/>
          <w:szCs w:val="24"/>
        </w:rPr>
        <w:t>”</w:t>
      </w:r>
      <w:r w:rsidRPr="009F0910">
        <w:rPr>
          <w:rFonts w:cstheme="minorHAnsi"/>
          <w:sz w:val="24"/>
          <w:szCs w:val="24"/>
        </w:rPr>
        <w:t xml:space="preserve"> In </w:t>
      </w:r>
      <w:r w:rsidRPr="009F0910">
        <w:rPr>
          <w:rFonts w:cstheme="minorHAnsi"/>
          <w:i/>
          <w:sz w:val="24"/>
          <w:szCs w:val="24"/>
        </w:rPr>
        <w:t>Handbook of</w:t>
      </w:r>
    </w:p>
    <w:p w14:paraId="2AFF3476" w14:textId="77777777" w:rsidR="00113410" w:rsidRPr="009F0910" w:rsidRDefault="00113410" w:rsidP="00113410">
      <w:pPr>
        <w:spacing w:after="0" w:line="480" w:lineRule="auto"/>
        <w:ind w:left="720"/>
        <w:contextualSpacing/>
        <w:rPr>
          <w:rFonts w:cstheme="minorHAnsi"/>
          <w:sz w:val="24"/>
          <w:szCs w:val="24"/>
        </w:rPr>
      </w:pPr>
      <w:r w:rsidRPr="009F0910">
        <w:rPr>
          <w:rFonts w:cstheme="minorHAnsi"/>
          <w:i/>
          <w:sz w:val="24"/>
          <w:szCs w:val="24"/>
        </w:rPr>
        <w:t xml:space="preserve">Recovery in Inpatient Psychiatry, </w:t>
      </w:r>
      <w:r w:rsidRPr="009F0910">
        <w:rPr>
          <w:rFonts w:cstheme="minorHAnsi"/>
          <w:sz w:val="24"/>
          <w:szCs w:val="24"/>
        </w:rPr>
        <w:t xml:space="preserve">edited by N. N. Singh, J. W. Barber, and  S. </w:t>
      </w:r>
      <w:proofErr w:type="gramStart"/>
      <w:r w:rsidRPr="009F0910">
        <w:rPr>
          <w:rFonts w:cstheme="minorHAnsi"/>
          <w:sz w:val="24"/>
          <w:szCs w:val="24"/>
        </w:rPr>
        <w:t>Van</w:t>
      </w:r>
      <w:proofErr w:type="gramEnd"/>
      <w:r w:rsidRPr="009F0910">
        <w:rPr>
          <w:rFonts w:cstheme="minorHAnsi"/>
          <w:sz w:val="24"/>
          <w:szCs w:val="24"/>
        </w:rPr>
        <w:t xml:space="preserve"> Sant, 59–79. New York: Springer.</w:t>
      </w:r>
    </w:p>
    <w:p w14:paraId="1B8C4AB1" w14:textId="11F3C0CC"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Jacob, J. D., and D. Holmes. 2011. </w:t>
      </w:r>
      <w:r w:rsidR="00B37C49" w:rsidRPr="009F0910">
        <w:rPr>
          <w:rFonts w:cstheme="minorHAnsi"/>
          <w:sz w:val="24"/>
          <w:szCs w:val="24"/>
        </w:rPr>
        <w:t>“</w:t>
      </w:r>
      <w:r w:rsidRPr="009F0910">
        <w:rPr>
          <w:rFonts w:cstheme="minorHAnsi"/>
          <w:sz w:val="24"/>
          <w:szCs w:val="24"/>
        </w:rPr>
        <w:t xml:space="preserve">The Culture of Fear: Expanding the Concept of Risk in </w:t>
      </w:r>
    </w:p>
    <w:p w14:paraId="701A2823" w14:textId="602CBFE1" w:rsidR="00113410" w:rsidRPr="009F0910" w:rsidRDefault="00113410" w:rsidP="00113410">
      <w:pPr>
        <w:spacing w:after="0" w:line="480" w:lineRule="auto"/>
        <w:ind w:left="720"/>
        <w:contextualSpacing/>
        <w:rPr>
          <w:rFonts w:cstheme="minorHAnsi"/>
          <w:sz w:val="24"/>
          <w:szCs w:val="24"/>
        </w:rPr>
      </w:pPr>
      <w:r w:rsidRPr="009F0910">
        <w:rPr>
          <w:rFonts w:cstheme="minorHAnsi"/>
          <w:sz w:val="24"/>
          <w:szCs w:val="24"/>
        </w:rPr>
        <w:t>Forensic Psychiatric Nursing.</w:t>
      </w:r>
      <w:r w:rsidR="00B37C49" w:rsidRPr="009F0910">
        <w:rPr>
          <w:rFonts w:cstheme="minorHAnsi"/>
          <w:sz w:val="24"/>
          <w:szCs w:val="24"/>
        </w:rPr>
        <w:t>”</w:t>
      </w:r>
      <w:r w:rsidRPr="009F0910">
        <w:rPr>
          <w:rFonts w:cstheme="minorHAnsi"/>
          <w:sz w:val="24"/>
          <w:szCs w:val="24"/>
        </w:rPr>
        <w:t xml:space="preserve"> </w:t>
      </w:r>
      <w:r w:rsidRPr="009F0910">
        <w:rPr>
          <w:rFonts w:cstheme="minorHAnsi"/>
          <w:i/>
          <w:sz w:val="24"/>
          <w:szCs w:val="24"/>
        </w:rPr>
        <w:t xml:space="preserve">International Journal of Culture and Mental Health  </w:t>
      </w:r>
      <w:r w:rsidRPr="009F0910">
        <w:rPr>
          <w:rFonts w:cstheme="minorHAnsi"/>
          <w:sz w:val="24"/>
          <w:szCs w:val="24"/>
        </w:rPr>
        <w:t>4: 106-115. doi:</w:t>
      </w:r>
      <w:hyperlink r:id="rId12" w:history="1">
        <w:r w:rsidRPr="009F0910">
          <w:rPr>
            <w:rStyle w:val="Hyperlink"/>
            <w:rFonts w:cstheme="minorHAnsi"/>
            <w:color w:val="auto"/>
            <w:sz w:val="24"/>
            <w:szCs w:val="24"/>
            <w:u w:val="none"/>
          </w:rPr>
          <w:t>10.1080/17542863.2010.519123</w:t>
        </w:r>
      </w:hyperlink>
    </w:p>
    <w:p w14:paraId="3682BDA0" w14:textId="175ECAAB" w:rsidR="00113410" w:rsidRPr="009F0910" w:rsidRDefault="00113410" w:rsidP="00113410">
      <w:pPr>
        <w:spacing w:after="0" w:line="480" w:lineRule="auto"/>
        <w:contextualSpacing/>
        <w:rPr>
          <w:rFonts w:cstheme="minorHAnsi"/>
          <w:i/>
          <w:sz w:val="24"/>
          <w:szCs w:val="24"/>
        </w:rPr>
      </w:pPr>
      <w:r w:rsidRPr="009F0910">
        <w:rPr>
          <w:rFonts w:cstheme="minorHAnsi"/>
          <w:sz w:val="24"/>
          <w:szCs w:val="24"/>
          <w:lang w:val="de-DE"/>
        </w:rPr>
        <w:t>Kawachi, I., and L. F. Berkman. 2001.</w:t>
      </w:r>
      <w:r w:rsidR="00B37C49" w:rsidRPr="009F0910">
        <w:rPr>
          <w:rFonts w:cstheme="minorHAnsi"/>
          <w:sz w:val="24"/>
          <w:szCs w:val="24"/>
          <w:lang w:val="de-DE"/>
        </w:rPr>
        <w:t xml:space="preserve"> </w:t>
      </w:r>
      <w:r w:rsidR="00DA718F" w:rsidRPr="009F0910">
        <w:rPr>
          <w:rFonts w:cstheme="minorHAnsi"/>
          <w:sz w:val="24"/>
          <w:szCs w:val="24"/>
        </w:rPr>
        <w:t>“</w:t>
      </w:r>
      <w:r w:rsidRPr="009F0910">
        <w:rPr>
          <w:rFonts w:cstheme="minorHAnsi"/>
          <w:sz w:val="24"/>
          <w:szCs w:val="24"/>
        </w:rPr>
        <w:t>Social Ties and Mental Health.</w:t>
      </w:r>
      <w:r w:rsidR="00DA718F" w:rsidRPr="009F0910">
        <w:rPr>
          <w:rFonts w:cstheme="minorHAnsi"/>
          <w:sz w:val="24"/>
          <w:szCs w:val="24"/>
        </w:rPr>
        <w:t>”</w:t>
      </w:r>
      <w:r w:rsidRPr="009F0910">
        <w:rPr>
          <w:rFonts w:cstheme="minorHAnsi"/>
          <w:sz w:val="24"/>
          <w:szCs w:val="24"/>
        </w:rPr>
        <w:t xml:space="preserve"> </w:t>
      </w:r>
      <w:r w:rsidRPr="009F0910">
        <w:rPr>
          <w:rFonts w:cstheme="minorHAnsi"/>
          <w:i/>
          <w:sz w:val="24"/>
          <w:szCs w:val="24"/>
        </w:rPr>
        <w:t xml:space="preserve">Urban Health </w:t>
      </w:r>
      <w:r w:rsidRPr="009F0910">
        <w:rPr>
          <w:rFonts w:cstheme="minorHAnsi"/>
          <w:sz w:val="24"/>
          <w:szCs w:val="24"/>
        </w:rPr>
        <w:t>78:</w:t>
      </w:r>
      <w:r w:rsidRPr="009F0910">
        <w:rPr>
          <w:rFonts w:cstheme="minorHAnsi"/>
          <w:i/>
          <w:sz w:val="24"/>
          <w:szCs w:val="24"/>
        </w:rPr>
        <w:t xml:space="preserve"> </w:t>
      </w:r>
    </w:p>
    <w:p w14:paraId="50B18727" w14:textId="77777777" w:rsidR="00113410" w:rsidRPr="009F0910" w:rsidRDefault="00113410" w:rsidP="00113410">
      <w:pPr>
        <w:spacing w:after="0" w:line="480" w:lineRule="auto"/>
        <w:ind w:left="720"/>
        <w:contextualSpacing/>
        <w:rPr>
          <w:rFonts w:cstheme="minorHAnsi"/>
          <w:b/>
          <w:bCs/>
          <w:sz w:val="24"/>
          <w:szCs w:val="24"/>
        </w:rPr>
      </w:pPr>
      <w:r w:rsidRPr="009F0910">
        <w:rPr>
          <w:rFonts w:cstheme="minorHAnsi"/>
          <w:sz w:val="24"/>
          <w:szCs w:val="24"/>
        </w:rPr>
        <w:t>453-467. Retrieved from https://www.ncbi.nlm.nih.gov/pmc/articles/PMC3455910/pdf/11524_2006_Article_44.pdf</w:t>
      </w:r>
    </w:p>
    <w:p w14:paraId="459ACFD0" w14:textId="4F17BFAE" w:rsidR="00113410" w:rsidRPr="009F0910" w:rsidRDefault="00113410" w:rsidP="00113410">
      <w:pPr>
        <w:pStyle w:val="NormalWeb"/>
        <w:spacing w:before="0" w:beforeAutospacing="0" w:after="0" w:afterAutospacing="0" w:line="480" w:lineRule="auto"/>
        <w:contextualSpacing/>
        <w:rPr>
          <w:rFonts w:asciiTheme="minorHAnsi" w:hAnsiTheme="minorHAnsi" w:cstheme="minorHAnsi"/>
        </w:rPr>
      </w:pPr>
      <w:r w:rsidRPr="009F0910">
        <w:rPr>
          <w:rFonts w:asciiTheme="minorHAnsi" w:hAnsiTheme="minorHAnsi" w:cstheme="minorHAnsi"/>
        </w:rPr>
        <w:t xml:space="preserve">Kitzinger, J. 1994. </w:t>
      </w:r>
      <w:r w:rsidR="00DA718F" w:rsidRPr="009F0910">
        <w:rPr>
          <w:rFonts w:asciiTheme="minorHAnsi" w:hAnsiTheme="minorHAnsi" w:cstheme="minorHAnsi"/>
        </w:rPr>
        <w:t>“</w:t>
      </w:r>
      <w:r w:rsidRPr="009F0910">
        <w:rPr>
          <w:rFonts w:asciiTheme="minorHAnsi" w:hAnsiTheme="minorHAnsi" w:cstheme="minorHAnsi"/>
        </w:rPr>
        <w:t xml:space="preserve">The Methodology of Focus Groups: The Importance of Interaction </w:t>
      </w:r>
    </w:p>
    <w:p w14:paraId="5F2346F0" w14:textId="34806668" w:rsidR="00113410" w:rsidRPr="009F0910" w:rsidRDefault="00113410" w:rsidP="00113410">
      <w:pPr>
        <w:pStyle w:val="NormalWeb"/>
        <w:spacing w:before="0" w:beforeAutospacing="0" w:after="0" w:afterAutospacing="0" w:line="480" w:lineRule="auto"/>
        <w:ind w:left="720"/>
        <w:contextualSpacing/>
        <w:rPr>
          <w:rFonts w:asciiTheme="minorHAnsi" w:hAnsiTheme="minorHAnsi" w:cstheme="minorHAnsi"/>
        </w:rPr>
      </w:pPr>
      <w:r w:rsidRPr="009F0910">
        <w:rPr>
          <w:rFonts w:asciiTheme="minorHAnsi" w:hAnsiTheme="minorHAnsi" w:cstheme="minorHAnsi"/>
        </w:rPr>
        <w:t>Between Research Participants.</w:t>
      </w:r>
      <w:r w:rsidR="00DA718F" w:rsidRPr="009F0910">
        <w:rPr>
          <w:rFonts w:asciiTheme="minorHAnsi" w:hAnsiTheme="minorHAnsi" w:cstheme="minorHAnsi"/>
        </w:rPr>
        <w:t>”</w:t>
      </w:r>
      <w:r w:rsidRPr="009F0910">
        <w:rPr>
          <w:rFonts w:asciiTheme="minorHAnsi" w:hAnsiTheme="minorHAnsi" w:cstheme="minorHAnsi"/>
        </w:rPr>
        <w:t xml:space="preserve"> </w:t>
      </w:r>
      <w:r w:rsidRPr="009F0910">
        <w:rPr>
          <w:rFonts w:asciiTheme="minorHAnsi" w:hAnsiTheme="minorHAnsi" w:cstheme="minorHAnsi"/>
          <w:i/>
          <w:iCs/>
        </w:rPr>
        <w:t>Sociology of Health and  Illness</w:t>
      </w:r>
      <w:r w:rsidRPr="009F0910">
        <w:rPr>
          <w:rFonts w:asciiTheme="minorHAnsi" w:hAnsiTheme="minorHAnsi" w:cstheme="minorHAnsi"/>
        </w:rPr>
        <w:t xml:space="preserve"> </w:t>
      </w:r>
      <w:r w:rsidRPr="009F0910">
        <w:rPr>
          <w:rFonts w:asciiTheme="minorHAnsi" w:hAnsiTheme="minorHAnsi" w:cstheme="minorHAnsi"/>
          <w:iCs/>
        </w:rPr>
        <w:t>16:</w:t>
      </w:r>
      <w:r w:rsidRPr="009F0910">
        <w:rPr>
          <w:rFonts w:asciiTheme="minorHAnsi" w:hAnsiTheme="minorHAnsi" w:cstheme="minorHAnsi"/>
        </w:rPr>
        <w:t xml:space="preserve"> 103–121. doi:10.1111/1467-9566.ep11347023</w:t>
      </w:r>
    </w:p>
    <w:p w14:paraId="67654000" w14:textId="6ABDE06E" w:rsidR="00113410" w:rsidRPr="009F0910" w:rsidRDefault="003958E1" w:rsidP="00113410">
      <w:pPr>
        <w:spacing w:after="0" w:line="480" w:lineRule="auto"/>
        <w:ind w:left="480" w:hanging="480"/>
        <w:contextualSpacing/>
        <w:rPr>
          <w:rFonts w:eastAsia="Times New Roman" w:cstheme="minorHAnsi"/>
          <w:sz w:val="24"/>
          <w:szCs w:val="24"/>
          <w:lang w:eastAsia="en-GB"/>
        </w:rPr>
      </w:pPr>
      <w:r>
        <w:rPr>
          <w:rFonts w:eastAsia="Times New Roman" w:cstheme="minorHAnsi"/>
          <w:sz w:val="24"/>
          <w:szCs w:val="24"/>
          <w:lang w:eastAsia="en-GB"/>
        </w:rPr>
        <w:t>McCann, E. 2000</w:t>
      </w:r>
      <w:r w:rsidR="00113410" w:rsidRPr="009F0910">
        <w:rPr>
          <w:rFonts w:eastAsia="Times New Roman" w:cstheme="minorHAnsi"/>
          <w:sz w:val="24"/>
          <w:szCs w:val="24"/>
          <w:lang w:eastAsia="en-GB"/>
        </w:rPr>
        <w:t>.</w:t>
      </w:r>
      <w:r w:rsidR="00DA718F" w:rsidRPr="009F0910">
        <w:rPr>
          <w:rFonts w:eastAsia="Times New Roman" w:cstheme="minorHAnsi"/>
          <w:sz w:val="24"/>
          <w:szCs w:val="24"/>
          <w:lang w:eastAsia="en-GB"/>
        </w:rPr>
        <w:t xml:space="preserve"> “</w:t>
      </w:r>
      <w:r w:rsidR="00113410" w:rsidRPr="009F0910">
        <w:rPr>
          <w:rFonts w:eastAsia="Times New Roman" w:cstheme="minorHAnsi"/>
          <w:sz w:val="24"/>
          <w:szCs w:val="24"/>
          <w:lang w:eastAsia="en-GB"/>
        </w:rPr>
        <w:t>The Expression of Sexuality in People with Psychosis: Breaking</w:t>
      </w:r>
    </w:p>
    <w:p w14:paraId="32551F89" w14:textId="52D28E55" w:rsidR="00113410" w:rsidRPr="009F0910" w:rsidRDefault="00113410" w:rsidP="00113410">
      <w:pPr>
        <w:spacing w:after="0" w:line="480" w:lineRule="auto"/>
        <w:ind w:left="480" w:firstLine="240"/>
        <w:contextualSpacing/>
        <w:rPr>
          <w:rFonts w:eastAsia="Times New Roman" w:cstheme="minorHAnsi"/>
          <w:sz w:val="24"/>
          <w:szCs w:val="24"/>
          <w:lang w:eastAsia="en-GB"/>
        </w:rPr>
      </w:pPr>
      <w:r w:rsidRPr="009F0910">
        <w:rPr>
          <w:rFonts w:eastAsia="Times New Roman" w:cstheme="minorHAnsi"/>
          <w:sz w:val="24"/>
          <w:szCs w:val="24"/>
          <w:lang w:eastAsia="en-GB"/>
        </w:rPr>
        <w:t>the Taboos.</w:t>
      </w:r>
      <w:r w:rsidR="00DA718F" w:rsidRPr="009F0910">
        <w:rPr>
          <w:rFonts w:eastAsia="Times New Roman" w:cstheme="minorHAnsi"/>
          <w:sz w:val="24"/>
          <w:szCs w:val="24"/>
          <w:lang w:eastAsia="en-GB"/>
        </w:rPr>
        <w:t>”</w:t>
      </w:r>
      <w:r w:rsidRPr="009F0910">
        <w:rPr>
          <w:rFonts w:eastAsia="Times New Roman" w:cstheme="minorHAnsi"/>
          <w:sz w:val="24"/>
          <w:szCs w:val="24"/>
          <w:lang w:eastAsia="en-GB"/>
        </w:rPr>
        <w:t xml:space="preserve"> </w:t>
      </w:r>
      <w:r w:rsidRPr="009F0910">
        <w:rPr>
          <w:rFonts w:eastAsia="Times New Roman" w:cstheme="minorHAnsi"/>
          <w:i/>
          <w:iCs/>
          <w:sz w:val="24"/>
          <w:szCs w:val="24"/>
          <w:lang w:eastAsia="en-GB"/>
        </w:rPr>
        <w:t>Journal of Advanced Nursing</w:t>
      </w:r>
      <w:r w:rsidRPr="009F0910">
        <w:rPr>
          <w:rFonts w:eastAsia="Times New Roman" w:cstheme="minorHAnsi"/>
          <w:sz w:val="24"/>
          <w:szCs w:val="24"/>
          <w:lang w:eastAsia="en-GB"/>
        </w:rPr>
        <w:t xml:space="preserve">, </w:t>
      </w:r>
      <w:r w:rsidRPr="009F0910">
        <w:rPr>
          <w:rFonts w:eastAsia="Times New Roman" w:cstheme="minorHAnsi"/>
          <w:iCs/>
          <w:sz w:val="24"/>
          <w:szCs w:val="24"/>
          <w:lang w:eastAsia="en-GB"/>
        </w:rPr>
        <w:t>32:</w:t>
      </w:r>
      <w:r w:rsidRPr="009F0910">
        <w:rPr>
          <w:rFonts w:eastAsia="Times New Roman" w:cstheme="minorHAnsi"/>
          <w:sz w:val="24"/>
          <w:szCs w:val="24"/>
          <w:lang w:eastAsia="en-GB"/>
        </w:rPr>
        <w:t xml:space="preserve"> 132–138. </w:t>
      </w:r>
    </w:p>
    <w:p w14:paraId="06A794F4" w14:textId="77777777" w:rsidR="00113410" w:rsidRPr="009F0910" w:rsidRDefault="00113410" w:rsidP="00113410">
      <w:pPr>
        <w:spacing w:after="0" w:line="480" w:lineRule="auto"/>
        <w:ind w:left="480" w:firstLine="240"/>
        <w:contextualSpacing/>
        <w:rPr>
          <w:rFonts w:eastAsia="Times New Roman" w:cstheme="minorHAnsi"/>
          <w:sz w:val="24"/>
          <w:szCs w:val="24"/>
          <w:lang w:eastAsia="en-GB"/>
        </w:rPr>
      </w:pPr>
      <w:r w:rsidRPr="009F0910">
        <w:rPr>
          <w:rFonts w:eastAsia="Times New Roman" w:cstheme="minorHAnsi"/>
          <w:sz w:val="24"/>
          <w:szCs w:val="24"/>
          <w:lang w:eastAsia="en-GB"/>
        </w:rPr>
        <w:t>doi:10.1046/j.1365-2648.2000.01452.x</w:t>
      </w:r>
    </w:p>
    <w:p w14:paraId="660A015F" w14:textId="0D49B1C8"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McCann, E. 2010. </w:t>
      </w:r>
      <w:r w:rsidR="00DA718F" w:rsidRPr="009F0910">
        <w:rPr>
          <w:rFonts w:cstheme="minorHAnsi"/>
          <w:sz w:val="24"/>
          <w:szCs w:val="24"/>
        </w:rPr>
        <w:t>“</w:t>
      </w:r>
      <w:r w:rsidRPr="009F0910">
        <w:rPr>
          <w:rFonts w:cstheme="minorHAnsi"/>
          <w:sz w:val="24"/>
          <w:szCs w:val="24"/>
        </w:rPr>
        <w:t>Investigating Mental Health Service User Views Regarding Sexual and</w:t>
      </w:r>
    </w:p>
    <w:p w14:paraId="28E38436" w14:textId="76370603" w:rsidR="00113410" w:rsidRPr="009F0910" w:rsidRDefault="00113410" w:rsidP="00113410">
      <w:pPr>
        <w:spacing w:after="0" w:line="480" w:lineRule="auto"/>
        <w:ind w:left="720"/>
        <w:contextualSpacing/>
        <w:rPr>
          <w:rFonts w:cstheme="minorHAnsi"/>
          <w:sz w:val="24"/>
          <w:szCs w:val="24"/>
        </w:rPr>
      </w:pPr>
      <w:r w:rsidRPr="009F0910">
        <w:rPr>
          <w:rFonts w:cstheme="minorHAnsi"/>
          <w:sz w:val="24"/>
          <w:szCs w:val="24"/>
        </w:rPr>
        <w:t>Relationship Issues.</w:t>
      </w:r>
      <w:r w:rsidR="00DA718F" w:rsidRPr="009F0910">
        <w:rPr>
          <w:rFonts w:cstheme="minorHAnsi"/>
          <w:sz w:val="24"/>
          <w:szCs w:val="24"/>
        </w:rPr>
        <w:t>”</w:t>
      </w:r>
      <w:r w:rsidRPr="009F0910">
        <w:rPr>
          <w:rFonts w:cstheme="minorHAnsi"/>
          <w:sz w:val="24"/>
          <w:szCs w:val="24"/>
        </w:rPr>
        <w:t xml:space="preserve"> </w:t>
      </w:r>
      <w:r w:rsidRPr="009F0910">
        <w:rPr>
          <w:rFonts w:cstheme="minorHAnsi"/>
          <w:i/>
          <w:iCs/>
          <w:sz w:val="24"/>
          <w:szCs w:val="24"/>
        </w:rPr>
        <w:t xml:space="preserve">Journal of Psychiatric and Mental Health Nursing </w:t>
      </w:r>
      <w:r w:rsidRPr="009F0910">
        <w:rPr>
          <w:rFonts w:cstheme="minorHAnsi"/>
          <w:iCs/>
          <w:sz w:val="24"/>
          <w:szCs w:val="24"/>
        </w:rPr>
        <w:t>17</w:t>
      </w:r>
      <w:r w:rsidRPr="009F0910">
        <w:rPr>
          <w:rFonts w:cstheme="minorHAnsi"/>
          <w:sz w:val="24"/>
          <w:szCs w:val="24"/>
        </w:rPr>
        <w:t>: 251-259. doi:</w:t>
      </w:r>
      <w:r w:rsidRPr="009F0910">
        <w:rPr>
          <w:rFonts w:cstheme="minorHAnsi"/>
          <w:sz w:val="24"/>
          <w:szCs w:val="24"/>
          <w:shd w:val="clear" w:color="auto" w:fill="FFFFFF"/>
        </w:rPr>
        <w:t>10.1111/j.1365-2850.2009.01509.x</w:t>
      </w:r>
    </w:p>
    <w:p w14:paraId="04053E9A" w14:textId="77777777" w:rsidR="00A172C7" w:rsidRPr="009F0910" w:rsidRDefault="00113410" w:rsidP="00A172C7">
      <w:pPr>
        <w:spacing w:after="0" w:line="480" w:lineRule="auto"/>
        <w:contextualSpacing/>
        <w:rPr>
          <w:rFonts w:cstheme="minorHAnsi"/>
          <w:sz w:val="24"/>
          <w:szCs w:val="24"/>
        </w:rPr>
      </w:pPr>
      <w:r w:rsidRPr="009F0910">
        <w:rPr>
          <w:rFonts w:cstheme="minorHAnsi"/>
          <w:sz w:val="24"/>
          <w:szCs w:val="24"/>
        </w:rPr>
        <w:lastRenderedPageBreak/>
        <w:t xml:space="preserve">Moghaddam, F., and R. </w:t>
      </w:r>
      <w:proofErr w:type="spellStart"/>
      <w:r w:rsidRPr="009F0910">
        <w:rPr>
          <w:rFonts w:cstheme="minorHAnsi"/>
          <w:sz w:val="24"/>
          <w:szCs w:val="24"/>
        </w:rPr>
        <w:t>Harré</w:t>
      </w:r>
      <w:proofErr w:type="spellEnd"/>
      <w:r w:rsidRPr="009F0910">
        <w:rPr>
          <w:rFonts w:cstheme="minorHAnsi"/>
          <w:sz w:val="24"/>
          <w:szCs w:val="24"/>
        </w:rPr>
        <w:t xml:space="preserve">, R. 2010. </w:t>
      </w:r>
      <w:r w:rsidR="00A172C7" w:rsidRPr="009F0910">
        <w:rPr>
          <w:rFonts w:cstheme="minorHAnsi"/>
          <w:sz w:val="24"/>
          <w:szCs w:val="24"/>
        </w:rPr>
        <w:t>“</w:t>
      </w:r>
      <w:r w:rsidRPr="009F0910">
        <w:rPr>
          <w:rFonts w:cstheme="minorHAnsi"/>
          <w:sz w:val="24"/>
          <w:szCs w:val="24"/>
        </w:rPr>
        <w:t>Words, Conflicts, and Political Processes.</w:t>
      </w:r>
      <w:r w:rsidR="00A172C7" w:rsidRPr="009F0910">
        <w:rPr>
          <w:rFonts w:cstheme="minorHAnsi"/>
          <w:sz w:val="24"/>
          <w:szCs w:val="24"/>
        </w:rPr>
        <w:t>”</w:t>
      </w:r>
      <w:r w:rsidRPr="009F0910">
        <w:rPr>
          <w:rFonts w:cstheme="minorHAnsi"/>
          <w:sz w:val="24"/>
          <w:szCs w:val="24"/>
        </w:rPr>
        <w:t xml:space="preserve"> In</w:t>
      </w:r>
    </w:p>
    <w:p w14:paraId="1A9CA1F1" w14:textId="223FC8C0" w:rsidR="00113410" w:rsidRPr="009F0910" w:rsidRDefault="00113410" w:rsidP="00A172C7">
      <w:pPr>
        <w:spacing w:after="0" w:line="480" w:lineRule="auto"/>
        <w:ind w:left="720"/>
        <w:contextualSpacing/>
        <w:rPr>
          <w:rFonts w:cstheme="minorHAnsi"/>
          <w:sz w:val="24"/>
          <w:szCs w:val="24"/>
        </w:rPr>
      </w:pPr>
      <w:r w:rsidRPr="009F0910">
        <w:rPr>
          <w:rFonts w:cstheme="minorHAnsi"/>
          <w:i/>
          <w:iCs/>
          <w:sz w:val="24"/>
          <w:szCs w:val="24"/>
        </w:rPr>
        <w:t>Words</w:t>
      </w:r>
      <w:r w:rsidR="00A172C7" w:rsidRPr="009F0910">
        <w:rPr>
          <w:rFonts w:cstheme="minorHAnsi"/>
          <w:i/>
          <w:iCs/>
          <w:sz w:val="24"/>
          <w:szCs w:val="24"/>
        </w:rPr>
        <w:t xml:space="preserve"> </w:t>
      </w:r>
      <w:r w:rsidRPr="009F0910">
        <w:rPr>
          <w:rFonts w:cstheme="minorHAnsi"/>
          <w:i/>
          <w:iCs/>
          <w:sz w:val="24"/>
          <w:szCs w:val="24"/>
        </w:rPr>
        <w:t xml:space="preserve">of Conflict, Words of War, </w:t>
      </w:r>
      <w:r w:rsidRPr="009F0910">
        <w:rPr>
          <w:rFonts w:cstheme="minorHAnsi"/>
          <w:iCs/>
          <w:sz w:val="24"/>
          <w:szCs w:val="24"/>
        </w:rPr>
        <w:t xml:space="preserve">edited by </w:t>
      </w:r>
      <w:r w:rsidRPr="009F0910">
        <w:rPr>
          <w:rFonts w:cstheme="minorHAnsi"/>
          <w:sz w:val="24"/>
          <w:szCs w:val="24"/>
        </w:rPr>
        <w:t xml:space="preserve">F. Moghaddam and  R. </w:t>
      </w:r>
      <w:proofErr w:type="spellStart"/>
      <w:r w:rsidRPr="009F0910">
        <w:rPr>
          <w:rFonts w:cstheme="minorHAnsi"/>
          <w:sz w:val="24"/>
          <w:szCs w:val="24"/>
        </w:rPr>
        <w:t>Harré</w:t>
      </w:r>
      <w:proofErr w:type="spellEnd"/>
      <w:r w:rsidRPr="009F0910">
        <w:rPr>
          <w:rFonts w:cstheme="minorHAnsi"/>
          <w:sz w:val="24"/>
          <w:szCs w:val="24"/>
        </w:rPr>
        <w:t xml:space="preserve">, 1–27. Oxford: </w:t>
      </w:r>
      <w:proofErr w:type="spellStart"/>
      <w:r w:rsidRPr="009F0910">
        <w:rPr>
          <w:rFonts w:cstheme="minorHAnsi"/>
          <w:sz w:val="24"/>
          <w:szCs w:val="24"/>
        </w:rPr>
        <w:t>Praegar</w:t>
      </w:r>
      <w:proofErr w:type="spellEnd"/>
      <w:r w:rsidRPr="009F0910">
        <w:rPr>
          <w:rFonts w:cstheme="minorHAnsi"/>
          <w:sz w:val="24"/>
          <w:szCs w:val="24"/>
        </w:rPr>
        <w:t xml:space="preserve"> </w:t>
      </w:r>
    </w:p>
    <w:p w14:paraId="05FD49FC" w14:textId="280F3217"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Mossman, D., M. L. Perlin, and  D. A. Dorfman. 1997. </w:t>
      </w:r>
      <w:r w:rsidR="00640C1F" w:rsidRPr="009F0910">
        <w:rPr>
          <w:rFonts w:cstheme="minorHAnsi"/>
          <w:sz w:val="24"/>
          <w:szCs w:val="24"/>
        </w:rPr>
        <w:t>“</w:t>
      </w:r>
      <w:r w:rsidRPr="009F0910">
        <w:rPr>
          <w:rFonts w:cstheme="minorHAnsi"/>
          <w:sz w:val="24"/>
          <w:szCs w:val="24"/>
        </w:rPr>
        <w:t xml:space="preserve">Sex on the Wards: </w:t>
      </w:r>
      <w:proofErr w:type="spellStart"/>
      <w:r w:rsidRPr="009F0910">
        <w:rPr>
          <w:rFonts w:cstheme="minorHAnsi"/>
          <w:sz w:val="24"/>
          <w:szCs w:val="24"/>
        </w:rPr>
        <w:t>Conundra</w:t>
      </w:r>
      <w:proofErr w:type="spellEnd"/>
      <w:r w:rsidRPr="009F0910">
        <w:rPr>
          <w:rFonts w:cstheme="minorHAnsi"/>
          <w:sz w:val="24"/>
          <w:szCs w:val="24"/>
        </w:rPr>
        <w:t xml:space="preserve"> for </w:t>
      </w:r>
    </w:p>
    <w:p w14:paraId="610BFB32" w14:textId="0BEF2841" w:rsidR="00113410" w:rsidRPr="003958E1" w:rsidRDefault="00113410" w:rsidP="00113410">
      <w:pPr>
        <w:spacing w:after="0" w:line="480" w:lineRule="auto"/>
        <w:ind w:left="720"/>
        <w:contextualSpacing/>
        <w:rPr>
          <w:rFonts w:cstheme="minorHAnsi"/>
          <w:sz w:val="24"/>
          <w:szCs w:val="24"/>
        </w:rPr>
      </w:pPr>
      <w:r w:rsidRPr="009F0910">
        <w:rPr>
          <w:rFonts w:cstheme="minorHAnsi"/>
          <w:sz w:val="24"/>
          <w:szCs w:val="24"/>
        </w:rPr>
        <w:t>Clinicians.</w:t>
      </w:r>
      <w:r w:rsidR="00640C1F" w:rsidRPr="009F0910">
        <w:rPr>
          <w:rFonts w:cstheme="minorHAnsi"/>
          <w:sz w:val="24"/>
          <w:szCs w:val="24"/>
        </w:rPr>
        <w:t>”</w:t>
      </w:r>
      <w:r w:rsidRPr="009F0910">
        <w:rPr>
          <w:rFonts w:cstheme="minorHAnsi"/>
          <w:sz w:val="24"/>
          <w:szCs w:val="24"/>
        </w:rPr>
        <w:t xml:space="preserve"> </w:t>
      </w:r>
      <w:r w:rsidRPr="009F0910">
        <w:rPr>
          <w:rFonts w:cstheme="minorHAnsi"/>
          <w:i/>
          <w:sz w:val="24"/>
          <w:szCs w:val="24"/>
        </w:rPr>
        <w:t xml:space="preserve">Journal of the American Academy of Psychiatry and the Law </w:t>
      </w:r>
      <w:r w:rsidRPr="009F0910">
        <w:rPr>
          <w:rFonts w:cstheme="minorHAnsi"/>
          <w:sz w:val="24"/>
          <w:szCs w:val="24"/>
        </w:rPr>
        <w:t xml:space="preserve">25: 441-459. Retrieved from </w:t>
      </w:r>
      <w:hyperlink r:id="rId13" w:history="1">
        <w:r w:rsidRPr="003958E1">
          <w:rPr>
            <w:rStyle w:val="Hyperlink"/>
            <w:rFonts w:cstheme="minorHAnsi"/>
            <w:color w:val="auto"/>
            <w:sz w:val="24"/>
            <w:szCs w:val="24"/>
            <w:u w:val="none"/>
          </w:rPr>
          <w:t>http://jaapl.org/content/jaapl/25/4/441.full.pdf</w:t>
        </w:r>
      </w:hyperlink>
    </w:p>
    <w:p w14:paraId="23B0A547" w14:textId="77777777" w:rsidR="00113410" w:rsidRPr="009F0910" w:rsidRDefault="00113410" w:rsidP="00113410">
      <w:pPr>
        <w:spacing w:after="0" w:line="480" w:lineRule="auto"/>
        <w:contextualSpacing/>
        <w:rPr>
          <w:rFonts w:cstheme="minorHAnsi"/>
          <w:i/>
          <w:iCs/>
          <w:sz w:val="24"/>
          <w:szCs w:val="24"/>
        </w:rPr>
      </w:pPr>
      <w:r w:rsidRPr="009F0910">
        <w:rPr>
          <w:rFonts w:cstheme="minorHAnsi"/>
          <w:sz w:val="24"/>
          <w:szCs w:val="24"/>
        </w:rPr>
        <w:t xml:space="preserve">Parker, I. 1992. </w:t>
      </w:r>
      <w:r w:rsidRPr="009F0910">
        <w:rPr>
          <w:rFonts w:cstheme="minorHAnsi"/>
          <w:i/>
          <w:iCs/>
          <w:sz w:val="24"/>
          <w:szCs w:val="24"/>
        </w:rPr>
        <w:t xml:space="preserve">Discourse Dynamics: Critical Analysis for Social and Individual </w:t>
      </w:r>
    </w:p>
    <w:p w14:paraId="4AC14ECA" w14:textId="77777777" w:rsidR="00113410" w:rsidRPr="009F0910" w:rsidRDefault="00113410" w:rsidP="00113410">
      <w:pPr>
        <w:spacing w:after="0" w:line="480" w:lineRule="auto"/>
        <w:ind w:firstLine="720"/>
        <w:contextualSpacing/>
        <w:rPr>
          <w:rFonts w:cstheme="minorHAnsi"/>
          <w:sz w:val="24"/>
          <w:szCs w:val="24"/>
        </w:rPr>
      </w:pPr>
      <w:r w:rsidRPr="009F0910">
        <w:rPr>
          <w:rFonts w:cstheme="minorHAnsi"/>
          <w:i/>
          <w:iCs/>
          <w:sz w:val="24"/>
          <w:szCs w:val="24"/>
        </w:rPr>
        <w:t>Psychology</w:t>
      </w:r>
      <w:r w:rsidRPr="009F0910">
        <w:rPr>
          <w:rFonts w:cstheme="minorHAnsi"/>
          <w:sz w:val="24"/>
          <w:szCs w:val="24"/>
        </w:rPr>
        <w:t xml:space="preserve">. London: Routledge </w:t>
      </w:r>
    </w:p>
    <w:p w14:paraId="74F8657C" w14:textId="11FF0296"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Pitt, L., M. Kilbride, S. </w:t>
      </w:r>
      <w:proofErr w:type="spellStart"/>
      <w:r w:rsidRPr="009F0910">
        <w:rPr>
          <w:rFonts w:cstheme="minorHAnsi"/>
          <w:sz w:val="24"/>
          <w:szCs w:val="24"/>
        </w:rPr>
        <w:t>Nothard</w:t>
      </w:r>
      <w:proofErr w:type="spellEnd"/>
      <w:r w:rsidRPr="009F0910">
        <w:rPr>
          <w:rFonts w:cstheme="minorHAnsi"/>
          <w:sz w:val="24"/>
          <w:szCs w:val="24"/>
        </w:rPr>
        <w:t xml:space="preserve">, M. Welford, and  A. P. Morrison. 2007. </w:t>
      </w:r>
      <w:r w:rsidR="00640C1F" w:rsidRPr="009F0910">
        <w:rPr>
          <w:rFonts w:cstheme="minorHAnsi"/>
          <w:sz w:val="24"/>
          <w:szCs w:val="24"/>
        </w:rPr>
        <w:t>“</w:t>
      </w:r>
      <w:r w:rsidRPr="009F0910">
        <w:rPr>
          <w:rFonts w:cstheme="minorHAnsi"/>
          <w:sz w:val="24"/>
          <w:szCs w:val="24"/>
        </w:rPr>
        <w:t xml:space="preserve">Researching </w:t>
      </w:r>
    </w:p>
    <w:p w14:paraId="785A3889" w14:textId="7A996F58" w:rsidR="00113410" w:rsidRPr="009F0910" w:rsidRDefault="00113410" w:rsidP="00113410">
      <w:pPr>
        <w:spacing w:after="0" w:line="480" w:lineRule="auto"/>
        <w:ind w:left="720"/>
        <w:contextualSpacing/>
        <w:rPr>
          <w:rFonts w:cstheme="minorHAnsi"/>
          <w:sz w:val="24"/>
          <w:szCs w:val="24"/>
          <w:lang w:val="fr-FR"/>
        </w:rPr>
      </w:pPr>
      <w:r w:rsidRPr="009F0910">
        <w:rPr>
          <w:rFonts w:cstheme="minorHAnsi"/>
          <w:sz w:val="24"/>
          <w:szCs w:val="24"/>
        </w:rPr>
        <w:t>Recovery from Psychosis: A User-Led Project.</w:t>
      </w:r>
      <w:r w:rsidR="00640C1F" w:rsidRPr="009F0910">
        <w:rPr>
          <w:rFonts w:cstheme="minorHAnsi"/>
          <w:sz w:val="24"/>
          <w:szCs w:val="24"/>
        </w:rPr>
        <w:t>”</w:t>
      </w:r>
      <w:r w:rsidRPr="009F0910">
        <w:rPr>
          <w:rFonts w:cstheme="minorHAnsi"/>
          <w:sz w:val="24"/>
          <w:szCs w:val="24"/>
        </w:rPr>
        <w:t xml:space="preserve"> </w:t>
      </w:r>
      <w:proofErr w:type="spellStart"/>
      <w:r w:rsidRPr="009F0910">
        <w:rPr>
          <w:rFonts w:cstheme="minorHAnsi"/>
          <w:i/>
          <w:iCs/>
          <w:sz w:val="24"/>
          <w:szCs w:val="24"/>
          <w:lang w:val="fr-FR"/>
        </w:rPr>
        <w:t>Psychological</w:t>
      </w:r>
      <w:proofErr w:type="spellEnd"/>
      <w:r w:rsidRPr="009F0910">
        <w:rPr>
          <w:rFonts w:cstheme="minorHAnsi"/>
          <w:i/>
          <w:iCs/>
          <w:sz w:val="24"/>
          <w:szCs w:val="24"/>
          <w:lang w:val="fr-FR"/>
        </w:rPr>
        <w:t xml:space="preserve"> Bulletin </w:t>
      </w:r>
      <w:proofErr w:type="gramStart"/>
      <w:r w:rsidRPr="009F0910">
        <w:rPr>
          <w:rFonts w:cstheme="minorHAnsi"/>
          <w:iCs/>
          <w:sz w:val="24"/>
          <w:szCs w:val="24"/>
          <w:lang w:val="fr-FR"/>
        </w:rPr>
        <w:t>31:</w:t>
      </w:r>
      <w:proofErr w:type="gramEnd"/>
      <w:r w:rsidRPr="009F0910">
        <w:rPr>
          <w:rFonts w:cstheme="minorHAnsi"/>
          <w:sz w:val="24"/>
          <w:szCs w:val="24"/>
          <w:lang w:val="fr-FR"/>
        </w:rPr>
        <w:t xml:space="preserve"> 55-60. </w:t>
      </w:r>
      <w:proofErr w:type="gramStart"/>
      <w:r w:rsidRPr="009F0910">
        <w:rPr>
          <w:rFonts w:cstheme="minorHAnsi"/>
          <w:sz w:val="24"/>
          <w:szCs w:val="24"/>
          <w:lang w:val="fr-FR"/>
        </w:rPr>
        <w:t>doi:</w:t>
      </w:r>
      <w:proofErr w:type="gramEnd"/>
      <w:r w:rsidRPr="009F0910">
        <w:rPr>
          <w:rFonts w:cstheme="minorHAnsi"/>
          <w:sz w:val="24"/>
          <w:szCs w:val="24"/>
          <w:lang w:val="fr-FR"/>
        </w:rPr>
        <w:t>10.1192/pb.bp105.008532</w:t>
      </w:r>
    </w:p>
    <w:p w14:paraId="3837CE97" w14:textId="77777777" w:rsidR="00113410" w:rsidRPr="009F0910" w:rsidRDefault="00113410" w:rsidP="00113410">
      <w:pPr>
        <w:spacing w:after="0" w:line="480" w:lineRule="auto"/>
        <w:contextualSpacing/>
        <w:rPr>
          <w:rFonts w:cstheme="minorHAnsi"/>
          <w:sz w:val="24"/>
          <w:szCs w:val="24"/>
        </w:rPr>
      </w:pPr>
      <w:proofErr w:type="spellStart"/>
      <w:r w:rsidRPr="009F0910">
        <w:rPr>
          <w:rFonts w:cstheme="minorHAnsi"/>
          <w:sz w:val="24"/>
          <w:szCs w:val="24"/>
        </w:rPr>
        <w:t>Reavey</w:t>
      </w:r>
      <w:proofErr w:type="spellEnd"/>
      <w:r w:rsidRPr="009F0910">
        <w:rPr>
          <w:rFonts w:cstheme="minorHAnsi"/>
          <w:sz w:val="24"/>
          <w:szCs w:val="24"/>
        </w:rPr>
        <w:t xml:space="preserve">, P., J. Poole, R. Corrigall, T. Zundel, S. Byford, M. </w:t>
      </w:r>
      <w:proofErr w:type="spellStart"/>
      <w:r w:rsidRPr="009F0910">
        <w:rPr>
          <w:rFonts w:cstheme="minorHAnsi"/>
          <w:sz w:val="24"/>
          <w:szCs w:val="24"/>
        </w:rPr>
        <w:t>Sarhane</w:t>
      </w:r>
      <w:proofErr w:type="spellEnd"/>
      <w:r w:rsidRPr="009F0910">
        <w:rPr>
          <w:rFonts w:cstheme="minorHAnsi"/>
          <w:sz w:val="24"/>
          <w:szCs w:val="24"/>
        </w:rPr>
        <w:t xml:space="preserve">, E. Taylor, J. </w:t>
      </w:r>
      <w:proofErr w:type="spellStart"/>
      <w:r w:rsidRPr="009F0910">
        <w:rPr>
          <w:rFonts w:cstheme="minorHAnsi"/>
          <w:sz w:val="24"/>
          <w:szCs w:val="24"/>
        </w:rPr>
        <w:t>Ivens</w:t>
      </w:r>
      <w:proofErr w:type="spellEnd"/>
      <w:r w:rsidRPr="009F0910">
        <w:rPr>
          <w:rFonts w:cstheme="minorHAnsi"/>
          <w:sz w:val="24"/>
          <w:szCs w:val="24"/>
        </w:rPr>
        <w:t>, and</w:t>
      </w:r>
    </w:p>
    <w:p w14:paraId="4FFD4335" w14:textId="07040255" w:rsidR="00113410" w:rsidRPr="009F0910" w:rsidRDefault="00113410" w:rsidP="00113410">
      <w:pPr>
        <w:spacing w:after="0" w:line="480" w:lineRule="auto"/>
        <w:ind w:left="720"/>
        <w:contextualSpacing/>
        <w:rPr>
          <w:rFonts w:cstheme="minorHAnsi"/>
          <w:sz w:val="24"/>
          <w:szCs w:val="24"/>
        </w:rPr>
      </w:pPr>
      <w:r w:rsidRPr="009F0910">
        <w:rPr>
          <w:rFonts w:cstheme="minorHAnsi"/>
          <w:sz w:val="24"/>
          <w:szCs w:val="24"/>
        </w:rPr>
        <w:t xml:space="preserve">D. </w:t>
      </w:r>
      <w:proofErr w:type="spellStart"/>
      <w:r w:rsidRPr="009F0910">
        <w:rPr>
          <w:rFonts w:cstheme="minorHAnsi"/>
          <w:sz w:val="24"/>
          <w:szCs w:val="24"/>
        </w:rPr>
        <w:t>Ougrin</w:t>
      </w:r>
      <w:proofErr w:type="spellEnd"/>
      <w:r w:rsidRPr="009F0910">
        <w:rPr>
          <w:rFonts w:cstheme="minorHAnsi"/>
          <w:sz w:val="24"/>
          <w:szCs w:val="24"/>
        </w:rPr>
        <w:t xml:space="preserve">, D. 2017. </w:t>
      </w:r>
      <w:r w:rsidR="00640C1F" w:rsidRPr="009F0910">
        <w:rPr>
          <w:rFonts w:cstheme="minorHAnsi"/>
          <w:sz w:val="24"/>
          <w:szCs w:val="24"/>
        </w:rPr>
        <w:t>“</w:t>
      </w:r>
      <w:r w:rsidRPr="009F0910">
        <w:rPr>
          <w:rFonts w:cstheme="minorHAnsi"/>
          <w:sz w:val="24"/>
          <w:szCs w:val="24"/>
        </w:rPr>
        <w:t>The Ward as an Emotional Ecology: Adolescent Experiences of Managing Mental Health and Distress in Psychiatric Inpatient Settings.</w:t>
      </w:r>
      <w:r w:rsidR="00640C1F" w:rsidRPr="009F0910">
        <w:rPr>
          <w:rFonts w:cstheme="minorHAnsi"/>
          <w:sz w:val="24"/>
          <w:szCs w:val="24"/>
        </w:rPr>
        <w:t>”</w:t>
      </w:r>
      <w:r w:rsidRPr="009F0910">
        <w:rPr>
          <w:rFonts w:cstheme="minorHAnsi"/>
          <w:sz w:val="24"/>
          <w:szCs w:val="24"/>
        </w:rPr>
        <w:t xml:space="preserve"> </w:t>
      </w:r>
      <w:r w:rsidRPr="009F0910">
        <w:rPr>
          <w:rFonts w:cstheme="minorHAnsi"/>
          <w:i/>
          <w:sz w:val="24"/>
          <w:szCs w:val="24"/>
        </w:rPr>
        <w:t xml:space="preserve">Health and  Place </w:t>
      </w:r>
      <w:r w:rsidRPr="009F0910">
        <w:rPr>
          <w:rFonts w:cstheme="minorHAnsi"/>
          <w:sz w:val="24"/>
          <w:szCs w:val="24"/>
        </w:rPr>
        <w:t>46:</w:t>
      </w:r>
      <w:r w:rsidRPr="009F0910">
        <w:rPr>
          <w:rFonts w:cstheme="minorHAnsi"/>
          <w:i/>
          <w:sz w:val="24"/>
          <w:szCs w:val="24"/>
        </w:rPr>
        <w:t xml:space="preserve"> </w:t>
      </w:r>
      <w:r w:rsidRPr="009F0910">
        <w:rPr>
          <w:rFonts w:cstheme="minorHAnsi"/>
          <w:sz w:val="24"/>
          <w:szCs w:val="24"/>
        </w:rPr>
        <w:t>210-218. doi:</w:t>
      </w:r>
      <w:hyperlink r:id="rId14" w:tgtFrame="_blank" w:tooltip="Persistent link using digital object identifier" w:history="1">
        <w:r w:rsidRPr="009F0910">
          <w:rPr>
            <w:rStyle w:val="Hyperlink"/>
            <w:rFonts w:cstheme="minorHAnsi"/>
            <w:color w:val="auto"/>
            <w:sz w:val="24"/>
            <w:szCs w:val="24"/>
            <w:u w:val="none"/>
          </w:rPr>
          <w:t>10.1016/j.healthplace.2017.05.008</w:t>
        </w:r>
      </w:hyperlink>
    </w:p>
    <w:p w14:paraId="4208259D" w14:textId="77777777"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Royal College of Psychiatrists 2017. </w:t>
      </w:r>
      <w:r w:rsidRPr="009F0910">
        <w:rPr>
          <w:rFonts w:cstheme="minorHAnsi"/>
          <w:i/>
          <w:sz w:val="24"/>
          <w:szCs w:val="24"/>
        </w:rPr>
        <w:t>Sexual Boundaries in Clinical Practice</w:t>
      </w:r>
      <w:r w:rsidRPr="009F0910">
        <w:rPr>
          <w:rFonts w:cstheme="minorHAnsi"/>
          <w:sz w:val="24"/>
          <w:szCs w:val="24"/>
        </w:rPr>
        <w:t xml:space="preserve">. London: </w:t>
      </w:r>
    </w:p>
    <w:p w14:paraId="4D97DE50" w14:textId="77777777" w:rsidR="00113410" w:rsidRPr="00D45BC2" w:rsidRDefault="00113410" w:rsidP="004B2F3B">
      <w:pPr>
        <w:spacing w:after="0" w:line="360" w:lineRule="auto"/>
        <w:ind w:left="720"/>
        <w:contextualSpacing/>
        <w:rPr>
          <w:rFonts w:cstheme="minorHAnsi"/>
          <w:sz w:val="24"/>
          <w:szCs w:val="24"/>
        </w:rPr>
      </w:pPr>
      <w:r w:rsidRPr="009F0910">
        <w:rPr>
          <w:rFonts w:cstheme="minorHAnsi"/>
          <w:sz w:val="24"/>
          <w:szCs w:val="24"/>
        </w:rPr>
        <w:t xml:space="preserve">Royal College of Psychiatrists. Retrieved from </w:t>
      </w:r>
      <w:hyperlink r:id="rId15" w:history="1">
        <w:r w:rsidRPr="00D45BC2">
          <w:rPr>
            <w:rStyle w:val="Hyperlink"/>
            <w:rFonts w:cstheme="minorHAnsi"/>
            <w:color w:val="auto"/>
            <w:sz w:val="24"/>
            <w:szCs w:val="24"/>
            <w:u w:val="none"/>
          </w:rPr>
          <w:t>https://bit.ly/2p0Hmyg</w:t>
        </w:r>
      </w:hyperlink>
    </w:p>
    <w:p w14:paraId="418A9542" w14:textId="55E9D717" w:rsidR="004B2F3B" w:rsidRPr="004B2F3B" w:rsidRDefault="004B2F3B" w:rsidP="004B2F3B">
      <w:pPr>
        <w:spacing w:after="0" w:line="360" w:lineRule="auto"/>
        <w:ind w:left="480" w:hanging="480"/>
        <w:contextualSpacing/>
        <w:rPr>
          <w:rFonts w:eastAsia="Times New Roman" w:cs="Times New Roman"/>
          <w:sz w:val="24"/>
          <w:szCs w:val="24"/>
          <w:lang w:eastAsia="en-GB"/>
        </w:rPr>
      </w:pPr>
      <w:r>
        <w:rPr>
          <w:rFonts w:eastAsia="Times New Roman" w:cs="Times New Roman"/>
          <w:sz w:val="24"/>
          <w:szCs w:val="24"/>
          <w:lang w:eastAsia="en-GB"/>
        </w:rPr>
        <w:t>Ruane, J., and</w:t>
      </w:r>
      <w:r w:rsidRPr="004B2F3B">
        <w:rPr>
          <w:rFonts w:eastAsia="Times New Roman" w:cs="Times New Roman"/>
          <w:sz w:val="24"/>
          <w:szCs w:val="24"/>
          <w:lang w:eastAsia="en-GB"/>
        </w:rPr>
        <w:t xml:space="preserve"> </w:t>
      </w:r>
      <w:r>
        <w:rPr>
          <w:rFonts w:eastAsia="Times New Roman" w:cs="Times New Roman"/>
          <w:sz w:val="24"/>
          <w:szCs w:val="24"/>
          <w:lang w:eastAsia="en-GB"/>
        </w:rPr>
        <w:t>M. Hayter 2008</w:t>
      </w:r>
      <w:r w:rsidRPr="004B2F3B">
        <w:rPr>
          <w:rFonts w:eastAsia="Times New Roman" w:cs="Times New Roman"/>
          <w:sz w:val="24"/>
          <w:szCs w:val="24"/>
          <w:lang w:eastAsia="en-GB"/>
        </w:rPr>
        <w:t xml:space="preserve">. </w:t>
      </w:r>
      <w:r>
        <w:rPr>
          <w:rFonts w:eastAsia="Times New Roman" w:cs="Times New Roman"/>
          <w:sz w:val="24"/>
          <w:szCs w:val="24"/>
          <w:lang w:eastAsia="en-GB"/>
        </w:rPr>
        <w:t>“Nurses’ Attitudes Towards Sexual Relationships Between P</w:t>
      </w:r>
      <w:r w:rsidRPr="004B2F3B">
        <w:rPr>
          <w:rFonts w:eastAsia="Times New Roman" w:cs="Times New Roman"/>
          <w:sz w:val="24"/>
          <w:szCs w:val="24"/>
          <w:lang w:eastAsia="en-GB"/>
        </w:rPr>
        <w:t xml:space="preserve">atients in </w:t>
      </w:r>
      <w:r>
        <w:rPr>
          <w:rFonts w:eastAsia="Times New Roman" w:cs="Times New Roman"/>
          <w:sz w:val="24"/>
          <w:szCs w:val="24"/>
          <w:lang w:eastAsia="en-GB"/>
        </w:rPr>
        <w:t>High Security Psychiatric Hospitals in England: An E</w:t>
      </w:r>
      <w:r w:rsidRPr="004B2F3B">
        <w:rPr>
          <w:rFonts w:eastAsia="Times New Roman" w:cs="Times New Roman"/>
          <w:sz w:val="24"/>
          <w:szCs w:val="24"/>
          <w:lang w:eastAsia="en-GB"/>
        </w:rPr>
        <w:t xml:space="preserve">xploratory </w:t>
      </w:r>
      <w:r>
        <w:rPr>
          <w:rFonts w:eastAsia="Times New Roman" w:cs="Times New Roman"/>
          <w:sz w:val="24"/>
          <w:szCs w:val="24"/>
          <w:lang w:eastAsia="en-GB"/>
        </w:rPr>
        <w:t>Q</w:t>
      </w:r>
      <w:r w:rsidRPr="004B2F3B">
        <w:rPr>
          <w:rFonts w:eastAsia="Times New Roman" w:cs="Times New Roman"/>
          <w:sz w:val="24"/>
          <w:szCs w:val="24"/>
          <w:lang w:eastAsia="en-GB"/>
        </w:rPr>
        <w:t xml:space="preserve">ualitative </w:t>
      </w:r>
      <w:r>
        <w:rPr>
          <w:rFonts w:eastAsia="Times New Roman" w:cs="Times New Roman"/>
          <w:sz w:val="24"/>
          <w:szCs w:val="24"/>
          <w:lang w:eastAsia="en-GB"/>
        </w:rPr>
        <w:t>S</w:t>
      </w:r>
      <w:r w:rsidRPr="004B2F3B">
        <w:rPr>
          <w:rFonts w:eastAsia="Times New Roman" w:cs="Times New Roman"/>
          <w:sz w:val="24"/>
          <w:szCs w:val="24"/>
          <w:lang w:eastAsia="en-GB"/>
        </w:rPr>
        <w:t>tudy.</w:t>
      </w:r>
      <w:r>
        <w:rPr>
          <w:rFonts w:eastAsia="Times New Roman" w:cs="Times New Roman"/>
          <w:sz w:val="24"/>
          <w:szCs w:val="24"/>
          <w:lang w:eastAsia="en-GB"/>
        </w:rPr>
        <w:t>”</w:t>
      </w:r>
      <w:r w:rsidRPr="004B2F3B">
        <w:rPr>
          <w:rFonts w:eastAsia="Times New Roman" w:cs="Times New Roman"/>
          <w:sz w:val="24"/>
          <w:szCs w:val="24"/>
          <w:lang w:eastAsia="en-GB"/>
        </w:rPr>
        <w:t xml:space="preserve"> </w:t>
      </w:r>
      <w:r w:rsidRPr="004B2F3B">
        <w:rPr>
          <w:rFonts w:eastAsia="Times New Roman" w:cs="Times New Roman"/>
          <w:i/>
          <w:iCs/>
          <w:sz w:val="24"/>
          <w:szCs w:val="24"/>
          <w:lang w:eastAsia="en-GB"/>
        </w:rPr>
        <w:t>International Journal of Nursing Studies</w:t>
      </w:r>
      <w:r w:rsidRPr="004B2F3B">
        <w:rPr>
          <w:rFonts w:eastAsia="Times New Roman" w:cs="Times New Roman"/>
          <w:sz w:val="24"/>
          <w:szCs w:val="24"/>
          <w:lang w:eastAsia="en-GB"/>
        </w:rPr>
        <w:t xml:space="preserve"> </w:t>
      </w:r>
      <w:r w:rsidRPr="004B2F3B">
        <w:rPr>
          <w:rFonts w:eastAsia="Times New Roman" w:cs="Times New Roman"/>
          <w:iCs/>
          <w:sz w:val="24"/>
          <w:szCs w:val="24"/>
          <w:lang w:eastAsia="en-GB"/>
        </w:rPr>
        <w:t>45</w:t>
      </w:r>
      <w:r>
        <w:rPr>
          <w:rFonts w:eastAsia="Times New Roman" w:cs="Times New Roman"/>
          <w:i/>
          <w:iCs/>
          <w:sz w:val="24"/>
          <w:szCs w:val="24"/>
          <w:lang w:eastAsia="en-GB"/>
        </w:rPr>
        <w:t>:</w:t>
      </w:r>
      <w:r w:rsidRPr="004B2F3B">
        <w:rPr>
          <w:rFonts w:eastAsia="Times New Roman" w:cs="Times New Roman"/>
          <w:sz w:val="24"/>
          <w:szCs w:val="24"/>
          <w:lang w:eastAsia="en-GB"/>
        </w:rPr>
        <w:t xml:space="preserve"> 1731–1741. </w:t>
      </w:r>
      <w:r w:rsidR="001E5919">
        <w:rPr>
          <w:rFonts w:eastAsia="Times New Roman" w:cs="Times New Roman"/>
          <w:sz w:val="24"/>
          <w:szCs w:val="24"/>
          <w:lang w:eastAsia="en-GB"/>
        </w:rPr>
        <w:t>d</w:t>
      </w:r>
      <w:r w:rsidRPr="004B2F3B">
        <w:rPr>
          <w:rFonts w:eastAsia="Times New Roman" w:cs="Times New Roman"/>
          <w:sz w:val="24"/>
          <w:szCs w:val="24"/>
          <w:lang w:eastAsia="en-GB"/>
        </w:rPr>
        <w:t>oi</w:t>
      </w:r>
      <w:r>
        <w:rPr>
          <w:rFonts w:eastAsia="Times New Roman" w:cs="Times New Roman"/>
          <w:sz w:val="24"/>
          <w:szCs w:val="24"/>
          <w:lang w:eastAsia="en-GB"/>
        </w:rPr>
        <w:t>:</w:t>
      </w:r>
      <w:r w:rsidRPr="004B2F3B">
        <w:rPr>
          <w:rFonts w:eastAsia="Times New Roman" w:cs="Times New Roman"/>
          <w:sz w:val="24"/>
          <w:szCs w:val="24"/>
          <w:lang w:eastAsia="en-GB"/>
        </w:rPr>
        <w:t>10.1016/j.ijnurstu.2008.06.003</w:t>
      </w:r>
    </w:p>
    <w:p w14:paraId="56387A94" w14:textId="77777777" w:rsidR="00113410" w:rsidRPr="009F0910" w:rsidRDefault="00113410" w:rsidP="00113410">
      <w:pPr>
        <w:spacing w:after="0" w:line="480" w:lineRule="auto"/>
        <w:contextualSpacing/>
        <w:rPr>
          <w:rFonts w:cstheme="minorHAnsi"/>
          <w:i/>
          <w:iCs/>
          <w:sz w:val="24"/>
          <w:szCs w:val="24"/>
        </w:rPr>
      </w:pPr>
      <w:r w:rsidRPr="009F0910">
        <w:rPr>
          <w:rFonts w:cstheme="minorHAnsi"/>
          <w:sz w:val="24"/>
          <w:szCs w:val="24"/>
        </w:rPr>
        <w:t xml:space="preserve">Stern, D. N. 2010. </w:t>
      </w:r>
      <w:r w:rsidRPr="009F0910">
        <w:rPr>
          <w:rFonts w:cstheme="minorHAnsi"/>
          <w:i/>
          <w:iCs/>
          <w:sz w:val="24"/>
          <w:szCs w:val="24"/>
        </w:rPr>
        <w:t>Forms of Vitality: Exploring Dynamic Experience in Psychology, the</w:t>
      </w:r>
    </w:p>
    <w:p w14:paraId="4FC35F99" w14:textId="77777777" w:rsidR="00113410" w:rsidRPr="009F0910" w:rsidRDefault="00113410" w:rsidP="00113410">
      <w:pPr>
        <w:spacing w:after="0" w:line="480" w:lineRule="auto"/>
        <w:ind w:firstLine="720"/>
        <w:contextualSpacing/>
        <w:rPr>
          <w:rFonts w:cstheme="minorHAnsi"/>
          <w:sz w:val="24"/>
          <w:szCs w:val="24"/>
        </w:rPr>
      </w:pPr>
      <w:r w:rsidRPr="009F0910">
        <w:rPr>
          <w:rFonts w:cstheme="minorHAnsi"/>
          <w:i/>
          <w:iCs/>
          <w:sz w:val="24"/>
          <w:szCs w:val="24"/>
        </w:rPr>
        <w:t>Arts, Psychotherapy and Development</w:t>
      </w:r>
      <w:r w:rsidRPr="009F0910">
        <w:rPr>
          <w:rFonts w:cstheme="minorHAnsi"/>
          <w:sz w:val="24"/>
          <w:szCs w:val="24"/>
        </w:rPr>
        <w:t xml:space="preserve">. Oxford: Oxford University Press </w:t>
      </w:r>
    </w:p>
    <w:p w14:paraId="153756A3" w14:textId="3A5EB036" w:rsidR="00113410" w:rsidRPr="009F0910" w:rsidRDefault="00113410" w:rsidP="00113410">
      <w:pPr>
        <w:rPr>
          <w:rFonts w:cstheme="minorHAnsi"/>
          <w:sz w:val="24"/>
          <w:szCs w:val="24"/>
        </w:rPr>
      </w:pPr>
      <w:proofErr w:type="spellStart"/>
      <w:r w:rsidRPr="009F0910">
        <w:rPr>
          <w:rFonts w:cstheme="minorHAnsi"/>
          <w:sz w:val="24"/>
          <w:szCs w:val="24"/>
        </w:rPr>
        <w:t>Tiwana</w:t>
      </w:r>
      <w:proofErr w:type="spellEnd"/>
      <w:r w:rsidRPr="009F0910">
        <w:rPr>
          <w:rFonts w:cstheme="minorHAnsi"/>
          <w:sz w:val="24"/>
          <w:szCs w:val="24"/>
        </w:rPr>
        <w:t xml:space="preserve">, R., S. McDonald, and B. </w:t>
      </w:r>
      <w:proofErr w:type="spellStart"/>
      <w:r w:rsidRPr="009F0910">
        <w:rPr>
          <w:rFonts w:cstheme="minorHAnsi"/>
          <w:sz w:val="24"/>
          <w:szCs w:val="24"/>
        </w:rPr>
        <w:t>Völlm</w:t>
      </w:r>
      <w:proofErr w:type="spellEnd"/>
      <w:r w:rsidRPr="009F0910">
        <w:rPr>
          <w:rFonts w:cstheme="minorHAnsi"/>
          <w:sz w:val="24"/>
          <w:szCs w:val="24"/>
        </w:rPr>
        <w:t xml:space="preserve">. 2016. </w:t>
      </w:r>
      <w:r w:rsidR="00185464" w:rsidRPr="009F0910">
        <w:rPr>
          <w:rFonts w:cstheme="minorHAnsi"/>
          <w:sz w:val="24"/>
          <w:szCs w:val="24"/>
        </w:rPr>
        <w:t>“</w:t>
      </w:r>
      <w:r w:rsidRPr="009F0910">
        <w:rPr>
          <w:rFonts w:cstheme="minorHAnsi"/>
          <w:sz w:val="24"/>
          <w:szCs w:val="24"/>
        </w:rPr>
        <w:t>Policies on Sexual Expression in Forensic</w:t>
      </w:r>
    </w:p>
    <w:p w14:paraId="07036DD4" w14:textId="28602A9C" w:rsidR="00113410" w:rsidRPr="009F0910" w:rsidRDefault="00113410" w:rsidP="00113410">
      <w:pPr>
        <w:spacing w:after="0" w:line="480" w:lineRule="auto"/>
        <w:ind w:left="720"/>
        <w:contextualSpacing/>
        <w:rPr>
          <w:rFonts w:cstheme="minorHAnsi"/>
          <w:sz w:val="24"/>
          <w:szCs w:val="24"/>
        </w:rPr>
      </w:pPr>
      <w:r w:rsidRPr="009F0910">
        <w:rPr>
          <w:rFonts w:cstheme="minorHAnsi"/>
          <w:sz w:val="24"/>
          <w:szCs w:val="24"/>
        </w:rPr>
        <w:lastRenderedPageBreak/>
        <w:t>Psychiatric Settings in Different European countries.</w:t>
      </w:r>
      <w:r w:rsidR="00185464" w:rsidRPr="009F0910">
        <w:rPr>
          <w:rFonts w:cstheme="minorHAnsi"/>
          <w:sz w:val="24"/>
          <w:szCs w:val="24"/>
        </w:rPr>
        <w:t>”</w:t>
      </w:r>
      <w:r w:rsidRPr="009F0910">
        <w:rPr>
          <w:rFonts w:cstheme="minorHAnsi"/>
          <w:sz w:val="24"/>
          <w:szCs w:val="24"/>
        </w:rPr>
        <w:t xml:space="preserve"> </w:t>
      </w:r>
      <w:r w:rsidRPr="009F0910">
        <w:rPr>
          <w:rFonts w:cstheme="minorHAnsi"/>
          <w:i/>
          <w:sz w:val="24"/>
          <w:szCs w:val="24"/>
        </w:rPr>
        <w:t xml:space="preserve">International Journal of Mental Health Systems </w:t>
      </w:r>
      <w:r w:rsidRPr="009F0910">
        <w:rPr>
          <w:rFonts w:cstheme="minorHAnsi"/>
          <w:sz w:val="24"/>
          <w:szCs w:val="24"/>
        </w:rPr>
        <w:t>10 (5): 1-11. doi:10.1186/s13033-016-0037-y</w:t>
      </w:r>
    </w:p>
    <w:p w14:paraId="299923DA" w14:textId="5913C90E" w:rsidR="00113410" w:rsidRPr="009F0910" w:rsidRDefault="00113410" w:rsidP="00113410">
      <w:pPr>
        <w:spacing w:after="0" w:line="480" w:lineRule="auto"/>
        <w:contextualSpacing/>
        <w:rPr>
          <w:rFonts w:cstheme="minorHAnsi"/>
          <w:sz w:val="24"/>
          <w:szCs w:val="24"/>
          <w:shd w:val="clear" w:color="auto" w:fill="FFFFFF"/>
        </w:rPr>
      </w:pPr>
      <w:proofErr w:type="spellStart"/>
      <w:r w:rsidRPr="009F0910">
        <w:rPr>
          <w:rFonts w:cstheme="minorHAnsi"/>
          <w:sz w:val="24"/>
          <w:szCs w:val="24"/>
          <w:shd w:val="clear" w:color="auto" w:fill="FFFFFF"/>
        </w:rPr>
        <w:t>Vardi</w:t>
      </w:r>
      <w:proofErr w:type="spellEnd"/>
      <w:r w:rsidRPr="009F0910">
        <w:rPr>
          <w:rFonts w:cstheme="minorHAnsi"/>
          <w:sz w:val="24"/>
          <w:szCs w:val="24"/>
          <w:shd w:val="clear" w:color="auto" w:fill="FFFFFF"/>
        </w:rPr>
        <w:t xml:space="preserve">, Y., and Y. Wiener. 1996. </w:t>
      </w:r>
      <w:r w:rsidR="00185464" w:rsidRPr="009F0910">
        <w:rPr>
          <w:rFonts w:cstheme="minorHAnsi"/>
          <w:sz w:val="24"/>
          <w:szCs w:val="24"/>
          <w:shd w:val="clear" w:color="auto" w:fill="FFFFFF"/>
        </w:rPr>
        <w:t>“</w:t>
      </w:r>
      <w:r w:rsidRPr="009F0910">
        <w:rPr>
          <w:rFonts w:cstheme="minorHAnsi"/>
          <w:sz w:val="24"/>
          <w:szCs w:val="24"/>
          <w:shd w:val="clear" w:color="auto" w:fill="FFFFFF"/>
        </w:rPr>
        <w:t>Misbehaviour in Organisations: A Motivational</w:t>
      </w:r>
    </w:p>
    <w:p w14:paraId="730120C2" w14:textId="2D39A590" w:rsidR="00113410" w:rsidRPr="009F0910" w:rsidRDefault="00113410" w:rsidP="00113410">
      <w:pPr>
        <w:spacing w:after="0" w:line="480" w:lineRule="auto"/>
        <w:ind w:left="720"/>
        <w:contextualSpacing/>
        <w:rPr>
          <w:rFonts w:cstheme="minorHAnsi"/>
          <w:b/>
          <w:bCs/>
          <w:sz w:val="24"/>
          <w:szCs w:val="24"/>
        </w:rPr>
      </w:pPr>
      <w:r w:rsidRPr="009F0910">
        <w:rPr>
          <w:rFonts w:cstheme="minorHAnsi"/>
          <w:sz w:val="24"/>
          <w:szCs w:val="24"/>
          <w:shd w:val="clear" w:color="auto" w:fill="FFFFFF"/>
        </w:rPr>
        <w:t>Framework.</w:t>
      </w:r>
      <w:r w:rsidR="00185464" w:rsidRPr="009F0910">
        <w:rPr>
          <w:rFonts w:cstheme="minorHAnsi"/>
          <w:sz w:val="24"/>
          <w:szCs w:val="24"/>
          <w:shd w:val="clear" w:color="auto" w:fill="FFFFFF"/>
        </w:rPr>
        <w:t>”</w:t>
      </w:r>
      <w:r w:rsidRPr="009F0910">
        <w:rPr>
          <w:rFonts w:cstheme="minorHAnsi"/>
          <w:sz w:val="24"/>
          <w:szCs w:val="24"/>
          <w:shd w:val="clear" w:color="auto" w:fill="FFFFFF"/>
        </w:rPr>
        <w:t> </w:t>
      </w:r>
      <w:r w:rsidRPr="009F0910">
        <w:rPr>
          <w:rFonts w:cstheme="minorHAnsi"/>
          <w:i/>
          <w:iCs/>
          <w:sz w:val="24"/>
          <w:szCs w:val="24"/>
          <w:shd w:val="clear" w:color="auto" w:fill="FFFFFF"/>
        </w:rPr>
        <w:t>Organisation Science</w:t>
      </w:r>
      <w:r w:rsidRPr="009F0910">
        <w:rPr>
          <w:rFonts w:cstheme="minorHAnsi"/>
          <w:sz w:val="24"/>
          <w:szCs w:val="24"/>
          <w:shd w:val="clear" w:color="auto" w:fill="FFFFFF"/>
        </w:rPr>
        <w:t> </w:t>
      </w:r>
      <w:r w:rsidRPr="009F0910">
        <w:rPr>
          <w:rFonts w:cstheme="minorHAnsi"/>
          <w:iCs/>
          <w:sz w:val="24"/>
          <w:szCs w:val="24"/>
          <w:shd w:val="clear" w:color="auto" w:fill="FFFFFF"/>
        </w:rPr>
        <w:t>7</w:t>
      </w:r>
      <w:r w:rsidRPr="009F0910">
        <w:rPr>
          <w:rFonts w:cstheme="minorHAnsi"/>
          <w:sz w:val="24"/>
          <w:szCs w:val="24"/>
          <w:shd w:val="clear" w:color="auto" w:fill="FFFFFF"/>
        </w:rPr>
        <w:t>: 151-165. Retrieved from http://home.ubalt.edu/tmitch/642/Articles%20syllabus/vardi%20&amp;%20Weiner%20Misbeh%20.pdf</w:t>
      </w:r>
    </w:p>
    <w:p w14:paraId="0D52A605" w14:textId="77777777" w:rsidR="00113410" w:rsidRPr="009F0910" w:rsidRDefault="00113410" w:rsidP="00113410">
      <w:pPr>
        <w:spacing w:after="0" w:line="480" w:lineRule="auto"/>
        <w:contextualSpacing/>
        <w:rPr>
          <w:rFonts w:cstheme="minorHAnsi"/>
          <w:sz w:val="24"/>
          <w:szCs w:val="24"/>
        </w:rPr>
      </w:pPr>
      <w:r w:rsidRPr="009F0910">
        <w:rPr>
          <w:rFonts w:cstheme="minorHAnsi"/>
          <w:sz w:val="24"/>
          <w:szCs w:val="24"/>
        </w:rPr>
        <w:t xml:space="preserve">Warner, J., N. Pitts, M. J. Crawford, M. </w:t>
      </w:r>
      <w:proofErr w:type="spellStart"/>
      <w:r w:rsidRPr="009F0910">
        <w:rPr>
          <w:rFonts w:cstheme="minorHAnsi"/>
          <w:sz w:val="24"/>
          <w:szCs w:val="24"/>
        </w:rPr>
        <w:t>Serfaty</w:t>
      </w:r>
      <w:proofErr w:type="spellEnd"/>
      <w:r w:rsidRPr="009F0910">
        <w:rPr>
          <w:rFonts w:cstheme="minorHAnsi"/>
          <w:sz w:val="24"/>
          <w:szCs w:val="24"/>
        </w:rPr>
        <w:t>, P. Prabhakaran, and R. Amin. 2004.</w:t>
      </w:r>
    </w:p>
    <w:p w14:paraId="36B7C4E4" w14:textId="63EAA755" w:rsidR="00113410" w:rsidRPr="009F0910" w:rsidRDefault="00185464" w:rsidP="00113410">
      <w:pPr>
        <w:spacing w:after="0" w:line="480" w:lineRule="auto"/>
        <w:ind w:left="720"/>
        <w:contextualSpacing/>
        <w:rPr>
          <w:rStyle w:val="Hyperlink"/>
          <w:rFonts w:cstheme="minorHAnsi"/>
          <w:color w:val="auto"/>
          <w:sz w:val="24"/>
          <w:szCs w:val="24"/>
          <w:shd w:val="clear" w:color="auto" w:fill="FFFFFF"/>
        </w:rPr>
      </w:pPr>
      <w:r w:rsidRPr="009F0910">
        <w:rPr>
          <w:rFonts w:cstheme="minorHAnsi"/>
          <w:sz w:val="24"/>
          <w:szCs w:val="24"/>
        </w:rPr>
        <w:t>“</w:t>
      </w:r>
      <w:r w:rsidR="00113410" w:rsidRPr="009F0910">
        <w:rPr>
          <w:rFonts w:cstheme="minorHAnsi"/>
          <w:sz w:val="24"/>
          <w:szCs w:val="24"/>
        </w:rPr>
        <w:t>Sexual Activity Among Patients in Psychiatric Hospital Wards.</w:t>
      </w:r>
      <w:r w:rsidRPr="009F0910">
        <w:rPr>
          <w:rFonts w:cstheme="minorHAnsi"/>
          <w:sz w:val="24"/>
          <w:szCs w:val="24"/>
        </w:rPr>
        <w:t>”</w:t>
      </w:r>
      <w:r w:rsidR="00113410" w:rsidRPr="009F0910">
        <w:rPr>
          <w:rFonts w:cstheme="minorHAnsi"/>
          <w:sz w:val="24"/>
          <w:szCs w:val="24"/>
        </w:rPr>
        <w:t xml:space="preserve"> </w:t>
      </w:r>
      <w:r w:rsidR="00113410" w:rsidRPr="009F0910">
        <w:rPr>
          <w:rFonts w:cstheme="minorHAnsi"/>
          <w:i/>
          <w:sz w:val="24"/>
          <w:szCs w:val="24"/>
        </w:rPr>
        <w:t>Journal of the Royal Society of Medicine</w:t>
      </w:r>
      <w:r w:rsidR="00113410" w:rsidRPr="009F0910">
        <w:rPr>
          <w:rFonts w:cstheme="minorHAnsi"/>
          <w:sz w:val="24"/>
          <w:szCs w:val="24"/>
        </w:rPr>
        <w:t xml:space="preserve"> 97: 477-479. doi:</w:t>
      </w:r>
      <w:hyperlink r:id="rId16" w:tgtFrame="pmc_ext" w:history="1">
        <w:r w:rsidR="00113410" w:rsidRPr="009F0910">
          <w:rPr>
            <w:rStyle w:val="Hyperlink"/>
            <w:rFonts w:cstheme="minorHAnsi"/>
            <w:color w:val="auto"/>
            <w:sz w:val="24"/>
            <w:szCs w:val="24"/>
            <w:u w:val="none"/>
            <w:shd w:val="clear" w:color="auto" w:fill="FFFFFF"/>
          </w:rPr>
          <w:t>10.1258/jrsm.97.10.477</w:t>
        </w:r>
      </w:hyperlink>
    </w:p>
    <w:p w14:paraId="430925B6" w14:textId="7B96D4A9" w:rsidR="00113410" w:rsidRPr="009F0910" w:rsidRDefault="00113410" w:rsidP="00113410">
      <w:pPr>
        <w:pStyle w:val="NormalWeb"/>
        <w:spacing w:before="0" w:beforeAutospacing="0" w:after="0" w:afterAutospacing="0" w:line="480" w:lineRule="auto"/>
        <w:ind w:left="480" w:hanging="480"/>
        <w:contextualSpacing/>
        <w:rPr>
          <w:rFonts w:asciiTheme="minorHAnsi" w:hAnsiTheme="minorHAnsi" w:cstheme="minorHAnsi"/>
        </w:rPr>
      </w:pPr>
      <w:proofErr w:type="spellStart"/>
      <w:r w:rsidRPr="009F0910">
        <w:rPr>
          <w:rFonts w:asciiTheme="minorHAnsi" w:hAnsiTheme="minorHAnsi" w:cstheme="minorHAnsi"/>
        </w:rPr>
        <w:t>Willig</w:t>
      </w:r>
      <w:proofErr w:type="spellEnd"/>
      <w:r w:rsidRPr="009F0910">
        <w:rPr>
          <w:rFonts w:asciiTheme="minorHAnsi" w:hAnsiTheme="minorHAnsi" w:cstheme="minorHAnsi"/>
        </w:rPr>
        <w:t xml:space="preserve">, C. 2000. </w:t>
      </w:r>
      <w:r w:rsidR="00185464" w:rsidRPr="009F0910">
        <w:rPr>
          <w:rFonts w:asciiTheme="minorHAnsi" w:hAnsiTheme="minorHAnsi" w:cstheme="minorHAnsi"/>
        </w:rPr>
        <w:t>“</w:t>
      </w:r>
      <w:r w:rsidRPr="009F0910">
        <w:rPr>
          <w:rFonts w:asciiTheme="minorHAnsi" w:hAnsiTheme="minorHAnsi" w:cstheme="minorHAnsi"/>
        </w:rPr>
        <w:t>A Discourse-Dynamic Approach to the Study of Subjectivity in Health Psychology.</w:t>
      </w:r>
      <w:r w:rsidR="00185464" w:rsidRPr="009F0910">
        <w:rPr>
          <w:rFonts w:asciiTheme="minorHAnsi" w:hAnsiTheme="minorHAnsi" w:cstheme="minorHAnsi"/>
        </w:rPr>
        <w:t>”</w:t>
      </w:r>
      <w:r w:rsidRPr="009F0910">
        <w:rPr>
          <w:rFonts w:asciiTheme="minorHAnsi" w:hAnsiTheme="minorHAnsi" w:cstheme="minorHAnsi"/>
        </w:rPr>
        <w:t xml:space="preserve"> </w:t>
      </w:r>
      <w:r w:rsidRPr="009F0910">
        <w:rPr>
          <w:rFonts w:asciiTheme="minorHAnsi" w:hAnsiTheme="minorHAnsi" w:cstheme="minorHAnsi"/>
          <w:i/>
        </w:rPr>
        <w:t xml:space="preserve">Theory and Psychology </w:t>
      </w:r>
      <w:r w:rsidRPr="009F0910">
        <w:rPr>
          <w:rFonts w:asciiTheme="minorHAnsi" w:hAnsiTheme="minorHAnsi" w:cstheme="minorHAnsi"/>
        </w:rPr>
        <w:t>10: 547–570. doi:</w:t>
      </w:r>
      <w:r w:rsidRPr="009F0910">
        <w:rPr>
          <w:rStyle w:val="slug-doi"/>
          <w:rFonts w:asciiTheme="minorHAnsi" w:hAnsiTheme="minorHAnsi" w:cstheme="minorHAnsi"/>
        </w:rPr>
        <w:t>10.1177/0959354300104006</w:t>
      </w:r>
    </w:p>
    <w:p w14:paraId="50F88A83" w14:textId="77777777" w:rsidR="00113410" w:rsidRPr="009F0910" w:rsidRDefault="00113410" w:rsidP="00113410">
      <w:pPr>
        <w:spacing w:after="0" w:line="480" w:lineRule="auto"/>
        <w:ind w:left="480" w:hanging="480"/>
        <w:contextualSpacing/>
        <w:rPr>
          <w:rFonts w:cstheme="minorHAnsi"/>
          <w:sz w:val="24"/>
          <w:szCs w:val="24"/>
        </w:rPr>
      </w:pPr>
      <w:proofErr w:type="spellStart"/>
      <w:r w:rsidRPr="009F0910">
        <w:rPr>
          <w:rFonts w:eastAsia="Times New Roman" w:cstheme="minorHAnsi"/>
          <w:sz w:val="24"/>
          <w:szCs w:val="24"/>
          <w:lang w:eastAsia="en-GB"/>
        </w:rPr>
        <w:t>Willig</w:t>
      </w:r>
      <w:proofErr w:type="spellEnd"/>
      <w:r w:rsidRPr="009F0910">
        <w:rPr>
          <w:rFonts w:eastAsia="Times New Roman" w:cstheme="minorHAnsi"/>
          <w:sz w:val="24"/>
          <w:szCs w:val="24"/>
          <w:lang w:eastAsia="en-GB"/>
        </w:rPr>
        <w:t xml:space="preserve">, C. 2013. </w:t>
      </w:r>
      <w:r w:rsidRPr="009F0910">
        <w:rPr>
          <w:rFonts w:eastAsia="Times New Roman" w:cstheme="minorHAnsi"/>
          <w:i/>
          <w:sz w:val="24"/>
          <w:szCs w:val="24"/>
          <w:lang w:eastAsia="en-GB"/>
        </w:rPr>
        <w:t>Introducing Qualitative Research in Psychology</w:t>
      </w:r>
      <w:r w:rsidRPr="009F0910">
        <w:rPr>
          <w:rFonts w:eastAsia="Times New Roman" w:cstheme="minorHAnsi"/>
          <w:sz w:val="24"/>
          <w:szCs w:val="24"/>
          <w:lang w:eastAsia="en-GB"/>
        </w:rPr>
        <w:t>. Maidenhead: Open University Press</w:t>
      </w:r>
      <w:bookmarkEnd w:id="2"/>
    </w:p>
    <w:p w14:paraId="33C7D6D5" w14:textId="77777777" w:rsidR="003E26A5" w:rsidRPr="009F0910" w:rsidRDefault="003E26A5" w:rsidP="004E58BD">
      <w:pPr>
        <w:spacing w:line="240" w:lineRule="auto"/>
        <w:contextualSpacing/>
        <w:jc w:val="both"/>
        <w:rPr>
          <w:rFonts w:cstheme="minorHAnsi"/>
          <w:sz w:val="24"/>
          <w:szCs w:val="24"/>
        </w:rPr>
      </w:pPr>
    </w:p>
    <w:p w14:paraId="62FF072D" w14:textId="14F493EE" w:rsidR="00585016" w:rsidRPr="009F0910" w:rsidRDefault="00585016" w:rsidP="004E58BD">
      <w:pPr>
        <w:spacing w:after="0" w:line="240" w:lineRule="auto"/>
        <w:contextualSpacing/>
        <w:jc w:val="both"/>
        <w:rPr>
          <w:rFonts w:cstheme="minorHAnsi"/>
          <w:sz w:val="24"/>
          <w:szCs w:val="24"/>
        </w:rPr>
      </w:pPr>
    </w:p>
    <w:sectPr w:rsidR="00585016" w:rsidRPr="009F0910" w:rsidSect="00592602">
      <w:footerReference w:type="defaul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C5A0" w14:textId="77777777" w:rsidR="0015179A" w:rsidRDefault="0015179A" w:rsidP="006C5101">
      <w:pPr>
        <w:spacing w:after="0" w:line="240" w:lineRule="auto"/>
      </w:pPr>
      <w:r>
        <w:separator/>
      </w:r>
    </w:p>
  </w:endnote>
  <w:endnote w:type="continuationSeparator" w:id="0">
    <w:p w14:paraId="499BA0AA" w14:textId="77777777" w:rsidR="0015179A" w:rsidRDefault="0015179A" w:rsidP="006C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729701"/>
      <w:docPartObj>
        <w:docPartGallery w:val="Page Numbers (Bottom of Page)"/>
        <w:docPartUnique/>
      </w:docPartObj>
    </w:sdtPr>
    <w:sdtEndPr>
      <w:rPr>
        <w:rFonts w:ascii="Times New Roman" w:hAnsi="Times New Roman" w:cs="Times New Roman"/>
        <w:noProof/>
        <w:sz w:val="20"/>
        <w:szCs w:val="20"/>
      </w:rPr>
    </w:sdtEndPr>
    <w:sdtContent>
      <w:p w14:paraId="032B2906" w14:textId="0DB2E2AD" w:rsidR="006D3490" w:rsidRPr="006C5101" w:rsidRDefault="006D3490">
        <w:pPr>
          <w:pStyle w:val="Footer"/>
          <w:jc w:val="center"/>
          <w:rPr>
            <w:rFonts w:ascii="Times New Roman" w:hAnsi="Times New Roman" w:cs="Times New Roman"/>
            <w:sz w:val="20"/>
            <w:szCs w:val="20"/>
          </w:rPr>
        </w:pPr>
        <w:r w:rsidRPr="006C5101">
          <w:rPr>
            <w:rFonts w:ascii="Times New Roman" w:hAnsi="Times New Roman" w:cs="Times New Roman"/>
            <w:sz w:val="20"/>
            <w:szCs w:val="20"/>
          </w:rPr>
          <w:fldChar w:fldCharType="begin"/>
        </w:r>
        <w:r w:rsidRPr="006C5101">
          <w:rPr>
            <w:rFonts w:ascii="Times New Roman" w:hAnsi="Times New Roman" w:cs="Times New Roman"/>
            <w:sz w:val="20"/>
            <w:szCs w:val="20"/>
          </w:rPr>
          <w:instrText xml:space="preserve"> PAGE   \* MERGEFORMAT </w:instrText>
        </w:r>
        <w:r w:rsidRPr="006C5101">
          <w:rPr>
            <w:rFonts w:ascii="Times New Roman" w:hAnsi="Times New Roman" w:cs="Times New Roman"/>
            <w:sz w:val="20"/>
            <w:szCs w:val="20"/>
          </w:rPr>
          <w:fldChar w:fldCharType="separate"/>
        </w:r>
        <w:r w:rsidR="00123B87">
          <w:rPr>
            <w:rFonts w:ascii="Times New Roman" w:hAnsi="Times New Roman" w:cs="Times New Roman"/>
            <w:noProof/>
            <w:sz w:val="20"/>
            <w:szCs w:val="20"/>
          </w:rPr>
          <w:t>8</w:t>
        </w:r>
        <w:r w:rsidRPr="006C5101">
          <w:rPr>
            <w:rFonts w:ascii="Times New Roman" w:hAnsi="Times New Roman" w:cs="Times New Roman"/>
            <w:noProof/>
            <w:sz w:val="20"/>
            <w:szCs w:val="20"/>
          </w:rPr>
          <w:fldChar w:fldCharType="end"/>
        </w:r>
      </w:p>
    </w:sdtContent>
  </w:sdt>
  <w:p w14:paraId="2B10E48C" w14:textId="77777777" w:rsidR="006D3490" w:rsidRDefault="006D3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FDA7" w14:textId="77777777" w:rsidR="0015179A" w:rsidRDefault="0015179A" w:rsidP="006C5101">
      <w:pPr>
        <w:spacing w:after="0" w:line="240" w:lineRule="auto"/>
      </w:pPr>
      <w:r>
        <w:separator/>
      </w:r>
    </w:p>
  </w:footnote>
  <w:footnote w:type="continuationSeparator" w:id="0">
    <w:p w14:paraId="6FFF89D2" w14:textId="77777777" w:rsidR="0015179A" w:rsidRDefault="0015179A" w:rsidP="006C5101">
      <w:pPr>
        <w:spacing w:after="0" w:line="240" w:lineRule="auto"/>
      </w:pPr>
      <w:r>
        <w:continuationSeparator/>
      </w:r>
    </w:p>
  </w:footnote>
  <w:footnote w:id="1">
    <w:p w14:paraId="17B19687" w14:textId="5629455D" w:rsidR="006D3490" w:rsidRPr="007471DB" w:rsidRDefault="006D3490" w:rsidP="007471DB">
      <w:pPr>
        <w:pStyle w:val="FootnoteText"/>
        <w:jc w:val="both"/>
        <w:rPr>
          <w:rFonts w:cstheme="minorHAnsi"/>
        </w:rPr>
      </w:pPr>
      <w:r w:rsidRPr="007471DB">
        <w:rPr>
          <w:rStyle w:val="FootnoteReference"/>
          <w:rFonts w:cstheme="minorHAnsi"/>
        </w:rPr>
        <w:footnoteRef/>
      </w:r>
      <w:r w:rsidRPr="007471DB">
        <w:rPr>
          <w:rFonts w:cstheme="minorHAnsi"/>
        </w:rPr>
        <w:t xml:space="preserve"> Some people who reside in such facilities are referred to as “forensic” inpatients, because they either have a history of offending and are under a criminal justice section or are believed to pose too great a risk of harm to themselves or others to be cared for in general psychiatric services. The people who took part in the present study </w:t>
      </w:r>
      <w:r w:rsidR="00870768" w:rsidRPr="007471DB">
        <w:rPr>
          <w:rFonts w:cstheme="minorHAnsi"/>
        </w:rPr>
        <w:t>are</w:t>
      </w:r>
      <w:r w:rsidRPr="007471DB">
        <w:rPr>
          <w:rFonts w:cstheme="minorHAnsi"/>
        </w:rPr>
        <w:t xml:space="preserve"> referred to as forensic inpatients.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6C52"/>
    <w:multiLevelType w:val="hybridMultilevel"/>
    <w:tmpl w:val="82B6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72630"/>
    <w:multiLevelType w:val="multilevel"/>
    <w:tmpl w:val="6E82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5"/>
    <w:rsid w:val="00006E5C"/>
    <w:rsid w:val="000070D2"/>
    <w:rsid w:val="00007FC9"/>
    <w:rsid w:val="0001306A"/>
    <w:rsid w:val="0001407A"/>
    <w:rsid w:val="00014F8F"/>
    <w:rsid w:val="0001797E"/>
    <w:rsid w:val="000213E4"/>
    <w:rsid w:val="00021E85"/>
    <w:rsid w:val="00027FF0"/>
    <w:rsid w:val="00034820"/>
    <w:rsid w:val="00034F02"/>
    <w:rsid w:val="0004218F"/>
    <w:rsid w:val="0004228D"/>
    <w:rsid w:val="00045A8F"/>
    <w:rsid w:val="00046940"/>
    <w:rsid w:val="00046C3A"/>
    <w:rsid w:val="00046EED"/>
    <w:rsid w:val="000470A3"/>
    <w:rsid w:val="0005026B"/>
    <w:rsid w:val="00050B9A"/>
    <w:rsid w:val="00052D3C"/>
    <w:rsid w:val="00054E87"/>
    <w:rsid w:val="00057D96"/>
    <w:rsid w:val="0006521F"/>
    <w:rsid w:val="0007184E"/>
    <w:rsid w:val="00075929"/>
    <w:rsid w:val="0008580B"/>
    <w:rsid w:val="00092740"/>
    <w:rsid w:val="00093AB1"/>
    <w:rsid w:val="000964A6"/>
    <w:rsid w:val="00096A41"/>
    <w:rsid w:val="00097E6B"/>
    <w:rsid w:val="000A1409"/>
    <w:rsid w:val="000A191E"/>
    <w:rsid w:val="000A197A"/>
    <w:rsid w:val="000A33AA"/>
    <w:rsid w:val="000A3EC2"/>
    <w:rsid w:val="000A4FB7"/>
    <w:rsid w:val="000A5D87"/>
    <w:rsid w:val="000A660C"/>
    <w:rsid w:val="000A7AB6"/>
    <w:rsid w:val="000B010B"/>
    <w:rsid w:val="000B0439"/>
    <w:rsid w:val="000B380F"/>
    <w:rsid w:val="000B5A68"/>
    <w:rsid w:val="000C56FF"/>
    <w:rsid w:val="000C59CE"/>
    <w:rsid w:val="000C78FB"/>
    <w:rsid w:val="000C7DEA"/>
    <w:rsid w:val="000D3C1F"/>
    <w:rsid w:val="000D5115"/>
    <w:rsid w:val="000E2C03"/>
    <w:rsid w:val="000E39F5"/>
    <w:rsid w:val="000E4FE5"/>
    <w:rsid w:val="000F159D"/>
    <w:rsid w:val="000F6D02"/>
    <w:rsid w:val="000F7B13"/>
    <w:rsid w:val="001014E3"/>
    <w:rsid w:val="00101ED2"/>
    <w:rsid w:val="00102B28"/>
    <w:rsid w:val="00105735"/>
    <w:rsid w:val="00105D28"/>
    <w:rsid w:val="00110BCB"/>
    <w:rsid w:val="00111BA9"/>
    <w:rsid w:val="00111C22"/>
    <w:rsid w:val="00112B3C"/>
    <w:rsid w:val="00113410"/>
    <w:rsid w:val="00113E85"/>
    <w:rsid w:val="0011519A"/>
    <w:rsid w:val="0011677A"/>
    <w:rsid w:val="001177A9"/>
    <w:rsid w:val="00117F29"/>
    <w:rsid w:val="00123B87"/>
    <w:rsid w:val="00125171"/>
    <w:rsid w:val="00125288"/>
    <w:rsid w:val="00132C53"/>
    <w:rsid w:val="00135608"/>
    <w:rsid w:val="0013623B"/>
    <w:rsid w:val="00136A23"/>
    <w:rsid w:val="00142E7A"/>
    <w:rsid w:val="00150E90"/>
    <w:rsid w:val="00151683"/>
    <w:rsid w:val="0015179A"/>
    <w:rsid w:val="00153985"/>
    <w:rsid w:val="00153AD4"/>
    <w:rsid w:val="00154909"/>
    <w:rsid w:val="00157440"/>
    <w:rsid w:val="00161496"/>
    <w:rsid w:val="00161EB2"/>
    <w:rsid w:val="00162C4C"/>
    <w:rsid w:val="00163D2B"/>
    <w:rsid w:val="00163DD6"/>
    <w:rsid w:val="00165170"/>
    <w:rsid w:val="00166D17"/>
    <w:rsid w:val="00170494"/>
    <w:rsid w:val="00172647"/>
    <w:rsid w:val="001727B6"/>
    <w:rsid w:val="00174078"/>
    <w:rsid w:val="001756F0"/>
    <w:rsid w:val="00176420"/>
    <w:rsid w:val="00182633"/>
    <w:rsid w:val="001831C2"/>
    <w:rsid w:val="00183427"/>
    <w:rsid w:val="0018415E"/>
    <w:rsid w:val="00185464"/>
    <w:rsid w:val="0018550E"/>
    <w:rsid w:val="0018587A"/>
    <w:rsid w:val="0018783D"/>
    <w:rsid w:val="001913AD"/>
    <w:rsid w:val="00192B8A"/>
    <w:rsid w:val="001958D1"/>
    <w:rsid w:val="00197F2F"/>
    <w:rsid w:val="001A0828"/>
    <w:rsid w:val="001A114D"/>
    <w:rsid w:val="001A15A4"/>
    <w:rsid w:val="001A1792"/>
    <w:rsid w:val="001A67FB"/>
    <w:rsid w:val="001A770C"/>
    <w:rsid w:val="001B0DA3"/>
    <w:rsid w:val="001B289F"/>
    <w:rsid w:val="001B6311"/>
    <w:rsid w:val="001B640E"/>
    <w:rsid w:val="001B737E"/>
    <w:rsid w:val="001C5FA0"/>
    <w:rsid w:val="001C6088"/>
    <w:rsid w:val="001C6F62"/>
    <w:rsid w:val="001D14DF"/>
    <w:rsid w:val="001D1C14"/>
    <w:rsid w:val="001D3A0A"/>
    <w:rsid w:val="001D42E1"/>
    <w:rsid w:val="001D46EC"/>
    <w:rsid w:val="001D49E7"/>
    <w:rsid w:val="001D5E3B"/>
    <w:rsid w:val="001E22A8"/>
    <w:rsid w:val="001E3180"/>
    <w:rsid w:val="001E3395"/>
    <w:rsid w:val="001E356E"/>
    <w:rsid w:val="001E5919"/>
    <w:rsid w:val="001E5DAE"/>
    <w:rsid w:val="001E62C4"/>
    <w:rsid w:val="001E6821"/>
    <w:rsid w:val="00204B0A"/>
    <w:rsid w:val="002068C4"/>
    <w:rsid w:val="00206FC5"/>
    <w:rsid w:val="00207C25"/>
    <w:rsid w:val="00216B71"/>
    <w:rsid w:val="00217B50"/>
    <w:rsid w:val="002201AE"/>
    <w:rsid w:val="00221D37"/>
    <w:rsid w:val="002236A3"/>
    <w:rsid w:val="00233338"/>
    <w:rsid w:val="0024052B"/>
    <w:rsid w:val="00243E38"/>
    <w:rsid w:val="00245E0A"/>
    <w:rsid w:val="00245E48"/>
    <w:rsid w:val="002462F2"/>
    <w:rsid w:val="00250AEF"/>
    <w:rsid w:val="00251AF2"/>
    <w:rsid w:val="002558C6"/>
    <w:rsid w:val="00255B5F"/>
    <w:rsid w:val="00262217"/>
    <w:rsid w:val="002633D3"/>
    <w:rsid w:val="00263EDC"/>
    <w:rsid w:val="00274E03"/>
    <w:rsid w:val="00274F96"/>
    <w:rsid w:val="0027606A"/>
    <w:rsid w:val="00277D39"/>
    <w:rsid w:val="00282360"/>
    <w:rsid w:val="00282929"/>
    <w:rsid w:val="00282FDA"/>
    <w:rsid w:val="002839F3"/>
    <w:rsid w:val="00295F95"/>
    <w:rsid w:val="002973FB"/>
    <w:rsid w:val="002A1863"/>
    <w:rsid w:val="002A4248"/>
    <w:rsid w:val="002A50E9"/>
    <w:rsid w:val="002A7165"/>
    <w:rsid w:val="002B07BA"/>
    <w:rsid w:val="002B39B6"/>
    <w:rsid w:val="002B714A"/>
    <w:rsid w:val="002C1FF8"/>
    <w:rsid w:val="002C4310"/>
    <w:rsid w:val="002D0197"/>
    <w:rsid w:val="002D2FED"/>
    <w:rsid w:val="002D5C9A"/>
    <w:rsid w:val="002E1000"/>
    <w:rsid w:val="002E1263"/>
    <w:rsid w:val="002E18B8"/>
    <w:rsid w:val="002E483B"/>
    <w:rsid w:val="002E4EE7"/>
    <w:rsid w:val="002E7C35"/>
    <w:rsid w:val="002F351B"/>
    <w:rsid w:val="002F4544"/>
    <w:rsid w:val="002F6BC8"/>
    <w:rsid w:val="002F70BF"/>
    <w:rsid w:val="00300B94"/>
    <w:rsid w:val="00313B3B"/>
    <w:rsid w:val="00314634"/>
    <w:rsid w:val="00321080"/>
    <w:rsid w:val="00322A98"/>
    <w:rsid w:val="003230DC"/>
    <w:rsid w:val="00323DC3"/>
    <w:rsid w:val="00325029"/>
    <w:rsid w:val="0033026D"/>
    <w:rsid w:val="003309C7"/>
    <w:rsid w:val="00333E81"/>
    <w:rsid w:val="0033444E"/>
    <w:rsid w:val="003403F3"/>
    <w:rsid w:val="0034197F"/>
    <w:rsid w:val="0035183F"/>
    <w:rsid w:val="00353166"/>
    <w:rsid w:val="0035424A"/>
    <w:rsid w:val="00356063"/>
    <w:rsid w:val="00356EF5"/>
    <w:rsid w:val="0035761D"/>
    <w:rsid w:val="00361F99"/>
    <w:rsid w:val="0036775D"/>
    <w:rsid w:val="00367C26"/>
    <w:rsid w:val="003741A4"/>
    <w:rsid w:val="00376B29"/>
    <w:rsid w:val="00381003"/>
    <w:rsid w:val="003815FF"/>
    <w:rsid w:val="00387E13"/>
    <w:rsid w:val="003958E1"/>
    <w:rsid w:val="003A5C94"/>
    <w:rsid w:val="003A6101"/>
    <w:rsid w:val="003B3697"/>
    <w:rsid w:val="003B3F37"/>
    <w:rsid w:val="003B6BD0"/>
    <w:rsid w:val="003C14A2"/>
    <w:rsid w:val="003C571C"/>
    <w:rsid w:val="003C5908"/>
    <w:rsid w:val="003C6633"/>
    <w:rsid w:val="003C72B0"/>
    <w:rsid w:val="003D1C4E"/>
    <w:rsid w:val="003D5CD7"/>
    <w:rsid w:val="003D5D4C"/>
    <w:rsid w:val="003E257F"/>
    <w:rsid w:val="003E26A5"/>
    <w:rsid w:val="003E2FB9"/>
    <w:rsid w:val="003E3498"/>
    <w:rsid w:val="003F0D7A"/>
    <w:rsid w:val="003F1E43"/>
    <w:rsid w:val="003F28CE"/>
    <w:rsid w:val="003F32E7"/>
    <w:rsid w:val="00400500"/>
    <w:rsid w:val="00401CC1"/>
    <w:rsid w:val="00405D23"/>
    <w:rsid w:val="0040726E"/>
    <w:rsid w:val="00414571"/>
    <w:rsid w:val="00415D1D"/>
    <w:rsid w:val="004221BB"/>
    <w:rsid w:val="00424885"/>
    <w:rsid w:val="004258A5"/>
    <w:rsid w:val="00425D46"/>
    <w:rsid w:val="00431C4A"/>
    <w:rsid w:val="00433396"/>
    <w:rsid w:val="00434255"/>
    <w:rsid w:val="004406CE"/>
    <w:rsid w:val="00444A51"/>
    <w:rsid w:val="00444FAC"/>
    <w:rsid w:val="00446C51"/>
    <w:rsid w:val="004560A0"/>
    <w:rsid w:val="00456BA5"/>
    <w:rsid w:val="00460FB6"/>
    <w:rsid w:val="004625ED"/>
    <w:rsid w:val="004659A2"/>
    <w:rsid w:val="004706A2"/>
    <w:rsid w:val="004707C6"/>
    <w:rsid w:val="004724AD"/>
    <w:rsid w:val="004849C3"/>
    <w:rsid w:val="004870CD"/>
    <w:rsid w:val="00493330"/>
    <w:rsid w:val="0049345D"/>
    <w:rsid w:val="00494729"/>
    <w:rsid w:val="0049504F"/>
    <w:rsid w:val="004971A6"/>
    <w:rsid w:val="00497A1A"/>
    <w:rsid w:val="004A0473"/>
    <w:rsid w:val="004A4908"/>
    <w:rsid w:val="004B1417"/>
    <w:rsid w:val="004B18AB"/>
    <w:rsid w:val="004B2F3B"/>
    <w:rsid w:val="004B42DD"/>
    <w:rsid w:val="004B7380"/>
    <w:rsid w:val="004B7F13"/>
    <w:rsid w:val="004C1C21"/>
    <w:rsid w:val="004C7DB7"/>
    <w:rsid w:val="004D093B"/>
    <w:rsid w:val="004D16B9"/>
    <w:rsid w:val="004D1E32"/>
    <w:rsid w:val="004D2237"/>
    <w:rsid w:val="004D5991"/>
    <w:rsid w:val="004D6B62"/>
    <w:rsid w:val="004D6D40"/>
    <w:rsid w:val="004E165F"/>
    <w:rsid w:val="004E2477"/>
    <w:rsid w:val="004E58BD"/>
    <w:rsid w:val="004F3855"/>
    <w:rsid w:val="004F6A1A"/>
    <w:rsid w:val="004F7192"/>
    <w:rsid w:val="004F79B2"/>
    <w:rsid w:val="005000EC"/>
    <w:rsid w:val="005019BA"/>
    <w:rsid w:val="00503957"/>
    <w:rsid w:val="00504B26"/>
    <w:rsid w:val="00506DD6"/>
    <w:rsid w:val="0050753F"/>
    <w:rsid w:val="005107AD"/>
    <w:rsid w:val="005115A4"/>
    <w:rsid w:val="00513AF0"/>
    <w:rsid w:val="005214BC"/>
    <w:rsid w:val="00521E2B"/>
    <w:rsid w:val="0052258B"/>
    <w:rsid w:val="00523481"/>
    <w:rsid w:val="00523E5C"/>
    <w:rsid w:val="0052501D"/>
    <w:rsid w:val="005261FC"/>
    <w:rsid w:val="00533A40"/>
    <w:rsid w:val="00534628"/>
    <w:rsid w:val="00535A21"/>
    <w:rsid w:val="00535C36"/>
    <w:rsid w:val="005407C5"/>
    <w:rsid w:val="005458AC"/>
    <w:rsid w:val="005544B5"/>
    <w:rsid w:val="00563A78"/>
    <w:rsid w:val="00564E6C"/>
    <w:rsid w:val="00567A02"/>
    <w:rsid w:val="005708F4"/>
    <w:rsid w:val="00572FBA"/>
    <w:rsid w:val="005734E6"/>
    <w:rsid w:val="00573FA3"/>
    <w:rsid w:val="00575E0F"/>
    <w:rsid w:val="00576958"/>
    <w:rsid w:val="00582B20"/>
    <w:rsid w:val="00585016"/>
    <w:rsid w:val="0058560E"/>
    <w:rsid w:val="00586AF3"/>
    <w:rsid w:val="00590C1A"/>
    <w:rsid w:val="00592602"/>
    <w:rsid w:val="005955F9"/>
    <w:rsid w:val="00595CD6"/>
    <w:rsid w:val="005969BE"/>
    <w:rsid w:val="005979CE"/>
    <w:rsid w:val="005A0BE8"/>
    <w:rsid w:val="005A2335"/>
    <w:rsid w:val="005A4428"/>
    <w:rsid w:val="005A7808"/>
    <w:rsid w:val="005B2D49"/>
    <w:rsid w:val="005B7D6A"/>
    <w:rsid w:val="005C732C"/>
    <w:rsid w:val="005D0F60"/>
    <w:rsid w:val="005D4556"/>
    <w:rsid w:val="005D4BC2"/>
    <w:rsid w:val="005D5359"/>
    <w:rsid w:val="005D768E"/>
    <w:rsid w:val="005E19E3"/>
    <w:rsid w:val="005E1CF8"/>
    <w:rsid w:val="005E6B20"/>
    <w:rsid w:val="005F1891"/>
    <w:rsid w:val="005F1A09"/>
    <w:rsid w:val="005F24F2"/>
    <w:rsid w:val="006013DD"/>
    <w:rsid w:val="00601848"/>
    <w:rsid w:val="006024F5"/>
    <w:rsid w:val="00602D93"/>
    <w:rsid w:val="00604A74"/>
    <w:rsid w:val="00605EBA"/>
    <w:rsid w:val="0061531E"/>
    <w:rsid w:val="00616A65"/>
    <w:rsid w:val="006200BA"/>
    <w:rsid w:val="00631A6B"/>
    <w:rsid w:val="00640C1F"/>
    <w:rsid w:val="00640C97"/>
    <w:rsid w:val="00640CA7"/>
    <w:rsid w:val="00640D23"/>
    <w:rsid w:val="00640D4C"/>
    <w:rsid w:val="006420F4"/>
    <w:rsid w:val="0064440C"/>
    <w:rsid w:val="006465CC"/>
    <w:rsid w:val="00646CD2"/>
    <w:rsid w:val="006501ED"/>
    <w:rsid w:val="0065123F"/>
    <w:rsid w:val="00652F0B"/>
    <w:rsid w:val="00653FD4"/>
    <w:rsid w:val="006540B8"/>
    <w:rsid w:val="0065473F"/>
    <w:rsid w:val="00656241"/>
    <w:rsid w:val="006570E4"/>
    <w:rsid w:val="006642C8"/>
    <w:rsid w:val="00664962"/>
    <w:rsid w:val="0066633D"/>
    <w:rsid w:val="00667A3B"/>
    <w:rsid w:val="00670929"/>
    <w:rsid w:val="006728EF"/>
    <w:rsid w:val="006736F7"/>
    <w:rsid w:val="006818D7"/>
    <w:rsid w:val="00683E0B"/>
    <w:rsid w:val="00684493"/>
    <w:rsid w:val="006850C1"/>
    <w:rsid w:val="00687376"/>
    <w:rsid w:val="00687C6B"/>
    <w:rsid w:val="00692528"/>
    <w:rsid w:val="0069301F"/>
    <w:rsid w:val="006945ED"/>
    <w:rsid w:val="00695397"/>
    <w:rsid w:val="0069707B"/>
    <w:rsid w:val="006A0425"/>
    <w:rsid w:val="006A10D9"/>
    <w:rsid w:val="006A137F"/>
    <w:rsid w:val="006A1D28"/>
    <w:rsid w:val="006B288D"/>
    <w:rsid w:val="006B7BF7"/>
    <w:rsid w:val="006B7C7E"/>
    <w:rsid w:val="006C0670"/>
    <w:rsid w:val="006C13BB"/>
    <w:rsid w:val="006C5101"/>
    <w:rsid w:val="006C7C98"/>
    <w:rsid w:val="006D08CF"/>
    <w:rsid w:val="006D24FB"/>
    <w:rsid w:val="006D3490"/>
    <w:rsid w:val="006E34A7"/>
    <w:rsid w:val="006E6D2C"/>
    <w:rsid w:val="006E7956"/>
    <w:rsid w:val="006F39AC"/>
    <w:rsid w:val="006F3EEF"/>
    <w:rsid w:val="006F7354"/>
    <w:rsid w:val="0070041F"/>
    <w:rsid w:val="007025C9"/>
    <w:rsid w:val="00702B5F"/>
    <w:rsid w:val="0070606D"/>
    <w:rsid w:val="00707079"/>
    <w:rsid w:val="00711DFF"/>
    <w:rsid w:val="00712731"/>
    <w:rsid w:val="00715DFE"/>
    <w:rsid w:val="007166B7"/>
    <w:rsid w:val="007179CA"/>
    <w:rsid w:val="00717F7F"/>
    <w:rsid w:val="00720956"/>
    <w:rsid w:val="00724021"/>
    <w:rsid w:val="00724132"/>
    <w:rsid w:val="00726653"/>
    <w:rsid w:val="007308B5"/>
    <w:rsid w:val="00730F85"/>
    <w:rsid w:val="00733753"/>
    <w:rsid w:val="00734D7B"/>
    <w:rsid w:val="007361D0"/>
    <w:rsid w:val="00742A64"/>
    <w:rsid w:val="007471DB"/>
    <w:rsid w:val="007514B9"/>
    <w:rsid w:val="007527A1"/>
    <w:rsid w:val="007531FF"/>
    <w:rsid w:val="0075419B"/>
    <w:rsid w:val="007551B1"/>
    <w:rsid w:val="0075638B"/>
    <w:rsid w:val="00770147"/>
    <w:rsid w:val="0077275B"/>
    <w:rsid w:val="0077379D"/>
    <w:rsid w:val="00775EC8"/>
    <w:rsid w:val="00782BC0"/>
    <w:rsid w:val="00783221"/>
    <w:rsid w:val="007843E0"/>
    <w:rsid w:val="00785373"/>
    <w:rsid w:val="00786CF8"/>
    <w:rsid w:val="0079263C"/>
    <w:rsid w:val="0079441F"/>
    <w:rsid w:val="00794FD9"/>
    <w:rsid w:val="007A623A"/>
    <w:rsid w:val="007B06FC"/>
    <w:rsid w:val="007B49CF"/>
    <w:rsid w:val="007B7C2E"/>
    <w:rsid w:val="007C20D5"/>
    <w:rsid w:val="007C281D"/>
    <w:rsid w:val="007C3BD3"/>
    <w:rsid w:val="007C5550"/>
    <w:rsid w:val="007C6BC7"/>
    <w:rsid w:val="007D29E7"/>
    <w:rsid w:val="007E0EB4"/>
    <w:rsid w:val="007E17D1"/>
    <w:rsid w:val="007E1971"/>
    <w:rsid w:val="007E245B"/>
    <w:rsid w:val="007E4263"/>
    <w:rsid w:val="007E5E1F"/>
    <w:rsid w:val="007E7D1D"/>
    <w:rsid w:val="007F0547"/>
    <w:rsid w:val="007F112E"/>
    <w:rsid w:val="00801EA7"/>
    <w:rsid w:val="008030F8"/>
    <w:rsid w:val="0080608C"/>
    <w:rsid w:val="008105AF"/>
    <w:rsid w:val="0081077C"/>
    <w:rsid w:val="00810ADF"/>
    <w:rsid w:val="0081263C"/>
    <w:rsid w:val="00815855"/>
    <w:rsid w:val="00815939"/>
    <w:rsid w:val="008241B9"/>
    <w:rsid w:val="00825817"/>
    <w:rsid w:val="00833257"/>
    <w:rsid w:val="00833B24"/>
    <w:rsid w:val="00836778"/>
    <w:rsid w:val="008367EA"/>
    <w:rsid w:val="00843345"/>
    <w:rsid w:val="008451EE"/>
    <w:rsid w:val="00846010"/>
    <w:rsid w:val="008476C0"/>
    <w:rsid w:val="00851266"/>
    <w:rsid w:val="008532A6"/>
    <w:rsid w:val="00854114"/>
    <w:rsid w:val="00860EF2"/>
    <w:rsid w:val="0086250A"/>
    <w:rsid w:val="00866E67"/>
    <w:rsid w:val="00870768"/>
    <w:rsid w:val="00871070"/>
    <w:rsid w:val="0087131D"/>
    <w:rsid w:val="00871377"/>
    <w:rsid w:val="0087575B"/>
    <w:rsid w:val="00880417"/>
    <w:rsid w:val="00880F80"/>
    <w:rsid w:val="008928CD"/>
    <w:rsid w:val="008935CB"/>
    <w:rsid w:val="00893CA6"/>
    <w:rsid w:val="008948B7"/>
    <w:rsid w:val="008958C6"/>
    <w:rsid w:val="008A1401"/>
    <w:rsid w:val="008A14FF"/>
    <w:rsid w:val="008A1747"/>
    <w:rsid w:val="008A4399"/>
    <w:rsid w:val="008A520D"/>
    <w:rsid w:val="008B0E42"/>
    <w:rsid w:val="008C2DCF"/>
    <w:rsid w:val="008C65E1"/>
    <w:rsid w:val="008C6EE0"/>
    <w:rsid w:val="008D110A"/>
    <w:rsid w:val="008D11C3"/>
    <w:rsid w:val="008D77B3"/>
    <w:rsid w:val="008E086F"/>
    <w:rsid w:val="008E0948"/>
    <w:rsid w:val="008E4911"/>
    <w:rsid w:val="008E4C22"/>
    <w:rsid w:val="008E7DA2"/>
    <w:rsid w:val="008F0B4C"/>
    <w:rsid w:val="008F5895"/>
    <w:rsid w:val="00901CBD"/>
    <w:rsid w:val="009042F0"/>
    <w:rsid w:val="00905C7A"/>
    <w:rsid w:val="0090620D"/>
    <w:rsid w:val="0090732C"/>
    <w:rsid w:val="00915B12"/>
    <w:rsid w:val="00915F13"/>
    <w:rsid w:val="009201DC"/>
    <w:rsid w:val="00921B10"/>
    <w:rsid w:val="00923DCC"/>
    <w:rsid w:val="00925172"/>
    <w:rsid w:val="00925D27"/>
    <w:rsid w:val="0092634D"/>
    <w:rsid w:val="00926806"/>
    <w:rsid w:val="00933D0F"/>
    <w:rsid w:val="009349C8"/>
    <w:rsid w:val="009368DA"/>
    <w:rsid w:val="00944441"/>
    <w:rsid w:val="00944A5A"/>
    <w:rsid w:val="009452A2"/>
    <w:rsid w:val="009464DC"/>
    <w:rsid w:val="00946748"/>
    <w:rsid w:val="0094698F"/>
    <w:rsid w:val="00952538"/>
    <w:rsid w:val="00953B04"/>
    <w:rsid w:val="009546C8"/>
    <w:rsid w:val="00954722"/>
    <w:rsid w:val="009556F4"/>
    <w:rsid w:val="00956F36"/>
    <w:rsid w:val="00960FC6"/>
    <w:rsid w:val="0096247C"/>
    <w:rsid w:val="00975C69"/>
    <w:rsid w:val="00976805"/>
    <w:rsid w:val="00981D3B"/>
    <w:rsid w:val="009845AA"/>
    <w:rsid w:val="009870B4"/>
    <w:rsid w:val="00987702"/>
    <w:rsid w:val="00991832"/>
    <w:rsid w:val="00993768"/>
    <w:rsid w:val="009A0365"/>
    <w:rsid w:val="009A1064"/>
    <w:rsid w:val="009B47EE"/>
    <w:rsid w:val="009B4924"/>
    <w:rsid w:val="009C0FA3"/>
    <w:rsid w:val="009C3EBC"/>
    <w:rsid w:val="009C3ED6"/>
    <w:rsid w:val="009C797A"/>
    <w:rsid w:val="009D1A2E"/>
    <w:rsid w:val="009D21A1"/>
    <w:rsid w:val="009D28EE"/>
    <w:rsid w:val="009D73EB"/>
    <w:rsid w:val="009F0910"/>
    <w:rsid w:val="009F48B8"/>
    <w:rsid w:val="009F6843"/>
    <w:rsid w:val="00A00A0A"/>
    <w:rsid w:val="00A05132"/>
    <w:rsid w:val="00A07072"/>
    <w:rsid w:val="00A10FF5"/>
    <w:rsid w:val="00A120E8"/>
    <w:rsid w:val="00A172C7"/>
    <w:rsid w:val="00A25540"/>
    <w:rsid w:val="00A314F7"/>
    <w:rsid w:val="00A369DA"/>
    <w:rsid w:val="00A37DF0"/>
    <w:rsid w:val="00A4057A"/>
    <w:rsid w:val="00A4193C"/>
    <w:rsid w:val="00A423F0"/>
    <w:rsid w:val="00A43B60"/>
    <w:rsid w:val="00A459F2"/>
    <w:rsid w:val="00A505A9"/>
    <w:rsid w:val="00A50D78"/>
    <w:rsid w:val="00A525FB"/>
    <w:rsid w:val="00A544E2"/>
    <w:rsid w:val="00A60954"/>
    <w:rsid w:val="00A61FF4"/>
    <w:rsid w:val="00A6230B"/>
    <w:rsid w:val="00A6268F"/>
    <w:rsid w:val="00A63C42"/>
    <w:rsid w:val="00A63F5F"/>
    <w:rsid w:val="00A651EA"/>
    <w:rsid w:val="00A74468"/>
    <w:rsid w:val="00A80439"/>
    <w:rsid w:val="00A828B8"/>
    <w:rsid w:val="00A82F97"/>
    <w:rsid w:val="00A90941"/>
    <w:rsid w:val="00A9114D"/>
    <w:rsid w:val="00A9131B"/>
    <w:rsid w:val="00A91A7A"/>
    <w:rsid w:val="00A94D2C"/>
    <w:rsid w:val="00A950BD"/>
    <w:rsid w:val="00AA2115"/>
    <w:rsid w:val="00AA6B46"/>
    <w:rsid w:val="00AA6D06"/>
    <w:rsid w:val="00AA6F3F"/>
    <w:rsid w:val="00AB23D6"/>
    <w:rsid w:val="00AB2EB8"/>
    <w:rsid w:val="00AC0531"/>
    <w:rsid w:val="00AC0763"/>
    <w:rsid w:val="00AC1913"/>
    <w:rsid w:val="00AC311A"/>
    <w:rsid w:val="00AC57BC"/>
    <w:rsid w:val="00AC6C16"/>
    <w:rsid w:val="00AD36C4"/>
    <w:rsid w:val="00AD68BD"/>
    <w:rsid w:val="00AE1C09"/>
    <w:rsid w:val="00AE2265"/>
    <w:rsid w:val="00AE322F"/>
    <w:rsid w:val="00AE746D"/>
    <w:rsid w:val="00AF043A"/>
    <w:rsid w:val="00AF6698"/>
    <w:rsid w:val="00B016F3"/>
    <w:rsid w:val="00B02A86"/>
    <w:rsid w:val="00B02C5F"/>
    <w:rsid w:val="00B06024"/>
    <w:rsid w:val="00B10A9D"/>
    <w:rsid w:val="00B10C24"/>
    <w:rsid w:val="00B1472A"/>
    <w:rsid w:val="00B15BD0"/>
    <w:rsid w:val="00B207AE"/>
    <w:rsid w:val="00B26A2C"/>
    <w:rsid w:val="00B3061B"/>
    <w:rsid w:val="00B31011"/>
    <w:rsid w:val="00B33629"/>
    <w:rsid w:val="00B33E0D"/>
    <w:rsid w:val="00B34A07"/>
    <w:rsid w:val="00B35515"/>
    <w:rsid w:val="00B356AB"/>
    <w:rsid w:val="00B37C49"/>
    <w:rsid w:val="00B416F0"/>
    <w:rsid w:val="00B41819"/>
    <w:rsid w:val="00B42553"/>
    <w:rsid w:val="00B45C0B"/>
    <w:rsid w:val="00B53A53"/>
    <w:rsid w:val="00B5647B"/>
    <w:rsid w:val="00B5751A"/>
    <w:rsid w:val="00B61BC5"/>
    <w:rsid w:val="00B65088"/>
    <w:rsid w:val="00B658DE"/>
    <w:rsid w:val="00B65B6F"/>
    <w:rsid w:val="00B66952"/>
    <w:rsid w:val="00B67404"/>
    <w:rsid w:val="00B71D78"/>
    <w:rsid w:val="00B72CA3"/>
    <w:rsid w:val="00B73BCC"/>
    <w:rsid w:val="00B7544B"/>
    <w:rsid w:val="00B76289"/>
    <w:rsid w:val="00B8460C"/>
    <w:rsid w:val="00B84E59"/>
    <w:rsid w:val="00B85342"/>
    <w:rsid w:val="00B85C0A"/>
    <w:rsid w:val="00B86FF3"/>
    <w:rsid w:val="00B878AA"/>
    <w:rsid w:val="00B901E3"/>
    <w:rsid w:val="00B9414C"/>
    <w:rsid w:val="00B95A99"/>
    <w:rsid w:val="00B95B37"/>
    <w:rsid w:val="00B9721A"/>
    <w:rsid w:val="00BA4FB4"/>
    <w:rsid w:val="00BA7CE7"/>
    <w:rsid w:val="00BB0CB6"/>
    <w:rsid w:val="00BB0D85"/>
    <w:rsid w:val="00BB17CB"/>
    <w:rsid w:val="00BB3D97"/>
    <w:rsid w:val="00BB3F30"/>
    <w:rsid w:val="00BB42BB"/>
    <w:rsid w:val="00BC75EA"/>
    <w:rsid w:val="00BD3650"/>
    <w:rsid w:val="00BD4D69"/>
    <w:rsid w:val="00BE0668"/>
    <w:rsid w:val="00BE2589"/>
    <w:rsid w:val="00BE2703"/>
    <w:rsid w:val="00BE2F0A"/>
    <w:rsid w:val="00BE4C1F"/>
    <w:rsid w:val="00BE7A51"/>
    <w:rsid w:val="00BE7D87"/>
    <w:rsid w:val="00BF04FE"/>
    <w:rsid w:val="00BF0DEE"/>
    <w:rsid w:val="00BF2386"/>
    <w:rsid w:val="00BF26C6"/>
    <w:rsid w:val="00BF570B"/>
    <w:rsid w:val="00C01155"/>
    <w:rsid w:val="00C04262"/>
    <w:rsid w:val="00C0693F"/>
    <w:rsid w:val="00C116EF"/>
    <w:rsid w:val="00C132D5"/>
    <w:rsid w:val="00C13B3A"/>
    <w:rsid w:val="00C14CF1"/>
    <w:rsid w:val="00C20B66"/>
    <w:rsid w:val="00C24CB9"/>
    <w:rsid w:val="00C30361"/>
    <w:rsid w:val="00C31611"/>
    <w:rsid w:val="00C35212"/>
    <w:rsid w:val="00C363E2"/>
    <w:rsid w:val="00C45D9D"/>
    <w:rsid w:val="00C46621"/>
    <w:rsid w:val="00C510A9"/>
    <w:rsid w:val="00C520C2"/>
    <w:rsid w:val="00C53464"/>
    <w:rsid w:val="00C53984"/>
    <w:rsid w:val="00C5580C"/>
    <w:rsid w:val="00C57268"/>
    <w:rsid w:val="00C572AA"/>
    <w:rsid w:val="00C6145B"/>
    <w:rsid w:val="00C66134"/>
    <w:rsid w:val="00C6794F"/>
    <w:rsid w:val="00C705A1"/>
    <w:rsid w:val="00C710D6"/>
    <w:rsid w:val="00C7389C"/>
    <w:rsid w:val="00C73C28"/>
    <w:rsid w:val="00C759F7"/>
    <w:rsid w:val="00C77CB7"/>
    <w:rsid w:val="00C81DAA"/>
    <w:rsid w:val="00C83BEA"/>
    <w:rsid w:val="00C83D69"/>
    <w:rsid w:val="00C856C1"/>
    <w:rsid w:val="00C90B67"/>
    <w:rsid w:val="00C90DE6"/>
    <w:rsid w:val="00C94653"/>
    <w:rsid w:val="00C95CCD"/>
    <w:rsid w:val="00C9742B"/>
    <w:rsid w:val="00C975F2"/>
    <w:rsid w:val="00CA1702"/>
    <w:rsid w:val="00CA4976"/>
    <w:rsid w:val="00CB140D"/>
    <w:rsid w:val="00CB214C"/>
    <w:rsid w:val="00CB3A71"/>
    <w:rsid w:val="00CB481D"/>
    <w:rsid w:val="00CB569F"/>
    <w:rsid w:val="00CC3E9E"/>
    <w:rsid w:val="00CC4D11"/>
    <w:rsid w:val="00CC715E"/>
    <w:rsid w:val="00CD584C"/>
    <w:rsid w:val="00CD6269"/>
    <w:rsid w:val="00CE48A7"/>
    <w:rsid w:val="00CE4DC0"/>
    <w:rsid w:val="00CE59F7"/>
    <w:rsid w:val="00CF0A0E"/>
    <w:rsid w:val="00CF527A"/>
    <w:rsid w:val="00D020D3"/>
    <w:rsid w:val="00D025AB"/>
    <w:rsid w:val="00D02775"/>
    <w:rsid w:val="00D04782"/>
    <w:rsid w:val="00D06DA1"/>
    <w:rsid w:val="00D1350C"/>
    <w:rsid w:val="00D136F2"/>
    <w:rsid w:val="00D13D67"/>
    <w:rsid w:val="00D147C0"/>
    <w:rsid w:val="00D208BA"/>
    <w:rsid w:val="00D220A6"/>
    <w:rsid w:val="00D271AB"/>
    <w:rsid w:val="00D27370"/>
    <w:rsid w:val="00D30256"/>
    <w:rsid w:val="00D347EC"/>
    <w:rsid w:val="00D34DCB"/>
    <w:rsid w:val="00D45BC2"/>
    <w:rsid w:val="00D50549"/>
    <w:rsid w:val="00D56060"/>
    <w:rsid w:val="00D56240"/>
    <w:rsid w:val="00D57878"/>
    <w:rsid w:val="00D60BC8"/>
    <w:rsid w:val="00D65BC3"/>
    <w:rsid w:val="00D700D6"/>
    <w:rsid w:val="00D7281F"/>
    <w:rsid w:val="00D73274"/>
    <w:rsid w:val="00D755F0"/>
    <w:rsid w:val="00D7576C"/>
    <w:rsid w:val="00D76283"/>
    <w:rsid w:val="00D829B7"/>
    <w:rsid w:val="00D842C9"/>
    <w:rsid w:val="00D8568E"/>
    <w:rsid w:val="00D97A51"/>
    <w:rsid w:val="00D97A54"/>
    <w:rsid w:val="00DA0772"/>
    <w:rsid w:val="00DA184D"/>
    <w:rsid w:val="00DA2685"/>
    <w:rsid w:val="00DA718F"/>
    <w:rsid w:val="00DC5E70"/>
    <w:rsid w:val="00DD29E6"/>
    <w:rsid w:val="00DD57C7"/>
    <w:rsid w:val="00DD59AC"/>
    <w:rsid w:val="00DD7026"/>
    <w:rsid w:val="00DD76A7"/>
    <w:rsid w:val="00DE075F"/>
    <w:rsid w:val="00DE1A02"/>
    <w:rsid w:val="00DE1A09"/>
    <w:rsid w:val="00DE38F0"/>
    <w:rsid w:val="00DE46E6"/>
    <w:rsid w:val="00DE7235"/>
    <w:rsid w:val="00DE7789"/>
    <w:rsid w:val="00DF640A"/>
    <w:rsid w:val="00E00E99"/>
    <w:rsid w:val="00E01BA2"/>
    <w:rsid w:val="00E04FC6"/>
    <w:rsid w:val="00E06237"/>
    <w:rsid w:val="00E10418"/>
    <w:rsid w:val="00E12FC3"/>
    <w:rsid w:val="00E23771"/>
    <w:rsid w:val="00E26A60"/>
    <w:rsid w:val="00E32320"/>
    <w:rsid w:val="00E418C4"/>
    <w:rsid w:val="00E43112"/>
    <w:rsid w:val="00E5031A"/>
    <w:rsid w:val="00E505B7"/>
    <w:rsid w:val="00E57827"/>
    <w:rsid w:val="00E61F37"/>
    <w:rsid w:val="00E64B3F"/>
    <w:rsid w:val="00E66168"/>
    <w:rsid w:val="00E74518"/>
    <w:rsid w:val="00E80978"/>
    <w:rsid w:val="00E85D9D"/>
    <w:rsid w:val="00E85FAD"/>
    <w:rsid w:val="00E86803"/>
    <w:rsid w:val="00E875A4"/>
    <w:rsid w:val="00E87967"/>
    <w:rsid w:val="00E928B8"/>
    <w:rsid w:val="00E95B9F"/>
    <w:rsid w:val="00E95FB1"/>
    <w:rsid w:val="00E96CC1"/>
    <w:rsid w:val="00EA484A"/>
    <w:rsid w:val="00EA4E5B"/>
    <w:rsid w:val="00EA7A7C"/>
    <w:rsid w:val="00EB257E"/>
    <w:rsid w:val="00EC1BA6"/>
    <w:rsid w:val="00EC24C1"/>
    <w:rsid w:val="00ED0380"/>
    <w:rsid w:val="00ED0547"/>
    <w:rsid w:val="00ED1618"/>
    <w:rsid w:val="00ED48A2"/>
    <w:rsid w:val="00ED523D"/>
    <w:rsid w:val="00ED6D4B"/>
    <w:rsid w:val="00ED7912"/>
    <w:rsid w:val="00EE1546"/>
    <w:rsid w:val="00EE2853"/>
    <w:rsid w:val="00EE2C3A"/>
    <w:rsid w:val="00EE4382"/>
    <w:rsid w:val="00EF3A93"/>
    <w:rsid w:val="00EF6715"/>
    <w:rsid w:val="00EF79AF"/>
    <w:rsid w:val="00F064FB"/>
    <w:rsid w:val="00F137D9"/>
    <w:rsid w:val="00F14FBE"/>
    <w:rsid w:val="00F22CAA"/>
    <w:rsid w:val="00F2385D"/>
    <w:rsid w:val="00F26EE9"/>
    <w:rsid w:val="00F36A0D"/>
    <w:rsid w:val="00F40253"/>
    <w:rsid w:val="00F50E97"/>
    <w:rsid w:val="00F52708"/>
    <w:rsid w:val="00F56057"/>
    <w:rsid w:val="00F610AE"/>
    <w:rsid w:val="00F63FCB"/>
    <w:rsid w:val="00F64F24"/>
    <w:rsid w:val="00F64F46"/>
    <w:rsid w:val="00F75545"/>
    <w:rsid w:val="00F83042"/>
    <w:rsid w:val="00F84AC8"/>
    <w:rsid w:val="00F868D1"/>
    <w:rsid w:val="00F90E12"/>
    <w:rsid w:val="00F90F65"/>
    <w:rsid w:val="00F92268"/>
    <w:rsid w:val="00F92339"/>
    <w:rsid w:val="00F92DFA"/>
    <w:rsid w:val="00F93DBC"/>
    <w:rsid w:val="00FA114F"/>
    <w:rsid w:val="00FA4089"/>
    <w:rsid w:val="00FA5EF8"/>
    <w:rsid w:val="00FB7C10"/>
    <w:rsid w:val="00FB7EB3"/>
    <w:rsid w:val="00FC1F43"/>
    <w:rsid w:val="00FC451E"/>
    <w:rsid w:val="00FC59AE"/>
    <w:rsid w:val="00FC5F45"/>
    <w:rsid w:val="00FC6DAA"/>
    <w:rsid w:val="00FD0232"/>
    <w:rsid w:val="00FD0963"/>
    <w:rsid w:val="00FD17F1"/>
    <w:rsid w:val="00FD3C47"/>
    <w:rsid w:val="00FD5F09"/>
    <w:rsid w:val="00FE3271"/>
    <w:rsid w:val="00FF0C59"/>
    <w:rsid w:val="00FF15D0"/>
    <w:rsid w:val="00FF2867"/>
    <w:rsid w:val="00FF3773"/>
    <w:rsid w:val="00FF4F3B"/>
    <w:rsid w:val="00FF727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C0DE6"/>
  <w15:docId w15:val="{8F6478B1-7AB4-4071-A506-9DD74FB7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07C6"/>
    <w:rPr>
      <w:sz w:val="16"/>
      <w:szCs w:val="16"/>
    </w:rPr>
  </w:style>
  <w:style w:type="paragraph" w:styleId="CommentText">
    <w:name w:val="annotation text"/>
    <w:basedOn w:val="Normal"/>
    <w:link w:val="CommentTextChar"/>
    <w:uiPriority w:val="99"/>
    <w:unhideWhenUsed/>
    <w:rsid w:val="004707C6"/>
    <w:pPr>
      <w:spacing w:line="240" w:lineRule="auto"/>
    </w:pPr>
    <w:rPr>
      <w:sz w:val="20"/>
      <w:szCs w:val="20"/>
    </w:rPr>
  </w:style>
  <w:style w:type="character" w:customStyle="1" w:styleId="CommentTextChar">
    <w:name w:val="Comment Text Char"/>
    <w:basedOn w:val="DefaultParagraphFont"/>
    <w:link w:val="CommentText"/>
    <w:uiPriority w:val="99"/>
    <w:rsid w:val="004707C6"/>
    <w:rPr>
      <w:sz w:val="20"/>
      <w:szCs w:val="20"/>
    </w:rPr>
  </w:style>
  <w:style w:type="paragraph" w:styleId="BalloonText">
    <w:name w:val="Balloon Text"/>
    <w:basedOn w:val="Normal"/>
    <w:link w:val="BalloonTextChar"/>
    <w:uiPriority w:val="99"/>
    <w:semiHidden/>
    <w:unhideWhenUsed/>
    <w:rsid w:val="00470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C6"/>
    <w:rPr>
      <w:rFonts w:ascii="Segoe UI" w:hAnsi="Segoe UI" w:cs="Segoe UI"/>
      <w:sz w:val="18"/>
      <w:szCs w:val="18"/>
    </w:rPr>
  </w:style>
  <w:style w:type="paragraph" w:styleId="NoSpacing">
    <w:name w:val="No Spacing"/>
    <w:uiPriority w:val="1"/>
    <w:qFormat/>
    <w:rsid w:val="002839F3"/>
    <w:pPr>
      <w:spacing w:after="0" w:line="240" w:lineRule="auto"/>
    </w:pPr>
  </w:style>
  <w:style w:type="paragraph" w:styleId="Header">
    <w:name w:val="header"/>
    <w:basedOn w:val="Normal"/>
    <w:link w:val="HeaderChar"/>
    <w:uiPriority w:val="99"/>
    <w:unhideWhenUsed/>
    <w:rsid w:val="006C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01"/>
  </w:style>
  <w:style w:type="paragraph" w:styleId="Footer">
    <w:name w:val="footer"/>
    <w:basedOn w:val="Normal"/>
    <w:link w:val="FooterChar"/>
    <w:uiPriority w:val="99"/>
    <w:unhideWhenUsed/>
    <w:rsid w:val="006C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01"/>
  </w:style>
  <w:style w:type="paragraph" w:styleId="ListParagraph">
    <w:name w:val="List Paragraph"/>
    <w:basedOn w:val="Normal"/>
    <w:uiPriority w:val="34"/>
    <w:qFormat/>
    <w:rsid w:val="00381003"/>
    <w:pPr>
      <w:ind w:left="720"/>
      <w:contextualSpacing/>
    </w:pPr>
  </w:style>
  <w:style w:type="character" w:styleId="Hyperlink">
    <w:name w:val="Hyperlink"/>
    <w:basedOn w:val="DefaultParagraphFont"/>
    <w:uiPriority w:val="99"/>
    <w:unhideWhenUsed/>
    <w:rsid w:val="00BB3F30"/>
    <w:rPr>
      <w:color w:val="0563C1" w:themeColor="hyperlink"/>
      <w:u w:val="single"/>
    </w:rPr>
  </w:style>
  <w:style w:type="paragraph" w:styleId="NormalWeb">
    <w:name w:val="Normal (Web)"/>
    <w:basedOn w:val="Normal"/>
    <w:uiPriority w:val="99"/>
    <w:unhideWhenUsed/>
    <w:rsid w:val="00925D2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article-headermeta-info-data">
    <w:name w:val="article-header__meta-info-data"/>
    <w:basedOn w:val="DefaultParagraphFont"/>
    <w:rsid w:val="00E64B3F"/>
  </w:style>
  <w:style w:type="paragraph" w:styleId="FootnoteText">
    <w:name w:val="footnote text"/>
    <w:basedOn w:val="Normal"/>
    <w:link w:val="FootnoteTextChar"/>
    <w:uiPriority w:val="99"/>
    <w:semiHidden/>
    <w:unhideWhenUsed/>
    <w:rsid w:val="0078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373"/>
    <w:rPr>
      <w:sz w:val="20"/>
      <w:szCs w:val="20"/>
    </w:rPr>
  </w:style>
  <w:style w:type="character" w:styleId="FootnoteReference">
    <w:name w:val="footnote reference"/>
    <w:basedOn w:val="DefaultParagraphFont"/>
    <w:uiPriority w:val="99"/>
    <w:semiHidden/>
    <w:unhideWhenUsed/>
    <w:rsid w:val="00785373"/>
    <w:rPr>
      <w:vertAlign w:val="superscript"/>
    </w:rPr>
  </w:style>
  <w:style w:type="character" w:customStyle="1" w:styleId="slug-doi">
    <w:name w:val="slug-doi"/>
    <w:basedOn w:val="DefaultParagraphFont"/>
    <w:rsid w:val="000B010B"/>
  </w:style>
  <w:style w:type="character" w:customStyle="1" w:styleId="UnresolvedMention1">
    <w:name w:val="Unresolved Mention1"/>
    <w:basedOn w:val="DefaultParagraphFont"/>
    <w:uiPriority w:val="99"/>
    <w:semiHidden/>
    <w:unhideWhenUsed/>
    <w:rsid w:val="003F1E43"/>
    <w:rPr>
      <w:color w:val="605E5C"/>
      <w:shd w:val="clear" w:color="auto" w:fill="E1DFDD"/>
    </w:rPr>
  </w:style>
  <w:style w:type="paragraph" w:customStyle="1" w:styleId="Default">
    <w:name w:val="Default"/>
    <w:rsid w:val="00F92D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6E34A7"/>
    <w:rPr>
      <w:b/>
      <w:bCs/>
    </w:rPr>
  </w:style>
  <w:style w:type="character" w:customStyle="1" w:styleId="CommentSubjectChar">
    <w:name w:val="Comment Subject Char"/>
    <w:basedOn w:val="CommentTextChar"/>
    <w:link w:val="CommentSubject"/>
    <w:uiPriority w:val="99"/>
    <w:semiHidden/>
    <w:rsid w:val="006E34A7"/>
    <w:rPr>
      <w:b/>
      <w:bCs/>
      <w:sz w:val="20"/>
      <w:szCs w:val="20"/>
    </w:rPr>
  </w:style>
  <w:style w:type="character" w:styleId="FollowedHyperlink">
    <w:name w:val="FollowedHyperlink"/>
    <w:basedOn w:val="DefaultParagraphFont"/>
    <w:uiPriority w:val="99"/>
    <w:semiHidden/>
    <w:unhideWhenUsed/>
    <w:rsid w:val="00050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0085">
      <w:bodyDiv w:val="1"/>
      <w:marLeft w:val="0"/>
      <w:marRight w:val="0"/>
      <w:marTop w:val="0"/>
      <w:marBottom w:val="0"/>
      <w:divBdr>
        <w:top w:val="none" w:sz="0" w:space="0" w:color="auto"/>
        <w:left w:val="none" w:sz="0" w:space="0" w:color="auto"/>
        <w:bottom w:val="none" w:sz="0" w:space="0" w:color="auto"/>
        <w:right w:val="none" w:sz="0" w:space="0" w:color="auto"/>
      </w:divBdr>
    </w:div>
    <w:div w:id="158616859">
      <w:bodyDiv w:val="1"/>
      <w:marLeft w:val="0"/>
      <w:marRight w:val="0"/>
      <w:marTop w:val="0"/>
      <w:marBottom w:val="0"/>
      <w:divBdr>
        <w:top w:val="none" w:sz="0" w:space="0" w:color="auto"/>
        <w:left w:val="none" w:sz="0" w:space="0" w:color="auto"/>
        <w:bottom w:val="none" w:sz="0" w:space="0" w:color="auto"/>
        <w:right w:val="none" w:sz="0" w:space="0" w:color="auto"/>
      </w:divBdr>
    </w:div>
    <w:div w:id="615410958">
      <w:bodyDiv w:val="1"/>
      <w:marLeft w:val="0"/>
      <w:marRight w:val="0"/>
      <w:marTop w:val="0"/>
      <w:marBottom w:val="0"/>
      <w:divBdr>
        <w:top w:val="none" w:sz="0" w:space="0" w:color="auto"/>
        <w:left w:val="none" w:sz="0" w:space="0" w:color="auto"/>
        <w:bottom w:val="none" w:sz="0" w:space="0" w:color="auto"/>
        <w:right w:val="none" w:sz="0" w:space="0" w:color="auto"/>
      </w:divBdr>
    </w:div>
    <w:div w:id="1021396464">
      <w:bodyDiv w:val="1"/>
      <w:marLeft w:val="0"/>
      <w:marRight w:val="0"/>
      <w:marTop w:val="0"/>
      <w:marBottom w:val="0"/>
      <w:divBdr>
        <w:top w:val="none" w:sz="0" w:space="0" w:color="auto"/>
        <w:left w:val="none" w:sz="0" w:space="0" w:color="auto"/>
        <w:bottom w:val="none" w:sz="0" w:space="0" w:color="auto"/>
        <w:right w:val="none" w:sz="0" w:space="0" w:color="auto"/>
      </w:divBdr>
    </w:div>
    <w:div w:id="1205406304">
      <w:bodyDiv w:val="1"/>
      <w:marLeft w:val="0"/>
      <w:marRight w:val="0"/>
      <w:marTop w:val="0"/>
      <w:marBottom w:val="0"/>
      <w:divBdr>
        <w:top w:val="none" w:sz="0" w:space="0" w:color="auto"/>
        <w:left w:val="none" w:sz="0" w:space="0" w:color="auto"/>
        <w:bottom w:val="none" w:sz="0" w:space="0" w:color="auto"/>
        <w:right w:val="none" w:sz="0" w:space="0" w:color="auto"/>
      </w:divBdr>
      <w:divsChild>
        <w:div w:id="1847865027">
          <w:marLeft w:val="0"/>
          <w:marRight w:val="0"/>
          <w:marTop w:val="0"/>
          <w:marBottom w:val="0"/>
          <w:divBdr>
            <w:top w:val="none" w:sz="0" w:space="0" w:color="auto"/>
            <w:left w:val="none" w:sz="0" w:space="0" w:color="auto"/>
            <w:bottom w:val="none" w:sz="0" w:space="0" w:color="auto"/>
            <w:right w:val="none" w:sz="0" w:space="0" w:color="auto"/>
          </w:divBdr>
          <w:divsChild>
            <w:div w:id="1470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1335">
      <w:bodyDiv w:val="1"/>
      <w:marLeft w:val="0"/>
      <w:marRight w:val="0"/>
      <w:marTop w:val="0"/>
      <w:marBottom w:val="0"/>
      <w:divBdr>
        <w:top w:val="none" w:sz="0" w:space="0" w:color="auto"/>
        <w:left w:val="none" w:sz="0" w:space="0" w:color="auto"/>
        <w:bottom w:val="none" w:sz="0" w:space="0" w:color="auto"/>
        <w:right w:val="none" w:sz="0" w:space="0" w:color="auto"/>
      </w:divBdr>
    </w:div>
    <w:div w:id="1485855042">
      <w:bodyDiv w:val="1"/>
      <w:marLeft w:val="0"/>
      <w:marRight w:val="0"/>
      <w:marTop w:val="0"/>
      <w:marBottom w:val="0"/>
      <w:divBdr>
        <w:top w:val="none" w:sz="0" w:space="0" w:color="auto"/>
        <w:left w:val="none" w:sz="0" w:space="0" w:color="auto"/>
        <w:bottom w:val="none" w:sz="0" w:space="0" w:color="auto"/>
        <w:right w:val="none" w:sz="0" w:space="0" w:color="auto"/>
      </w:divBdr>
    </w:div>
    <w:div w:id="1543059041">
      <w:bodyDiv w:val="1"/>
      <w:marLeft w:val="0"/>
      <w:marRight w:val="0"/>
      <w:marTop w:val="0"/>
      <w:marBottom w:val="0"/>
      <w:divBdr>
        <w:top w:val="none" w:sz="0" w:space="0" w:color="auto"/>
        <w:left w:val="none" w:sz="0" w:space="0" w:color="auto"/>
        <w:bottom w:val="none" w:sz="0" w:space="0" w:color="auto"/>
        <w:right w:val="none" w:sz="0" w:space="0" w:color="auto"/>
      </w:divBdr>
    </w:div>
    <w:div w:id="1646817017">
      <w:bodyDiv w:val="1"/>
      <w:marLeft w:val="0"/>
      <w:marRight w:val="0"/>
      <w:marTop w:val="0"/>
      <w:marBottom w:val="0"/>
      <w:divBdr>
        <w:top w:val="none" w:sz="0" w:space="0" w:color="auto"/>
        <w:left w:val="none" w:sz="0" w:space="0" w:color="auto"/>
        <w:bottom w:val="none" w:sz="0" w:space="0" w:color="auto"/>
        <w:right w:val="none" w:sz="0" w:space="0" w:color="auto"/>
      </w:divBdr>
    </w:div>
    <w:div w:id="1699159151">
      <w:bodyDiv w:val="1"/>
      <w:marLeft w:val="0"/>
      <w:marRight w:val="0"/>
      <w:marTop w:val="0"/>
      <w:marBottom w:val="0"/>
      <w:divBdr>
        <w:top w:val="none" w:sz="0" w:space="0" w:color="auto"/>
        <w:left w:val="none" w:sz="0" w:space="0" w:color="auto"/>
        <w:bottom w:val="none" w:sz="0" w:space="0" w:color="auto"/>
        <w:right w:val="none" w:sz="0" w:space="0" w:color="auto"/>
      </w:divBdr>
    </w:div>
    <w:div w:id="1808204549">
      <w:bodyDiv w:val="1"/>
      <w:marLeft w:val="0"/>
      <w:marRight w:val="0"/>
      <w:marTop w:val="0"/>
      <w:marBottom w:val="0"/>
      <w:divBdr>
        <w:top w:val="none" w:sz="0" w:space="0" w:color="auto"/>
        <w:left w:val="none" w:sz="0" w:space="0" w:color="auto"/>
        <w:bottom w:val="none" w:sz="0" w:space="0" w:color="auto"/>
        <w:right w:val="none" w:sz="0" w:space="0" w:color="auto"/>
      </w:divBdr>
    </w:div>
    <w:div w:id="1922251149">
      <w:bodyDiv w:val="1"/>
      <w:marLeft w:val="0"/>
      <w:marRight w:val="0"/>
      <w:marTop w:val="0"/>
      <w:marBottom w:val="0"/>
      <w:divBdr>
        <w:top w:val="none" w:sz="0" w:space="0" w:color="auto"/>
        <w:left w:val="none" w:sz="0" w:space="0" w:color="auto"/>
        <w:bottom w:val="none" w:sz="0" w:space="0" w:color="auto"/>
        <w:right w:val="none" w:sz="0" w:space="0" w:color="auto"/>
      </w:divBdr>
    </w:div>
    <w:div w:id="21216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aapl.org/content/jaapl/25/4/441.ful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ezproxy.sussex.ac.uk/10.1080/17542863.2010.5191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x-doi-org.ezproxy.sussex.ac.uk/10.1258%2Fjrsm.97.10.4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86/1472-6963-8-92" TargetMode="External"/><Relationship Id="rId5" Type="http://schemas.openxmlformats.org/officeDocument/2006/relationships/numbering" Target="numbering.xml"/><Relationship Id="rId15" Type="http://schemas.openxmlformats.org/officeDocument/2006/relationships/hyperlink" Target="https://bit.ly/2p0Hmy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ezproxy.sussex.ac.uk/10.1016/j.healthplace.2017.0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B6BF6353447B269909FA3B54A2B" ma:contentTypeVersion="11" ma:contentTypeDescription="Create a new document." ma:contentTypeScope="" ma:versionID="3da2ffd7ecfd45405b60a41151f84539">
  <xsd:schema xmlns:xsd="http://www.w3.org/2001/XMLSchema" xmlns:xs="http://www.w3.org/2001/XMLSchema" xmlns:p="http://schemas.microsoft.com/office/2006/metadata/properties" xmlns:ns3="fc6bc396-e4e3-42eb-b4d8-de512d8d3720" xmlns:ns4="c4e76813-21dd-40a5-b8a6-d73529d13d3b" targetNamespace="http://schemas.microsoft.com/office/2006/metadata/properties" ma:root="true" ma:fieldsID="c2d18c5627a9cd730ce84fd5dc10697e" ns3:_="" ns4:_="">
    <xsd:import namespace="fc6bc396-e4e3-42eb-b4d8-de512d8d3720"/>
    <xsd:import namespace="c4e76813-21dd-40a5-b8a6-d73529d13d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bc396-e4e3-42eb-b4d8-de512d8d3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76813-21dd-40a5-b8a6-d73529d13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A557-0B16-46AD-997D-554566CF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bc396-e4e3-42eb-b4d8-de512d8d3720"/>
    <ds:schemaRef ds:uri="c4e76813-21dd-40a5-b8a6-d73529d1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9BBB3-FAF8-487C-956C-B6FF963F2D2D}">
  <ds:schemaRefs>
    <ds:schemaRef ds:uri="http://schemas.microsoft.com/sharepoint/v3/contenttype/forms"/>
  </ds:schemaRefs>
</ds:datastoreItem>
</file>

<file path=customXml/itemProps3.xml><?xml version="1.0" encoding="utf-8"?>
<ds:datastoreItem xmlns:ds="http://schemas.openxmlformats.org/officeDocument/2006/customXml" ds:itemID="{F395E78D-1CE1-4D14-B644-9BC2562C4000}">
  <ds:schemaRefs>
    <ds:schemaRef ds:uri="c4e76813-21dd-40a5-b8a6-d73529d13d3b"/>
    <ds:schemaRef ds:uri="fc6bc396-e4e3-42eb-b4d8-de512d8d3720"/>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5AAD020-11DB-4264-8035-CA23BA4F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7451</Words>
  <Characters>42473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Ravenhill</dc:creator>
  <cp:lastModifiedBy>James Ravenhill</cp:lastModifiedBy>
  <cp:revision>2</cp:revision>
  <cp:lastPrinted>2019-10-03T08:58:00Z</cp:lastPrinted>
  <dcterms:created xsi:type="dcterms:W3CDTF">2019-10-08T13:00:00Z</dcterms:created>
  <dcterms:modified xsi:type="dcterms:W3CDTF">2019-10-08T13:00:00Z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0x0101000A5A1B6BF6353447B269909FA3B54A2B</vt:lpwstr>
  </property>
</Properties>
</file>