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3F686" w14:textId="77777777" w:rsidR="00281410" w:rsidRPr="00DE296A" w:rsidRDefault="00281410" w:rsidP="00110A70">
      <w:pPr>
        <w:spacing w:after="80"/>
        <w:jc w:val="center"/>
        <w:rPr>
          <w:b/>
        </w:rPr>
      </w:pPr>
      <w:bookmarkStart w:id="0" w:name="_GoBack"/>
      <w:bookmarkEnd w:id="0"/>
      <w:r w:rsidRPr="00DE296A">
        <w:rPr>
          <w:b/>
        </w:rPr>
        <w:t>Global Health Promotion</w:t>
      </w:r>
    </w:p>
    <w:p w14:paraId="2C4919A9" w14:textId="046673C3" w:rsidR="00281410" w:rsidRPr="00DE296A" w:rsidRDefault="00C3046C" w:rsidP="00110A70">
      <w:pPr>
        <w:spacing w:after="80"/>
        <w:rPr>
          <w:b/>
        </w:rPr>
      </w:pPr>
      <w:r>
        <w:rPr>
          <w:b/>
        </w:rPr>
        <w:t>Healthy Universities</w:t>
      </w:r>
      <w:r w:rsidR="00CA37DD" w:rsidRPr="00DE296A">
        <w:rPr>
          <w:b/>
        </w:rPr>
        <w:t xml:space="preserve">: </w:t>
      </w:r>
      <w:r w:rsidRPr="00DE296A">
        <w:rPr>
          <w:b/>
        </w:rPr>
        <w:t xml:space="preserve">An Example </w:t>
      </w:r>
      <w:r>
        <w:rPr>
          <w:b/>
        </w:rPr>
        <w:t>o</w:t>
      </w:r>
      <w:r w:rsidRPr="00DE296A">
        <w:rPr>
          <w:b/>
        </w:rPr>
        <w:t xml:space="preserve">f </w:t>
      </w:r>
      <w:r>
        <w:rPr>
          <w:b/>
        </w:rPr>
        <w:t>a</w:t>
      </w:r>
      <w:r w:rsidRPr="00DE296A">
        <w:rPr>
          <w:b/>
        </w:rPr>
        <w:t xml:space="preserve"> Whole System Health Promoting Setting</w:t>
      </w:r>
    </w:p>
    <w:p w14:paraId="0B6A4456" w14:textId="77777777" w:rsidR="00281410" w:rsidRPr="00DE296A" w:rsidRDefault="00281410" w:rsidP="00110A70">
      <w:pPr>
        <w:spacing w:after="80"/>
        <w:rPr>
          <w:b/>
        </w:rPr>
      </w:pPr>
    </w:p>
    <w:p w14:paraId="06CC515A" w14:textId="004C68AB" w:rsidR="00A37AA8" w:rsidRPr="00DE296A" w:rsidRDefault="004C6563" w:rsidP="00110A70">
      <w:pPr>
        <w:spacing w:after="80"/>
        <w:rPr>
          <w:b/>
          <w:szCs w:val="24"/>
        </w:rPr>
      </w:pPr>
      <w:r w:rsidRPr="00DE296A">
        <w:rPr>
          <w:b/>
          <w:szCs w:val="24"/>
        </w:rPr>
        <w:t>ABSTRACT</w:t>
      </w:r>
    </w:p>
    <w:p w14:paraId="3C089785" w14:textId="58BE71D1" w:rsidR="00CA37DD" w:rsidRPr="00DE296A" w:rsidRDefault="00A37AA8" w:rsidP="00110A70">
      <w:pPr>
        <w:spacing w:after="80"/>
      </w:pPr>
      <w:r w:rsidRPr="003927AF">
        <w:rPr>
          <w:szCs w:val="24"/>
        </w:rPr>
        <w:t>The health</w:t>
      </w:r>
      <w:r w:rsidR="000452D5" w:rsidRPr="003927AF">
        <w:rPr>
          <w:szCs w:val="24"/>
        </w:rPr>
        <w:t xml:space="preserve"> promoting</w:t>
      </w:r>
      <w:r w:rsidRPr="003927AF">
        <w:rPr>
          <w:szCs w:val="24"/>
        </w:rPr>
        <w:t xml:space="preserve"> settings approach is well-established in health promotion, </w:t>
      </w:r>
      <w:r w:rsidR="000452D5" w:rsidRPr="003927AF">
        <w:rPr>
          <w:szCs w:val="24"/>
        </w:rPr>
        <w:t xml:space="preserve">with organisational settings being understood as complex systems able to support human wellbeing and flourishing. Despite the </w:t>
      </w:r>
      <w:r w:rsidR="00C3046C" w:rsidRPr="003927AF">
        <w:rPr>
          <w:szCs w:val="24"/>
        </w:rPr>
        <w:t>reach</w:t>
      </w:r>
      <w:r w:rsidR="000452D5" w:rsidRPr="003927AF">
        <w:rPr>
          <w:szCs w:val="24"/>
        </w:rPr>
        <w:t xml:space="preserve"> and evident importance of higher education as a sector, </w:t>
      </w:r>
      <w:r w:rsidR="00EB509B" w:rsidRPr="003927AF">
        <w:rPr>
          <w:szCs w:val="24"/>
        </w:rPr>
        <w:t>‘</w:t>
      </w:r>
      <w:r w:rsidRPr="003927AF">
        <w:rPr>
          <w:szCs w:val="24"/>
        </w:rPr>
        <w:t>health</w:t>
      </w:r>
      <w:r w:rsidR="009E51C4" w:rsidRPr="003927AF">
        <w:rPr>
          <w:szCs w:val="24"/>
        </w:rPr>
        <w:t>y</w:t>
      </w:r>
      <w:r w:rsidRPr="003927AF">
        <w:rPr>
          <w:szCs w:val="24"/>
        </w:rPr>
        <w:t xml:space="preserve"> universit</w:t>
      </w:r>
      <w:r w:rsidR="00EB509B" w:rsidRPr="003927AF">
        <w:rPr>
          <w:szCs w:val="24"/>
        </w:rPr>
        <w:t>ies’</w:t>
      </w:r>
      <w:r w:rsidRPr="003927AF">
        <w:rPr>
          <w:szCs w:val="24"/>
        </w:rPr>
        <w:t xml:space="preserve"> has </w:t>
      </w:r>
      <w:r w:rsidR="00EB509B" w:rsidRPr="003927AF">
        <w:rPr>
          <w:szCs w:val="24"/>
        </w:rPr>
        <w:t xml:space="preserve">not received high-level international leadership comparable to many </w:t>
      </w:r>
      <w:r w:rsidR="005E23A3" w:rsidRPr="003927AF">
        <w:rPr>
          <w:szCs w:val="24"/>
        </w:rPr>
        <w:t xml:space="preserve">other </w:t>
      </w:r>
      <w:r w:rsidR="00EB509B" w:rsidRPr="003927AF">
        <w:rPr>
          <w:szCs w:val="24"/>
        </w:rPr>
        <w:t>settings programmes</w:t>
      </w:r>
      <w:r w:rsidR="000452D5" w:rsidRPr="003927AF">
        <w:rPr>
          <w:szCs w:val="24"/>
        </w:rPr>
        <w:t>.</w:t>
      </w:r>
      <w:r w:rsidRPr="003927AF">
        <w:rPr>
          <w:szCs w:val="24"/>
        </w:rPr>
        <w:t xml:space="preserve"> </w:t>
      </w:r>
      <w:r w:rsidR="00CA37DD" w:rsidRPr="003927AF">
        <w:t xml:space="preserve">This study </w:t>
      </w:r>
      <w:r w:rsidR="00EC4866" w:rsidRPr="003927AF">
        <w:rPr>
          <w:rFonts w:cs="Arial"/>
          <w:szCs w:val="24"/>
        </w:rPr>
        <w:t>explore</w:t>
      </w:r>
      <w:r w:rsidR="00CA37DD" w:rsidRPr="003927AF">
        <w:rPr>
          <w:rFonts w:cs="Arial"/>
          <w:szCs w:val="24"/>
        </w:rPr>
        <w:t>s</w:t>
      </w:r>
      <w:r w:rsidR="00EC4866" w:rsidRPr="003927AF">
        <w:rPr>
          <w:rFonts w:cs="Arial"/>
          <w:szCs w:val="24"/>
        </w:rPr>
        <w:t xml:space="preserve"> </w:t>
      </w:r>
      <w:r w:rsidR="00EC4866" w:rsidRPr="003927AF">
        <w:t xml:space="preserve">how the concept of a healthy university is </w:t>
      </w:r>
      <w:r w:rsidR="00CA37DD" w:rsidRPr="003927AF">
        <w:t>operationali</w:t>
      </w:r>
      <w:r w:rsidR="00C3046C" w:rsidRPr="003927AF">
        <w:t>s</w:t>
      </w:r>
      <w:r w:rsidR="00CA37DD" w:rsidRPr="003927AF">
        <w:t xml:space="preserve">ed in two case study universities. </w:t>
      </w:r>
      <w:r w:rsidR="00EC4866" w:rsidRPr="003927AF">
        <w:rPr>
          <w:szCs w:val="24"/>
        </w:rPr>
        <w:t xml:space="preserve"> </w:t>
      </w:r>
      <w:r w:rsidR="00EC4866" w:rsidRPr="003927AF">
        <w:t xml:space="preserve">Data collection methods included documentary analysis, observation field notes and semi-structured interviews </w:t>
      </w:r>
      <w:r w:rsidRPr="003927AF">
        <w:rPr>
          <w:szCs w:val="24"/>
        </w:rPr>
        <w:t>with staff and students. Staff and students understood</w:t>
      </w:r>
      <w:r w:rsidRPr="003927AF">
        <w:t xml:space="preserve"> the characteristics of a healthy university to pertain to management processes relating to communication and to a respectful organisational ethos. Enhancers of health and wellbeing were feeling valued, being listened</w:t>
      </w:r>
      <w:r w:rsidR="00CA37DD" w:rsidRPr="003927AF">
        <w:t xml:space="preserve"> </w:t>
      </w:r>
      <w:r w:rsidRPr="003927AF">
        <w:t xml:space="preserve">to, having skilled and supportive line managers and having a positive physical environment. Inhibitors of health and wellbeing were having a sense of powerlessness and a lack of care and concern. </w:t>
      </w:r>
      <w:r w:rsidR="00CA37DD" w:rsidRPr="003927AF">
        <w:t xml:space="preserve">The concept of </w:t>
      </w:r>
      <w:r w:rsidR="00C3046C" w:rsidRPr="003927AF">
        <w:t>the</w:t>
      </w:r>
      <w:r w:rsidRPr="003927AF">
        <w:t xml:space="preserve"> health</w:t>
      </w:r>
      <w:r w:rsidR="00C3046C" w:rsidRPr="003927AF">
        <w:t>y</w:t>
      </w:r>
      <w:r w:rsidRPr="003927AF">
        <w:t xml:space="preserve"> university </w:t>
      </w:r>
      <w:r w:rsidR="00CA37DD" w:rsidRPr="003927AF">
        <w:t xml:space="preserve">has been slow to be adopted in contrast to </w:t>
      </w:r>
      <w:r w:rsidR="005E23A3" w:rsidRPr="003927AF">
        <w:t xml:space="preserve">initiatives such as </w:t>
      </w:r>
      <w:r w:rsidR="00CA37DD" w:rsidRPr="003927AF">
        <w:t xml:space="preserve">healthy schools. </w:t>
      </w:r>
      <w:r w:rsidR="00C3046C" w:rsidRPr="003927AF">
        <w:t>In addition to challenges relating to lack of theorisation, paucity of evidence and difficulties in capturing the added value of whole system working, t</w:t>
      </w:r>
      <w:r w:rsidR="00CA37DD" w:rsidRPr="003927AF">
        <w:t xml:space="preserve">his study </w:t>
      </w:r>
      <w:r w:rsidR="00C3046C" w:rsidRPr="003927AF">
        <w:t>suggest</w:t>
      </w:r>
      <w:r w:rsidR="00CA37DD" w:rsidRPr="003927AF">
        <w:t xml:space="preserve">s that this may be due to </w:t>
      </w:r>
      <w:r w:rsidR="005E23A3" w:rsidRPr="003927AF">
        <w:t xml:space="preserve">both their complex organisational structure and </w:t>
      </w:r>
      <w:r w:rsidR="00CA37DD" w:rsidRPr="003927AF">
        <w:t>the diverse goals of higher education</w:t>
      </w:r>
      <w:r w:rsidR="005E23A3" w:rsidRPr="003927AF">
        <w:t xml:space="preserve">, which </w:t>
      </w:r>
      <w:r w:rsidR="00CA37DD" w:rsidRPr="003927AF">
        <w:t xml:space="preserve">do not </w:t>
      </w:r>
      <w:r w:rsidR="00C3046C" w:rsidRPr="003927AF">
        <w:t xml:space="preserve">automatically </w:t>
      </w:r>
      <w:r w:rsidR="00CA37DD" w:rsidRPr="003927AF">
        <w:t xml:space="preserve">privilege health and wellbeing. </w:t>
      </w:r>
      <w:r w:rsidR="00C3046C" w:rsidRPr="003927AF">
        <w:t>It also points to the need for a</w:t>
      </w:r>
      <w:r w:rsidR="00267479" w:rsidRPr="003927AF">
        <w:t xml:space="preserve"> whole </w:t>
      </w:r>
      <w:r w:rsidR="003927AF" w:rsidRPr="003927AF">
        <w:t xml:space="preserve">university </w:t>
      </w:r>
      <w:r w:rsidR="00267479" w:rsidRPr="003927AF">
        <w:t xml:space="preserve">approach that </w:t>
      </w:r>
      <w:r w:rsidR="00C3046C" w:rsidRPr="003927AF">
        <w:rPr>
          <w:rFonts w:cs="Arial"/>
          <w:szCs w:val="24"/>
        </w:rPr>
        <w:t xml:space="preserve">pays attention to the complex interactions and interconnections between component parts and highlights </w:t>
      </w:r>
      <w:r w:rsidR="003927AF" w:rsidRPr="003927AF">
        <w:rPr>
          <w:rFonts w:cs="Arial"/>
          <w:szCs w:val="24"/>
        </w:rPr>
        <w:t>how the organisation can function effectively as a social system.</w:t>
      </w:r>
    </w:p>
    <w:p w14:paraId="6BA6ED90" w14:textId="69ADF272" w:rsidR="00A37AA8" w:rsidRPr="00DE296A" w:rsidRDefault="00A37AA8" w:rsidP="00110A70">
      <w:pPr>
        <w:spacing w:after="80"/>
      </w:pPr>
    </w:p>
    <w:p w14:paraId="7576D113" w14:textId="76DA01DD" w:rsidR="00B036DF" w:rsidRPr="003927AF" w:rsidRDefault="004A2D29" w:rsidP="00110A70">
      <w:pPr>
        <w:spacing w:after="80"/>
        <w:rPr>
          <w:rFonts w:cs="Arial"/>
          <w:szCs w:val="24"/>
        </w:rPr>
      </w:pPr>
      <w:r w:rsidRPr="003927AF">
        <w:rPr>
          <w:rFonts w:cs="Arial"/>
          <w:b/>
          <w:szCs w:val="24"/>
        </w:rPr>
        <w:t>Key Words</w:t>
      </w:r>
      <w:r w:rsidR="00B036DF" w:rsidRPr="003927AF">
        <w:rPr>
          <w:rFonts w:cs="Arial"/>
          <w:b/>
          <w:szCs w:val="24"/>
        </w:rPr>
        <w:t>:</w:t>
      </w:r>
      <w:r w:rsidR="00B036DF" w:rsidRPr="003927AF">
        <w:rPr>
          <w:rFonts w:cs="Arial"/>
          <w:szCs w:val="24"/>
        </w:rPr>
        <w:t xml:space="preserve"> health promoting universities, healthy universities, h</w:t>
      </w:r>
      <w:r w:rsidR="00267479" w:rsidRPr="003927AF">
        <w:rPr>
          <w:rFonts w:cs="Arial"/>
          <w:szCs w:val="24"/>
        </w:rPr>
        <w:t xml:space="preserve">ealthy </w:t>
      </w:r>
      <w:r w:rsidR="00B036DF" w:rsidRPr="003927AF">
        <w:rPr>
          <w:rFonts w:cs="Arial"/>
          <w:szCs w:val="24"/>
        </w:rPr>
        <w:t xml:space="preserve">settings, </w:t>
      </w:r>
      <w:r w:rsidR="00267479" w:rsidRPr="003927AF">
        <w:rPr>
          <w:rFonts w:cs="Arial"/>
          <w:szCs w:val="24"/>
        </w:rPr>
        <w:t xml:space="preserve">whole </w:t>
      </w:r>
      <w:r w:rsidR="00B036DF" w:rsidRPr="003927AF">
        <w:rPr>
          <w:rFonts w:cs="Arial"/>
          <w:szCs w:val="24"/>
        </w:rPr>
        <w:t>systems</w:t>
      </w:r>
      <w:r w:rsidR="005E23A3" w:rsidRPr="003927AF">
        <w:rPr>
          <w:rFonts w:cs="Arial"/>
          <w:szCs w:val="24"/>
        </w:rPr>
        <w:t>,</w:t>
      </w:r>
      <w:r w:rsidR="00267479" w:rsidRPr="003927AF">
        <w:rPr>
          <w:rFonts w:cs="Arial"/>
          <w:szCs w:val="24"/>
        </w:rPr>
        <w:t xml:space="preserve"> </w:t>
      </w:r>
      <w:r w:rsidR="00B036DF" w:rsidRPr="003927AF">
        <w:rPr>
          <w:rFonts w:cs="Arial"/>
          <w:szCs w:val="24"/>
        </w:rPr>
        <w:t>salutogenesis</w:t>
      </w:r>
    </w:p>
    <w:p w14:paraId="28E6D6AE" w14:textId="77777777" w:rsidR="00B036DF" w:rsidRPr="00DE296A" w:rsidRDefault="00B036DF" w:rsidP="00110A70">
      <w:pPr>
        <w:spacing w:after="80"/>
        <w:rPr>
          <w:b/>
          <w:sz w:val="28"/>
        </w:rPr>
      </w:pPr>
    </w:p>
    <w:p w14:paraId="42D2594E" w14:textId="77777777" w:rsidR="004C6563" w:rsidRPr="00DE296A" w:rsidRDefault="004C6563" w:rsidP="00110A70">
      <w:pPr>
        <w:spacing w:after="80"/>
        <w:rPr>
          <w:b/>
          <w:sz w:val="28"/>
        </w:rPr>
      </w:pPr>
      <w:r w:rsidRPr="00DE296A">
        <w:rPr>
          <w:b/>
          <w:sz w:val="28"/>
        </w:rPr>
        <w:br w:type="page"/>
      </w:r>
    </w:p>
    <w:p w14:paraId="2AB50C14" w14:textId="677D735A" w:rsidR="00A37AA8" w:rsidRPr="00DE296A" w:rsidRDefault="004C6563" w:rsidP="00110A70">
      <w:pPr>
        <w:spacing w:after="80"/>
        <w:rPr>
          <w:b/>
        </w:rPr>
      </w:pPr>
      <w:r w:rsidRPr="00DE296A">
        <w:rPr>
          <w:b/>
        </w:rPr>
        <w:lastRenderedPageBreak/>
        <w:t>BACKGROUND</w:t>
      </w:r>
    </w:p>
    <w:p w14:paraId="4E9D4003" w14:textId="0B83C15E" w:rsidR="00FA77CA" w:rsidRPr="00DE296A" w:rsidRDefault="006327C4" w:rsidP="00E3332B">
      <w:pPr>
        <w:widowControl w:val="0"/>
        <w:autoSpaceDE w:val="0"/>
        <w:autoSpaceDN w:val="0"/>
        <w:adjustRightInd w:val="0"/>
        <w:spacing w:after="80"/>
      </w:pPr>
      <w:r w:rsidRPr="00DE296A">
        <w:t>The social, cultural</w:t>
      </w:r>
      <w:r w:rsidR="001F1C6B" w:rsidRPr="00DE296A">
        <w:t xml:space="preserve"> and</w:t>
      </w:r>
      <w:r w:rsidRPr="00DE296A">
        <w:t xml:space="preserve"> political settings in which people live, </w:t>
      </w:r>
      <w:r w:rsidR="001F1C6B" w:rsidRPr="00DE296A">
        <w:t xml:space="preserve">learn, </w:t>
      </w:r>
      <w:r w:rsidRPr="00DE296A">
        <w:t>work</w:t>
      </w:r>
      <w:r w:rsidR="001F1C6B" w:rsidRPr="00DE296A">
        <w:t xml:space="preserve"> </w:t>
      </w:r>
      <w:r w:rsidRPr="00DE296A">
        <w:t>and spend leisure</w:t>
      </w:r>
      <w:r w:rsidR="00AD09D8" w:rsidRPr="00DE296A">
        <w:t xml:space="preserve"> time</w:t>
      </w:r>
      <w:r w:rsidRPr="00DE296A">
        <w:t xml:space="preserve"> influence their health and wellbeing (</w:t>
      </w:r>
      <w:r w:rsidR="003927AF">
        <w:t>1</w:t>
      </w:r>
      <w:r w:rsidRPr="00DE296A">
        <w:t>)</w:t>
      </w:r>
      <w:r w:rsidR="0027111A" w:rsidRPr="00DE296A">
        <w:t xml:space="preserve"> –</w:t>
      </w:r>
      <w:r w:rsidR="008D155A" w:rsidRPr="00DE296A">
        <w:t xml:space="preserve"> and</w:t>
      </w:r>
      <w:r w:rsidR="0027111A" w:rsidRPr="00DE296A">
        <w:t xml:space="preserve"> </w:t>
      </w:r>
      <w:r w:rsidR="008D155A" w:rsidRPr="00DE296A">
        <w:t>t</w:t>
      </w:r>
      <w:r w:rsidR="009171C3" w:rsidRPr="00DE296A">
        <w:t xml:space="preserve">he </w:t>
      </w:r>
      <w:r w:rsidR="00AD09D8" w:rsidRPr="00DE296A">
        <w:t>World Health Organization (WHO) contends that setting</w:t>
      </w:r>
      <w:r w:rsidR="00E00A96" w:rsidRPr="00DE296A">
        <w:t xml:space="preserve">s </w:t>
      </w:r>
      <w:r w:rsidRPr="00DE296A">
        <w:t>such as workplaces, schools</w:t>
      </w:r>
      <w:r w:rsidR="00E00A96" w:rsidRPr="00DE296A">
        <w:t xml:space="preserve"> and</w:t>
      </w:r>
      <w:r w:rsidRPr="00DE296A">
        <w:t xml:space="preserve"> health </w:t>
      </w:r>
      <w:r w:rsidR="00E00A96" w:rsidRPr="00DE296A">
        <w:t xml:space="preserve">services </w:t>
      </w:r>
      <w:r w:rsidR="009171C3" w:rsidRPr="00DE296A">
        <w:t xml:space="preserve">provide </w:t>
      </w:r>
      <w:r w:rsidR="005E23A3" w:rsidRPr="00DE296A">
        <w:t xml:space="preserve">practical opportunities for the implementation of comprehensive strategies and </w:t>
      </w:r>
      <w:r w:rsidR="009171C3" w:rsidRPr="00DE296A">
        <w:t>a</w:t>
      </w:r>
      <w:r w:rsidR="00AD09D8" w:rsidRPr="00DE296A">
        <w:t>n</w:t>
      </w:r>
      <w:r w:rsidR="009171C3" w:rsidRPr="00DE296A">
        <w:t xml:space="preserve"> </w:t>
      </w:r>
      <w:r w:rsidR="005E23A3" w:rsidRPr="00DE296A">
        <w:t xml:space="preserve">appropriate </w:t>
      </w:r>
      <w:r w:rsidR="00AD09D8" w:rsidRPr="00DE296A">
        <w:t>infra</w:t>
      </w:r>
      <w:r w:rsidR="009171C3" w:rsidRPr="00DE296A">
        <w:t>structure for health promotion (</w:t>
      </w:r>
      <w:r w:rsidR="003927AF">
        <w:t>2</w:t>
      </w:r>
      <w:r w:rsidR="009171C3" w:rsidRPr="00DE296A">
        <w:t>)</w:t>
      </w:r>
      <w:r w:rsidR="00AD09D8" w:rsidRPr="00DE296A">
        <w:t>. R</w:t>
      </w:r>
      <w:r w:rsidRPr="00DE296A">
        <w:t xml:space="preserve">ather than simply </w:t>
      </w:r>
      <w:r w:rsidR="008D155A" w:rsidRPr="00DE296A">
        <w:t>viewing such settings</w:t>
      </w:r>
      <w:r w:rsidR="00AD09D8" w:rsidRPr="00DE296A">
        <w:t xml:space="preserve"> as vehicles for accessing populations and delivering</w:t>
      </w:r>
      <w:r w:rsidRPr="00DE296A">
        <w:t xml:space="preserve"> interventions</w:t>
      </w:r>
      <w:r w:rsidR="003927AF">
        <w:t xml:space="preserve"> (3</w:t>
      </w:r>
      <w:r w:rsidR="00F301D6" w:rsidRPr="00DE296A">
        <w:t>)</w:t>
      </w:r>
      <w:r w:rsidRPr="00DE296A">
        <w:t xml:space="preserve">, </w:t>
      </w:r>
      <w:r w:rsidR="008D155A" w:rsidRPr="00DE296A">
        <w:t xml:space="preserve">the health promoting settings approach </w:t>
      </w:r>
      <w:r w:rsidR="00F301D6" w:rsidRPr="00DE296A">
        <w:t>is informed by a sal</w:t>
      </w:r>
      <w:r w:rsidR="00DA437C" w:rsidRPr="00DE296A">
        <w:t>u</w:t>
      </w:r>
      <w:r w:rsidR="00F301D6" w:rsidRPr="00DE296A">
        <w:t>togenic approach</w:t>
      </w:r>
      <w:r w:rsidR="00267479" w:rsidRPr="00DE296A">
        <w:t xml:space="preserve"> that </w:t>
      </w:r>
      <w:r w:rsidR="005E23A3" w:rsidRPr="00DE296A">
        <w:t>focuses on</w:t>
      </w:r>
      <w:r w:rsidR="00267479" w:rsidRPr="00DE296A">
        <w:t xml:space="preserve"> how health and wellbeing are created. Drawing from socio-ecological models of health, it </w:t>
      </w:r>
      <w:r w:rsidR="008D155A" w:rsidRPr="00DE296A">
        <w:t>appreciates the important role of contexts in influencing wellbeing</w:t>
      </w:r>
      <w:r w:rsidR="00F301D6" w:rsidRPr="00DE296A">
        <w:t xml:space="preserve"> and points to the duality of structure and agency</w:t>
      </w:r>
      <w:r w:rsidR="00267479" w:rsidRPr="00DE296A">
        <w:t>. S</w:t>
      </w:r>
      <w:r w:rsidRPr="00DE296A">
        <w:t>etting</w:t>
      </w:r>
      <w:r w:rsidR="00AD09D8" w:rsidRPr="00DE296A">
        <w:t>s</w:t>
      </w:r>
      <w:r w:rsidRPr="00DE296A">
        <w:t xml:space="preserve"> </w:t>
      </w:r>
      <w:r w:rsidR="00267479" w:rsidRPr="00DE296A">
        <w:t xml:space="preserve">are seen as </w:t>
      </w:r>
      <w:r w:rsidRPr="00DE296A">
        <w:t>system</w:t>
      </w:r>
      <w:r w:rsidR="008D155A" w:rsidRPr="00DE296A">
        <w:t>s</w:t>
      </w:r>
      <w:r w:rsidRPr="00DE296A">
        <w:t xml:space="preserve">, </w:t>
      </w:r>
      <w:r w:rsidR="00DA437C" w:rsidRPr="00DE296A">
        <w:t xml:space="preserve">interconnected to other settings and </w:t>
      </w:r>
      <w:r w:rsidRPr="00DE296A">
        <w:t>with</w:t>
      </w:r>
      <w:r w:rsidR="008D155A" w:rsidRPr="00DE296A">
        <w:t xml:space="preserve"> complex</w:t>
      </w:r>
      <w:r w:rsidRPr="00DE296A">
        <w:t xml:space="preserve"> inter-relationships between component</w:t>
      </w:r>
      <w:r w:rsidR="008D155A" w:rsidRPr="00DE296A">
        <w:t xml:space="preserve"> part</w:t>
      </w:r>
      <w:r w:rsidRPr="00DE296A">
        <w:t>s</w:t>
      </w:r>
      <w:r w:rsidR="004D366C" w:rsidRPr="00DE296A">
        <w:t>,</w:t>
      </w:r>
      <w:r w:rsidR="008D155A" w:rsidRPr="00DE296A">
        <w:t xml:space="preserve"> stakeholders</w:t>
      </w:r>
      <w:r w:rsidR="004D366C" w:rsidRPr="00DE296A">
        <w:t xml:space="preserve"> and issues </w:t>
      </w:r>
      <w:r w:rsidR="00AD09D8" w:rsidRPr="00DE296A">
        <w:t>(</w:t>
      </w:r>
      <w:r w:rsidR="003927AF">
        <w:t>4</w:t>
      </w:r>
      <w:r w:rsidR="00267479" w:rsidRPr="00DE296A">
        <w:t>)</w:t>
      </w:r>
      <w:r w:rsidR="001F1C6B" w:rsidRPr="00DE296A">
        <w:t>.</w:t>
      </w:r>
      <w:r w:rsidR="00F301D6" w:rsidRPr="00DE296A">
        <w:t xml:space="preserve"> </w:t>
      </w:r>
    </w:p>
    <w:p w14:paraId="728A1495" w14:textId="641DB824" w:rsidR="009171C3" w:rsidRPr="00DE296A" w:rsidRDefault="004D366C" w:rsidP="00110A70">
      <w:pPr>
        <w:widowControl w:val="0"/>
        <w:autoSpaceDE w:val="0"/>
        <w:autoSpaceDN w:val="0"/>
        <w:adjustRightInd w:val="0"/>
        <w:spacing w:after="80"/>
      </w:pPr>
      <w:r w:rsidRPr="00DE296A">
        <w:t>U</w:t>
      </w:r>
      <w:r w:rsidR="009171C3" w:rsidRPr="00DE296A">
        <w:t xml:space="preserve">niversities are important organisations in </w:t>
      </w:r>
      <w:r w:rsidRPr="00DE296A">
        <w:t xml:space="preserve">and through </w:t>
      </w:r>
      <w:r w:rsidR="009171C3" w:rsidRPr="00DE296A">
        <w:t>which to create and improve health and wellbeing</w:t>
      </w:r>
      <w:r w:rsidR="00BC05E2" w:rsidRPr="00DE296A">
        <w:t>,</w:t>
      </w:r>
      <w:r w:rsidRPr="00DE296A">
        <w:t xml:space="preserve"> and </w:t>
      </w:r>
      <w:r w:rsidR="00AB3F2C" w:rsidRPr="00DE296A">
        <w:t>healthy universities</w:t>
      </w:r>
      <w:r w:rsidR="006327C4" w:rsidRPr="00DE296A">
        <w:t xml:space="preserve"> </w:t>
      </w:r>
      <w:r w:rsidRPr="00DE296A">
        <w:t xml:space="preserve">represent a key </w:t>
      </w:r>
      <w:r w:rsidR="006327C4" w:rsidRPr="00DE296A">
        <w:t xml:space="preserve">application of the </w:t>
      </w:r>
      <w:r w:rsidR="00BC05E2" w:rsidRPr="00DE296A">
        <w:t xml:space="preserve">health promoting </w:t>
      </w:r>
      <w:r w:rsidR="006327C4" w:rsidRPr="00DE296A">
        <w:t>settings approach (</w:t>
      </w:r>
      <w:r w:rsidR="003927AF">
        <w:t>5, 6, 7</w:t>
      </w:r>
      <w:r w:rsidR="006327C4" w:rsidRPr="00DE296A">
        <w:t xml:space="preserve">). </w:t>
      </w:r>
      <w:r w:rsidR="00B036DF" w:rsidRPr="00DE296A">
        <w:t xml:space="preserve">As a sector, higher education </w:t>
      </w:r>
      <w:r w:rsidR="004D48A5" w:rsidRPr="00DE296A">
        <w:t xml:space="preserve">plays a major role in shaping society, with significant social, economic and environmental impacts </w:t>
      </w:r>
      <w:r w:rsidR="00B036DF" w:rsidRPr="00DE296A">
        <w:t>at regional, national and global levels</w:t>
      </w:r>
      <w:r w:rsidR="003927AF">
        <w:t xml:space="preserve"> (8</w:t>
      </w:r>
      <w:r w:rsidR="004D48A5" w:rsidRPr="00DE296A">
        <w:t>)</w:t>
      </w:r>
      <w:r w:rsidR="00B036DF" w:rsidRPr="00DE296A">
        <w:t xml:space="preserve">. </w:t>
      </w:r>
      <w:r w:rsidR="009171C3" w:rsidRPr="00DE296A">
        <w:t xml:space="preserve">Within the UK there are </w:t>
      </w:r>
      <w:r w:rsidR="00F967C0" w:rsidRPr="00DE296A">
        <w:t xml:space="preserve">161 </w:t>
      </w:r>
      <w:r w:rsidR="009171C3" w:rsidRPr="00DE296A">
        <w:t xml:space="preserve">higher education institutions </w:t>
      </w:r>
      <w:r w:rsidR="00AB20CB" w:rsidRPr="00DE296A">
        <w:t>(HEIs)</w:t>
      </w:r>
      <w:r w:rsidR="00DA437C" w:rsidRPr="00DE296A">
        <w:t>,</w:t>
      </w:r>
      <w:r w:rsidR="00AB20CB" w:rsidRPr="00DE296A">
        <w:t xml:space="preserve"> </w:t>
      </w:r>
      <w:r w:rsidR="009171C3" w:rsidRPr="00DE296A">
        <w:t>each a large and diverse community</w:t>
      </w:r>
      <w:r w:rsidR="00DA437C" w:rsidRPr="00DE296A">
        <w:t>:</w:t>
      </w:r>
      <w:r w:rsidR="009171C3" w:rsidRPr="00DE296A">
        <w:t xml:space="preserve"> the extensive workforce within universities comprises </w:t>
      </w:r>
      <w:r w:rsidR="00F967C0" w:rsidRPr="00DE296A">
        <w:t>382</w:t>
      </w:r>
      <w:r w:rsidR="009171C3" w:rsidRPr="00DE296A">
        <w:t>,000 staff; and the student population is 2.</w:t>
      </w:r>
      <w:r w:rsidR="00F967C0" w:rsidRPr="00DE296A">
        <w:t xml:space="preserve">3 </w:t>
      </w:r>
      <w:r w:rsidR="009171C3" w:rsidRPr="00DE296A">
        <w:t>million (</w:t>
      </w:r>
      <w:r w:rsidR="003927AF">
        <w:t>9</w:t>
      </w:r>
      <w:r w:rsidR="009171C3" w:rsidRPr="00DE296A">
        <w:t>). Importantly, students attending university may be at a key transition point in their lives</w:t>
      </w:r>
      <w:r w:rsidR="00F967C0" w:rsidRPr="00DE296A">
        <w:t xml:space="preserve"> – </w:t>
      </w:r>
      <w:r w:rsidR="009171C3" w:rsidRPr="00DE296A">
        <w:t>living away from home for the first time and transitioning from childhood to adulthood without the close support of famil</w:t>
      </w:r>
      <w:r w:rsidR="00F967C0" w:rsidRPr="00DE296A">
        <w:t>y</w:t>
      </w:r>
      <w:r w:rsidR="00DA437C" w:rsidRPr="00DE296A">
        <w:t>;</w:t>
      </w:r>
      <w:r w:rsidR="009171C3" w:rsidRPr="00DE296A">
        <w:t xml:space="preserve"> </w:t>
      </w:r>
      <w:r w:rsidR="00F967C0" w:rsidRPr="00DE296A">
        <w:t xml:space="preserve">or </w:t>
      </w:r>
      <w:r w:rsidR="00DA437C" w:rsidRPr="00DE296A">
        <w:t xml:space="preserve">having to </w:t>
      </w:r>
      <w:r w:rsidR="009171C3" w:rsidRPr="00DE296A">
        <w:t>balanc</w:t>
      </w:r>
      <w:r w:rsidR="00DA437C" w:rsidRPr="00DE296A">
        <w:t>e</w:t>
      </w:r>
      <w:r w:rsidR="009171C3" w:rsidRPr="00DE296A">
        <w:t xml:space="preserve"> the competing demands of work</w:t>
      </w:r>
      <w:r w:rsidR="00DA437C" w:rsidRPr="00DE296A">
        <w:t xml:space="preserve"> and</w:t>
      </w:r>
      <w:r w:rsidR="009171C3" w:rsidRPr="00DE296A">
        <w:t xml:space="preserve"> family life </w:t>
      </w:r>
      <w:r w:rsidR="00DA437C" w:rsidRPr="00DE296A">
        <w:t xml:space="preserve">with </w:t>
      </w:r>
      <w:r w:rsidR="009171C3" w:rsidRPr="00DE296A">
        <w:t>studying</w:t>
      </w:r>
      <w:r w:rsidR="00DA437C" w:rsidRPr="00DE296A">
        <w:t xml:space="preserve"> and academic practice</w:t>
      </w:r>
      <w:r w:rsidR="009171C3" w:rsidRPr="00DE296A">
        <w:t>. University provides the opportunity to explore and experiment with new experiences</w:t>
      </w:r>
      <w:r w:rsidR="000452D5" w:rsidRPr="00DE296A">
        <w:t xml:space="preserve">, build </w:t>
      </w:r>
      <w:r w:rsidR="009171C3" w:rsidRPr="00DE296A">
        <w:t>life</w:t>
      </w:r>
      <w:r w:rsidR="00F967C0" w:rsidRPr="00DE296A">
        <w:t>-</w:t>
      </w:r>
      <w:r w:rsidR="009171C3" w:rsidRPr="00DE296A">
        <w:t>skills</w:t>
      </w:r>
      <w:r w:rsidR="000452D5" w:rsidRPr="00DE296A">
        <w:t xml:space="preserve"> and develop potential</w:t>
      </w:r>
      <w:r w:rsidR="009171C3" w:rsidRPr="00DE296A">
        <w:t xml:space="preserve">. It is also a place where students can clarify their values, </w:t>
      </w:r>
      <w:r w:rsidR="00AB20CB" w:rsidRPr="00DE296A">
        <w:t>develop as global citizens</w:t>
      </w:r>
      <w:r w:rsidR="009171C3" w:rsidRPr="00DE296A">
        <w:t xml:space="preserve"> and prepare for their future </w:t>
      </w:r>
      <w:r w:rsidR="00F967C0" w:rsidRPr="00DE296A">
        <w:t xml:space="preserve">roles </w:t>
      </w:r>
      <w:r w:rsidR="009171C3" w:rsidRPr="00DE296A">
        <w:t>within communities, workplaces and society as a whole</w:t>
      </w:r>
      <w:r w:rsidR="003927AF">
        <w:t xml:space="preserve"> (10</w:t>
      </w:r>
      <w:r w:rsidR="00AB20CB" w:rsidRPr="00DE296A">
        <w:t>)</w:t>
      </w:r>
      <w:r w:rsidR="009171C3" w:rsidRPr="00DE296A">
        <w:t xml:space="preserve">. </w:t>
      </w:r>
    </w:p>
    <w:p w14:paraId="36449F86" w14:textId="4E8AFEC2" w:rsidR="0044773D" w:rsidRPr="00DE296A" w:rsidRDefault="009171C3" w:rsidP="00110A70">
      <w:pPr>
        <w:spacing w:after="80"/>
      </w:pPr>
      <w:r w:rsidRPr="00DE296A">
        <w:t xml:space="preserve">Although the settings approach would appear to </w:t>
      </w:r>
      <w:r w:rsidR="00AB20CB" w:rsidRPr="00DE296A">
        <w:t>resonate with</w:t>
      </w:r>
      <w:r w:rsidRPr="00DE296A">
        <w:t xml:space="preserve"> </w:t>
      </w:r>
      <w:r w:rsidR="00071019" w:rsidRPr="00DE296A">
        <w:t>higher education</w:t>
      </w:r>
      <w:r w:rsidR="00EF3DF3" w:rsidRPr="00DE296A">
        <w:t>’s</w:t>
      </w:r>
      <w:r w:rsidR="00071019" w:rsidRPr="00DE296A">
        <w:t xml:space="preserve"> </w:t>
      </w:r>
      <w:r w:rsidRPr="00DE296A">
        <w:t>values of engagement, diversity, participation and collaboration</w:t>
      </w:r>
      <w:r w:rsidR="003927AF">
        <w:t>,</w:t>
      </w:r>
      <w:r w:rsidRPr="00DE296A">
        <w:t xml:space="preserve"> the concept of a </w:t>
      </w:r>
      <w:r w:rsidR="00D6650A" w:rsidRPr="00DE296A">
        <w:t>healthy university</w:t>
      </w:r>
      <w:r w:rsidR="00EF3DF3" w:rsidRPr="00DE296A">
        <w:t xml:space="preserve"> </w:t>
      </w:r>
      <w:r w:rsidRPr="00DE296A">
        <w:t xml:space="preserve">has been slow to be adopted. </w:t>
      </w:r>
      <w:r w:rsidR="00EF3DF3" w:rsidRPr="00DE296A">
        <w:t>At a European level, the 1998 publication of a WHO book on Health Promoting Universities (</w:t>
      </w:r>
      <w:r w:rsidR="003927AF">
        <w:t>11</w:t>
      </w:r>
      <w:r w:rsidR="00EF3DF3" w:rsidRPr="00DE296A">
        <w:t xml:space="preserve">) </w:t>
      </w:r>
      <w:r w:rsidR="00FD7402" w:rsidRPr="00DE296A">
        <w:t xml:space="preserve">did not </w:t>
      </w:r>
      <w:r w:rsidR="00EF3DF3" w:rsidRPr="00DE296A">
        <w:t xml:space="preserve">lead to the establishment of a European Programme paralleling Healthy Cities, Health </w:t>
      </w:r>
      <w:r w:rsidR="00EF3DF3" w:rsidRPr="00DE296A">
        <w:lastRenderedPageBreak/>
        <w:t>Promoting Schools and Health Promoting Hospitals. Likewise, within England, there has been no c</w:t>
      </w:r>
      <w:r w:rsidR="00AB3F2C" w:rsidRPr="00DE296A">
        <w:t>lear Government leadership for healthy u</w:t>
      </w:r>
      <w:r w:rsidR="00EF3DF3" w:rsidRPr="00DE296A">
        <w:t>niversities and w</w:t>
      </w:r>
      <w:r w:rsidRPr="00DE296A">
        <w:t xml:space="preserve">hen </w:t>
      </w:r>
      <w:r w:rsidR="00EF3DF3" w:rsidRPr="00DE296A">
        <w:t xml:space="preserve">in 2009 </w:t>
      </w:r>
      <w:r w:rsidRPr="00DE296A">
        <w:t xml:space="preserve">Dooris and Doherty </w:t>
      </w:r>
      <w:r w:rsidR="00071019" w:rsidRPr="00DE296A">
        <w:t>(</w:t>
      </w:r>
      <w:r w:rsidR="003927AF">
        <w:t>7</w:t>
      </w:r>
      <w:r w:rsidR="00071019" w:rsidRPr="00DE296A">
        <w:t xml:space="preserve">) </w:t>
      </w:r>
      <w:r w:rsidRPr="00DE296A">
        <w:t xml:space="preserve">conducted an audit of activity </w:t>
      </w:r>
      <w:r w:rsidR="00EF3DF3" w:rsidRPr="00DE296A">
        <w:t>in</w:t>
      </w:r>
      <w:r w:rsidRPr="00DE296A">
        <w:t xml:space="preserve"> 117 HEIs</w:t>
      </w:r>
      <w:r w:rsidR="00EF3DF3" w:rsidRPr="00DE296A">
        <w:t>, only</w:t>
      </w:r>
      <w:r w:rsidR="00071019" w:rsidRPr="00DE296A">
        <w:t xml:space="preserve"> 28 </w:t>
      </w:r>
      <w:r w:rsidR="00EF3DF3" w:rsidRPr="00DE296A">
        <w:t xml:space="preserve">of the 64 responding </w:t>
      </w:r>
      <w:r w:rsidRPr="00DE296A">
        <w:t xml:space="preserve">stated that they had a </w:t>
      </w:r>
      <w:r w:rsidR="00D6650A" w:rsidRPr="00DE296A">
        <w:t>healthy university</w:t>
      </w:r>
      <w:r w:rsidR="00AB20CB" w:rsidRPr="00DE296A">
        <w:t xml:space="preserve"> </w:t>
      </w:r>
      <w:r w:rsidRPr="00DE296A">
        <w:t xml:space="preserve">initiative. </w:t>
      </w:r>
      <w:r w:rsidR="00EF3DF3" w:rsidRPr="00DE296A">
        <w:t>Within these 28, i</w:t>
      </w:r>
      <w:r w:rsidR="00071019" w:rsidRPr="00DE296A">
        <w:t>nterpretations</w:t>
      </w:r>
      <w:r w:rsidR="00EF3DF3" w:rsidRPr="00DE296A">
        <w:t xml:space="preserve"> </w:t>
      </w:r>
      <w:r w:rsidRPr="00DE296A">
        <w:t xml:space="preserve">ranged from small scale single initiatives </w:t>
      </w:r>
      <w:r w:rsidR="00071019" w:rsidRPr="00DE296A">
        <w:t xml:space="preserve">and campaigns </w:t>
      </w:r>
      <w:r w:rsidRPr="00DE296A">
        <w:t xml:space="preserve">to </w:t>
      </w:r>
      <w:r w:rsidR="00AB20CB" w:rsidRPr="00DE296A">
        <w:t xml:space="preserve">whole system programmes </w:t>
      </w:r>
      <w:r w:rsidR="00071019" w:rsidRPr="00DE296A">
        <w:t>reflecting a</w:t>
      </w:r>
      <w:r w:rsidRPr="00DE296A">
        <w:t xml:space="preserve"> holistic understanding of health and wellbeing</w:t>
      </w:r>
      <w:r w:rsidR="00071019" w:rsidRPr="00DE296A">
        <w:t xml:space="preserve"> and a concern to focus on students, staff and the wider community</w:t>
      </w:r>
      <w:r w:rsidRPr="00DE296A">
        <w:t>.</w:t>
      </w:r>
      <w:r w:rsidR="0044773D" w:rsidRPr="00DE296A">
        <w:t xml:space="preserve"> </w:t>
      </w:r>
      <w:r w:rsidR="00EF3DF3" w:rsidRPr="00DE296A">
        <w:t xml:space="preserve">More recently, the UK Healthy Universities Network has expanded and strengthened, </w:t>
      </w:r>
      <w:r w:rsidR="00F301D6" w:rsidRPr="00DE296A">
        <w:t>reflecting a grassroots interest in the approach, in the continued absence of government-level leadership.</w:t>
      </w:r>
      <w:r w:rsidR="00EF3DF3" w:rsidRPr="00DE296A">
        <w:t xml:space="preserve"> </w:t>
      </w:r>
    </w:p>
    <w:p w14:paraId="01A8BA37" w14:textId="586E8948" w:rsidR="009171C3" w:rsidRPr="00DE296A" w:rsidRDefault="00FD7402" w:rsidP="00110A70">
      <w:pPr>
        <w:spacing w:after="80"/>
      </w:pPr>
      <w:r w:rsidRPr="00DE296A">
        <w:t>Several</w:t>
      </w:r>
      <w:r w:rsidR="0092386A" w:rsidRPr="00DE296A">
        <w:t xml:space="preserve"> </w:t>
      </w:r>
      <w:r w:rsidR="004C00C6" w:rsidRPr="00DE296A">
        <w:t xml:space="preserve">factors may have contributed to </w:t>
      </w:r>
      <w:r w:rsidR="009171C3" w:rsidRPr="00DE296A">
        <w:t xml:space="preserve">the slow adoption of </w:t>
      </w:r>
      <w:r w:rsidR="00AB3F2C" w:rsidRPr="00DE296A">
        <w:t>healthy universities</w:t>
      </w:r>
      <w:r w:rsidR="004C00C6" w:rsidRPr="00DE296A">
        <w:t>.</w:t>
      </w:r>
      <w:r w:rsidR="009171C3" w:rsidRPr="00DE296A">
        <w:t xml:space="preserve"> </w:t>
      </w:r>
      <w:r w:rsidR="004C00C6" w:rsidRPr="00DE296A">
        <w:t>Firstly, it has been argued that the settings approach as a whole remains under-theorized, resulting in a lack of a widely-held overarching theory of explanation about how a university produces health. A scoping review of the literature identified five key theoretical perspectives which help to explain how health is created and how concern for health can be introduced and embedded in a university setting (</w:t>
      </w:r>
      <w:r w:rsidR="003927AF">
        <w:t>4</w:t>
      </w:r>
      <w:r w:rsidR="004C00C6" w:rsidRPr="00DE296A">
        <w:t xml:space="preserve">). Secondly, there is a paucity of evidence of the effectiveness of the settings approach – both generally and with regard to </w:t>
      </w:r>
      <w:r w:rsidR="00AB3F2C" w:rsidRPr="00DE296A">
        <w:t>healthy universities</w:t>
      </w:r>
      <w:r w:rsidR="003927AF">
        <w:t xml:space="preserve"> in particular (5</w:t>
      </w:r>
      <w:r w:rsidR="004C00C6" w:rsidRPr="00DE296A">
        <w:t xml:space="preserve">, </w:t>
      </w:r>
      <w:r w:rsidR="003927AF">
        <w:t>7, 12</w:t>
      </w:r>
      <w:r w:rsidR="004C00C6" w:rsidRPr="00DE296A">
        <w:t xml:space="preserve">). </w:t>
      </w:r>
      <w:r w:rsidR="00FA77CA" w:rsidRPr="00DE296A">
        <w:t>Thirdly, although u</w:t>
      </w:r>
      <w:r w:rsidR="004C00C6" w:rsidRPr="00DE296A">
        <w:t>niversities have enormous potential to increase staff, student and community wellbeing,</w:t>
      </w:r>
      <w:r w:rsidR="00FA77CA" w:rsidRPr="00DE296A">
        <w:t xml:space="preserve"> </w:t>
      </w:r>
      <w:r w:rsidR="004C00C6" w:rsidRPr="00DE296A">
        <w:t xml:space="preserve">it is a challenge to demonstrate the added value of the whole system </w:t>
      </w:r>
      <w:r w:rsidR="00AB3F2C" w:rsidRPr="00DE296A">
        <w:t>healthy universities</w:t>
      </w:r>
      <w:r w:rsidR="004C00C6" w:rsidRPr="00DE296A">
        <w:t xml:space="preserve"> approach both for health and for the ‘core business’ of higher education. </w:t>
      </w:r>
    </w:p>
    <w:p w14:paraId="6657D6A0" w14:textId="08A3545C" w:rsidR="009D3FD5" w:rsidRDefault="009E51C4" w:rsidP="00DE47A6">
      <w:pPr>
        <w:autoSpaceDE w:val="0"/>
        <w:autoSpaceDN w:val="0"/>
        <w:adjustRightInd w:val="0"/>
        <w:spacing w:after="80"/>
      </w:pPr>
      <w:r w:rsidRPr="00DE47A6">
        <w:t xml:space="preserve">This paper reports on a study which explored how the concept of a </w:t>
      </w:r>
      <w:r w:rsidR="00BA7674">
        <w:t>healthy university</w:t>
      </w:r>
      <w:r w:rsidRPr="00DE47A6">
        <w:t xml:space="preserve"> is operationalised and how universities can produce or inhibit health and wellbeing; and </w:t>
      </w:r>
      <w:r w:rsidRPr="00DE47A6">
        <w:rPr>
          <w:rFonts w:cs="Arial"/>
          <w:szCs w:val="24"/>
        </w:rPr>
        <w:t>investigated how students and staff understand health and wellbeing and how they perceive health to be affected by their university</w:t>
      </w:r>
      <w:r w:rsidR="006E6A2A" w:rsidRPr="00DE47A6">
        <w:rPr>
          <w:rFonts w:cs="Arial"/>
          <w:szCs w:val="24"/>
        </w:rPr>
        <w:t xml:space="preserve"> and its complex organisational system</w:t>
      </w:r>
      <w:r w:rsidRPr="00DE47A6">
        <w:rPr>
          <w:rFonts w:cs="Arial"/>
          <w:szCs w:val="24"/>
        </w:rPr>
        <w:t xml:space="preserve">. </w:t>
      </w:r>
    </w:p>
    <w:p w14:paraId="17A1216C" w14:textId="77777777" w:rsidR="00DE47A6" w:rsidRPr="00DE47A6" w:rsidRDefault="00DE47A6" w:rsidP="00DE47A6">
      <w:pPr>
        <w:autoSpaceDE w:val="0"/>
        <w:autoSpaceDN w:val="0"/>
        <w:adjustRightInd w:val="0"/>
        <w:spacing w:after="80"/>
      </w:pPr>
    </w:p>
    <w:p w14:paraId="40FC7DFD" w14:textId="0EB8A6FD" w:rsidR="00C013CE" w:rsidRPr="00DE296A" w:rsidRDefault="004C6563" w:rsidP="00110A70">
      <w:pPr>
        <w:spacing w:after="80"/>
        <w:rPr>
          <w:b/>
          <w:szCs w:val="24"/>
        </w:rPr>
      </w:pPr>
      <w:r w:rsidRPr="00DE296A">
        <w:rPr>
          <w:b/>
          <w:szCs w:val="24"/>
        </w:rPr>
        <w:t>METHODOLOGY</w:t>
      </w:r>
    </w:p>
    <w:p w14:paraId="1824541B" w14:textId="69F0C865" w:rsidR="00FA77CA" w:rsidRPr="00DE296A" w:rsidRDefault="00C72B44" w:rsidP="00110A70">
      <w:pPr>
        <w:spacing w:after="80"/>
      </w:pPr>
      <w:r w:rsidRPr="00DE296A">
        <w:t>An instrumental case study</w:t>
      </w:r>
      <w:r w:rsidR="003F788D" w:rsidRPr="00DE296A">
        <w:t xml:space="preserve"> </w:t>
      </w:r>
      <w:r w:rsidR="000A154F" w:rsidRPr="00DE296A">
        <w:t xml:space="preserve">approach </w:t>
      </w:r>
      <w:r w:rsidR="003F788D" w:rsidRPr="00DE296A">
        <w:t>was used</w:t>
      </w:r>
      <w:r w:rsidR="00FA77CA" w:rsidRPr="00DE296A">
        <w:t xml:space="preserve"> in this study</w:t>
      </w:r>
      <w:r w:rsidR="009F190C" w:rsidRPr="00DE296A">
        <w:t xml:space="preserve">. </w:t>
      </w:r>
      <w:r w:rsidR="00D6650A" w:rsidRPr="00DE296A">
        <w:t>C</w:t>
      </w:r>
      <w:r w:rsidR="009F190C" w:rsidRPr="00DE296A">
        <w:t xml:space="preserve">ase study </w:t>
      </w:r>
      <w:r w:rsidR="00D6650A" w:rsidRPr="00DE296A">
        <w:t>research</w:t>
      </w:r>
      <w:r w:rsidRPr="00DE296A">
        <w:t xml:space="preserve"> </w:t>
      </w:r>
      <w:r w:rsidR="00F6188E" w:rsidRPr="00DE296A">
        <w:t xml:space="preserve">uses a range of data sources to </w:t>
      </w:r>
      <w:r w:rsidRPr="00DE296A">
        <w:t xml:space="preserve">promote understanding of complex social phenomena </w:t>
      </w:r>
      <w:r w:rsidR="00FD7402" w:rsidRPr="00DE296A">
        <w:t>and</w:t>
      </w:r>
      <w:r w:rsidR="003F788D" w:rsidRPr="00DE296A">
        <w:t xml:space="preserve"> </w:t>
      </w:r>
      <w:r w:rsidRPr="00DE296A">
        <w:t>facilitate understanding of the</w:t>
      </w:r>
      <w:r w:rsidR="00FD7402" w:rsidRPr="00DE296A">
        <w:t>se</w:t>
      </w:r>
      <w:r w:rsidRPr="00DE296A">
        <w:t xml:space="preserve"> phenomen</w:t>
      </w:r>
      <w:r w:rsidR="00FD7402" w:rsidRPr="00DE296A">
        <w:t>a</w:t>
      </w:r>
      <w:r w:rsidRPr="00DE296A">
        <w:t xml:space="preserve"> from multiple perspectives within </w:t>
      </w:r>
      <w:r w:rsidR="003F788D" w:rsidRPr="00DE296A">
        <w:t>real life</w:t>
      </w:r>
      <w:r w:rsidRPr="00DE296A">
        <w:t xml:space="preserve"> context</w:t>
      </w:r>
      <w:r w:rsidR="003F788D" w:rsidRPr="00DE296A">
        <w:t>s</w:t>
      </w:r>
      <w:r w:rsidRPr="00DE296A">
        <w:t xml:space="preserve"> (</w:t>
      </w:r>
      <w:r w:rsidR="003927AF">
        <w:t>13</w:t>
      </w:r>
      <w:r w:rsidR="00C013CE" w:rsidRPr="00DE296A">
        <w:t xml:space="preserve">, </w:t>
      </w:r>
      <w:r w:rsidR="003927AF">
        <w:t>14</w:t>
      </w:r>
      <w:r w:rsidR="00C536FA" w:rsidRPr="00DE296A">
        <w:t>)</w:t>
      </w:r>
      <w:r w:rsidR="00D6650A" w:rsidRPr="00DE296A">
        <w:t xml:space="preserve"> – and is therefore appropriate when </w:t>
      </w:r>
      <w:r w:rsidR="00D6650A" w:rsidRPr="00DE296A">
        <w:lastRenderedPageBreak/>
        <w:t>investigating a large complex organisation such as a university, where many perspectives exist and where context needs to be understood</w:t>
      </w:r>
      <w:r w:rsidR="003F788D" w:rsidRPr="00DE296A">
        <w:t>.</w:t>
      </w:r>
      <w:r w:rsidR="00D6650A" w:rsidRPr="00DE296A">
        <w:t xml:space="preserve"> An instrumental case study seeks to gain understanding and insight into a particular issue (in this study, the healthy university concept) and the case itself (in this study, the university) is of secondary interest. This contrasts with an intrinsic case study, which has the primary aim of understanding the case itself. </w:t>
      </w:r>
    </w:p>
    <w:p w14:paraId="345BFE2F" w14:textId="6D853F36" w:rsidR="00075736" w:rsidRPr="00DE296A" w:rsidRDefault="003F788D" w:rsidP="00110A70">
      <w:pPr>
        <w:spacing w:after="80"/>
      </w:pPr>
      <w:r w:rsidRPr="00DE296A">
        <w:t xml:space="preserve">Two universities were </w:t>
      </w:r>
      <w:r w:rsidR="00A941ED" w:rsidRPr="00DE296A">
        <w:t xml:space="preserve">purposively </w:t>
      </w:r>
      <w:r w:rsidRPr="00DE296A">
        <w:t>selected</w:t>
      </w:r>
      <w:r w:rsidR="00A941ED" w:rsidRPr="00DE296A">
        <w:t xml:space="preserve"> to</w:t>
      </w:r>
      <w:r w:rsidRPr="00DE296A">
        <w:t xml:space="preserve"> </w:t>
      </w:r>
      <w:r w:rsidR="009B59BF" w:rsidRPr="00DE296A">
        <w:t>represent</w:t>
      </w:r>
      <w:r w:rsidRPr="00DE296A">
        <w:t xml:space="preserve"> an ‘exemplar’ case (i</w:t>
      </w:r>
      <w:r w:rsidR="009B59BF" w:rsidRPr="00DE296A">
        <w:t>.</w:t>
      </w:r>
      <w:r w:rsidRPr="00DE296A">
        <w:t>e</w:t>
      </w:r>
      <w:r w:rsidR="009B59BF" w:rsidRPr="00DE296A">
        <w:t>.</w:t>
      </w:r>
      <w:r w:rsidR="00E21063" w:rsidRPr="00DE296A">
        <w:t xml:space="preserve"> one that called itself a </w:t>
      </w:r>
      <w:r w:rsidR="00D6650A" w:rsidRPr="00DE296A">
        <w:t>healthy university</w:t>
      </w:r>
      <w:r w:rsidR="00F6188E" w:rsidRPr="00DE296A">
        <w:t xml:space="preserve"> and was active in the UK Healthy Universities Network</w:t>
      </w:r>
      <w:r w:rsidR="00E21063" w:rsidRPr="00DE296A">
        <w:t xml:space="preserve">, where it was anticipated that the characteristics of a </w:t>
      </w:r>
      <w:r w:rsidR="00D6650A" w:rsidRPr="00DE296A">
        <w:t>healthy university</w:t>
      </w:r>
      <w:r w:rsidR="00496272" w:rsidRPr="00DE296A">
        <w:t xml:space="preserve"> </w:t>
      </w:r>
      <w:r w:rsidR="00E21063" w:rsidRPr="00DE296A">
        <w:t>would be both visible and operationalised</w:t>
      </w:r>
      <w:r w:rsidRPr="00DE296A">
        <w:t xml:space="preserve">) </w:t>
      </w:r>
      <w:r w:rsidR="009B59BF" w:rsidRPr="00DE296A">
        <w:t xml:space="preserve">and </w:t>
      </w:r>
      <w:r w:rsidRPr="00DE296A">
        <w:t>a ‘contrary’ case (i</w:t>
      </w:r>
      <w:r w:rsidR="009B59BF" w:rsidRPr="00DE296A">
        <w:t>.</w:t>
      </w:r>
      <w:r w:rsidRPr="00DE296A">
        <w:t>e</w:t>
      </w:r>
      <w:r w:rsidR="009B59BF" w:rsidRPr="00DE296A">
        <w:t>.</w:t>
      </w:r>
      <w:r w:rsidRPr="00DE296A">
        <w:t xml:space="preserve"> </w:t>
      </w:r>
      <w:r w:rsidR="00E21063" w:rsidRPr="00DE296A">
        <w:t xml:space="preserve">one that did not have a </w:t>
      </w:r>
      <w:r w:rsidR="00D6650A" w:rsidRPr="00DE296A">
        <w:t>healthy university</w:t>
      </w:r>
      <w:r w:rsidR="00E21063" w:rsidRPr="00DE296A">
        <w:t xml:space="preserve"> initiative and had not yet considered </w:t>
      </w:r>
      <w:r w:rsidR="009B59BF" w:rsidRPr="00DE296A">
        <w:t>the approach in any detail</w:t>
      </w:r>
      <w:r w:rsidR="00E21063" w:rsidRPr="00DE296A">
        <w:t xml:space="preserve">). </w:t>
      </w:r>
      <w:r w:rsidR="006E6A2A" w:rsidRPr="00DE296A">
        <w:t>C</w:t>
      </w:r>
      <w:r w:rsidR="00F07469" w:rsidRPr="00DE296A">
        <w:t xml:space="preserve">ase study research </w:t>
      </w:r>
      <w:r w:rsidR="006E6A2A" w:rsidRPr="00DE296A">
        <w:t>does not seek representativeness</w:t>
      </w:r>
      <w:r w:rsidR="00E3332B">
        <w:t xml:space="preserve">, but instead seeks </w:t>
      </w:r>
      <w:r w:rsidR="00A941ED" w:rsidRPr="00DE296A">
        <w:t>to maximise learning and understanding</w:t>
      </w:r>
      <w:r w:rsidR="00F07469" w:rsidRPr="00DE296A">
        <w:t xml:space="preserve"> by providing </w:t>
      </w:r>
      <w:r w:rsidR="006E6A2A" w:rsidRPr="00DE296A">
        <w:t>in-</w:t>
      </w:r>
      <w:r w:rsidR="00F07469" w:rsidRPr="00DE296A">
        <w:t>depth insight</w:t>
      </w:r>
      <w:r w:rsidR="00A941ED" w:rsidRPr="00DE296A">
        <w:t>.</w:t>
      </w:r>
    </w:p>
    <w:p w14:paraId="4833224C" w14:textId="43381A7F" w:rsidR="00F12B42" w:rsidRPr="00DE296A" w:rsidRDefault="009B59BF" w:rsidP="00110A70">
      <w:pPr>
        <w:autoSpaceDE w:val="0"/>
        <w:autoSpaceDN w:val="0"/>
        <w:adjustRightInd w:val="0"/>
        <w:spacing w:after="80"/>
        <w:rPr>
          <w:rFonts w:cs="Arial"/>
          <w:szCs w:val="24"/>
        </w:rPr>
      </w:pPr>
      <w:r w:rsidRPr="00DE296A">
        <w:t xml:space="preserve">Data </w:t>
      </w:r>
      <w:r w:rsidR="00EC4866" w:rsidRPr="00DE296A">
        <w:t>c</w:t>
      </w:r>
      <w:r w:rsidRPr="00DE296A">
        <w:t>ollection methods included documentary analysis, s</w:t>
      </w:r>
      <w:r w:rsidR="00075736" w:rsidRPr="00DE296A">
        <w:t>emi</w:t>
      </w:r>
      <w:r w:rsidRPr="00DE296A">
        <w:t>-</w:t>
      </w:r>
      <w:r w:rsidR="00075736" w:rsidRPr="00DE296A">
        <w:t>structured interviews</w:t>
      </w:r>
      <w:r w:rsidR="00C536FA" w:rsidRPr="00DE296A">
        <w:t xml:space="preserve"> and observation field notes</w:t>
      </w:r>
      <w:r w:rsidRPr="00DE296A">
        <w:t xml:space="preserve">. </w:t>
      </w:r>
      <w:r w:rsidR="00F7494B" w:rsidRPr="00DE296A">
        <w:t xml:space="preserve">Using relevant search terms (‘healthy university/ies’, ‘health’, ‘wellbeing’ and ‘health and wellbeing’), </w:t>
      </w:r>
      <w:r w:rsidR="00F07469" w:rsidRPr="00DE296A">
        <w:t xml:space="preserve">the </w:t>
      </w:r>
      <w:r w:rsidR="00F7494B" w:rsidRPr="00DE296A">
        <w:t>c</w:t>
      </w:r>
      <w:r w:rsidR="00643AAB" w:rsidRPr="00DE296A">
        <w:t xml:space="preserve">orporate strategic documents publicly available via the universities’ websites were accessed and </w:t>
      </w:r>
      <w:r w:rsidR="00643AAB" w:rsidRPr="00DE296A">
        <w:rPr>
          <w:rFonts w:cs="Arial"/>
          <w:szCs w:val="24"/>
        </w:rPr>
        <w:t>analysed before interviews took place, so that an insight into organisational priorities, culture and systems could be gained.</w:t>
      </w:r>
      <w:r w:rsidR="00643AAB" w:rsidRPr="00DE296A">
        <w:t xml:space="preserve"> An interview guide was developed</w:t>
      </w:r>
      <w:r w:rsidR="00F12B42" w:rsidRPr="00DE296A">
        <w:t>,</w:t>
      </w:r>
      <w:r w:rsidR="00643AAB" w:rsidRPr="00DE296A">
        <w:t xml:space="preserve"> to enable </w:t>
      </w:r>
      <w:r w:rsidR="007E7C5B" w:rsidRPr="00DE296A">
        <w:t xml:space="preserve">understandings and </w:t>
      </w:r>
      <w:r w:rsidR="00643AAB" w:rsidRPr="00DE296A">
        <w:t xml:space="preserve">characteristics of a </w:t>
      </w:r>
      <w:r w:rsidR="00821606" w:rsidRPr="00DE296A">
        <w:t>healthy university</w:t>
      </w:r>
      <w:r w:rsidR="00643AAB" w:rsidRPr="00DE296A">
        <w:t xml:space="preserve"> to be explored</w:t>
      </w:r>
      <w:r w:rsidR="00F12B42" w:rsidRPr="00DE296A">
        <w:t xml:space="preserve">. </w:t>
      </w:r>
      <w:r w:rsidR="00F6188E" w:rsidRPr="00DE296A">
        <w:rPr>
          <w:szCs w:val="24"/>
        </w:rPr>
        <w:t>In order to access multiple perspectives and build the ‘cases’</w:t>
      </w:r>
      <w:r w:rsidR="000A154F" w:rsidRPr="00DE296A">
        <w:rPr>
          <w:szCs w:val="24"/>
        </w:rPr>
        <w:t xml:space="preserve">, it was important to interview a </w:t>
      </w:r>
      <w:r w:rsidR="00AB3F2C" w:rsidRPr="00DE296A">
        <w:rPr>
          <w:szCs w:val="24"/>
        </w:rPr>
        <w:t>diversity</w:t>
      </w:r>
      <w:r w:rsidR="000A154F" w:rsidRPr="00DE296A">
        <w:rPr>
          <w:szCs w:val="24"/>
        </w:rPr>
        <w:t xml:space="preserve"> of people within each university community, including</w:t>
      </w:r>
      <w:r w:rsidR="00F6188E" w:rsidRPr="00DE296A">
        <w:rPr>
          <w:szCs w:val="24"/>
        </w:rPr>
        <w:t xml:space="preserve"> students,</w:t>
      </w:r>
      <w:r w:rsidR="000A154F" w:rsidRPr="00DE296A">
        <w:rPr>
          <w:szCs w:val="24"/>
        </w:rPr>
        <w:t xml:space="preserve"> </w:t>
      </w:r>
      <w:r w:rsidR="00F6188E" w:rsidRPr="00DE296A">
        <w:rPr>
          <w:szCs w:val="24"/>
        </w:rPr>
        <w:t xml:space="preserve">senior-level </w:t>
      </w:r>
      <w:r w:rsidR="000A154F" w:rsidRPr="00DE296A">
        <w:rPr>
          <w:szCs w:val="24"/>
        </w:rPr>
        <w:t>decision</w:t>
      </w:r>
      <w:r w:rsidR="00F6188E" w:rsidRPr="00DE296A">
        <w:rPr>
          <w:szCs w:val="24"/>
        </w:rPr>
        <w:t>-</w:t>
      </w:r>
      <w:r w:rsidR="000A154F" w:rsidRPr="00DE296A">
        <w:rPr>
          <w:szCs w:val="24"/>
        </w:rPr>
        <w:t xml:space="preserve">makers, </w:t>
      </w:r>
      <w:r w:rsidR="00F6188E" w:rsidRPr="00DE296A">
        <w:rPr>
          <w:szCs w:val="24"/>
        </w:rPr>
        <w:t xml:space="preserve">and </w:t>
      </w:r>
      <w:r w:rsidR="00AB3F2C" w:rsidRPr="00DE296A">
        <w:rPr>
          <w:szCs w:val="24"/>
        </w:rPr>
        <w:t xml:space="preserve">a range of </w:t>
      </w:r>
      <w:r w:rsidR="000A154F" w:rsidRPr="00DE296A">
        <w:rPr>
          <w:szCs w:val="24"/>
        </w:rPr>
        <w:t>staff.</w:t>
      </w:r>
      <w:r w:rsidR="00F07469" w:rsidRPr="00DE296A">
        <w:rPr>
          <w:szCs w:val="24"/>
        </w:rPr>
        <w:t xml:space="preserve"> The recruitment of participants from each group was opportunistic and purposive: students were recruited </w:t>
      </w:r>
      <w:r w:rsidR="006E6A2A" w:rsidRPr="00DE296A">
        <w:rPr>
          <w:szCs w:val="24"/>
        </w:rPr>
        <w:t xml:space="preserve">opportunistically </w:t>
      </w:r>
      <w:r w:rsidR="00F07469" w:rsidRPr="00DE296A">
        <w:rPr>
          <w:szCs w:val="24"/>
        </w:rPr>
        <w:t>in open access parts of the university</w:t>
      </w:r>
      <w:r w:rsidR="006E6A2A" w:rsidRPr="00DE296A">
        <w:rPr>
          <w:szCs w:val="24"/>
        </w:rPr>
        <w:t>;</w:t>
      </w:r>
      <w:r w:rsidR="00F07469" w:rsidRPr="00DE296A">
        <w:rPr>
          <w:szCs w:val="24"/>
        </w:rPr>
        <w:t xml:space="preserve"> </w:t>
      </w:r>
      <w:r w:rsidR="006E6A2A" w:rsidRPr="00DE296A">
        <w:rPr>
          <w:szCs w:val="24"/>
        </w:rPr>
        <w:t>high-level decision-makers at directorate level and/or involved in</w:t>
      </w:r>
      <w:r w:rsidR="00F07469" w:rsidRPr="00DE296A">
        <w:rPr>
          <w:szCs w:val="24"/>
        </w:rPr>
        <w:t xml:space="preserve"> key committees were invited to participate</w:t>
      </w:r>
      <w:r w:rsidR="006E6A2A" w:rsidRPr="00DE296A">
        <w:rPr>
          <w:szCs w:val="24"/>
        </w:rPr>
        <w:t>;</w:t>
      </w:r>
      <w:r w:rsidR="00F07469" w:rsidRPr="00DE296A">
        <w:rPr>
          <w:szCs w:val="24"/>
        </w:rPr>
        <w:t xml:space="preserve"> and </w:t>
      </w:r>
      <w:r w:rsidR="006E6A2A" w:rsidRPr="00DE296A">
        <w:rPr>
          <w:szCs w:val="24"/>
        </w:rPr>
        <w:t xml:space="preserve">a range of </w:t>
      </w:r>
      <w:r w:rsidR="00F07469" w:rsidRPr="00DE296A">
        <w:rPr>
          <w:szCs w:val="24"/>
        </w:rPr>
        <w:t xml:space="preserve">staff </w:t>
      </w:r>
      <w:r w:rsidR="006E6A2A" w:rsidRPr="00DE296A">
        <w:rPr>
          <w:szCs w:val="24"/>
        </w:rPr>
        <w:t>was</w:t>
      </w:r>
      <w:r w:rsidR="00F07469" w:rsidRPr="00DE296A">
        <w:rPr>
          <w:szCs w:val="24"/>
        </w:rPr>
        <w:t xml:space="preserve"> </w:t>
      </w:r>
      <w:r w:rsidR="003927AF">
        <w:rPr>
          <w:szCs w:val="24"/>
        </w:rPr>
        <w:t xml:space="preserve">identified through snowball </w:t>
      </w:r>
      <w:r w:rsidR="00EC1C27">
        <w:rPr>
          <w:szCs w:val="24"/>
        </w:rPr>
        <w:t xml:space="preserve">referral-based </w:t>
      </w:r>
      <w:r w:rsidR="003927AF">
        <w:rPr>
          <w:szCs w:val="24"/>
        </w:rPr>
        <w:t>sampling</w:t>
      </w:r>
      <w:r w:rsidR="00A108B0" w:rsidRPr="00DE296A">
        <w:rPr>
          <w:szCs w:val="24"/>
        </w:rPr>
        <w:t xml:space="preserve">. </w:t>
      </w:r>
      <w:r w:rsidR="00AB3F2C" w:rsidRPr="00DE296A">
        <w:rPr>
          <w:szCs w:val="24"/>
        </w:rPr>
        <w:t>Interviews</w:t>
      </w:r>
      <w:r w:rsidR="00E9154D" w:rsidRPr="00DE296A">
        <w:t xml:space="preserve"> were </w:t>
      </w:r>
      <w:r w:rsidR="00F07469" w:rsidRPr="00DE296A">
        <w:t>either face</w:t>
      </w:r>
      <w:r w:rsidR="006E6A2A" w:rsidRPr="00DE296A">
        <w:t>-</w:t>
      </w:r>
      <w:r w:rsidR="00F07469" w:rsidRPr="00DE296A">
        <w:t>to</w:t>
      </w:r>
      <w:r w:rsidR="006E6A2A" w:rsidRPr="00DE296A">
        <w:t>-</w:t>
      </w:r>
      <w:r w:rsidR="00F07469" w:rsidRPr="00DE296A">
        <w:t xml:space="preserve">face or </w:t>
      </w:r>
      <w:r w:rsidR="006E6A2A" w:rsidRPr="00DE296A">
        <w:t xml:space="preserve">by </w:t>
      </w:r>
      <w:r w:rsidR="00F07469" w:rsidRPr="00DE296A">
        <w:t xml:space="preserve">telephone and were recorded and </w:t>
      </w:r>
      <w:r w:rsidR="001B36D7" w:rsidRPr="00DE296A">
        <w:t>fully</w:t>
      </w:r>
      <w:r w:rsidR="00E9154D" w:rsidRPr="00DE296A">
        <w:t xml:space="preserve"> transcribed. </w:t>
      </w:r>
      <w:r w:rsidR="00643AAB" w:rsidRPr="00DE296A">
        <w:rPr>
          <w:rFonts w:cs="Arial"/>
          <w:szCs w:val="24"/>
        </w:rPr>
        <w:t xml:space="preserve">Field notes recording informal observations were used throughout the research process and were </w:t>
      </w:r>
      <w:r w:rsidR="006E6A2A" w:rsidRPr="00DE296A">
        <w:rPr>
          <w:rFonts w:cs="Arial"/>
          <w:szCs w:val="24"/>
        </w:rPr>
        <w:t xml:space="preserve">written </w:t>
      </w:r>
      <w:r w:rsidR="00643AAB" w:rsidRPr="00DE296A">
        <w:rPr>
          <w:rFonts w:cs="Arial"/>
          <w:szCs w:val="24"/>
        </w:rPr>
        <w:t xml:space="preserve">following each visit </w:t>
      </w:r>
      <w:r w:rsidR="00F12B42" w:rsidRPr="00DE296A">
        <w:rPr>
          <w:rFonts w:cs="Arial"/>
          <w:szCs w:val="24"/>
        </w:rPr>
        <w:t>and</w:t>
      </w:r>
      <w:r w:rsidR="00643AAB" w:rsidRPr="00DE296A">
        <w:rPr>
          <w:rFonts w:cs="Arial"/>
          <w:szCs w:val="24"/>
        </w:rPr>
        <w:t xml:space="preserve"> each interview. Informal observation is important in case study research</w:t>
      </w:r>
      <w:r w:rsidR="00C536FA" w:rsidRPr="00DE296A">
        <w:rPr>
          <w:rFonts w:cs="Arial"/>
          <w:szCs w:val="24"/>
        </w:rPr>
        <w:t xml:space="preserve">, in order </w:t>
      </w:r>
      <w:r w:rsidR="00643AAB" w:rsidRPr="00DE296A">
        <w:rPr>
          <w:rFonts w:cs="Arial"/>
          <w:szCs w:val="24"/>
        </w:rPr>
        <w:t>to understand as fully as possible the case, the issues being explored and the context within which the case operates</w:t>
      </w:r>
      <w:r w:rsidR="003467CB" w:rsidRPr="00DE296A">
        <w:rPr>
          <w:rFonts w:cs="Arial"/>
          <w:szCs w:val="24"/>
        </w:rPr>
        <w:t>, as well as the researcher’s own perceptions and interpretations (</w:t>
      </w:r>
      <w:r w:rsidR="00EC1C27">
        <w:rPr>
          <w:rFonts w:cs="Arial"/>
          <w:szCs w:val="24"/>
        </w:rPr>
        <w:t>15</w:t>
      </w:r>
      <w:r w:rsidR="003467CB" w:rsidRPr="00DE296A">
        <w:rPr>
          <w:rFonts w:cs="Arial"/>
          <w:szCs w:val="24"/>
        </w:rPr>
        <w:t>)</w:t>
      </w:r>
      <w:r w:rsidR="006E6A2A" w:rsidRPr="00DE296A">
        <w:rPr>
          <w:rFonts w:cs="Arial"/>
          <w:szCs w:val="24"/>
        </w:rPr>
        <w:t>.</w:t>
      </w:r>
      <w:r w:rsidR="00643AAB" w:rsidRPr="00DE296A">
        <w:rPr>
          <w:rFonts w:cs="Arial"/>
          <w:szCs w:val="24"/>
        </w:rPr>
        <w:t xml:space="preserve"> </w:t>
      </w:r>
      <w:r w:rsidR="006E6A2A" w:rsidRPr="00DE296A">
        <w:rPr>
          <w:rFonts w:cs="Arial"/>
          <w:szCs w:val="24"/>
        </w:rPr>
        <w:t>Observational f</w:t>
      </w:r>
      <w:r w:rsidR="003467CB" w:rsidRPr="00DE296A">
        <w:rPr>
          <w:rFonts w:cs="Arial"/>
          <w:szCs w:val="24"/>
        </w:rPr>
        <w:t xml:space="preserve">ield </w:t>
      </w:r>
      <w:r w:rsidR="003467CB" w:rsidRPr="00DE296A">
        <w:rPr>
          <w:rFonts w:cs="Arial"/>
          <w:szCs w:val="24"/>
        </w:rPr>
        <w:lastRenderedPageBreak/>
        <w:t>notes are useful when interpreting findings from interviews and document</w:t>
      </w:r>
      <w:r w:rsidR="00081A56" w:rsidRPr="00DE296A">
        <w:rPr>
          <w:rFonts w:cs="Arial"/>
          <w:szCs w:val="24"/>
        </w:rPr>
        <w:t>ary review,</w:t>
      </w:r>
      <w:r w:rsidR="003467CB" w:rsidRPr="00DE296A">
        <w:rPr>
          <w:rFonts w:cs="Arial"/>
          <w:szCs w:val="24"/>
        </w:rPr>
        <w:t xml:space="preserve"> because they provide description of the context</w:t>
      </w:r>
      <w:r w:rsidR="00081A56" w:rsidRPr="00DE296A">
        <w:rPr>
          <w:rFonts w:cs="Arial"/>
          <w:szCs w:val="24"/>
        </w:rPr>
        <w:t xml:space="preserve"> and</w:t>
      </w:r>
      <w:r w:rsidR="003467CB" w:rsidRPr="00DE296A">
        <w:rPr>
          <w:rFonts w:cs="Arial"/>
          <w:szCs w:val="24"/>
        </w:rPr>
        <w:t xml:space="preserve"> thus enhancing meaning (</w:t>
      </w:r>
      <w:r w:rsidR="00EC1C27">
        <w:rPr>
          <w:rFonts w:cs="Arial"/>
          <w:szCs w:val="24"/>
        </w:rPr>
        <w:t>16</w:t>
      </w:r>
      <w:r w:rsidR="003467CB" w:rsidRPr="00DE296A">
        <w:rPr>
          <w:rFonts w:cs="Arial"/>
          <w:szCs w:val="24"/>
        </w:rPr>
        <w:t xml:space="preserve">). </w:t>
      </w:r>
    </w:p>
    <w:p w14:paraId="54067372" w14:textId="2BD6DB93" w:rsidR="007C360D" w:rsidRPr="00DE296A" w:rsidRDefault="00C536FA" w:rsidP="00110A70">
      <w:pPr>
        <w:autoSpaceDE w:val="0"/>
        <w:autoSpaceDN w:val="0"/>
        <w:adjustRightInd w:val="0"/>
        <w:spacing w:after="80"/>
        <w:rPr>
          <w:rFonts w:cs="Arial"/>
          <w:szCs w:val="24"/>
        </w:rPr>
      </w:pPr>
      <w:r w:rsidRPr="00DE296A">
        <w:t>Reflecting the case study focus of the research</w:t>
      </w:r>
      <w:r w:rsidR="00F07469" w:rsidRPr="00DE296A">
        <w:t xml:space="preserve">, </w:t>
      </w:r>
      <w:r w:rsidRPr="00DE296A">
        <w:t>an interpretivist approach to data analysis was adopte</w:t>
      </w:r>
      <w:r w:rsidR="00E9154D" w:rsidRPr="00DE296A">
        <w:t>d. The thematic analysis followed the framework proposed by Braun and Cla</w:t>
      </w:r>
      <w:r w:rsidR="00EC1C27">
        <w:t>rke (17</w:t>
      </w:r>
      <w:r w:rsidR="00E9154D" w:rsidRPr="00DE296A">
        <w:t>)</w:t>
      </w:r>
      <w:r w:rsidR="00081A56" w:rsidRPr="00DE296A">
        <w:t>,</w:t>
      </w:r>
      <w:r w:rsidR="00EC1C27">
        <w:t xml:space="preserve"> </w:t>
      </w:r>
      <w:r w:rsidR="00D92E3D" w:rsidRPr="00DE296A">
        <w:t>allow</w:t>
      </w:r>
      <w:r w:rsidR="00081A56" w:rsidRPr="00DE296A">
        <w:t>ing</w:t>
      </w:r>
      <w:r w:rsidR="00D92E3D" w:rsidRPr="00DE296A">
        <w:t xml:space="preserve"> for inductive and deductive </w:t>
      </w:r>
      <w:r w:rsidR="00E9154D" w:rsidRPr="00DE296A">
        <w:t>perspectives to be combined</w:t>
      </w:r>
      <w:r w:rsidR="00A108B0" w:rsidRPr="00DE296A">
        <w:t>. This approach also enabled</w:t>
      </w:r>
      <w:r w:rsidR="00D92E3D" w:rsidRPr="00DE296A">
        <w:t xml:space="preserve"> the </w:t>
      </w:r>
      <w:r w:rsidR="009F190C" w:rsidRPr="00DE296A">
        <w:t xml:space="preserve">‘exemplar’ </w:t>
      </w:r>
      <w:r w:rsidR="00D92E3D" w:rsidRPr="00DE296A">
        <w:t xml:space="preserve">and </w:t>
      </w:r>
      <w:r w:rsidR="009F190C" w:rsidRPr="00DE296A">
        <w:t xml:space="preserve">‘contrary’ </w:t>
      </w:r>
      <w:r w:rsidR="00D92E3D" w:rsidRPr="00DE296A">
        <w:t>case to be compared,</w:t>
      </w:r>
      <w:r w:rsidR="00E9154D" w:rsidRPr="00DE296A">
        <w:t xml:space="preserve"> in order to maximise</w:t>
      </w:r>
      <w:r w:rsidR="00D92E3D" w:rsidRPr="00DE296A">
        <w:t xml:space="preserve"> understanding about the </w:t>
      </w:r>
      <w:r w:rsidR="00D6650A" w:rsidRPr="00DE296A">
        <w:t>healthy university</w:t>
      </w:r>
      <w:r w:rsidR="00D92E3D" w:rsidRPr="00DE296A">
        <w:t xml:space="preserve"> concept</w:t>
      </w:r>
      <w:r w:rsidR="00A941ED" w:rsidRPr="00DE296A">
        <w:t xml:space="preserve"> and </w:t>
      </w:r>
      <w:r w:rsidR="001B36D7" w:rsidRPr="00DE296A">
        <w:t xml:space="preserve">increase understanding about </w:t>
      </w:r>
      <w:r w:rsidR="00A941ED" w:rsidRPr="00DE296A">
        <w:t>the similarities and differences between the cases</w:t>
      </w:r>
      <w:r w:rsidR="00D92E3D" w:rsidRPr="00DE296A">
        <w:t>.</w:t>
      </w:r>
      <w:r w:rsidR="00E9154D" w:rsidRPr="00DE296A">
        <w:t xml:space="preserve"> </w:t>
      </w:r>
      <w:r w:rsidR="00E9154D" w:rsidRPr="00DE296A">
        <w:rPr>
          <w:rFonts w:cs="Arial"/>
          <w:szCs w:val="24"/>
        </w:rPr>
        <w:t xml:space="preserve">To further increase trustworthiness and credibility, </w:t>
      </w:r>
      <w:r w:rsidR="007C360D" w:rsidRPr="00DE296A">
        <w:rPr>
          <w:rFonts w:cs="Arial"/>
          <w:szCs w:val="24"/>
        </w:rPr>
        <w:t xml:space="preserve">the coding of two of the transcripts was independently carried out and verified by </w:t>
      </w:r>
      <w:r w:rsidR="00E9154D" w:rsidRPr="00DE296A">
        <w:rPr>
          <w:rFonts w:cs="Arial"/>
          <w:szCs w:val="24"/>
        </w:rPr>
        <w:t>the researcher’s three doctoral supervisors</w:t>
      </w:r>
      <w:r w:rsidR="007C360D" w:rsidRPr="00DE296A">
        <w:rPr>
          <w:rFonts w:cs="Arial"/>
          <w:szCs w:val="24"/>
        </w:rPr>
        <w:t>.</w:t>
      </w:r>
    </w:p>
    <w:p w14:paraId="59A46F2C" w14:textId="10954EE3" w:rsidR="00F12B42" w:rsidRPr="00DE296A" w:rsidRDefault="00F12B42" w:rsidP="00110A70">
      <w:pPr>
        <w:autoSpaceDE w:val="0"/>
        <w:autoSpaceDN w:val="0"/>
        <w:adjustRightInd w:val="0"/>
        <w:spacing w:after="80"/>
        <w:rPr>
          <w:b/>
        </w:rPr>
      </w:pPr>
      <w:r w:rsidRPr="00DE296A">
        <w:rPr>
          <w:rFonts w:cs="Arial"/>
          <w:szCs w:val="24"/>
        </w:rPr>
        <w:t>Ethics approval was sought and gained from London South Bank University Ethics Committee</w:t>
      </w:r>
      <w:r w:rsidR="00A47598" w:rsidRPr="00DE296A">
        <w:rPr>
          <w:rFonts w:cs="Arial"/>
          <w:szCs w:val="24"/>
        </w:rPr>
        <w:t xml:space="preserve"> </w:t>
      </w:r>
      <w:r w:rsidR="00081A56" w:rsidRPr="00DE296A">
        <w:rPr>
          <w:rFonts w:cs="Arial"/>
          <w:szCs w:val="24"/>
        </w:rPr>
        <w:t>(</w:t>
      </w:r>
      <w:r w:rsidR="00A47598" w:rsidRPr="00DE296A">
        <w:rPr>
          <w:rFonts w:cs="Arial"/>
          <w:szCs w:val="24"/>
        </w:rPr>
        <w:t>14.11.11 UREC number 1166)</w:t>
      </w:r>
      <w:r w:rsidRPr="00DE296A">
        <w:rPr>
          <w:rFonts w:cs="Arial"/>
          <w:szCs w:val="24"/>
        </w:rPr>
        <w:t>. Once this had been obtained, ethics approval was also sought and gained from the case study universities.</w:t>
      </w:r>
    </w:p>
    <w:p w14:paraId="1449DB01" w14:textId="77777777" w:rsidR="00C536FA" w:rsidRPr="00DE296A" w:rsidRDefault="00C536FA" w:rsidP="00110A70">
      <w:pPr>
        <w:spacing w:after="80"/>
        <w:rPr>
          <w:b/>
          <w:sz w:val="28"/>
        </w:rPr>
      </w:pPr>
    </w:p>
    <w:p w14:paraId="70637E0B" w14:textId="3B40E78B" w:rsidR="00A37AA8" w:rsidRPr="00DE296A" w:rsidRDefault="004C6563" w:rsidP="00110A70">
      <w:pPr>
        <w:spacing w:after="80"/>
        <w:rPr>
          <w:b/>
          <w:szCs w:val="24"/>
        </w:rPr>
      </w:pPr>
      <w:r w:rsidRPr="00DE296A">
        <w:rPr>
          <w:b/>
          <w:szCs w:val="24"/>
        </w:rPr>
        <w:t>FINDINGS</w:t>
      </w:r>
    </w:p>
    <w:p w14:paraId="4B88A7D1" w14:textId="7F71576C" w:rsidR="00D92E3D" w:rsidRPr="00DE296A" w:rsidRDefault="007E7C5B" w:rsidP="00110A70">
      <w:pPr>
        <w:spacing w:after="80"/>
      </w:pPr>
      <w:r w:rsidRPr="00DE296A">
        <w:t>A</w:t>
      </w:r>
      <w:r w:rsidR="00794871" w:rsidRPr="00DE296A">
        <w:t xml:space="preserve">cross the two universities, </w:t>
      </w:r>
      <w:r w:rsidR="001127E8" w:rsidRPr="00DE296A">
        <w:t>five</w:t>
      </w:r>
      <w:r w:rsidR="00794871" w:rsidRPr="00DE296A">
        <w:t xml:space="preserve"> corporate strategic documents were </w:t>
      </w:r>
      <w:r w:rsidR="001127E8" w:rsidRPr="00DE296A">
        <w:t>identifi</w:t>
      </w:r>
      <w:r w:rsidR="00794871" w:rsidRPr="00DE296A">
        <w:t>ed</w:t>
      </w:r>
      <w:r w:rsidR="00FE7EAC" w:rsidRPr="00DE296A">
        <w:t xml:space="preserve"> and </w:t>
      </w:r>
      <w:r w:rsidR="007C360D" w:rsidRPr="00DE296A">
        <w:t xml:space="preserve">26 </w:t>
      </w:r>
      <w:r w:rsidR="00FE7EAC" w:rsidRPr="00DE296A">
        <w:t xml:space="preserve">face-to-face and </w:t>
      </w:r>
      <w:r w:rsidR="007C360D" w:rsidRPr="00DE296A">
        <w:t xml:space="preserve">22 </w:t>
      </w:r>
      <w:r w:rsidR="00FE7EAC" w:rsidRPr="00DE296A">
        <w:t>telephone interviews were conducted</w:t>
      </w:r>
      <w:r w:rsidR="0063755A">
        <w:t xml:space="preserve">- </w:t>
      </w:r>
      <w:r w:rsidR="0063755A" w:rsidRPr="00FA3A6F">
        <w:rPr>
          <w:color w:val="FF0000"/>
        </w:rPr>
        <w:t>13 with senior team members, 12 with academic staff, 4 with administrative staff, 14 with students and (at the exemplar university) 5 with members of the Healthy University Co-ordination Group</w:t>
      </w:r>
      <w:r w:rsidR="003C4FA4">
        <w:t xml:space="preserve">. </w:t>
      </w:r>
      <w:r w:rsidR="00A941ED" w:rsidRPr="00DE296A">
        <w:t xml:space="preserve">Field notes were recorded following </w:t>
      </w:r>
      <w:r w:rsidR="00081A56" w:rsidRPr="00DE296A">
        <w:t>three</w:t>
      </w:r>
      <w:r w:rsidR="00A941ED" w:rsidRPr="00DE296A">
        <w:t xml:space="preserve"> visit</w:t>
      </w:r>
      <w:r w:rsidR="00081A56" w:rsidRPr="00DE296A">
        <w:t>s</w:t>
      </w:r>
      <w:r w:rsidR="00A941ED" w:rsidRPr="00DE296A">
        <w:t xml:space="preserve"> to </w:t>
      </w:r>
      <w:r w:rsidR="00081A56" w:rsidRPr="00DE296A">
        <w:t xml:space="preserve">each of </w:t>
      </w:r>
      <w:r w:rsidR="00A941ED" w:rsidRPr="00DE296A">
        <w:t>the two universities and following each interview</w:t>
      </w:r>
      <w:r w:rsidR="004C6563" w:rsidRPr="00DE296A">
        <w:t xml:space="preserve">. </w:t>
      </w:r>
      <w:r w:rsidR="00FE7EAC" w:rsidRPr="00DE296A">
        <w:t>D</w:t>
      </w:r>
      <w:r w:rsidR="0026713E" w:rsidRPr="00DE296A">
        <w:t>ata</w:t>
      </w:r>
      <w:r w:rsidR="00D92E3D" w:rsidRPr="00DE296A">
        <w:t xml:space="preserve"> analysis</w:t>
      </w:r>
      <w:r w:rsidR="00FE7EAC" w:rsidRPr="00DE296A">
        <w:t xml:space="preserve"> revealed five overarching themes</w:t>
      </w:r>
      <w:r w:rsidR="00D92E3D" w:rsidRPr="00DE296A">
        <w:t>:</w:t>
      </w:r>
    </w:p>
    <w:p w14:paraId="0F886F34" w14:textId="77777777" w:rsidR="001127E8" w:rsidRPr="00DE296A" w:rsidRDefault="001127E8" w:rsidP="00110A70">
      <w:pPr>
        <w:pStyle w:val="ListParagraph"/>
        <w:numPr>
          <w:ilvl w:val="0"/>
          <w:numId w:val="4"/>
        </w:numPr>
        <w:spacing w:after="80"/>
        <w:ind w:left="284" w:hanging="284"/>
        <w:rPr>
          <w:rFonts w:cs="Arial"/>
          <w:szCs w:val="24"/>
        </w:rPr>
      </w:pPr>
      <w:r w:rsidRPr="00DE296A">
        <w:rPr>
          <w:rFonts w:cs="Arial"/>
          <w:szCs w:val="24"/>
        </w:rPr>
        <w:t xml:space="preserve">The construction of health and wellbeing in a university </w:t>
      </w:r>
    </w:p>
    <w:p w14:paraId="3C600BD3" w14:textId="1CC6CCE2" w:rsidR="001127E8" w:rsidRPr="00DE296A" w:rsidRDefault="001127E8" w:rsidP="00110A70">
      <w:pPr>
        <w:pStyle w:val="ListParagraph"/>
        <w:numPr>
          <w:ilvl w:val="0"/>
          <w:numId w:val="4"/>
        </w:numPr>
        <w:spacing w:after="80"/>
        <w:ind w:left="284" w:hanging="284"/>
        <w:rPr>
          <w:rFonts w:cs="Arial"/>
          <w:szCs w:val="24"/>
        </w:rPr>
      </w:pPr>
      <w:r w:rsidRPr="00DE296A">
        <w:rPr>
          <w:rFonts w:cs="Arial"/>
          <w:szCs w:val="24"/>
        </w:rPr>
        <w:t>Processes for manifesting the ‘healthy university’ concept</w:t>
      </w:r>
    </w:p>
    <w:p w14:paraId="21F57078" w14:textId="5FE87D57" w:rsidR="001127E8" w:rsidRPr="00DE296A" w:rsidRDefault="001127E8" w:rsidP="00110A70">
      <w:pPr>
        <w:pStyle w:val="ListParagraph"/>
        <w:numPr>
          <w:ilvl w:val="0"/>
          <w:numId w:val="4"/>
        </w:numPr>
        <w:spacing w:after="80"/>
        <w:ind w:left="284" w:hanging="284"/>
        <w:rPr>
          <w:rFonts w:cs="Arial"/>
          <w:szCs w:val="24"/>
        </w:rPr>
      </w:pPr>
      <w:r w:rsidRPr="00DE296A">
        <w:rPr>
          <w:rFonts w:cs="Arial"/>
          <w:szCs w:val="24"/>
        </w:rPr>
        <w:t>Enhancers of health and wellbeing</w:t>
      </w:r>
    </w:p>
    <w:p w14:paraId="751D52F6" w14:textId="7C60EB56" w:rsidR="001127E8" w:rsidRPr="00DE296A" w:rsidRDefault="001127E8" w:rsidP="00110A70">
      <w:pPr>
        <w:pStyle w:val="ListParagraph"/>
        <w:numPr>
          <w:ilvl w:val="0"/>
          <w:numId w:val="4"/>
        </w:numPr>
        <w:spacing w:after="80"/>
        <w:ind w:left="284" w:hanging="284"/>
        <w:rPr>
          <w:rFonts w:cs="Arial"/>
          <w:szCs w:val="24"/>
        </w:rPr>
      </w:pPr>
      <w:r w:rsidRPr="00DE296A">
        <w:rPr>
          <w:rFonts w:cs="Arial"/>
          <w:szCs w:val="24"/>
        </w:rPr>
        <w:t>Inhibitors of health and wellbeing</w:t>
      </w:r>
    </w:p>
    <w:p w14:paraId="2D313C44" w14:textId="298906E3" w:rsidR="001127E8" w:rsidRPr="00DE296A" w:rsidRDefault="001127E8" w:rsidP="00110A70">
      <w:pPr>
        <w:pStyle w:val="ListParagraph"/>
        <w:numPr>
          <w:ilvl w:val="0"/>
          <w:numId w:val="4"/>
        </w:numPr>
        <w:spacing w:after="80"/>
        <w:ind w:left="284" w:hanging="284"/>
        <w:rPr>
          <w:rFonts w:cs="Arial"/>
          <w:szCs w:val="24"/>
        </w:rPr>
      </w:pPr>
      <w:r w:rsidRPr="00DE296A">
        <w:rPr>
          <w:rFonts w:cs="Arial"/>
          <w:szCs w:val="24"/>
        </w:rPr>
        <w:t>The ideal ‘healthy university’</w:t>
      </w:r>
    </w:p>
    <w:p w14:paraId="2DEB944D" w14:textId="77777777" w:rsidR="001B36D7" w:rsidRPr="00DE296A" w:rsidRDefault="001B36D7" w:rsidP="00110A70">
      <w:pPr>
        <w:pStyle w:val="ListParagraph"/>
        <w:spacing w:after="80"/>
        <w:ind w:left="284"/>
        <w:rPr>
          <w:rFonts w:cs="Arial"/>
          <w:szCs w:val="24"/>
        </w:rPr>
      </w:pPr>
    </w:p>
    <w:p w14:paraId="1314D1BE" w14:textId="77777777" w:rsidR="00D92E3D" w:rsidRPr="00DE296A" w:rsidRDefault="00D92E3D" w:rsidP="00110A70">
      <w:pPr>
        <w:spacing w:after="80"/>
        <w:rPr>
          <w:b/>
        </w:rPr>
      </w:pPr>
      <w:r w:rsidRPr="00DE296A">
        <w:rPr>
          <w:b/>
        </w:rPr>
        <w:t>The construction of health and wellbeing</w:t>
      </w:r>
      <w:r w:rsidR="00496272" w:rsidRPr="00DE296A">
        <w:rPr>
          <w:b/>
        </w:rPr>
        <w:t xml:space="preserve"> in a university</w:t>
      </w:r>
    </w:p>
    <w:p w14:paraId="20BF1D06" w14:textId="77777777" w:rsidR="00D92E3D" w:rsidRPr="00DE296A" w:rsidRDefault="00372B1D" w:rsidP="00110A70">
      <w:pPr>
        <w:spacing w:after="80"/>
      </w:pPr>
      <w:r w:rsidRPr="00DE296A">
        <w:t>Apart from senior managers at the ‘contrary’ case university, students and staff</w:t>
      </w:r>
      <w:r w:rsidR="009C55DB" w:rsidRPr="00DE296A">
        <w:t xml:space="preserve"> </w:t>
      </w:r>
      <w:r w:rsidRPr="00DE296A">
        <w:t xml:space="preserve">generally </w:t>
      </w:r>
      <w:r w:rsidR="009C55DB" w:rsidRPr="00DE296A">
        <w:t xml:space="preserve">articulated a broad </w:t>
      </w:r>
      <w:r w:rsidR="00B76493" w:rsidRPr="00DE296A">
        <w:t xml:space="preserve">and holistic </w:t>
      </w:r>
      <w:r w:rsidR="009C55DB" w:rsidRPr="00DE296A">
        <w:t>understanding of h</w:t>
      </w:r>
      <w:r w:rsidR="00D92E3D" w:rsidRPr="00DE296A">
        <w:t>ealth and wellbeing</w:t>
      </w:r>
      <w:r w:rsidR="009C55DB" w:rsidRPr="00DE296A">
        <w:t xml:space="preserve">, </w:t>
      </w:r>
      <w:r w:rsidR="00D92E3D" w:rsidRPr="00DE296A">
        <w:t>impacting on the whole of a person’s life</w:t>
      </w:r>
      <w:r w:rsidRPr="00DE296A">
        <w:t xml:space="preserve"> and relating closely to fulfilment of potential</w:t>
      </w:r>
      <w:r w:rsidR="00D92E3D" w:rsidRPr="00DE296A">
        <w:t xml:space="preserve">: </w:t>
      </w:r>
    </w:p>
    <w:p w14:paraId="5EC92F18" w14:textId="210FDFEE" w:rsidR="009C55DB" w:rsidRPr="00DE296A" w:rsidRDefault="00D92E3D" w:rsidP="00110A70">
      <w:pPr>
        <w:spacing w:after="80"/>
        <w:ind w:left="720"/>
        <w:rPr>
          <w:i/>
        </w:rPr>
      </w:pPr>
      <w:r w:rsidRPr="00DE296A">
        <w:rPr>
          <w:i/>
        </w:rPr>
        <w:lastRenderedPageBreak/>
        <w:t>“It’s more than just physical health, it’s about mental health</w:t>
      </w:r>
      <w:r w:rsidR="00133B87" w:rsidRPr="00DE296A">
        <w:rPr>
          <w:i/>
        </w:rPr>
        <w:t xml:space="preserve">, </w:t>
      </w:r>
      <w:r w:rsidRPr="00DE296A">
        <w:rPr>
          <w:i/>
        </w:rPr>
        <w:t>the ability to have good relationships with other people, being able to thrive within an environment, being able to fulfil potential</w:t>
      </w:r>
      <w:r w:rsidR="003C4FA4">
        <w:rPr>
          <w:i/>
        </w:rPr>
        <w:t xml:space="preserve">. </w:t>
      </w:r>
      <w:r w:rsidRPr="00DE296A">
        <w:rPr>
          <w:i/>
        </w:rPr>
        <w:t xml:space="preserve">So it’s a much bigger concept than just pure health and absence of illness” </w:t>
      </w:r>
    </w:p>
    <w:p w14:paraId="6720833C" w14:textId="73C21511" w:rsidR="00D92E3D" w:rsidRPr="00DE296A" w:rsidRDefault="00EE2734" w:rsidP="00110A70">
      <w:pPr>
        <w:spacing w:after="80"/>
        <w:ind w:left="720"/>
        <w:jc w:val="right"/>
      </w:pPr>
      <w:r w:rsidRPr="00DE296A">
        <w:t xml:space="preserve">Exemplar </w:t>
      </w:r>
      <w:r w:rsidR="00081A56" w:rsidRPr="00DE296A">
        <w:t>C</w:t>
      </w:r>
      <w:r w:rsidRPr="00DE296A">
        <w:t xml:space="preserve">ase, </w:t>
      </w:r>
      <w:r w:rsidR="00D92E3D" w:rsidRPr="00DE296A">
        <w:t xml:space="preserve">Staff </w:t>
      </w:r>
      <w:r w:rsidRPr="00DE296A">
        <w:t xml:space="preserve">7 </w:t>
      </w:r>
    </w:p>
    <w:p w14:paraId="655774A1" w14:textId="13E3A0A4" w:rsidR="002978A3" w:rsidRPr="00DE296A" w:rsidRDefault="00D92E3D" w:rsidP="00110A70">
      <w:pPr>
        <w:spacing w:after="80"/>
      </w:pPr>
      <w:r w:rsidRPr="00DE296A">
        <w:t>Many participants from both universities used similar language, emphasising</w:t>
      </w:r>
      <w:r w:rsidR="00B76493" w:rsidRPr="00DE296A">
        <w:t xml:space="preserve"> the importance of overall ethos and sentiment</w:t>
      </w:r>
      <w:r w:rsidRPr="00DE296A">
        <w:t>. Health and wellbeing was described as “feeling good about yourself”</w:t>
      </w:r>
      <w:r w:rsidRPr="00DE296A">
        <w:rPr>
          <w:i/>
        </w:rPr>
        <w:t xml:space="preserve"> </w:t>
      </w:r>
      <w:r w:rsidRPr="00DE296A">
        <w:t>and was often expanded to include “feeling empowered” and “feeling comfortable”. Happiness was a significant component of health and wellbeing and extended the concept from merely the ability to function ell in a physical way to being part of life</w:t>
      </w:r>
      <w:r w:rsidR="009C55DB" w:rsidRPr="00DE296A">
        <w:t xml:space="preserve"> as a whole</w:t>
      </w:r>
      <w:r w:rsidRPr="00DE296A">
        <w:t xml:space="preserve">, with an important social </w:t>
      </w:r>
      <w:r w:rsidR="002978A3" w:rsidRPr="00DE296A">
        <w:t>component:</w:t>
      </w:r>
    </w:p>
    <w:p w14:paraId="67222A8A" w14:textId="12E05CDB" w:rsidR="002978A3" w:rsidRPr="00DE296A" w:rsidRDefault="002978A3" w:rsidP="00110A70">
      <w:pPr>
        <w:autoSpaceDE w:val="0"/>
        <w:autoSpaceDN w:val="0"/>
        <w:adjustRightInd w:val="0"/>
        <w:spacing w:after="80"/>
        <w:ind w:left="709"/>
        <w:rPr>
          <w:rFonts w:cs="Arial"/>
          <w:i/>
          <w:iCs/>
          <w:szCs w:val="24"/>
        </w:rPr>
      </w:pPr>
      <w:r w:rsidRPr="00DE296A">
        <w:rPr>
          <w:rFonts w:cs="Arial"/>
          <w:i/>
          <w:iCs/>
          <w:szCs w:val="24"/>
        </w:rPr>
        <w:t>“H</w:t>
      </w:r>
      <w:r w:rsidR="007C360D" w:rsidRPr="00DE296A">
        <w:rPr>
          <w:rFonts w:cs="Arial"/>
          <w:i/>
          <w:iCs/>
          <w:szCs w:val="24"/>
        </w:rPr>
        <w:t xml:space="preserve">ealth and wellbeing </w:t>
      </w:r>
      <w:r w:rsidRPr="00DE296A">
        <w:rPr>
          <w:rFonts w:cs="Arial"/>
          <w:i/>
          <w:iCs/>
          <w:szCs w:val="24"/>
        </w:rPr>
        <w:t xml:space="preserve">is social, physical, and mental health and wellbeing. It’s about happily functioning in society” </w:t>
      </w:r>
    </w:p>
    <w:p w14:paraId="24C6D91C" w14:textId="4456F588" w:rsidR="002978A3" w:rsidRPr="00DE296A" w:rsidRDefault="00EE2734" w:rsidP="00110A70">
      <w:pPr>
        <w:autoSpaceDE w:val="0"/>
        <w:autoSpaceDN w:val="0"/>
        <w:adjustRightInd w:val="0"/>
        <w:spacing w:after="80"/>
        <w:jc w:val="right"/>
        <w:rPr>
          <w:rFonts w:cs="Arial"/>
          <w:iCs/>
          <w:szCs w:val="24"/>
        </w:rPr>
      </w:pPr>
      <w:r w:rsidRPr="00DE296A">
        <w:rPr>
          <w:rFonts w:cs="Arial"/>
          <w:iCs/>
          <w:szCs w:val="24"/>
        </w:rPr>
        <w:t xml:space="preserve">Contrary </w:t>
      </w:r>
      <w:r w:rsidR="00081A56" w:rsidRPr="00DE296A">
        <w:rPr>
          <w:rFonts w:cs="Arial"/>
          <w:iCs/>
          <w:szCs w:val="24"/>
        </w:rPr>
        <w:t>C</w:t>
      </w:r>
      <w:r w:rsidRPr="00DE296A">
        <w:rPr>
          <w:rFonts w:cs="Arial"/>
          <w:iCs/>
          <w:szCs w:val="24"/>
        </w:rPr>
        <w:t xml:space="preserve">ase, </w:t>
      </w:r>
      <w:r w:rsidR="002978A3" w:rsidRPr="00DE296A">
        <w:rPr>
          <w:rFonts w:cs="Arial"/>
          <w:iCs/>
          <w:szCs w:val="24"/>
        </w:rPr>
        <w:t>Student 15</w:t>
      </w:r>
      <w:r w:rsidR="002978A3" w:rsidRPr="00DE296A" w:rsidDel="002978A3">
        <w:rPr>
          <w:rFonts w:cs="Arial"/>
        </w:rPr>
        <w:t xml:space="preserve"> </w:t>
      </w:r>
    </w:p>
    <w:p w14:paraId="7B83CD00" w14:textId="77777777" w:rsidR="00D92E3D" w:rsidRPr="00DE296A" w:rsidRDefault="00D92E3D" w:rsidP="00110A70">
      <w:pPr>
        <w:spacing w:after="80"/>
      </w:pPr>
      <w:r w:rsidRPr="00DE296A">
        <w:t xml:space="preserve">The need to feel valued and respected was expressed by many participants. This included feeling that you mattered as a person and that your voice counts. There was recognition that the achievement of a culture of valuing and respecting people relied on relationships between people. This linked with the need </w:t>
      </w:r>
      <w:r w:rsidR="00A84F39" w:rsidRPr="00DE296A">
        <w:t xml:space="preserve">to have </w:t>
      </w:r>
      <w:r w:rsidRPr="00DE296A">
        <w:t>a sense of belonging</w:t>
      </w:r>
      <w:r w:rsidR="00A84F39" w:rsidRPr="00DE296A">
        <w:t xml:space="preserve">, </w:t>
      </w:r>
      <w:r w:rsidRPr="00DE296A">
        <w:t>social interaction</w:t>
      </w:r>
      <w:r w:rsidR="00A84F39" w:rsidRPr="00DE296A">
        <w:t xml:space="preserve"> and the ability to participate</w:t>
      </w:r>
      <w:r w:rsidRPr="00DE296A">
        <w:t xml:space="preserve">. </w:t>
      </w:r>
    </w:p>
    <w:p w14:paraId="0A5C844C" w14:textId="5716302E" w:rsidR="00D92E3D" w:rsidRPr="00DE296A" w:rsidRDefault="00D92E3D" w:rsidP="00110A70">
      <w:pPr>
        <w:spacing w:after="80"/>
      </w:pPr>
      <w:r w:rsidRPr="00DE296A">
        <w:t>Many participants at both universities related health and wellbeing to healthy behaviour, including healthy eating, exercise and not smoking. However, healthy behaviour was not discussed in isolation; it was often mentioned in conjunction with social interaction, a pleasant environment and access to healthy choices</w:t>
      </w:r>
      <w:r w:rsidR="002978A3" w:rsidRPr="00DE296A">
        <w:t xml:space="preserve"> –</w:t>
      </w:r>
      <w:r w:rsidR="00336FA9" w:rsidRPr="00DE296A">
        <w:t xml:space="preserve"> seen as a way of </w:t>
      </w:r>
      <w:r w:rsidR="002978A3" w:rsidRPr="00DE296A">
        <w:t xml:space="preserve">people being able to feel and </w:t>
      </w:r>
      <w:r w:rsidR="00336FA9" w:rsidRPr="00DE296A">
        <w:t>demonstrat</w:t>
      </w:r>
      <w:r w:rsidR="002978A3" w:rsidRPr="00DE296A">
        <w:t>e</w:t>
      </w:r>
      <w:r w:rsidR="00336FA9" w:rsidRPr="00DE296A">
        <w:t xml:space="preserve"> control</w:t>
      </w:r>
      <w:r w:rsidR="002978A3" w:rsidRPr="00DE296A">
        <w:t xml:space="preserve"> over their lives. </w:t>
      </w:r>
      <w:r w:rsidR="007F5FBD" w:rsidRPr="00DE296A">
        <w:t>At the ‘exemplar’ case university, the availability and promotion of cheap alcohol by the Students’ Union was seen as contrary to the overall health promoting ethos.</w:t>
      </w:r>
    </w:p>
    <w:p w14:paraId="41DD6F8C" w14:textId="77777777" w:rsidR="007C360D" w:rsidRPr="00DE296A" w:rsidRDefault="007C360D" w:rsidP="00110A70">
      <w:pPr>
        <w:spacing w:after="80"/>
      </w:pPr>
    </w:p>
    <w:p w14:paraId="275FFAF3" w14:textId="77777777" w:rsidR="001127E8" w:rsidRPr="00DE296A" w:rsidRDefault="001127E8" w:rsidP="00110A70">
      <w:pPr>
        <w:spacing w:after="80"/>
        <w:rPr>
          <w:rFonts w:cs="Arial"/>
          <w:b/>
          <w:szCs w:val="24"/>
        </w:rPr>
      </w:pPr>
      <w:r w:rsidRPr="00DE296A">
        <w:rPr>
          <w:rFonts w:cs="Arial"/>
          <w:b/>
          <w:szCs w:val="24"/>
        </w:rPr>
        <w:t>Processes for manifesting the ‘healthy university’ concept</w:t>
      </w:r>
    </w:p>
    <w:p w14:paraId="74ED0183" w14:textId="670D1257" w:rsidR="00336FA9" w:rsidRPr="00DE296A" w:rsidRDefault="00336FA9" w:rsidP="00110A70">
      <w:pPr>
        <w:spacing w:after="80"/>
      </w:pPr>
      <w:r w:rsidRPr="00DE296A">
        <w:t xml:space="preserve">There was a wide difference between the </w:t>
      </w:r>
      <w:r w:rsidR="00FE7EAC" w:rsidRPr="00DE296A">
        <w:t>‘exemplar’ and ‘contrary’ case universities in the level of commitment shown toward health and wellbeing, and in how the ‘healthy university’ concept was or was not made manifest</w:t>
      </w:r>
      <w:r w:rsidRPr="00DE296A">
        <w:t xml:space="preserve">. </w:t>
      </w:r>
      <w:r w:rsidR="00904828" w:rsidRPr="00DE296A">
        <w:t xml:space="preserve">At the ‘exemplar’ </w:t>
      </w:r>
      <w:r w:rsidR="00904828" w:rsidRPr="00DE296A">
        <w:lastRenderedPageBreak/>
        <w:t>university, h</w:t>
      </w:r>
      <w:r w:rsidR="0057175F" w:rsidRPr="00DE296A">
        <w:t>igh</w:t>
      </w:r>
      <w:r w:rsidR="00496272" w:rsidRPr="00DE296A">
        <w:t>-l</w:t>
      </w:r>
      <w:r w:rsidRPr="00DE296A">
        <w:t xml:space="preserve">evel commitment </w:t>
      </w:r>
      <w:r w:rsidR="00904828" w:rsidRPr="00DE296A">
        <w:t xml:space="preserve">and </w:t>
      </w:r>
      <w:r w:rsidRPr="00DE296A">
        <w:t xml:space="preserve">structures to steer and operationalise the concept </w:t>
      </w:r>
      <w:r w:rsidR="00496272" w:rsidRPr="00DE296A">
        <w:t xml:space="preserve">of a </w:t>
      </w:r>
      <w:r w:rsidR="00821606" w:rsidRPr="00DE296A">
        <w:t>healthy university</w:t>
      </w:r>
      <w:r w:rsidR="00496272" w:rsidRPr="00DE296A">
        <w:t xml:space="preserve"> </w:t>
      </w:r>
      <w:r w:rsidRPr="00DE296A">
        <w:t>were evident</w:t>
      </w:r>
      <w:r w:rsidR="00904828" w:rsidRPr="00DE296A">
        <w:t xml:space="preserve"> </w:t>
      </w:r>
      <w:r w:rsidR="0057175F" w:rsidRPr="00DE296A">
        <w:t>–</w:t>
      </w:r>
      <w:r w:rsidRPr="00DE296A">
        <w:t xml:space="preserve"> in documentation, through observation and from interview data. The concept was explicitly supported by members of the senior </w:t>
      </w:r>
      <w:r w:rsidR="0057175F" w:rsidRPr="00DE296A">
        <w:t xml:space="preserve">management </w:t>
      </w:r>
      <w:r w:rsidRPr="00DE296A">
        <w:t>team,</w:t>
      </w:r>
      <w:r w:rsidR="00496272" w:rsidRPr="00DE296A">
        <w:t xml:space="preserve"> </w:t>
      </w:r>
      <w:r w:rsidR="0057175F" w:rsidRPr="00DE296A">
        <w:t xml:space="preserve">members of the cross-university </w:t>
      </w:r>
      <w:r w:rsidR="00821606" w:rsidRPr="00DE296A">
        <w:t>healthy university</w:t>
      </w:r>
      <w:r w:rsidRPr="00DE296A">
        <w:t xml:space="preserve"> </w:t>
      </w:r>
      <w:r w:rsidR="0057175F" w:rsidRPr="00DE296A">
        <w:t>g</w:t>
      </w:r>
      <w:r w:rsidRPr="00DE296A">
        <w:t>roup</w:t>
      </w:r>
      <w:r w:rsidR="007C360D" w:rsidRPr="00DE296A">
        <w:t>,</w:t>
      </w:r>
      <w:r w:rsidRPr="00DE296A">
        <w:t xml:space="preserve"> and a range of other staff. Practical commitment was demonstrated through the appointment of specific roles and </w:t>
      </w:r>
      <w:r w:rsidR="00A235D0" w:rsidRPr="00DE296A">
        <w:t xml:space="preserve">allocation of </w:t>
      </w:r>
      <w:r w:rsidRPr="00DE296A">
        <w:t xml:space="preserve">resources; these included a </w:t>
      </w:r>
      <w:r w:rsidR="00821606" w:rsidRPr="00DE296A">
        <w:t>healthy university</w:t>
      </w:r>
      <w:r w:rsidRPr="00DE296A">
        <w:t xml:space="preserve"> co-ordinator, a project worker and a student i</w:t>
      </w:r>
      <w:r w:rsidR="0057175F" w:rsidRPr="00DE296A">
        <w:t xml:space="preserve">nternship, connected to subject-specific sub-groups of the </w:t>
      </w:r>
      <w:r w:rsidR="00821606" w:rsidRPr="00DE296A">
        <w:t>healthy university</w:t>
      </w:r>
      <w:r w:rsidRPr="00DE296A">
        <w:t xml:space="preserve"> group.</w:t>
      </w:r>
      <w:r w:rsidR="00337061" w:rsidRPr="00DE296A">
        <w:t xml:space="preserve"> Improvement of health and wellbeing for staff and students was </w:t>
      </w:r>
      <w:r w:rsidR="00A235D0" w:rsidRPr="00DE296A">
        <w:t xml:space="preserve">regarded as </w:t>
      </w:r>
      <w:r w:rsidR="00337061" w:rsidRPr="00DE296A">
        <w:t xml:space="preserve">integral to student success and was </w:t>
      </w:r>
      <w:r w:rsidR="0057175F" w:rsidRPr="00DE296A">
        <w:t>understood</w:t>
      </w:r>
      <w:r w:rsidR="00A235D0" w:rsidRPr="00DE296A">
        <w:t xml:space="preserve"> to be part </w:t>
      </w:r>
      <w:r w:rsidR="00337061" w:rsidRPr="00DE296A">
        <w:t xml:space="preserve">of the </w:t>
      </w:r>
      <w:r w:rsidR="0057175F" w:rsidRPr="00DE296A">
        <w:t>university’s core business, continuing</w:t>
      </w:r>
      <w:r w:rsidR="00337061" w:rsidRPr="00DE296A">
        <w:t xml:space="preserve"> despite the economic constraints facin</w:t>
      </w:r>
      <w:r w:rsidR="0057175F" w:rsidRPr="00DE296A">
        <w:t xml:space="preserve">g the university. Senior managers </w:t>
      </w:r>
      <w:r w:rsidR="00B76493" w:rsidRPr="00DE296A">
        <w:t xml:space="preserve">also </w:t>
      </w:r>
      <w:r w:rsidR="0057175F" w:rsidRPr="00DE296A">
        <w:t>recognised the importance and value of putting in place mechanisms to enable effective two-</w:t>
      </w:r>
      <w:r w:rsidR="00337061" w:rsidRPr="00DE296A">
        <w:t xml:space="preserve">way communication </w:t>
      </w:r>
      <w:r w:rsidR="0057175F" w:rsidRPr="00DE296A">
        <w:t xml:space="preserve">and meaningful participation </w:t>
      </w:r>
      <w:r w:rsidR="00337061" w:rsidRPr="00DE296A">
        <w:t>at all levels</w:t>
      </w:r>
      <w:r w:rsidR="0057175F" w:rsidRPr="00DE296A">
        <w:t xml:space="preserve"> across the university community</w:t>
      </w:r>
      <w:r w:rsidR="00337061" w:rsidRPr="00DE296A">
        <w:t>.</w:t>
      </w:r>
      <w:r w:rsidR="00B76493" w:rsidRPr="00DE296A">
        <w:t xml:space="preserve"> Additionally, close connections between health and other agendas such as sustainability were</w:t>
      </w:r>
      <w:r w:rsidR="00337061" w:rsidRPr="00DE296A">
        <w:t xml:space="preserve"> </w:t>
      </w:r>
      <w:r w:rsidR="00B76493" w:rsidRPr="00DE296A">
        <w:t>highlighted</w:t>
      </w:r>
      <w:r w:rsidR="00133B87" w:rsidRPr="00DE296A">
        <w:t>:</w:t>
      </w:r>
    </w:p>
    <w:p w14:paraId="4360010A" w14:textId="77777777" w:rsidR="00133B87" w:rsidRPr="00DE296A" w:rsidRDefault="00133B87" w:rsidP="00110A70">
      <w:pPr>
        <w:autoSpaceDE w:val="0"/>
        <w:autoSpaceDN w:val="0"/>
        <w:adjustRightInd w:val="0"/>
        <w:spacing w:after="80"/>
        <w:ind w:left="426"/>
        <w:rPr>
          <w:rFonts w:cs="Arial"/>
          <w:i/>
          <w:iCs/>
          <w:szCs w:val="24"/>
        </w:rPr>
      </w:pPr>
      <w:r w:rsidRPr="00DE296A">
        <w:rPr>
          <w:rFonts w:cs="Arial"/>
          <w:i/>
          <w:iCs/>
          <w:szCs w:val="24"/>
        </w:rPr>
        <w:t xml:space="preserve">“We’ve managed to keep our core values in place. There is a priority to save money, but…we’re carrying on managing to support and promote healthy eating, healthy university, sustainability, biodiversity, all the things that we’d want to rightly see go on” </w:t>
      </w:r>
    </w:p>
    <w:p w14:paraId="5514BF9D" w14:textId="747CC4F0" w:rsidR="00133B87" w:rsidRPr="00DE296A" w:rsidRDefault="00EE2734" w:rsidP="00110A70">
      <w:pPr>
        <w:autoSpaceDE w:val="0"/>
        <w:autoSpaceDN w:val="0"/>
        <w:adjustRightInd w:val="0"/>
        <w:spacing w:after="80"/>
        <w:jc w:val="right"/>
        <w:rPr>
          <w:rFonts w:cs="Arial"/>
          <w:i/>
          <w:iCs/>
          <w:szCs w:val="24"/>
        </w:rPr>
      </w:pPr>
      <w:r w:rsidRPr="00DE296A">
        <w:rPr>
          <w:rFonts w:cs="Arial"/>
          <w:szCs w:val="24"/>
        </w:rPr>
        <w:t xml:space="preserve">Exemplar </w:t>
      </w:r>
      <w:r w:rsidR="00081A56" w:rsidRPr="00DE296A">
        <w:rPr>
          <w:rFonts w:cs="Arial"/>
          <w:szCs w:val="24"/>
        </w:rPr>
        <w:t>C</w:t>
      </w:r>
      <w:r w:rsidRPr="00DE296A">
        <w:rPr>
          <w:rFonts w:cs="Arial"/>
          <w:szCs w:val="24"/>
        </w:rPr>
        <w:t xml:space="preserve">ase, </w:t>
      </w:r>
      <w:r w:rsidR="00133B87" w:rsidRPr="00DE296A">
        <w:rPr>
          <w:rFonts w:cs="Arial"/>
          <w:szCs w:val="24"/>
        </w:rPr>
        <w:t xml:space="preserve">Staff 28 </w:t>
      </w:r>
    </w:p>
    <w:p w14:paraId="1807C1DB" w14:textId="719C302F" w:rsidR="00904828" w:rsidRPr="00DE296A" w:rsidRDefault="00336FA9" w:rsidP="00110A70">
      <w:pPr>
        <w:spacing w:after="80"/>
      </w:pPr>
      <w:r w:rsidRPr="00DE296A">
        <w:t>At the time of the firs</w:t>
      </w:r>
      <w:r w:rsidR="0057175F" w:rsidRPr="00DE296A">
        <w:t xml:space="preserve">t interviews, the concept of a </w:t>
      </w:r>
      <w:r w:rsidR="00821606" w:rsidRPr="00DE296A">
        <w:t>healthy university</w:t>
      </w:r>
      <w:r w:rsidRPr="00DE296A">
        <w:t xml:space="preserve"> had not been considered at the ‘contrary’ case</w:t>
      </w:r>
      <w:r w:rsidR="00A235D0" w:rsidRPr="00DE296A">
        <w:t xml:space="preserve"> university</w:t>
      </w:r>
      <w:r w:rsidRPr="00DE296A">
        <w:t xml:space="preserve">. Health and wellbeing was not a recognised value and therefore commitment to the concept was not addressed in strategic documents such as the Corporate Plan, where there </w:t>
      </w:r>
      <w:r w:rsidR="00B123C0" w:rsidRPr="00DE296A">
        <w:t>wa</w:t>
      </w:r>
      <w:r w:rsidRPr="00DE296A">
        <w:t xml:space="preserve">s </w:t>
      </w:r>
      <w:r w:rsidR="00B123C0" w:rsidRPr="00DE296A">
        <w:t>no</w:t>
      </w:r>
      <w:r w:rsidRPr="00DE296A">
        <w:t xml:space="preserve"> reference to health and wellbeing</w:t>
      </w:r>
      <w:r w:rsidR="00B76493" w:rsidRPr="00DE296A">
        <w:t xml:space="preserve"> – and there was no clear understanding that health was closely linked to other core agendas</w:t>
      </w:r>
      <w:r w:rsidRPr="00DE296A">
        <w:t>. The university was described as re-active rather than pro-active in its relationship with health</w:t>
      </w:r>
      <w:r w:rsidR="00473789" w:rsidRPr="00DE296A">
        <w:t xml:space="preserve"> and wellbeing</w:t>
      </w:r>
      <w:r w:rsidRPr="00DE296A">
        <w:t xml:space="preserve">. Although there were activities to promote physical health </w:t>
      </w:r>
      <w:r w:rsidR="00B123C0" w:rsidRPr="00DE296A">
        <w:t>(e.g.</w:t>
      </w:r>
      <w:r w:rsidR="00A235D0" w:rsidRPr="00DE296A">
        <w:t xml:space="preserve"> World Mental Health Day</w:t>
      </w:r>
      <w:r w:rsidR="00B123C0" w:rsidRPr="00DE296A">
        <w:t xml:space="preserve"> events</w:t>
      </w:r>
      <w:r w:rsidRPr="00DE296A">
        <w:t>, health fairs</w:t>
      </w:r>
      <w:r w:rsidR="00A235D0" w:rsidRPr="00DE296A">
        <w:t>, healthy eating</w:t>
      </w:r>
      <w:r w:rsidR="00A47598" w:rsidRPr="00DE296A">
        <w:t xml:space="preserve"> events</w:t>
      </w:r>
      <w:r w:rsidR="00B123C0" w:rsidRPr="00DE296A">
        <w:t>,</w:t>
      </w:r>
      <w:r w:rsidRPr="00DE296A">
        <w:t xml:space="preserve"> </w:t>
      </w:r>
      <w:r w:rsidR="00A235D0" w:rsidRPr="00DE296A">
        <w:t xml:space="preserve">a </w:t>
      </w:r>
      <w:r w:rsidRPr="00DE296A">
        <w:t>bike scheme</w:t>
      </w:r>
      <w:r w:rsidR="00B123C0" w:rsidRPr="00DE296A">
        <w:t>)</w:t>
      </w:r>
      <w:r w:rsidRPr="00DE296A">
        <w:t>, these were seen to occur in isolatio</w:t>
      </w:r>
      <w:r w:rsidR="00B123C0" w:rsidRPr="00DE296A">
        <w:t>n, lacking</w:t>
      </w:r>
      <w:r w:rsidRPr="00DE296A">
        <w:t xml:space="preserve"> consistency</w:t>
      </w:r>
      <w:r w:rsidR="00B123C0" w:rsidRPr="00DE296A">
        <w:t xml:space="preserve"> and</w:t>
      </w:r>
      <w:r w:rsidRPr="00DE296A">
        <w:t xml:space="preserve"> co-ordination</w:t>
      </w:r>
      <w:r w:rsidR="00904828" w:rsidRPr="00DE296A">
        <w:t>:</w:t>
      </w:r>
    </w:p>
    <w:p w14:paraId="7CA49D89" w14:textId="77777777" w:rsidR="00904828" w:rsidRPr="00DE296A" w:rsidRDefault="00904828" w:rsidP="00110A70">
      <w:pPr>
        <w:autoSpaceDE w:val="0"/>
        <w:autoSpaceDN w:val="0"/>
        <w:adjustRightInd w:val="0"/>
        <w:spacing w:after="80"/>
        <w:ind w:left="567"/>
        <w:rPr>
          <w:rFonts w:cs="Arial"/>
          <w:i/>
          <w:iCs/>
          <w:szCs w:val="24"/>
        </w:rPr>
      </w:pPr>
      <w:r w:rsidRPr="00DE296A">
        <w:rPr>
          <w:rFonts w:cs="Arial"/>
          <w:i/>
          <w:iCs/>
          <w:szCs w:val="24"/>
        </w:rPr>
        <w:t xml:space="preserve">“We do the standard stuff, like sickness monitoring, occupational health, appraisals – the basics of managing people. But we don’t take the next step” </w:t>
      </w:r>
    </w:p>
    <w:p w14:paraId="523C8CB3" w14:textId="3AB4CB57" w:rsidR="00336FA9" w:rsidRPr="00DE296A" w:rsidRDefault="00EE2734" w:rsidP="00110A70">
      <w:pPr>
        <w:spacing w:after="80"/>
        <w:ind w:left="567"/>
        <w:jc w:val="right"/>
      </w:pPr>
      <w:r w:rsidRPr="00DE296A">
        <w:rPr>
          <w:rFonts w:cs="Arial"/>
          <w:szCs w:val="24"/>
        </w:rPr>
        <w:t xml:space="preserve">Contrary </w:t>
      </w:r>
      <w:r w:rsidR="00081A56" w:rsidRPr="00DE296A">
        <w:rPr>
          <w:rFonts w:cs="Arial"/>
          <w:szCs w:val="24"/>
        </w:rPr>
        <w:t>C</w:t>
      </w:r>
      <w:r w:rsidRPr="00DE296A">
        <w:rPr>
          <w:rFonts w:cs="Arial"/>
          <w:szCs w:val="24"/>
        </w:rPr>
        <w:t xml:space="preserve">ase, </w:t>
      </w:r>
      <w:r w:rsidR="00904828" w:rsidRPr="00DE296A">
        <w:rPr>
          <w:rFonts w:cs="Arial"/>
          <w:szCs w:val="24"/>
        </w:rPr>
        <w:t xml:space="preserve">Staff 13 </w:t>
      </w:r>
    </w:p>
    <w:p w14:paraId="1789615B" w14:textId="77777777" w:rsidR="00337061" w:rsidRPr="00DE296A" w:rsidRDefault="00337061" w:rsidP="00110A70">
      <w:pPr>
        <w:spacing w:after="80"/>
        <w:rPr>
          <w:b/>
        </w:rPr>
      </w:pPr>
      <w:r w:rsidRPr="00DE296A">
        <w:rPr>
          <w:b/>
        </w:rPr>
        <w:lastRenderedPageBreak/>
        <w:t>Enhancers of health and wellbeing</w:t>
      </w:r>
    </w:p>
    <w:p w14:paraId="0C6890D7" w14:textId="77777777" w:rsidR="00133B87" w:rsidRPr="00DE296A" w:rsidRDefault="00AE1B23" w:rsidP="00110A70">
      <w:pPr>
        <w:spacing w:after="80"/>
      </w:pPr>
      <w:r w:rsidRPr="00DE296A">
        <w:t xml:space="preserve">Staff and students at both universities shared similar ideas about how health and wellbeing can be enhanced within a university setting. </w:t>
      </w:r>
      <w:r w:rsidR="00B76493" w:rsidRPr="00DE296A">
        <w:t>F</w:t>
      </w:r>
      <w:r w:rsidRPr="00DE296A">
        <w:t>eeling valued and cared for, being listened to, having a sense of belonging</w:t>
      </w:r>
      <w:r w:rsidR="00FE6569" w:rsidRPr="00DE296A">
        <w:t>, feeling part of a social environment and being able to participate</w:t>
      </w:r>
      <w:r w:rsidR="00252E0F" w:rsidRPr="00DE296A">
        <w:t xml:space="preserve"> in decision-</w:t>
      </w:r>
      <w:r w:rsidR="00A84F39" w:rsidRPr="00DE296A">
        <w:t>making</w:t>
      </w:r>
      <w:r w:rsidR="00FE6569" w:rsidRPr="00DE296A">
        <w:t xml:space="preserve"> were </w:t>
      </w:r>
      <w:r w:rsidR="00252E0F" w:rsidRPr="00DE296A">
        <w:t>all seen as important</w:t>
      </w:r>
      <w:r w:rsidR="00B76493" w:rsidRPr="00DE296A">
        <w:t xml:space="preserve"> factors</w:t>
      </w:r>
      <w:r w:rsidR="00133B87" w:rsidRPr="00DE296A">
        <w:t>:</w:t>
      </w:r>
    </w:p>
    <w:p w14:paraId="22894519" w14:textId="77777777" w:rsidR="00133B87" w:rsidRPr="00DE296A" w:rsidRDefault="00133B87" w:rsidP="00110A70">
      <w:pPr>
        <w:autoSpaceDE w:val="0"/>
        <w:autoSpaceDN w:val="0"/>
        <w:adjustRightInd w:val="0"/>
        <w:spacing w:after="80"/>
        <w:ind w:left="709"/>
        <w:rPr>
          <w:rFonts w:cs="Arial"/>
          <w:i/>
          <w:iCs/>
          <w:szCs w:val="24"/>
        </w:rPr>
      </w:pPr>
      <w:r w:rsidRPr="00DE296A">
        <w:rPr>
          <w:rFonts w:cs="Arial"/>
          <w:i/>
          <w:iCs/>
          <w:szCs w:val="24"/>
        </w:rPr>
        <w:t xml:space="preserve">“They give you a sense of belonging…there’s a supportive approach and that really helps with that feeling of wellbeing...It’s a supportive environment…It feels as though the university would value people’s opinions” </w:t>
      </w:r>
    </w:p>
    <w:p w14:paraId="072CA461" w14:textId="4E91890C" w:rsidR="00133B87" w:rsidRPr="00DE296A" w:rsidRDefault="00EE2734" w:rsidP="00110A70">
      <w:pPr>
        <w:autoSpaceDE w:val="0"/>
        <w:autoSpaceDN w:val="0"/>
        <w:adjustRightInd w:val="0"/>
        <w:spacing w:after="80"/>
        <w:jc w:val="right"/>
        <w:rPr>
          <w:rFonts w:cs="Arial"/>
          <w:i/>
          <w:iCs/>
          <w:szCs w:val="24"/>
        </w:rPr>
      </w:pPr>
      <w:r w:rsidRPr="00DE296A">
        <w:rPr>
          <w:rFonts w:cs="Arial"/>
          <w:szCs w:val="24"/>
        </w:rPr>
        <w:t xml:space="preserve">Exemplar </w:t>
      </w:r>
      <w:r w:rsidR="00081A56" w:rsidRPr="00DE296A">
        <w:rPr>
          <w:rFonts w:cs="Arial"/>
          <w:szCs w:val="24"/>
        </w:rPr>
        <w:t>C</w:t>
      </w:r>
      <w:r w:rsidRPr="00DE296A">
        <w:rPr>
          <w:rFonts w:cs="Arial"/>
          <w:szCs w:val="24"/>
        </w:rPr>
        <w:t xml:space="preserve">ase, </w:t>
      </w:r>
      <w:r w:rsidR="00133B87" w:rsidRPr="00DE296A">
        <w:rPr>
          <w:rFonts w:cs="Arial"/>
          <w:szCs w:val="24"/>
        </w:rPr>
        <w:t xml:space="preserve">Staff 37 </w:t>
      </w:r>
    </w:p>
    <w:p w14:paraId="56AADDFA" w14:textId="77777777" w:rsidR="00133B87" w:rsidRPr="00DE296A" w:rsidRDefault="00133B87" w:rsidP="00110A70">
      <w:pPr>
        <w:spacing w:after="80"/>
      </w:pPr>
      <w:r w:rsidRPr="00DE296A">
        <w:t>P</w:t>
      </w:r>
      <w:r w:rsidR="00821606" w:rsidRPr="00DE296A">
        <w:t>articipants</w:t>
      </w:r>
      <w:r w:rsidR="00252E0F" w:rsidRPr="00DE296A">
        <w:t xml:space="preserve"> felt that t</w:t>
      </w:r>
      <w:r w:rsidR="00FE6569" w:rsidRPr="00DE296A">
        <w:t>h</w:t>
      </w:r>
      <w:r w:rsidR="00252E0F" w:rsidRPr="00DE296A">
        <w:t>e</w:t>
      </w:r>
      <w:r w:rsidR="00FE6569" w:rsidRPr="00DE296A">
        <w:t>s</w:t>
      </w:r>
      <w:r w:rsidR="00252E0F" w:rsidRPr="00DE296A">
        <w:t>e</w:t>
      </w:r>
      <w:r w:rsidR="00FE6569" w:rsidRPr="00DE296A">
        <w:t xml:space="preserve"> could be achieved through </w:t>
      </w:r>
      <w:r w:rsidR="00821606" w:rsidRPr="00DE296A">
        <w:t xml:space="preserve">creating </w:t>
      </w:r>
      <w:r w:rsidR="00FE6569" w:rsidRPr="00DE296A">
        <w:t xml:space="preserve">a positive organisational culture </w:t>
      </w:r>
      <w:r w:rsidR="00821606" w:rsidRPr="00DE296A">
        <w:t xml:space="preserve">and ethos </w:t>
      </w:r>
      <w:r w:rsidR="00FE6569" w:rsidRPr="00DE296A">
        <w:t>and</w:t>
      </w:r>
      <w:r w:rsidR="00AE1B23" w:rsidRPr="00DE296A">
        <w:t xml:space="preserve"> </w:t>
      </w:r>
      <w:r w:rsidR="00821606" w:rsidRPr="00DE296A">
        <w:t xml:space="preserve">ensuring </w:t>
      </w:r>
      <w:r w:rsidR="00AE1B23" w:rsidRPr="00DE296A">
        <w:t>skilled and supportive line managers</w:t>
      </w:r>
      <w:r w:rsidR="00FE6569" w:rsidRPr="00DE296A">
        <w:t>. A positive physical environment, including clean</w:t>
      </w:r>
      <w:r w:rsidR="00821606" w:rsidRPr="00DE296A">
        <w:t xml:space="preserve">, </w:t>
      </w:r>
      <w:r w:rsidR="00FE6569" w:rsidRPr="00DE296A">
        <w:t>comfortable</w:t>
      </w:r>
      <w:r w:rsidR="00821606" w:rsidRPr="00DE296A">
        <w:t xml:space="preserve">, aesthetically pleasing </w:t>
      </w:r>
      <w:r w:rsidR="00FE6569" w:rsidRPr="00DE296A">
        <w:t xml:space="preserve">buildings, along with access to green space, was seen to have an important influence on health, particularly mental </w:t>
      </w:r>
      <w:r w:rsidR="00821606" w:rsidRPr="00DE296A">
        <w:t>wellbeing</w:t>
      </w:r>
      <w:r w:rsidRPr="00DE296A">
        <w:t>:</w:t>
      </w:r>
    </w:p>
    <w:p w14:paraId="74129742" w14:textId="77777777" w:rsidR="00133B87" w:rsidRPr="00DE296A" w:rsidRDefault="00133B87" w:rsidP="00110A70">
      <w:pPr>
        <w:autoSpaceDE w:val="0"/>
        <w:autoSpaceDN w:val="0"/>
        <w:adjustRightInd w:val="0"/>
        <w:spacing w:after="80"/>
        <w:ind w:left="709"/>
        <w:rPr>
          <w:rFonts w:cs="Arial"/>
          <w:i/>
          <w:iCs/>
          <w:szCs w:val="24"/>
        </w:rPr>
      </w:pPr>
      <w:r w:rsidRPr="00DE296A">
        <w:rPr>
          <w:rFonts w:cs="Arial"/>
          <w:i/>
          <w:iCs/>
          <w:szCs w:val="24"/>
        </w:rPr>
        <w:t xml:space="preserve">“The physical environment can make people feel different. If they’re somewhere that doesn’t look nice and isn’t clean it can affect their self-esteem and make them feel depressed” </w:t>
      </w:r>
    </w:p>
    <w:p w14:paraId="0841BE35" w14:textId="35004E9B" w:rsidR="00FE6569" w:rsidRPr="00DE296A" w:rsidRDefault="00EE2734" w:rsidP="00110A70">
      <w:pPr>
        <w:autoSpaceDE w:val="0"/>
        <w:autoSpaceDN w:val="0"/>
        <w:adjustRightInd w:val="0"/>
        <w:spacing w:after="80"/>
        <w:jc w:val="right"/>
        <w:rPr>
          <w:rFonts w:cs="Arial"/>
          <w:i/>
          <w:iCs/>
          <w:szCs w:val="24"/>
        </w:rPr>
      </w:pPr>
      <w:r w:rsidRPr="00DE296A">
        <w:rPr>
          <w:rFonts w:cs="Arial"/>
          <w:szCs w:val="24"/>
        </w:rPr>
        <w:t xml:space="preserve">Contrary </w:t>
      </w:r>
      <w:r w:rsidR="00081A56" w:rsidRPr="00DE296A">
        <w:rPr>
          <w:rFonts w:cs="Arial"/>
          <w:szCs w:val="24"/>
        </w:rPr>
        <w:t>C</w:t>
      </w:r>
      <w:r w:rsidRPr="00DE296A">
        <w:rPr>
          <w:rFonts w:cs="Arial"/>
          <w:szCs w:val="24"/>
        </w:rPr>
        <w:t>ase, Staff</w:t>
      </w:r>
      <w:r w:rsidR="00133B87" w:rsidRPr="00DE296A">
        <w:rPr>
          <w:rFonts w:cs="Arial"/>
          <w:szCs w:val="24"/>
        </w:rPr>
        <w:t xml:space="preserve"> 39 </w:t>
      </w:r>
    </w:p>
    <w:p w14:paraId="4B5CFD27" w14:textId="77777777" w:rsidR="00FE6569" w:rsidRPr="00DE296A" w:rsidRDefault="00FE6569" w:rsidP="00110A70">
      <w:pPr>
        <w:spacing w:after="80"/>
        <w:rPr>
          <w:b/>
        </w:rPr>
      </w:pPr>
      <w:r w:rsidRPr="00DE296A">
        <w:rPr>
          <w:b/>
        </w:rPr>
        <w:t>Inhibiters of health and wellbeing</w:t>
      </w:r>
    </w:p>
    <w:p w14:paraId="4968A8A5" w14:textId="77777777" w:rsidR="00133B87" w:rsidRPr="00DE296A" w:rsidRDefault="00FE6569" w:rsidP="00110A70">
      <w:pPr>
        <w:spacing w:after="80"/>
      </w:pPr>
      <w:r w:rsidRPr="00DE296A">
        <w:t>There was a demonstrable difference in responses between participants from the two universities about the things that inhibited their health and wellbeing. Participants</w:t>
      </w:r>
      <w:r w:rsidR="00C42700" w:rsidRPr="00DE296A">
        <w:t xml:space="preserve"> from both universities highlighted how the scale and complexity and design of their institutions</w:t>
      </w:r>
      <w:r w:rsidRPr="00DE296A">
        <w:t xml:space="preserve"> </w:t>
      </w:r>
      <w:r w:rsidR="00C42700" w:rsidRPr="00DE296A">
        <w:t>often leads to a sense of fragmentation, disconnection and isolation – contrasting with a positive vision of a healthy university being characterised by wholeness and inclusivity</w:t>
      </w:r>
      <w:r w:rsidR="00133B87" w:rsidRPr="00DE296A">
        <w:t>:</w:t>
      </w:r>
    </w:p>
    <w:p w14:paraId="4F1A95DC" w14:textId="77777777" w:rsidR="00133B87" w:rsidRPr="00DE296A" w:rsidRDefault="00133B87" w:rsidP="00110A70">
      <w:pPr>
        <w:autoSpaceDE w:val="0"/>
        <w:autoSpaceDN w:val="0"/>
        <w:adjustRightInd w:val="0"/>
        <w:spacing w:after="80"/>
        <w:ind w:left="426"/>
        <w:rPr>
          <w:rFonts w:cs="Arial"/>
          <w:i/>
          <w:iCs/>
          <w:szCs w:val="24"/>
        </w:rPr>
      </w:pPr>
      <w:r w:rsidRPr="00DE296A">
        <w:rPr>
          <w:rFonts w:cs="Arial"/>
          <w:i/>
          <w:iCs/>
          <w:szCs w:val="24"/>
        </w:rPr>
        <w:t xml:space="preserve">“I’m not sure how all the different parts of the university work together. There are not huge amounts of interaction between all the faculties – they have little to do with each other. It’s a very big organisation; it’s hard to all interact” </w:t>
      </w:r>
    </w:p>
    <w:p w14:paraId="49F4038B" w14:textId="57DCC94C" w:rsidR="00133B87" w:rsidRPr="00DE296A" w:rsidRDefault="00EE2734" w:rsidP="00110A70">
      <w:pPr>
        <w:spacing w:after="80"/>
        <w:jc w:val="right"/>
        <w:rPr>
          <w:rFonts w:cs="Arial"/>
        </w:rPr>
      </w:pPr>
      <w:r w:rsidRPr="00DE296A">
        <w:rPr>
          <w:rFonts w:cs="Arial"/>
          <w:szCs w:val="24"/>
        </w:rPr>
        <w:t xml:space="preserve">Exemplar </w:t>
      </w:r>
      <w:r w:rsidR="00081A56" w:rsidRPr="00DE296A">
        <w:rPr>
          <w:rFonts w:cs="Arial"/>
          <w:szCs w:val="24"/>
        </w:rPr>
        <w:t>C</w:t>
      </w:r>
      <w:r w:rsidRPr="00DE296A">
        <w:rPr>
          <w:rFonts w:cs="Arial"/>
          <w:szCs w:val="24"/>
        </w:rPr>
        <w:t xml:space="preserve">ase, </w:t>
      </w:r>
      <w:r w:rsidR="00133B87" w:rsidRPr="00DE296A">
        <w:rPr>
          <w:rFonts w:cs="Arial"/>
          <w:szCs w:val="24"/>
        </w:rPr>
        <w:t xml:space="preserve">Staff 33 </w:t>
      </w:r>
    </w:p>
    <w:p w14:paraId="3138D78B" w14:textId="77777777" w:rsidR="00133B87" w:rsidRPr="00DE296A" w:rsidRDefault="00C42700" w:rsidP="00110A70">
      <w:pPr>
        <w:spacing w:after="80"/>
      </w:pPr>
      <w:r w:rsidRPr="00DE296A">
        <w:t xml:space="preserve">At both universities, organisational change </w:t>
      </w:r>
      <w:r w:rsidR="00133B87" w:rsidRPr="00DE296A">
        <w:t xml:space="preserve">and the way it is managed </w:t>
      </w:r>
      <w:r w:rsidRPr="00DE296A">
        <w:t>was seen to have a negative impact on health and wellbeing</w:t>
      </w:r>
      <w:r w:rsidR="00133B87" w:rsidRPr="00DE296A">
        <w:t>.</w:t>
      </w:r>
      <w:r w:rsidRPr="00DE296A">
        <w:t xml:space="preserve"> Additionally, participants </w:t>
      </w:r>
      <w:r w:rsidR="00FE6569" w:rsidRPr="00DE296A">
        <w:t xml:space="preserve">from the </w:t>
      </w:r>
      <w:r w:rsidR="00FE6569" w:rsidRPr="00DE296A">
        <w:lastRenderedPageBreak/>
        <w:t xml:space="preserve">‘contrary’ case </w:t>
      </w:r>
      <w:r w:rsidRPr="00DE296A">
        <w:t xml:space="preserve">university </w:t>
      </w:r>
      <w:r w:rsidR="00FE6569" w:rsidRPr="00DE296A">
        <w:t>spoke with passion, and seemingly experience, about a sense of powerlessness</w:t>
      </w:r>
      <w:r w:rsidR="00821606" w:rsidRPr="00DE296A">
        <w:t xml:space="preserve"> and an inability to</w:t>
      </w:r>
      <w:r w:rsidR="00A84F39" w:rsidRPr="00DE296A">
        <w:t xml:space="preserve"> participate in decision</w:t>
      </w:r>
      <w:r w:rsidR="00821606" w:rsidRPr="00DE296A">
        <w:t>-</w:t>
      </w:r>
      <w:r w:rsidR="00A84F39" w:rsidRPr="00DE296A">
        <w:t>making</w:t>
      </w:r>
      <w:r w:rsidRPr="00DE296A">
        <w:t xml:space="preserve"> (themes that received relatively little attention at the ‘exemplar’ case university)</w:t>
      </w:r>
      <w:r w:rsidR="00133B87" w:rsidRPr="00DE296A">
        <w:t>:</w:t>
      </w:r>
    </w:p>
    <w:p w14:paraId="6CB1C67C" w14:textId="77777777" w:rsidR="00133B87" w:rsidRPr="00DE296A" w:rsidRDefault="00133B87" w:rsidP="00110A70">
      <w:pPr>
        <w:autoSpaceDE w:val="0"/>
        <w:autoSpaceDN w:val="0"/>
        <w:adjustRightInd w:val="0"/>
        <w:spacing w:after="80"/>
        <w:ind w:left="709"/>
        <w:rPr>
          <w:rFonts w:cs="Arial"/>
          <w:i/>
          <w:iCs/>
          <w:szCs w:val="24"/>
        </w:rPr>
      </w:pPr>
      <w:r w:rsidRPr="00DE296A">
        <w:rPr>
          <w:rFonts w:cs="Arial"/>
          <w:i/>
          <w:iCs/>
          <w:szCs w:val="24"/>
        </w:rPr>
        <w:t xml:space="preserve">“People are not listened to. There’s consensus that we’re here to listen not be listened to…..It’s like – when was this decided? I wasn’t involved. Why should we inform you?” </w:t>
      </w:r>
    </w:p>
    <w:p w14:paraId="7B187ED3" w14:textId="0400362E" w:rsidR="00133B87" w:rsidRPr="00DE296A" w:rsidRDefault="00EE2734" w:rsidP="00110A70">
      <w:pPr>
        <w:spacing w:after="80"/>
        <w:jc w:val="right"/>
        <w:rPr>
          <w:rFonts w:cs="Arial"/>
        </w:rPr>
      </w:pPr>
      <w:r w:rsidRPr="00DE296A">
        <w:rPr>
          <w:rFonts w:cs="Arial"/>
          <w:szCs w:val="24"/>
        </w:rPr>
        <w:t xml:space="preserve">Contrary </w:t>
      </w:r>
      <w:r w:rsidR="00081A56" w:rsidRPr="00DE296A">
        <w:rPr>
          <w:rFonts w:cs="Arial"/>
          <w:szCs w:val="24"/>
        </w:rPr>
        <w:t>C</w:t>
      </w:r>
      <w:r w:rsidRPr="00DE296A">
        <w:rPr>
          <w:rFonts w:cs="Arial"/>
          <w:szCs w:val="24"/>
        </w:rPr>
        <w:t xml:space="preserve">ase, </w:t>
      </w:r>
      <w:r w:rsidR="00133B87" w:rsidRPr="00DE296A">
        <w:rPr>
          <w:rFonts w:cs="Arial"/>
          <w:szCs w:val="24"/>
        </w:rPr>
        <w:t xml:space="preserve">Staff 22 </w:t>
      </w:r>
    </w:p>
    <w:p w14:paraId="75C6678D" w14:textId="77777777" w:rsidR="00F317DE" w:rsidRPr="00DE296A" w:rsidRDefault="00A84F39" w:rsidP="00110A70">
      <w:pPr>
        <w:spacing w:after="80"/>
      </w:pPr>
      <w:r w:rsidRPr="00DE296A">
        <w:t>This was attributed to a hierarchical top</w:t>
      </w:r>
      <w:r w:rsidR="00821606" w:rsidRPr="00DE296A">
        <w:t>-</w:t>
      </w:r>
      <w:r w:rsidRPr="00DE296A">
        <w:t xml:space="preserve">down organisation and </w:t>
      </w:r>
      <w:r w:rsidR="00415350" w:rsidRPr="00DE296A">
        <w:t xml:space="preserve">a </w:t>
      </w:r>
      <w:r w:rsidRPr="00DE296A">
        <w:t>negative management style.</w:t>
      </w:r>
      <w:r w:rsidR="00FE6569" w:rsidRPr="00DE296A">
        <w:t xml:space="preserve"> </w:t>
      </w:r>
      <w:r w:rsidRPr="00DE296A">
        <w:t>Lack</w:t>
      </w:r>
      <w:r w:rsidR="00FE6569" w:rsidRPr="00DE296A">
        <w:t xml:space="preserve"> of care and concern </w:t>
      </w:r>
      <w:r w:rsidR="00415350" w:rsidRPr="00DE296A">
        <w:t xml:space="preserve">was demonstrated through lack of investment in initiatives to enhance health and wellbeing, and lack of attention to detail </w:t>
      </w:r>
      <w:r w:rsidR="00821606" w:rsidRPr="00DE296A">
        <w:t>relating to</w:t>
      </w:r>
      <w:r w:rsidR="00415350" w:rsidRPr="00DE296A">
        <w:t xml:space="preserve"> processes and practices </w:t>
      </w:r>
      <w:r w:rsidR="00821606" w:rsidRPr="00DE296A">
        <w:t>(e.g.</w:t>
      </w:r>
      <w:r w:rsidR="00415350" w:rsidRPr="00DE296A">
        <w:t xml:space="preserve"> impractical time tabling, inappropriate allocation of teaching space, poorly kept student records). </w:t>
      </w:r>
      <w:r w:rsidR="009F190C" w:rsidRPr="00DE296A">
        <w:t xml:space="preserve">These characteristics were perceived to emanate from the leadership team. </w:t>
      </w:r>
    </w:p>
    <w:p w14:paraId="5F9CF45D" w14:textId="77777777" w:rsidR="00EE2734" w:rsidRPr="00DE296A" w:rsidRDefault="00EE2734" w:rsidP="00110A70">
      <w:pPr>
        <w:spacing w:after="80"/>
        <w:rPr>
          <w:bCs/>
        </w:rPr>
      </w:pPr>
    </w:p>
    <w:p w14:paraId="4F5E2FD5" w14:textId="6E89E73B" w:rsidR="00D92E3D" w:rsidRPr="00DE296A" w:rsidRDefault="00FE6569" w:rsidP="00110A70">
      <w:pPr>
        <w:spacing w:after="80"/>
        <w:rPr>
          <w:b/>
        </w:rPr>
      </w:pPr>
      <w:r w:rsidRPr="00DE296A">
        <w:rPr>
          <w:b/>
        </w:rPr>
        <w:t xml:space="preserve">The ideal </w:t>
      </w:r>
      <w:r w:rsidR="00D6650A" w:rsidRPr="00DE296A">
        <w:rPr>
          <w:b/>
        </w:rPr>
        <w:t>‘h</w:t>
      </w:r>
      <w:r w:rsidRPr="00DE296A">
        <w:rPr>
          <w:b/>
        </w:rPr>
        <w:t xml:space="preserve">ealthy </w:t>
      </w:r>
      <w:r w:rsidR="00D6650A" w:rsidRPr="00DE296A">
        <w:rPr>
          <w:b/>
        </w:rPr>
        <w:t>u</w:t>
      </w:r>
      <w:r w:rsidRPr="00DE296A">
        <w:rPr>
          <w:b/>
        </w:rPr>
        <w:t>niversity</w:t>
      </w:r>
      <w:r w:rsidR="00D6650A" w:rsidRPr="00DE296A">
        <w:rPr>
          <w:b/>
        </w:rPr>
        <w:t>’</w:t>
      </w:r>
    </w:p>
    <w:p w14:paraId="6B5DDCF0" w14:textId="77777777" w:rsidR="00FE6569" w:rsidRPr="00DE296A" w:rsidRDefault="00FE6569" w:rsidP="00110A70">
      <w:pPr>
        <w:spacing w:after="80"/>
      </w:pPr>
      <w:r w:rsidRPr="00DE296A">
        <w:t xml:space="preserve">To explore participants’ understanding of the </w:t>
      </w:r>
      <w:r w:rsidR="000836C6" w:rsidRPr="00DE296A">
        <w:t>healthy university</w:t>
      </w:r>
      <w:r w:rsidRPr="00DE296A">
        <w:t xml:space="preserve"> concept, all participants were asked to describe what an ideal </w:t>
      </w:r>
      <w:r w:rsidR="000836C6" w:rsidRPr="00DE296A">
        <w:t>‘</w:t>
      </w:r>
      <w:r w:rsidRPr="00DE296A">
        <w:t>healthy university</w:t>
      </w:r>
      <w:r w:rsidR="000836C6" w:rsidRPr="00DE296A">
        <w:t>’</w:t>
      </w:r>
      <w:r w:rsidRPr="00DE296A">
        <w:t xml:space="preserve"> would look like and feel like. Interestingly, participants at </w:t>
      </w:r>
      <w:r w:rsidR="000836C6" w:rsidRPr="00DE296A">
        <w:t>both universities</w:t>
      </w:r>
      <w:r w:rsidRPr="00DE296A">
        <w:t xml:space="preserve"> gave very similar answers. </w:t>
      </w:r>
    </w:p>
    <w:p w14:paraId="0AF1C5DF" w14:textId="77777777" w:rsidR="005121C3" w:rsidRPr="00DE296A" w:rsidRDefault="00F317DE" w:rsidP="00110A70">
      <w:pPr>
        <w:spacing w:after="80"/>
      </w:pPr>
      <w:r w:rsidRPr="00DE296A">
        <w:t>A healthy u</w:t>
      </w:r>
      <w:r w:rsidR="00FE6569" w:rsidRPr="00DE296A">
        <w:t>niversity was described as a desirable place to be</w:t>
      </w:r>
      <w:r w:rsidR="000836C6" w:rsidRPr="00DE296A">
        <w:t>, vibrant with positive energy and a sense of community, with people supporting each other and working together</w:t>
      </w:r>
      <w:r w:rsidR="005121C3" w:rsidRPr="00DE296A">
        <w:t>:</w:t>
      </w:r>
    </w:p>
    <w:p w14:paraId="7840B807" w14:textId="77777777" w:rsidR="005121C3" w:rsidRPr="00DE296A" w:rsidRDefault="005121C3" w:rsidP="00110A70">
      <w:pPr>
        <w:autoSpaceDE w:val="0"/>
        <w:autoSpaceDN w:val="0"/>
        <w:adjustRightInd w:val="0"/>
        <w:spacing w:after="80"/>
        <w:ind w:left="425"/>
        <w:rPr>
          <w:rFonts w:cs="Arial"/>
          <w:i/>
          <w:iCs/>
          <w:szCs w:val="24"/>
        </w:rPr>
      </w:pPr>
      <w:r w:rsidRPr="00DE296A">
        <w:rPr>
          <w:rFonts w:cs="Arial"/>
          <w:i/>
          <w:iCs/>
          <w:szCs w:val="24"/>
        </w:rPr>
        <w:t xml:space="preserve">“Academics and students would be working together…You’d feel part of a community. There’d be social cohesion and togetherness – it all contributes to wellbeing” </w:t>
      </w:r>
    </w:p>
    <w:p w14:paraId="65E0D156" w14:textId="7023BD19" w:rsidR="005121C3" w:rsidRPr="00DE296A" w:rsidRDefault="00EE2734" w:rsidP="00110A70">
      <w:pPr>
        <w:spacing w:after="80"/>
        <w:ind w:left="425"/>
        <w:jc w:val="right"/>
        <w:rPr>
          <w:rFonts w:cs="Arial"/>
        </w:rPr>
      </w:pPr>
      <w:r w:rsidRPr="00DE296A">
        <w:rPr>
          <w:rFonts w:cs="Arial"/>
          <w:szCs w:val="24"/>
        </w:rPr>
        <w:t xml:space="preserve">Contrary </w:t>
      </w:r>
      <w:r w:rsidR="00081A56" w:rsidRPr="00DE296A">
        <w:rPr>
          <w:rFonts w:cs="Arial"/>
          <w:szCs w:val="24"/>
        </w:rPr>
        <w:t>C</w:t>
      </w:r>
      <w:r w:rsidRPr="00DE296A">
        <w:rPr>
          <w:rFonts w:cs="Arial"/>
          <w:szCs w:val="24"/>
        </w:rPr>
        <w:t xml:space="preserve">ase, </w:t>
      </w:r>
      <w:r w:rsidR="005121C3" w:rsidRPr="00DE296A">
        <w:rPr>
          <w:rFonts w:cs="Arial"/>
          <w:szCs w:val="24"/>
        </w:rPr>
        <w:t xml:space="preserve">Staff 54 </w:t>
      </w:r>
    </w:p>
    <w:p w14:paraId="7CCBC68D" w14:textId="77777777" w:rsidR="00FE6569" w:rsidRPr="00DE296A" w:rsidRDefault="000836C6" w:rsidP="00110A70">
      <w:pPr>
        <w:spacing w:after="80"/>
      </w:pPr>
      <w:r w:rsidRPr="00DE296A">
        <w:t xml:space="preserve">Resonating with sentiments expressed about the meaning of health and wellbeing, terms such as </w:t>
      </w:r>
      <w:r w:rsidR="00FE6569" w:rsidRPr="00DE296A">
        <w:t>‘feel contented’, ‘feel cared for’, ‘feel supported’ and ‘be happy’ were commonly used.</w:t>
      </w:r>
      <w:r w:rsidRPr="00DE296A">
        <w:t xml:space="preserve"> </w:t>
      </w:r>
      <w:r w:rsidR="0025080D" w:rsidRPr="00DE296A">
        <w:t xml:space="preserve">The physical environment would be well designed with daylight, fresh air, comfortable furniture </w:t>
      </w:r>
      <w:r w:rsidRPr="00DE296A">
        <w:t>and access to open green space – and h</w:t>
      </w:r>
      <w:r w:rsidR="0025080D" w:rsidRPr="00DE296A">
        <w:t xml:space="preserve">ealthy choices would be readily available. </w:t>
      </w:r>
    </w:p>
    <w:p w14:paraId="308D0828" w14:textId="77777777" w:rsidR="0025080D" w:rsidRPr="00DE296A" w:rsidRDefault="0025080D" w:rsidP="00110A70">
      <w:pPr>
        <w:spacing w:after="80"/>
      </w:pPr>
      <w:r w:rsidRPr="00DE296A">
        <w:lastRenderedPageBreak/>
        <w:t>There was wide agreement that a healthy university would lead to positive outcomes for staff and students. These included measurable outcomes such as lower sickness and dropout rates, higher retention levels, improved ratings in both the national student survey and the staff survey</w:t>
      </w:r>
      <w:r w:rsidR="000836C6" w:rsidRPr="00DE296A">
        <w:t>,</w:t>
      </w:r>
      <w:r w:rsidRPr="00DE296A">
        <w:t xml:space="preserve"> and better academic outcomes. </w:t>
      </w:r>
    </w:p>
    <w:p w14:paraId="2D7EC6F7" w14:textId="77777777" w:rsidR="009C55DB" w:rsidRPr="00DE296A" w:rsidRDefault="0025080D" w:rsidP="00110A70">
      <w:pPr>
        <w:spacing w:after="80"/>
        <w:ind w:left="720"/>
        <w:rPr>
          <w:i/>
        </w:rPr>
      </w:pPr>
      <w:r w:rsidRPr="00DE296A">
        <w:rPr>
          <w:i/>
        </w:rPr>
        <w:t xml:space="preserve">“If you feel healthy and good, it’s easier to work, so you’d get better grades!” </w:t>
      </w:r>
    </w:p>
    <w:p w14:paraId="73A3C2CD" w14:textId="261A5B2C" w:rsidR="005121C3" w:rsidRPr="00DE296A" w:rsidRDefault="00EE2734" w:rsidP="00110A70">
      <w:pPr>
        <w:spacing w:after="80"/>
        <w:ind w:left="720"/>
        <w:jc w:val="right"/>
      </w:pPr>
      <w:r w:rsidRPr="00DE296A">
        <w:t xml:space="preserve">Exemplar </w:t>
      </w:r>
      <w:r w:rsidR="00081A56" w:rsidRPr="00DE296A">
        <w:t>C</w:t>
      </w:r>
      <w:r w:rsidRPr="00DE296A">
        <w:t xml:space="preserve">ase, </w:t>
      </w:r>
      <w:r w:rsidR="0025080D" w:rsidRPr="00DE296A">
        <w:t>Student 11</w:t>
      </w:r>
    </w:p>
    <w:p w14:paraId="6C7520D7" w14:textId="77777777" w:rsidR="00D92E3D" w:rsidRPr="00DE296A" w:rsidRDefault="00D92E3D" w:rsidP="00110A70">
      <w:pPr>
        <w:spacing w:after="80"/>
        <w:ind w:left="720"/>
        <w:jc w:val="right"/>
      </w:pPr>
    </w:p>
    <w:p w14:paraId="6479C75F" w14:textId="76EB4F10" w:rsidR="00A37AA8" w:rsidRPr="00DE296A" w:rsidRDefault="004C6563" w:rsidP="00110A70">
      <w:pPr>
        <w:spacing w:after="80"/>
        <w:rPr>
          <w:b/>
        </w:rPr>
      </w:pPr>
      <w:r w:rsidRPr="00DE296A">
        <w:rPr>
          <w:b/>
        </w:rPr>
        <w:t>DISCUSSION</w:t>
      </w:r>
    </w:p>
    <w:p w14:paraId="2EE27DAD" w14:textId="5C2880D2" w:rsidR="006A0914" w:rsidRPr="00DE296A" w:rsidRDefault="00894616" w:rsidP="00110A70">
      <w:pPr>
        <w:autoSpaceDE w:val="0"/>
        <w:autoSpaceDN w:val="0"/>
        <w:adjustRightInd w:val="0"/>
        <w:spacing w:after="80"/>
        <w:rPr>
          <w:rFonts w:cs="Arial"/>
          <w:szCs w:val="24"/>
        </w:rPr>
      </w:pPr>
      <w:r w:rsidRPr="00DE296A">
        <w:rPr>
          <w:rFonts w:cs="Arial"/>
          <w:szCs w:val="24"/>
        </w:rPr>
        <w:t xml:space="preserve">The study reported in this paper used an instrumental case study approach, focusing on ‘exemplar’ and ‘contrary’ cases to explore </w:t>
      </w:r>
      <w:r w:rsidRPr="00DE296A">
        <w:t xml:space="preserve">how the concept of a healthy university is operationalised, examine how universities can produce or inhibit health and wellbeing, and </w:t>
      </w:r>
      <w:r w:rsidRPr="00DE296A">
        <w:rPr>
          <w:rFonts w:cs="Arial"/>
          <w:szCs w:val="24"/>
        </w:rPr>
        <w:t>investigate student and staff understandings. Findings were presented within five overarching themes</w:t>
      </w:r>
      <w:r w:rsidR="006A0914" w:rsidRPr="00DE296A">
        <w:rPr>
          <w:rFonts w:cs="Arial"/>
          <w:szCs w:val="24"/>
        </w:rPr>
        <w:t xml:space="preserve"> – relating to the construction of health and wellbeing; </w:t>
      </w:r>
      <w:r w:rsidR="00FE7EAC" w:rsidRPr="00DE296A">
        <w:rPr>
          <w:rFonts w:cs="Arial"/>
          <w:szCs w:val="24"/>
        </w:rPr>
        <w:t>processes for manifesting the ‘healthy university’ concept</w:t>
      </w:r>
      <w:r w:rsidR="006A0914" w:rsidRPr="00DE296A">
        <w:rPr>
          <w:rFonts w:cs="Arial"/>
          <w:szCs w:val="24"/>
        </w:rPr>
        <w:t>; enhancers</w:t>
      </w:r>
      <w:r w:rsidR="00FE7EAC" w:rsidRPr="00DE296A">
        <w:rPr>
          <w:rFonts w:cs="Arial"/>
          <w:szCs w:val="24"/>
        </w:rPr>
        <w:t xml:space="preserve"> of health and wellbeing</w:t>
      </w:r>
      <w:r w:rsidR="006A0914" w:rsidRPr="00DE296A">
        <w:rPr>
          <w:rFonts w:cs="Arial"/>
          <w:szCs w:val="24"/>
        </w:rPr>
        <w:t>; inhibitors</w:t>
      </w:r>
      <w:r w:rsidR="00FE7EAC" w:rsidRPr="00DE296A">
        <w:rPr>
          <w:rFonts w:cs="Arial"/>
          <w:szCs w:val="24"/>
        </w:rPr>
        <w:t xml:space="preserve"> of health and wellbeing</w:t>
      </w:r>
      <w:r w:rsidR="006A0914" w:rsidRPr="00DE296A">
        <w:rPr>
          <w:rFonts w:cs="Arial"/>
          <w:szCs w:val="24"/>
        </w:rPr>
        <w:t>; and the ideal ‘healthy university’</w:t>
      </w:r>
      <w:r w:rsidRPr="00DE296A">
        <w:rPr>
          <w:rFonts w:cs="Arial"/>
          <w:szCs w:val="24"/>
        </w:rPr>
        <w:t>.</w:t>
      </w:r>
      <w:r w:rsidR="00431739" w:rsidRPr="00DE296A">
        <w:rPr>
          <w:rFonts w:cs="Arial"/>
          <w:szCs w:val="24"/>
        </w:rPr>
        <w:t xml:space="preserve"> </w:t>
      </w:r>
    </w:p>
    <w:p w14:paraId="41FC1A7B" w14:textId="03CC4200" w:rsidR="00E84E8A" w:rsidRPr="00DE296A" w:rsidRDefault="003E5EFE" w:rsidP="00110A70">
      <w:pPr>
        <w:autoSpaceDE w:val="0"/>
        <w:autoSpaceDN w:val="0"/>
        <w:adjustRightInd w:val="0"/>
        <w:spacing w:after="80"/>
        <w:rPr>
          <w:rFonts w:cs="Arial"/>
          <w:szCs w:val="24"/>
        </w:rPr>
      </w:pPr>
      <w:r w:rsidRPr="00DE296A">
        <w:t xml:space="preserve">Staff and students </w:t>
      </w:r>
      <w:r w:rsidR="00431739" w:rsidRPr="00DE296A">
        <w:rPr>
          <w:rFonts w:cs="Arial"/>
          <w:szCs w:val="24"/>
        </w:rPr>
        <w:t>from</w:t>
      </w:r>
      <w:r w:rsidR="00894616" w:rsidRPr="00DE296A">
        <w:rPr>
          <w:rFonts w:cs="Arial"/>
          <w:szCs w:val="24"/>
        </w:rPr>
        <w:t xml:space="preserve"> both universities </w:t>
      </w:r>
      <w:r w:rsidRPr="00DE296A">
        <w:rPr>
          <w:rFonts w:cs="Arial"/>
          <w:szCs w:val="24"/>
        </w:rPr>
        <w:t xml:space="preserve">articulated </w:t>
      </w:r>
      <w:r w:rsidR="00CA2807" w:rsidRPr="00DE296A">
        <w:rPr>
          <w:rFonts w:cs="Arial"/>
          <w:szCs w:val="24"/>
        </w:rPr>
        <w:t xml:space="preserve">largely </w:t>
      </w:r>
      <w:r w:rsidRPr="00DE296A">
        <w:rPr>
          <w:rFonts w:cs="Arial"/>
          <w:szCs w:val="24"/>
        </w:rPr>
        <w:t>similar</w:t>
      </w:r>
      <w:r w:rsidR="00894616" w:rsidRPr="00DE296A">
        <w:rPr>
          <w:rFonts w:cs="Arial"/>
          <w:szCs w:val="24"/>
        </w:rPr>
        <w:t xml:space="preserve"> </w:t>
      </w:r>
      <w:r w:rsidRPr="00DE296A">
        <w:rPr>
          <w:rFonts w:cs="Arial"/>
          <w:szCs w:val="24"/>
        </w:rPr>
        <w:t xml:space="preserve">perceptions </w:t>
      </w:r>
      <w:r w:rsidR="00894616" w:rsidRPr="00DE296A">
        <w:rPr>
          <w:rFonts w:cs="Arial"/>
          <w:szCs w:val="24"/>
        </w:rPr>
        <w:t>about</w:t>
      </w:r>
      <w:r w:rsidR="00431739" w:rsidRPr="00DE296A">
        <w:rPr>
          <w:rFonts w:cs="Arial"/>
          <w:szCs w:val="24"/>
        </w:rPr>
        <w:t xml:space="preserve"> </w:t>
      </w:r>
      <w:r w:rsidR="00894616" w:rsidRPr="00DE296A">
        <w:rPr>
          <w:rFonts w:cs="Arial"/>
          <w:szCs w:val="24"/>
        </w:rPr>
        <w:t>the meaning of health and wellbeing</w:t>
      </w:r>
      <w:r w:rsidRPr="00DE296A">
        <w:rPr>
          <w:rFonts w:cs="Arial"/>
          <w:szCs w:val="24"/>
        </w:rPr>
        <w:t xml:space="preserve"> – understanding it to be a positive and holistic concept. This </w:t>
      </w:r>
      <w:r w:rsidR="00E84E8A" w:rsidRPr="00DE296A">
        <w:rPr>
          <w:rFonts w:cs="Arial"/>
          <w:szCs w:val="24"/>
        </w:rPr>
        <w:t>echoe</w:t>
      </w:r>
      <w:r w:rsidRPr="00DE296A">
        <w:rPr>
          <w:rFonts w:cs="Arial"/>
          <w:szCs w:val="24"/>
        </w:rPr>
        <w:t>s findings from a literature review on healthy universities</w:t>
      </w:r>
      <w:r w:rsidR="00CA2807" w:rsidRPr="00DE296A">
        <w:rPr>
          <w:rFonts w:cs="Arial"/>
          <w:szCs w:val="24"/>
        </w:rPr>
        <w:t xml:space="preserve"> (</w:t>
      </w:r>
      <w:r w:rsidR="00EC1C27">
        <w:rPr>
          <w:rFonts w:cs="Arial"/>
          <w:szCs w:val="24"/>
        </w:rPr>
        <w:t>4</w:t>
      </w:r>
      <w:r w:rsidR="00CA2807" w:rsidRPr="00DE296A">
        <w:rPr>
          <w:rFonts w:cs="Arial"/>
          <w:szCs w:val="24"/>
        </w:rPr>
        <w:t>)</w:t>
      </w:r>
      <w:r w:rsidRPr="00DE296A">
        <w:rPr>
          <w:rFonts w:cs="Arial"/>
          <w:szCs w:val="24"/>
        </w:rPr>
        <w:t>,</w:t>
      </w:r>
      <w:r w:rsidR="0063755A" w:rsidRPr="0063755A">
        <w:rPr>
          <w:rFonts w:cs="Arial"/>
          <w:color w:val="FF0000"/>
          <w:szCs w:val="24"/>
        </w:rPr>
        <w:t xml:space="preserve"> </w:t>
      </w:r>
      <w:r w:rsidR="0063755A" w:rsidRPr="00FA3A6F">
        <w:rPr>
          <w:rFonts w:cs="Arial"/>
          <w:color w:val="FF0000"/>
          <w:szCs w:val="24"/>
        </w:rPr>
        <w:t xml:space="preserve">– </w:t>
      </w:r>
      <w:r w:rsidR="0063755A">
        <w:rPr>
          <w:rFonts w:cs="Arial"/>
          <w:color w:val="FF0000"/>
          <w:szCs w:val="24"/>
        </w:rPr>
        <w:t xml:space="preserve">which </w:t>
      </w:r>
      <w:r w:rsidR="0063755A" w:rsidRPr="00FA3A6F">
        <w:rPr>
          <w:rFonts w:cs="Arial"/>
          <w:color w:val="FF0000"/>
          <w:szCs w:val="24"/>
        </w:rPr>
        <w:t xml:space="preserve">whilst revealing the limited published material available at the time of the research – </w:t>
      </w:r>
      <w:r w:rsidRPr="00DE296A">
        <w:rPr>
          <w:rFonts w:cs="Arial"/>
          <w:szCs w:val="24"/>
        </w:rPr>
        <w:t>similarly reveal</w:t>
      </w:r>
      <w:r w:rsidR="00CA2807" w:rsidRPr="00DE296A">
        <w:rPr>
          <w:rFonts w:cs="Arial"/>
          <w:szCs w:val="24"/>
        </w:rPr>
        <w:t>ed a strongly salutogenic focus</w:t>
      </w:r>
      <w:r w:rsidR="00FE7EAC" w:rsidRPr="00DE296A">
        <w:rPr>
          <w:rFonts w:cs="Arial"/>
          <w:szCs w:val="24"/>
        </w:rPr>
        <w:t xml:space="preserve"> </w:t>
      </w:r>
      <w:r w:rsidR="00B3031F" w:rsidRPr="00DE296A">
        <w:rPr>
          <w:rFonts w:cs="Arial"/>
          <w:szCs w:val="24"/>
        </w:rPr>
        <w:t xml:space="preserve">that went </w:t>
      </w:r>
      <w:r w:rsidR="00FE7EAC" w:rsidRPr="00DE296A">
        <w:rPr>
          <w:rFonts w:cs="Arial"/>
          <w:szCs w:val="24"/>
        </w:rPr>
        <w:t xml:space="preserve">beyond narrow interpretations of ‘health’ to embrace a concern for fostering wellbeing and human </w:t>
      </w:r>
      <w:r w:rsidR="00644666" w:rsidRPr="00DE296A">
        <w:rPr>
          <w:rFonts w:cs="Arial"/>
          <w:szCs w:val="24"/>
        </w:rPr>
        <w:t xml:space="preserve">flourishing. </w:t>
      </w:r>
      <w:r w:rsidR="00E84E8A" w:rsidRPr="00DE296A">
        <w:rPr>
          <w:rFonts w:cs="Arial"/>
          <w:szCs w:val="24"/>
        </w:rPr>
        <w:t xml:space="preserve">This focus was reflected in the vision of </w:t>
      </w:r>
      <w:r w:rsidR="00431739" w:rsidRPr="00DE296A">
        <w:rPr>
          <w:rFonts w:cs="Arial"/>
          <w:szCs w:val="24"/>
        </w:rPr>
        <w:t>a</w:t>
      </w:r>
      <w:r w:rsidR="006A0914" w:rsidRPr="00DE296A">
        <w:rPr>
          <w:rFonts w:cs="Arial"/>
          <w:szCs w:val="24"/>
        </w:rPr>
        <w:t>n ideal</w:t>
      </w:r>
      <w:r w:rsidR="00431739" w:rsidRPr="00DE296A">
        <w:rPr>
          <w:rFonts w:cs="Arial"/>
          <w:szCs w:val="24"/>
        </w:rPr>
        <w:t xml:space="preserve"> </w:t>
      </w:r>
      <w:r w:rsidR="006A0914" w:rsidRPr="00DE296A">
        <w:rPr>
          <w:rFonts w:cs="Arial"/>
          <w:szCs w:val="24"/>
        </w:rPr>
        <w:t>‘</w:t>
      </w:r>
      <w:r w:rsidR="00431739" w:rsidRPr="00DE296A">
        <w:rPr>
          <w:rFonts w:cs="Arial"/>
          <w:szCs w:val="24"/>
        </w:rPr>
        <w:t>healthy university</w:t>
      </w:r>
      <w:r w:rsidR="006A0914" w:rsidRPr="00DE296A">
        <w:rPr>
          <w:rFonts w:cs="Arial"/>
          <w:szCs w:val="24"/>
        </w:rPr>
        <w:t>’</w:t>
      </w:r>
      <w:r w:rsidR="00431739" w:rsidRPr="00DE296A">
        <w:rPr>
          <w:rFonts w:cs="Arial"/>
          <w:szCs w:val="24"/>
        </w:rPr>
        <w:t xml:space="preserve"> </w:t>
      </w:r>
      <w:r w:rsidR="00E84E8A" w:rsidRPr="00DE296A">
        <w:rPr>
          <w:rFonts w:cs="Arial"/>
          <w:szCs w:val="24"/>
        </w:rPr>
        <w:t xml:space="preserve">expressed by participants </w:t>
      </w:r>
      <w:r w:rsidR="00431739" w:rsidRPr="00DE296A">
        <w:rPr>
          <w:rFonts w:cs="Arial"/>
          <w:szCs w:val="24"/>
        </w:rPr>
        <w:t xml:space="preserve">and </w:t>
      </w:r>
      <w:r w:rsidR="00E84E8A" w:rsidRPr="00DE296A">
        <w:rPr>
          <w:rFonts w:cs="Arial"/>
          <w:szCs w:val="24"/>
        </w:rPr>
        <w:t xml:space="preserve">in </w:t>
      </w:r>
      <w:r w:rsidR="00431739" w:rsidRPr="00DE296A">
        <w:rPr>
          <w:rFonts w:cs="Arial"/>
          <w:szCs w:val="24"/>
        </w:rPr>
        <w:t xml:space="preserve">the key factors </w:t>
      </w:r>
      <w:r w:rsidR="00E84E8A" w:rsidRPr="00DE296A">
        <w:rPr>
          <w:rFonts w:cs="Arial"/>
          <w:szCs w:val="24"/>
        </w:rPr>
        <w:t xml:space="preserve">deemed </w:t>
      </w:r>
      <w:r w:rsidR="00431739" w:rsidRPr="00DE296A">
        <w:rPr>
          <w:rFonts w:cs="Arial"/>
          <w:szCs w:val="24"/>
        </w:rPr>
        <w:t xml:space="preserve">important for enhancing health and wellbeing in the university </w:t>
      </w:r>
      <w:r w:rsidRPr="00DE296A">
        <w:rPr>
          <w:rFonts w:cs="Arial"/>
          <w:szCs w:val="24"/>
        </w:rPr>
        <w:t>setting</w:t>
      </w:r>
      <w:r w:rsidR="00431739" w:rsidRPr="00DE296A">
        <w:rPr>
          <w:rFonts w:cs="Arial"/>
          <w:szCs w:val="24"/>
        </w:rPr>
        <w:t>.</w:t>
      </w:r>
      <w:r w:rsidR="00894616" w:rsidRPr="00DE296A">
        <w:rPr>
          <w:rFonts w:cs="Arial"/>
          <w:szCs w:val="24"/>
        </w:rPr>
        <w:t xml:space="preserve"> </w:t>
      </w:r>
    </w:p>
    <w:p w14:paraId="108B3869" w14:textId="751A5FF5" w:rsidR="00DA5720" w:rsidRPr="00DE296A" w:rsidRDefault="00E84E8A" w:rsidP="00110A70">
      <w:pPr>
        <w:autoSpaceDE w:val="0"/>
        <w:autoSpaceDN w:val="0"/>
        <w:adjustRightInd w:val="0"/>
        <w:spacing w:after="80"/>
        <w:rPr>
          <w:rFonts w:cs="Arial"/>
          <w:szCs w:val="24"/>
        </w:rPr>
      </w:pPr>
      <w:r w:rsidRPr="00DE296A">
        <w:rPr>
          <w:rFonts w:cs="Arial"/>
          <w:szCs w:val="24"/>
        </w:rPr>
        <w:t>T</w:t>
      </w:r>
      <w:r w:rsidRPr="00DE296A">
        <w:t xml:space="preserve">he two universities and the various groupings of people within them were functioning within a specific environment and within a specific – and increasingly challenging – social, economic and political context. Despite the similarities between the contexts within which the two universities were operating, </w:t>
      </w:r>
      <w:r w:rsidRPr="00DE296A">
        <w:rPr>
          <w:rFonts w:cs="Arial"/>
          <w:szCs w:val="24"/>
        </w:rPr>
        <w:t xml:space="preserve">participants’ </w:t>
      </w:r>
      <w:r w:rsidR="00431739" w:rsidRPr="00DE296A">
        <w:rPr>
          <w:rFonts w:cs="Arial"/>
          <w:szCs w:val="24"/>
        </w:rPr>
        <w:t>responses demonstrated markedly different perspectives on</w:t>
      </w:r>
      <w:r w:rsidR="00A01106" w:rsidRPr="00DE296A">
        <w:rPr>
          <w:rFonts w:cs="Arial"/>
          <w:szCs w:val="24"/>
        </w:rPr>
        <w:t>,</w:t>
      </w:r>
      <w:r w:rsidR="00431739" w:rsidRPr="00DE296A">
        <w:rPr>
          <w:rFonts w:cs="Arial"/>
          <w:szCs w:val="24"/>
        </w:rPr>
        <w:t xml:space="preserve"> and experiences of</w:t>
      </w:r>
      <w:r w:rsidR="00A01106" w:rsidRPr="00DE296A">
        <w:rPr>
          <w:rFonts w:cs="Arial"/>
          <w:szCs w:val="24"/>
        </w:rPr>
        <w:t>,</w:t>
      </w:r>
      <w:r w:rsidR="00431739" w:rsidRPr="00DE296A">
        <w:rPr>
          <w:rFonts w:cs="Arial"/>
          <w:szCs w:val="24"/>
        </w:rPr>
        <w:t xml:space="preserve"> </w:t>
      </w:r>
      <w:r w:rsidR="00FE7EAC" w:rsidRPr="00DE296A">
        <w:rPr>
          <w:rFonts w:cs="Arial"/>
          <w:szCs w:val="24"/>
        </w:rPr>
        <w:t xml:space="preserve">processes for manifesting </w:t>
      </w:r>
      <w:r w:rsidR="00DA5720" w:rsidRPr="00DE296A">
        <w:rPr>
          <w:rFonts w:cs="Arial"/>
          <w:szCs w:val="24"/>
        </w:rPr>
        <w:t>the ‘healthy university’ concept.</w:t>
      </w:r>
      <w:r w:rsidR="00431739" w:rsidRPr="00DE296A">
        <w:rPr>
          <w:rFonts w:cs="Arial"/>
          <w:szCs w:val="24"/>
        </w:rPr>
        <w:t xml:space="preserve"> </w:t>
      </w:r>
    </w:p>
    <w:p w14:paraId="4282AD62" w14:textId="77777777" w:rsidR="00A01106" w:rsidRPr="00DE296A" w:rsidRDefault="00A01106" w:rsidP="00110A70">
      <w:pPr>
        <w:autoSpaceDE w:val="0"/>
        <w:autoSpaceDN w:val="0"/>
        <w:adjustRightInd w:val="0"/>
        <w:spacing w:after="80"/>
        <w:rPr>
          <w:rFonts w:cs="Arial"/>
          <w:szCs w:val="24"/>
        </w:rPr>
      </w:pPr>
    </w:p>
    <w:p w14:paraId="7F90C934" w14:textId="614E4C90" w:rsidR="00F21F85" w:rsidRPr="00DE296A" w:rsidRDefault="00F21F85" w:rsidP="00110A70">
      <w:pPr>
        <w:autoSpaceDE w:val="0"/>
        <w:autoSpaceDN w:val="0"/>
        <w:adjustRightInd w:val="0"/>
        <w:spacing w:after="80"/>
      </w:pPr>
      <w:r w:rsidRPr="00DE296A">
        <w:lastRenderedPageBreak/>
        <w:t xml:space="preserve">At the ‘exemplar’ case university, the overall sense was of a </w:t>
      </w:r>
      <w:r w:rsidR="00CA2807" w:rsidRPr="00DE296A">
        <w:t>salutogenic organisation</w:t>
      </w:r>
      <w:r w:rsidR="00EC1C27">
        <w:t xml:space="preserve"> (18)</w:t>
      </w:r>
      <w:r w:rsidR="00DE47A6">
        <w:t xml:space="preserve"> </w:t>
      </w:r>
      <w:r w:rsidRPr="00DE296A">
        <w:t>commit</w:t>
      </w:r>
      <w:r w:rsidR="00CA2807" w:rsidRPr="00DE296A">
        <w:t>ted</w:t>
      </w:r>
      <w:r w:rsidRPr="00DE296A">
        <w:t xml:space="preserve"> to health and wellbeing</w:t>
      </w:r>
      <w:r w:rsidR="00CA2807" w:rsidRPr="00DE296A">
        <w:t>,</w:t>
      </w:r>
      <w:r w:rsidRPr="00DE296A">
        <w:t xml:space="preserve"> </w:t>
      </w:r>
      <w:r w:rsidR="00CA2807" w:rsidRPr="00DE296A">
        <w:t>with</w:t>
      </w:r>
      <w:r w:rsidRPr="00DE296A">
        <w:t xml:space="preserve"> people feeling valued, respected and supported. The enhancement of health and wellbeing and focus on releasing human potential were regarded by senior management, staff and students as important aspirations and understood to be integral to the core business for the university. This organisational culture was demonstrated through mechanisms for effective two-way communication and meaningful participation, aimed at ensuring people felt heard, listened to, </w:t>
      </w:r>
      <w:r w:rsidR="003C4FA4">
        <w:t xml:space="preserve">and </w:t>
      </w:r>
      <w:r w:rsidRPr="00DE296A">
        <w:t xml:space="preserve">able to contribute and share their views. This resulted in staff and students feeling positive and engaged with the university. Whilst organisational change was understood to be challenging, the leadership team acknowledged the human effect of organisational changes and endeavoured to make </w:t>
      </w:r>
      <w:r w:rsidR="00A01106" w:rsidRPr="00DE296A">
        <w:t xml:space="preserve">such </w:t>
      </w:r>
      <w:r w:rsidRPr="00DE296A">
        <w:t xml:space="preserve">changes in as </w:t>
      </w:r>
      <w:r w:rsidR="004C6563" w:rsidRPr="00DE296A">
        <w:t>‘human’</w:t>
      </w:r>
      <w:r w:rsidRPr="00DE296A">
        <w:t xml:space="preserve"> way as possible. There was awareness that the health and wellbeing of staff and students is strongly influenced by the organisational context; that the health of the organisation strongly influences performance; and that both the health of staff and students and the performance of the organisation are continuously co-produced by the on-going interaction between them, suggesting a reciprocal relationship. </w:t>
      </w:r>
    </w:p>
    <w:p w14:paraId="0E0F00CF" w14:textId="26120D01" w:rsidR="00F21F85" w:rsidRPr="00DE296A" w:rsidRDefault="00F21F85" w:rsidP="00110A70">
      <w:pPr>
        <w:spacing w:after="80"/>
      </w:pPr>
      <w:r w:rsidRPr="00DE296A">
        <w:t xml:space="preserve">In contrast, at the ‘contrary’ case university, many of those interviewed did not feel valued, respected or listened to – and the enhanced health and wellbeing of staff and students was not obviously acknowledged as an important contributor to core </w:t>
      </w:r>
      <w:r w:rsidRPr="00277F92">
        <w:t>business and organisational success. Health was understood</w:t>
      </w:r>
      <w:r w:rsidR="00CA2807" w:rsidRPr="00277F92">
        <w:t xml:space="preserve"> by senior decision-makers</w:t>
      </w:r>
      <w:r w:rsidRPr="00277F92">
        <w:t xml:space="preserve"> to be largely an individual’s own responsibility and not the responsibility of the university and was regarded as an issue separate to the corporate goals and values of the organisation. A perceived inability to participate in decision-making resulted in a strong sense of powerlessness, impacting on health and wellbeing. This was attributed to a hierarchical organisation in which control remained firmly with senior leadership. </w:t>
      </w:r>
      <w:r w:rsidR="00CA2807" w:rsidRPr="00277F92">
        <w:t>Whilst this leadership appreciated the need for students and staff to be well enough to function effectively within the organisation, t</w:t>
      </w:r>
      <w:r w:rsidRPr="00277F92">
        <w:t>here was a perception</w:t>
      </w:r>
      <w:r w:rsidR="00CA2807" w:rsidRPr="00277F92">
        <w:t xml:space="preserve"> among those interviewed</w:t>
      </w:r>
      <w:r w:rsidRPr="00277F92">
        <w:t xml:space="preserve"> that the key drivers of financial stability and increased organisational performance were being sought at the expense of health and wellbeing, leading to negative consequences</w:t>
      </w:r>
      <w:r w:rsidR="00E84E8A" w:rsidRPr="00277F92">
        <w:t xml:space="preserve">, </w:t>
      </w:r>
      <w:r w:rsidRPr="00277F92">
        <w:t>particularly for staff.</w:t>
      </w:r>
    </w:p>
    <w:p w14:paraId="081B60D4" w14:textId="29C91161" w:rsidR="0063755A" w:rsidRPr="00CC5689" w:rsidRDefault="00277F92" w:rsidP="0063755A">
      <w:pPr>
        <w:spacing w:after="80"/>
        <w:rPr>
          <w:rFonts w:cs="Arial"/>
          <w:color w:val="FF0000"/>
          <w:szCs w:val="24"/>
        </w:rPr>
      </w:pPr>
      <w:r w:rsidRPr="00CC5689">
        <w:rPr>
          <w:rFonts w:cs="Arial"/>
          <w:color w:val="FF0000"/>
          <w:szCs w:val="24"/>
          <w:lang w:val="en-US"/>
        </w:rPr>
        <w:t xml:space="preserve">The differences observed between the two cases </w:t>
      </w:r>
      <w:r w:rsidR="00CC5689">
        <w:rPr>
          <w:rFonts w:cs="Arial"/>
          <w:color w:val="FF0000"/>
          <w:szCs w:val="24"/>
          <w:lang w:val="en-US"/>
        </w:rPr>
        <w:t xml:space="preserve">in relation to organizational culture and participation </w:t>
      </w:r>
      <w:r w:rsidRPr="00CC5689">
        <w:rPr>
          <w:rFonts w:cs="Arial"/>
          <w:color w:val="FF0000"/>
          <w:szCs w:val="24"/>
          <w:lang w:val="en-US"/>
        </w:rPr>
        <w:t>provide</w:t>
      </w:r>
      <w:r w:rsidR="00CC5689">
        <w:rPr>
          <w:rFonts w:cs="Arial"/>
          <w:color w:val="FF0000"/>
          <w:szCs w:val="24"/>
          <w:lang w:val="en-US"/>
        </w:rPr>
        <w:t>s</w:t>
      </w:r>
      <w:r w:rsidRPr="00CC5689">
        <w:rPr>
          <w:rFonts w:cs="Arial"/>
          <w:color w:val="FF0000"/>
          <w:szCs w:val="24"/>
          <w:lang w:val="en-US"/>
        </w:rPr>
        <w:t xml:space="preserve"> insight into the benefits of an institution takin</w:t>
      </w:r>
      <w:r w:rsidR="00CC5689">
        <w:rPr>
          <w:rFonts w:cs="Arial"/>
          <w:color w:val="FF0000"/>
          <w:szCs w:val="24"/>
          <w:lang w:val="en-US"/>
        </w:rPr>
        <w:t xml:space="preserve">g a healthy university approach. </w:t>
      </w:r>
      <w:r w:rsidR="0063755A" w:rsidRPr="00CC5689">
        <w:rPr>
          <w:rFonts w:cs="Arial"/>
          <w:color w:val="FF0000"/>
          <w:szCs w:val="24"/>
        </w:rPr>
        <w:t xml:space="preserve">Although it is not possible to evidence a causal relationship </w:t>
      </w:r>
      <w:r w:rsidR="0063755A" w:rsidRPr="00CC5689">
        <w:rPr>
          <w:rFonts w:cs="Arial"/>
          <w:color w:val="FF0000"/>
          <w:szCs w:val="24"/>
        </w:rPr>
        <w:lastRenderedPageBreak/>
        <w:t>between the adoption of a healthy university approach and a sal</w:t>
      </w:r>
      <w:r w:rsidR="00CC5689">
        <w:rPr>
          <w:rFonts w:cs="Arial"/>
          <w:color w:val="FF0000"/>
          <w:szCs w:val="24"/>
        </w:rPr>
        <w:t xml:space="preserve">utogenic organisational culture, </w:t>
      </w:r>
      <w:r w:rsidR="0063755A" w:rsidRPr="00CC5689">
        <w:rPr>
          <w:rFonts w:cs="Arial"/>
          <w:color w:val="FF0000"/>
          <w:szCs w:val="24"/>
        </w:rPr>
        <w:t xml:space="preserve">the contrasting case studies do suggest that such benefits may well be catalysed or reinforced by an intentional and explicit commitment to health and wellbeing. </w:t>
      </w:r>
    </w:p>
    <w:p w14:paraId="1DFE355C" w14:textId="43494108" w:rsidR="00CC5689" w:rsidRDefault="00A01106" w:rsidP="0063755A">
      <w:pPr>
        <w:spacing w:after="80"/>
        <w:rPr>
          <w:rFonts w:cs="Arial"/>
          <w:color w:val="FF0000"/>
          <w:szCs w:val="24"/>
        </w:rPr>
      </w:pPr>
      <w:r w:rsidRPr="00DE296A">
        <w:t>P</w:t>
      </w:r>
      <w:r w:rsidR="00F21F85" w:rsidRPr="00DE296A">
        <w:t xml:space="preserve">erformance </w:t>
      </w:r>
      <w:r w:rsidR="00E84E8A" w:rsidRPr="00DE296A">
        <w:t xml:space="preserve">is the </w:t>
      </w:r>
      <w:r w:rsidR="00F21F85" w:rsidRPr="00DE296A">
        <w:t>only final outcome of interest for most organisations</w:t>
      </w:r>
      <w:r w:rsidR="006715A4" w:rsidRPr="00DE296A">
        <w:t xml:space="preserve"> (</w:t>
      </w:r>
      <w:r w:rsidR="00EC1C27">
        <w:t>18</w:t>
      </w:r>
      <w:r w:rsidR="006715A4" w:rsidRPr="00DE296A">
        <w:t>)</w:t>
      </w:r>
      <w:r w:rsidRPr="00DE296A">
        <w:t>. For universities, core business drivers concern organisation performance as it relates to teaching and learning, research and enterprise.</w:t>
      </w:r>
      <w:r w:rsidR="00F21F85" w:rsidRPr="00DE296A">
        <w:t xml:space="preserve"> </w:t>
      </w:r>
      <w:r w:rsidRPr="00DE296A">
        <w:t xml:space="preserve">Yet </w:t>
      </w:r>
      <w:r w:rsidR="00F21F85" w:rsidRPr="00DE296A">
        <w:t xml:space="preserve">healthy work practices </w:t>
      </w:r>
      <w:r w:rsidRPr="00DE296A">
        <w:t xml:space="preserve">can </w:t>
      </w:r>
      <w:r w:rsidR="00F21F85" w:rsidRPr="00DE296A">
        <w:t>simultaneously lead to both employee wellbeing and organisation improvement and that these two outcomes are mutually reinforcing</w:t>
      </w:r>
      <w:r w:rsidR="00D87358">
        <w:t xml:space="preserve"> (19</w:t>
      </w:r>
      <w:r w:rsidR="006715A4" w:rsidRPr="00DE296A">
        <w:t>)</w:t>
      </w:r>
      <w:r w:rsidR="00F21F85" w:rsidRPr="00DE296A">
        <w:t xml:space="preserve">. However, </w:t>
      </w:r>
      <w:r w:rsidRPr="00DE296A">
        <w:t>as could be seen in the ‘contrary case’ university</w:t>
      </w:r>
      <w:r w:rsidR="00BF6DA6" w:rsidRPr="00DE296A">
        <w:t>,</w:t>
      </w:r>
      <w:r w:rsidRPr="00DE296A">
        <w:t xml:space="preserve"> a tension can arise if </w:t>
      </w:r>
      <w:r w:rsidR="00F21F85" w:rsidRPr="00DE296A">
        <w:t>the understanding of health and wellbeing is extended and expanded within an organisation, leading to value judgements regarding the extent to which the organisation is responsible for the wellbeing of its employees</w:t>
      </w:r>
      <w:r w:rsidR="00BF6DA6" w:rsidRPr="00DE296A">
        <w:t xml:space="preserve"> (</w:t>
      </w:r>
      <w:r w:rsidR="00D87358">
        <w:t>20</w:t>
      </w:r>
      <w:r w:rsidR="00BF6DA6" w:rsidRPr="00DE296A">
        <w:t xml:space="preserve">). </w:t>
      </w:r>
      <w:r w:rsidR="001A10E0">
        <w:rPr>
          <w:rFonts w:cs="Arial"/>
          <w:color w:val="FF0000"/>
          <w:szCs w:val="24"/>
          <w:lang w:val="en-US"/>
        </w:rPr>
        <w:t>As can be seen by the ‘contrary case’</w:t>
      </w:r>
      <w:r w:rsidR="00CC5689" w:rsidRPr="00CC5689">
        <w:rPr>
          <w:rFonts w:cs="Arial"/>
          <w:color w:val="FF0000"/>
          <w:szCs w:val="24"/>
          <w:lang w:val="en-US"/>
        </w:rPr>
        <w:t xml:space="preserve">, </w:t>
      </w:r>
      <w:r w:rsidR="001A10E0">
        <w:rPr>
          <w:rFonts w:cs="Arial"/>
          <w:color w:val="FF0000"/>
          <w:szCs w:val="24"/>
          <w:lang w:val="en-US"/>
        </w:rPr>
        <w:t xml:space="preserve">there may not be an </w:t>
      </w:r>
      <w:r w:rsidR="00CC5689" w:rsidRPr="00CC5689">
        <w:rPr>
          <w:rFonts w:cs="Arial"/>
          <w:color w:val="FF0000"/>
          <w:szCs w:val="24"/>
          <w:lang w:val="en-US"/>
        </w:rPr>
        <w:t>understanding of the relationship between health and</w:t>
      </w:r>
      <w:r w:rsidR="001A10E0">
        <w:rPr>
          <w:rFonts w:cs="Arial"/>
          <w:color w:val="FF0000"/>
          <w:szCs w:val="24"/>
          <w:lang w:val="en-US"/>
        </w:rPr>
        <w:t xml:space="preserve"> other institutional outcomes yet e</w:t>
      </w:r>
      <w:r w:rsidR="00CC5689" w:rsidRPr="00CC5689">
        <w:rPr>
          <w:rFonts w:cs="Arial"/>
          <w:color w:val="FF0000"/>
          <w:szCs w:val="24"/>
          <w:lang w:val="en-US"/>
        </w:rPr>
        <w:t>fforts to improve organiz</w:t>
      </w:r>
      <w:r w:rsidR="001A10E0">
        <w:rPr>
          <w:rFonts w:cs="Arial"/>
          <w:color w:val="FF0000"/>
          <w:szCs w:val="24"/>
          <w:lang w:val="en-US"/>
        </w:rPr>
        <w:t xml:space="preserve">ational culture may help to embed health in policies and processes as shown </w:t>
      </w:r>
      <w:r w:rsidR="00CC5689" w:rsidRPr="00CC5689">
        <w:rPr>
          <w:rFonts w:cs="Arial"/>
          <w:color w:val="FF0000"/>
          <w:szCs w:val="24"/>
          <w:lang w:val="en-US"/>
        </w:rPr>
        <w:t xml:space="preserve">in the </w:t>
      </w:r>
      <w:r w:rsidR="001A10E0">
        <w:rPr>
          <w:rFonts w:cs="Arial"/>
          <w:color w:val="FF0000"/>
          <w:szCs w:val="24"/>
          <w:lang w:val="en-US"/>
        </w:rPr>
        <w:t xml:space="preserve">‘exemplar case’. </w:t>
      </w:r>
      <w:r w:rsidR="0063755A" w:rsidRPr="008003B6">
        <w:rPr>
          <w:rFonts w:cs="Arial"/>
          <w:color w:val="FF0000"/>
          <w:szCs w:val="24"/>
        </w:rPr>
        <w:t xml:space="preserve">In this regard, work carried out in the UK has highlighted the importance of employee engagement and its strong links to </w:t>
      </w:r>
      <w:r w:rsidR="0063755A">
        <w:rPr>
          <w:rFonts w:cs="Arial"/>
          <w:color w:val="FF0000"/>
          <w:szCs w:val="24"/>
        </w:rPr>
        <w:t xml:space="preserve">capacity-building for </w:t>
      </w:r>
      <w:r w:rsidR="0063755A" w:rsidRPr="008003B6">
        <w:rPr>
          <w:rFonts w:cs="Arial"/>
          <w:color w:val="FF0000"/>
          <w:szCs w:val="24"/>
        </w:rPr>
        <w:t xml:space="preserve">staff performance, organisational productivity and wellbeing: “Intuitively it makes absolute sense – people who feel valued, well managed, communicated with, who understand and feel fulfilled by their role and can see how they contribute – will be healthier, feel better about their work and do a better job” </w:t>
      </w:r>
      <w:r w:rsidR="0063755A">
        <w:rPr>
          <w:rFonts w:cs="Arial"/>
          <w:color w:val="FF0000"/>
          <w:szCs w:val="24"/>
        </w:rPr>
        <w:t xml:space="preserve">(21). </w:t>
      </w:r>
    </w:p>
    <w:p w14:paraId="3B9BA984" w14:textId="3C51D0EE" w:rsidR="00BF6DA6" w:rsidRPr="0063755A" w:rsidRDefault="00F21F85" w:rsidP="0063755A">
      <w:pPr>
        <w:spacing w:after="80"/>
      </w:pPr>
      <w:r w:rsidRPr="00DE296A">
        <w:t>Universities are, however, not only workplaces</w:t>
      </w:r>
      <w:r w:rsidR="00BF6DA6" w:rsidRPr="00DE296A">
        <w:t xml:space="preserve"> in which health and wellbeing can be enhanced or inhibited by good management practice</w:t>
      </w:r>
      <w:r w:rsidRPr="00DE296A">
        <w:t xml:space="preserve">. </w:t>
      </w:r>
      <w:r w:rsidR="00BF6DA6" w:rsidRPr="00DE296A">
        <w:t>They have two distinct features</w:t>
      </w:r>
      <w:r w:rsidR="00503798" w:rsidRPr="00DE296A">
        <w:t xml:space="preserve"> that might </w:t>
      </w:r>
      <w:r w:rsidR="003C4FA4">
        <w:t xml:space="preserve">be </w:t>
      </w:r>
      <w:r w:rsidR="00503798" w:rsidRPr="00DE296A">
        <w:t>expect</w:t>
      </w:r>
      <w:r w:rsidR="003C4FA4">
        <w:t>ed to result in</w:t>
      </w:r>
      <w:r w:rsidR="00503798" w:rsidRPr="00DE296A">
        <w:t xml:space="preserve"> health and wellbeing</w:t>
      </w:r>
      <w:r w:rsidR="003C4FA4">
        <w:t xml:space="preserve"> being </w:t>
      </w:r>
      <w:r w:rsidR="003C4FA4" w:rsidRPr="00DE296A">
        <w:t>prioritis</w:t>
      </w:r>
      <w:r w:rsidR="003C4FA4">
        <w:t>ed</w:t>
      </w:r>
      <w:r w:rsidR="00BF6DA6" w:rsidRPr="00DE296A">
        <w:t>. Firstly, t</w:t>
      </w:r>
      <w:r w:rsidRPr="00DE296A">
        <w:t xml:space="preserve">heir core </w:t>
      </w:r>
      <w:r w:rsidR="002A0BFD" w:rsidRPr="00DE296A">
        <w:t>‘customers’ are students</w:t>
      </w:r>
      <w:r w:rsidR="00503798" w:rsidRPr="00DE296A">
        <w:t xml:space="preserve">. </w:t>
      </w:r>
      <w:r w:rsidR="003B0887" w:rsidRPr="00DE296A">
        <w:t>A</w:t>
      </w:r>
      <w:r w:rsidR="00EC1C27">
        <w:t>n</w:t>
      </w:r>
      <w:r w:rsidR="004C6563" w:rsidRPr="00DE296A">
        <w:t xml:space="preserve"> </w:t>
      </w:r>
      <w:r w:rsidR="00110A70">
        <w:t>increasing concern to</w:t>
      </w:r>
      <w:r w:rsidR="00B404B1" w:rsidRPr="00DE296A">
        <w:rPr>
          <w:rFonts w:cstheme="minorHAnsi"/>
          <w:bCs/>
          <w:lang w:eastAsia="en-GB"/>
        </w:rPr>
        <w:t xml:space="preserve"> widening </w:t>
      </w:r>
      <w:r w:rsidR="00EF4D82" w:rsidRPr="00DE296A">
        <w:rPr>
          <w:rFonts w:cstheme="minorHAnsi"/>
          <w:bCs/>
          <w:lang w:eastAsia="en-GB"/>
        </w:rPr>
        <w:t>access to higher education</w:t>
      </w:r>
      <w:r w:rsidR="00B404B1" w:rsidRPr="00DE296A">
        <w:rPr>
          <w:rFonts w:cstheme="minorHAnsi"/>
          <w:bCs/>
          <w:lang w:eastAsia="en-GB"/>
        </w:rPr>
        <w:t xml:space="preserve"> </w:t>
      </w:r>
      <w:r w:rsidR="004C6563" w:rsidRPr="00DE296A">
        <w:rPr>
          <w:rFonts w:cstheme="minorHAnsi"/>
          <w:bCs/>
          <w:lang w:eastAsia="en-GB"/>
        </w:rPr>
        <w:t>(</w:t>
      </w:r>
      <w:r w:rsidR="00EC1C27">
        <w:rPr>
          <w:rFonts w:cstheme="minorHAnsi"/>
          <w:bCs/>
          <w:lang w:eastAsia="en-GB"/>
        </w:rPr>
        <w:t>2</w:t>
      </w:r>
      <w:r w:rsidR="00277F92">
        <w:rPr>
          <w:rFonts w:cstheme="minorHAnsi"/>
          <w:bCs/>
          <w:lang w:eastAsia="en-GB"/>
        </w:rPr>
        <w:t>2</w:t>
      </w:r>
      <w:r w:rsidR="00110A70">
        <w:rPr>
          <w:rFonts w:cstheme="minorHAnsi"/>
          <w:bCs/>
          <w:lang w:eastAsia="en-GB"/>
        </w:rPr>
        <w:t>)</w:t>
      </w:r>
      <w:r w:rsidR="00EF4D82" w:rsidRPr="00DE296A">
        <w:rPr>
          <w:rFonts w:cstheme="minorHAnsi"/>
          <w:bCs/>
          <w:lang w:eastAsia="en-GB"/>
        </w:rPr>
        <w:t xml:space="preserve"> </w:t>
      </w:r>
      <w:r w:rsidR="00B404B1" w:rsidRPr="00DE296A">
        <w:rPr>
          <w:rFonts w:cstheme="minorHAnsi"/>
          <w:bCs/>
          <w:lang w:eastAsia="en-GB"/>
        </w:rPr>
        <w:t xml:space="preserve">has resulted in the student profile becoming increasingly diverse – with </w:t>
      </w:r>
      <w:r w:rsidR="002A0BFD" w:rsidRPr="00DE296A">
        <w:rPr>
          <w:rFonts w:cstheme="minorHAnsi"/>
          <w:bCs/>
          <w:lang w:eastAsia="en-GB"/>
        </w:rPr>
        <w:t>different types of student</w:t>
      </w:r>
      <w:r w:rsidR="00B404B1" w:rsidRPr="00DE296A">
        <w:rPr>
          <w:rFonts w:cstheme="minorHAnsi"/>
          <w:bCs/>
          <w:lang w:eastAsia="en-GB"/>
        </w:rPr>
        <w:t xml:space="preserve"> from a </w:t>
      </w:r>
      <w:r w:rsidR="00341FA9" w:rsidRPr="00DE296A">
        <w:rPr>
          <w:rFonts w:cstheme="minorHAnsi"/>
          <w:bCs/>
          <w:lang w:eastAsia="en-GB"/>
        </w:rPr>
        <w:t xml:space="preserve">broader </w:t>
      </w:r>
      <w:r w:rsidR="00B404B1" w:rsidRPr="00DE296A">
        <w:rPr>
          <w:rFonts w:cstheme="minorHAnsi"/>
          <w:bCs/>
          <w:lang w:eastAsia="en-GB"/>
        </w:rPr>
        <w:t>rang</w:t>
      </w:r>
      <w:r w:rsidR="00341FA9" w:rsidRPr="00DE296A">
        <w:rPr>
          <w:rFonts w:cstheme="minorHAnsi"/>
          <w:bCs/>
          <w:lang w:eastAsia="en-GB"/>
        </w:rPr>
        <w:t>e of socio-economic backgrounds</w:t>
      </w:r>
      <w:r w:rsidR="00110A70">
        <w:rPr>
          <w:rFonts w:cstheme="minorHAnsi"/>
          <w:bCs/>
          <w:lang w:eastAsia="en-GB"/>
        </w:rPr>
        <w:t>. Thi</w:t>
      </w:r>
      <w:r w:rsidR="00B404B1" w:rsidRPr="00DE296A">
        <w:rPr>
          <w:rFonts w:cstheme="minorHAnsi"/>
          <w:bCs/>
          <w:lang w:eastAsia="en-GB"/>
        </w:rPr>
        <w:t xml:space="preserve">s </w:t>
      </w:r>
      <w:r w:rsidR="00341FA9" w:rsidRPr="00DE296A">
        <w:rPr>
          <w:rFonts w:cstheme="minorHAnsi"/>
          <w:bCs/>
          <w:lang w:eastAsia="en-GB"/>
        </w:rPr>
        <w:t>shift</w:t>
      </w:r>
      <w:r w:rsidR="00B404B1" w:rsidRPr="00DE296A">
        <w:rPr>
          <w:rFonts w:cstheme="minorHAnsi"/>
          <w:bCs/>
          <w:lang w:eastAsia="en-GB"/>
        </w:rPr>
        <w:t xml:space="preserve"> ha</w:t>
      </w:r>
      <w:r w:rsidR="00110A70">
        <w:rPr>
          <w:rFonts w:cstheme="minorHAnsi"/>
          <w:bCs/>
          <w:lang w:eastAsia="en-GB"/>
        </w:rPr>
        <w:t>s</w:t>
      </w:r>
      <w:r w:rsidR="00B404B1" w:rsidRPr="00DE296A">
        <w:rPr>
          <w:rFonts w:cstheme="minorHAnsi"/>
          <w:bCs/>
          <w:lang w:eastAsia="en-GB"/>
        </w:rPr>
        <w:t xml:space="preserve"> </w:t>
      </w:r>
      <w:r w:rsidR="00341FA9" w:rsidRPr="00DE296A">
        <w:rPr>
          <w:rFonts w:cstheme="minorHAnsi"/>
          <w:bCs/>
          <w:lang w:eastAsia="en-GB"/>
        </w:rPr>
        <w:t>corresponde</w:t>
      </w:r>
      <w:r w:rsidR="00B404B1" w:rsidRPr="00DE296A">
        <w:rPr>
          <w:rFonts w:cstheme="minorHAnsi"/>
          <w:bCs/>
          <w:lang w:eastAsia="en-GB"/>
        </w:rPr>
        <w:t xml:space="preserve">d with and </w:t>
      </w:r>
      <w:r w:rsidR="00341FA9" w:rsidRPr="00DE296A">
        <w:rPr>
          <w:rFonts w:cstheme="minorHAnsi"/>
          <w:bCs/>
          <w:lang w:eastAsia="en-GB"/>
        </w:rPr>
        <w:t>encourag</w:t>
      </w:r>
      <w:r w:rsidR="00B404B1" w:rsidRPr="00DE296A">
        <w:rPr>
          <w:rFonts w:cstheme="minorHAnsi"/>
          <w:bCs/>
          <w:lang w:eastAsia="en-GB"/>
        </w:rPr>
        <w:t>ed an incre</w:t>
      </w:r>
      <w:r w:rsidR="004C6563" w:rsidRPr="00DE296A">
        <w:rPr>
          <w:rFonts w:cstheme="minorHAnsi"/>
          <w:bCs/>
          <w:lang w:eastAsia="en-GB"/>
        </w:rPr>
        <w:t>ased focus on student experience, which</w:t>
      </w:r>
      <w:r w:rsidR="00B404B1" w:rsidRPr="00DE296A">
        <w:rPr>
          <w:rFonts w:cstheme="minorHAnsi"/>
          <w:bCs/>
          <w:lang w:eastAsia="en-GB"/>
        </w:rPr>
        <w:t xml:space="preserve"> </w:t>
      </w:r>
      <w:r w:rsidR="004C6563" w:rsidRPr="00DE296A">
        <w:rPr>
          <w:rFonts w:cstheme="minorHAnsi"/>
          <w:bCs/>
          <w:lang w:eastAsia="en-GB"/>
        </w:rPr>
        <w:t xml:space="preserve">in the UK has </w:t>
      </w:r>
      <w:r w:rsidR="00341FA9" w:rsidRPr="00DE296A">
        <w:t>result</w:t>
      </w:r>
      <w:r w:rsidR="004C6563" w:rsidRPr="00DE296A">
        <w:t>ed</w:t>
      </w:r>
      <w:r w:rsidR="00341FA9" w:rsidRPr="00DE296A">
        <w:t xml:space="preserve"> in a proliferation of student charters and the rebadging of many services under the banner of ‘student wellbeing’ </w:t>
      </w:r>
      <w:r w:rsidRPr="00DE296A">
        <w:t>(</w:t>
      </w:r>
      <w:r w:rsidR="00EC1C27">
        <w:t>2</w:t>
      </w:r>
      <w:r w:rsidR="00277F92">
        <w:t>3</w:t>
      </w:r>
      <w:r w:rsidRPr="00DE296A">
        <w:t>).</w:t>
      </w:r>
      <w:r w:rsidR="00BF6DA6" w:rsidRPr="00DE296A">
        <w:t xml:space="preserve"> </w:t>
      </w:r>
      <w:r w:rsidR="00503798" w:rsidRPr="00DE296A">
        <w:t xml:space="preserve">Secondly, universities </w:t>
      </w:r>
      <w:r w:rsidR="00BF6DA6" w:rsidRPr="00DE296A">
        <w:t xml:space="preserve">are communities of diverse groups of people, including young and mature, full-time and part-time, </w:t>
      </w:r>
      <w:r w:rsidR="00BB0660" w:rsidRPr="00DE296A">
        <w:t>and UK</w:t>
      </w:r>
      <w:r w:rsidR="00BF6DA6" w:rsidRPr="00DE296A">
        <w:t xml:space="preserve"> and </w:t>
      </w:r>
      <w:r w:rsidR="00BF6DA6" w:rsidRPr="00DE296A">
        <w:lastRenderedPageBreak/>
        <w:t>international students; various staff groups including ancillary, administrative and academic; and senior managers</w:t>
      </w:r>
      <w:r w:rsidR="00110A70">
        <w:t xml:space="preserve">, </w:t>
      </w:r>
      <w:r w:rsidR="00BF6DA6" w:rsidRPr="00DE296A">
        <w:t>leaders</w:t>
      </w:r>
      <w:r w:rsidR="004C6563" w:rsidRPr="00DE296A">
        <w:t xml:space="preserve"> </w:t>
      </w:r>
      <w:r w:rsidR="00BF6DA6" w:rsidRPr="00DE296A">
        <w:t xml:space="preserve">and non-executive decision-makers. </w:t>
      </w:r>
      <w:r w:rsidR="00503798" w:rsidRPr="00DE296A">
        <w:rPr>
          <w:rFonts w:cs="Arial"/>
          <w:szCs w:val="24"/>
          <w:lang w:val="en-US"/>
        </w:rPr>
        <w:t xml:space="preserve">Although their </w:t>
      </w:r>
      <w:r w:rsidR="00503798" w:rsidRPr="00E3332B">
        <w:rPr>
          <w:rFonts w:cs="Arial"/>
          <w:szCs w:val="24"/>
          <w:lang w:val="en-US"/>
        </w:rPr>
        <w:t xml:space="preserve">opportunities for health empowerment </w:t>
      </w:r>
      <w:r w:rsidR="00E3332B">
        <w:rPr>
          <w:rFonts w:cs="Arial"/>
          <w:szCs w:val="24"/>
          <w:lang w:val="en-US"/>
        </w:rPr>
        <w:t xml:space="preserve">and improvement </w:t>
      </w:r>
      <w:r w:rsidR="00503798" w:rsidRPr="00DE296A">
        <w:rPr>
          <w:rFonts w:cs="Arial"/>
          <w:szCs w:val="24"/>
          <w:lang w:val="en-US"/>
        </w:rPr>
        <w:t>will differ</w:t>
      </w:r>
      <w:r w:rsidR="00E3332B">
        <w:rPr>
          <w:rFonts w:cs="Arial"/>
          <w:szCs w:val="24"/>
          <w:lang w:val="en-US"/>
        </w:rPr>
        <w:t xml:space="preserve"> from area-based neighbourhoods</w:t>
      </w:r>
      <w:r w:rsidR="00503798" w:rsidRPr="00DE296A">
        <w:rPr>
          <w:rFonts w:cs="Arial"/>
          <w:szCs w:val="24"/>
          <w:lang w:val="en-US"/>
        </w:rPr>
        <w:t>,</w:t>
      </w:r>
      <w:r w:rsidR="00D805C8" w:rsidRPr="00DE296A">
        <w:rPr>
          <w:rFonts w:cs="Arial"/>
          <w:szCs w:val="24"/>
          <w:lang w:val="en-US"/>
        </w:rPr>
        <w:t xml:space="preserve"> </w:t>
      </w:r>
      <w:r w:rsidR="00110A70">
        <w:t>universities</w:t>
      </w:r>
      <w:r w:rsidR="00D805C8" w:rsidRPr="00DE296A">
        <w:t xml:space="preserve"> are</w:t>
      </w:r>
      <w:r w:rsidR="00E3332B">
        <w:t>, like many other communities,</w:t>
      </w:r>
      <w:r w:rsidR="00D805C8" w:rsidRPr="00DE296A">
        <w:t xml:space="preserve"> influenced </w:t>
      </w:r>
      <w:r w:rsidR="00E3332B">
        <w:t>a range of factors</w:t>
      </w:r>
      <w:r w:rsidR="00110A70">
        <w:rPr>
          <w:rFonts w:cs="Arial"/>
          <w:szCs w:val="24"/>
          <w:lang w:val="en-US"/>
        </w:rPr>
        <w:t xml:space="preserve"> –</w:t>
      </w:r>
      <w:r w:rsidR="00D805C8" w:rsidRPr="00DE296A">
        <w:rPr>
          <w:rFonts w:cs="Arial"/>
          <w:szCs w:val="24"/>
          <w:lang w:val="en-US"/>
        </w:rPr>
        <w:t xml:space="preserve"> among them norms, social networks, patterns of leadership and physical</w:t>
      </w:r>
      <w:r w:rsidR="00110A70">
        <w:rPr>
          <w:rFonts w:cs="Arial"/>
          <w:szCs w:val="24"/>
          <w:lang w:val="en-US"/>
        </w:rPr>
        <w:t xml:space="preserve">, economic and cultural </w:t>
      </w:r>
      <w:r w:rsidR="00D805C8" w:rsidRPr="00DE296A">
        <w:rPr>
          <w:rFonts w:cs="Arial"/>
          <w:szCs w:val="24"/>
          <w:lang w:val="en-US"/>
        </w:rPr>
        <w:t>environment</w:t>
      </w:r>
      <w:r w:rsidR="00110A70">
        <w:rPr>
          <w:rFonts w:cs="Arial"/>
          <w:szCs w:val="24"/>
          <w:lang w:val="en-US"/>
        </w:rPr>
        <w:t>s</w:t>
      </w:r>
      <w:r w:rsidR="00D805C8" w:rsidRPr="00DE296A">
        <w:rPr>
          <w:rFonts w:cs="Arial"/>
          <w:szCs w:val="24"/>
          <w:lang w:val="en-US"/>
        </w:rPr>
        <w:t xml:space="preserve">. </w:t>
      </w:r>
    </w:p>
    <w:p w14:paraId="7D6D42DF" w14:textId="3BED034C" w:rsidR="005A2B1C" w:rsidRPr="00DE296A" w:rsidRDefault="002A0BFD" w:rsidP="00110A70">
      <w:pPr>
        <w:spacing w:afterLines="80" w:after="192"/>
        <w:rPr>
          <w:rFonts w:cs="Arial"/>
        </w:rPr>
      </w:pPr>
      <w:r w:rsidRPr="00DE296A">
        <w:t xml:space="preserve">Influenced by socio-ecological theory, much of literature on health promoting settings has emphasised the importance of systems thinking and of adopting a whole system </w:t>
      </w:r>
      <w:r w:rsidR="00012F2F" w:rsidRPr="00DE296A">
        <w:t>perspective</w:t>
      </w:r>
      <w:r w:rsidRPr="00DE296A">
        <w:t xml:space="preserve"> – focusing on how the system works as an entire entity. </w:t>
      </w:r>
      <w:r w:rsidR="00012F2F" w:rsidRPr="00DE296A">
        <w:t xml:space="preserve">In relation to healthy universities, Dooris has explored what a whole system focus means, </w:t>
      </w:r>
      <w:r w:rsidR="00012F2F" w:rsidRPr="00DE296A">
        <w:rPr>
          <w:rFonts w:cs="Arial"/>
          <w:szCs w:val="24"/>
        </w:rPr>
        <w:t>highlighting the value of understanding the interrelationships, interactions and synergies with regard to different groups of the university population, different components of the university system and different ‘health’ issues (</w:t>
      </w:r>
      <w:r w:rsidR="00D87358">
        <w:rPr>
          <w:rFonts w:cs="Arial"/>
          <w:szCs w:val="24"/>
        </w:rPr>
        <w:t>5</w:t>
      </w:r>
      <w:r w:rsidR="00012F2F" w:rsidRPr="00DE296A">
        <w:rPr>
          <w:rFonts w:cs="Arial"/>
          <w:szCs w:val="24"/>
        </w:rPr>
        <w:t>). Furthermor</w:t>
      </w:r>
      <w:r w:rsidR="004E6AA2" w:rsidRPr="00DE296A">
        <w:rPr>
          <w:rFonts w:cs="Arial"/>
          <w:szCs w:val="24"/>
        </w:rPr>
        <w:t xml:space="preserve">e, he and others have suggested that a ‘whole university’ approach </w:t>
      </w:r>
      <w:r w:rsidR="004E6AA2" w:rsidRPr="00DE296A">
        <w:rPr>
          <w:rFonts w:cs="Arial"/>
        </w:rPr>
        <w:t xml:space="preserve">requires a three-fold commitment to: </w:t>
      </w:r>
      <w:r w:rsidR="004E6AA2" w:rsidRPr="00DE296A">
        <w:rPr>
          <w:rFonts w:eastAsia="Times New Roman" w:cs="Arial"/>
          <w:noProof/>
        </w:rPr>
        <w:t>creating</w:t>
      </w:r>
      <w:r w:rsidR="004E6AA2" w:rsidRPr="00DE296A">
        <w:rPr>
          <w:rFonts w:cs="Arial"/>
        </w:rPr>
        <w:t xml:space="preserve"> working, learning and living environments for students, staff and visitors; increase the profile of health and sustainable development in learning, research and knowledge exchange; and </w:t>
      </w:r>
      <w:r w:rsidR="004E6AA2" w:rsidRPr="00DE296A">
        <w:rPr>
          <w:rFonts w:eastAsia="Calibri" w:cs="Arial"/>
        </w:rPr>
        <w:t>contribute to the health,</w:t>
      </w:r>
      <w:r w:rsidR="004E6AA2" w:rsidRPr="00DE296A">
        <w:rPr>
          <w:rFonts w:cs="Arial"/>
        </w:rPr>
        <w:t xml:space="preserve"> wellbeing and sustainability of the wider community (</w:t>
      </w:r>
      <w:r w:rsidR="00277F92">
        <w:rPr>
          <w:rFonts w:cs="Arial"/>
        </w:rPr>
        <w:t>24</w:t>
      </w:r>
      <w:r w:rsidR="004E6AA2" w:rsidRPr="00DE296A">
        <w:rPr>
          <w:rFonts w:cs="Arial"/>
        </w:rPr>
        <w:t>).</w:t>
      </w:r>
      <w:r w:rsidR="005A2B1C" w:rsidRPr="00DE296A">
        <w:rPr>
          <w:rFonts w:cs="Arial"/>
        </w:rPr>
        <w:t xml:space="preserve"> </w:t>
      </w:r>
    </w:p>
    <w:p w14:paraId="4087CA0A" w14:textId="794031BC" w:rsidR="005A2B1C" w:rsidRPr="00DE296A" w:rsidRDefault="00277F92" w:rsidP="00110A70">
      <w:pPr>
        <w:pStyle w:val="CommentText"/>
        <w:spacing w:after="80" w:line="360" w:lineRule="auto"/>
      </w:pPr>
      <w:r w:rsidRPr="00E26C6F">
        <w:rPr>
          <w:color w:val="FF0000"/>
        </w:rPr>
        <w:t>However, the case study findings, whilst pointing to benefits arising from an explicit institutional commitment to health and wellbeing</w:t>
      </w:r>
      <w:r w:rsidRPr="00DE296A">
        <w:t xml:space="preserve"> </w:t>
      </w:r>
      <w:r w:rsidR="00D805C8" w:rsidRPr="00DE296A">
        <w:t>reveal that fostering a ‘whole’ system is a key challenge. Even at the ‘exemplar’ case, which was committed to developing as a healthy university, there was a sense that the scale and complexity of the organisation resulted in fragmentation and a sense of disconnect. T</w:t>
      </w:r>
      <w:r w:rsidR="005A2B1C" w:rsidRPr="00DE296A">
        <w:t xml:space="preserve">he distinguishing features of a healthy university as articulated in the case study research related strongly to how the university functioned as a </w:t>
      </w:r>
      <w:r w:rsidR="005A2B1C" w:rsidRPr="00DE296A">
        <w:rPr>
          <w:i/>
        </w:rPr>
        <w:t xml:space="preserve">social </w:t>
      </w:r>
      <w:r w:rsidR="005A2B1C" w:rsidRPr="00DE296A">
        <w:t>system</w:t>
      </w:r>
      <w:r w:rsidR="00D805C8" w:rsidRPr="00DE296A">
        <w:t xml:space="preserve">, </w:t>
      </w:r>
      <w:r w:rsidR="000F7351" w:rsidRPr="00DE296A">
        <w:t>defined by Checkland</w:t>
      </w:r>
      <w:r>
        <w:t xml:space="preserve"> (25</w:t>
      </w:r>
      <w:r w:rsidR="00D87358">
        <w:t>)</w:t>
      </w:r>
      <w:r w:rsidR="000F7351" w:rsidRPr="00DE296A">
        <w:t xml:space="preserve"> as “groupings of people who are aware of and acknowledge their membership of the group, accepting various responsibilities and having certain expectations. Expectations included the need to </w:t>
      </w:r>
      <w:r w:rsidR="005A2B1C" w:rsidRPr="00DE296A">
        <w:t xml:space="preserve">feel valued, respected, cared for and able to participate and contribute. </w:t>
      </w:r>
      <w:r w:rsidR="00110A70">
        <w:t xml:space="preserve">Reflecting </w:t>
      </w:r>
      <w:r w:rsidR="00110A70" w:rsidRPr="00DE296A">
        <w:t>Naaldenburg</w:t>
      </w:r>
      <w:r w:rsidR="00D87358">
        <w:t xml:space="preserve"> et al</w:t>
      </w:r>
      <w:r w:rsidR="00110A70">
        <w:t>’s analysis of</w:t>
      </w:r>
      <w:r w:rsidR="00110A70" w:rsidRPr="00DE296A">
        <w:t xml:space="preserve"> social systems</w:t>
      </w:r>
      <w:r w:rsidR="00D87358">
        <w:t xml:space="preserve"> </w:t>
      </w:r>
      <w:r>
        <w:t>(26</w:t>
      </w:r>
      <w:r w:rsidR="00110A70">
        <w:t>),</w:t>
      </w:r>
      <w:r w:rsidR="00110A70" w:rsidRPr="00DE296A">
        <w:t xml:space="preserve"> </w:t>
      </w:r>
      <w:r w:rsidR="00110A70">
        <w:t>t</w:t>
      </w:r>
      <w:r w:rsidR="00D805C8" w:rsidRPr="00DE296A">
        <w:t xml:space="preserve">he pursuit of a healthy university thus </w:t>
      </w:r>
      <w:r w:rsidR="005A2B1C" w:rsidRPr="00DE296A">
        <w:t xml:space="preserve">highlights </w:t>
      </w:r>
      <w:r w:rsidR="004D6385" w:rsidRPr="00DE296A">
        <w:t>the importance</w:t>
      </w:r>
      <w:r w:rsidR="002D42AA" w:rsidRPr="00DE296A">
        <w:t xml:space="preserve"> </w:t>
      </w:r>
      <w:r w:rsidR="004D6385" w:rsidRPr="00DE296A">
        <w:t xml:space="preserve">of </w:t>
      </w:r>
      <w:r w:rsidR="00D805C8" w:rsidRPr="00DE296A">
        <w:t>a university</w:t>
      </w:r>
      <w:r w:rsidR="00BB0660" w:rsidRPr="00DE296A">
        <w:t>:</w:t>
      </w:r>
      <w:r w:rsidR="00D805C8" w:rsidRPr="00DE296A">
        <w:t xml:space="preserve"> having appropriate structures and mechanisms in place to enable engagement</w:t>
      </w:r>
      <w:r w:rsidR="00BB0660" w:rsidRPr="00DE296A">
        <w:t>; being clear about</w:t>
      </w:r>
      <w:r w:rsidR="00D805C8" w:rsidRPr="00DE296A">
        <w:t xml:space="preserve"> </w:t>
      </w:r>
      <w:r w:rsidR="002D42AA" w:rsidRPr="00DE296A">
        <w:t xml:space="preserve">the meaning that leaders </w:t>
      </w:r>
      <w:r w:rsidR="00D805C8" w:rsidRPr="00DE296A">
        <w:t>and decision</w:t>
      </w:r>
      <w:r w:rsidR="00BB0660" w:rsidRPr="00DE296A">
        <w:t>-</w:t>
      </w:r>
      <w:r w:rsidR="00D805C8" w:rsidRPr="00DE296A">
        <w:t xml:space="preserve">makers </w:t>
      </w:r>
      <w:r w:rsidR="002D42AA" w:rsidRPr="00DE296A">
        <w:t xml:space="preserve">give to </w:t>
      </w:r>
      <w:r w:rsidR="00D805C8" w:rsidRPr="00DE296A">
        <w:t>health and wellbeing</w:t>
      </w:r>
      <w:r w:rsidR="002D42AA" w:rsidRPr="00DE296A">
        <w:t xml:space="preserve"> and how they translate this into practice in the university </w:t>
      </w:r>
      <w:r w:rsidR="002D42AA" w:rsidRPr="00DE296A">
        <w:lastRenderedPageBreak/>
        <w:t>context</w:t>
      </w:r>
      <w:r w:rsidR="00BB0660" w:rsidRPr="00DE296A">
        <w:t>;</w:t>
      </w:r>
      <w:r w:rsidR="002D42AA" w:rsidRPr="00DE296A">
        <w:t xml:space="preserve"> and </w:t>
      </w:r>
      <w:r w:rsidR="00BB0660" w:rsidRPr="00DE296A">
        <w:t>prioritising</w:t>
      </w:r>
      <w:r w:rsidR="002D42AA" w:rsidRPr="00DE296A">
        <w:t xml:space="preserve"> empowering processes for all of the community </w:t>
      </w:r>
      <w:r w:rsidR="00BB0660" w:rsidRPr="00DE296A">
        <w:t>allowing them to</w:t>
      </w:r>
      <w:r w:rsidR="002D42AA" w:rsidRPr="00DE296A">
        <w:t xml:space="preserve"> participate and </w:t>
      </w:r>
      <w:r w:rsidR="00BB0660" w:rsidRPr="00DE296A">
        <w:t>make</w:t>
      </w:r>
      <w:r w:rsidR="002D42AA" w:rsidRPr="00DE296A">
        <w:t xml:space="preserve"> their voices heard</w:t>
      </w:r>
      <w:r w:rsidR="003C4FA4">
        <w:t xml:space="preserve">. </w:t>
      </w:r>
    </w:p>
    <w:p w14:paraId="416C22EB" w14:textId="77777777" w:rsidR="00D805C8" w:rsidRPr="00DE296A" w:rsidRDefault="00D805C8" w:rsidP="00110A70">
      <w:pPr>
        <w:spacing w:after="80"/>
        <w:rPr>
          <w:b/>
          <w:sz w:val="28"/>
        </w:rPr>
      </w:pPr>
    </w:p>
    <w:p w14:paraId="4455366F" w14:textId="26F263CD" w:rsidR="00A37AA8" w:rsidRPr="00110A70" w:rsidRDefault="00110A70" w:rsidP="00110A70">
      <w:pPr>
        <w:spacing w:after="80"/>
        <w:rPr>
          <w:b/>
          <w:szCs w:val="24"/>
        </w:rPr>
      </w:pPr>
      <w:r w:rsidRPr="00110A70">
        <w:rPr>
          <w:b/>
          <w:szCs w:val="24"/>
        </w:rPr>
        <w:t>CONCLUSION</w:t>
      </w:r>
    </w:p>
    <w:p w14:paraId="737C623C" w14:textId="75C87847" w:rsidR="00110A70" w:rsidRDefault="002978A3" w:rsidP="00E3332B">
      <w:pPr>
        <w:spacing w:after="80"/>
        <w:rPr>
          <w:rFonts w:cs="Arial"/>
          <w:szCs w:val="24"/>
        </w:rPr>
      </w:pPr>
      <w:r w:rsidRPr="00DE296A">
        <w:t>Th</w:t>
      </w:r>
      <w:r w:rsidR="00110A70">
        <w:t>is</w:t>
      </w:r>
      <w:r w:rsidRPr="00DE296A">
        <w:t xml:space="preserve"> study </w:t>
      </w:r>
      <w:r w:rsidR="00D87358">
        <w:t xml:space="preserve">is one of the first to </w:t>
      </w:r>
      <w:r w:rsidR="00DE47A6">
        <w:t>explore</w:t>
      </w:r>
      <w:r w:rsidR="00D87358">
        <w:t xml:space="preserve"> stakeholders’ perceptions of the ‘healthy university’ and to have explored and </w:t>
      </w:r>
      <w:r w:rsidRPr="00DE296A">
        <w:t>increase</w:t>
      </w:r>
      <w:r w:rsidR="00D87358">
        <w:t>d</w:t>
      </w:r>
      <w:r w:rsidRPr="00DE296A">
        <w:t xml:space="preserve"> understanding </w:t>
      </w:r>
      <w:r w:rsidR="00E3332B">
        <w:t>of</w:t>
      </w:r>
      <w:r w:rsidRPr="00DE296A">
        <w:t xml:space="preserve"> how the concept </w:t>
      </w:r>
      <w:r w:rsidR="00E3332B">
        <w:t>can</w:t>
      </w:r>
      <w:r w:rsidRPr="00DE296A">
        <w:t xml:space="preserve"> be operationalised</w:t>
      </w:r>
      <w:r w:rsidR="00C45298" w:rsidRPr="00DE296A">
        <w:t>.</w:t>
      </w:r>
      <w:r w:rsidRPr="00DE296A">
        <w:t xml:space="preserve"> </w:t>
      </w:r>
      <w:r w:rsidR="002D42AA" w:rsidRPr="00DE296A">
        <w:rPr>
          <w:rFonts w:cs="Arial"/>
          <w:szCs w:val="24"/>
        </w:rPr>
        <w:t xml:space="preserve"> </w:t>
      </w:r>
    </w:p>
    <w:p w14:paraId="03CA9E93" w14:textId="06B6FE9E" w:rsidR="00D1115D" w:rsidRDefault="004D6385" w:rsidP="00110A70">
      <w:pPr>
        <w:spacing w:after="80"/>
      </w:pPr>
      <w:r w:rsidRPr="00DE296A">
        <w:t xml:space="preserve">Using a practical application of systems thinking, both Best et al </w:t>
      </w:r>
      <w:r w:rsidR="00277F92">
        <w:t>(27</w:t>
      </w:r>
      <w:r w:rsidRPr="00DE296A">
        <w:t>)</w:t>
      </w:r>
      <w:r w:rsidRPr="00DE296A">
        <w:fldChar w:fldCharType="begin"/>
      </w:r>
      <w:r w:rsidRPr="00DE296A">
        <w:instrText xml:space="preserve"> ADDIN EN.CITE &lt;EndNote&gt;&lt;Cite ExcludeAuth="1"&gt;&lt;Author&gt;Best&lt;/Author&gt;&lt;Year&gt;2003&lt;/Year&gt;&lt;RecNum&gt;45&lt;/RecNum&gt;&lt;DisplayText&gt;(2003)&lt;/DisplayText&gt;&lt;record&gt;&lt;rec-number&gt;45&lt;/rec-number&gt;&lt;foreign-keys&gt;&lt;key app="EN" db-id="r595awfdtfv5aaewdds5asd0vv2e9f2pdwsv"&gt;45&lt;/key&gt;&lt;/foreign-keys&gt;&lt;ref-type name="Journal Article"&gt;17&lt;/ref-type&gt;&lt;contributors&gt;&lt;authors&gt;&lt;author&gt;Best, A&lt;/author&gt;&lt;author&gt;Moor, G&lt;/author&gt;&lt;author&gt;Holmes, B&lt;/author&gt;&lt;author&gt;Clark, P&lt;/author&gt;&lt;author&gt;Bruce, T&lt;/author&gt;&lt;author&gt;Leischow, S&lt;/author&gt;&lt;author&gt;Buchholz, K&lt;/author&gt;&lt;author&gt;Krajnak, J&lt;/author&gt;&lt;/authors&gt;&lt;/contributors&gt;&lt;titles&gt;&lt;title&gt;Health promotion dissemination and systems thinking: towards an integrative model&lt;/title&gt;&lt;secondary-title&gt;American Journal of Health Behaviour&lt;/secondary-title&gt;&lt;/titles&gt;&lt;pages&gt;S206 - S216&lt;/pages&gt;&lt;volume&gt;27&lt;/volume&gt;&lt;number&gt;Supplement 3&lt;/number&gt;&lt;dates&gt;&lt;year&gt;2003&lt;/year&gt;&lt;/dates&gt;&lt;urls&gt;&lt;/urls&gt;&lt;/record&gt;&lt;/Cite&gt;&lt;/EndNote&gt;</w:instrText>
      </w:r>
      <w:r w:rsidRPr="00DE296A">
        <w:fldChar w:fldCharType="end"/>
      </w:r>
      <w:r w:rsidRPr="00DE296A">
        <w:t xml:space="preserve"> and Naaldenberg et al (</w:t>
      </w:r>
      <w:r w:rsidR="00277F92">
        <w:t>26</w:t>
      </w:r>
      <w:r w:rsidRPr="00DE296A">
        <w:t>)</w:t>
      </w:r>
      <w:r w:rsidRPr="00DE296A">
        <w:fldChar w:fldCharType="begin"/>
      </w:r>
      <w:r w:rsidRPr="00DE296A">
        <w:instrText xml:space="preserve"> ADDIN EN.CITE &lt;EndNote&gt;&lt;Cite ExcludeAuth="1"&gt;&lt;Author&gt;Naaldenberg&lt;/Author&gt;&lt;Year&gt;2009&lt;/Year&gt;&lt;RecNum&gt;44&lt;/RecNum&gt;&lt;DisplayText&gt;(2009)&lt;/DisplayText&gt;&lt;record&gt;&lt;rec-number&gt;44&lt;/rec-number&gt;&lt;foreign-keys&gt;&lt;key app="EN" db-id="r595awfdtfv5aaewdds5asd0vv2e9f2pdwsv"&gt;44&lt;/key&gt;&lt;/foreign-keys&gt;&lt;ref-type name="Journal Article"&gt;17&lt;/ref-type&gt;&lt;contributors&gt;&lt;authors&gt;&lt;author&gt;Naaldenberg, J&lt;/author&gt;&lt;author&gt;Vaandrager, L&lt;/author&gt;&lt;author&gt;Koelen, M&lt;/author&gt;&lt;author&gt;Wagemakers, A.M&lt;/author&gt;&lt;author&gt;Saan, H&lt;/author&gt;&lt;author&gt;de Hoog, K&lt;/author&gt;&lt;/authors&gt;&lt;/contributors&gt;&lt;titles&gt;&lt;title&gt;Elaborating on systems thinking in health promotion practice&lt;/title&gt;&lt;secondary-title&gt;Global Health Promotion&lt;/secondary-title&gt;&lt;/titles&gt;&lt;periodical&gt;&lt;full-title&gt;Global Health Promotion&lt;/full-title&gt;&lt;/periodical&gt;&lt;pages&gt;39 - 47&lt;/pages&gt;&lt;volume&gt;16&lt;/volume&gt;&lt;number&gt;1&lt;/number&gt;&lt;dates&gt;&lt;year&gt;2009&lt;/year&gt;&lt;/dates&gt;&lt;urls&gt;&lt;/urls&gt;&lt;/record&gt;&lt;/Cite&gt;&lt;/EndNote&gt;</w:instrText>
      </w:r>
      <w:r w:rsidRPr="00DE296A">
        <w:fldChar w:fldCharType="end"/>
      </w:r>
      <w:r w:rsidRPr="00DE296A">
        <w:t xml:space="preserve"> conclude that the system needs to be understood as a process of structure</w:t>
      </w:r>
      <w:r w:rsidR="00BB0660" w:rsidRPr="00DE296A">
        <w:t>,</w:t>
      </w:r>
      <w:r w:rsidRPr="00DE296A">
        <w:t xml:space="preserve"> meaning</w:t>
      </w:r>
      <w:r w:rsidR="00EF0807">
        <w:t>s</w:t>
      </w:r>
      <w:r w:rsidRPr="00DE296A">
        <w:t xml:space="preserve"> and power relations.</w:t>
      </w:r>
      <w:r w:rsidR="002D42AA" w:rsidRPr="00DE296A">
        <w:t xml:space="preserve"> The two case study universities illustrate </w:t>
      </w:r>
      <w:r w:rsidR="00EF0807">
        <w:t>this</w:t>
      </w:r>
      <w:r w:rsidR="002D42AA" w:rsidRPr="00DE296A">
        <w:t>: a hierarchical structure in the ‘contrary case’</w:t>
      </w:r>
      <w:r w:rsidR="00110A70">
        <w:t>,</w:t>
      </w:r>
      <w:r w:rsidR="002D42AA" w:rsidRPr="00DE296A">
        <w:t xml:space="preserve"> </w:t>
      </w:r>
      <w:r w:rsidR="006F118C" w:rsidRPr="00DE296A">
        <w:t xml:space="preserve">in </w:t>
      </w:r>
      <w:r w:rsidR="002D42AA" w:rsidRPr="00DE296A">
        <w:t xml:space="preserve">which a senior executive make decisions and </w:t>
      </w:r>
      <w:r w:rsidR="006F118C" w:rsidRPr="00DE296A">
        <w:t>the community is disengaged</w:t>
      </w:r>
      <w:r w:rsidR="00E3332B">
        <w:t>, di</w:t>
      </w:r>
      <w:r w:rsidR="00EF0807">
        <w:t>s</w:t>
      </w:r>
      <w:r w:rsidR="00E3332B">
        <w:t>empowered</w:t>
      </w:r>
      <w:r w:rsidR="006F118C" w:rsidRPr="00DE296A">
        <w:t xml:space="preserve"> and negative</w:t>
      </w:r>
      <w:r w:rsidR="00C45298" w:rsidRPr="00DE296A">
        <w:t>;</w:t>
      </w:r>
      <w:r w:rsidR="006F118C" w:rsidRPr="00DE296A">
        <w:t xml:space="preserve"> and </w:t>
      </w:r>
      <w:r w:rsidR="002D42AA" w:rsidRPr="00DE296A">
        <w:t xml:space="preserve">a participatory structure </w:t>
      </w:r>
      <w:r w:rsidR="006F118C" w:rsidRPr="00DE296A">
        <w:t>in the ‘exemplar case’</w:t>
      </w:r>
      <w:r w:rsidR="00C45298" w:rsidRPr="00DE296A">
        <w:t xml:space="preserve"> –</w:t>
      </w:r>
      <w:r w:rsidR="006F118C" w:rsidRPr="00DE296A">
        <w:t xml:space="preserve"> </w:t>
      </w:r>
      <w:r w:rsidR="00C45298" w:rsidRPr="00DE296A">
        <w:t xml:space="preserve">in </w:t>
      </w:r>
      <w:r w:rsidR="002D42AA" w:rsidRPr="00DE296A">
        <w:t>which opportunities for communication</w:t>
      </w:r>
      <w:r w:rsidR="00C45298" w:rsidRPr="00DE296A">
        <w:t xml:space="preserve"> are offered</w:t>
      </w:r>
      <w:r w:rsidR="006F118C" w:rsidRPr="00DE296A">
        <w:t>, health and wellbeing is well understood</w:t>
      </w:r>
      <w:r w:rsidR="002D42AA" w:rsidRPr="00DE296A">
        <w:t xml:space="preserve"> </w:t>
      </w:r>
      <w:r w:rsidR="006F118C" w:rsidRPr="00DE296A">
        <w:t>and integrated into the core business</w:t>
      </w:r>
      <w:r w:rsidR="00C45298" w:rsidRPr="00DE296A">
        <w:t>,</w:t>
      </w:r>
      <w:r w:rsidR="006F118C" w:rsidRPr="00DE296A">
        <w:t xml:space="preserve"> </w:t>
      </w:r>
      <w:r w:rsidR="002D42AA" w:rsidRPr="00DE296A">
        <w:t xml:space="preserve">and </w:t>
      </w:r>
      <w:r w:rsidR="006F118C" w:rsidRPr="00DE296A">
        <w:t xml:space="preserve">the community </w:t>
      </w:r>
      <w:r w:rsidR="00C45298" w:rsidRPr="00DE296A">
        <w:t>it</w:t>
      </w:r>
      <w:r w:rsidR="006F118C" w:rsidRPr="00DE296A">
        <w:t>self identifies as having a common purpose.</w:t>
      </w:r>
      <w:r w:rsidR="002D42AA" w:rsidRPr="00DE296A">
        <w:t xml:space="preserve"> </w:t>
      </w:r>
      <w:r w:rsidRPr="00DE296A">
        <w:t xml:space="preserve">This emphasises </w:t>
      </w:r>
      <w:r w:rsidR="00AD354D" w:rsidRPr="00DE296A">
        <w:t xml:space="preserve">the </w:t>
      </w:r>
      <w:r w:rsidR="00E3332B">
        <w:t>necessity</w:t>
      </w:r>
      <w:r w:rsidR="00AD354D" w:rsidRPr="00DE296A">
        <w:t xml:space="preserve"> </w:t>
      </w:r>
      <w:r w:rsidR="00AD354D">
        <w:t xml:space="preserve">of clarifying underpinning organisational values and the imperative </w:t>
      </w:r>
      <w:r w:rsidRPr="00DE296A">
        <w:t xml:space="preserve">of </w:t>
      </w:r>
      <w:r w:rsidR="00AD354D">
        <w:t>creating appro</w:t>
      </w:r>
      <w:r w:rsidR="00A47AC7">
        <w:t xml:space="preserve">priate </w:t>
      </w:r>
      <w:r w:rsidR="00A47AC7" w:rsidRPr="00E3332B">
        <w:t xml:space="preserve">structures </w:t>
      </w:r>
      <w:r w:rsidR="00A47AC7">
        <w:t xml:space="preserve">and processes </w:t>
      </w:r>
      <w:r w:rsidR="00A47AC7" w:rsidRPr="00E3332B">
        <w:t>to ensure that people are listened to</w:t>
      </w:r>
      <w:r w:rsidR="00AD354D">
        <w:t>, heard and</w:t>
      </w:r>
      <w:r w:rsidR="00A47AC7" w:rsidRPr="00E3332B">
        <w:t xml:space="preserve"> can participate </w:t>
      </w:r>
      <w:r w:rsidR="00AD354D" w:rsidRPr="00E3332B">
        <w:t xml:space="preserve">fully </w:t>
      </w:r>
      <w:r w:rsidR="00A47AC7" w:rsidRPr="00E3332B">
        <w:t>in decision</w:t>
      </w:r>
      <w:r w:rsidR="00AD354D">
        <w:t xml:space="preserve">-making. </w:t>
      </w:r>
      <w:r w:rsidR="00E3332B" w:rsidRPr="00DE296A">
        <w:rPr>
          <w:rFonts w:cs="Arial"/>
          <w:szCs w:val="24"/>
        </w:rPr>
        <w:t xml:space="preserve">It </w:t>
      </w:r>
      <w:r w:rsidR="00E3332B">
        <w:rPr>
          <w:rFonts w:cs="Arial"/>
          <w:szCs w:val="24"/>
        </w:rPr>
        <w:t xml:space="preserve">also </w:t>
      </w:r>
      <w:r w:rsidR="00EF0807" w:rsidRPr="00175D0E">
        <w:t>suggest</w:t>
      </w:r>
      <w:r w:rsidR="00EF0807">
        <w:t>s</w:t>
      </w:r>
      <w:r w:rsidR="00EF0807" w:rsidRPr="00175D0E">
        <w:t xml:space="preserve"> that a healthy university can </w:t>
      </w:r>
      <w:r w:rsidR="00EF0807" w:rsidRPr="00EF0807">
        <w:t xml:space="preserve">only </w:t>
      </w:r>
      <w:r w:rsidR="00EF0807" w:rsidRPr="00175D0E">
        <w:t xml:space="preserve">be operationalised when the senior leadership team </w:t>
      </w:r>
      <w:r w:rsidR="00EF0807">
        <w:t>have a salutogenic and holistic understanding of health and its determinants and a</w:t>
      </w:r>
      <w:r w:rsidR="00EF0807">
        <w:rPr>
          <w:rFonts w:cs="Arial"/>
          <w:szCs w:val="24"/>
        </w:rPr>
        <w:t xml:space="preserve"> tangible commitment to the wellbeing and </w:t>
      </w:r>
      <w:r w:rsidR="00D1115D">
        <w:rPr>
          <w:rFonts w:cs="Arial"/>
          <w:szCs w:val="24"/>
        </w:rPr>
        <w:t xml:space="preserve">flourishing of </w:t>
      </w:r>
      <w:r w:rsidR="00EF0807">
        <w:rPr>
          <w:rFonts w:cs="Arial"/>
          <w:szCs w:val="24"/>
        </w:rPr>
        <w:t xml:space="preserve">staff and students </w:t>
      </w:r>
      <w:r w:rsidR="00D1115D">
        <w:rPr>
          <w:rFonts w:cs="Arial"/>
          <w:szCs w:val="24"/>
        </w:rPr>
        <w:t>and the wider community</w:t>
      </w:r>
      <w:r w:rsidR="00EF0807" w:rsidRPr="00175D0E">
        <w:t>.</w:t>
      </w:r>
      <w:r w:rsidR="00D1115D">
        <w:t xml:space="preserve"> </w:t>
      </w:r>
    </w:p>
    <w:p w14:paraId="3EAA037E" w14:textId="7CE80FCE" w:rsidR="00E3332B" w:rsidRDefault="00D1115D" w:rsidP="00110A70">
      <w:pPr>
        <w:spacing w:after="80"/>
      </w:pPr>
      <w:r>
        <w:t xml:space="preserve">The findings </w:t>
      </w:r>
      <w:r w:rsidR="00E3332B" w:rsidRPr="00DE296A">
        <w:rPr>
          <w:rFonts w:cs="Arial"/>
          <w:szCs w:val="24"/>
        </w:rPr>
        <w:t xml:space="preserve">demonstrate the importance of </w:t>
      </w:r>
      <w:r w:rsidR="00E3332B">
        <w:rPr>
          <w:rFonts w:cs="Arial"/>
          <w:szCs w:val="24"/>
        </w:rPr>
        <w:t>view</w:t>
      </w:r>
      <w:r w:rsidR="00E3332B" w:rsidRPr="00DE296A">
        <w:rPr>
          <w:rFonts w:cs="Arial"/>
          <w:szCs w:val="24"/>
        </w:rPr>
        <w:t xml:space="preserve">ing the organisation as a social system and of fostering and nurturing the ‘whole’ by understanding and paying attention to the complex interactions and interconnections between component parts. </w:t>
      </w:r>
      <w:r w:rsidR="00AD354D">
        <w:t xml:space="preserve">Only then will </w:t>
      </w:r>
      <w:r w:rsidR="004D6385" w:rsidRPr="00DE296A">
        <w:t>health</w:t>
      </w:r>
      <w:r w:rsidR="00C45298" w:rsidRPr="00DE296A">
        <w:t xml:space="preserve"> and wellbeing </w:t>
      </w:r>
      <w:r w:rsidR="00AD354D">
        <w:t xml:space="preserve">be produced </w:t>
      </w:r>
      <w:r w:rsidR="004D6385" w:rsidRPr="00DE296A">
        <w:t>in</w:t>
      </w:r>
      <w:r w:rsidR="00110A70">
        <w:t xml:space="preserve"> the university setting</w:t>
      </w:r>
      <w:r w:rsidR="00AD354D">
        <w:t xml:space="preserve"> and begin to infuse the university system in its entirety, </w:t>
      </w:r>
      <w:r w:rsidR="00BA7674">
        <w:t xml:space="preserve">and be </w:t>
      </w:r>
      <w:r w:rsidR="00AD354D">
        <w:t>understood as a valued means of maximising its performance as a rich and diverse community and centre of learning, research and enterprise</w:t>
      </w:r>
      <w:r w:rsidR="004D6385" w:rsidRPr="00DE296A">
        <w:t xml:space="preserve">. </w:t>
      </w:r>
    </w:p>
    <w:p w14:paraId="241C8E65" w14:textId="77777777" w:rsidR="00E3332B" w:rsidRDefault="00E3332B" w:rsidP="00110A70">
      <w:pPr>
        <w:spacing w:after="80"/>
      </w:pPr>
    </w:p>
    <w:p w14:paraId="6C50B821" w14:textId="77777777" w:rsidR="001A10E0" w:rsidRDefault="001A10E0" w:rsidP="00110A70">
      <w:pPr>
        <w:spacing w:after="80"/>
      </w:pPr>
    </w:p>
    <w:p w14:paraId="6FB4BD3A" w14:textId="77777777" w:rsidR="001A10E0" w:rsidRDefault="001A10E0" w:rsidP="00110A70">
      <w:pPr>
        <w:spacing w:after="80"/>
      </w:pPr>
    </w:p>
    <w:p w14:paraId="768F7E86" w14:textId="63C490EC" w:rsidR="00E3332B" w:rsidRDefault="00E3332B" w:rsidP="00110A70">
      <w:pPr>
        <w:spacing w:after="80"/>
      </w:pPr>
      <w:r>
        <w:lastRenderedPageBreak/>
        <w:t>REFERENCES</w:t>
      </w:r>
    </w:p>
    <w:p w14:paraId="5819D2D7" w14:textId="77777777" w:rsidR="00E3332B" w:rsidRPr="00334C8C" w:rsidRDefault="00E3332B" w:rsidP="00E3332B">
      <w:pPr>
        <w:autoSpaceDE w:val="0"/>
        <w:autoSpaceDN w:val="0"/>
        <w:adjustRightInd w:val="0"/>
        <w:spacing w:after="80" w:line="240" w:lineRule="auto"/>
        <w:ind w:left="426" w:hanging="426"/>
        <w:rPr>
          <w:rFonts w:cs="Arial"/>
          <w:szCs w:val="24"/>
        </w:rPr>
      </w:pPr>
      <w:r w:rsidRPr="00334C8C">
        <w:rPr>
          <w:rFonts w:cs="Arial"/>
          <w:szCs w:val="24"/>
        </w:rPr>
        <w:t>1.</w:t>
      </w:r>
      <w:r w:rsidRPr="00334C8C">
        <w:rPr>
          <w:rFonts w:cs="Arial"/>
          <w:szCs w:val="24"/>
        </w:rPr>
        <w:tab/>
        <w:t>World Health Organization (WHO). Ottawa charter for health promotion. Geneva: World Health Organization; 1986.</w:t>
      </w:r>
    </w:p>
    <w:p w14:paraId="71BA5E31" w14:textId="77777777" w:rsidR="00E3332B" w:rsidRPr="00334C8C" w:rsidRDefault="00E3332B" w:rsidP="00E3332B">
      <w:pPr>
        <w:autoSpaceDE w:val="0"/>
        <w:autoSpaceDN w:val="0"/>
        <w:adjustRightInd w:val="0"/>
        <w:spacing w:after="80" w:line="240" w:lineRule="auto"/>
        <w:ind w:left="426" w:hanging="426"/>
        <w:rPr>
          <w:rFonts w:cs="Arial"/>
          <w:szCs w:val="24"/>
        </w:rPr>
      </w:pPr>
      <w:r w:rsidRPr="00334C8C">
        <w:rPr>
          <w:rFonts w:cs="Arial"/>
          <w:szCs w:val="24"/>
        </w:rPr>
        <w:t>2.</w:t>
      </w:r>
      <w:r w:rsidRPr="00334C8C">
        <w:rPr>
          <w:rFonts w:cs="Arial"/>
          <w:szCs w:val="24"/>
        </w:rPr>
        <w:tab/>
        <w:t>World Health Organization (WHO) J</w:t>
      </w:r>
      <w:r w:rsidRPr="00334C8C">
        <w:rPr>
          <w:rFonts w:cs="Arial"/>
          <w:iCs/>
          <w:szCs w:val="24"/>
        </w:rPr>
        <w:t>akarta declaration on health promotion into the 21</w:t>
      </w:r>
      <w:r w:rsidRPr="00334C8C">
        <w:rPr>
          <w:rFonts w:cs="Arial"/>
          <w:iCs/>
          <w:szCs w:val="24"/>
          <w:vertAlign w:val="superscript"/>
        </w:rPr>
        <w:t>st</w:t>
      </w:r>
      <w:r w:rsidRPr="00334C8C">
        <w:rPr>
          <w:rFonts w:cs="Arial"/>
          <w:iCs/>
          <w:szCs w:val="24"/>
        </w:rPr>
        <w:t xml:space="preserve"> century</w:t>
      </w:r>
      <w:r w:rsidRPr="00334C8C">
        <w:rPr>
          <w:rFonts w:cs="Arial"/>
          <w:szCs w:val="24"/>
        </w:rPr>
        <w:t>. Geneva, World Health Organization; 1997.</w:t>
      </w:r>
    </w:p>
    <w:p w14:paraId="15BC60B6" w14:textId="77777777" w:rsidR="00E3332B" w:rsidRPr="00334C8C" w:rsidRDefault="00E3332B" w:rsidP="00E3332B">
      <w:pPr>
        <w:pStyle w:val="EndnoteText"/>
        <w:spacing w:after="80"/>
        <w:ind w:left="426" w:right="-7" w:hanging="426"/>
        <w:rPr>
          <w:rFonts w:ascii="Arial" w:hAnsi="Arial" w:cs="Arial"/>
          <w:sz w:val="24"/>
          <w:szCs w:val="24"/>
        </w:rPr>
      </w:pPr>
      <w:r w:rsidRPr="00334C8C">
        <w:rPr>
          <w:rFonts w:ascii="Arial" w:hAnsi="Arial" w:cs="Arial"/>
          <w:sz w:val="24"/>
          <w:szCs w:val="24"/>
        </w:rPr>
        <w:t xml:space="preserve">3. </w:t>
      </w:r>
      <w:r w:rsidRPr="00334C8C">
        <w:rPr>
          <w:rFonts w:ascii="Arial" w:hAnsi="Arial" w:cs="Arial"/>
          <w:sz w:val="24"/>
          <w:szCs w:val="24"/>
        </w:rPr>
        <w:tab/>
        <w:t>Whitelaw S, Baxendale A, Bryce C, Machardy L, Young I, Witney E. Settings based health promotion: a review. Health Promot. Int. 2001;16(4):339-353.</w:t>
      </w:r>
    </w:p>
    <w:p w14:paraId="76D6D099" w14:textId="77777777" w:rsidR="00E3332B" w:rsidRPr="00334C8C" w:rsidRDefault="00E3332B" w:rsidP="00E3332B">
      <w:pPr>
        <w:autoSpaceDE w:val="0"/>
        <w:autoSpaceDN w:val="0"/>
        <w:adjustRightInd w:val="0"/>
        <w:spacing w:after="80" w:line="240" w:lineRule="auto"/>
        <w:ind w:left="426" w:hanging="426"/>
        <w:rPr>
          <w:rFonts w:cs="Arial"/>
          <w:szCs w:val="24"/>
          <w:lang w:eastAsia="zh-CN"/>
        </w:rPr>
      </w:pPr>
      <w:r w:rsidRPr="00334C8C">
        <w:rPr>
          <w:rFonts w:cs="Arial"/>
          <w:szCs w:val="24"/>
        </w:rPr>
        <w:t>4.</w:t>
      </w:r>
      <w:r w:rsidRPr="00334C8C">
        <w:rPr>
          <w:rFonts w:cs="Arial"/>
          <w:szCs w:val="24"/>
        </w:rPr>
        <w:tab/>
        <w:t xml:space="preserve">Dooris M, Wills J, Newton J. Theorising healthy settings: a critical discussion with reference to healthy universities. Scandinavian Journal of Public Health 2014 </w:t>
      </w:r>
      <w:r w:rsidRPr="00334C8C">
        <w:rPr>
          <w:rFonts w:cs="Arial"/>
          <w:szCs w:val="24"/>
          <w:lang w:eastAsia="zh-CN"/>
        </w:rPr>
        <w:t>42(Suppl 15): 7-16.</w:t>
      </w:r>
    </w:p>
    <w:p w14:paraId="2A0D7D69" w14:textId="77777777" w:rsidR="00E3332B" w:rsidRPr="00334C8C" w:rsidRDefault="00E3332B" w:rsidP="00E3332B">
      <w:pPr>
        <w:autoSpaceDE w:val="0"/>
        <w:autoSpaceDN w:val="0"/>
        <w:adjustRightInd w:val="0"/>
        <w:spacing w:after="80" w:line="240" w:lineRule="auto"/>
        <w:ind w:left="426" w:hanging="426"/>
        <w:rPr>
          <w:rFonts w:cs="Arial"/>
          <w:szCs w:val="24"/>
        </w:rPr>
      </w:pPr>
      <w:r w:rsidRPr="00334C8C">
        <w:rPr>
          <w:rFonts w:cs="Arial"/>
          <w:szCs w:val="24"/>
        </w:rPr>
        <w:t>5.</w:t>
      </w:r>
      <w:r w:rsidRPr="00334C8C">
        <w:rPr>
          <w:rFonts w:cs="Arial"/>
          <w:szCs w:val="24"/>
        </w:rPr>
        <w:tab/>
        <w:t>Dooris M. Healthy settings: challenges to generating evidence of effectiveness. Health Promot. Int. 2005;21(1):55-65.</w:t>
      </w:r>
    </w:p>
    <w:p w14:paraId="6290FA7C" w14:textId="77777777" w:rsidR="00E3332B" w:rsidRPr="00334C8C" w:rsidRDefault="00E3332B" w:rsidP="00E3332B">
      <w:pPr>
        <w:spacing w:after="80" w:line="240" w:lineRule="auto"/>
        <w:ind w:left="426" w:hanging="426"/>
        <w:rPr>
          <w:rFonts w:cs="Arial"/>
          <w:szCs w:val="24"/>
        </w:rPr>
      </w:pPr>
      <w:r w:rsidRPr="00334C8C">
        <w:rPr>
          <w:rFonts w:cs="Arial"/>
          <w:szCs w:val="24"/>
        </w:rPr>
        <w:t>6.</w:t>
      </w:r>
      <w:r w:rsidRPr="00334C8C">
        <w:rPr>
          <w:rFonts w:cs="Arial"/>
          <w:szCs w:val="24"/>
        </w:rPr>
        <w:tab/>
        <w:t xml:space="preserve">Dooris M, Doherty S. Healthy universities – time for action: A qualitative research study exploring the potential of a national programme. </w:t>
      </w:r>
      <w:r w:rsidRPr="00D1115D">
        <w:rPr>
          <w:rStyle w:val="ReferenceChar"/>
          <w:rFonts w:ascii="Arial" w:hAnsi="Arial" w:cs="Arial"/>
          <w:szCs w:val="24"/>
          <w:vertAlign w:val="baseline"/>
        </w:rPr>
        <w:t>Health Promot Int,</w:t>
      </w:r>
      <w:r w:rsidRPr="00334C8C">
        <w:rPr>
          <w:rFonts w:cs="Arial"/>
          <w:szCs w:val="24"/>
        </w:rPr>
        <w:t xml:space="preserve"> 2010; 25(1): 94-106.</w:t>
      </w:r>
    </w:p>
    <w:p w14:paraId="6EE662FA" w14:textId="77777777" w:rsidR="00E3332B" w:rsidRPr="00334C8C" w:rsidRDefault="00E3332B" w:rsidP="00E3332B">
      <w:pPr>
        <w:spacing w:after="80" w:line="240" w:lineRule="auto"/>
        <w:ind w:left="426" w:hanging="426"/>
        <w:rPr>
          <w:rFonts w:cs="Arial"/>
          <w:szCs w:val="24"/>
        </w:rPr>
      </w:pPr>
      <w:r w:rsidRPr="00334C8C">
        <w:rPr>
          <w:rFonts w:cs="Arial"/>
          <w:szCs w:val="24"/>
        </w:rPr>
        <w:t>7.</w:t>
      </w:r>
      <w:r w:rsidRPr="00334C8C">
        <w:rPr>
          <w:rFonts w:cs="Arial"/>
          <w:szCs w:val="24"/>
        </w:rPr>
        <w:tab/>
        <w:t>Dooris M, Doherty S. Healthy universities: current activity and future directions – findings and reflections from a national-level qualitative research study. Global Health Promotion 2010; 17(3): 6-16.</w:t>
      </w:r>
    </w:p>
    <w:p w14:paraId="176FFB4C" w14:textId="77777777" w:rsidR="00E3332B" w:rsidRPr="00334C8C" w:rsidRDefault="00E3332B" w:rsidP="00E3332B">
      <w:pPr>
        <w:autoSpaceDE w:val="0"/>
        <w:autoSpaceDN w:val="0"/>
        <w:adjustRightInd w:val="0"/>
        <w:spacing w:after="80" w:line="240" w:lineRule="auto"/>
        <w:ind w:left="426" w:hanging="426"/>
        <w:rPr>
          <w:rFonts w:cs="Arial"/>
          <w:bCs/>
          <w:szCs w:val="24"/>
        </w:rPr>
      </w:pPr>
      <w:r w:rsidRPr="00334C8C">
        <w:rPr>
          <w:rFonts w:cs="Arial"/>
          <w:szCs w:val="24"/>
          <w:lang w:eastAsia="en-GB"/>
        </w:rPr>
        <w:t>8.</w:t>
      </w:r>
      <w:r w:rsidRPr="00334C8C">
        <w:rPr>
          <w:rFonts w:cs="Arial"/>
          <w:szCs w:val="24"/>
          <w:lang w:eastAsia="en-GB"/>
        </w:rPr>
        <w:tab/>
        <w:t xml:space="preserve">Brennan J, King R, Lebeau Y. </w:t>
      </w:r>
      <w:r w:rsidRPr="00334C8C">
        <w:rPr>
          <w:rFonts w:cs="Arial"/>
          <w:bCs/>
          <w:szCs w:val="24"/>
        </w:rPr>
        <w:t xml:space="preserve">the role of universities in the transformation of societies. Synthesis report. London: Association of Commonwealth Universities/Open University; </w:t>
      </w:r>
      <w:r w:rsidRPr="00334C8C">
        <w:rPr>
          <w:rFonts w:cs="Arial"/>
          <w:szCs w:val="24"/>
          <w:lang w:eastAsia="en-GB"/>
        </w:rPr>
        <w:t>2004</w:t>
      </w:r>
      <w:r w:rsidRPr="00334C8C">
        <w:rPr>
          <w:rFonts w:cs="Arial"/>
          <w:bCs/>
          <w:szCs w:val="24"/>
        </w:rPr>
        <w:t>.</w:t>
      </w:r>
    </w:p>
    <w:p w14:paraId="3E084A6E" w14:textId="77777777" w:rsidR="00E3332B" w:rsidRPr="00334C8C" w:rsidRDefault="00E3332B" w:rsidP="00E3332B">
      <w:pPr>
        <w:spacing w:after="80" w:line="240" w:lineRule="auto"/>
        <w:ind w:left="426" w:hanging="426"/>
        <w:rPr>
          <w:rFonts w:cs="Arial"/>
          <w:bCs/>
          <w:color w:val="111111"/>
          <w:szCs w:val="24"/>
        </w:rPr>
      </w:pPr>
      <w:r w:rsidRPr="00334C8C">
        <w:rPr>
          <w:rFonts w:cs="Arial"/>
          <w:bCs/>
          <w:color w:val="111111"/>
          <w:szCs w:val="24"/>
        </w:rPr>
        <w:t>9.</w:t>
      </w:r>
      <w:r w:rsidRPr="00334C8C">
        <w:rPr>
          <w:rFonts w:cs="Arial"/>
          <w:bCs/>
          <w:color w:val="111111"/>
          <w:szCs w:val="24"/>
        </w:rPr>
        <w:tab/>
        <w:t>Higher Education Statistics Agency (HESA). Higher education statistics for the UK 2012/13. London, HESA; 2014.</w:t>
      </w:r>
    </w:p>
    <w:p w14:paraId="5F1C4429" w14:textId="77777777" w:rsidR="00E3332B" w:rsidRPr="00334C8C" w:rsidRDefault="00E3332B" w:rsidP="00E3332B">
      <w:pPr>
        <w:spacing w:after="80" w:line="240" w:lineRule="auto"/>
        <w:ind w:left="426" w:hanging="426"/>
        <w:rPr>
          <w:rFonts w:cs="Arial"/>
          <w:szCs w:val="24"/>
        </w:rPr>
      </w:pPr>
      <w:r w:rsidRPr="00334C8C">
        <w:rPr>
          <w:rFonts w:cs="Arial"/>
          <w:szCs w:val="24"/>
        </w:rPr>
        <w:t>10.</w:t>
      </w:r>
      <w:r w:rsidRPr="00334C8C">
        <w:rPr>
          <w:rFonts w:cs="Arial"/>
          <w:szCs w:val="24"/>
        </w:rPr>
        <w:tab/>
        <w:t xml:space="preserve">Orme J, Dooris M. </w:t>
      </w:r>
      <w:r w:rsidRPr="00334C8C">
        <w:rPr>
          <w:rStyle w:val="normalchar1"/>
          <w:rFonts w:ascii="Arial" w:hAnsi="Arial" w:cs="Arial"/>
          <w:bCs/>
        </w:rPr>
        <w:t>Integrating health and sustainability: the higher education sector as a timely catalyst.</w:t>
      </w:r>
      <w:r w:rsidRPr="00334C8C">
        <w:rPr>
          <w:rFonts w:cs="Arial"/>
          <w:szCs w:val="24"/>
        </w:rPr>
        <w:t xml:space="preserve"> Health Education Research 2010; 25(3): 425-437.</w:t>
      </w:r>
    </w:p>
    <w:p w14:paraId="5A6FCFCE" w14:textId="77777777" w:rsidR="00E3332B" w:rsidRPr="00334C8C" w:rsidRDefault="00E3332B" w:rsidP="00E3332B">
      <w:pPr>
        <w:spacing w:after="80" w:line="240" w:lineRule="auto"/>
        <w:ind w:left="426" w:hanging="426"/>
        <w:rPr>
          <w:rFonts w:cs="Arial"/>
          <w:szCs w:val="24"/>
        </w:rPr>
      </w:pPr>
      <w:r w:rsidRPr="00334C8C">
        <w:rPr>
          <w:rFonts w:cs="Arial"/>
          <w:szCs w:val="24"/>
        </w:rPr>
        <w:t>11.</w:t>
      </w:r>
      <w:r w:rsidRPr="00334C8C">
        <w:rPr>
          <w:rFonts w:cs="Arial"/>
          <w:szCs w:val="24"/>
        </w:rPr>
        <w:tab/>
        <w:t xml:space="preserve">Tsouros A, Dowding G, Thompson J, Dooris M, editors. Health promoting universities: concept, experience and framework for action. Copenhagen: WHO Regional Office for Europe; 1998. </w:t>
      </w:r>
      <w:hyperlink r:id="rId8" w:history="1">
        <w:r w:rsidRPr="00334C8C">
          <w:rPr>
            <w:rStyle w:val="Hyperlink"/>
            <w:rFonts w:cs="Arial"/>
            <w:szCs w:val="24"/>
          </w:rPr>
          <w:t>www.euro.who.int/document/e60163.pdf</w:t>
        </w:r>
      </w:hyperlink>
      <w:r w:rsidRPr="00334C8C">
        <w:rPr>
          <w:rFonts w:cs="Arial"/>
          <w:szCs w:val="24"/>
        </w:rPr>
        <w:t xml:space="preserve">  (date last accessed 05 January 2015).</w:t>
      </w:r>
    </w:p>
    <w:p w14:paraId="0E83F5CB" w14:textId="77777777" w:rsidR="00E3332B" w:rsidRPr="00334C8C" w:rsidRDefault="00E3332B" w:rsidP="00E3332B">
      <w:pPr>
        <w:autoSpaceDE w:val="0"/>
        <w:autoSpaceDN w:val="0"/>
        <w:adjustRightInd w:val="0"/>
        <w:spacing w:after="80" w:line="240" w:lineRule="auto"/>
        <w:ind w:left="426" w:hanging="426"/>
        <w:rPr>
          <w:rFonts w:cs="Arial"/>
          <w:szCs w:val="24"/>
        </w:rPr>
      </w:pPr>
      <w:r w:rsidRPr="00334C8C">
        <w:rPr>
          <w:rFonts w:cs="Arial"/>
          <w:szCs w:val="24"/>
        </w:rPr>
        <w:t>12.</w:t>
      </w:r>
      <w:r w:rsidRPr="00334C8C">
        <w:rPr>
          <w:rFonts w:cs="Arial"/>
          <w:szCs w:val="24"/>
        </w:rPr>
        <w:tab/>
        <w:t>Dooris M, Poland B, Kolbe L, de Leeuw E, McCall D, Wharf-Higgins J. Healthy settings: building evidence for the effectiveness of whole system health promotion – challenges and future directions. In: McQueen D, Jones C, editors. Global perspectives on health promotion effectiveness. New York: Springer Science and Business Media; 2007.</w:t>
      </w:r>
    </w:p>
    <w:p w14:paraId="77792C0F" w14:textId="77777777" w:rsidR="00E3332B" w:rsidRPr="00334C8C" w:rsidRDefault="00E3332B" w:rsidP="00E3332B">
      <w:pPr>
        <w:spacing w:after="80" w:line="240" w:lineRule="auto"/>
        <w:ind w:left="426" w:hanging="426"/>
        <w:rPr>
          <w:rFonts w:cs="Arial"/>
          <w:noProof/>
          <w:szCs w:val="24"/>
        </w:rPr>
      </w:pPr>
      <w:r w:rsidRPr="00334C8C">
        <w:rPr>
          <w:rFonts w:cs="Arial"/>
          <w:noProof/>
          <w:szCs w:val="24"/>
        </w:rPr>
        <w:t>13.</w:t>
      </w:r>
      <w:r w:rsidRPr="00334C8C">
        <w:rPr>
          <w:rFonts w:cs="Arial"/>
          <w:noProof/>
          <w:szCs w:val="24"/>
        </w:rPr>
        <w:tab/>
        <w:t>Simons H. Case study research in practice. London, Sage; 2009.</w:t>
      </w:r>
    </w:p>
    <w:p w14:paraId="7E9C27F1" w14:textId="77777777" w:rsidR="00E3332B" w:rsidRPr="00334C8C" w:rsidRDefault="00E3332B" w:rsidP="00E3332B">
      <w:pPr>
        <w:spacing w:after="80" w:line="240" w:lineRule="auto"/>
        <w:ind w:left="426" w:hanging="426"/>
        <w:rPr>
          <w:rFonts w:cs="Arial"/>
          <w:noProof/>
          <w:szCs w:val="24"/>
        </w:rPr>
      </w:pPr>
      <w:r w:rsidRPr="00334C8C">
        <w:rPr>
          <w:rFonts w:cs="Arial"/>
          <w:noProof/>
          <w:szCs w:val="24"/>
        </w:rPr>
        <w:t>14.</w:t>
      </w:r>
      <w:r w:rsidRPr="00334C8C">
        <w:rPr>
          <w:rFonts w:cs="Arial"/>
          <w:noProof/>
          <w:szCs w:val="24"/>
        </w:rPr>
        <w:tab/>
        <w:t>Yin R. Case study research: design and methods. Thousand Oaks, California, Sage; 2009.</w:t>
      </w:r>
    </w:p>
    <w:p w14:paraId="47B5495A" w14:textId="77777777" w:rsidR="00E3332B" w:rsidRPr="00334C8C" w:rsidRDefault="00E3332B" w:rsidP="00E3332B">
      <w:pPr>
        <w:autoSpaceDE w:val="0"/>
        <w:autoSpaceDN w:val="0"/>
        <w:adjustRightInd w:val="0"/>
        <w:spacing w:line="240" w:lineRule="auto"/>
        <w:ind w:left="426" w:hanging="426"/>
        <w:rPr>
          <w:rFonts w:cs="Arial"/>
          <w:szCs w:val="24"/>
        </w:rPr>
      </w:pPr>
      <w:r w:rsidRPr="00334C8C">
        <w:rPr>
          <w:rFonts w:cs="Arial"/>
          <w:szCs w:val="24"/>
        </w:rPr>
        <w:t>15.</w:t>
      </w:r>
      <w:r w:rsidRPr="00334C8C">
        <w:rPr>
          <w:rFonts w:cs="Arial"/>
          <w:szCs w:val="24"/>
        </w:rPr>
        <w:tab/>
        <w:t xml:space="preserve">Stake R. </w:t>
      </w:r>
      <w:r w:rsidRPr="00334C8C">
        <w:rPr>
          <w:rFonts w:cs="Arial"/>
          <w:iCs/>
          <w:szCs w:val="24"/>
        </w:rPr>
        <w:t>The art of case study research</w:t>
      </w:r>
      <w:r w:rsidRPr="00334C8C">
        <w:rPr>
          <w:rFonts w:cs="Arial"/>
          <w:szCs w:val="24"/>
        </w:rPr>
        <w:t>.</w:t>
      </w:r>
      <w:r>
        <w:rPr>
          <w:rFonts w:cs="Arial"/>
          <w:szCs w:val="24"/>
        </w:rPr>
        <w:t xml:space="preserve"> Thousand Oaks, California: </w:t>
      </w:r>
      <w:r w:rsidRPr="00334C8C">
        <w:rPr>
          <w:rFonts w:cs="Arial"/>
          <w:szCs w:val="24"/>
        </w:rPr>
        <w:t>Sage; 1995.</w:t>
      </w:r>
    </w:p>
    <w:p w14:paraId="10CBE4D4" w14:textId="77777777" w:rsidR="00E3332B" w:rsidRPr="00334C8C" w:rsidRDefault="00E3332B" w:rsidP="00E3332B">
      <w:pPr>
        <w:autoSpaceDE w:val="0"/>
        <w:autoSpaceDN w:val="0"/>
        <w:adjustRightInd w:val="0"/>
        <w:spacing w:after="80" w:line="240" w:lineRule="auto"/>
        <w:ind w:left="426" w:hanging="426"/>
        <w:rPr>
          <w:rFonts w:cs="Arial"/>
          <w:szCs w:val="24"/>
        </w:rPr>
      </w:pPr>
      <w:r w:rsidRPr="00334C8C">
        <w:rPr>
          <w:rFonts w:cs="Arial"/>
          <w:szCs w:val="24"/>
        </w:rPr>
        <w:t>16.</w:t>
      </w:r>
      <w:r w:rsidRPr="00334C8C">
        <w:rPr>
          <w:rFonts w:cs="Arial"/>
          <w:szCs w:val="24"/>
        </w:rPr>
        <w:tab/>
        <w:t xml:space="preserve">Simons H. </w:t>
      </w:r>
      <w:r w:rsidRPr="00334C8C">
        <w:rPr>
          <w:rFonts w:cs="Arial"/>
          <w:iCs/>
          <w:szCs w:val="24"/>
        </w:rPr>
        <w:t>Case study research in practice</w:t>
      </w:r>
      <w:r w:rsidRPr="00334C8C">
        <w:rPr>
          <w:rFonts w:cs="Arial"/>
          <w:szCs w:val="24"/>
        </w:rPr>
        <w:t>. London: Sage; 2009.</w:t>
      </w:r>
    </w:p>
    <w:p w14:paraId="79165867" w14:textId="77777777" w:rsidR="00E3332B" w:rsidRPr="00334C8C" w:rsidRDefault="00E3332B" w:rsidP="00E3332B">
      <w:pPr>
        <w:autoSpaceDE w:val="0"/>
        <w:autoSpaceDN w:val="0"/>
        <w:adjustRightInd w:val="0"/>
        <w:spacing w:after="80" w:line="240" w:lineRule="auto"/>
        <w:ind w:left="426" w:hanging="426"/>
        <w:rPr>
          <w:rFonts w:cs="Arial"/>
          <w:noProof/>
          <w:szCs w:val="24"/>
        </w:rPr>
      </w:pPr>
      <w:r w:rsidRPr="00334C8C">
        <w:rPr>
          <w:rFonts w:cs="Arial"/>
          <w:szCs w:val="24"/>
        </w:rPr>
        <w:t>17.</w:t>
      </w:r>
      <w:r w:rsidRPr="00334C8C">
        <w:rPr>
          <w:rFonts w:cs="Arial"/>
          <w:szCs w:val="24"/>
        </w:rPr>
        <w:tab/>
        <w:t xml:space="preserve">Braun V, Clarke V. Using thematic analysis in psychology. </w:t>
      </w:r>
      <w:r w:rsidRPr="00334C8C">
        <w:rPr>
          <w:rFonts w:cs="Arial"/>
          <w:iCs/>
          <w:szCs w:val="24"/>
        </w:rPr>
        <w:t>Qualitative Research in Psychology</w:t>
      </w:r>
      <w:r w:rsidRPr="00334C8C">
        <w:rPr>
          <w:rFonts w:cs="Arial"/>
          <w:i/>
          <w:iCs/>
          <w:szCs w:val="24"/>
        </w:rPr>
        <w:t xml:space="preserve"> </w:t>
      </w:r>
      <w:r w:rsidRPr="00334C8C">
        <w:rPr>
          <w:rFonts w:cs="Arial"/>
          <w:szCs w:val="24"/>
        </w:rPr>
        <w:t>2006;</w:t>
      </w:r>
      <w:r w:rsidRPr="00334C8C">
        <w:rPr>
          <w:rFonts w:cs="Arial"/>
          <w:i/>
          <w:iCs/>
          <w:szCs w:val="24"/>
        </w:rPr>
        <w:t xml:space="preserve"> </w:t>
      </w:r>
      <w:r w:rsidRPr="00334C8C">
        <w:rPr>
          <w:rFonts w:cs="Arial"/>
          <w:iCs/>
          <w:szCs w:val="24"/>
        </w:rPr>
        <w:t>3</w:t>
      </w:r>
      <w:r w:rsidRPr="00334C8C">
        <w:rPr>
          <w:rFonts w:cs="Arial"/>
          <w:szCs w:val="24"/>
        </w:rPr>
        <w:t>(2): 77 - 101.</w:t>
      </w:r>
    </w:p>
    <w:p w14:paraId="694A5AE1" w14:textId="77777777" w:rsidR="00E3332B" w:rsidRPr="00334C8C" w:rsidRDefault="00E3332B" w:rsidP="00E3332B">
      <w:pPr>
        <w:autoSpaceDE w:val="0"/>
        <w:autoSpaceDN w:val="0"/>
        <w:adjustRightInd w:val="0"/>
        <w:spacing w:after="80" w:line="240" w:lineRule="auto"/>
        <w:ind w:left="426" w:hanging="426"/>
        <w:rPr>
          <w:rFonts w:cs="Arial"/>
          <w:szCs w:val="24"/>
        </w:rPr>
      </w:pPr>
      <w:r w:rsidRPr="00334C8C">
        <w:rPr>
          <w:rFonts w:cs="Arial"/>
          <w:szCs w:val="24"/>
        </w:rPr>
        <w:t>18.</w:t>
      </w:r>
      <w:r w:rsidRPr="00334C8C">
        <w:rPr>
          <w:rFonts w:cs="Arial"/>
          <w:szCs w:val="24"/>
        </w:rPr>
        <w:tab/>
        <w:t xml:space="preserve">Bauer G, Jenny G. From fidelity to figuration: current and emerging approaches to organisational health intervention research. In Bauer G, Jenny G, editors. </w:t>
      </w:r>
      <w:r w:rsidRPr="00334C8C">
        <w:rPr>
          <w:rFonts w:cs="Arial"/>
          <w:iCs/>
          <w:szCs w:val="24"/>
        </w:rPr>
        <w:lastRenderedPageBreak/>
        <w:t>Salutogenic organisations and change: the concepts behind organisational health intervention research.</w:t>
      </w:r>
      <w:r w:rsidRPr="00334C8C">
        <w:rPr>
          <w:rFonts w:cs="Arial"/>
          <w:i/>
          <w:iCs/>
          <w:szCs w:val="24"/>
        </w:rPr>
        <w:t xml:space="preserve"> </w:t>
      </w:r>
      <w:r w:rsidRPr="00334C8C">
        <w:rPr>
          <w:rFonts w:cs="Arial"/>
          <w:szCs w:val="24"/>
        </w:rPr>
        <w:t>Dordrecht: Springer; 2013.</w:t>
      </w:r>
    </w:p>
    <w:p w14:paraId="648D667E" w14:textId="77777777" w:rsidR="00E3332B" w:rsidRPr="00334C8C" w:rsidRDefault="00E3332B" w:rsidP="00E3332B">
      <w:pPr>
        <w:autoSpaceDE w:val="0"/>
        <w:autoSpaceDN w:val="0"/>
        <w:adjustRightInd w:val="0"/>
        <w:spacing w:after="80" w:line="240" w:lineRule="auto"/>
        <w:ind w:left="426" w:hanging="426"/>
        <w:rPr>
          <w:rFonts w:cs="Arial"/>
          <w:szCs w:val="24"/>
        </w:rPr>
      </w:pPr>
      <w:r w:rsidRPr="00334C8C">
        <w:rPr>
          <w:rFonts w:cs="Arial"/>
          <w:szCs w:val="24"/>
        </w:rPr>
        <w:t>19.</w:t>
      </w:r>
      <w:r w:rsidRPr="00334C8C">
        <w:rPr>
          <w:rFonts w:cs="Arial"/>
          <w:szCs w:val="24"/>
        </w:rPr>
        <w:tab/>
        <w:t xml:space="preserve">Grawitch M, Gottschalk M, Munz D. The path to a healthy workplace: a critical review linking healthy workplaces, employee wellbeing, and organisational improvements. </w:t>
      </w:r>
      <w:r w:rsidRPr="00334C8C">
        <w:rPr>
          <w:rFonts w:cs="Arial"/>
          <w:iCs/>
          <w:szCs w:val="24"/>
        </w:rPr>
        <w:t xml:space="preserve">Consulting Psychology Journal </w:t>
      </w:r>
      <w:r w:rsidRPr="00334C8C">
        <w:rPr>
          <w:rFonts w:cs="Arial"/>
          <w:szCs w:val="24"/>
        </w:rPr>
        <w:t xml:space="preserve">2006; </w:t>
      </w:r>
      <w:r w:rsidRPr="00334C8C">
        <w:rPr>
          <w:rFonts w:cs="Arial"/>
          <w:iCs/>
          <w:szCs w:val="24"/>
        </w:rPr>
        <w:t>58</w:t>
      </w:r>
      <w:r w:rsidRPr="00334C8C">
        <w:rPr>
          <w:rFonts w:cs="Arial"/>
          <w:szCs w:val="24"/>
        </w:rPr>
        <w:t>(3): 129-147.</w:t>
      </w:r>
    </w:p>
    <w:p w14:paraId="1FA1DA2D" w14:textId="77777777" w:rsidR="00E3332B" w:rsidRDefault="00E3332B" w:rsidP="00E3332B">
      <w:pPr>
        <w:autoSpaceDE w:val="0"/>
        <w:autoSpaceDN w:val="0"/>
        <w:adjustRightInd w:val="0"/>
        <w:spacing w:after="80" w:line="240" w:lineRule="auto"/>
        <w:ind w:left="426" w:hanging="426"/>
        <w:rPr>
          <w:rFonts w:cs="Arial"/>
          <w:szCs w:val="24"/>
        </w:rPr>
      </w:pPr>
      <w:r w:rsidRPr="00334C8C">
        <w:rPr>
          <w:rFonts w:cs="Arial"/>
          <w:szCs w:val="24"/>
        </w:rPr>
        <w:t>20.</w:t>
      </w:r>
      <w:r w:rsidRPr="00334C8C">
        <w:rPr>
          <w:rFonts w:cs="Arial"/>
          <w:szCs w:val="24"/>
        </w:rPr>
        <w:tab/>
        <w:t xml:space="preserve">Bauer G, Jenny G. Moving towards positive organisational health. In Houdmondt J, Leka S, Sinclair, R, editors. </w:t>
      </w:r>
      <w:r w:rsidRPr="00334C8C">
        <w:rPr>
          <w:rFonts w:cs="Arial"/>
          <w:iCs/>
          <w:szCs w:val="24"/>
        </w:rPr>
        <w:t>Contemporary occupational health psychology: global perspectives on research and practice</w:t>
      </w:r>
      <w:r w:rsidRPr="00334C8C">
        <w:rPr>
          <w:rFonts w:cs="Arial"/>
          <w:i/>
          <w:iCs/>
          <w:szCs w:val="24"/>
        </w:rPr>
        <w:t xml:space="preserve"> </w:t>
      </w:r>
      <w:r w:rsidRPr="00334C8C">
        <w:rPr>
          <w:rFonts w:cs="Arial"/>
          <w:szCs w:val="24"/>
        </w:rPr>
        <w:t>(Vol. 2). Oxford: Wiley-Blackwell; 2012.</w:t>
      </w:r>
    </w:p>
    <w:p w14:paraId="5873671C" w14:textId="087481EC" w:rsidR="0063755A" w:rsidRPr="00CC5689" w:rsidRDefault="0063755A" w:rsidP="0063755A">
      <w:pPr>
        <w:autoSpaceDE w:val="0"/>
        <w:autoSpaceDN w:val="0"/>
        <w:adjustRightInd w:val="0"/>
        <w:spacing w:line="240" w:lineRule="auto"/>
        <w:rPr>
          <w:rFonts w:cs="HelveticaNeueLTPro-Bd"/>
          <w:color w:val="FF0000"/>
          <w:szCs w:val="24"/>
        </w:rPr>
      </w:pPr>
      <w:r>
        <w:rPr>
          <w:rFonts w:cs="Arial"/>
          <w:szCs w:val="24"/>
        </w:rPr>
        <w:t xml:space="preserve">21. </w:t>
      </w:r>
      <w:r w:rsidRPr="00CC5689">
        <w:rPr>
          <w:rFonts w:cs="HelveticaNeueLTPro-Bd"/>
          <w:color w:val="FF0000"/>
          <w:szCs w:val="24"/>
        </w:rPr>
        <w:t>Shutler-Jones, K. Improving</w:t>
      </w:r>
      <w:r w:rsidR="00277F92" w:rsidRPr="00CC5689">
        <w:rPr>
          <w:rFonts w:cs="HelveticaNeueLTPro-Bd"/>
          <w:color w:val="FF0000"/>
          <w:szCs w:val="24"/>
        </w:rPr>
        <w:t xml:space="preserve"> performance through wellbeing and</w:t>
      </w:r>
      <w:r w:rsidRPr="00CC5689">
        <w:rPr>
          <w:rFonts w:cs="HelveticaNeueLTPro-Bd"/>
          <w:color w:val="FF0000"/>
          <w:szCs w:val="24"/>
        </w:rPr>
        <w:t xml:space="preserve"> engagement –  </w:t>
      </w:r>
    </w:p>
    <w:p w14:paraId="03142D98" w14:textId="15CD9133" w:rsidR="0063755A" w:rsidRPr="00CC5689" w:rsidRDefault="0063755A" w:rsidP="00277F92">
      <w:pPr>
        <w:autoSpaceDE w:val="0"/>
        <w:autoSpaceDN w:val="0"/>
        <w:adjustRightInd w:val="0"/>
        <w:spacing w:line="240" w:lineRule="auto"/>
        <w:ind w:left="400"/>
        <w:rPr>
          <w:rFonts w:cs="HelveticaNeueLTPro-Lt"/>
          <w:color w:val="FF0000"/>
          <w:szCs w:val="24"/>
        </w:rPr>
      </w:pPr>
      <w:r w:rsidRPr="00CC5689">
        <w:rPr>
          <w:rFonts w:cs="HelveticaNeueLTPro-Lt"/>
          <w:color w:val="FF0000"/>
          <w:szCs w:val="24"/>
        </w:rPr>
        <w:t>essential tools for a changing HE</w:t>
      </w:r>
      <w:r w:rsidR="00277F92" w:rsidRPr="00CC5689">
        <w:rPr>
          <w:rFonts w:cs="HelveticaNeueLTPro-Lt"/>
          <w:color w:val="FF0000"/>
          <w:szCs w:val="24"/>
        </w:rPr>
        <w:t xml:space="preserve"> landscape.  </w:t>
      </w:r>
      <w:r w:rsidR="00CC5689" w:rsidRPr="00CC5689">
        <w:rPr>
          <w:rFonts w:cs="HelveticaNeueLTPro-Lt"/>
          <w:color w:val="FF0000"/>
          <w:szCs w:val="24"/>
        </w:rPr>
        <w:t xml:space="preserve">p. 4 </w:t>
      </w:r>
      <w:r w:rsidR="00277F92" w:rsidRPr="00CC5689">
        <w:rPr>
          <w:rFonts w:cs="HelveticaNeueLTPro-Lt"/>
          <w:color w:val="FF0000"/>
          <w:szCs w:val="24"/>
        </w:rPr>
        <w:t xml:space="preserve">http://www.ucea.ac.uk/en/empres/epl/engage-well/wellbeing-proj-resources/index.cfm (date accessed: 27 April 2015). </w:t>
      </w:r>
    </w:p>
    <w:p w14:paraId="1779662D" w14:textId="16BCEB90" w:rsidR="0063755A" w:rsidRPr="00277F92" w:rsidRDefault="0063755A" w:rsidP="00277F92">
      <w:pPr>
        <w:autoSpaceDE w:val="0"/>
        <w:autoSpaceDN w:val="0"/>
        <w:adjustRightInd w:val="0"/>
        <w:spacing w:line="240" w:lineRule="auto"/>
        <w:rPr>
          <w:rFonts w:cs="HelveticaNeueLTPro-Lt"/>
          <w:szCs w:val="24"/>
        </w:rPr>
      </w:pPr>
      <w:r>
        <w:rPr>
          <w:rFonts w:cs="HelveticaNeueLTPro-Lt"/>
          <w:szCs w:val="24"/>
        </w:rPr>
        <w:t xml:space="preserve">      </w:t>
      </w:r>
    </w:p>
    <w:p w14:paraId="1F3BA121" w14:textId="3E34D86B" w:rsidR="00E3332B" w:rsidRPr="00334C8C" w:rsidRDefault="00277F92" w:rsidP="00E3332B">
      <w:pPr>
        <w:spacing w:after="200" w:line="276" w:lineRule="auto"/>
        <w:ind w:left="426" w:hanging="426"/>
        <w:rPr>
          <w:rFonts w:cs="Arial"/>
          <w:szCs w:val="24"/>
        </w:rPr>
      </w:pPr>
      <w:r>
        <w:rPr>
          <w:rFonts w:cs="Arial"/>
          <w:szCs w:val="24"/>
        </w:rPr>
        <w:t>22</w:t>
      </w:r>
      <w:r w:rsidR="00E3332B" w:rsidRPr="00334C8C">
        <w:rPr>
          <w:rFonts w:cs="Arial"/>
          <w:szCs w:val="24"/>
        </w:rPr>
        <w:t>.</w:t>
      </w:r>
      <w:r w:rsidR="00E3332B" w:rsidRPr="00334C8C">
        <w:rPr>
          <w:rFonts w:cs="Arial"/>
          <w:szCs w:val="24"/>
        </w:rPr>
        <w:tab/>
        <w:t xml:space="preserve">David M with Parry G, Vignoles A, Hayward G, Williams J et al. </w:t>
      </w:r>
      <w:r w:rsidR="00E3332B" w:rsidRPr="003966A7">
        <w:rPr>
          <w:rFonts w:eastAsia="Times New Roman" w:cs="Arial"/>
          <w:szCs w:val="24"/>
          <w:lang w:eastAsia="en-GB"/>
        </w:rPr>
        <w:t>Widening participation in higher education</w:t>
      </w:r>
      <w:r w:rsidR="00E3332B" w:rsidRPr="00334C8C">
        <w:rPr>
          <w:rFonts w:eastAsia="Times New Roman" w:cs="Arial"/>
          <w:szCs w:val="24"/>
          <w:lang w:eastAsia="en-GB"/>
        </w:rPr>
        <w:t xml:space="preserve">. London: Institute of Education; 2008. </w:t>
      </w:r>
      <w:hyperlink r:id="rId9" w:history="1">
        <w:r w:rsidR="00E3332B" w:rsidRPr="00334C8C">
          <w:rPr>
            <w:rStyle w:val="Hyperlink"/>
            <w:rFonts w:cs="Arial"/>
            <w:bCs/>
            <w:szCs w:val="24"/>
            <w:lang w:eastAsia="en-GB"/>
          </w:rPr>
          <w:t>www.tlrp.org/pub/documents/HEcomm.pdf</w:t>
        </w:r>
      </w:hyperlink>
      <w:r w:rsidR="00E3332B" w:rsidRPr="00334C8C">
        <w:rPr>
          <w:rFonts w:cs="Arial"/>
          <w:bCs/>
          <w:szCs w:val="24"/>
          <w:lang w:eastAsia="en-GB"/>
        </w:rPr>
        <w:t xml:space="preserve"> </w:t>
      </w:r>
      <w:r w:rsidR="00E3332B" w:rsidRPr="00334C8C">
        <w:rPr>
          <w:rFonts w:cs="Arial"/>
          <w:szCs w:val="24"/>
        </w:rPr>
        <w:t>(date accessed: 06 February 2015).</w:t>
      </w:r>
    </w:p>
    <w:p w14:paraId="4DA12BFB" w14:textId="41CBA26B" w:rsidR="00E3332B" w:rsidRPr="00334C8C" w:rsidRDefault="00277F92" w:rsidP="00E3332B">
      <w:pPr>
        <w:pStyle w:val="Refs"/>
        <w:spacing w:before="0" w:after="80"/>
        <w:ind w:left="426" w:hanging="426"/>
        <w:rPr>
          <w:sz w:val="24"/>
          <w:szCs w:val="24"/>
        </w:rPr>
      </w:pPr>
      <w:r>
        <w:rPr>
          <w:sz w:val="24"/>
          <w:szCs w:val="24"/>
        </w:rPr>
        <w:t>23</w:t>
      </w:r>
      <w:r w:rsidR="00E3332B" w:rsidRPr="00334C8C">
        <w:rPr>
          <w:sz w:val="24"/>
          <w:szCs w:val="24"/>
        </w:rPr>
        <w:t>.</w:t>
      </w:r>
      <w:r w:rsidR="00E3332B" w:rsidRPr="00334C8C">
        <w:rPr>
          <w:sz w:val="24"/>
          <w:szCs w:val="24"/>
        </w:rPr>
        <w:tab/>
        <w:t xml:space="preserve">Department for Business, Innovation and Skills. Student charter group: final report. London: Crown Copyright; 2011. </w:t>
      </w:r>
      <w:hyperlink r:id="rId10" w:history="1">
        <w:r w:rsidR="00E3332B" w:rsidRPr="00334C8C">
          <w:rPr>
            <w:rStyle w:val="Hyperlink"/>
            <w:rFonts w:eastAsia="Calibri"/>
            <w:sz w:val="24"/>
            <w:szCs w:val="24"/>
          </w:rPr>
          <w:t>http://www.bis.gov.uk/assets/biscore/higher-education/docs/s/11-736-student-charter-group.pdf</w:t>
        </w:r>
      </w:hyperlink>
      <w:r w:rsidR="00E3332B" w:rsidRPr="00334C8C">
        <w:rPr>
          <w:sz w:val="24"/>
          <w:szCs w:val="24"/>
        </w:rPr>
        <w:t xml:space="preserve">  (date accessed: 08 January 2015).</w:t>
      </w:r>
    </w:p>
    <w:p w14:paraId="3B21107B" w14:textId="1AE80CB7" w:rsidR="00E3332B" w:rsidRPr="00334C8C" w:rsidRDefault="00277F92" w:rsidP="00E3332B">
      <w:pPr>
        <w:spacing w:after="80"/>
        <w:ind w:left="426" w:hanging="426"/>
        <w:rPr>
          <w:rFonts w:cs="Arial"/>
          <w:noProof/>
          <w:szCs w:val="24"/>
        </w:rPr>
      </w:pPr>
      <w:r>
        <w:rPr>
          <w:rFonts w:cs="Arial"/>
          <w:szCs w:val="24"/>
        </w:rPr>
        <w:t>24</w:t>
      </w:r>
      <w:r w:rsidR="00E3332B" w:rsidRPr="00334C8C">
        <w:rPr>
          <w:rFonts w:cs="Arial"/>
          <w:szCs w:val="24"/>
        </w:rPr>
        <w:t>.</w:t>
      </w:r>
      <w:r w:rsidR="00E3332B" w:rsidRPr="00334C8C">
        <w:rPr>
          <w:rFonts w:cs="Arial"/>
          <w:szCs w:val="24"/>
        </w:rPr>
        <w:tab/>
        <w:t>Dooris M, Doherty S, Cawood J, Powell S. The healthy universities approach: adding value to the higher education sector. In Scriven A, Hodgins M. Health promotion settings: principles and practice. London: Sage; 2012.</w:t>
      </w:r>
    </w:p>
    <w:p w14:paraId="7E81FF6B" w14:textId="54B97D2A" w:rsidR="00E3332B" w:rsidRPr="00334C8C" w:rsidRDefault="00277F92" w:rsidP="00E3332B">
      <w:pPr>
        <w:autoSpaceDE w:val="0"/>
        <w:autoSpaceDN w:val="0"/>
        <w:adjustRightInd w:val="0"/>
        <w:spacing w:after="80" w:line="240" w:lineRule="auto"/>
        <w:ind w:left="426" w:hanging="426"/>
        <w:rPr>
          <w:rFonts w:cs="Arial"/>
          <w:szCs w:val="24"/>
        </w:rPr>
      </w:pPr>
      <w:r>
        <w:rPr>
          <w:rFonts w:cs="Arial"/>
          <w:szCs w:val="24"/>
        </w:rPr>
        <w:t>25</w:t>
      </w:r>
      <w:r w:rsidR="00E3332B" w:rsidRPr="00334C8C">
        <w:rPr>
          <w:rFonts w:cs="Arial"/>
          <w:szCs w:val="24"/>
        </w:rPr>
        <w:t>.</w:t>
      </w:r>
      <w:r w:rsidR="00E3332B" w:rsidRPr="00334C8C">
        <w:rPr>
          <w:rFonts w:cs="Arial"/>
          <w:szCs w:val="24"/>
        </w:rPr>
        <w:tab/>
        <w:t xml:space="preserve">Checkland P. </w:t>
      </w:r>
      <w:r w:rsidR="00E3332B" w:rsidRPr="00334C8C">
        <w:rPr>
          <w:rFonts w:cs="Arial"/>
          <w:iCs/>
          <w:szCs w:val="24"/>
        </w:rPr>
        <w:t>Systems thinking, systems practice</w:t>
      </w:r>
      <w:r w:rsidR="00E3332B" w:rsidRPr="00334C8C">
        <w:rPr>
          <w:rFonts w:cs="Arial"/>
          <w:szCs w:val="24"/>
        </w:rPr>
        <w:t>. Chichester: Wiley; 1999, pp.119-120.</w:t>
      </w:r>
    </w:p>
    <w:p w14:paraId="5C30A9AD" w14:textId="023E48F5" w:rsidR="00E3332B" w:rsidRPr="00334C8C" w:rsidRDefault="00277F92" w:rsidP="00E3332B">
      <w:pPr>
        <w:spacing w:after="80"/>
        <w:ind w:left="426" w:hanging="426"/>
        <w:rPr>
          <w:rFonts w:cs="Arial"/>
          <w:noProof/>
          <w:szCs w:val="24"/>
        </w:rPr>
      </w:pPr>
      <w:r>
        <w:rPr>
          <w:rFonts w:cs="Arial"/>
          <w:noProof/>
          <w:szCs w:val="24"/>
        </w:rPr>
        <w:t>26</w:t>
      </w:r>
      <w:r w:rsidR="00E3332B" w:rsidRPr="00334C8C">
        <w:rPr>
          <w:rFonts w:cs="Arial"/>
          <w:noProof/>
          <w:szCs w:val="24"/>
        </w:rPr>
        <w:t>.</w:t>
      </w:r>
      <w:r w:rsidR="00E3332B" w:rsidRPr="00334C8C">
        <w:rPr>
          <w:rFonts w:cs="Arial"/>
          <w:noProof/>
          <w:szCs w:val="24"/>
        </w:rPr>
        <w:tab/>
        <w:t>Naaldenberg J, Vaandrager L., Koelen, M, Wagemakers, AM, Saan, H, de Hoog K. Elaborating on systems thinking in health promotion practice. Global Health Promotion 2009; 16(1): 39 - 47.</w:t>
      </w:r>
    </w:p>
    <w:p w14:paraId="51EA2AC9" w14:textId="46CF1684" w:rsidR="00E3332B" w:rsidRPr="00334C8C" w:rsidRDefault="00277F92" w:rsidP="00E3332B">
      <w:pPr>
        <w:spacing w:after="80"/>
        <w:ind w:left="426" w:hanging="426"/>
        <w:rPr>
          <w:rFonts w:cs="Arial"/>
          <w:noProof/>
          <w:szCs w:val="24"/>
        </w:rPr>
      </w:pPr>
      <w:r>
        <w:rPr>
          <w:rFonts w:cs="Arial"/>
          <w:noProof/>
          <w:szCs w:val="24"/>
        </w:rPr>
        <w:t>27</w:t>
      </w:r>
      <w:r w:rsidR="00E3332B" w:rsidRPr="00334C8C">
        <w:rPr>
          <w:rFonts w:cs="Arial"/>
          <w:noProof/>
          <w:szCs w:val="24"/>
        </w:rPr>
        <w:t>.</w:t>
      </w:r>
      <w:r w:rsidR="00E3332B" w:rsidRPr="00334C8C">
        <w:rPr>
          <w:rFonts w:cs="Arial"/>
          <w:noProof/>
          <w:szCs w:val="24"/>
        </w:rPr>
        <w:tab/>
        <w:t>Best A, Moor G, Holmes B, Clark P, Bruce T, Leischow S et al. Health promotion dissemination and systems thinking: towards an integrative model. American Journal of Health Behaviour 2003; 27(Suppl 3): S206 - S216.</w:t>
      </w:r>
    </w:p>
    <w:p w14:paraId="79F5BF9B" w14:textId="77777777" w:rsidR="00E3332B" w:rsidRDefault="00E3332B" w:rsidP="00110A70">
      <w:pPr>
        <w:spacing w:after="80"/>
      </w:pPr>
    </w:p>
    <w:p w14:paraId="5895B916" w14:textId="46EDD287" w:rsidR="006838C1" w:rsidRPr="00DE296A" w:rsidRDefault="006838C1" w:rsidP="00110A70">
      <w:pPr>
        <w:spacing w:after="80"/>
      </w:pPr>
    </w:p>
    <w:p w14:paraId="7C53AE57" w14:textId="77777777" w:rsidR="0084386A" w:rsidRPr="00DE296A" w:rsidRDefault="0084386A" w:rsidP="00110A70">
      <w:pPr>
        <w:spacing w:after="80"/>
      </w:pPr>
    </w:p>
    <w:sectPr w:rsidR="0084386A" w:rsidRPr="00DE296A" w:rsidSect="00B13F65">
      <w:footerReference w:type="default" r:id="rId11"/>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8A255F" w15:done="0"/>
  <w15:commentEx w15:paraId="201FBBFD" w15:done="0"/>
  <w15:commentEx w15:paraId="4CF9B346" w15:paraIdParent="201FBBFD" w15:done="0"/>
  <w15:commentEx w15:paraId="663E0FCB" w15:done="0"/>
  <w15:commentEx w15:paraId="5C8EFC06" w15:paraIdParent="663E0FCB" w15:done="0"/>
  <w15:commentEx w15:paraId="37BF730A" w15:done="0"/>
  <w15:commentEx w15:paraId="416A926C" w15:done="0"/>
  <w15:commentEx w15:paraId="612B28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ADF78" w14:textId="77777777" w:rsidR="00CC5689" w:rsidRDefault="00CC5689" w:rsidP="00FA529D">
      <w:pPr>
        <w:spacing w:line="240" w:lineRule="auto"/>
      </w:pPr>
      <w:r>
        <w:separator/>
      </w:r>
    </w:p>
  </w:endnote>
  <w:endnote w:type="continuationSeparator" w:id="0">
    <w:p w14:paraId="35B9876A" w14:textId="77777777" w:rsidR="00CC5689" w:rsidRDefault="00CC5689" w:rsidP="00FA5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NeueLTPro-Bd">
    <w:altName w:val="Cambria"/>
    <w:panose1 w:val="00000000000000000000"/>
    <w:charset w:val="00"/>
    <w:family w:val="swiss"/>
    <w:notTrueType/>
    <w:pitch w:val="default"/>
    <w:sig w:usb0="00000003" w:usb1="00000000" w:usb2="00000000" w:usb3="00000000" w:csb0="00000001" w:csb1="00000000"/>
  </w:font>
  <w:font w:name="HelveticaNeueLTPro-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404805"/>
      <w:docPartObj>
        <w:docPartGallery w:val="Page Numbers (Bottom of Page)"/>
        <w:docPartUnique/>
      </w:docPartObj>
    </w:sdtPr>
    <w:sdtEndPr>
      <w:rPr>
        <w:noProof/>
      </w:rPr>
    </w:sdtEndPr>
    <w:sdtContent>
      <w:p w14:paraId="067F527D" w14:textId="77777777" w:rsidR="00CC5689" w:rsidRDefault="00CC5689">
        <w:pPr>
          <w:pStyle w:val="Footer"/>
          <w:jc w:val="right"/>
        </w:pPr>
        <w:r>
          <w:fldChar w:fldCharType="begin"/>
        </w:r>
        <w:r>
          <w:instrText xml:space="preserve"> PAGE   \* MERGEFORMAT </w:instrText>
        </w:r>
        <w:r>
          <w:fldChar w:fldCharType="separate"/>
        </w:r>
        <w:r w:rsidR="00F90AD4">
          <w:rPr>
            <w:noProof/>
          </w:rPr>
          <w:t>1</w:t>
        </w:r>
        <w:r>
          <w:rPr>
            <w:noProof/>
          </w:rPr>
          <w:fldChar w:fldCharType="end"/>
        </w:r>
      </w:p>
    </w:sdtContent>
  </w:sdt>
  <w:p w14:paraId="5D8C2E9F" w14:textId="77777777" w:rsidR="00CC5689" w:rsidRDefault="00CC5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15DED" w14:textId="77777777" w:rsidR="00CC5689" w:rsidRDefault="00CC5689" w:rsidP="00FA529D">
      <w:pPr>
        <w:spacing w:line="240" w:lineRule="auto"/>
      </w:pPr>
      <w:r>
        <w:separator/>
      </w:r>
    </w:p>
  </w:footnote>
  <w:footnote w:type="continuationSeparator" w:id="0">
    <w:p w14:paraId="3416AA85" w14:textId="77777777" w:rsidR="00CC5689" w:rsidRDefault="00CC5689" w:rsidP="00FA52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21790"/>
    <w:multiLevelType w:val="hybridMultilevel"/>
    <w:tmpl w:val="C3866EC4"/>
    <w:lvl w:ilvl="0" w:tplc="EAD48C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4443FB"/>
    <w:multiLevelType w:val="hybridMultilevel"/>
    <w:tmpl w:val="5EECDE50"/>
    <w:lvl w:ilvl="0" w:tplc="903E151A">
      <w:start w:val="1"/>
      <w:numFmt w:val="bullet"/>
      <w:lvlText w:val=""/>
      <w:lvlJc w:val="left"/>
      <w:pPr>
        <w:ind w:left="720" w:hanging="360"/>
      </w:pPr>
      <w:rPr>
        <w:rFonts w:ascii="Wingdings" w:hAnsi="Wingdings"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11888"/>
    <w:multiLevelType w:val="multilevel"/>
    <w:tmpl w:val="1FAC6EE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226C41AA"/>
    <w:multiLevelType w:val="hybridMultilevel"/>
    <w:tmpl w:val="6AD00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6320EA"/>
    <w:multiLevelType w:val="hybridMultilevel"/>
    <w:tmpl w:val="8AA8E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T Dooris">
    <w15:presenceInfo w15:providerId="AD" w15:userId="S-1-5-21-796845957-1844237615-839522115-16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A8"/>
    <w:rsid w:val="00012F2F"/>
    <w:rsid w:val="0004309A"/>
    <w:rsid w:val="000452D5"/>
    <w:rsid w:val="0006225C"/>
    <w:rsid w:val="00071019"/>
    <w:rsid w:val="00075736"/>
    <w:rsid w:val="00081A56"/>
    <w:rsid w:val="000836C6"/>
    <w:rsid w:val="00084C51"/>
    <w:rsid w:val="000A06E6"/>
    <w:rsid w:val="000A154F"/>
    <w:rsid w:val="000A3A6B"/>
    <w:rsid w:val="000F7351"/>
    <w:rsid w:val="00110A70"/>
    <w:rsid w:val="001127E8"/>
    <w:rsid w:val="0013250B"/>
    <w:rsid w:val="00133B87"/>
    <w:rsid w:val="00160BC6"/>
    <w:rsid w:val="0019443F"/>
    <w:rsid w:val="001A10E0"/>
    <w:rsid w:val="001B36D7"/>
    <w:rsid w:val="001F1C6B"/>
    <w:rsid w:val="001F79AF"/>
    <w:rsid w:val="002041AB"/>
    <w:rsid w:val="00220A8E"/>
    <w:rsid w:val="0025080D"/>
    <w:rsid w:val="00252E0F"/>
    <w:rsid w:val="0026713E"/>
    <w:rsid w:val="00267479"/>
    <w:rsid w:val="0027111A"/>
    <w:rsid w:val="00277F92"/>
    <w:rsid w:val="00281410"/>
    <w:rsid w:val="0029688B"/>
    <w:rsid w:val="002978A3"/>
    <w:rsid w:val="002A0BFD"/>
    <w:rsid w:val="002B0FAD"/>
    <w:rsid w:val="002D42AA"/>
    <w:rsid w:val="00301BC6"/>
    <w:rsid w:val="00310A35"/>
    <w:rsid w:val="0033609A"/>
    <w:rsid w:val="00336FA9"/>
    <w:rsid w:val="00337061"/>
    <w:rsid w:val="00341140"/>
    <w:rsid w:val="00341FA9"/>
    <w:rsid w:val="003467CB"/>
    <w:rsid w:val="00372B1D"/>
    <w:rsid w:val="003927AF"/>
    <w:rsid w:val="00396F28"/>
    <w:rsid w:val="003A61CC"/>
    <w:rsid w:val="003B0887"/>
    <w:rsid w:val="003B0FFC"/>
    <w:rsid w:val="003C4FA4"/>
    <w:rsid w:val="003C7753"/>
    <w:rsid w:val="003D137D"/>
    <w:rsid w:val="003E5D3F"/>
    <w:rsid w:val="003E5EFE"/>
    <w:rsid w:val="003F788D"/>
    <w:rsid w:val="00406437"/>
    <w:rsid w:val="00415350"/>
    <w:rsid w:val="00431739"/>
    <w:rsid w:val="00434A8D"/>
    <w:rsid w:val="0044773D"/>
    <w:rsid w:val="00473789"/>
    <w:rsid w:val="00496272"/>
    <w:rsid w:val="004A2D29"/>
    <w:rsid w:val="004C00C6"/>
    <w:rsid w:val="004C6563"/>
    <w:rsid w:val="004D1BBD"/>
    <w:rsid w:val="004D366C"/>
    <w:rsid w:val="004D48A5"/>
    <w:rsid w:val="004D6385"/>
    <w:rsid w:val="004E6AA2"/>
    <w:rsid w:val="00503798"/>
    <w:rsid w:val="00503E64"/>
    <w:rsid w:val="0051178F"/>
    <w:rsid w:val="005121C3"/>
    <w:rsid w:val="0057175F"/>
    <w:rsid w:val="00595CB2"/>
    <w:rsid w:val="005A2B1C"/>
    <w:rsid w:val="005E23A3"/>
    <w:rsid w:val="00606A55"/>
    <w:rsid w:val="006221EB"/>
    <w:rsid w:val="006327C4"/>
    <w:rsid w:val="0063755A"/>
    <w:rsid w:val="00643AAB"/>
    <w:rsid w:val="00644666"/>
    <w:rsid w:val="00653790"/>
    <w:rsid w:val="006715A4"/>
    <w:rsid w:val="0067235F"/>
    <w:rsid w:val="006838C1"/>
    <w:rsid w:val="006A0914"/>
    <w:rsid w:val="006C4233"/>
    <w:rsid w:val="006C7EEA"/>
    <w:rsid w:val="006E1A05"/>
    <w:rsid w:val="006E6A2A"/>
    <w:rsid w:val="006F118C"/>
    <w:rsid w:val="006F6D89"/>
    <w:rsid w:val="007178D2"/>
    <w:rsid w:val="0073552A"/>
    <w:rsid w:val="0075036E"/>
    <w:rsid w:val="00794871"/>
    <w:rsid w:val="007B1133"/>
    <w:rsid w:val="007B6CC0"/>
    <w:rsid w:val="007C360D"/>
    <w:rsid w:val="007E438F"/>
    <w:rsid w:val="007E7C5B"/>
    <w:rsid w:val="007F5FBD"/>
    <w:rsid w:val="0081366F"/>
    <w:rsid w:val="00821606"/>
    <w:rsid w:val="0084386A"/>
    <w:rsid w:val="00856E82"/>
    <w:rsid w:val="00863238"/>
    <w:rsid w:val="00894616"/>
    <w:rsid w:val="008D155A"/>
    <w:rsid w:val="008E03A5"/>
    <w:rsid w:val="00904828"/>
    <w:rsid w:val="009171C3"/>
    <w:rsid w:val="0092386A"/>
    <w:rsid w:val="009415BF"/>
    <w:rsid w:val="0097013E"/>
    <w:rsid w:val="009B59BF"/>
    <w:rsid w:val="009C55DB"/>
    <w:rsid w:val="009D3FD5"/>
    <w:rsid w:val="009E51C4"/>
    <w:rsid w:val="009F190C"/>
    <w:rsid w:val="00A01106"/>
    <w:rsid w:val="00A108B0"/>
    <w:rsid w:val="00A235D0"/>
    <w:rsid w:val="00A239F2"/>
    <w:rsid w:val="00A37AA8"/>
    <w:rsid w:val="00A47598"/>
    <w:rsid w:val="00A47AC7"/>
    <w:rsid w:val="00A84F39"/>
    <w:rsid w:val="00A941ED"/>
    <w:rsid w:val="00AB20CB"/>
    <w:rsid w:val="00AB3F2C"/>
    <w:rsid w:val="00AD09D8"/>
    <w:rsid w:val="00AD354D"/>
    <w:rsid w:val="00AE1B23"/>
    <w:rsid w:val="00B036DF"/>
    <w:rsid w:val="00B123C0"/>
    <w:rsid w:val="00B13F65"/>
    <w:rsid w:val="00B3031F"/>
    <w:rsid w:val="00B404B1"/>
    <w:rsid w:val="00B45FF5"/>
    <w:rsid w:val="00B76493"/>
    <w:rsid w:val="00B82EDA"/>
    <w:rsid w:val="00B92A0C"/>
    <w:rsid w:val="00B934D2"/>
    <w:rsid w:val="00B94952"/>
    <w:rsid w:val="00BA7674"/>
    <w:rsid w:val="00BB0660"/>
    <w:rsid w:val="00BC05E2"/>
    <w:rsid w:val="00BD281E"/>
    <w:rsid w:val="00BF6DA6"/>
    <w:rsid w:val="00C013CE"/>
    <w:rsid w:val="00C3046C"/>
    <w:rsid w:val="00C42700"/>
    <w:rsid w:val="00C45298"/>
    <w:rsid w:val="00C536FA"/>
    <w:rsid w:val="00C72B44"/>
    <w:rsid w:val="00CA2807"/>
    <w:rsid w:val="00CA37DD"/>
    <w:rsid w:val="00CA50EA"/>
    <w:rsid w:val="00CB0784"/>
    <w:rsid w:val="00CC5689"/>
    <w:rsid w:val="00CD21D1"/>
    <w:rsid w:val="00D1115D"/>
    <w:rsid w:val="00D17F00"/>
    <w:rsid w:val="00D6650A"/>
    <w:rsid w:val="00D805C8"/>
    <w:rsid w:val="00D87358"/>
    <w:rsid w:val="00D92E3D"/>
    <w:rsid w:val="00DA437C"/>
    <w:rsid w:val="00DA5720"/>
    <w:rsid w:val="00DE296A"/>
    <w:rsid w:val="00DE47A6"/>
    <w:rsid w:val="00DF6C3D"/>
    <w:rsid w:val="00E00A96"/>
    <w:rsid w:val="00E21063"/>
    <w:rsid w:val="00E259D3"/>
    <w:rsid w:val="00E3332B"/>
    <w:rsid w:val="00E84E8A"/>
    <w:rsid w:val="00E9154D"/>
    <w:rsid w:val="00E92056"/>
    <w:rsid w:val="00EB29EA"/>
    <w:rsid w:val="00EB509B"/>
    <w:rsid w:val="00EC03A4"/>
    <w:rsid w:val="00EC1C27"/>
    <w:rsid w:val="00EC4866"/>
    <w:rsid w:val="00EC5B75"/>
    <w:rsid w:val="00EE2734"/>
    <w:rsid w:val="00EF0807"/>
    <w:rsid w:val="00EF3DF3"/>
    <w:rsid w:val="00EF4D82"/>
    <w:rsid w:val="00F07469"/>
    <w:rsid w:val="00F12B42"/>
    <w:rsid w:val="00F21F85"/>
    <w:rsid w:val="00F301D6"/>
    <w:rsid w:val="00F317DE"/>
    <w:rsid w:val="00F3338F"/>
    <w:rsid w:val="00F3344A"/>
    <w:rsid w:val="00F6188E"/>
    <w:rsid w:val="00F70B1C"/>
    <w:rsid w:val="00F7494B"/>
    <w:rsid w:val="00F90AD4"/>
    <w:rsid w:val="00F94AE2"/>
    <w:rsid w:val="00F967C0"/>
    <w:rsid w:val="00FA529D"/>
    <w:rsid w:val="00FA77CA"/>
    <w:rsid w:val="00FA781D"/>
    <w:rsid w:val="00FD7402"/>
    <w:rsid w:val="00FE6569"/>
    <w:rsid w:val="00FE7EAC"/>
    <w:rsid w:val="00FF0E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5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B82EDA"/>
    <w:pPr>
      <w:keepNext/>
      <w:keepLines/>
      <w:spacing w:before="240" w:after="280"/>
      <w:ind w:left="510" w:hanging="510"/>
      <w:outlineLvl w:val="1"/>
    </w:pPr>
    <w:rPr>
      <w:rFonts w:eastAsia="Calibri" w:cstheme="majorBidi"/>
      <w:b/>
      <w:bCs/>
      <w:szCs w:val="26"/>
      <w:u w:val="single"/>
    </w:rPr>
  </w:style>
  <w:style w:type="paragraph" w:styleId="Heading3">
    <w:name w:val="heading 3"/>
    <w:basedOn w:val="Normal"/>
    <w:next w:val="Normal"/>
    <w:link w:val="Heading3Char"/>
    <w:autoRedefine/>
    <w:uiPriority w:val="9"/>
    <w:unhideWhenUsed/>
    <w:qFormat/>
    <w:rsid w:val="00B82EDA"/>
    <w:pPr>
      <w:keepNext/>
      <w:keepLines/>
      <w:spacing w:before="240" w:after="280"/>
      <w:ind w:left="720" w:hanging="7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653790"/>
    <w:pPr>
      <w:spacing w:after="100" w:line="259" w:lineRule="auto"/>
    </w:pPr>
    <w:rPr>
      <w:rFonts w:cs="Arial"/>
    </w:rPr>
  </w:style>
  <w:style w:type="character" w:customStyle="1" w:styleId="Heading2Char">
    <w:name w:val="Heading 2 Char"/>
    <w:basedOn w:val="DefaultParagraphFont"/>
    <w:link w:val="Heading2"/>
    <w:uiPriority w:val="9"/>
    <w:rsid w:val="00B82EDA"/>
    <w:rPr>
      <w:rFonts w:eastAsia="Calibri" w:cstheme="majorBidi"/>
      <w:b/>
      <w:bCs/>
      <w:szCs w:val="26"/>
      <w:u w:val="single"/>
    </w:rPr>
  </w:style>
  <w:style w:type="character" w:customStyle="1" w:styleId="Heading3Char">
    <w:name w:val="Heading 3 Char"/>
    <w:basedOn w:val="DefaultParagraphFont"/>
    <w:link w:val="Heading3"/>
    <w:uiPriority w:val="9"/>
    <w:rsid w:val="00B82EDA"/>
    <w:rPr>
      <w:rFonts w:eastAsiaTheme="majorEastAsia" w:cstheme="majorBidi"/>
      <w:b/>
      <w:bCs/>
      <w:i/>
    </w:rPr>
  </w:style>
  <w:style w:type="paragraph" w:styleId="Header">
    <w:name w:val="header"/>
    <w:basedOn w:val="Normal"/>
    <w:link w:val="HeaderChar"/>
    <w:uiPriority w:val="99"/>
    <w:unhideWhenUsed/>
    <w:rsid w:val="00FA529D"/>
    <w:pPr>
      <w:tabs>
        <w:tab w:val="center" w:pos="4513"/>
        <w:tab w:val="right" w:pos="9026"/>
      </w:tabs>
      <w:spacing w:line="240" w:lineRule="auto"/>
    </w:pPr>
  </w:style>
  <w:style w:type="character" w:customStyle="1" w:styleId="HeaderChar">
    <w:name w:val="Header Char"/>
    <w:basedOn w:val="DefaultParagraphFont"/>
    <w:link w:val="Header"/>
    <w:uiPriority w:val="99"/>
    <w:rsid w:val="00FA529D"/>
  </w:style>
  <w:style w:type="paragraph" w:styleId="Footer">
    <w:name w:val="footer"/>
    <w:basedOn w:val="Normal"/>
    <w:link w:val="FooterChar"/>
    <w:uiPriority w:val="99"/>
    <w:unhideWhenUsed/>
    <w:rsid w:val="00FA529D"/>
    <w:pPr>
      <w:tabs>
        <w:tab w:val="center" w:pos="4513"/>
        <w:tab w:val="right" w:pos="9026"/>
      </w:tabs>
      <w:spacing w:line="240" w:lineRule="auto"/>
    </w:pPr>
  </w:style>
  <w:style w:type="character" w:customStyle="1" w:styleId="FooterChar">
    <w:name w:val="Footer Char"/>
    <w:basedOn w:val="DefaultParagraphFont"/>
    <w:link w:val="Footer"/>
    <w:uiPriority w:val="99"/>
    <w:rsid w:val="00FA529D"/>
  </w:style>
  <w:style w:type="paragraph" w:styleId="ListParagraph">
    <w:name w:val="List Paragraph"/>
    <w:basedOn w:val="Normal"/>
    <w:uiPriority w:val="34"/>
    <w:qFormat/>
    <w:rsid w:val="00D92E3D"/>
    <w:pPr>
      <w:ind w:left="720"/>
      <w:contextualSpacing/>
    </w:pPr>
  </w:style>
  <w:style w:type="table" w:customStyle="1" w:styleId="TableGrid12">
    <w:name w:val="Table Grid12"/>
    <w:basedOn w:val="TableNormal"/>
    <w:next w:val="TableGrid"/>
    <w:uiPriority w:val="59"/>
    <w:rsid w:val="00D92E3D"/>
    <w:pPr>
      <w:spacing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92E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D89"/>
    <w:rPr>
      <w:color w:val="0000FF" w:themeColor="hyperlink"/>
      <w:u w:val="single"/>
    </w:rPr>
  </w:style>
  <w:style w:type="paragraph" w:styleId="BalloonText">
    <w:name w:val="Balloon Text"/>
    <w:basedOn w:val="Normal"/>
    <w:link w:val="BalloonTextChar"/>
    <w:uiPriority w:val="99"/>
    <w:semiHidden/>
    <w:unhideWhenUsed/>
    <w:rsid w:val="006327C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7C4"/>
    <w:rPr>
      <w:rFonts w:ascii="Lucida Grande" w:hAnsi="Lucida Grande" w:cs="Lucida Grande"/>
      <w:sz w:val="18"/>
      <w:szCs w:val="18"/>
    </w:rPr>
  </w:style>
  <w:style w:type="character" w:styleId="CommentReference">
    <w:name w:val="annotation reference"/>
    <w:basedOn w:val="DefaultParagraphFont"/>
    <w:uiPriority w:val="99"/>
    <w:semiHidden/>
    <w:unhideWhenUsed/>
    <w:rsid w:val="006327C4"/>
    <w:rPr>
      <w:sz w:val="18"/>
      <w:szCs w:val="18"/>
    </w:rPr>
  </w:style>
  <w:style w:type="paragraph" w:styleId="CommentText">
    <w:name w:val="annotation text"/>
    <w:basedOn w:val="Normal"/>
    <w:link w:val="CommentTextChar"/>
    <w:uiPriority w:val="99"/>
    <w:unhideWhenUsed/>
    <w:rsid w:val="006327C4"/>
    <w:pPr>
      <w:spacing w:line="240" w:lineRule="auto"/>
    </w:pPr>
    <w:rPr>
      <w:szCs w:val="24"/>
    </w:rPr>
  </w:style>
  <w:style w:type="character" w:customStyle="1" w:styleId="CommentTextChar">
    <w:name w:val="Comment Text Char"/>
    <w:basedOn w:val="DefaultParagraphFont"/>
    <w:link w:val="CommentText"/>
    <w:uiPriority w:val="99"/>
    <w:rsid w:val="006327C4"/>
    <w:rPr>
      <w:szCs w:val="24"/>
    </w:rPr>
  </w:style>
  <w:style w:type="paragraph" w:styleId="CommentSubject">
    <w:name w:val="annotation subject"/>
    <w:basedOn w:val="CommentText"/>
    <w:next w:val="CommentText"/>
    <w:link w:val="CommentSubjectChar"/>
    <w:uiPriority w:val="99"/>
    <w:semiHidden/>
    <w:unhideWhenUsed/>
    <w:rsid w:val="006327C4"/>
    <w:rPr>
      <w:b/>
      <w:bCs/>
      <w:sz w:val="20"/>
      <w:szCs w:val="20"/>
    </w:rPr>
  </w:style>
  <w:style w:type="character" w:customStyle="1" w:styleId="CommentSubjectChar">
    <w:name w:val="Comment Subject Char"/>
    <w:basedOn w:val="CommentTextChar"/>
    <w:link w:val="CommentSubject"/>
    <w:uiPriority w:val="99"/>
    <w:semiHidden/>
    <w:rsid w:val="006327C4"/>
    <w:rPr>
      <w:b/>
      <w:bCs/>
      <w:sz w:val="20"/>
      <w:szCs w:val="20"/>
    </w:rPr>
  </w:style>
  <w:style w:type="paragraph" w:styleId="Revision">
    <w:name w:val="Revision"/>
    <w:hidden/>
    <w:uiPriority w:val="99"/>
    <w:semiHidden/>
    <w:rsid w:val="006327C4"/>
    <w:pPr>
      <w:spacing w:line="240" w:lineRule="auto"/>
    </w:pPr>
  </w:style>
  <w:style w:type="paragraph" w:styleId="EndnoteText">
    <w:name w:val="endnote text"/>
    <w:basedOn w:val="Normal"/>
    <w:link w:val="EndnoteTextChar"/>
    <w:semiHidden/>
    <w:rsid w:val="00E3332B"/>
    <w:pPr>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E3332B"/>
    <w:rPr>
      <w:rFonts w:ascii="Times New Roman" w:eastAsia="Times New Roman" w:hAnsi="Times New Roman" w:cs="Times New Roman"/>
      <w:sz w:val="20"/>
      <w:szCs w:val="20"/>
    </w:rPr>
  </w:style>
  <w:style w:type="character" w:customStyle="1" w:styleId="ReferenceChar">
    <w:name w:val="Reference Char"/>
    <w:basedOn w:val="DefaultParagraphFont"/>
    <w:rsid w:val="00E3332B"/>
    <w:rPr>
      <w:rFonts w:ascii="Times" w:hAnsi="Times"/>
      <w:sz w:val="24"/>
      <w:vertAlign w:val="superscript"/>
      <w:lang w:val="en-GB" w:eastAsia="en-US" w:bidi="ar-SA"/>
    </w:rPr>
  </w:style>
  <w:style w:type="character" w:customStyle="1" w:styleId="normalchar1">
    <w:name w:val="normal__char1"/>
    <w:basedOn w:val="DefaultParagraphFont"/>
    <w:uiPriority w:val="99"/>
    <w:rsid w:val="00E3332B"/>
    <w:rPr>
      <w:rFonts w:ascii="Times New Roman" w:hAnsi="Times New Roman" w:cs="Times New Roman"/>
      <w:sz w:val="24"/>
      <w:szCs w:val="24"/>
    </w:rPr>
  </w:style>
  <w:style w:type="paragraph" w:customStyle="1" w:styleId="Refs">
    <w:name w:val="Refs"/>
    <w:basedOn w:val="Normal"/>
    <w:rsid w:val="00E3332B"/>
    <w:pPr>
      <w:autoSpaceDE w:val="0"/>
      <w:autoSpaceDN w:val="0"/>
      <w:adjustRightInd w:val="0"/>
      <w:spacing w:before="40" w:after="40" w:line="240" w:lineRule="auto"/>
      <w:ind w:left="142" w:hanging="142"/>
    </w:pPr>
    <w:rPr>
      <w:rFonts w:eastAsia="Times New Roman"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B82EDA"/>
    <w:pPr>
      <w:keepNext/>
      <w:keepLines/>
      <w:spacing w:before="240" w:after="280"/>
      <w:ind w:left="510" w:hanging="510"/>
      <w:outlineLvl w:val="1"/>
    </w:pPr>
    <w:rPr>
      <w:rFonts w:eastAsia="Calibri" w:cstheme="majorBidi"/>
      <w:b/>
      <w:bCs/>
      <w:szCs w:val="26"/>
      <w:u w:val="single"/>
    </w:rPr>
  </w:style>
  <w:style w:type="paragraph" w:styleId="Heading3">
    <w:name w:val="heading 3"/>
    <w:basedOn w:val="Normal"/>
    <w:next w:val="Normal"/>
    <w:link w:val="Heading3Char"/>
    <w:autoRedefine/>
    <w:uiPriority w:val="9"/>
    <w:unhideWhenUsed/>
    <w:qFormat/>
    <w:rsid w:val="00B82EDA"/>
    <w:pPr>
      <w:keepNext/>
      <w:keepLines/>
      <w:spacing w:before="240" w:after="280"/>
      <w:ind w:left="720" w:hanging="7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653790"/>
    <w:pPr>
      <w:spacing w:after="100" w:line="259" w:lineRule="auto"/>
    </w:pPr>
    <w:rPr>
      <w:rFonts w:cs="Arial"/>
    </w:rPr>
  </w:style>
  <w:style w:type="character" w:customStyle="1" w:styleId="Heading2Char">
    <w:name w:val="Heading 2 Char"/>
    <w:basedOn w:val="DefaultParagraphFont"/>
    <w:link w:val="Heading2"/>
    <w:uiPriority w:val="9"/>
    <w:rsid w:val="00B82EDA"/>
    <w:rPr>
      <w:rFonts w:eastAsia="Calibri" w:cstheme="majorBidi"/>
      <w:b/>
      <w:bCs/>
      <w:szCs w:val="26"/>
      <w:u w:val="single"/>
    </w:rPr>
  </w:style>
  <w:style w:type="character" w:customStyle="1" w:styleId="Heading3Char">
    <w:name w:val="Heading 3 Char"/>
    <w:basedOn w:val="DefaultParagraphFont"/>
    <w:link w:val="Heading3"/>
    <w:uiPriority w:val="9"/>
    <w:rsid w:val="00B82EDA"/>
    <w:rPr>
      <w:rFonts w:eastAsiaTheme="majorEastAsia" w:cstheme="majorBidi"/>
      <w:b/>
      <w:bCs/>
      <w:i/>
    </w:rPr>
  </w:style>
  <w:style w:type="paragraph" w:styleId="Header">
    <w:name w:val="header"/>
    <w:basedOn w:val="Normal"/>
    <w:link w:val="HeaderChar"/>
    <w:uiPriority w:val="99"/>
    <w:unhideWhenUsed/>
    <w:rsid w:val="00FA529D"/>
    <w:pPr>
      <w:tabs>
        <w:tab w:val="center" w:pos="4513"/>
        <w:tab w:val="right" w:pos="9026"/>
      </w:tabs>
      <w:spacing w:line="240" w:lineRule="auto"/>
    </w:pPr>
  </w:style>
  <w:style w:type="character" w:customStyle="1" w:styleId="HeaderChar">
    <w:name w:val="Header Char"/>
    <w:basedOn w:val="DefaultParagraphFont"/>
    <w:link w:val="Header"/>
    <w:uiPriority w:val="99"/>
    <w:rsid w:val="00FA529D"/>
  </w:style>
  <w:style w:type="paragraph" w:styleId="Footer">
    <w:name w:val="footer"/>
    <w:basedOn w:val="Normal"/>
    <w:link w:val="FooterChar"/>
    <w:uiPriority w:val="99"/>
    <w:unhideWhenUsed/>
    <w:rsid w:val="00FA529D"/>
    <w:pPr>
      <w:tabs>
        <w:tab w:val="center" w:pos="4513"/>
        <w:tab w:val="right" w:pos="9026"/>
      </w:tabs>
      <w:spacing w:line="240" w:lineRule="auto"/>
    </w:pPr>
  </w:style>
  <w:style w:type="character" w:customStyle="1" w:styleId="FooterChar">
    <w:name w:val="Footer Char"/>
    <w:basedOn w:val="DefaultParagraphFont"/>
    <w:link w:val="Footer"/>
    <w:uiPriority w:val="99"/>
    <w:rsid w:val="00FA529D"/>
  </w:style>
  <w:style w:type="paragraph" w:styleId="ListParagraph">
    <w:name w:val="List Paragraph"/>
    <w:basedOn w:val="Normal"/>
    <w:uiPriority w:val="34"/>
    <w:qFormat/>
    <w:rsid w:val="00D92E3D"/>
    <w:pPr>
      <w:ind w:left="720"/>
      <w:contextualSpacing/>
    </w:pPr>
  </w:style>
  <w:style w:type="table" w:customStyle="1" w:styleId="TableGrid12">
    <w:name w:val="Table Grid12"/>
    <w:basedOn w:val="TableNormal"/>
    <w:next w:val="TableGrid"/>
    <w:uiPriority w:val="59"/>
    <w:rsid w:val="00D92E3D"/>
    <w:pPr>
      <w:spacing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92E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D89"/>
    <w:rPr>
      <w:color w:val="0000FF" w:themeColor="hyperlink"/>
      <w:u w:val="single"/>
    </w:rPr>
  </w:style>
  <w:style w:type="paragraph" w:styleId="BalloonText">
    <w:name w:val="Balloon Text"/>
    <w:basedOn w:val="Normal"/>
    <w:link w:val="BalloonTextChar"/>
    <w:uiPriority w:val="99"/>
    <w:semiHidden/>
    <w:unhideWhenUsed/>
    <w:rsid w:val="006327C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7C4"/>
    <w:rPr>
      <w:rFonts w:ascii="Lucida Grande" w:hAnsi="Lucida Grande" w:cs="Lucida Grande"/>
      <w:sz w:val="18"/>
      <w:szCs w:val="18"/>
    </w:rPr>
  </w:style>
  <w:style w:type="character" w:styleId="CommentReference">
    <w:name w:val="annotation reference"/>
    <w:basedOn w:val="DefaultParagraphFont"/>
    <w:uiPriority w:val="99"/>
    <w:semiHidden/>
    <w:unhideWhenUsed/>
    <w:rsid w:val="006327C4"/>
    <w:rPr>
      <w:sz w:val="18"/>
      <w:szCs w:val="18"/>
    </w:rPr>
  </w:style>
  <w:style w:type="paragraph" w:styleId="CommentText">
    <w:name w:val="annotation text"/>
    <w:basedOn w:val="Normal"/>
    <w:link w:val="CommentTextChar"/>
    <w:uiPriority w:val="99"/>
    <w:unhideWhenUsed/>
    <w:rsid w:val="006327C4"/>
    <w:pPr>
      <w:spacing w:line="240" w:lineRule="auto"/>
    </w:pPr>
    <w:rPr>
      <w:szCs w:val="24"/>
    </w:rPr>
  </w:style>
  <w:style w:type="character" w:customStyle="1" w:styleId="CommentTextChar">
    <w:name w:val="Comment Text Char"/>
    <w:basedOn w:val="DefaultParagraphFont"/>
    <w:link w:val="CommentText"/>
    <w:uiPriority w:val="99"/>
    <w:rsid w:val="006327C4"/>
    <w:rPr>
      <w:szCs w:val="24"/>
    </w:rPr>
  </w:style>
  <w:style w:type="paragraph" w:styleId="CommentSubject">
    <w:name w:val="annotation subject"/>
    <w:basedOn w:val="CommentText"/>
    <w:next w:val="CommentText"/>
    <w:link w:val="CommentSubjectChar"/>
    <w:uiPriority w:val="99"/>
    <w:semiHidden/>
    <w:unhideWhenUsed/>
    <w:rsid w:val="006327C4"/>
    <w:rPr>
      <w:b/>
      <w:bCs/>
      <w:sz w:val="20"/>
      <w:szCs w:val="20"/>
    </w:rPr>
  </w:style>
  <w:style w:type="character" w:customStyle="1" w:styleId="CommentSubjectChar">
    <w:name w:val="Comment Subject Char"/>
    <w:basedOn w:val="CommentTextChar"/>
    <w:link w:val="CommentSubject"/>
    <w:uiPriority w:val="99"/>
    <w:semiHidden/>
    <w:rsid w:val="006327C4"/>
    <w:rPr>
      <w:b/>
      <w:bCs/>
      <w:sz w:val="20"/>
      <w:szCs w:val="20"/>
    </w:rPr>
  </w:style>
  <w:style w:type="paragraph" w:styleId="Revision">
    <w:name w:val="Revision"/>
    <w:hidden/>
    <w:uiPriority w:val="99"/>
    <w:semiHidden/>
    <w:rsid w:val="006327C4"/>
    <w:pPr>
      <w:spacing w:line="240" w:lineRule="auto"/>
    </w:pPr>
  </w:style>
  <w:style w:type="paragraph" w:styleId="EndnoteText">
    <w:name w:val="endnote text"/>
    <w:basedOn w:val="Normal"/>
    <w:link w:val="EndnoteTextChar"/>
    <w:semiHidden/>
    <w:rsid w:val="00E3332B"/>
    <w:pPr>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E3332B"/>
    <w:rPr>
      <w:rFonts w:ascii="Times New Roman" w:eastAsia="Times New Roman" w:hAnsi="Times New Roman" w:cs="Times New Roman"/>
      <w:sz w:val="20"/>
      <w:szCs w:val="20"/>
    </w:rPr>
  </w:style>
  <w:style w:type="character" w:customStyle="1" w:styleId="ReferenceChar">
    <w:name w:val="Reference Char"/>
    <w:basedOn w:val="DefaultParagraphFont"/>
    <w:rsid w:val="00E3332B"/>
    <w:rPr>
      <w:rFonts w:ascii="Times" w:hAnsi="Times"/>
      <w:sz w:val="24"/>
      <w:vertAlign w:val="superscript"/>
      <w:lang w:val="en-GB" w:eastAsia="en-US" w:bidi="ar-SA"/>
    </w:rPr>
  </w:style>
  <w:style w:type="character" w:customStyle="1" w:styleId="normalchar1">
    <w:name w:val="normal__char1"/>
    <w:basedOn w:val="DefaultParagraphFont"/>
    <w:uiPriority w:val="99"/>
    <w:rsid w:val="00E3332B"/>
    <w:rPr>
      <w:rFonts w:ascii="Times New Roman" w:hAnsi="Times New Roman" w:cs="Times New Roman"/>
      <w:sz w:val="24"/>
      <w:szCs w:val="24"/>
    </w:rPr>
  </w:style>
  <w:style w:type="paragraph" w:customStyle="1" w:styleId="Refs">
    <w:name w:val="Refs"/>
    <w:basedOn w:val="Normal"/>
    <w:rsid w:val="00E3332B"/>
    <w:pPr>
      <w:autoSpaceDE w:val="0"/>
      <w:autoSpaceDN w:val="0"/>
      <w:adjustRightInd w:val="0"/>
      <w:spacing w:before="40" w:after="40" w:line="240" w:lineRule="auto"/>
      <w:ind w:left="142" w:hanging="142"/>
    </w:pPr>
    <w:rPr>
      <w:rFonts w:eastAsia="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6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who.int/document/e60163.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bis.gov.uk/assets/biscore/higher-education/docs/s/11-736-student-charter-group.pdf" TargetMode="External"/><Relationship Id="rId4" Type="http://schemas.openxmlformats.org/officeDocument/2006/relationships/settings" Target="settings.xml"/><Relationship Id="rId9" Type="http://schemas.openxmlformats.org/officeDocument/2006/relationships/hyperlink" Target="http://www.tlrp.org/pub/documents/HEcomm.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5875</Words>
  <Characters>33488</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39285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Newton</dc:creator>
  <cp:lastModifiedBy>Wills, Jane</cp:lastModifiedBy>
  <cp:revision>2</cp:revision>
  <dcterms:created xsi:type="dcterms:W3CDTF">2016-08-11T15:31:00Z</dcterms:created>
  <dcterms:modified xsi:type="dcterms:W3CDTF">2016-08-11T15:31:00Z</dcterms:modified>
</cp:coreProperties>
</file>