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B898" w14:textId="77777777" w:rsidR="00B94971" w:rsidRDefault="0047225A">
      <w:pPr>
        <w:pStyle w:val="Heading1"/>
        <w:ind w:left="-5"/>
      </w:pPr>
      <w:r>
        <w:t>Provision of Disability Adaptatio</w:t>
      </w:r>
      <w:r>
        <w:t xml:space="preserve">ns to the Home: Analysis of Household Survey Data </w:t>
      </w:r>
    </w:p>
    <w:p w14:paraId="35EA5E89" w14:textId="77777777" w:rsidR="00B94971" w:rsidRDefault="0047225A">
      <w:pPr>
        <w:spacing w:after="0" w:line="259" w:lineRule="auto"/>
        <w:ind w:left="0" w:firstLine="0"/>
        <w:jc w:val="left"/>
      </w:pPr>
      <w:r>
        <w:rPr>
          <w:b/>
        </w:rPr>
        <w:t xml:space="preserve"> </w:t>
      </w:r>
    </w:p>
    <w:p w14:paraId="7B3973E6" w14:textId="77777777" w:rsidR="00B94971" w:rsidRDefault="0047225A">
      <w:pPr>
        <w:ind w:left="-5"/>
      </w:pPr>
      <w:r>
        <w:t xml:space="preserve">Ian J. Ewart &amp; Chris Harty </w:t>
      </w:r>
    </w:p>
    <w:p w14:paraId="66203F5B" w14:textId="77777777" w:rsidR="00B94971" w:rsidRDefault="0047225A">
      <w:pPr>
        <w:spacing w:after="0" w:line="259" w:lineRule="auto"/>
        <w:ind w:left="0" w:firstLine="0"/>
        <w:jc w:val="left"/>
      </w:pPr>
      <w:r>
        <w:t xml:space="preserve"> </w:t>
      </w:r>
    </w:p>
    <w:p w14:paraId="7E2B692F" w14:textId="77777777" w:rsidR="00B94971" w:rsidRDefault="0047225A">
      <w:pPr>
        <w:ind w:left="-5"/>
      </w:pPr>
      <w:r>
        <w:t xml:space="preserve">School of Construction Management and Engineering </w:t>
      </w:r>
    </w:p>
    <w:p w14:paraId="626F3C30" w14:textId="77777777" w:rsidR="00B94971" w:rsidRDefault="0047225A">
      <w:pPr>
        <w:ind w:left="-5"/>
      </w:pPr>
      <w:r>
        <w:t xml:space="preserve">University of Reading </w:t>
      </w:r>
    </w:p>
    <w:p w14:paraId="6064F10D" w14:textId="77777777" w:rsidR="00B94971" w:rsidRDefault="0047225A">
      <w:pPr>
        <w:ind w:left="-5"/>
      </w:pPr>
      <w:r>
        <w:t xml:space="preserve">Whiteknights </w:t>
      </w:r>
    </w:p>
    <w:p w14:paraId="1B8063FB" w14:textId="77777777" w:rsidR="00B94971" w:rsidRDefault="0047225A">
      <w:pPr>
        <w:ind w:left="-5"/>
      </w:pPr>
      <w:r>
        <w:t xml:space="preserve">Reading </w:t>
      </w:r>
    </w:p>
    <w:p w14:paraId="27884903" w14:textId="77777777" w:rsidR="00B94971" w:rsidRDefault="0047225A">
      <w:pPr>
        <w:ind w:left="-5"/>
      </w:pPr>
      <w:r>
        <w:t xml:space="preserve">UK </w:t>
      </w:r>
    </w:p>
    <w:p w14:paraId="3265ADBD" w14:textId="77777777" w:rsidR="00B94971" w:rsidRDefault="0047225A">
      <w:pPr>
        <w:ind w:left="-5"/>
      </w:pPr>
      <w:r>
        <w:t xml:space="preserve">RG6 6AW </w:t>
      </w:r>
    </w:p>
    <w:p w14:paraId="01C7079A" w14:textId="77777777" w:rsidR="00B94971" w:rsidRDefault="0047225A">
      <w:pPr>
        <w:spacing w:after="0" w:line="259" w:lineRule="auto"/>
        <w:ind w:left="0" w:firstLine="0"/>
        <w:jc w:val="left"/>
      </w:pPr>
      <w:r>
        <w:t xml:space="preserve"> </w:t>
      </w:r>
    </w:p>
    <w:p w14:paraId="4B7B4D8D" w14:textId="77777777" w:rsidR="00B94971" w:rsidRDefault="0047225A">
      <w:pPr>
        <w:ind w:left="-5"/>
      </w:pPr>
      <w:r>
        <w:t xml:space="preserve">Contact Author: i.j.ewart@reading.ac.uk </w:t>
      </w:r>
    </w:p>
    <w:p w14:paraId="545AF350" w14:textId="77777777" w:rsidR="00B94971" w:rsidRDefault="0047225A">
      <w:pPr>
        <w:spacing w:after="0" w:line="259" w:lineRule="auto"/>
        <w:ind w:left="0" w:firstLine="0"/>
        <w:jc w:val="left"/>
      </w:pPr>
      <w:r>
        <w:rPr>
          <w:b/>
        </w:rPr>
        <w:t xml:space="preserve"> </w:t>
      </w:r>
    </w:p>
    <w:p w14:paraId="403533C8" w14:textId="77777777" w:rsidR="00B94971" w:rsidRDefault="0047225A">
      <w:pPr>
        <w:pStyle w:val="Heading1"/>
        <w:ind w:left="-5"/>
      </w:pPr>
      <w:r>
        <w:t xml:space="preserve">Abstract </w:t>
      </w:r>
    </w:p>
    <w:p w14:paraId="541052D3" w14:textId="77777777" w:rsidR="00B94971" w:rsidRDefault="0047225A">
      <w:pPr>
        <w:spacing w:after="0" w:line="259" w:lineRule="auto"/>
        <w:ind w:left="0" w:firstLine="0"/>
        <w:jc w:val="left"/>
      </w:pPr>
      <w:r>
        <w:t xml:space="preserve"> </w:t>
      </w:r>
    </w:p>
    <w:p w14:paraId="11465A52" w14:textId="77777777" w:rsidR="00B94971" w:rsidRDefault="0047225A">
      <w:pPr>
        <w:ind w:left="-5"/>
      </w:pPr>
      <w:r>
        <w:t xml:space="preserve">The move towards greater provision of healthcare at home has been a significant policy intention for the last two decades (Ham </w:t>
      </w:r>
      <w:r>
        <w:rPr>
          <w:i/>
        </w:rPr>
        <w:t>et al.</w:t>
      </w:r>
      <w:r>
        <w:t xml:space="preserve"> 2012). Key to this ambition </w:t>
      </w:r>
      <w:r>
        <w:t xml:space="preserve">is the need to provide suitable accommodation for disabled households by installing a range of possible adaptations. Using data from English Housing Surveys of 2003/4 and 2009/10, we compare levels of the provision of adaptations with </w:t>
      </w:r>
      <w:proofErr w:type="gramStart"/>
      <w:r>
        <w:t>a number of</w:t>
      </w:r>
      <w:proofErr w:type="gramEnd"/>
      <w:r>
        <w:t xml:space="preserve"> socio-cul</w:t>
      </w:r>
      <w:r>
        <w:t>tural variables, and report on some significant correlations. This includes most importantly, bias against non-white disabled households and younger disabled households, a significant link between rented accommodation and disabled households, and a worryin</w:t>
      </w:r>
      <w:r>
        <w:t xml:space="preserve">g increase in the proportion of adaptations deemed by the householders to be ‘not needed’, from 7% to 25%, over that six year time period. </w:t>
      </w:r>
    </w:p>
    <w:p w14:paraId="5303C452" w14:textId="77777777" w:rsidR="00B94971" w:rsidRDefault="0047225A">
      <w:pPr>
        <w:ind w:left="-5"/>
      </w:pPr>
      <w:r>
        <w:t xml:space="preserve"> We discuss the context of these results and conclude with an outline plan for future research, which is urgently ne</w:t>
      </w:r>
      <w:r>
        <w:t xml:space="preserve">eded to verify and understand the issues raised. </w:t>
      </w:r>
    </w:p>
    <w:p w14:paraId="528F5109" w14:textId="77777777" w:rsidR="00B94971" w:rsidRDefault="0047225A">
      <w:pPr>
        <w:spacing w:after="0" w:line="259" w:lineRule="auto"/>
        <w:ind w:left="0" w:firstLine="0"/>
        <w:jc w:val="left"/>
      </w:pPr>
      <w:r>
        <w:t xml:space="preserve"> </w:t>
      </w:r>
    </w:p>
    <w:p w14:paraId="5F24988A" w14:textId="77777777" w:rsidR="00B94971" w:rsidRDefault="0047225A">
      <w:pPr>
        <w:ind w:left="-5"/>
      </w:pPr>
      <w:r>
        <w:rPr>
          <w:b/>
        </w:rPr>
        <w:t xml:space="preserve">Keywords: </w:t>
      </w:r>
      <w:r>
        <w:t xml:space="preserve">Adaptations, disability, discrimination, housing need, welfare state, survey data analysis. </w:t>
      </w:r>
    </w:p>
    <w:p w14:paraId="19FCD0E9" w14:textId="77777777" w:rsidR="00B94971" w:rsidRDefault="0047225A">
      <w:pPr>
        <w:spacing w:after="0" w:line="259" w:lineRule="auto"/>
        <w:ind w:left="0" w:firstLine="0"/>
        <w:jc w:val="left"/>
      </w:pPr>
      <w:r>
        <w:t xml:space="preserve"> </w:t>
      </w:r>
    </w:p>
    <w:p w14:paraId="12E727E8" w14:textId="77777777" w:rsidR="00B94971" w:rsidRDefault="0047225A">
      <w:pPr>
        <w:spacing w:after="0" w:line="259" w:lineRule="auto"/>
        <w:ind w:left="0" w:firstLine="0"/>
        <w:jc w:val="left"/>
      </w:pPr>
      <w:r>
        <w:t xml:space="preserve"> </w:t>
      </w:r>
    </w:p>
    <w:p w14:paraId="48F297AB" w14:textId="77777777" w:rsidR="00B94971" w:rsidRDefault="0047225A">
      <w:pPr>
        <w:pStyle w:val="Heading1"/>
        <w:ind w:left="-5"/>
      </w:pPr>
      <w:r>
        <w:t xml:space="preserve">Introduction  </w:t>
      </w:r>
    </w:p>
    <w:p w14:paraId="1DB1514B" w14:textId="77777777" w:rsidR="00B94971" w:rsidRDefault="0047225A">
      <w:pPr>
        <w:spacing w:after="0" w:line="259" w:lineRule="auto"/>
        <w:ind w:left="0" w:firstLine="0"/>
        <w:jc w:val="left"/>
      </w:pPr>
      <w:r>
        <w:rPr>
          <w:b/>
        </w:rPr>
        <w:t xml:space="preserve"> </w:t>
      </w:r>
    </w:p>
    <w:p w14:paraId="36885960" w14:textId="77777777" w:rsidR="00B94971" w:rsidRDefault="0047225A">
      <w:pPr>
        <w:ind w:left="-5"/>
      </w:pPr>
      <w:r>
        <w:t>Delivering healthcare at home has been a significant policy intention for the la</w:t>
      </w:r>
      <w:r>
        <w:t xml:space="preserve">st two decades (Ham </w:t>
      </w:r>
      <w:r>
        <w:rPr>
          <w:i/>
        </w:rPr>
        <w:t>et al</w:t>
      </w:r>
      <w:r>
        <w:t xml:space="preserve">. 2012), following research showing the substantial health benefits of remaining at home and the potential for cost savings and efficiency improvements in health and social services (Heywood and Turner 2007). Alongside this is the </w:t>
      </w:r>
      <w:r>
        <w:t>recognition that elderly people tend to remain in the same house for many years, which in many instances means that to maintain independent living, adaptations are required. While some research has been carried out to investigate the practical and physical</w:t>
      </w:r>
      <w:r>
        <w:t xml:space="preserve"> suitability of residential properties for typical adaptive installations (Barlow </w:t>
      </w:r>
      <w:r>
        <w:rPr>
          <w:i/>
        </w:rPr>
        <w:t>et al</w:t>
      </w:r>
      <w:r>
        <w:t xml:space="preserve">. 2007; Lansley </w:t>
      </w:r>
      <w:r>
        <w:rPr>
          <w:i/>
        </w:rPr>
        <w:t>et al</w:t>
      </w:r>
      <w:r>
        <w:t xml:space="preserve">. 2005), several authors have pointed out the need to include socio-cultural dimensions (Dewsbury </w:t>
      </w:r>
      <w:r>
        <w:rPr>
          <w:i/>
        </w:rPr>
        <w:t>et al.</w:t>
      </w:r>
      <w:r>
        <w:t xml:space="preserve"> 2004; Heywood 2005; Gitlin 2009; McCreadie </w:t>
      </w:r>
      <w:r>
        <w:t xml:space="preserve">and Tinker 2005; Oswald and Wahl 2005). This represents a growing awareness of the links between issues such as changes to the physical environment, reduced mobility, and altered perceptions of the home (Ewart and Luck 2013).  </w:t>
      </w:r>
    </w:p>
    <w:p w14:paraId="27D99B62" w14:textId="77777777" w:rsidR="00B94971" w:rsidRDefault="0047225A">
      <w:pPr>
        <w:ind w:left="-15" w:firstLine="720"/>
      </w:pPr>
      <w:r>
        <w:t>Despite this, the process fo</w:t>
      </w:r>
      <w:r>
        <w:t xml:space="preserve">r specifying and funding home adaptations remains complex and diverse (Adams and Ellison 2009; Ramsay 2010). For smaller adaptations, a ‘no visit’ system is promoted as good practice by the College of Occupational Therapists, who give </w:t>
      </w:r>
      <w:proofErr w:type="gramStart"/>
      <w:r>
        <w:t xml:space="preserve">a </w:t>
      </w:r>
      <w:r>
        <w:lastRenderedPageBreak/>
        <w:t>number of</w:t>
      </w:r>
      <w:proofErr w:type="gramEnd"/>
      <w:r>
        <w:t xml:space="preserve"> examples </w:t>
      </w:r>
      <w:r>
        <w:t xml:space="preserve">where this is being done (COT 2006), relying on other competent persons to specify simple installations. For larger projects the state-sponsored Disabled Facilities Grant (DFG) becomes the primary source of funding (Adams and Ellison 2009; DCLG 2008), but </w:t>
      </w:r>
      <w:r>
        <w:t>its success depends on a negotiation between the professional assessors (often occupational therapists), the professional planner (architect and/or builder), and sometimes the users themselves. This is within the context of welfare rationing (</w:t>
      </w:r>
      <w:proofErr w:type="spellStart"/>
      <w:r>
        <w:t>DoH</w:t>
      </w:r>
      <w:proofErr w:type="spellEnd"/>
      <w:r>
        <w:t xml:space="preserve"> 2010), wh</w:t>
      </w:r>
      <w:r>
        <w:t>ich as Frances Heywood points out, depends not on understanding human need, but rather on having ‘an administrative means for comparing needs and controlling the demand for public policy assistance’ (2004:711). The DFG itself went through an overhaul in 20</w:t>
      </w:r>
      <w:r>
        <w:t xml:space="preserve">08, with changes that were intended to increase the money available, especially for medium to </w:t>
      </w:r>
      <w:proofErr w:type="gramStart"/>
      <w:r>
        <w:t>high cost</w:t>
      </w:r>
      <w:proofErr w:type="gramEnd"/>
      <w:r>
        <w:t xml:space="preserve"> adaptations, widen and simplify the application process, and emphasise the need for local authorities to respond to local circumstances (DCLG 2008). </w:t>
      </w:r>
    </w:p>
    <w:p w14:paraId="622ABA78" w14:textId="77777777" w:rsidR="00B94971" w:rsidRDefault="0047225A">
      <w:pPr>
        <w:ind w:left="-15" w:firstLine="720"/>
      </w:pPr>
      <w:r>
        <w:t>In</w:t>
      </w:r>
      <w:r>
        <w:t xml:space="preserve"> practice access to adaptations is restricted by more than medical assessment or financial considerations. Other social factors come into play, such as ownership of the property and the consequent likelihood of a landlord complying with his responsibilitie</w:t>
      </w:r>
      <w:r>
        <w:t xml:space="preserve">s to provide adequate accommodation (Williamson 2011), access to information especially in the householder’s first language (Victor </w:t>
      </w:r>
      <w:r>
        <w:rPr>
          <w:i/>
        </w:rPr>
        <w:t>et al.</w:t>
      </w:r>
      <w:r>
        <w:t xml:space="preserve"> 2012), changes to medical condition or children growing up (Heywood 2004; Peace </w:t>
      </w:r>
      <w:r>
        <w:rPr>
          <w:i/>
        </w:rPr>
        <w:t>et al.</w:t>
      </w:r>
      <w:r>
        <w:t xml:space="preserve"> 2011). Cultural differences ha</w:t>
      </w:r>
      <w:r>
        <w:t>ve also been discussed as a potential differentiating factor, so that for example South Asian families, living in multi-generational households may rely more on informal care than installed adaptations (</w:t>
      </w:r>
      <w:proofErr w:type="spellStart"/>
      <w:r>
        <w:t>Katbamna</w:t>
      </w:r>
      <w:proofErr w:type="spellEnd"/>
      <w:r>
        <w:t xml:space="preserve"> </w:t>
      </w:r>
      <w:r>
        <w:rPr>
          <w:i/>
        </w:rPr>
        <w:t>et al.</w:t>
      </w:r>
      <w:r>
        <w:t xml:space="preserve"> 2004 found this to be a common idea, </w:t>
      </w:r>
      <w:r>
        <w:t xml:space="preserve">but in </w:t>
      </w:r>
      <w:proofErr w:type="gramStart"/>
      <w:r>
        <w:t>reality</w:t>
      </w:r>
      <w:proofErr w:type="gramEnd"/>
      <w:r>
        <w:t xml:space="preserve"> not the case).  </w:t>
      </w:r>
    </w:p>
    <w:p w14:paraId="1C406C75" w14:textId="77777777" w:rsidR="00B94971" w:rsidRDefault="0047225A">
      <w:pPr>
        <w:ind w:left="-15" w:firstLine="720"/>
      </w:pPr>
      <w:r>
        <w:t>On the basis that adaptations for the disabled form part of the overall scheme of welfare provision, and that this inherently means there is some degree of rationing, the question this paper seeks to investigate is what infl</w:t>
      </w:r>
      <w:r>
        <w:t xml:space="preserve">uence, if any, does socio-cultural variety play in determining the successful provision of disability adaptations? </w:t>
      </w:r>
    </w:p>
    <w:p w14:paraId="6E8D7654" w14:textId="77777777" w:rsidR="00B94971" w:rsidRDefault="0047225A">
      <w:pPr>
        <w:ind w:left="-15" w:firstLine="720"/>
      </w:pPr>
      <w:r>
        <w:t xml:space="preserve">To investigate this further, data is used from the UK Data Archive (UKDA) at two points in time – 2003 and 2009 – from a national survey of </w:t>
      </w:r>
      <w:r>
        <w:t>housing conditions. These surveys, whilst primarily a survey of the physical condition of the housing stock of England (e.g. DCLG 2006), also contain information about number and type of disability adaptations, and a wealth of information about each househ</w:t>
      </w:r>
      <w:r>
        <w:t xml:space="preserve">old. It has therefore been possible to compare provision of adaptations to a range of socio-cultural variables, and to see how those comparisons have changed over this 6 year period. </w:t>
      </w:r>
    </w:p>
    <w:p w14:paraId="44016CB3" w14:textId="77777777" w:rsidR="00B94971" w:rsidRDefault="0047225A">
      <w:pPr>
        <w:spacing w:after="0" w:line="259" w:lineRule="auto"/>
        <w:ind w:left="0" w:firstLine="0"/>
        <w:jc w:val="left"/>
      </w:pPr>
      <w:r>
        <w:t xml:space="preserve"> </w:t>
      </w:r>
    </w:p>
    <w:p w14:paraId="05B3F65B" w14:textId="77777777" w:rsidR="00B94971" w:rsidRDefault="0047225A">
      <w:pPr>
        <w:spacing w:after="0" w:line="259" w:lineRule="auto"/>
        <w:ind w:left="0" w:firstLine="0"/>
        <w:jc w:val="left"/>
      </w:pPr>
      <w:r>
        <w:t xml:space="preserve"> </w:t>
      </w:r>
    </w:p>
    <w:p w14:paraId="63FEC70A" w14:textId="77777777" w:rsidR="00B94971" w:rsidRDefault="0047225A">
      <w:pPr>
        <w:pStyle w:val="Heading1"/>
        <w:ind w:left="-5"/>
      </w:pPr>
      <w:r>
        <w:t xml:space="preserve">Methodology </w:t>
      </w:r>
    </w:p>
    <w:p w14:paraId="4026BD80" w14:textId="77777777" w:rsidR="00B94971" w:rsidRDefault="0047225A">
      <w:pPr>
        <w:spacing w:after="0" w:line="259" w:lineRule="auto"/>
        <w:ind w:left="0" w:firstLine="0"/>
        <w:jc w:val="left"/>
      </w:pPr>
      <w:r>
        <w:rPr>
          <w:i/>
        </w:rPr>
        <w:t xml:space="preserve"> </w:t>
      </w:r>
    </w:p>
    <w:p w14:paraId="29409C70" w14:textId="77777777" w:rsidR="00B94971" w:rsidRDefault="0047225A">
      <w:pPr>
        <w:pStyle w:val="Heading2"/>
        <w:ind w:left="-5"/>
      </w:pPr>
      <w:r>
        <w:t xml:space="preserve">Datasets </w:t>
      </w:r>
    </w:p>
    <w:p w14:paraId="2EBE2C5C" w14:textId="77777777" w:rsidR="00B94971" w:rsidRDefault="0047225A">
      <w:pPr>
        <w:ind w:left="-5"/>
      </w:pPr>
      <w:r>
        <w:t>Two sets of secondary data were selected fr</w:t>
      </w:r>
      <w:r>
        <w:t xml:space="preserve">om the Economic and Social Data Service of the </w:t>
      </w:r>
    </w:p>
    <w:p w14:paraId="50B89DB0" w14:textId="77777777" w:rsidR="00B94971" w:rsidRDefault="0047225A">
      <w:pPr>
        <w:ind w:left="-5"/>
      </w:pPr>
      <w:r>
        <w:t>UKDA. The ‘English House Condition Survey’ (EHCS) is a continuous national survey of housing that records information relating to the type and condition of housing in England and the views of occupants. The f</w:t>
      </w:r>
      <w:r>
        <w:t>ieldwork that gathered information for the 2003 survey (UKDA study number 6103, referred to here as EHCS2003) was carried out between April 2002 and March 2004 in over 16,000 households. The fieldworkers used a combination of detailed questionnaires (compl</w:t>
      </w:r>
      <w:r>
        <w:t xml:space="preserve">eted face-to-face), physical surveys of the house (including room size and the presence of damp for example), and some more subjective observations, such as quality </w:t>
      </w:r>
      <w:r>
        <w:lastRenderedPageBreak/>
        <w:t>of neighbourhood.</w:t>
      </w:r>
      <w:r>
        <w:rPr>
          <w:vertAlign w:val="superscript"/>
        </w:rPr>
        <w:footnoteReference w:id="1"/>
      </w:r>
      <w:r>
        <w:t xml:space="preserve"> By 2009 the EHCS had become the English Housing Survey which retained, </w:t>
      </w:r>
      <w:r>
        <w:t xml:space="preserve">with some slight differences, the section on disability related adaptations. </w:t>
      </w:r>
    </w:p>
    <w:p w14:paraId="558641BA" w14:textId="77777777" w:rsidR="00B94971" w:rsidRDefault="0047225A">
      <w:pPr>
        <w:ind w:left="-5"/>
      </w:pPr>
      <w:r>
        <w:t>Approximately 17,000 households were interviewed between April 2009 and March 2010, and at the time of writing this was the latest data available (UKDA study number 6805, referre</w:t>
      </w:r>
      <w:r>
        <w:t>d to here as EHS2009).</w:t>
      </w:r>
      <w:r>
        <w:rPr>
          <w:vertAlign w:val="superscript"/>
        </w:rPr>
        <w:footnoteReference w:id="2"/>
      </w:r>
      <w:r>
        <w:t xml:space="preserve">  </w:t>
      </w:r>
    </w:p>
    <w:p w14:paraId="1A945FC7" w14:textId="77777777" w:rsidR="00B94971" w:rsidRDefault="0047225A">
      <w:pPr>
        <w:ind w:left="-15" w:firstLine="720"/>
      </w:pPr>
      <w:r>
        <w:t xml:space="preserve">Disability adaptations form only a minor part of the total data, in the context of a </w:t>
      </w:r>
    </w:p>
    <w:p w14:paraId="492B1BA7" w14:textId="77777777" w:rsidR="00B94971" w:rsidRDefault="0047225A">
      <w:pPr>
        <w:ind w:left="-15" w:firstLine="720"/>
      </w:pPr>
      <w:r>
        <w:t>survey of housing condition with particular emphasis on issues such as thermal comfort and state of repair (DCLG 2006). We acknowledge the generic problems associated with the use of secondary data (Bryman 2012), where the survey is designed for one purpos</w:t>
      </w:r>
      <w:r>
        <w:t>e (to quantify housing conditions</w:t>
      </w:r>
      <w:proofErr w:type="gramStart"/>
      <w:r>
        <w:t>), but</w:t>
      </w:r>
      <w:proofErr w:type="gramEnd"/>
      <w:r>
        <w:t xml:space="preserve"> is being used for a different purpose (to examine socio-cultural links to home adaptations). This inherently frames and limits the results that can be drawn from the datasets and offers an easy critique of our discus</w:t>
      </w:r>
      <w:r>
        <w:t xml:space="preserve">sion. For example, </w:t>
      </w:r>
      <w:proofErr w:type="gramStart"/>
      <w:r>
        <w:t>the majority of</w:t>
      </w:r>
      <w:proofErr w:type="gramEnd"/>
      <w:r>
        <w:t xml:space="preserve"> the information gathered during interviews came from the ‘Household Reference Person’ (HRP), which makes little difference for the primary purpose of the survey – housing condition – but may affect some of the socio-cultu</w:t>
      </w:r>
      <w:r>
        <w:t xml:space="preserve">ral information we are relying on. We have had to assume that using the HRP is a reasonable proxy for the whole household, and by inference, also for any other specific occupant. Similarly, the categories for ‘Dwelling Age’ do not differentiate post-1990, </w:t>
      </w:r>
      <w:r>
        <w:t xml:space="preserve">a period which has seen significant changes in care at home and new building regulations that attempt to promote ‘Lifetime Homes (Carroll </w:t>
      </w:r>
      <w:r>
        <w:rPr>
          <w:i/>
        </w:rPr>
        <w:t>et al.</w:t>
      </w:r>
      <w:r>
        <w:t xml:space="preserve"> 1999). Perhaps more importantly, one problem with the use of this data, and indeed any data set, is the accurac</w:t>
      </w:r>
      <w:r>
        <w:t>y and robustness of the instrument used to collect it, for example the distinction between ‘adaptations’ as used here, and ‘equipment’. Included within the set of 24 home alterations taken from these surveys are items that are substantial and relatively pe</w:t>
      </w:r>
      <w:r>
        <w:t>rmanent, such as redesigned or relocated rooms, as well as minor and portable items such as personal alarms and toilet seats, which might more accurately be called ‘equipment’. Likewise, the data includes some very general terms that probably represent a r</w:t>
      </w:r>
      <w:r>
        <w:t>ange of physical changes, for example ‘electrical modifications’ and ‘shower over bath’, both of which are broad terms that could be used to describe minor pieces of equipment but also quite major adaptations. However, despite the limitations, there is a s</w:t>
      </w:r>
      <w:r>
        <w:t>ubstantial amount of information in these surveys that can be used to measure the distribution of, and attitudes towards, those items referred to as adaptations, in relation to a range of social criteria. Furthermore, it is worth pointing out that we are a</w:t>
      </w:r>
      <w:r>
        <w:t xml:space="preserve">nalysing comparable data between two large-scale surveys, and that the same methodology (good or bad) is used in both. </w:t>
      </w:r>
      <w:proofErr w:type="gramStart"/>
      <w:r>
        <w:t>Therefore</w:t>
      </w:r>
      <w:proofErr w:type="gramEnd"/>
      <w:r>
        <w:t xml:space="preserve"> any changes between the two are unlikely to be the result of errors in one survey alone, since the quality of data remains cons</w:t>
      </w:r>
      <w:r>
        <w:t xml:space="preserve">istent. </w:t>
      </w:r>
    </w:p>
    <w:p w14:paraId="15D09EA7" w14:textId="77777777" w:rsidR="00B94971" w:rsidRDefault="0047225A">
      <w:pPr>
        <w:ind w:left="-15" w:firstLine="720"/>
      </w:pPr>
      <w:r>
        <w:t xml:space="preserve">Most importantly, the surveys seek to identify households with a disabled </w:t>
      </w:r>
      <w:proofErr w:type="gramStart"/>
      <w:r>
        <w:t>occupant, and</w:t>
      </w:r>
      <w:proofErr w:type="gramEnd"/>
      <w:r>
        <w:t xml:space="preserve"> document the number and type of adaptations related to that person. This begins with the question: “For [the] person with the most severe problems getting abou</w:t>
      </w:r>
      <w:r>
        <w:t xml:space="preserve">t the house... Does your/their disability or impairment make it necessary to have adaptations in your home?” Although the question is itself neutral, the response may not be. As Mann </w:t>
      </w:r>
      <w:r>
        <w:rPr>
          <w:i/>
        </w:rPr>
        <w:t>et al.</w:t>
      </w:r>
      <w:r>
        <w:t xml:space="preserve"> (2002) discovered, the reasons why a person who is legitimately en</w:t>
      </w:r>
      <w:r>
        <w:t xml:space="preserve">titled to some sort of mobility assistance declines it, are complex and varied. Not the least of these is a desire not to be seen as disabled, so that obvious adaptations such as an external ramp might be </w:t>
      </w:r>
      <w:proofErr w:type="gramStart"/>
      <w:r>
        <w:t>useful, but</w:t>
      </w:r>
      <w:proofErr w:type="gramEnd"/>
      <w:r>
        <w:t xml:space="preserve"> can also be seen as stigmatizing and ev</w:t>
      </w:r>
      <w:r>
        <w:t xml:space="preserve">en a demonstration of vulnerability, raising concerns for personal safety (Manzo 2003). There is also the creeping realisation of need, where the loss of mobility </w:t>
      </w:r>
      <w:r>
        <w:lastRenderedPageBreak/>
        <w:t>is a gradual process leading to ongoing resistance to assistive living for fear it amounts to</w:t>
      </w:r>
      <w:r>
        <w:t xml:space="preserve"> an acceptance of an irreversible change in circumstances. Allowing adaptations to the home is seen as an admission that you are succumbing to old age with the inevitable loss of mobility and consequent limitations that brings (McCreadie and Tinker 2005). </w:t>
      </w:r>
      <w:r>
        <w:t>Conversely, there may be respondents who consider that they do need adaptations, even if an assessment according to current guidelines goes against that. Goldsmith’s seminal work ‘Designing for the Disabled’ published first in 1963, and regularly updated s</w:t>
      </w:r>
      <w:r>
        <w:t xml:space="preserve">ince then (Goldsmith 1997), demonstrates that ideas and attitudes to the concept of disability and how that impacts on life at home have changed in the past and are likely to change again in the future. It seems likely therefore that some cases seen today </w:t>
      </w:r>
      <w:r>
        <w:t xml:space="preserve">as ineligible for assistance may be at some stage in the future. In other words, the householder’s perception of need may represent genuine need, even if not recognised as such by a professional assessor.  </w:t>
      </w:r>
    </w:p>
    <w:p w14:paraId="7F631CFE" w14:textId="77777777" w:rsidR="00B94971" w:rsidRDefault="0047225A">
      <w:pPr>
        <w:ind w:left="-15" w:firstLine="720"/>
      </w:pPr>
      <w:r>
        <w:t>Within the confines of this study, we have to ass</w:t>
      </w:r>
      <w:r>
        <w:t xml:space="preserve">ume that respondents who </w:t>
      </w:r>
      <w:proofErr w:type="gramStart"/>
      <w:r>
        <w:t>answer</w:t>
      </w:r>
      <w:proofErr w:type="gramEnd"/>
      <w:r>
        <w:t xml:space="preserve"> ‘yes’ to that question, are the relevant group, even though there may ambiguity and subjectivity in the question’s terms ‘severe problems’, and ‘necessary to have’. The households we use in our further analysis are therefore</w:t>
      </w:r>
      <w:r>
        <w:t xml:space="preserve"> those who say that their mobility is impaired to the extent that they feel they need adaptations. Answering ‘yes’ directs the interviewer to ask the disabled householder about specific adaptations using a ‘show card’ listing 24 items</w:t>
      </w:r>
      <w:r>
        <w:rPr>
          <w:vertAlign w:val="superscript"/>
        </w:rPr>
        <w:footnoteReference w:id="3"/>
      </w:r>
      <w:r>
        <w:t xml:space="preserve"> and asking two furt</w:t>
      </w:r>
      <w:r>
        <w:t>her questions: “Which, if any, of the adaptations on this card are needed? (Regardless of whether you have them already)”, and “Which, if any, of these adaptations do you currently have in your home? (Regardless of whether you need them)”. This is as far a</w:t>
      </w:r>
      <w:r>
        <w:t xml:space="preserve">s the survey pursues this line of enquiry, which again falls short of the ideal level of detail for our purposes. </w:t>
      </w:r>
      <w:proofErr w:type="gramStart"/>
      <w:r>
        <w:t>In particular, there</w:t>
      </w:r>
      <w:proofErr w:type="gramEnd"/>
      <w:r>
        <w:t xml:space="preserve"> is no follow up question that asks why any adaptations that the householder does have are not needed, a topic we return t</w:t>
      </w:r>
      <w:r>
        <w:t>o in more detail in a later discussion.</w:t>
      </w:r>
      <w:r>
        <w:rPr>
          <w:vertAlign w:val="superscript"/>
        </w:rPr>
        <w:footnoteReference w:id="4"/>
      </w:r>
      <w:r>
        <w:t xml:space="preserve"> </w:t>
      </w:r>
    </w:p>
    <w:p w14:paraId="185C428C" w14:textId="77777777" w:rsidR="00B94971" w:rsidRDefault="0047225A">
      <w:pPr>
        <w:ind w:left="-15" w:firstLine="720"/>
      </w:pPr>
      <w:r>
        <w:t>In accepting theses datasets at face value, we are therefore working on the assumption that some of the ambiguities and subjective interpretations of the questions are not responsible for the results we produce. T</w:t>
      </w:r>
      <w:r>
        <w:t>his does not seem an unreasonable assumption when considering the large numbers interviewed (around 17,000 households</w:t>
      </w:r>
      <w:proofErr w:type="gramStart"/>
      <w:r>
        <w:t>), but</w:t>
      </w:r>
      <w:proofErr w:type="gramEnd"/>
      <w:r>
        <w:t xml:space="preserve"> may be more significant when the numbers are broken down into more specific categories. There is a balance to be struck between iden</w:t>
      </w:r>
      <w:r>
        <w:t>tifying possible relationships among ever more precise slices through the data, and the numbers who fall into those categories, which inherently become smaller. Accepting this as a potential problem, we proceed with caution and acknowledge that confirmatio</w:t>
      </w:r>
      <w:r>
        <w:t xml:space="preserve">n of some of our findings will need to come from more carefully targeted future research. </w:t>
      </w:r>
    </w:p>
    <w:p w14:paraId="2671BB85" w14:textId="77777777" w:rsidR="00B94971" w:rsidRDefault="0047225A">
      <w:pPr>
        <w:spacing w:after="0" w:line="259" w:lineRule="auto"/>
        <w:ind w:left="0" w:firstLine="0"/>
        <w:jc w:val="left"/>
      </w:pPr>
      <w:r>
        <w:t xml:space="preserve"> </w:t>
      </w:r>
    </w:p>
    <w:p w14:paraId="74339BCE" w14:textId="77777777" w:rsidR="00B94971" w:rsidRDefault="0047225A">
      <w:pPr>
        <w:pStyle w:val="Heading2"/>
        <w:ind w:left="-5"/>
      </w:pPr>
      <w:r>
        <w:t xml:space="preserve">Social Measures </w:t>
      </w:r>
    </w:p>
    <w:p w14:paraId="7AED1A67" w14:textId="77777777" w:rsidR="00B94971" w:rsidRDefault="0047225A">
      <w:pPr>
        <w:ind w:left="-5"/>
      </w:pPr>
      <w:r>
        <w:t xml:space="preserve">Within both surveys is a range of socio-cultural information which forms the basis for cross referencing with the numbers and types of adaptation </w:t>
      </w:r>
      <w:r>
        <w:t xml:space="preserve">outlined above. From the information available, a comprehensive list of Social Measures was drawn up including any variables that might be conceivably </w:t>
      </w:r>
      <w:proofErr w:type="gramStart"/>
      <w:r>
        <w:t>useful, and</w:t>
      </w:r>
      <w:proofErr w:type="gramEnd"/>
      <w:r>
        <w:t xml:space="preserve"> adjusted so that there were a manageable number of categories for each (Table 1). At this sta</w:t>
      </w:r>
      <w:r>
        <w:t xml:space="preserve">ge, the list was kept as broad as possible without prejudice, so that any patterns that emerged were equally likely to come from any of these measures. We did not assume for example that ‘Ethnic Group’ was any more or less likely to correlate to provision </w:t>
      </w:r>
      <w:r>
        <w:t xml:space="preserve">than ‘Dwelling Type’ or ‘Tenure’. At the same time, in narrowing the possible response categories it was necessary to exercise personal judgement to provide </w:t>
      </w:r>
      <w:r>
        <w:lastRenderedPageBreak/>
        <w:t>categories that were distinct and meaningful, and yet at the same time with large enough numbers to</w:t>
      </w:r>
      <w:r>
        <w:t xml:space="preserve"> be able to justify statistical significance. The data for ‘Ethnic Group’ is a good example: survey results define 8 categories for the ethnic group of the HRP, which is reduced by deriving two more variables (as used in our analysis here), one of 4 catego</w:t>
      </w:r>
      <w:r>
        <w:t xml:space="preserve">ries, and the other having only two (‘white’ and ‘other’). There is no further differentiation of the ‘white’ category, </w:t>
      </w:r>
      <w:proofErr w:type="gramStart"/>
      <w:r>
        <w:t>despite the fact that</w:t>
      </w:r>
      <w:proofErr w:type="gramEnd"/>
      <w:r>
        <w:t xml:space="preserve"> it accounts for over 90% of the sample as a whole. Rather bizarrely however, the ethnic group of the HRP’s partner</w:t>
      </w:r>
      <w:r>
        <w:t xml:space="preserve"> has 15 categories, although even then there are still only two ‘white’ categories (‘white British’ and ‘white - other’).  </w:t>
      </w:r>
    </w:p>
    <w:p w14:paraId="751AE943" w14:textId="77777777" w:rsidR="00B94971" w:rsidRDefault="0047225A">
      <w:pPr>
        <w:ind w:left="-15" w:firstLine="720"/>
      </w:pPr>
      <w:r>
        <w:t>Thus, in choosing how we could categorise each of the measures listed in Table 1, we were directed by the data available, rather tha</w:t>
      </w:r>
      <w:r>
        <w:t xml:space="preserve">n free to choose what we might have considered to be ideal. Despite this, we have still been able to draw up a </w:t>
      </w:r>
      <w:proofErr w:type="gramStart"/>
      <w:r>
        <w:t>fairly comprehensive</w:t>
      </w:r>
      <w:proofErr w:type="gramEnd"/>
      <w:r>
        <w:t xml:space="preserve"> selection of attributes, many of which have previously been highlighted as potentially important in the provision of disabil</w:t>
      </w:r>
      <w:r>
        <w:t xml:space="preserve">ity adaptations. </w:t>
      </w:r>
    </w:p>
    <w:p w14:paraId="24739552" w14:textId="77777777" w:rsidR="00B94971" w:rsidRDefault="0047225A">
      <w:pPr>
        <w:spacing w:after="0" w:line="259" w:lineRule="auto"/>
        <w:ind w:left="0" w:firstLine="0"/>
        <w:jc w:val="left"/>
      </w:pPr>
      <w:r>
        <w:t xml:space="preserve"> </w:t>
      </w:r>
    </w:p>
    <w:p w14:paraId="01342683" w14:textId="77777777" w:rsidR="00B94971" w:rsidRDefault="0047225A">
      <w:pPr>
        <w:pStyle w:val="Heading2"/>
        <w:spacing w:after="0" w:line="259" w:lineRule="auto"/>
        <w:ind w:right="6"/>
        <w:jc w:val="center"/>
      </w:pPr>
      <w:r>
        <w:rPr>
          <w:b/>
          <w:i w:val="0"/>
        </w:rPr>
        <w:t>Table 1</w:t>
      </w:r>
      <w:r>
        <w:rPr>
          <w:i w:val="0"/>
        </w:rPr>
        <w:t xml:space="preserve">: Social Measures investigated, and possible response categories </w:t>
      </w:r>
    </w:p>
    <w:p w14:paraId="48B61A26" w14:textId="77777777" w:rsidR="00B94971" w:rsidRDefault="0047225A">
      <w:pPr>
        <w:spacing w:after="0" w:line="259" w:lineRule="auto"/>
        <w:ind w:left="720" w:firstLine="0"/>
        <w:jc w:val="left"/>
      </w:pPr>
      <w:r>
        <w:t xml:space="preserve"> </w:t>
      </w:r>
    </w:p>
    <w:tbl>
      <w:tblPr>
        <w:tblStyle w:val="TableGrid"/>
        <w:tblW w:w="9633" w:type="dxa"/>
        <w:tblInd w:w="-303" w:type="dxa"/>
        <w:tblCellMar>
          <w:top w:w="7" w:type="dxa"/>
          <w:left w:w="106" w:type="dxa"/>
          <w:bottom w:w="0" w:type="dxa"/>
          <w:right w:w="58" w:type="dxa"/>
        </w:tblCellMar>
        <w:tblLook w:val="04A0" w:firstRow="1" w:lastRow="0" w:firstColumn="1" w:lastColumn="0" w:noHBand="0" w:noVBand="1"/>
      </w:tblPr>
      <w:tblGrid>
        <w:gridCol w:w="1515"/>
        <w:gridCol w:w="992"/>
        <w:gridCol w:w="1333"/>
        <w:gridCol w:w="893"/>
        <w:gridCol w:w="1014"/>
        <w:gridCol w:w="937"/>
        <w:gridCol w:w="649"/>
        <w:gridCol w:w="848"/>
        <w:gridCol w:w="647"/>
        <w:gridCol w:w="805"/>
      </w:tblGrid>
      <w:tr w:rsidR="00B94971" w14:paraId="625FC725" w14:textId="77777777">
        <w:trPr>
          <w:trHeight w:val="259"/>
        </w:trPr>
        <w:tc>
          <w:tcPr>
            <w:tcW w:w="1551" w:type="dxa"/>
            <w:tcBorders>
              <w:top w:val="single" w:sz="12" w:space="0" w:color="000000"/>
              <w:left w:val="single" w:sz="12" w:space="0" w:color="000000"/>
              <w:bottom w:val="single" w:sz="12" w:space="0" w:color="000000"/>
              <w:right w:val="single" w:sz="12" w:space="0" w:color="000000"/>
            </w:tcBorders>
          </w:tcPr>
          <w:p w14:paraId="0D16043E" w14:textId="77777777" w:rsidR="00B94971" w:rsidRDefault="0047225A">
            <w:pPr>
              <w:spacing w:after="0" w:line="259" w:lineRule="auto"/>
              <w:ind w:left="2" w:firstLine="0"/>
              <w:jc w:val="left"/>
            </w:pPr>
            <w:r>
              <w:rPr>
                <w:b/>
                <w:sz w:val="20"/>
              </w:rPr>
              <w:t xml:space="preserve">Social Measure </w:t>
            </w:r>
          </w:p>
        </w:tc>
        <w:tc>
          <w:tcPr>
            <w:tcW w:w="1027" w:type="dxa"/>
            <w:tcBorders>
              <w:top w:val="single" w:sz="12" w:space="0" w:color="000000"/>
              <w:left w:val="single" w:sz="12" w:space="0" w:color="000000"/>
              <w:bottom w:val="single" w:sz="12" w:space="0" w:color="000000"/>
              <w:right w:val="nil"/>
            </w:tcBorders>
          </w:tcPr>
          <w:p w14:paraId="20AD74B3" w14:textId="77777777" w:rsidR="00B94971" w:rsidRDefault="00B94971">
            <w:pPr>
              <w:spacing w:after="160" w:line="259" w:lineRule="auto"/>
              <w:ind w:left="0" w:firstLine="0"/>
              <w:jc w:val="left"/>
            </w:pPr>
          </w:p>
        </w:tc>
        <w:tc>
          <w:tcPr>
            <w:tcW w:w="1016" w:type="dxa"/>
            <w:tcBorders>
              <w:top w:val="single" w:sz="12" w:space="0" w:color="000000"/>
              <w:left w:val="nil"/>
              <w:bottom w:val="single" w:sz="12" w:space="0" w:color="000000"/>
              <w:right w:val="nil"/>
            </w:tcBorders>
          </w:tcPr>
          <w:p w14:paraId="3962B704" w14:textId="77777777" w:rsidR="00B94971" w:rsidRDefault="00B94971">
            <w:pPr>
              <w:spacing w:after="160" w:line="259" w:lineRule="auto"/>
              <w:ind w:left="0" w:firstLine="0"/>
              <w:jc w:val="left"/>
            </w:pPr>
          </w:p>
        </w:tc>
        <w:tc>
          <w:tcPr>
            <w:tcW w:w="929" w:type="dxa"/>
            <w:tcBorders>
              <w:top w:val="single" w:sz="12" w:space="0" w:color="000000"/>
              <w:left w:val="nil"/>
              <w:bottom w:val="single" w:sz="12" w:space="0" w:color="000000"/>
              <w:right w:val="nil"/>
            </w:tcBorders>
          </w:tcPr>
          <w:p w14:paraId="1B13F2F1" w14:textId="77777777" w:rsidR="00B94971" w:rsidRDefault="00B94971">
            <w:pPr>
              <w:spacing w:after="160" w:line="259" w:lineRule="auto"/>
              <w:ind w:left="0" w:firstLine="0"/>
              <w:jc w:val="left"/>
            </w:pPr>
          </w:p>
        </w:tc>
        <w:tc>
          <w:tcPr>
            <w:tcW w:w="2021" w:type="dxa"/>
            <w:gridSpan w:val="2"/>
            <w:tcBorders>
              <w:top w:val="single" w:sz="12" w:space="0" w:color="000000"/>
              <w:left w:val="nil"/>
              <w:bottom w:val="single" w:sz="12" w:space="0" w:color="000000"/>
              <w:right w:val="nil"/>
            </w:tcBorders>
          </w:tcPr>
          <w:p w14:paraId="675BBCE6" w14:textId="77777777" w:rsidR="00B94971" w:rsidRDefault="0047225A">
            <w:pPr>
              <w:spacing w:after="0" w:line="259" w:lineRule="auto"/>
              <w:ind w:left="65" w:firstLine="0"/>
              <w:jc w:val="center"/>
            </w:pPr>
            <w:r>
              <w:rPr>
                <w:b/>
                <w:sz w:val="20"/>
              </w:rPr>
              <w:t xml:space="preserve">Responses </w:t>
            </w:r>
          </w:p>
        </w:tc>
        <w:tc>
          <w:tcPr>
            <w:tcW w:w="684" w:type="dxa"/>
            <w:tcBorders>
              <w:top w:val="single" w:sz="12" w:space="0" w:color="000000"/>
              <w:left w:val="nil"/>
              <w:bottom w:val="single" w:sz="12" w:space="0" w:color="000000"/>
              <w:right w:val="nil"/>
            </w:tcBorders>
          </w:tcPr>
          <w:p w14:paraId="456AA9FB" w14:textId="77777777" w:rsidR="00B94971" w:rsidRDefault="00B94971">
            <w:pPr>
              <w:spacing w:after="160" w:line="259" w:lineRule="auto"/>
              <w:ind w:left="0" w:firstLine="0"/>
              <w:jc w:val="left"/>
            </w:pPr>
          </w:p>
        </w:tc>
        <w:tc>
          <w:tcPr>
            <w:tcW w:w="883" w:type="dxa"/>
            <w:tcBorders>
              <w:top w:val="single" w:sz="12" w:space="0" w:color="000000"/>
              <w:left w:val="nil"/>
              <w:bottom w:val="single" w:sz="12" w:space="0" w:color="000000"/>
              <w:right w:val="nil"/>
            </w:tcBorders>
          </w:tcPr>
          <w:p w14:paraId="2807E7A3" w14:textId="77777777" w:rsidR="00B94971" w:rsidRDefault="00B94971">
            <w:pPr>
              <w:spacing w:after="160" w:line="259" w:lineRule="auto"/>
              <w:ind w:left="0" w:firstLine="0"/>
              <w:jc w:val="left"/>
            </w:pPr>
          </w:p>
        </w:tc>
        <w:tc>
          <w:tcPr>
            <w:tcW w:w="682" w:type="dxa"/>
            <w:tcBorders>
              <w:top w:val="single" w:sz="12" w:space="0" w:color="000000"/>
              <w:left w:val="nil"/>
              <w:bottom w:val="single" w:sz="12" w:space="0" w:color="000000"/>
              <w:right w:val="nil"/>
            </w:tcBorders>
          </w:tcPr>
          <w:p w14:paraId="524E2FCE" w14:textId="77777777" w:rsidR="00B94971" w:rsidRDefault="00B94971">
            <w:pPr>
              <w:spacing w:after="160" w:line="259" w:lineRule="auto"/>
              <w:ind w:left="0" w:firstLine="0"/>
              <w:jc w:val="left"/>
            </w:pPr>
          </w:p>
        </w:tc>
        <w:tc>
          <w:tcPr>
            <w:tcW w:w="840" w:type="dxa"/>
            <w:tcBorders>
              <w:top w:val="single" w:sz="12" w:space="0" w:color="000000"/>
              <w:left w:val="nil"/>
              <w:bottom w:val="single" w:sz="12" w:space="0" w:color="000000"/>
              <w:right w:val="single" w:sz="12" w:space="0" w:color="000000"/>
            </w:tcBorders>
          </w:tcPr>
          <w:p w14:paraId="1C8CD8A4" w14:textId="77777777" w:rsidR="00B94971" w:rsidRDefault="00B94971">
            <w:pPr>
              <w:spacing w:after="160" w:line="259" w:lineRule="auto"/>
              <w:ind w:left="0" w:firstLine="0"/>
              <w:jc w:val="left"/>
            </w:pPr>
          </w:p>
        </w:tc>
      </w:tr>
      <w:tr w:rsidR="00B94971" w14:paraId="00906E75" w14:textId="77777777">
        <w:trPr>
          <w:trHeight w:val="252"/>
        </w:trPr>
        <w:tc>
          <w:tcPr>
            <w:tcW w:w="1551" w:type="dxa"/>
            <w:tcBorders>
              <w:top w:val="single" w:sz="12" w:space="0" w:color="000000"/>
              <w:left w:val="single" w:sz="12" w:space="0" w:color="000000"/>
              <w:bottom w:val="single" w:sz="4" w:space="0" w:color="000000"/>
              <w:right w:val="single" w:sz="12" w:space="0" w:color="000000"/>
            </w:tcBorders>
          </w:tcPr>
          <w:p w14:paraId="0F67BFCB" w14:textId="77777777" w:rsidR="00B94971" w:rsidRDefault="0047225A">
            <w:pPr>
              <w:spacing w:after="0" w:line="259" w:lineRule="auto"/>
              <w:ind w:left="2" w:firstLine="0"/>
              <w:jc w:val="left"/>
            </w:pPr>
            <w:r>
              <w:rPr>
                <w:b/>
                <w:sz w:val="20"/>
              </w:rPr>
              <w:t xml:space="preserve">Ethnic Group </w:t>
            </w:r>
          </w:p>
        </w:tc>
        <w:tc>
          <w:tcPr>
            <w:tcW w:w="1027" w:type="dxa"/>
            <w:tcBorders>
              <w:top w:val="single" w:sz="12" w:space="0" w:color="000000"/>
              <w:left w:val="single" w:sz="12" w:space="0" w:color="000000"/>
              <w:bottom w:val="single" w:sz="4" w:space="0" w:color="000000"/>
              <w:right w:val="single" w:sz="4" w:space="0" w:color="000000"/>
            </w:tcBorders>
          </w:tcPr>
          <w:p w14:paraId="1A35910F" w14:textId="77777777" w:rsidR="00B94971" w:rsidRDefault="0047225A">
            <w:pPr>
              <w:spacing w:after="0" w:line="259" w:lineRule="auto"/>
              <w:ind w:left="2" w:firstLine="0"/>
              <w:jc w:val="left"/>
            </w:pPr>
            <w:r>
              <w:rPr>
                <w:sz w:val="20"/>
              </w:rPr>
              <w:t xml:space="preserve">Black </w:t>
            </w:r>
          </w:p>
        </w:tc>
        <w:tc>
          <w:tcPr>
            <w:tcW w:w="1016" w:type="dxa"/>
            <w:tcBorders>
              <w:top w:val="single" w:sz="12" w:space="0" w:color="000000"/>
              <w:left w:val="single" w:sz="4" w:space="0" w:color="000000"/>
              <w:bottom w:val="single" w:sz="4" w:space="0" w:color="000000"/>
              <w:right w:val="single" w:sz="4" w:space="0" w:color="000000"/>
            </w:tcBorders>
          </w:tcPr>
          <w:p w14:paraId="140ABCC6" w14:textId="77777777" w:rsidR="00B94971" w:rsidRDefault="0047225A">
            <w:pPr>
              <w:spacing w:after="0" w:line="259" w:lineRule="auto"/>
              <w:ind w:left="2" w:firstLine="0"/>
              <w:jc w:val="left"/>
            </w:pPr>
            <w:r>
              <w:rPr>
                <w:sz w:val="20"/>
              </w:rPr>
              <w:t xml:space="preserve">White </w:t>
            </w:r>
          </w:p>
        </w:tc>
        <w:tc>
          <w:tcPr>
            <w:tcW w:w="929" w:type="dxa"/>
            <w:tcBorders>
              <w:top w:val="single" w:sz="12" w:space="0" w:color="000000"/>
              <w:left w:val="single" w:sz="4" w:space="0" w:color="000000"/>
              <w:bottom w:val="single" w:sz="4" w:space="0" w:color="000000"/>
              <w:right w:val="single" w:sz="4" w:space="0" w:color="000000"/>
            </w:tcBorders>
          </w:tcPr>
          <w:p w14:paraId="7AF8C6FA" w14:textId="77777777" w:rsidR="00B94971" w:rsidRDefault="0047225A">
            <w:pPr>
              <w:spacing w:after="0" w:line="259" w:lineRule="auto"/>
              <w:ind w:left="2" w:firstLine="0"/>
              <w:jc w:val="left"/>
            </w:pPr>
            <w:r>
              <w:rPr>
                <w:sz w:val="20"/>
              </w:rPr>
              <w:t xml:space="preserve">Asian </w:t>
            </w:r>
          </w:p>
        </w:tc>
        <w:tc>
          <w:tcPr>
            <w:tcW w:w="1049" w:type="dxa"/>
            <w:tcBorders>
              <w:top w:val="single" w:sz="12" w:space="0" w:color="000000"/>
              <w:left w:val="single" w:sz="4" w:space="0" w:color="000000"/>
              <w:bottom w:val="single" w:sz="4" w:space="0" w:color="000000"/>
              <w:right w:val="single" w:sz="4" w:space="0" w:color="000000"/>
            </w:tcBorders>
          </w:tcPr>
          <w:p w14:paraId="34F656DD" w14:textId="77777777" w:rsidR="00B94971" w:rsidRDefault="0047225A">
            <w:pPr>
              <w:spacing w:after="0" w:line="259" w:lineRule="auto"/>
              <w:ind w:left="0" w:firstLine="0"/>
              <w:jc w:val="left"/>
            </w:pPr>
            <w:r>
              <w:rPr>
                <w:sz w:val="20"/>
              </w:rPr>
              <w:t xml:space="preserve">Other </w:t>
            </w:r>
          </w:p>
        </w:tc>
        <w:tc>
          <w:tcPr>
            <w:tcW w:w="972" w:type="dxa"/>
            <w:tcBorders>
              <w:top w:val="single" w:sz="12" w:space="0" w:color="000000"/>
              <w:left w:val="single" w:sz="4" w:space="0" w:color="000000"/>
              <w:bottom w:val="single" w:sz="4" w:space="0" w:color="000000"/>
              <w:right w:val="single" w:sz="4" w:space="0" w:color="000000"/>
            </w:tcBorders>
          </w:tcPr>
          <w:p w14:paraId="696F2171" w14:textId="77777777" w:rsidR="00B94971" w:rsidRDefault="0047225A">
            <w:pPr>
              <w:spacing w:after="0" w:line="259" w:lineRule="auto"/>
              <w:ind w:left="2" w:firstLine="0"/>
              <w:jc w:val="left"/>
            </w:pPr>
            <w:r>
              <w:rPr>
                <w:sz w:val="20"/>
              </w:rPr>
              <w:t xml:space="preserve"> </w:t>
            </w:r>
          </w:p>
        </w:tc>
        <w:tc>
          <w:tcPr>
            <w:tcW w:w="684" w:type="dxa"/>
            <w:tcBorders>
              <w:top w:val="single" w:sz="12" w:space="0" w:color="000000"/>
              <w:left w:val="single" w:sz="4" w:space="0" w:color="000000"/>
              <w:bottom w:val="single" w:sz="4" w:space="0" w:color="000000"/>
              <w:right w:val="single" w:sz="4" w:space="0" w:color="000000"/>
            </w:tcBorders>
          </w:tcPr>
          <w:p w14:paraId="6762DEFD" w14:textId="77777777" w:rsidR="00B94971" w:rsidRDefault="0047225A">
            <w:pPr>
              <w:spacing w:after="0" w:line="259" w:lineRule="auto"/>
              <w:ind w:left="2" w:firstLine="0"/>
              <w:jc w:val="left"/>
            </w:pPr>
            <w:r>
              <w:rPr>
                <w:sz w:val="20"/>
              </w:rPr>
              <w:t xml:space="preserve"> </w:t>
            </w:r>
          </w:p>
        </w:tc>
        <w:tc>
          <w:tcPr>
            <w:tcW w:w="883" w:type="dxa"/>
            <w:tcBorders>
              <w:top w:val="single" w:sz="12" w:space="0" w:color="000000"/>
              <w:left w:val="single" w:sz="4" w:space="0" w:color="000000"/>
              <w:bottom w:val="single" w:sz="4" w:space="0" w:color="000000"/>
              <w:right w:val="single" w:sz="4" w:space="0" w:color="000000"/>
            </w:tcBorders>
          </w:tcPr>
          <w:p w14:paraId="5711822D" w14:textId="77777777" w:rsidR="00B94971" w:rsidRDefault="0047225A">
            <w:pPr>
              <w:spacing w:after="0" w:line="259" w:lineRule="auto"/>
              <w:ind w:left="2" w:firstLine="0"/>
              <w:jc w:val="left"/>
            </w:pPr>
            <w:r>
              <w:rPr>
                <w:sz w:val="20"/>
              </w:rPr>
              <w:t xml:space="preserve"> </w:t>
            </w:r>
          </w:p>
        </w:tc>
        <w:tc>
          <w:tcPr>
            <w:tcW w:w="682" w:type="dxa"/>
            <w:tcBorders>
              <w:top w:val="single" w:sz="12" w:space="0" w:color="000000"/>
              <w:left w:val="single" w:sz="4" w:space="0" w:color="000000"/>
              <w:bottom w:val="single" w:sz="4" w:space="0" w:color="000000"/>
              <w:right w:val="single" w:sz="4" w:space="0" w:color="000000"/>
            </w:tcBorders>
          </w:tcPr>
          <w:p w14:paraId="55BBD243" w14:textId="77777777" w:rsidR="00B94971" w:rsidRDefault="0047225A">
            <w:pPr>
              <w:spacing w:after="0" w:line="259" w:lineRule="auto"/>
              <w:ind w:left="1" w:firstLine="0"/>
              <w:jc w:val="left"/>
            </w:pPr>
            <w:r>
              <w:rPr>
                <w:sz w:val="20"/>
              </w:rPr>
              <w:t xml:space="preserve"> </w:t>
            </w:r>
          </w:p>
        </w:tc>
        <w:tc>
          <w:tcPr>
            <w:tcW w:w="840" w:type="dxa"/>
            <w:tcBorders>
              <w:top w:val="single" w:sz="12" w:space="0" w:color="000000"/>
              <w:left w:val="single" w:sz="4" w:space="0" w:color="000000"/>
              <w:bottom w:val="single" w:sz="4" w:space="0" w:color="000000"/>
              <w:right w:val="single" w:sz="12" w:space="0" w:color="000000"/>
            </w:tcBorders>
          </w:tcPr>
          <w:p w14:paraId="217E2CFB" w14:textId="77777777" w:rsidR="00B94971" w:rsidRDefault="0047225A">
            <w:pPr>
              <w:spacing w:after="0" w:line="259" w:lineRule="auto"/>
              <w:ind w:left="2" w:firstLine="0"/>
              <w:jc w:val="left"/>
            </w:pPr>
            <w:r>
              <w:rPr>
                <w:sz w:val="20"/>
              </w:rPr>
              <w:t xml:space="preserve"> </w:t>
            </w:r>
          </w:p>
        </w:tc>
      </w:tr>
      <w:tr w:rsidR="00B94971" w14:paraId="4925DC79" w14:textId="77777777">
        <w:trPr>
          <w:trHeight w:val="699"/>
        </w:trPr>
        <w:tc>
          <w:tcPr>
            <w:tcW w:w="1551" w:type="dxa"/>
            <w:tcBorders>
              <w:top w:val="single" w:sz="4" w:space="0" w:color="000000"/>
              <w:left w:val="single" w:sz="12" w:space="0" w:color="000000"/>
              <w:bottom w:val="single" w:sz="4" w:space="0" w:color="000000"/>
              <w:right w:val="single" w:sz="12" w:space="0" w:color="000000"/>
            </w:tcBorders>
          </w:tcPr>
          <w:p w14:paraId="3FEA26BE" w14:textId="77777777" w:rsidR="00B94971" w:rsidRDefault="0047225A">
            <w:pPr>
              <w:spacing w:after="0" w:line="259" w:lineRule="auto"/>
              <w:ind w:left="2" w:firstLine="0"/>
              <w:jc w:val="left"/>
            </w:pPr>
            <w:r>
              <w:rPr>
                <w:b/>
                <w:sz w:val="20"/>
              </w:rPr>
              <w:t xml:space="preserve">Dwelling Type </w:t>
            </w:r>
          </w:p>
        </w:tc>
        <w:tc>
          <w:tcPr>
            <w:tcW w:w="1027" w:type="dxa"/>
            <w:tcBorders>
              <w:top w:val="single" w:sz="4" w:space="0" w:color="000000"/>
              <w:left w:val="single" w:sz="12" w:space="0" w:color="000000"/>
              <w:bottom w:val="single" w:sz="4" w:space="0" w:color="000000"/>
              <w:right w:val="single" w:sz="4" w:space="0" w:color="000000"/>
            </w:tcBorders>
          </w:tcPr>
          <w:p w14:paraId="14DD0F42" w14:textId="77777777" w:rsidR="00B94971" w:rsidRDefault="0047225A">
            <w:pPr>
              <w:spacing w:after="0" w:line="259" w:lineRule="auto"/>
              <w:ind w:left="2" w:firstLine="0"/>
              <w:jc w:val="left"/>
            </w:pPr>
            <w:r>
              <w:rPr>
                <w:sz w:val="20"/>
              </w:rPr>
              <w:t xml:space="preserve">Detached house </w:t>
            </w:r>
          </w:p>
        </w:tc>
        <w:tc>
          <w:tcPr>
            <w:tcW w:w="1016" w:type="dxa"/>
            <w:tcBorders>
              <w:top w:val="single" w:sz="4" w:space="0" w:color="000000"/>
              <w:left w:val="single" w:sz="4" w:space="0" w:color="000000"/>
              <w:bottom w:val="single" w:sz="4" w:space="0" w:color="000000"/>
              <w:right w:val="single" w:sz="4" w:space="0" w:color="000000"/>
            </w:tcBorders>
          </w:tcPr>
          <w:p w14:paraId="7F9F19CF" w14:textId="77777777" w:rsidR="00B94971" w:rsidRDefault="0047225A">
            <w:pPr>
              <w:spacing w:after="0" w:line="259" w:lineRule="auto"/>
              <w:ind w:left="2" w:firstLine="0"/>
              <w:jc w:val="left"/>
            </w:pPr>
            <w:proofErr w:type="spellStart"/>
            <w:r>
              <w:rPr>
                <w:sz w:val="20"/>
              </w:rPr>
              <w:t>SemiDetached</w:t>
            </w:r>
            <w:proofErr w:type="spellEnd"/>
            <w:r>
              <w:rPr>
                <w:sz w:val="20"/>
              </w:rPr>
              <w:t xml:space="preserve"> house </w:t>
            </w:r>
          </w:p>
        </w:tc>
        <w:tc>
          <w:tcPr>
            <w:tcW w:w="929" w:type="dxa"/>
            <w:tcBorders>
              <w:top w:val="single" w:sz="4" w:space="0" w:color="000000"/>
              <w:left w:val="single" w:sz="4" w:space="0" w:color="000000"/>
              <w:bottom w:val="single" w:sz="4" w:space="0" w:color="000000"/>
              <w:right w:val="single" w:sz="4" w:space="0" w:color="000000"/>
            </w:tcBorders>
          </w:tcPr>
          <w:p w14:paraId="15AE1B4E" w14:textId="77777777" w:rsidR="00B94971" w:rsidRDefault="0047225A">
            <w:pPr>
              <w:spacing w:after="0" w:line="259" w:lineRule="auto"/>
              <w:ind w:left="2" w:firstLine="0"/>
              <w:jc w:val="left"/>
            </w:pPr>
            <w:r>
              <w:rPr>
                <w:sz w:val="20"/>
              </w:rPr>
              <w:t xml:space="preserve">Terraced House </w:t>
            </w:r>
          </w:p>
        </w:tc>
        <w:tc>
          <w:tcPr>
            <w:tcW w:w="1049" w:type="dxa"/>
            <w:tcBorders>
              <w:top w:val="single" w:sz="4" w:space="0" w:color="000000"/>
              <w:left w:val="single" w:sz="4" w:space="0" w:color="000000"/>
              <w:bottom w:val="single" w:sz="4" w:space="0" w:color="000000"/>
              <w:right w:val="single" w:sz="4" w:space="0" w:color="000000"/>
            </w:tcBorders>
          </w:tcPr>
          <w:p w14:paraId="535A319D" w14:textId="77777777" w:rsidR="00B94971" w:rsidRDefault="0047225A">
            <w:pPr>
              <w:spacing w:after="0" w:line="259" w:lineRule="auto"/>
              <w:ind w:left="0" w:firstLine="0"/>
              <w:jc w:val="left"/>
            </w:pPr>
            <w:r>
              <w:rPr>
                <w:sz w:val="20"/>
              </w:rPr>
              <w:t xml:space="preserve">Converted </w:t>
            </w:r>
          </w:p>
          <w:p w14:paraId="462E294E" w14:textId="77777777" w:rsidR="00B94971" w:rsidRDefault="0047225A">
            <w:pPr>
              <w:spacing w:after="0" w:line="259" w:lineRule="auto"/>
              <w:ind w:left="0" w:firstLine="0"/>
              <w:jc w:val="left"/>
            </w:pPr>
            <w:r>
              <w:rPr>
                <w:sz w:val="20"/>
              </w:rPr>
              <w:t xml:space="preserve">Flat </w:t>
            </w:r>
          </w:p>
        </w:tc>
        <w:tc>
          <w:tcPr>
            <w:tcW w:w="972" w:type="dxa"/>
            <w:tcBorders>
              <w:top w:val="single" w:sz="4" w:space="0" w:color="000000"/>
              <w:left w:val="single" w:sz="4" w:space="0" w:color="000000"/>
              <w:bottom w:val="single" w:sz="4" w:space="0" w:color="000000"/>
              <w:right w:val="single" w:sz="4" w:space="0" w:color="000000"/>
            </w:tcBorders>
          </w:tcPr>
          <w:p w14:paraId="73F363EF" w14:textId="77777777" w:rsidR="00B94971" w:rsidRDefault="0047225A">
            <w:pPr>
              <w:spacing w:after="0" w:line="259" w:lineRule="auto"/>
              <w:ind w:left="2" w:firstLine="0"/>
              <w:jc w:val="left"/>
            </w:pPr>
            <w:r>
              <w:rPr>
                <w:sz w:val="20"/>
              </w:rPr>
              <w:t>Purpose-</w:t>
            </w:r>
          </w:p>
          <w:p w14:paraId="5B4DB66B" w14:textId="77777777" w:rsidR="00B94971" w:rsidRDefault="0047225A">
            <w:pPr>
              <w:spacing w:after="0" w:line="259" w:lineRule="auto"/>
              <w:ind w:left="2" w:firstLine="0"/>
              <w:jc w:val="left"/>
            </w:pPr>
            <w:r>
              <w:rPr>
                <w:sz w:val="20"/>
              </w:rPr>
              <w:t xml:space="preserve">built Flat </w:t>
            </w:r>
          </w:p>
        </w:tc>
        <w:tc>
          <w:tcPr>
            <w:tcW w:w="684" w:type="dxa"/>
            <w:tcBorders>
              <w:top w:val="single" w:sz="4" w:space="0" w:color="000000"/>
              <w:left w:val="single" w:sz="4" w:space="0" w:color="000000"/>
              <w:bottom w:val="single" w:sz="4" w:space="0" w:color="000000"/>
              <w:right w:val="single" w:sz="4" w:space="0" w:color="000000"/>
            </w:tcBorders>
          </w:tcPr>
          <w:p w14:paraId="4F5C049B" w14:textId="77777777" w:rsidR="00B94971" w:rsidRDefault="0047225A">
            <w:pPr>
              <w:spacing w:after="0" w:line="259" w:lineRule="auto"/>
              <w:ind w:left="2" w:firstLine="0"/>
              <w:jc w:val="left"/>
            </w:pPr>
            <w:r>
              <w:rPr>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18299111" w14:textId="77777777" w:rsidR="00B94971" w:rsidRDefault="0047225A">
            <w:pPr>
              <w:spacing w:after="0" w:line="259" w:lineRule="auto"/>
              <w:ind w:left="2" w:firstLine="0"/>
              <w:jc w:val="left"/>
            </w:pPr>
            <w:r>
              <w:rPr>
                <w:sz w:val="20"/>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0DAEFC17" w14:textId="77777777" w:rsidR="00B94971" w:rsidRDefault="0047225A">
            <w:pPr>
              <w:spacing w:after="0" w:line="259" w:lineRule="auto"/>
              <w:ind w:left="1" w:firstLine="0"/>
              <w:jc w:val="left"/>
            </w:pPr>
            <w:r>
              <w:rPr>
                <w:sz w:val="20"/>
              </w:rPr>
              <w:t xml:space="preserve"> </w:t>
            </w:r>
          </w:p>
        </w:tc>
        <w:tc>
          <w:tcPr>
            <w:tcW w:w="840" w:type="dxa"/>
            <w:tcBorders>
              <w:top w:val="single" w:sz="4" w:space="0" w:color="000000"/>
              <w:left w:val="single" w:sz="4" w:space="0" w:color="000000"/>
              <w:bottom w:val="single" w:sz="4" w:space="0" w:color="000000"/>
              <w:right w:val="single" w:sz="12" w:space="0" w:color="000000"/>
            </w:tcBorders>
          </w:tcPr>
          <w:p w14:paraId="0D09B9B4" w14:textId="77777777" w:rsidR="00B94971" w:rsidRDefault="0047225A">
            <w:pPr>
              <w:spacing w:after="0" w:line="259" w:lineRule="auto"/>
              <w:ind w:left="2" w:firstLine="0"/>
              <w:jc w:val="left"/>
            </w:pPr>
            <w:r>
              <w:rPr>
                <w:sz w:val="20"/>
              </w:rPr>
              <w:t xml:space="preserve"> </w:t>
            </w:r>
          </w:p>
        </w:tc>
      </w:tr>
      <w:tr w:rsidR="00B94971" w14:paraId="19676367" w14:textId="77777777">
        <w:trPr>
          <w:trHeight w:val="470"/>
        </w:trPr>
        <w:tc>
          <w:tcPr>
            <w:tcW w:w="1551" w:type="dxa"/>
            <w:tcBorders>
              <w:top w:val="single" w:sz="4" w:space="0" w:color="000000"/>
              <w:left w:val="single" w:sz="12" w:space="0" w:color="000000"/>
              <w:bottom w:val="single" w:sz="4" w:space="0" w:color="000000"/>
              <w:right w:val="single" w:sz="12" w:space="0" w:color="000000"/>
            </w:tcBorders>
          </w:tcPr>
          <w:p w14:paraId="4C87DCA2" w14:textId="77777777" w:rsidR="00B94971" w:rsidRDefault="0047225A">
            <w:pPr>
              <w:spacing w:after="0" w:line="259" w:lineRule="auto"/>
              <w:ind w:left="2" w:firstLine="0"/>
              <w:jc w:val="left"/>
            </w:pPr>
            <w:r>
              <w:rPr>
                <w:b/>
                <w:sz w:val="20"/>
              </w:rPr>
              <w:t xml:space="preserve">Dwelling Age </w:t>
            </w:r>
          </w:p>
        </w:tc>
        <w:tc>
          <w:tcPr>
            <w:tcW w:w="1027" w:type="dxa"/>
            <w:tcBorders>
              <w:top w:val="single" w:sz="4" w:space="0" w:color="000000"/>
              <w:left w:val="single" w:sz="12" w:space="0" w:color="000000"/>
              <w:bottom w:val="single" w:sz="4" w:space="0" w:color="000000"/>
              <w:right w:val="single" w:sz="4" w:space="0" w:color="000000"/>
            </w:tcBorders>
          </w:tcPr>
          <w:p w14:paraId="1328020E" w14:textId="77777777" w:rsidR="00B94971" w:rsidRDefault="0047225A">
            <w:pPr>
              <w:spacing w:after="0" w:line="259" w:lineRule="auto"/>
              <w:ind w:left="2" w:firstLine="0"/>
              <w:jc w:val="left"/>
            </w:pPr>
            <w:r>
              <w:rPr>
                <w:sz w:val="20"/>
              </w:rPr>
              <w:t xml:space="preserve">Pre 1919 </w:t>
            </w:r>
          </w:p>
        </w:tc>
        <w:tc>
          <w:tcPr>
            <w:tcW w:w="1016" w:type="dxa"/>
            <w:tcBorders>
              <w:top w:val="single" w:sz="4" w:space="0" w:color="000000"/>
              <w:left w:val="single" w:sz="4" w:space="0" w:color="000000"/>
              <w:bottom w:val="single" w:sz="4" w:space="0" w:color="000000"/>
              <w:right w:val="single" w:sz="4" w:space="0" w:color="000000"/>
            </w:tcBorders>
          </w:tcPr>
          <w:p w14:paraId="00E38657" w14:textId="77777777" w:rsidR="00B94971" w:rsidRDefault="0047225A">
            <w:pPr>
              <w:spacing w:after="0" w:line="259" w:lineRule="auto"/>
              <w:ind w:left="2" w:firstLine="0"/>
              <w:jc w:val="left"/>
            </w:pPr>
            <w:r>
              <w:rPr>
                <w:sz w:val="20"/>
              </w:rPr>
              <w:t>1919-</w:t>
            </w:r>
          </w:p>
          <w:p w14:paraId="33A57460" w14:textId="77777777" w:rsidR="00B94971" w:rsidRDefault="0047225A">
            <w:pPr>
              <w:spacing w:after="0" w:line="259" w:lineRule="auto"/>
              <w:ind w:left="2" w:firstLine="0"/>
              <w:jc w:val="left"/>
            </w:pPr>
            <w:r>
              <w:rPr>
                <w:sz w:val="20"/>
              </w:rPr>
              <w:t xml:space="preserve">1944 </w:t>
            </w:r>
          </w:p>
        </w:tc>
        <w:tc>
          <w:tcPr>
            <w:tcW w:w="929" w:type="dxa"/>
            <w:tcBorders>
              <w:top w:val="single" w:sz="4" w:space="0" w:color="000000"/>
              <w:left w:val="single" w:sz="4" w:space="0" w:color="000000"/>
              <w:bottom w:val="single" w:sz="4" w:space="0" w:color="000000"/>
              <w:right w:val="single" w:sz="4" w:space="0" w:color="000000"/>
            </w:tcBorders>
          </w:tcPr>
          <w:p w14:paraId="6D6E4643" w14:textId="77777777" w:rsidR="00B94971" w:rsidRDefault="0047225A">
            <w:pPr>
              <w:spacing w:after="0" w:line="259" w:lineRule="auto"/>
              <w:ind w:left="2" w:firstLine="0"/>
              <w:jc w:val="left"/>
            </w:pPr>
            <w:r>
              <w:rPr>
                <w:sz w:val="20"/>
              </w:rPr>
              <w:t>1945-</w:t>
            </w:r>
          </w:p>
          <w:p w14:paraId="3A8A774E" w14:textId="77777777" w:rsidR="00B94971" w:rsidRDefault="0047225A">
            <w:pPr>
              <w:spacing w:after="0" w:line="259" w:lineRule="auto"/>
              <w:ind w:left="2" w:firstLine="0"/>
              <w:jc w:val="left"/>
            </w:pPr>
            <w:r>
              <w:rPr>
                <w:sz w:val="20"/>
              </w:rPr>
              <w:t xml:space="preserve">1964 </w:t>
            </w:r>
          </w:p>
        </w:tc>
        <w:tc>
          <w:tcPr>
            <w:tcW w:w="1049" w:type="dxa"/>
            <w:tcBorders>
              <w:top w:val="single" w:sz="4" w:space="0" w:color="000000"/>
              <w:left w:val="single" w:sz="4" w:space="0" w:color="000000"/>
              <w:bottom w:val="single" w:sz="4" w:space="0" w:color="000000"/>
              <w:right w:val="single" w:sz="4" w:space="0" w:color="000000"/>
            </w:tcBorders>
          </w:tcPr>
          <w:p w14:paraId="6D0FD069" w14:textId="77777777" w:rsidR="00B94971" w:rsidRDefault="0047225A">
            <w:pPr>
              <w:spacing w:after="0" w:line="259" w:lineRule="auto"/>
              <w:ind w:left="0" w:firstLine="0"/>
              <w:jc w:val="left"/>
            </w:pPr>
            <w:r>
              <w:rPr>
                <w:sz w:val="20"/>
              </w:rPr>
              <w:t>1965-</w:t>
            </w:r>
          </w:p>
          <w:p w14:paraId="12BB4DA0" w14:textId="77777777" w:rsidR="00B94971" w:rsidRDefault="0047225A">
            <w:pPr>
              <w:spacing w:after="0" w:line="259" w:lineRule="auto"/>
              <w:ind w:left="0" w:firstLine="0"/>
              <w:jc w:val="left"/>
            </w:pPr>
            <w:r>
              <w:rPr>
                <w:sz w:val="20"/>
              </w:rPr>
              <w:t xml:space="preserve">1980 </w:t>
            </w:r>
          </w:p>
        </w:tc>
        <w:tc>
          <w:tcPr>
            <w:tcW w:w="972" w:type="dxa"/>
            <w:tcBorders>
              <w:top w:val="single" w:sz="4" w:space="0" w:color="000000"/>
              <w:left w:val="single" w:sz="4" w:space="0" w:color="000000"/>
              <w:bottom w:val="single" w:sz="4" w:space="0" w:color="000000"/>
              <w:right w:val="single" w:sz="4" w:space="0" w:color="000000"/>
            </w:tcBorders>
          </w:tcPr>
          <w:p w14:paraId="369DA1CE" w14:textId="77777777" w:rsidR="00B94971" w:rsidRDefault="0047225A">
            <w:pPr>
              <w:spacing w:after="0" w:line="259" w:lineRule="auto"/>
              <w:ind w:left="2" w:firstLine="0"/>
              <w:jc w:val="left"/>
            </w:pPr>
            <w:r>
              <w:rPr>
                <w:sz w:val="20"/>
              </w:rPr>
              <w:t>1981-</w:t>
            </w:r>
          </w:p>
          <w:p w14:paraId="58553BE5" w14:textId="77777777" w:rsidR="00B94971" w:rsidRDefault="0047225A">
            <w:pPr>
              <w:spacing w:after="0" w:line="259" w:lineRule="auto"/>
              <w:ind w:left="2" w:firstLine="0"/>
              <w:jc w:val="left"/>
            </w:pPr>
            <w:r>
              <w:rPr>
                <w:sz w:val="20"/>
              </w:rPr>
              <w:t xml:space="preserve">1990 </w:t>
            </w:r>
          </w:p>
        </w:tc>
        <w:tc>
          <w:tcPr>
            <w:tcW w:w="684" w:type="dxa"/>
            <w:tcBorders>
              <w:top w:val="single" w:sz="4" w:space="0" w:color="000000"/>
              <w:left w:val="single" w:sz="4" w:space="0" w:color="000000"/>
              <w:bottom w:val="single" w:sz="4" w:space="0" w:color="000000"/>
              <w:right w:val="single" w:sz="4" w:space="0" w:color="000000"/>
            </w:tcBorders>
          </w:tcPr>
          <w:p w14:paraId="58E794C9" w14:textId="77777777" w:rsidR="00B94971" w:rsidRDefault="0047225A">
            <w:pPr>
              <w:spacing w:after="0" w:line="259" w:lineRule="auto"/>
              <w:ind w:left="2" w:firstLine="0"/>
              <w:jc w:val="left"/>
            </w:pPr>
            <w:r>
              <w:rPr>
                <w:sz w:val="20"/>
              </w:rPr>
              <w:t xml:space="preserve">Post 1990 </w:t>
            </w:r>
          </w:p>
        </w:tc>
        <w:tc>
          <w:tcPr>
            <w:tcW w:w="883" w:type="dxa"/>
            <w:tcBorders>
              <w:top w:val="single" w:sz="4" w:space="0" w:color="000000"/>
              <w:left w:val="single" w:sz="4" w:space="0" w:color="000000"/>
              <w:bottom w:val="single" w:sz="4" w:space="0" w:color="000000"/>
              <w:right w:val="single" w:sz="4" w:space="0" w:color="000000"/>
            </w:tcBorders>
          </w:tcPr>
          <w:p w14:paraId="4743BFA1" w14:textId="77777777" w:rsidR="00B94971" w:rsidRDefault="0047225A">
            <w:pPr>
              <w:spacing w:after="0" w:line="259" w:lineRule="auto"/>
              <w:ind w:left="2" w:firstLine="0"/>
              <w:jc w:val="left"/>
            </w:pPr>
            <w:r>
              <w:rPr>
                <w:sz w:val="20"/>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0D1B70D0" w14:textId="77777777" w:rsidR="00B94971" w:rsidRDefault="0047225A">
            <w:pPr>
              <w:spacing w:after="0" w:line="259" w:lineRule="auto"/>
              <w:ind w:left="1" w:firstLine="0"/>
              <w:jc w:val="left"/>
            </w:pPr>
            <w:r>
              <w:rPr>
                <w:sz w:val="20"/>
              </w:rPr>
              <w:t xml:space="preserve"> </w:t>
            </w:r>
          </w:p>
        </w:tc>
        <w:tc>
          <w:tcPr>
            <w:tcW w:w="840" w:type="dxa"/>
            <w:tcBorders>
              <w:top w:val="single" w:sz="4" w:space="0" w:color="000000"/>
              <w:left w:val="single" w:sz="4" w:space="0" w:color="000000"/>
              <w:bottom w:val="single" w:sz="4" w:space="0" w:color="000000"/>
              <w:right w:val="single" w:sz="12" w:space="0" w:color="000000"/>
            </w:tcBorders>
          </w:tcPr>
          <w:p w14:paraId="70C38F8F" w14:textId="77777777" w:rsidR="00B94971" w:rsidRDefault="0047225A">
            <w:pPr>
              <w:spacing w:after="0" w:line="259" w:lineRule="auto"/>
              <w:ind w:left="2" w:firstLine="0"/>
              <w:jc w:val="left"/>
            </w:pPr>
            <w:r>
              <w:rPr>
                <w:sz w:val="20"/>
              </w:rPr>
              <w:t xml:space="preserve"> </w:t>
            </w:r>
          </w:p>
        </w:tc>
      </w:tr>
      <w:tr w:rsidR="00B94971" w14:paraId="354E4952" w14:textId="77777777">
        <w:trPr>
          <w:trHeight w:val="470"/>
        </w:trPr>
        <w:tc>
          <w:tcPr>
            <w:tcW w:w="1551" w:type="dxa"/>
            <w:tcBorders>
              <w:top w:val="single" w:sz="4" w:space="0" w:color="000000"/>
              <w:left w:val="single" w:sz="12" w:space="0" w:color="000000"/>
              <w:bottom w:val="single" w:sz="4" w:space="0" w:color="000000"/>
              <w:right w:val="single" w:sz="12" w:space="0" w:color="000000"/>
            </w:tcBorders>
          </w:tcPr>
          <w:p w14:paraId="2E5D2309" w14:textId="77777777" w:rsidR="00B94971" w:rsidRDefault="0047225A">
            <w:pPr>
              <w:spacing w:after="0" w:line="259" w:lineRule="auto"/>
              <w:ind w:left="2" w:firstLine="0"/>
              <w:jc w:val="left"/>
            </w:pPr>
            <w:r>
              <w:rPr>
                <w:b/>
                <w:sz w:val="20"/>
              </w:rPr>
              <w:t xml:space="preserve">Region </w:t>
            </w:r>
          </w:p>
        </w:tc>
        <w:tc>
          <w:tcPr>
            <w:tcW w:w="1027" w:type="dxa"/>
            <w:tcBorders>
              <w:top w:val="single" w:sz="4" w:space="0" w:color="000000"/>
              <w:left w:val="single" w:sz="12" w:space="0" w:color="000000"/>
              <w:bottom w:val="single" w:sz="4" w:space="0" w:color="000000"/>
              <w:right w:val="single" w:sz="4" w:space="0" w:color="000000"/>
            </w:tcBorders>
          </w:tcPr>
          <w:p w14:paraId="4615E816" w14:textId="77777777" w:rsidR="00B94971" w:rsidRDefault="0047225A">
            <w:pPr>
              <w:spacing w:after="0" w:line="259" w:lineRule="auto"/>
              <w:ind w:left="2" w:right="3" w:firstLine="0"/>
              <w:jc w:val="left"/>
            </w:pPr>
            <w:proofErr w:type="gramStart"/>
            <w:r>
              <w:rPr>
                <w:sz w:val="20"/>
              </w:rPr>
              <w:t>North East</w:t>
            </w:r>
            <w:proofErr w:type="gramEnd"/>
            <w:r>
              <w:rPr>
                <w:sz w:val="20"/>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51756956" w14:textId="77777777" w:rsidR="00B94971" w:rsidRDefault="0047225A">
            <w:pPr>
              <w:spacing w:after="0" w:line="259" w:lineRule="auto"/>
              <w:ind w:left="2" w:firstLine="0"/>
              <w:jc w:val="left"/>
            </w:pPr>
            <w:r>
              <w:rPr>
                <w:sz w:val="20"/>
              </w:rPr>
              <w:t xml:space="preserve">Yorkshire </w:t>
            </w:r>
          </w:p>
        </w:tc>
        <w:tc>
          <w:tcPr>
            <w:tcW w:w="929" w:type="dxa"/>
            <w:tcBorders>
              <w:top w:val="single" w:sz="4" w:space="0" w:color="000000"/>
              <w:left w:val="single" w:sz="4" w:space="0" w:color="000000"/>
              <w:bottom w:val="single" w:sz="4" w:space="0" w:color="000000"/>
              <w:right w:val="single" w:sz="4" w:space="0" w:color="000000"/>
            </w:tcBorders>
          </w:tcPr>
          <w:p w14:paraId="2056DDD0" w14:textId="77777777" w:rsidR="00B94971" w:rsidRDefault="0047225A">
            <w:pPr>
              <w:spacing w:after="0" w:line="259" w:lineRule="auto"/>
              <w:ind w:left="2" w:firstLine="0"/>
              <w:jc w:val="left"/>
            </w:pPr>
            <w:proofErr w:type="gramStart"/>
            <w:r>
              <w:rPr>
                <w:sz w:val="20"/>
              </w:rPr>
              <w:t>North West</w:t>
            </w:r>
            <w:proofErr w:type="gramEnd"/>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3F8838AC" w14:textId="77777777" w:rsidR="00B94971" w:rsidRDefault="0047225A">
            <w:pPr>
              <w:spacing w:after="0" w:line="259" w:lineRule="auto"/>
              <w:ind w:left="0" w:firstLine="0"/>
              <w:jc w:val="left"/>
            </w:pPr>
            <w:r>
              <w:rPr>
                <w:sz w:val="20"/>
              </w:rPr>
              <w:t xml:space="preserve">East </w:t>
            </w:r>
          </w:p>
          <w:p w14:paraId="67F2FC98" w14:textId="77777777" w:rsidR="00B94971" w:rsidRDefault="0047225A">
            <w:pPr>
              <w:spacing w:after="0" w:line="259" w:lineRule="auto"/>
              <w:ind w:left="0" w:firstLine="0"/>
              <w:jc w:val="left"/>
            </w:pPr>
            <w:r>
              <w:rPr>
                <w:sz w:val="20"/>
              </w:rPr>
              <w:t xml:space="preserve">Midlands </w:t>
            </w:r>
          </w:p>
        </w:tc>
        <w:tc>
          <w:tcPr>
            <w:tcW w:w="972" w:type="dxa"/>
            <w:tcBorders>
              <w:top w:val="single" w:sz="4" w:space="0" w:color="000000"/>
              <w:left w:val="single" w:sz="4" w:space="0" w:color="000000"/>
              <w:bottom w:val="single" w:sz="4" w:space="0" w:color="000000"/>
              <w:right w:val="single" w:sz="4" w:space="0" w:color="000000"/>
            </w:tcBorders>
          </w:tcPr>
          <w:p w14:paraId="6FD13273" w14:textId="77777777" w:rsidR="00B94971" w:rsidRDefault="0047225A">
            <w:pPr>
              <w:spacing w:after="0" w:line="259" w:lineRule="auto"/>
              <w:ind w:left="2" w:firstLine="0"/>
              <w:jc w:val="left"/>
            </w:pPr>
            <w:r>
              <w:rPr>
                <w:sz w:val="20"/>
              </w:rPr>
              <w:t xml:space="preserve">West </w:t>
            </w:r>
          </w:p>
          <w:p w14:paraId="478960CF" w14:textId="77777777" w:rsidR="00B94971" w:rsidRDefault="0047225A">
            <w:pPr>
              <w:spacing w:after="0" w:line="259" w:lineRule="auto"/>
              <w:ind w:left="2" w:firstLine="0"/>
              <w:jc w:val="left"/>
            </w:pPr>
            <w:r>
              <w:rPr>
                <w:sz w:val="20"/>
              </w:rPr>
              <w:t xml:space="preserve">Midlands </w:t>
            </w:r>
          </w:p>
        </w:tc>
        <w:tc>
          <w:tcPr>
            <w:tcW w:w="684" w:type="dxa"/>
            <w:tcBorders>
              <w:top w:val="single" w:sz="4" w:space="0" w:color="000000"/>
              <w:left w:val="single" w:sz="4" w:space="0" w:color="000000"/>
              <w:bottom w:val="single" w:sz="4" w:space="0" w:color="000000"/>
              <w:right w:val="single" w:sz="4" w:space="0" w:color="000000"/>
            </w:tcBorders>
          </w:tcPr>
          <w:p w14:paraId="7C53C8ED" w14:textId="77777777" w:rsidR="00B94971" w:rsidRDefault="0047225A">
            <w:pPr>
              <w:spacing w:after="0" w:line="259" w:lineRule="auto"/>
              <w:ind w:left="2" w:firstLine="0"/>
              <w:jc w:val="left"/>
            </w:pPr>
            <w:proofErr w:type="gramStart"/>
            <w:r>
              <w:rPr>
                <w:sz w:val="20"/>
              </w:rPr>
              <w:t>South West</w:t>
            </w:r>
            <w:proofErr w:type="gramEnd"/>
            <w:r>
              <w:rPr>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3550233C" w14:textId="77777777" w:rsidR="00B94971" w:rsidRDefault="0047225A">
            <w:pPr>
              <w:spacing w:after="0" w:line="259" w:lineRule="auto"/>
              <w:ind w:left="2" w:firstLine="0"/>
              <w:jc w:val="left"/>
            </w:pPr>
            <w:r>
              <w:rPr>
                <w:sz w:val="20"/>
              </w:rPr>
              <w:t xml:space="preserve">East of </w:t>
            </w:r>
          </w:p>
          <w:p w14:paraId="5E648771" w14:textId="77777777" w:rsidR="00B94971" w:rsidRDefault="0047225A">
            <w:pPr>
              <w:spacing w:after="0" w:line="259" w:lineRule="auto"/>
              <w:ind w:left="2" w:firstLine="0"/>
              <w:jc w:val="left"/>
            </w:pPr>
            <w:r>
              <w:rPr>
                <w:sz w:val="20"/>
              </w:rPr>
              <w:t xml:space="preserve">England </w:t>
            </w:r>
          </w:p>
        </w:tc>
        <w:tc>
          <w:tcPr>
            <w:tcW w:w="682" w:type="dxa"/>
            <w:tcBorders>
              <w:top w:val="single" w:sz="4" w:space="0" w:color="000000"/>
              <w:left w:val="single" w:sz="4" w:space="0" w:color="000000"/>
              <w:bottom w:val="single" w:sz="4" w:space="0" w:color="000000"/>
              <w:right w:val="single" w:sz="4" w:space="0" w:color="000000"/>
            </w:tcBorders>
          </w:tcPr>
          <w:p w14:paraId="51ACE14D" w14:textId="77777777" w:rsidR="00B94971" w:rsidRDefault="0047225A">
            <w:pPr>
              <w:spacing w:after="0" w:line="259" w:lineRule="auto"/>
              <w:ind w:left="1" w:firstLine="0"/>
              <w:jc w:val="left"/>
            </w:pPr>
            <w:proofErr w:type="gramStart"/>
            <w:r>
              <w:rPr>
                <w:sz w:val="20"/>
              </w:rPr>
              <w:t>South East</w:t>
            </w:r>
            <w:proofErr w:type="gramEnd"/>
            <w:r>
              <w:rPr>
                <w:sz w:val="20"/>
              </w:rPr>
              <w:t xml:space="preserve"> </w:t>
            </w:r>
          </w:p>
        </w:tc>
        <w:tc>
          <w:tcPr>
            <w:tcW w:w="840" w:type="dxa"/>
            <w:tcBorders>
              <w:top w:val="single" w:sz="4" w:space="0" w:color="000000"/>
              <w:left w:val="single" w:sz="4" w:space="0" w:color="000000"/>
              <w:bottom w:val="single" w:sz="4" w:space="0" w:color="000000"/>
              <w:right w:val="single" w:sz="12" w:space="0" w:color="000000"/>
            </w:tcBorders>
          </w:tcPr>
          <w:p w14:paraId="704C2C59" w14:textId="77777777" w:rsidR="00B94971" w:rsidRDefault="0047225A">
            <w:pPr>
              <w:spacing w:after="0" w:line="259" w:lineRule="auto"/>
              <w:ind w:left="2" w:firstLine="0"/>
              <w:jc w:val="left"/>
            </w:pPr>
            <w:r>
              <w:rPr>
                <w:sz w:val="20"/>
              </w:rPr>
              <w:t xml:space="preserve">London </w:t>
            </w:r>
          </w:p>
        </w:tc>
      </w:tr>
      <w:tr w:rsidR="00B94971" w14:paraId="7AFA9B4E" w14:textId="77777777">
        <w:trPr>
          <w:trHeight w:val="698"/>
        </w:trPr>
        <w:tc>
          <w:tcPr>
            <w:tcW w:w="1551" w:type="dxa"/>
            <w:tcBorders>
              <w:top w:val="single" w:sz="4" w:space="0" w:color="000000"/>
              <w:left w:val="single" w:sz="12" w:space="0" w:color="000000"/>
              <w:bottom w:val="single" w:sz="4" w:space="0" w:color="000000"/>
              <w:right w:val="single" w:sz="12" w:space="0" w:color="000000"/>
            </w:tcBorders>
          </w:tcPr>
          <w:p w14:paraId="175F935A" w14:textId="77777777" w:rsidR="00B94971" w:rsidRDefault="0047225A">
            <w:pPr>
              <w:spacing w:after="0" w:line="259" w:lineRule="auto"/>
              <w:ind w:left="2" w:firstLine="0"/>
              <w:jc w:val="left"/>
            </w:pPr>
            <w:r>
              <w:rPr>
                <w:b/>
                <w:sz w:val="20"/>
              </w:rPr>
              <w:t xml:space="preserve">Tenure </w:t>
            </w:r>
          </w:p>
        </w:tc>
        <w:tc>
          <w:tcPr>
            <w:tcW w:w="1027" w:type="dxa"/>
            <w:tcBorders>
              <w:top w:val="single" w:sz="4" w:space="0" w:color="000000"/>
              <w:left w:val="single" w:sz="12" w:space="0" w:color="000000"/>
              <w:bottom w:val="single" w:sz="4" w:space="0" w:color="000000"/>
              <w:right w:val="single" w:sz="4" w:space="0" w:color="000000"/>
            </w:tcBorders>
          </w:tcPr>
          <w:p w14:paraId="48A49EE3" w14:textId="77777777" w:rsidR="00B94971" w:rsidRDefault="0047225A">
            <w:pPr>
              <w:spacing w:after="0" w:line="259" w:lineRule="auto"/>
              <w:ind w:left="2" w:firstLine="0"/>
              <w:jc w:val="left"/>
            </w:pPr>
            <w:r>
              <w:rPr>
                <w:sz w:val="20"/>
              </w:rPr>
              <w:t xml:space="preserve">Own </w:t>
            </w:r>
          </w:p>
        </w:tc>
        <w:tc>
          <w:tcPr>
            <w:tcW w:w="1016" w:type="dxa"/>
            <w:tcBorders>
              <w:top w:val="single" w:sz="4" w:space="0" w:color="000000"/>
              <w:left w:val="single" w:sz="4" w:space="0" w:color="000000"/>
              <w:bottom w:val="single" w:sz="4" w:space="0" w:color="000000"/>
              <w:right w:val="single" w:sz="4" w:space="0" w:color="000000"/>
            </w:tcBorders>
          </w:tcPr>
          <w:p w14:paraId="6E705755" w14:textId="77777777" w:rsidR="00B94971" w:rsidRDefault="0047225A">
            <w:pPr>
              <w:spacing w:after="0" w:line="259" w:lineRule="auto"/>
              <w:ind w:left="2" w:firstLine="0"/>
              <w:jc w:val="left"/>
            </w:pPr>
            <w:r>
              <w:rPr>
                <w:sz w:val="20"/>
              </w:rPr>
              <w:t xml:space="preserve">Rent </w:t>
            </w:r>
          </w:p>
          <w:p w14:paraId="66D35528" w14:textId="77777777" w:rsidR="00B94971" w:rsidRDefault="0047225A">
            <w:pPr>
              <w:spacing w:after="0" w:line="259" w:lineRule="auto"/>
              <w:ind w:left="2" w:firstLine="0"/>
              <w:jc w:val="left"/>
            </w:pPr>
            <w:r>
              <w:rPr>
                <w:sz w:val="20"/>
              </w:rPr>
              <w:t xml:space="preserve">Privately </w:t>
            </w:r>
          </w:p>
        </w:tc>
        <w:tc>
          <w:tcPr>
            <w:tcW w:w="929" w:type="dxa"/>
            <w:tcBorders>
              <w:top w:val="single" w:sz="4" w:space="0" w:color="000000"/>
              <w:left w:val="single" w:sz="4" w:space="0" w:color="000000"/>
              <w:bottom w:val="single" w:sz="4" w:space="0" w:color="000000"/>
              <w:right w:val="single" w:sz="4" w:space="0" w:color="000000"/>
            </w:tcBorders>
          </w:tcPr>
          <w:p w14:paraId="5476D458" w14:textId="77777777" w:rsidR="00B94971" w:rsidRDefault="0047225A">
            <w:pPr>
              <w:spacing w:after="0" w:line="259" w:lineRule="auto"/>
              <w:ind w:left="2" w:firstLine="0"/>
              <w:jc w:val="left"/>
            </w:pPr>
            <w:r>
              <w:rPr>
                <w:sz w:val="20"/>
              </w:rPr>
              <w:t xml:space="preserve">Rent from LA </w:t>
            </w:r>
          </w:p>
        </w:tc>
        <w:tc>
          <w:tcPr>
            <w:tcW w:w="1049" w:type="dxa"/>
            <w:tcBorders>
              <w:top w:val="single" w:sz="4" w:space="0" w:color="000000"/>
              <w:left w:val="single" w:sz="4" w:space="0" w:color="000000"/>
              <w:bottom w:val="single" w:sz="4" w:space="0" w:color="000000"/>
              <w:right w:val="single" w:sz="4" w:space="0" w:color="000000"/>
            </w:tcBorders>
          </w:tcPr>
          <w:p w14:paraId="6DBD14A0" w14:textId="77777777" w:rsidR="00B94971" w:rsidRDefault="0047225A">
            <w:pPr>
              <w:spacing w:after="0" w:line="259" w:lineRule="auto"/>
              <w:ind w:left="0" w:firstLine="0"/>
              <w:jc w:val="left"/>
            </w:pPr>
            <w:r>
              <w:rPr>
                <w:sz w:val="20"/>
              </w:rPr>
              <w:t xml:space="preserve">Rent from </w:t>
            </w:r>
          </w:p>
          <w:p w14:paraId="09CD241B" w14:textId="77777777" w:rsidR="00B94971" w:rsidRDefault="0047225A">
            <w:pPr>
              <w:spacing w:after="0" w:line="259" w:lineRule="auto"/>
              <w:ind w:left="0" w:firstLine="0"/>
              <w:jc w:val="left"/>
            </w:pPr>
            <w:r>
              <w:rPr>
                <w:sz w:val="20"/>
              </w:rPr>
              <w:t xml:space="preserve">Social </w:t>
            </w:r>
          </w:p>
          <w:p w14:paraId="1DEEDB87" w14:textId="77777777" w:rsidR="00B94971" w:rsidRDefault="0047225A">
            <w:pPr>
              <w:spacing w:after="0" w:line="259" w:lineRule="auto"/>
              <w:ind w:left="0" w:firstLine="0"/>
              <w:jc w:val="left"/>
            </w:pPr>
            <w:r>
              <w:rPr>
                <w:sz w:val="20"/>
              </w:rPr>
              <w:t xml:space="preserve">Landlord </w:t>
            </w:r>
          </w:p>
        </w:tc>
        <w:tc>
          <w:tcPr>
            <w:tcW w:w="972" w:type="dxa"/>
            <w:tcBorders>
              <w:top w:val="single" w:sz="4" w:space="0" w:color="000000"/>
              <w:left w:val="single" w:sz="4" w:space="0" w:color="000000"/>
              <w:bottom w:val="single" w:sz="4" w:space="0" w:color="000000"/>
              <w:right w:val="single" w:sz="4" w:space="0" w:color="000000"/>
            </w:tcBorders>
          </w:tcPr>
          <w:p w14:paraId="6F689AF7" w14:textId="77777777" w:rsidR="00B94971" w:rsidRDefault="0047225A">
            <w:pPr>
              <w:spacing w:after="0" w:line="259" w:lineRule="auto"/>
              <w:ind w:left="2" w:firstLine="0"/>
              <w:jc w:val="left"/>
            </w:pPr>
            <w:r>
              <w:rPr>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1B0DD62A" w14:textId="77777777" w:rsidR="00B94971" w:rsidRDefault="0047225A">
            <w:pPr>
              <w:spacing w:after="0" w:line="259" w:lineRule="auto"/>
              <w:ind w:left="2" w:firstLine="0"/>
              <w:jc w:val="left"/>
            </w:pPr>
            <w:r>
              <w:rPr>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7CDDDA67" w14:textId="77777777" w:rsidR="00B94971" w:rsidRDefault="0047225A">
            <w:pPr>
              <w:spacing w:after="0" w:line="259" w:lineRule="auto"/>
              <w:ind w:left="2" w:firstLine="0"/>
              <w:jc w:val="left"/>
            </w:pPr>
            <w:r>
              <w:rPr>
                <w:sz w:val="20"/>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661096C1" w14:textId="77777777" w:rsidR="00B94971" w:rsidRDefault="0047225A">
            <w:pPr>
              <w:spacing w:after="0" w:line="259" w:lineRule="auto"/>
              <w:ind w:left="1" w:firstLine="0"/>
              <w:jc w:val="left"/>
            </w:pPr>
            <w:r>
              <w:rPr>
                <w:sz w:val="20"/>
              </w:rPr>
              <w:t xml:space="preserve"> </w:t>
            </w:r>
          </w:p>
        </w:tc>
        <w:tc>
          <w:tcPr>
            <w:tcW w:w="840" w:type="dxa"/>
            <w:tcBorders>
              <w:top w:val="single" w:sz="4" w:space="0" w:color="000000"/>
              <w:left w:val="single" w:sz="4" w:space="0" w:color="000000"/>
              <w:bottom w:val="single" w:sz="4" w:space="0" w:color="000000"/>
              <w:right w:val="single" w:sz="12" w:space="0" w:color="000000"/>
            </w:tcBorders>
          </w:tcPr>
          <w:p w14:paraId="25745556" w14:textId="77777777" w:rsidR="00B94971" w:rsidRDefault="0047225A">
            <w:pPr>
              <w:spacing w:after="0" w:line="259" w:lineRule="auto"/>
              <w:ind w:left="2" w:firstLine="0"/>
              <w:jc w:val="left"/>
            </w:pPr>
            <w:r>
              <w:rPr>
                <w:sz w:val="20"/>
              </w:rPr>
              <w:t xml:space="preserve"> </w:t>
            </w:r>
          </w:p>
        </w:tc>
      </w:tr>
      <w:tr w:rsidR="00B94971" w14:paraId="51A6ED1F" w14:textId="77777777">
        <w:trPr>
          <w:trHeight w:val="701"/>
        </w:trPr>
        <w:tc>
          <w:tcPr>
            <w:tcW w:w="1551" w:type="dxa"/>
            <w:tcBorders>
              <w:top w:val="single" w:sz="4" w:space="0" w:color="000000"/>
              <w:left w:val="single" w:sz="12" w:space="0" w:color="000000"/>
              <w:bottom w:val="single" w:sz="4" w:space="0" w:color="000000"/>
              <w:right w:val="single" w:sz="12" w:space="0" w:color="000000"/>
            </w:tcBorders>
          </w:tcPr>
          <w:p w14:paraId="7B250215" w14:textId="77777777" w:rsidR="00B94971" w:rsidRDefault="0047225A">
            <w:pPr>
              <w:spacing w:after="0" w:line="259" w:lineRule="auto"/>
              <w:ind w:left="2" w:firstLine="0"/>
              <w:jc w:val="left"/>
            </w:pPr>
            <w:r>
              <w:rPr>
                <w:b/>
                <w:sz w:val="20"/>
              </w:rPr>
              <w:t xml:space="preserve">Household Type </w:t>
            </w:r>
          </w:p>
        </w:tc>
        <w:tc>
          <w:tcPr>
            <w:tcW w:w="1027" w:type="dxa"/>
            <w:tcBorders>
              <w:top w:val="single" w:sz="4" w:space="0" w:color="000000"/>
              <w:left w:val="single" w:sz="12" w:space="0" w:color="000000"/>
              <w:bottom w:val="single" w:sz="4" w:space="0" w:color="000000"/>
              <w:right w:val="single" w:sz="4" w:space="0" w:color="000000"/>
            </w:tcBorders>
          </w:tcPr>
          <w:p w14:paraId="55CDDE7B" w14:textId="77777777" w:rsidR="00B94971" w:rsidRDefault="0047225A">
            <w:pPr>
              <w:spacing w:after="0" w:line="259" w:lineRule="auto"/>
              <w:ind w:left="2" w:firstLine="0"/>
              <w:jc w:val="left"/>
            </w:pPr>
            <w:r>
              <w:rPr>
                <w:sz w:val="20"/>
              </w:rPr>
              <w:t xml:space="preserve">Couple without children </w:t>
            </w:r>
          </w:p>
        </w:tc>
        <w:tc>
          <w:tcPr>
            <w:tcW w:w="1016" w:type="dxa"/>
            <w:tcBorders>
              <w:top w:val="single" w:sz="4" w:space="0" w:color="000000"/>
              <w:left w:val="single" w:sz="4" w:space="0" w:color="000000"/>
              <w:bottom w:val="single" w:sz="4" w:space="0" w:color="000000"/>
              <w:right w:val="single" w:sz="4" w:space="0" w:color="000000"/>
            </w:tcBorders>
          </w:tcPr>
          <w:p w14:paraId="55DD0274" w14:textId="77777777" w:rsidR="00B94971" w:rsidRDefault="0047225A">
            <w:pPr>
              <w:spacing w:after="0" w:line="259" w:lineRule="auto"/>
              <w:ind w:left="2" w:firstLine="0"/>
              <w:jc w:val="left"/>
            </w:pPr>
            <w:r>
              <w:rPr>
                <w:sz w:val="20"/>
              </w:rPr>
              <w:t xml:space="preserve">Couple with children </w:t>
            </w:r>
          </w:p>
        </w:tc>
        <w:tc>
          <w:tcPr>
            <w:tcW w:w="929" w:type="dxa"/>
            <w:tcBorders>
              <w:top w:val="single" w:sz="4" w:space="0" w:color="000000"/>
              <w:left w:val="single" w:sz="4" w:space="0" w:color="000000"/>
              <w:bottom w:val="single" w:sz="4" w:space="0" w:color="000000"/>
              <w:right w:val="single" w:sz="4" w:space="0" w:color="000000"/>
            </w:tcBorders>
          </w:tcPr>
          <w:p w14:paraId="1AB3F9F4" w14:textId="77777777" w:rsidR="00B94971" w:rsidRDefault="0047225A">
            <w:pPr>
              <w:spacing w:after="0" w:line="259" w:lineRule="auto"/>
              <w:ind w:left="2" w:firstLine="0"/>
              <w:jc w:val="left"/>
            </w:pPr>
            <w:r>
              <w:rPr>
                <w:sz w:val="20"/>
              </w:rPr>
              <w:t xml:space="preserve">Single parent </w:t>
            </w:r>
          </w:p>
        </w:tc>
        <w:tc>
          <w:tcPr>
            <w:tcW w:w="1049" w:type="dxa"/>
            <w:tcBorders>
              <w:top w:val="single" w:sz="4" w:space="0" w:color="000000"/>
              <w:left w:val="single" w:sz="4" w:space="0" w:color="000000"/>
              <w:bottom w:val="single" w:sz="4" w:space="0" w:color="000000"/>
              <w:right w:val="single" w:sz="4" w:space="0" w:color="000000"/>
            </w:tcBorders>
          </w:tcPr>
          <w:p w14:paraId="0588C901" w14:textId="77777777" w:rsidR="00B94971" w:rsidRDefault="0047225A">
            <w:pPr>
              <w:spacing w:after="0" w:line="259" w:lineRule="auto"/>
              <w:ind w:left="0" w:firstLine="0"/>
              <w:jc w:val="left"/>
            </w:pPr>
            <w:r>
              <w:rPr>
                <w:sz w:val="20"/>
              </w:rPr>
              <w:t xml:space="preserve">Single  </w:t>
            </w:r>
          </w:p>
        </w:tc>
        <w:tc>
          <w:tcPr>
            <w:tcW w:w="972" w:type="dxa"/>
            <w:tcBorders>
              <w:top w:val="single" w:sz="4" w:space="0" w:color="000000"/>
              <w:left w:val="single" w:sz="4" w:space="0" w:color="000000"/>
              <w:bottom w:val="single" w:sz="4" w:space="0" w:color="000000"/>
              <w:right w:val="single" w:sz="4" w:space="0" w:color="000000"/>
            </w:tcBorders>
          </w:tcPr>
          <w:p w14:paraId="6B93EA27" w14:textId="77777777" w:rsidR="00B94971" w:rsidRDefault="0047225A">
            <w:pPr>
              <w:spacing w:after="0" w:line="259" w:lineRule="auto"/>
              <w:ind w:left="2" w:firstLine="0"/>
              <w:jc w:val="left"/>
            </w:pPr>
            <w:r>
              <w:rPr>
                <w:sz w:val="20"/>
              </w:rPr>
              <w:t xml:space="preserve">Other multi person </w:t>
            </w:r>
          </w:p>
        </w:tc>
        <w:tc>
          <w:tcPr>
            <w:tcW w:w="684" w:type="dxa"/>
            <w:tcBorders>
              <w:top w:val="single" w:sz="4" w:space="0" w:color="000000"/>
              <w:left w:val="single" w:sz="4" w:space="0" w:color="000000"/>
              <w:bottom w:val="single" w:sz="4" w:space="0" w:color="000000"/>
              <w:right w:val="single" w:sz="4" w:space="0" w:color="000000"/>
            </w:tcBorders>
          </w:tcPr>
          <w:p w14:paraId="248ABC40" w14:textId="77777777" w:rsidR="00B94971" w:rsidRDefault="0047225A">
            <w:pPr>
              <w:spacing w:after="0" w:line="259" w:lineRule="auto"/>
              <w:ind w:left="2" w:firstLine="0"/>
              <w:jc w:val="left"/>
            </w:pPr>
            <w:r>
              <w:rPr>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7964B43F" w14:textId="77777777" w:rsidR="00B94971" w:rsidRDefault="0047225A">
            <w:pPr>
              <w:spacing w:after="0" w:line="259" w:lineRule="auto"/>
              <w:ind w:left="2" w:firstLine="0"/>
              <w:jc w:val="left"/>
            </w:pPr>
            <w:r>
              <w:rPr>
                <w:sz w:val="20"/>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2763BC4A" w14:textId="77777777" w:rsidR="00B94971" w:rsidRDefault="0047225A">
            <w:pPr>
              <w:spacing w:after="0" w:line="259" w:lineRule="auto"/>
              <w:ind w:left="1" w:firstLine="0"/>
              <w:jc w:val="left"/>
            </w:pPr>
            <w:r>
              <w:rPr>
                <w:sz w:val="20"/>
              </w:rPr>
              <w:t xml:space="preserve"> </w:t>
            </w:r>
          </w:p>
        </w:tc>
        <w:tc>
          <w:tcPr>
            <w:tcW w:w="840" w:type="dxa"/>
            <w:tcBorders>
              <w:top w:val="single" w:sz="4" w:space="0" w:color="000000"/>
              <w:left w:val="single" w:sz="4" w:space="0" w:color="000000"/>
              <w:bottom w:val="single" w:sz="4" w:space="0" w:color="000000"/>
              <w:right w:val="single" w:sz="12" w:space="0" w:color="000000"/>
            </w:tcBorders>
          </w:tcPr>
          <w:p w14:paraId="383B2FD6" w14:textId="77777777" w:rsidR="00B94971" w:rsidRDefault="0047225A">
            <w:pPr>
              <w:spacing w:after="0" w:line="259" w:lineRule="auto"/>
              <w:ind w:left="2" w:firstLine="0"/>
              <w:jc w:val="left"/>
            </w:pPr>
            <w:r>
              <w:rPr>
                <w:sz w:val="20"/>
              </w:rPr>
              <w:t xml:space="preserve"> </w:t>
            </w:r>
          </w:p>
        </w:tc>
      </w:tr>
      <w:tr w:rsidR="00B94971" w14:paraId="5CD1D706" w14:textId="77777777">
        <w:trPr>
          <w:trHeight w:val="470"/>
        </w:trPr>
        <w:tc>
          <w:tcPr>
            <w:tcW w:w="1551" w:type="dxa"/>
            <w:tcBorders>
              <w:top w:val="single" w:sz="4" w:space="0" w:color="000000"/>
              <w:left w:val="single" w:sz="12" w:space="0" w:color="000000"/>
              <w:bottom w:val="single" w:sz="4" w:space="0" w:color="000000"/>
              <w:right w:val="single" w:sz="12" w:space="0" w:color="000000"/>
            </w:tcBorders>
          </w:tcPr>
          <w:p w14:paraId="0BE3A9F0" w14:textId="77777777" w:rsidR="00B94971" w:rsidRDefault="0047225A">
            <w:pPr>
              <w:tabs>
                <w:tab w:val="right" w:pos="1387"/>
              </w:tabs>
              <w:spacing w:after="0" w:line="259" w:lineRule="auto"/>
              <w:ind w:left="0" w:firstLine="0"/>
              <w:jc w:val="left"/>
            </w:pPr>
            <w:r>
              <w:rPr>
                <w:b/>
                <w:sz w:val="20"/>
              </w:rPr>
              <w:t xml:space="preserve">Length </w:t>
            </w:r>
            <w:r>
              <w:rPr>
                <w:b/>
                <w:sz w:val="20"/>
              </w:rPr>
              <w:tab/>
              <w:t xml:space="preserve">of </w:t>
            </w:r>
          </w:p>
          <w:p w14:paraId="37FB1057" w14:textId="77777777" w:rsidR="00B94971" w:rsidRDefault="0047225A">
            <w:pPr>
              <w:spacing w:after="0" w:line="259" w:lineRule="auto"/>
              <w:ind w:left="2" w:firstLine="0"/>
              <w:jc w:val="left"/>
            </w:pPr>
            <w:r>
              <w:rPr>
                <w:b/>
                <w:sz w:val="20"/>
              </w:rPr>
              <w:t xml:space="preserve">Residence </w:t>
            </w:r>
          </w:p>
        </w:tc>
        <w:tc>
          <w:tcPr>
            <w:tcW w:w="1027" w:type="dxa"/>
            <w:tcBorders>
              <w:top w:val="single" w:sz="4" w:space="0" w:color="000000"/>
              <w:left w:val="single" w:sz="12" w:space="0" w:color="000000"/>
              <w:bottom w:val="single" w:sz="4" w:space="0" w:color="000000"/>
              <w:right w:val="single" w:sz="4" w:space="0" w:color="000000"/>
            </w:tcBorders>
          </w:tcPr>
          <w:p w14:paraId="35AE9D44" w14:textId="77777777" w:rsidR="00B94971" w:rsidRDefault="0047225A">
            <w:pPr>
              <w:spacing w:after="0" w:line="259" w:lineRule="auto"/>
              <w:ind w:left="2" w:firstLine="0"/>
              <w:jc w:val="left"/>
            </w:pPr>
            <w:r>
              <w:rPr>
                <w:sz w:val="20"/>
              </w:rPr>
              <w:t xml:space="preserve">&lt;1 year </w:t>
            </w:r>
          </w:p>
        </w:tc>
        <w:tc>
          <w:tcPr>
            <w:tcW w:w="1016" w:type="dxa"/>
            <w:tcBorders>
              <w:top w:val="single" w:sz="4" w:space="0" w:color="000000"/>
              <w:left w:val="single" w:sz="4" w:space="0" w:color="000000"/>
              <w:bottom w:val="single" w:sz="4" w:space="0" w:color="000000"/>
              <w:right w:val="single" w:sz="4" w:space="0" w:color="000000"/>
            </w:tcBorders>
          </w:tcPr>
          <w:p w14:paraId="06D4145F" w14:textId="77777777" w:rsidR="00B94971" w:rsidRDefault="0047225A">
            <w:pPr>
              <w:spacing w:after="0" w:line="259" w:lineRule="auto"/>
              <w:ind w:left="2" w:firstLine="0"/>
              <w:jc w:val="left"/>
            </w:pPr>
            <w:r>
              <w:rPr>
                <w:sz w:val="20"/>
              </w:rPr>
              <w:t xml:space="preserve">1 year </w:t>
            </w:r>
          </w:p>
        </w:tc>
        <w:tc>
          <w:tcPr>
            <w:tcW w:w="929" w:type="dxa"/>
            <w:tcBorders>
              <w:top w:val="single" w:sz="4" w:space="0" w:color="000000"/>
              <w:left w:val="single" w:sz="4" w:space="0" w:color="000000"/>
              <w:bottom w:val="single" w:sz="4" w:space="0" w:color="000000"/>
              <w:right w:val="single" w:sz="4" w:space="0" w:color="000000"/>
            </w:tcBorders>
          </w:tcPr>
          <w:p w14:paraId="111E2BC0" w14:textId="77777777" w:rsidR="00B94971" w:rsidRDefault="0047225A">
            <w:pPr>
              <w:spacing w:after="0" w:line="259" w:lineRule="auto"/>
              <w:ind w:left="2" w:firstLine="0"/>
              <w:jc w:val="left"/>
            </w:pPr>
            <w:r>
              <w:rPr>
                <w:sz w:val="20"/>
              </w:rPr>
              <w:t xml:space="preserve">2 years </w:t>
            </w:r>
          </w:p>
        </w:tc>
        <w:tc>
          <w:tcPr>
            <w:tcW w:w="1049" w:type="dxa"/>
            <w:tcBorders>
              <w:top w:val="single" w:sz="4" w:space="0" w:color="000000"/>
              <w:left w:val="single" w:sz="4" w:space="0" w:color="000000"/>
              <w:bottom w:val="single" w:sz="4" w:space="0" w:color="000000"/>
              <w:right w:val="single" w:sz="4" w:space="0" w:color="000000"/>
            </w:tcBorders>
          </w:tcPr>
          <w:p w14:paraId="4D8110CF" w14:textId="77777777" w:rsidR="00B94971" w:rsidRDefault="0047225A">
            <w:pPr>
              <w:spacing w:after="0" w:line="259" w:lineRule="auto"/>
              <w:ind w:left="0" w:firstLine="0"/>
              <w:jc w:val="left"/>
            </w:pPr>
            <w:r>
              <w:rPr>
                <w:sz w:val="20"/>
              </w:rPr>
              <w:t xml:space="preserve">3-4 years </w:t>
            </w:r>
          </w:p>
        </w:tc>
        <w:tc>
          <w:tcPr>
            <w:tcW w:w="972" w:type="dxa"/>
            <w:tcBorders>
              <w:top w:val="single" w:sz="4" w:space="0" w:color="000000"/>
              <w:left w:val="single" w:sz="4" w:space="0" w:color="000000"/>
              <w:bottom w:val="single" w:sz="4" w:space="0" w:color="000000"/>
              <w:right w:val="single" w:sz="4" w:space="0" w:color="000000"/>
            </w:tcBorders>
          </w:tcPr>
          <w:p w14:paraId="6B6EA78B" w14:textId="77777777" w:rsidR="00B94971" w:rsidRDefault="0047225A">
            <w:pPr>
              <w:spacing w:after="0" w:line="259" w:lineRule="auto"/>
              <w:ind w:left="2" w:firstLine="0"/>
              <w:jc w:val="left"/>
            </w:pPr>
            <w:r>
              <w:rPr>
                <w:sz w:val="20"/>
              </w:rPr>
              <w:t xml:space="preserve">5-9 years </w:t>
            </w:r>
          </w:p>
        </w:tc>
        <w:tc>
          <w:tcPr>
            <w:tcW w:w="684" w:type="dxa"/>
            <w:tcBorders>
              <w:top w:val="single" w:sz="4" w:space="0" w:color="000000"/>
              <w:left w:val="single" w:sz="4" w:space="0" w:color="000000"/>
              <w:bottom w:val="single" w:sz="4" w:space="0" w:color="000000"/>
              <w:right w:val="single" w:sz="4" w:space="0" w:color="000000"/>
            </w:tcBorders>
          </w:tcPr>
          <w:p w14:paraId="0F1E713E" w14:textId="77777777" w:rsidR="00B94971" w:rsidRDefault="0047225A">
            <w:pPr>
              <w:spacing w:after="0" w:line="259" w:lineRule="auto"/>
              <w:ind w:left="2" w:firstLine="0"/>
              <w:jc w:val="left"/>
            </w:pPr>
            <w:r>
              <w:rPr>
                <w:sz w:val="20"/>
              </w:rPr>
              <w:t xml:space="preserve">10-19 years </w:t>
            </w:r>
          </w:p>
        </w:tc>
        <w:tc>
          <w:tcPr>
            <w:tcW w:w="883" w:type="dxa"/>
            <w:tcBorders>
              <w:top w:val="single" w:sz="4" w:space="0" w:color="000000"/>
              <w:left w:val="single" w:sz="4" w:space="0" w:color="000000"/>
              <w:bottom w:val="single" w:sz="4" w:space="0" w:color="000000"/>
              <w:right w:val="single" w:sz="4" w:space="0" w:color="000000"/>
            </w:tcBorders>
          </w:tcPr>
          <w:p w14:paraId="1DEB00D0" w14:textId="77777777" w:rsidR="00B94971" w:rsidRDefault="0047225A">
            <w:pPr>
              <w:spacing w:after="0" w:line="259" w:lineRule="auto"/>
              <w:ind w:left="2" w:firstLine="0"/>
              <w:jc w:val="left"/>
            </w:pPr>
            <w:r>
              <w:rPr>
                <w:sz w:val="20"/>
              </w:rPr>
              <w:t xml:space="preserve">20-29 years </w:t>
            </w:r>
          </w:p>
        </w:tc>
        <w:tc>
          <w:tcPr>
            <w:tcW w:w="682" w:type="dxa"/>
            <w:tcBorders>
              <w:top w:val="single" w:sz="4" w:space="0" w:color="000000"/>
              <w:left w:val="single" w:sz="4" w:space="0" w:color="000000"/>
              <w:bottom w:val="single" w:sz="4" w:space="0" w:color="000000"/>
              <w:right w:val="single" w:sz="4" w:space="0" w:color="000000"/>
            </w:tcBorders>
          </w:tcPr>
          <w:p w14:paraId="5B8AE242" w14:textId="77777777" w:rsidR="00B94971" w:rsidRDefault="0047225A">
            <w:pPr>
              <w:spacing w:after="0" w:line="259" w:lineRule="auto"/>
              <w:ind w:left="1" w:firstLine="0"/>
              <w:jc w:val="left"/>
            </w:pPr>
            <w:r>
              <w:rPr>
                <w:sz w:val="20"/>
              </w:rPr>
              <w:t xml:space="preserve">30+ years </w:t>
            </w:r>
          </w:p>
        </w:tc>
        <w:tc>
          <w:tcPr>
            <w:tcW w:w="840" w:type="dxa"/>
            <w:tcBorders>
              <w:top w:val="single" w:sz="4" w:space="0" w:color="000000"/>
              <w:left w:val="single" w:sz="4" w:space="0" w:color="000000"/>
              <w:bottom w:val="single" w:sz="4" w:space="0" w:color="000000"/>
              <w:right w:val="single" w:sz="12" w:space="0" w:color="000000"/>
            </w:tcBorders>
          </w:tcPr>
          <w:p w14:paraId="7A16EEBE" w14:textId="77777777" w:rsidR="00B94971" w:rsidRDefault="0047225A">
            <w:pPr>
              <w:spacing w:after="0" w:line="259" w:lineRule="auto"/>
              <w:ind w:left="2" w:firstLine="0"/>
              <w:jc w:val="left"/>
            </w:pPr>
            <w:r>
              <w:rPr>
                <w:sz w:val="20"/>
              </w:rPr>
              <w:t xml:space="preserve"> </w:t>
            </w:r>
          </w:p>
        </w:tc>
      </w:tr>
      <w:tr w:rsidR="00B94971" w14:paraId="0DCC33CD" w14:textId="77777777">
        <w:trPr>
          <w:trHeight w:val="240"/>
        </w:trPr>
        <w:tc>
          <w:tcPr>
            <w:tcW w:w="1551" w:type="dxa"/>
            <w:tcBorders>
              <w:top w:val="single" w:sz="4" w:space="0" w:color="000000"/>
              <w:left w:val="single" w:sz="12" w:space="0" w:color="000000"/>
              <w:bottom w:val="single" w:sz="4" w:space="0" w:color="000000"/>
              <w:right w:val="single" w:sz="12" w:space="0" w:color="000000"/>
            </w:tcBorders>
          </w:tcPr>
          <w:p w14:paraId="7932DF83" w14:textId="77777777" w:rsidR="00B94971" w:rsidRDefault="0047225A">
            <w:pPr>
              <w:spacing w:after="0" w:line="259" w:lineRule="auto"/>
              <w:ind w:left="2" w:firstLine="0"/>
              <w:jc w:val="left"/>
            </w:pPr>
            <w:r>
              <w:rPr>
                <w:b/>
                <w:sz w:val="20"/>
              </w:rPr>
              <w:t xml:space="preserve">Type of Area </w:t>
            </w:r>
          </w:p>
        </w:tc>
        <w:tc>
          <w:tcPr>
            <w:tcW w:w="1027" w:type="dxa"/>
            <w:tcBorders>
              <w:top w:val="single" w:sz="4" w:space="0" w:color="000000"/>
              <w:left w:val="single" w:sz="12" w:space="0" w:color="000000"/>
              <w:bottom w:val="single" w:sz="4" w:space="0" w:color="000000"/>
              <w:right w:val="single" w:sz="4" w:space="0" w:color="000000"/>
            </w:tcBorders>
          </w:tcPr>
          <w:p w14:paraId="2FB598BB" w14:textId="77777777" w:rsidR="00B94971" w:rsidRDefault="0047225A">
            <w:pPr>
              <w:spacing w:after="0" w:line="259" w:lineRule="auto"/>
              <w:ind w:left="2" w:firstLine="0"/>
              <w:jc w:val="left"/>
            </w:pPr>
            <w:r>
              <w:rPr>
                <w:sz w:val="20"/>
              </w:rPr>
              <w:t xml:space="preserve">Urban </w:t>
            </w:r>
          </w:p>
        </w:tc>
        <w:tc>
          <w:tcPr>
            <w:tcW w:w="1016" w:type="dxa"/>
            <w:tcBorders>
              <w:top w:val="single" w:sz="4" w:space="0" w:color="000000"/>
              <w:left w:val="single" w:sz="4" w:space="0" w:color="000000"/>
              <w:bottom w:val="single" w:sz="4" w:space="0" w:color="000000"/>
              <w:right w:val="single" w:sz="4" w:space="0" w:color="000000"/>
            </w:tcBorders>
          </w:tcPr>
          <w:p w14:paraId="64B10663" w14:textId="77777777" w:rsidR="00B94971" w:rsidRDefault="0047225A">
            <w:pPr>
              <w:spacing w:after="0" w:line="259" w:lineRule="auto"/>
              <w:ind w:left="2" w:firstLine="0"/>
              <w:jc w:val="left"/>
            </w:pPr>
            <w:r>
              <w:rPr>
                <w:sz w:val="20"/>
              </w:rPr>
              <w:t xml:space="preserve">Suburban </w:t>
            </w:r>
          </w:p>
        </w:tc>
        <w:tc>
          <w:tcPr>
            <w:tcW w:w="929" w:type="dxa"/>
            <w:tcBorders>
              <w:top w:val="single" w:sz="4" w:space="0" w:color="000000"/>
              <w:left w:val="single" w:sz="4" w:space="0" w:color="000000"/>
              <w:bottom w:val="single" w:sz="4" w:space="0" w:color="000000"/>
              <w:right w:val="single" w:sz="4" w:space="0" w:color="000000"/>
            </w:tcBorders>
          </w:tcPr>
          <w:p w14:paraId="764EF69A" w14:textId="77777777" w:rsidR="00B94971" w:rsidRDefault="0047225A">
            <w:pPr>
              <w:spacing w:after="0" w:line="259" w:lineRule="auto"/>
              <w:ind w:left="2" w:firstLine="0"/>
              <w:jc w:val="left"/>
            </w:pPr>
            <w:r>
              <w:rPr>
                <w:sz w:val="20"/>
              </w:rPr>
              <w:t xml:space="preserve">Rural </w:t>
            </w:r>
          </w:p>
        </w:tc>
        <w:tc>
          <w:tcPr>
            <w:tcW w:w="1049" w:type="dxa"/>
            <w:tcBorders>
              <w:top w:val="single" w:sz="4" w:space="0" w:color="000000"/>
              <w:left w:val="single" w:sz="4" w:space="0" w:color="000000"/>
              <w:bottom w:val="single" w:sz="4" w:space="0" w:color="000000"/>
              <w:right w:val="single" w:sz="4" w:space="0" w:color="000000"/>
            </w:tcBorders>
          </w:tcPr>
          <w:p w14:paraId="4E576EB3" w14:textId="77777777" w:rsidR="00B94971" w:rsidRDefault="0047225A">
            <w:pPr>
              <w:spacing w:after="0" w:line="259" w:lineRule="auto"/>
              <w:ind w:left="0" w:firstLine="0"/>
              <w:jc w:val="left"/>
            </w:pPr>
            <w:r>
              <w:rPr>
                <w:sz w:val="20"/>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0B3EB381" w14:textId="77777777" w:rsidR="00B94971" w:rsidRDefault="0047225A">
            <w:pPr>
              <w:spacing w:after="0" w:line="259" w:lineRule="auto"/>
              <w:ind w:left="2" w:firstLine="0"/>
              <w:jc w:val="left"/>
            </w:pPr>
            <w:r>
              <w:rPr>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7F79139B" w14:textId="77777777" w:rsidR="00B94971" w:rsidRDefault="0047225A">
            <w:pPr>
              <w:spacing w:after="0" w:line="259" w:lineRule="auto"/>
              <w:ind w:left="2" w:firstLine="0"/>
              <w:jc w:val="left"/>
            </w:pPr>
            <w:r>
              <w:rPr>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62F226E7" w14:textId="77777777" w:rsidR="00B94971" w:rsidRDefault="0047225A">
            <w:pPr>
              <w:spacing w:after="0" w:line="259" w:lineRule="auto"/>
              <w:ind w:left="2" w:firstLine="0"/>
              <w:jc w:val="left"/>
            </w:pPr>
            <w:r>
              <w:rPr>
                <w:sz w:val="20"/>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7ECB6706" w14:textId="77777777" w:rsidR="00B94971" w:rsidRDefault="0047225A">
            <w:pPr>
              <w:spacing w:after="0" w:line="259" w:lineRule="auto"/>
              <w:ind w:left="1" w:firstLine="0"/>
              <w:jc w:val="left"/>
            </w:pPr>
            <w:r>
              <w:rPr>
                <w:sz w:val="20"/>
              </w:rPr>
              <w:t xml:space="preserve"> </w:t>
            </w:r>
          </w:p>
        </w:tc>
        <w:tc>
          <w:tcPr>
            <w:tcW w:w="840" w:type="dxa"/>
            <w:tcBorders>
              <w:top w:val="single" w:sz="4" w:space="0" w:color="000000"/>
              <w:left w:val="single" w:sz="4" w:space="0" w:color="000000"/>
              <w:bottom w:val="single" w:sz="4" w:space="0" w:color="000000"/>
              <w:right w:val="single" w:sz="12" w:space="0" w:color="000000"/>
            </w:tcBorders>
          </w:tcPr>
          <w:p w14:paraId="5C3C3BBA" w14:textId="77777777" w:rsidR="00B94971" w:rsidRDefault="0047225A">
            <w:pPr>
              <w:spacing w:after="0" w:line="259" w:lineRule="auto"/>
              <w:ind w:left="2" w:firstLine="0"/>
              <w:jc w:val="left"/>
            </w:pPr>
            <w:r>
              <w:rPr>
                <w:sz w:val="20"/>
              </w:rPr>
              <w:t xml:space="preserve"> </w:t>
            </w:r>
          </w:p>
        </w:tc>
      </w:tr>
      <w:tr w:rsidR="00B94971" w14:paraId="0D63138D" w14:textId="77777777">
        <w:trPr>
          <w:trHeight w:val="470"/>
        </w:trPr>
        <w:tc>
          <w:tcPr>
            <w:tcW w:w="1551" w:type="dxa"/>
            <w:tcBorders>
              <w:top w:val="single" w:sz="4" w:space="0" w:color="000000"/>
              <w:left w:val="single" w:sz="12" w:space="0" w:color="000000"/>
              <w:bottom w:val="single" w:sz="4" w:space="0" w:color="000000"/>
              <w:right w:val="single" w:sz="12" w:space="0" w:color="000000"/>
            </w:tcBorders>
          </w:tcPr>
          <w:p w14:paraId="6DEC0228" w14:textId="77777777" w:rsidR="00B94971" w:rsidRDefault="0047225A">
            <w:pPr>
              <w:spacing w:after="0" w:line="259" w:lineRule="auto"/>
              <w:ind w:left="2" w:firstLine="0"/>
              <w:jc w:val="left"/>
            </w:pPr>
            <w:r>
              <w:rPr>
                <w:b/>
                <w:sz w:val="20"/>
              </w:rPr>
              <w:t xml:space="preserve">Age of Oldest Person </w:t>
            </w:r>
          </w:p>
        </w:tc>
        <w:tc>
          <w:tcPr>
            <w:tcW w:w="1027" w:type="dxa"/>
            <w:tcBorders>
              <w:top w:val="single" w:sz="4" w:space="0" w:color="000000"/>
              <w:left w:val="single" w:sz="12" w:space="0" w:color="000000"/>
              <w:bottom w:val="single" w:sz="4" w:space="0" w:color="000000"/>
              <w:right w:val="single" w:sz="4" w:space="0" w:color="000000"/>
            </w:tcBorders>
          </w:tcPr>
          <w:p w14:paraId="121BABB3" w14:textId="77777777" w:rsidR="00B94971" w:rsidRDefault="0047225A">
            <w:pPr>
              <w:spacing w:after="0" w:line="259" w:lineRule="auto"/>
              <w:ind w:left="2" w:firstLine="0"/>
              <w:jc w:val="left"/>
            </w:pPr>
            <w:r>
              <w:rPr>
                <w:sz w:val="20"/>
              </w:rPr>
              <w:t xml:space="preserve">16-24 </w:t>
            </w:r>
          </w:p>
        </w:tc>
        <w:tc>
          <w:tcPr>
            <w:tcW w:w="1016" w:type="dxa"/>
            <w:tcBorders>
              <w:top w:val="single" w:sz="4" w:space="0" w:color="000000"/>
              <w:left w:val="single" w:sz="4" w:space="0" w:color="000000"/>
              <w:bottom w:val="single" w:sz="4" w:space="0" w:color="000000"/>
              <w:right w:val="single" w:sz="4" w:space="0" w:color="000000"/>
            </w:tcBorders>
          </w:tcPr>
          <w:p w14:paraId="4A96AC8C" w14:textId="77777777" w:rsidR="00B94971" w:rsidRDefault="0047225A">
            <w:pPr>
              <w:spacing w:after="0" w:line="259" w:lineRule="auto"/>
              <w:ind w:left="2" w:firstLine="0"/>
              <w:jc w:val="left"/>
            </w:pPr>
            <w:r>
              <w:rPr>
                <w:sz w:val="20"/>
              </w:rPr>
              <w:t xml:space="preserve">25-34 </w:t>
            </w:r>
          </w:p>
        </w:tc>
        <w:tc>
          <w:tcPr>
            <w:tcW w:w="929" w:type="dxa"/>
            <w:tcBorders>
              <w:top w:val="single" w:sz="4" w:space="0" w:color="000000"/>
              <w:left w:val="single" w:sz="4" w:space="0" w:color="000000"/>
              <w:bottom w:val="single" w:sz="4" w:space="0" w:color="000000"/>
              <w:right w:val="single" w:sz="4" w:space="0" w:color="000000"/>
            </w:tcBorders>
          </w:tcPr>
          <w:p w14:paraId="11664B62" w14:textId="77777777" w:rsidR="00B94971" w:rsidRDefault="0047225A">
            <w:pPr>
              <w:spacing w:after="0" w:line="259" w:lineRule="auto"/>
              <w:ind w:left="2" w:firstLine="0"/>
              <w:jc w:val="left"/>
            </w:pPr>
            <w:r>
              <w:rPr>
                <w:sz w:val="20"/>
              </w:rPr>
              <w:t xml:space="preserve">35-49 </w:t>
            </w:r>
          </w:p>
        </w:tc>
        <w:tc>
          <w:tcPr>
            <w:tcW w:w="1049" w:type="dxa"/>
            <w:tcBorders>
              <w:top w:val="single" w:sz="4" w:space="0" w:color="000000"/>
              <w:left w:val="single" w:sz="4" w:space="0" w:color="000000"/>
              <w:bottom w:val="single" w:sz="4" w:space="0" w:color="000000"/>
              <w:right w:val="single" w:sz="4" w:space="0" w:color="000000"/>
            </w:tcBorders>
          </w:tcPr>
          <w:p w14:paraId="1C669DE2" w14:textId="77777777" w:rsidR="00B94971" w:rsidRDefault="0047225A">
            <w:pPr>
              <w:spacing w:after="0" w:line="259" w:lineRule="auto"/>
              <w:ind w:left="0" w:firstLine="0"/>
              <w:jc w:val="left"/>
            </w:pPr>
            <w:r>
              <w:rPr>
                <w:sz w:val="20"/>
              </w:rPr>
              <w:t xml:space="preserve">50-59 </w:t>
            </w:r>
          </w:p>
        </w:tc>
        <w:tc>
          <w:tcPr>
            <w:tcW w:w="972" w:type="dxa"/>
            <w:tcBorders>
              <w:top w:val="single" w:sz="4" w:space="0" w:color="000000"/>
              <w:left w:val="single" w:sz="4" w:space="0" w:color="000000"/>
              <w:bottom w:val="single" w:sz="4" w:space="0" w:color="000000"/>
              <w:right w:val="single" w:sz="4" w:space="0" w:color="000000"/>
            </w:tcBorders>
          </w:tcPr>
          <w:p w14:paraId="27C3B22E" w14:textId="77777777" w:rsidR="00B94971" w:rsidRDefault="0047225A">
            <w:pPr>
              <w:spacing w:after="0" w:line="259" w:lineRule="auto"/>
              <w:ind w:left="2" w:firstLine="0"/>
              <w:jc w:val="left"/>
            </w:pPr>
            <w:r>
              <w:rPr>
                <w:sz w:val="20"/>
              </w:rPr>
              <w:t xml:space="preserve">60-74 </w:t>
            </w:r>
          </w:p>
        </w:tc>
        <w:tc>
          <w:tcPr>
            <w:tcW w:w="684" w:type="dxa"/>
            <w:tcBorders>
              <w:top w:val="single" w:sz="4" w:space="0" w:color="000000"/>
              <w:left w:val="single" w:sz="4" w:space="0" w:color="000000"/>
              <w:bottom w:val="single" w:sz="4" w:space="0" w:color="000000"/>
              <w:right w:val="single" w:sz="4" w:space="0" w:color="000000"/>
            </w:tcBorders>
          </w:tcPr>
          <w:p w14:paraId="199768B4" w14:textId="77777777" w:rsidR="00B94971" w:rsidRDefault="0047225A">
            <w:pPr>
              <w:spacing w:after="0" w:line="259" w:lineRule="auto"/>
              <w:ind w:left="2" w:firstLine="0"/>
              <w:jc w:val="left"/>
            </w:pPr>
            <w:r>
              <w:rPr>
                <w:sz w:val="20"/>
              </w:rPr>
              <w:t xml:space="preserve">75-84 </w:t>
            </w:r>
          </w:p>
        </w:tc>
        <w:tc>
          <w:tcPr>
            <w:tcW w:w="883" w:type="dxa"/>
            <w:tcBorders>
              <w:top w:val="single" w:sz="4" w:space="0" w:color="000000"/>
              <w:left w:val="single" w:sz="4" w:space="0" w:color="000000"/>
              <w:bottom w:val="single" w:sz="4" w:space="0" w:color="000000"/>
              <w:right w:val="single" w:sz="4" w:space="0" w:color="000000"/>
            </w:tcBorders>
          </w:tcPr>
          <w:p w14:paraId="60987AA2" w14:textId="77777777" w:rsidR="00B94971" w:rsidRDefault="0047225A">
            <w:pPr>
              <w:spacing w:after="0" w:line="259" w:lineRule="auto"/>
              <w:ind w:left="2" w:firstLine="0"/>
              <w:jc w:val="left"/>
            </w:pPr>
            <w:r>
              <w:rPr>
                <w:sz w:val="20"/>
              </w:rPr>
              <w:t xml:space="preserve">85+ </w:t>
            </w:r>
          </w:p>
        </w:tc>
        <w:tc>
          <w:tcPr>
            <w:tcW w:w="682" w:type="dxa"/>
            <w:tcBorders>
              <w:top w:val="single" w:sz="4" w:space="0" w:color="000000"/>
              <w:left w:val="single" w:sz="4" w:space="0" w:color="000000"/>
              <w:bottom w:val="single" w:sz="4" w:space="0" w:color="000000"/>
              <w:right w:val="single" w:sz="4" w:space="0" w:color="000000"/>
            </w:tcBorders>
          </w:tcPr>
          <w:p w14:paraId="54A5905C" w14:textId="77777777" w:rsidR="00B94971" w:rsidRDefault="0047225A">
            <w:pPr>
              <w:spacing w:after="0" w:line="259" w:lineRule="auto"/>
              <w:ind w:left="1" w:firstLine="0"/>
              <w:jc w:val="left"/>
            </w:pPr>
            <w:r>
              <w:rPr>
                <w:sz w:val="20"/>
              </w:rPr>
              <w:t xml:space="preserve"> </w:t>
            </w:r>
          </w:p>
        </w:tc>
        <w:tc>
          <w:tcPr>
            <w:tcW w:w="840" w:type="dxa"/>
            <w:tcBorders>
              <w:top w:val="single" w:sz="4" w:space="0" w:color="000000"/>
              <w:left w:val="single" w:sz="4" w:space="0" w:color="000000"/>
              <w:bottom w:val="single" w:sz="4" w:space="0" w:color="000000"/>
              <w:right w:val="single" w:sz="12" w:space="0" w:color="000000"/>
            </w:tcBorders>
          </w:tcPr>
          <w:p w14:paraId="6EA00EC2" w14:textId="77777777" w:rsidR="00B94971" w:rsidRDefault="0047225A">
            <w:pPr>
              <w:spacing w:after="0" w:line="259" w:lineRule="auto"/>
              <w:ind w:left="2" w:firstLine="0"/>
              <w:jc w:val="left"/>
            </w:pPr>
            <w:r>
              <w:rPr>
                <w:sz w:val="20"/>
              </w:rPr>
              <w:t xml:space="preserve"> </w:t>
            </w:r>
          </w:p>
        </w:tc>
      </w:tr>
      <w:tr w:rsidR="00B94971" w14:paraId="762497BB" w14:textId="77777777">
        <w:trPr>
          <w:trHeight w:val="699"/>
        </w:trPr>
        <w:tc>
          <w:tcPr>
            <w:tcW w:w="1551" w:type="dxa"/>
            <w:tcBorders>
              <w:top w:val="single" w:sz="4" w:space="0" w:color="000000"/>
              <w:left w:val="single" w:sz="12" w:space="0" w:color="000000"/>
              <w:bottom w:val="single" w:sz="4" w:space="0" w:color="000000"/>
              <w:right w:val="single" w:sz="12" w:space="0" w:color="000000"/>
            </w:tcBorders>
          </w:tcPr>
          <w:p w14:paraId="2CF1D16E" w14:textId="77777777" w:rsidR="00B94971" w:rsidRDefault="0047225A">
            <w:pPr>
              <w:spacing w:after="0" w:line="259" w:lineRule="auto"/>
              <w:ind w:left="2" w:firstLine="0"/>
              <w:jc w:val="left"/>
            </w:pPr>
            <w:r>
              <w:rPr>
                <w:b/>
                <w:sz w:val="20"/>
              </w:rPr>
              <w:t>Socio-</w:t>
            </w:r>
          </w:p>
          <w:p w14:paraId="53FC2E32" w14:textId="77777777" w:rsidR="00B94971" w:rsidRDefault="0047225A">
            <w:pPr>
              <w:spacing w:after="0" w:line="259" w:lineRule="auto"/>
              <w:ind w:left="2" w:firstLine="0"/>
              <w:jc w:val="left"/>
            </w:pPr>
            <w:r>
              <w:rPr>
                <w:b/>
                <w:sz w:val="20"/>
              </w:rPr>
              <w:t xml:space="preserve">Economic </w:t>
            </w:r>
          </w:p>
          <w:p w14:paraId="0C8507B6" w14:textId="77777777" w:rsidR="00B94971" w:rsidRDefault="0047225A">
            <w:pPr>
              <w:spacing w:after="0" w:line="259" w:lineRule="auto"/>
              <w:ind w:left="2" w:firstLine="0"/>
              <w:jc w:val="left"/>
            </w:pPr>
            <w:r>
              <w:rPr>
                <w:b/>
                <w:sz w:val="20"/>
              </w:rPr>
              <w:t xml:space="preserve">Classification </w:t>
            </w:r>
          </w:p>
        </w:tc>
        <w:tc>
          <w:tcPr>
            <w:tcW w:w="1027" w:type="dxa"/>
            <w:tcBorders>
              <w:top w:val="single" w:sz="4" w:space="0" w:color="000000"/>
              <w:left w:val="single" w:sz="12" w:space="0" w:color="000000"/>
              <w:bottom w:val="single" w:sz="4" w:space="0" w:color="000000"/>
              <w:right w:val="single" w:sz="4" w:space="0" w:color="000000"/>
            </w:tcBorders>
          </w:tcPr>
          <w:p w14:paraId="668598E5" w14:textId="77777777" w:rsidR="00B94971" w:rsidRDefault="0047225A">
            <w:pPr>
              <w:spacing w:after="0" w:line="259" w:lineRule="auto"/>
              <w:ind w:left="2" w:firstLine="0"/>
              <w:jc w:val="left"/>
            </w:pPr>
            <w:r>
              <w:rPr>
                <w:sz w:val="20"/>
              </w:rPr>
              <w:t xml:space="preserve">NS-SEC </w:t>
            </w:r>
          </w:p>
          <w:p w14:paraId="2E4789D8" w14:textId="77777777" w:rsidR="00B94971" w:rsidRDefault="0047225A">
            <w:pPr>
              <w:spacing w:after="0" w:line="259" w:lineRule="auto"/>
              <w:ind w:left="2" w:firstLine="0"/>
              <w:jc w:val="left"/>
            </w:pPr>
            <w:r>
              <w:rPr>
                <w:sz w:val="20"/>
              </w:rPr>
              <w:t xml:space="preserve">Standard categories </w:t>
            </w:r>
          </w:p>
        </w:tc>
        <w:tc>
          <w:tcPr>
            <w:tcW w:w="1016" w:type="dxa"/>
            <w:tcBorders>
              <w:top w:val="single" w:sz="4" w:space="0" w:color="000000"/>
              <w:left w:val="single" w:sz="4" w:space="0" w:color="000000"/>
              <w:bottom w:val="single" w:sz="4" w:space="0" w:color="000000"/>
              <w:right w:val="single" w:sz="4" w:space="0" w:color="000000"/>
            </w:tcBorders>
          </w:tcPr>
          <w:p w14:paraId="097FF897" w14:textId="77777777" w:rsidR="00B94971" w:rsidRDefault="0047225A">
            <w:pPr>
              <w:spacing w:after="0" w:line="259" w:lineRule="auto"/>
              <w:ind w:left="2" w:firstLine="0"/>
              <w:jc w:val="left"/>
            </w:pPr>
            <w:r>
              <w:rPr>
                <w:sz w:val="20"/>
              </w:rPr>
              <w:t xml:space="preserve"> </w:t>
            </w:r>
          </w:p>
        </w:tc>
        <w:tc>
          <w:tcPr>
            <w:tcW w:w="929" w:type="dxa"/>
            <w:tcBorders>
              <w:top w:val="single" w:sz="4" w:space="0" w:color="000000"/>
              <w:left w:val="single" w:sz="4" w:space="0" w:color="000000"/>
              <w:bottom w:val="single" w:sz="4" w:space="0" w:color="000000"/>
              <w:right w:val="single" w:sz="4" w:space="0" w:color="000000"/>
            </w:tcBorders>
          </w:tcPr>
          <w:p w14:paraId="0D707986" w14:textId="77777777" w:rsidR="00B94971" w:rsidRDefault="0047225A">
            <w:pPr>
              <w:spacing w:after="0" w:line="259" w:lineRule="auto"/>
              <w:ind w:left="2" w:firstLine="0"/>
              <w:jc w:val="left"/>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2EF2B3CA" w14:textId="77777777" w:rsidR="00B94971" w:rsidRDefault="0047225A">
            <w:pPr>
              <w:spacing w:after="0" w:line="259" w:lineRule="auto"/>
              <w:ind w:left="0" w:firstLine="0"/>
              <w:jc w:val="left"/>
            </w:pPr>
            <w:r>
              <w:rPr>
                <w:sz w:val="20"/>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2FE8295F" w14:textId="77777777" w:rsidR="00B94971" w:rsidRDefault="0047225A">
            <w:pPr>
              <w:spacing w:after="0" w:line="259" w:lineRule="auto"/>
              <w:ind w:left="2" w:firstLine="0"/>
              <w:jc w:val="left"/>
            </w:pPr>
            <w:r>
              <w:rPr>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7887E4F2" w14:textId="77777777" w:rsidR="00B94971" w:rsidRDefault="0047225A">
            <w:pPr>
              <w:spacing w:after="0" w:line="259" w:lineRule="auto"/>
              <w:ind w:left="2" w:firstLine="0"/>
              <w:jc w:val="left"/>
            </w:pPr>
            <w:r>
              <w:rPr>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1067040A" w14:textId="77777777" w:rsidR="00B94971" w:rsidRDefault="0047225A">
            <w:pPr>
              <w:spacing w:after="0" w:line="259" w:lineRule="auto"/>
              <w:ind w:left="2" w:firstLine="0"/>
              <w:jc w:val="left"/>
            </w:pPr>
            <w:r>
              <w:rPr>
                <w:sz w:val="20"/>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5B12AB4E" w14:textId="77777777" w:rsidR="00B94971" w:rsidRDefault="0047225A">
            <w:pPr>
              <w:spacing w:after="0" w:line="259" w:lineRule="auto"/>
              <w:ind w:left="1" w:firstLine="0"/>
              <w:jc w:val="left"/>
            </w:pPr>
            <w:r>
              <w:rPr>
                <w:sz w:val="20"/>
              </w:rPr>
              <w:t xml:space="preserve"> </w:t>
            </w:r>
          </w:p>
        </w:tc>
        <w:tc>
          <w:tcPr>
            <w:tcW w:w="840" w:type="dxa"/>
            <w:tcBorders>
              <w:top w:val="single" w:sz="4" w:space="0" w:color="000000"/>
              <w:left w:val="single" w:sz="4" w:space="0" w:color="000000"/>
              <w:bottom w:val="single" w:sz="4" w:space="0" w:color="000000"/>
              <w:right w:val="single" w:sz="12" w:space="0" w:color="000000"/>
            </w:tcBorders>
          </w:tcPr>
          <w:p w14:paraId="7642A799" w14:textId="77777777" w:rsidR="00B94971" w:rsidRDefault="0047225A">
            <w:pPr>
              <w:spacing w:after="0" w:line="259" w:lineRule="auto"/>
              <w:ind w:left="2" w:firstLine="0"/>
              <w:jc w:val="left"/>
            </w:pPr>
            <w:r>
              <w:rPr>
                <w:sz w:val="20"/>
              </w:rPr>
              <w:t xml:space="preserve"> </w:t>
            </w:r>
          </w:p>
        </w:tc>
      </w:tr>
      <w:tr w:rsidR="00B94971" w14:paraId="28FCDA6B" w14:textId="77777777">
        <w:trPr>
          <w:trHeight w:val="470"/>
        </w:trPr>
        <w:tc>
          <w:tcPr>
            <w:tcW w:w="1551" w:type="dxa"/>
            <w:tcBorders>
              <w:top w:val="single" w:sz="4" w:space="0" w:color="000000"/>
              <w:left w:val="single" w:sz="12" w:space="0" w:color="000000"/>
              <w:bottom w:val="single" w:sz="4" w:space="0" w:color="000000"/>
              <w:right w:val="single" w:sz="12" w:space="0" w:color="000000"/>
            </w:tcBorders>
          </w:tcPr>
          <w:p w14:paraId="74DDEA93" w14:textId="77777777" w:rsidR="00B94971" w:rsidRDefault="0047225A">
            <w:pPr>
              <w:spacing w:after="0" w:line="259" w:lineRule="auto"/>
              <w:ind w:left="2" w:firstLine="0"/>
              <w:jc w:val="left"/>
            </w:pPr>
            <w:r>
              <w:rPr>
                <w:b/>
                <w:sz w:val="20"/>
              </w:rPr>
              <w:t xml:space="preserve">Neighbourhood Quality </w:t>
            </w:r>
          </w:p>
        </w:tc>
        <w:tc>
          <w:tcPr>
            <w:tcW w:w="1027" w:type="dxa"/>
            <w:tcBorders>
              <w:top w:val="single" w:sz="4" w:space="0" w:color="000000"/>
              <w:left w:val="single" w:sz="12" w:space="0" w:color="000000"/>
              <w:bottom w:val="single" w:sz="4" w:space="0" w:color="000000"/>
              <w:right w:val="single" w:sz="4" w:space="0" w:color="000000"/>
            </w:tcBorders>
          </w:tcPr>
          <w:p w14:paraId="007CFD2C" w14:textId="77777777" w:rsidR="00B94971" w:rsidRDefault="0047225A">
            <w:pPr>
              <w:spacing w:after="0" w:line="259" w:lineRule="auto"/>
              <w:ind w:left="2" w:firstLine="0"/>
              <w:jc w:val="left"/>
            </w:pPr>
            <w:r>
              <w:rPr>
                <w:sz w:val="20"/>
              </w:rPr>
              <w:t xml:space="preserve">Above Average </w:t>
            </w:r>
          </w:p>
        </w:tc>
        <w:tc>
          <w:tcPr>
            <w:tcW w:w="1016" w:type="dxa"/>
            <w:tcBorders>
              <w:top w:val="single" w:sz="4" w:space="0" w:color="000000"/>
              <w:left w:val="single" w:sz="4" w:space="0" w:color="000000"/>
              <w:bottom w:val="single" w:sz="4" w:space="0" w:color="000000"/>
              <w:right w:val="single" w:sz="4" w:space="0" w:color="000000"/>
            </w:tcBorders>
          </w:tcPr>
          <w:p w14:paraId="56092686" w14:textId="77777777" w:rsidR="00B94971" w:rsidRDefault="0047225A">
            <w:pPr>
              <w:spacing w:after="0" w:line="259" w:lineRule="auto"/>
              <w:ind w:left="2" w:firstLine="0"/>
              <w:jc w:val="left"/>
            </w:pPr>
            <w:r>
              <w:rPr>
                <w:sz w:val="20"/>
              </w:rPr>
              <w:t xml:space="preserve">Average </w:t>
            </w:r>
          </w:p>
        </w:tc>
        <w:tc>
          <w:tcPr>
            <w:tcW w:w="929" w:type="dxa"/>
            <w:tcBorders>
              <w:top w:val="single" w:sz="4" w:space="0" w:color="000000"/>
              <w:left w:val="single" w:sz="4" w:space="0" w:color="000000"/>
              <w:bottom w:val="single" w:sz="4" w:space="0" w:color="000000"/>
              <w:right w:val="single" w:sz="4" w:space="0" w:color="000000"/>
            </w:tcBorders>
          </w:tcPr>
          <w:p w14:paraId="3817BC98" w14:textId="77777777" w:rsidR="00B94971" w:rsidRDefault="0047225A">
            <w:pPr>
              <w:spacing w:after="0" w:line="259" w:lineRule="auto"/>
              <w:ind w:left="2" w:firstLine="0"/>
              <w:jc w:val="left"/>
            </w:pPr>
            <w:r>
              <w:rPr>
                <w:sz w:val="20"/>
              </w:rPr>
              <w:t xml:space="preserve">Below Average </w:t>
            </w:r>
          </w:p>
        </w:tc>
        <w:tc>
          <w:tcPr>
            <w:tcW w:w="1049" w:type="dxa"/>
            <w:tcBorders>
              <w:top w:val="single" w:sz="4" w:space="0" w:color="000000"/>
              <w:left w:val="single" w:sz="4" w:space="0" w:color="000000"/>
              <w:bottom w:val="single" w:sz="4" w:space="0" w:color="000000"/>
              <w:right w:val="single" w:sz="4" w:space="0" w:color="000000"/>
            </w:tcBorders>
          </w:tcPr>
          <w:p w14:paraId="01AAF754" w14:textId="77777777" w:rsidR="00B94971" w:rsidRDefault="0047225A">
            <w:pPr>
              <w:spacing w:after="0" w:line="259" w:lineRule="auto"/>
              <w:ind w:left="0" w:firstLine="0"/>
              <w:jc w:val="left"/>
            </w:pPr>
            <w:r>
              <w:rPr>
                <w:sz w:val="20"/>
              </w:rPr>
              <w:t xml:space="preserve"> </w:t>
            </w:r>
          </w:p>
        </w:tc>
        <w:tc>
          <w:tcPr>
            <w:tcW w:w="972" w:type="dxa"/>
            <w:tcBorders>
              <w:top w:val="single" w:sz="4" w:space="0" w:color="000000"/>
              <w:left w:val="single" w:sz="4" w:space="0" w:color="000000"/>
              <w:bottom w:val="single" w:sz="4" w:space="0" w:color="000000"/>
              <w:right w:val="single" w:sz="4" w:space="0" w:color="000000"/>
            </w:tcBorders>
          </w:tcPr>
          <w:p w14:paraId="16DEF868" w14:textId="77777777" w:rsidR="00B94971" w:rsidRDefault="0047225A">
            <w:pPr>
              <w:spacing w:after="0" w:line="259" w:lineRule="auto"/>
              <w:ind w:left="2" w:firstLine="0"/>
              <w:jc w:val="left"/>
            </w:pPr>
            <w:r>
              <w:rPr>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02EC6BAE" w14:textId="77777777" w:rsidR="00B94971" w:rsidRDefault="0047225A">
            <w:pPr>
              <w:spacing w:after="0" w:line="259" w:lineRule="auto"/>
              <w:ind w:left="2" w:firstLine="0"/>
              <w:jc w:val="left"/>
            </w:pPr>
            <w:r>
              <w:rPr>
                <w:sz w:val="20"/>
              </w:rPr>
              <w:t xml:space="preserve"> </w:t>
            </w:r>
          </w:p>
        </w:tc>
        <w:tc>
          <w:tcPr>
            <w:tcW w:w="883" w:type="dxa"/>
            <w:tcBorders>
              <w:top w:val="single" w:sz="4" w:space="0" w:color="000000"/>
              <w:left w:val="single" w:sz="4" w:space="0" w:color="000000"/>
              <w:bottom w:val="single" w:sz="4" w:space="0" w:color="000000"/>
              <w:right w:val="single" w:sz="4" w:space="0" w:color="000000"/>
            </w:tcBorders>
          </w:tcPr>
          <w:p w14:paraId="42EB97AD" w14:textId="77777777" w:rsidR="00B94971" w:rsidRDefault="0047225A">
            <w:pPr>
              <w:spacing w:after="0" w:line="259" w:lineRule="auto"/>
              <w:ind w:left="2" w:firstLine="0"/>
              <w:jc w:val="left"/>
            </w:pPr>
            <w:r>
              <w:rPr>
                <w:sz w:val="20"/>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63269ACB" w14:textId="77777777" w:rsidR="00B94971" w:rsidRDefault="0047225A">
            <w:pPr>
              <w:spacing w:after="0" w:line="259" w:lineRule="auto"/>
              <w:ind w:left="1" w:firstLine="0"/>
              <w:jc w:val="left"/>
            </w:pPr>
            <w:r>
              <w:rPr>
                <w:sz w:val="20"/>
              </w:rPr>
              <w:t xml:space="preserve"> </w:t>
            </w:r>
          </w:p>
        </w:tc>
        <w:tc>
          <w:tcPr>
            <w:tcW w:w="840" w:type="dxa"/>
            <w:tcBorders>
              <w:top w:val="single" w:sz="4" w:space="0" w:color="000000"/>
              <w:left w:val="single" w:sz="4" w:space="0" w:color="000000"/>
              <w:bottom w:val="single" w:sz="4" w:space="0" w:color="000000"/>
              <w:right w:val="single" w:sz="12" w:space="0" w:color="000000"/>
            </w:tcBorders>
          </w:tcPr>
          <w:p w14:paraId="5B0D5182" w14:textId="77777777" w:rsidR="00B94971" w:rsidRDefault="0047225A">
            <w:pPr>
              <w:spacing w:after="0" w:line="259" w:lineRule="auto"/>
              <w:ind w:left="2" w:firstLine="0"/>
              <w:jc w:val="left"/>
            </w:pPr>
            <w:r>
              <w:rPr>
                <w:sz w:val="20"/>
              </w:rPr>
              <w:t xml:space="preserve"> </w:t>
            </w:r>
          </w:p>
        </w:tc>
      </w:tr>
      <w:tr w:rsidR="00B94971" w14:paraId="7D676EDD" w14:textId="77777777">
        <w:trPr>
          <w:trHeight w:val="482"/>
        </w:trPr>
        <w:tc>
          <w:tcPr>
            <w:tcW w:w="1551" w:type="dxa"/>
            <w:tcBorders>
              <w:top w:val="single" w:sz="4" w:space="0" w:color="000000"/>
              <w:left w:val="single" w:sz="12" w:space="0" w:color="000000"/>
              <w:bottom w:val="single" w:sz="12" w:space="0" w:color="000000"/>
              <w:right w:val="single" w:sz="12" w:space="0" w:color="000000"/>
            </w:tcBorders>
          </w:tcPr>
          <w:p w14:paraId="07540DD2" w14:textId="77777777" w:rsidR="00B94971" w:rsidRDefault="0047225A">
            <w:pPr>
              <w:spacing w:after="0" w:line="259" w:lineRule="auto"/>
              <w:ind w:left="2" w:firstLine="0"/>
              <w:jc w:val="left"/>
            </w:pPr>
            <w:r>
              <w:rPr>
                <w:b/>
                <w:sz w:val="20"/>
              </w:rPr>
              <w:t xml:space="preserve">Income </w:t>
            </w:r>
          </w:p>
        </w:tc>
        <w:tc>
          <w:tcPr>
            <w:tcW w:w="1027" w:type="dxa"/>
            <w:tcBorders>
              <w:top w:val="single" w:sz="4" w:space="0" w:color="000000"/>
              <w:left w:val="single" w:sz="12" w:space="0" w:color="000000"/>
              <w:bottom w:val="single" w:sz="12" w:space="0" w:color="000000"/>
              <w:right w:val="single" w:sz="4" w:space="0" w:color="000000"/>
            </w:tcBorders>
          </w:tcPr>
          <w:p w14:paraId="3EA2E7B0" w14:textId="77777777" w:rsidR="00B94971" w:rsidRDefault="0047225A">
            <w:pPr>
              <w:spacing w:after="0" w:line="259" w:lineRule="auto"/>
              <w:ind w:left="2" w:firstLine="0"/>
              <w:jc w:val="left"/>
            </w:pPr>
            <w:r>
              <w:rPr>
                <w:sz w:val="20"/>
              </w:rPr>
              <w:t xml:space="preserve">High </w:t>
            </w:r>
          </w:p>
        </w:tc>
        <w:tc>
          <w:tcPr>
            <w:tcW w:w="1016" w:type="dxa"/>
            <w:tcBorders>
              <w:top w:val="single" w:sz="4" w:space="0" w:color="000000"/>
              <w:left w:val="single" w:sz="4" w:space="0" w:color="000000"/>
              <w:bottom w:val="single" w:sz="12" w:space="0" w:color="000000"/>
              <w:right w:val="single" w:sz="4" w:space="0" w:color="000000"/>
            </w:tcBorders>
          </w:tcPr>
          <w:p w14:paraId="0A9F1FD6" w14:textId="77777777" w:rsidR="00B94971" w:rsidRDefault="0047225A">
            <w:pPr>
              <w:spacing w:after="0" w:line="259" w:lineRule="auto"/>
              <w:ind w:left="2" w:firstLine="0"/>
              <w:jc w:val="left"/>
            </w:pPr>
            <w:r>
              <w:rPr>
                <w:sz w:val="20"/>
              </w:rPr>
              <w:t xml:space="preserve">Upper Middle </w:t>
            </w:r>
          </w:p>
        </w:tc>
        <w:tc>
          <w:tcPr>
            <w:tcW w:w="929" w:type="dxa"/>
            <w:tcBorders>
              <w:top w:val="single" w:sz="4" w:space="0" w:color="000000"/>
              <w:left w:val="single" w:sz="4" w:space="0" w:color="000000"/>
              <w:bottom w:val="single" w:sz="12" w:space="0" w:color="000000"/>
              <w:right w:val="single" w:sz="4" w:space="0" w:color="000000"/>
            </w:tcBorders>
          </w:tcPr>
          <w:p w14:paraId="15950081" w14:textId="77777777" w:rsidR="00B94971" w:rsidRDefault="0047225A">
            <w:pPr>
              <w:spacing w:after="0" w:line="259" w:lineRule="auto"/>
              <w:ind w:left="2" w:firstLine="0"/>
              <w:jc w:val="left"/>
            </w:pPr>
            <w:r>
              <w:rPr>
                <w:sz w:val="20"/>
              </w:rPr>
              <w:t xml:space="preserve">Middle </w:t>
            </w:r>
          </w:p>
        </w:tc>
        <w:tc>
          <w:tcPr>
            <w:tcW w:w="1049" w:type="dxa"/>
            <w:tcBorders>
              <w:top w:val="single" w:sz="4" w:space="0" w:color="000000"/>
              <w:left w:val="single" w:sz="4" w:space="0" w:color="000000"/>
              <w:bottom w:val="single" w:sz="12" w:space="0" w:color="000000"/>
              <w:right w:val="single" w:sz="4" w:space="0" w:color="000000"/>
            </w:tcBorders>
          </w:tcPr>
          <w:p w14:paraId="10410B57" w14:textId="77777777" w:rsidR="00B94971" w:rsidRDefault="0047225A">
            <w:pPr>
              <w:spacing w:after="0" w:line="259" w:lineRule="auto"/>
              <w:ind w:left="0" w:firstLine="0"/>
              <w:jc w:val="left"/>
            </w:pPr>
            <w:r>
              <w:rPr>
                <w:sz w:val="20"/>
              </w:rPr>
              <w:t xml:space="preserve">Low </w:t>
            </w:r>
          </w:p>
        </w:tc>
        <w:tc>
          <w:tcPr>
            <w:tcW w:w="972" w:type="dxa"/>
            <w:tcBorders>
              <w:top w:val="single" w:sz="4" w:space="0" w:color="000000"/>
              <w:left w:val="single" w:sz="4" w:space="0" w:color="000000"/>
              <w:bottom w:val="single" w:sz="12" w:space="0" w:color="000000"/>
              <w:right w:val="single" w:sz="4" w:space="0" w:color="000000"/>
            </w:tcBorders>
          </w:tcPr>
          <w:p w14:paraId="2A5CBE1B" w14:textId="77777777" w:rsidR="00B94971" w:rsidRDefault="0047225A">
            <w:pPr>
              <w:spacing w:after="0" w:line="259" w:lineRule="auto"/>
              <w:ind w:left="2" w:firstLine="0"/>
              <w:jc w:val="left"/>
            </w:pPr>
            <w:r>
              <w:rPr>
                <w:sz w:val="20"/>
              </w:rPr>
              <w:t xml:space="preserve"> </w:t>
            </w:r>
          </w:p>
        </w:tc>
        <w:tc>
          <w:tcPr>
            <w:tcW w:w="684" w:type="dxa"/>
            <w:tcBorders>
              <w:top w:val="single" w:sz="4" w:space="0" w:color="000000"/>
              <w:left w:val="single" w:sz="4" w:space="0" w:color="000000"/>
              <w:bottom w:val="single" w:sz="12" w:space="0" w:color="000000"/>
              <w:right w:val="single" w:sz="4" w:space="0" w:color="000000"/>
            </w:tcBorders>
          </w:tcPr>
          <w:p w14:paraId="42F5DFCF" w14:textId="77777777" w:rsidR="00B94971" w:rsidRDefault="0047225A">
            <w:pPr>
              <w:spacing w:after="0" w:line="259" w:lineRule="auto"/>
              <w:ind w:left="2" w:firstLine="0"/>
              <w:jc w:val="left"/>
            </w:pPr>
            <w:r>
              <w:rPr>
                <w:sz w:val="20"/>
              </w:rPr>
              <w:t xml:space="preserve"> </w:t>
            </w:r>
          </w:p>
        </w:tc>
        <w:tc>
          <w:tcPr>
            <w:tcW w:w="883" w:type="dxa"/>
            <w:tcBorders>
              <w:top w:val="single" w:sz="4" w:space="0" w:color="000000"/>
              <w:left w:val="single" w:sz="4" w:space="0" w:color="000000"/>
              <w:bottom w:val="single" w:sz="12" w:space="0" w:color="000000"/>
              <w:right w:val="single" w:sz="4" w:space="0" w:color="000000"/>
            </w:tcBorders>
          </w:tcPr>
          <w:p w14:paraId="6D97E568" w14:textId="77777777" w:rsidR="00B94971" w:rsidRDefault="0047225A">
            <w:pPr>
              <w:spacing w:after="0" w:line="259" w:lineRule="auto"/>
              <w:ind w:left="2" w:firstLine="0"/>
              <w:jc w:val="left"/>
            </w:pPr>
            <w:r>
              <w:rPr>
                <w:sz w:val="20"/>
              </w:rPr>
              <w:t xml:space="preserve"> </w:t>
            </w:r>
          </w:p>
        </w:tc>
        <w:tc>
          <w:tcPr>
            <w:tcW w:w="682" w:type="dxa"/>
            <w:tcBorders>
              <w:top w:val="single" w:sz="4" w:space="0" w:color="000000"/>
              <w:left w:val="single" w:sz="4" w:space="0" w:color="000000"/>
              <w:bottom w:val="single" w:sz="12" w:space="0" w:color="000000"/>
              <w:right w:val="single" w:sz="4" w:space="0" w:color="000000"/>
            </w:tcBorders>
          </w:tcPr>
          <w:p w14:paraId="7748C57B" w14:textId="77777777" w:rsidR="00B94971" w:rsidRDefault="0047225A">
            <w:pPr>
              <w:spacing w:after="0" w:line="259" w:lineRule="auto"/>
              <w:ind w:left="1" w:firstLine="0"/>
              <w:jc w:val="left"/>
            </w:pPr>
            <w:r>
              <w:rPr>
                <w:sz w:val="20"/>
              </w:rPr>
              <w:t xml:space="preserve"> </w:t>
            </w:r>
          </w:p>
        </w:tc>
        <w:tc>
          <w:tcPr>
            <w:tcW w:w="840" w:type="dxa"/>
            <w:tcBorders>
              <w:top w:val="single" w:sz="4" w:space="0" w:color="000000"/>
              <w:left w:val="single" w:sz="4" w:space="0" w:color="000000"/>
              <w:bottom w:val="single" w:sz="12" w:space="0" w:color="000000"/>
              <w:right w:val="single" w:sz="12" w:space="0" w:color="000000"/>
            </w:tcBorders>
          </w:tcPr>
          <w:p w14:paraId="3DCD05E1" w14:textId="77777777" w:rsidR="00B94971" w:rsidRDefault="0047225A">
            <w:pPr>
              <w:spacing w:after="0" w:line="259" w:lineRule="auto"/>
              <w:ind w:left="2" w:firstLine="0"/>
              <w:jc w:val="left"/>
            </w:pPr>
            <w:r>
              <w:rPr>
                <w:sz w:val="20"/>
              </w:rPr>
              <w:t xml:space="preserve"> </w:t>
            </w:r>
          </w:p>
        </w:tc>
      </w:tr>
    </w:tbl>
    <w:p w14:paraId="0415043B" w14:textId="77777777" w:rsidR="00B94971" w:rsidRDefault="0047225A">
      <w:pPr>
        <w:spacing w:after="0" w:line="259" w:lineRule="auto"/>
        <w:ind w:left="0" w:firstLine="0"/>
        <w:jc w:val="left"/>
      </w:pPr>
      <w:r>
        <w:t xml:space="preserve"> </w:t>
      </w:r>
    </w:p>
    <w:p w14:paraId="35500D4C" w14:textId="77777777" w:rsidR="00B94971" w:rsidRDefault="0047225A">
      <w:pPr>
        <w:pStyle w:val="Heading3"/>
        <w:ind w:left="-5"/>
      </w:pPr>
      <w:r>
        <w:t>Key Indicators</w:t>
      </w:r>
      <w:r>
        <w:rPr>
          <w:i w:val="0"/>
        </w:rPr>
        <w:t xml:space="preserve"> </w:t>
      </w:r>
    </w:p>
    <w:p w14:paraId="5B1AE97C" w14:textId="77777777" w:rsidR="00B94971" w:rsidRDefault="0047225A">
      <w:pPr>
        <w:ind w:left="-5"/>
      </w:pPr>
      <w:r>
        <w:t xml:space="preserve">Having drawn up a list of available socio-cultural and physical variables (the ‘Social </w:t>
      </w:r>
    </w:p>
    <w:p w14:paraId="327C21D3" w14:textId="77777777" w:rsidR="00B94971" w:rsidRDefault="0047225A">
      <w:pPr>
        <w:ind w:left="-5"/>
      </w:pPr>
      <w:proofErr w:type="gramStart"/>
      <w:r>
        <w:t>Measures’</w:t>
      </w:r>
      <w:proofErr w:type="gramEnd"/>
      <w:r>
        <w:t xml:space="preserve"> described above), we devised three ‘Key Indicators’ that would highlight different aspects of provision when cross referred with the Social Measures. These ar</w:t>
      </w:r>
      <w:r>
        <w:t xml:space="preserve">e: ‘Number of Adaptations’, ‘Differential Provision’ and ‘Suitability of Provision’. </w:t>
      </w:r>
    </w:p>
    <w:p w14:paraId="5F2A6515" w14:textId="77777777" w:rsidR="00B94971" w:rsidRDefault="0047225A">
      <w:pPr>
        <w:ind w:left="-15" w:firstLine="720"/>
      </w:pPr>
      <w:r>
        <w:lastRenderedPageBreak/>
        <w:t xml:space="preserve">The first of these was a count of the </w:t>
      </w:r>
      <w:r>
        <w:rPr>
          <w:i/>
        </w:rPr>
        <w:t>Number of Adaptations</w:t>
      </w:r>
      <w:r>
        <w:t xml:space="preserve"> that a household had from the list of 24 options </w:t>
      </w:r>
      <w:r>
        <w:t xml:space="preserve">presented to them. As can be seen from Table 8, the type of adaptation varies quite considerably, ranging from a simple grab-rail to an ‘extension to meet disabled person’s </w:t>
      </w:r>
      <w:proofErr w:type="gramStart"/>
      <w:r>
        <w:t>needs’</w:t>
      </w:r>
      <w:proofErr w:type="gramEnd"/>
      <w:r>
        <w:t>. This latter option also highlights the vagueness that is necessary to ensur</w:t>
      </w:r>
      <w:r>
        <w:t>e the list is relatively exhaustive, but also lacks the clarity of specific definition. While this does give some basic indication as to the levels of provision, it only works if we accept the assumption that any discrepancies are evenly spread among the v</w:t>
      </w:r>
      <w:r>
        <w:t>arious categories of each Social Measure. One important and unambiguous measure that this does provide is those households where the ‘number of adaptations’ is zero. To reiterate, we are limiting our analysis to those households who had answered ‘yes’ to t</w:t>
      </w:r>
      <w:r>
        <w:t xml:space="preserve">he initial question asking if the respondent thought they needed adaptations. </w:t>
      </w:r>
      <w:proofErr w:type="gramStart"/>
      <w:r>
        <w:t>Therefore</w:t>
      </w:r>
      <w:proofErr w:type="gramEnd"/>
      <w:r>
        <w:t xml:space="preserve"> this gives a measure of a lack of provision, even if that observation in its own right does not tell us what adaptations the householder feels they need, from grab-rail</w:t>
      </w:r>
      <w:r>
        <w:t xml:space="preserve"> to new extension. </w:t>
      </w:r>
    </w:p>
    <w:p w14:paraId="7874B0C4" w14:textId="77777777" w:rsidR="00B94971" w:rsidRDefault="0047225A">
      <w:pPr>
        <w:ind w:left="-15" w:firstLine="720"/>
      </w:pPr>
      <w:r>
        <w:t>Having identified that in some cases the number of adaptations provided was zero, a more nuanced indicator was required to analyse relative levels of provision. It was not possible to directly compare the presence and/or need of a speci</w:t>
      </w:r>
      <w:r>
        <w:t xml:space="preserve">fic adaptation, since many were similar or equivalent, for example the 9 separate adaptations related to the bathroom. However, by generating a difference between the numbers of adaptations present and needed, we can get a better idea of the general level </w:t>
      </w:r>
      <w:r>
        <w:t xml:space="preserve">of provision. The analysis of </w:t>
      </w:r>
      <w:r>
        <w:rPr>
          <w:i/>
        </w:rPr>
        <w:t>Differential Provision</w:t>
      </w:r>
      <w:r>
        <w:t xml:space="preserve"> was carried out by counting the number of options each household ‘had’, along with the number of options the same household ‘needed’. Since this analysis was carried out regardless of the specific adapta</w:t>
      </w:r>
      <w:r>
        <w:t>tion, it was possible that a household could have one set of unneeded adaptations, whilst needing a similar number of different adaptations. In such a case, the difference in number would be minimal or even zero, thus inaccurately suggesting a household in</w:t>
      </w:r>
      <w:r>
        <w:t xml:space="preserve"> no further need. However, a review of a range of many individual cases revealed that there were few, if any such households. Therefore, three categories were defined: The first was defined as being those cases where the difference between the number of ad</w:t>
      </w:r>
      <w:r>
        <w:t>aptations ‘needed’ and those they ‘had’ was 1 or less; the second category was defined as being those cases where the difference was between 2 and 3; and the third was defined as being those cases where the difference was 4 or more. Using these three categ</w:t>
      </w:r>
      <w:r>
        <w:t xml:space="preserve">ories, we divided levels of provision into ‘Have Most’; ‘Need Some’; and ‘Need Many’. </w:t>
      </w:r>
    </w:p>
    <w:p w14:paraId="2FAE3CC0" w14:textId="77777777" w:rsidR="00B94971" w:rsidRDefault="0047225A">
      <w:pPr>
        <w:ind w:left="-15" w:firstLine="720"/>
      </w:pPr>
      <w:r>
        <w:t>Relationships between these first two Key Indicators and the available Social Measures were investigated by producing cross tabulations that were examined for any signif</w:t>
      </w:r>
      <w:r>
        <w:t>icant patterns. These are discussed in more detail below, but one difference between the two time-points emerged immediately that required further analysis separate from any other correlations. The proportion of households whose number of adaptations excee</w:t>
      </w:r>
      <w:r>
        <w:t xml:space="preserve">ded those needed, increased markedly, rising from 3.3% in 2003/4 to 20.8% in 2009/10. To examine this further, for each of the 24 adaptations on the survey list a cross tabulation was carried out relating the number </w:t>
      </w:r>
      <w:r>
        <w:rPr>
          <w:i/>
        </w:rPr>
        <w:t>in situ</w:t>
      </w:r>
      <w:r>
        <w:t xml:space="preserve"> with the number needed. This pro</w:t>
      </w:r>
      <w:r>
        <w:t xml:space="preserve">duced a series of 24 tables measuring </w:t>
      </w:r>
      <w:r>
        <w:rPr>
          <w:i/>
        </w:rPr>
        <w:t>Suitability of Provision</w:t>
      </w:r>
      <w:r>
        <w:t xml:space="preserve">, which showed how many households had adaptations that they considered they did not need (one example – stairlifts – is given in Table 7). </w:t>
      </w:r>
    </w:p>
    <w:p w14:paraId="4A5D5ACE" w14:textId="77777777" w:rsidR="00B94971" w:rsidRDefault="0047225A">
      <w:pPr>
        <w:spacing w:after="0" w:line="259" w:lineRule="auto"/>
        <w:ind w:left="0" w:firstLine="0"/>
        <w:jc w:val="left"/>
      </w:pPr>
      <w:r>
        <w:t xml:space="preserve"> </w:t>
      </w:r>
    </w:p>
    <w:p w14:paraId="7A716E7E" w14:textId="77777777" w:rsidR="00B94971" w:rsidRDefault="0047225A">
      <w:pPr>
        <w:spacing w:after="0" w:line="259" w:lineRule="auto"/>
        <w:ind w:left="0" w:firstLine="0"/>
        <w:jc w:val="left"/>
      </w:pPr>
      <w:r>
        <w:t xml:space="preserve"> </w:t>
      </w:r>
    </w:p>
    <w:p w14:paraId="6CA8D9EC" w14:textId="77777777" w:rsidR="00B94971" w:rsidRDefault="0047225A">
      <w:pPr>
        <w:pStyle w:val="Heading1"/>
        <w:ind w:left="-5"/>
      </w:pPr>
      <w:r>
        <w:t xml:space="preserve">Results </w:t>
      </w:r>
    </w:p>
    <w:p w14:paraId="24BD2035" w14:textId="77777777" w:rsidR="00B94971" w:rsidRDefault="0047225A">
      <w:pPr>
        <w:spacing w:after="0" w:line="259" w:lineRule="auto"/>
        <w:ind w:left="0" w:firstLine="0"/>
        <w:jc w:val="left"/>
      </w:pPr>
      <w:r>
        <w:rPr>
          <w:b/>
        </w:rPr>
        <w:t xml:space="preserve"> </w:t>
      </w:r>
    </w:p>
    <w:p w14:paraId="06895345" w14:textId="77777777" w:rsidR="00B94971" w:rsidRDefault="0047225A">
      <w:pPr>
        <w:pStyle w:val="Heading2"/>
        <w:ind w:left="-5"/>
      </w:pPr>
      <w:r>
        <w:t xml:space="preserve">Summary </w:t>
      </w:r>
    </w:p>
    <w:p w14:paraId="5D4C3284" w14:textId="77777777" w:rsidR="00B94971" w:rsidRDefault="0047225A">
      <w:pPr>
        <w:ind w:left="-5"/>
      </w:pPr>
      <w:r>
        <w:t>After relating each of the Ke</w:t>
      </w:r>
      <w:r>
        <w:t xml:space="preserve">y Indicators to the Social Measures listed in Table 1, some significant patterns emerged. From the 2003/4 survey, we can draw attention to an apparent </w:t>
      </w:r>
      <w:r>
        <w:lastRenderedPageBreak/>
        <w:t>bias in the provision of adaptations against two social measures – ethnic group and age.</w:t>
      </w:r>
      <w:r>
        <w:rPr>
          <w:vertAlign w:val="superscript"/>
        </w:rPr>
        <w:footnoteReference w:id="5"/>
      </w:r>
      <w:r>
        <w:t xml:space="preserve"> Perhaps equall</w:t>
      </w:r>
      <w:r>
        <w:t>y surprisingly, we do not find noticeable patterns in the relations of provision with many of the other social measures, including tenure and income, although we note a relatively high proportion of disabled homes in the rented sector. We also identify a s</w:t>
      </w:r>
      <w:r>
        <w:t xml:space="preserve">hift in levels of provision, showing that by the time of the 2009/10 survey there was generally greater provision across all measures. </w:t>
      </w:r>
      <w:proofErr w:type="gramStart"/>
      <w:r>
        <w:t>However</w:t>
      </w:r>
      <w:proofErr w:type="gramEnd"/>
      <w:r>
        <w:t xml:space="preserve"> this is complicated by the final significant result, which is that by 2009/10 of all the adaptations in place, th</w:t>
      </w:r>
      <w:r>
        <w:t xml:space="preserve">e proportion not needed had increased markedly from 6.6% to 25%. </w:t>
      </w:r>
    </w:p>
    <w:p w14:paraId="4F3AD17C" w14:textId="77777777" w:rsidR="00B94971" w:rsidRDefault="0047225A">
      <w:pPr>
        <w:spacing w:after="0" w:line="259" w:lineRule="auto"/>
        <w:ind w:left="0" w:firstLine="0"/>
        <w:jc w:val="left"/>
      </w:pPr>
      <w:r>
        <w:t xml:space="preserve"> </w:t>
      </w:r>
    </w:p>
    <w:p w14:paraId="1E837297" w14:textId="77777777" w:rsidR="00B94971" w:rsidRDefault="0047225A">
      <w:pPr>
        <w:pStyle w:val="Heading2"/>
        <w:ind w:left="-5"/>
      </w:pPr>
      <w:r>
        <w:t xml:space="preserve">Differences between 2003 and 2009 </w:t>
      </w:r>
    </w:p>
    <w:p w14:paraId="33CFDDF4" w14:textId="77777777" w:rsidR="00B94971" w:rsidRDefault="0047225A">
      <w:pPr>
        <w:ind w:left="-5"/>
      </w:pPr>
      <w:r>
        <w:t>Across the two datasets, several significant differences were readily apparent (Table 2). The proportion of the population that self-reported needing ada</w:t>
      </w:r>
      <w:r>
        <w:t>ptations (</w:t>
      </w:r>
      <w:proofErr w:type="gramStart"/>
      <w:r>
        <w:t>i.e.</w:t>
      </w:r>
      <w:proofErr w:type="gramEnd"/>
      <w:r>
        <w:t xml:space="preserve"> categorised themselves as a disabled household) dropped from 11.0% in 2003 to 8.4% in 2009, but the number of adaptations provided per household increased by 22%. </w:t>
      </w:r>
      <w:proofErr w:type="gramStart"/>
      <w:r>
        <w:t>So</w:t>
      </w:r>
      <w:proofErr w:type="gramEnd"/>
      <w:r>
        <w:t xml:space="preserve"> while the number of households reporting the need for adaptations was sligh</w:t>
      </w:r>
      <w:r>
        <w:t xml:space="preserve">tly lower, the numbers of adaptations provided substantially increased. Supporting this is the reduction in the number of households with no adaptations at all, which is approximately halved, from 311 or 17.0% in EHCS2003, to 106 or 7.6% in EHS2009. </w:t>
      </w:r>
      <w:r>
        <w:rPr>
          <w:b/>
        </w:rPr>
        <w:t xml:space="preserve"> </w:t>
      </w:r>
    </w:p>
    <w:p w14:paraId="48829DFA" w14:textId="77777777" w:rsidR="00B94971" w:rsidRDefault="0047225A">
      <w:pPr>
        <w:ind w:left="-15" w:firstLine="720"/>
      </w:pPr>
      <w:r>
        <w:t>Howe</w:t>
      </w:r>
      <w:r>
        <w:t>ver, this means justifying any significant relationships using our Social Measures becomes difficult in EHS2009 as the numbers are smaller and patterns of difference consequently less reliable. For example, the relationship between zero adaptations and dwe</w:t>
      </w:r>
      <w:r>
        <w:t>lling age (Table 3) shows a discernible pattern in 2003: older dwellings are more likely to have no adaptations than newer dwellings, but this is less clear in EHS2009.</w:t>
      </w:r>
      <w:r>
        <w:rPr>
          <w:vertAlign w:val="superscript"/>
        </w:rPr>
        <w:footnoteReference w:id="6"/>
      </w:r>
      <w:r>
        <w:t xml:space="preserve"> The result might be expected, since Lansley </w:t>
      </w:r>
      <w:r>
        <w:rPr>
          <w:i/>
        </w:rPr>
        <w:t>et al.</w:t>
      </w:r>
      <w:r>
        <w:t xml:space="preserve"> (2005) have previously pointed out</w:t>
      </w:r>
      <w:r>
        <w:t xml:space="preserve"> that older dwellings are generally more difficult to adapt than newer dwellings, but our data only provides weak confirmation. The same can be said of other patterns that are evident in the earlier data but masked in the later data. </w:t>
      </w:r>
      <w:proofErr w:type="gramStart"/>
      <w:r>
        <w:t>Instead</w:t>
      </w:r>
      <w:proofErr w:type="gramEnd"/>
      <w:r>
        <w:t xml:space="preserve"> we are able to</w:t>
      </w:r>
      <w:r>
        <w:t xml:space="preserve"> comment on bias apparent in the 2003/4 data, and consider below the implications of the increased provision of adaptations by 2009/10, in ‘Suitability of Provision’. </w:t>
      </w:r>
    </w:p>
    <w:p w14:paraId="55F34C79" w14:textId="77777777" w:rsidR="00B94971" w:rsidRDefault="0047225A">
      <w:pPr>
        <w:spacing w:after="0" w:line="259" w:lineRule="auto"/>
        <w:ind w:left="720" w:firstLine="0"/>
        <w:jc w:val="left"/>
      </w:pPr>
      <w:r>
        <w:t xml:space="preserve"> </w:t>
      </w:r>
    </w:p>
    <w:p w14:paraId="71C990D3" w14:textId="77777777" w:rsidR="00B94971" w:rsidRDefault="0047225A">
      <w:pPr>
        <w:pStyle w:val="Heading2"/>
        <w:spacing w:after="0" w:line="259" w:lineRule="auto"/>
        <w:ind w:right="5"/>
        <w:jc w:val="center"/>
      </w:pPr>
      <w:r>
        <w:rPr>
          <w:b/>
          <w:i w:val="0"/>
        </w:rPr>
        <w:t>Table 2</w:t>
      </w:r>
      <w:r>
        <w:rPr>
          <w:i w:val="0"/>
        </w:rPr>
        <w:t xml:space="preserve">: Number of Adaptations </w:t>
      </w:r>
    </w:p>
    <w:p w14:paraId="5CC5EACF" w14:textId="77777777" w:rsidR="00B94971" w:rsidRDefault="0047225A">
      <w:pPr>
        <w:spacing w:after="0" w:line="259" w:lineRule="auto"/>
        <w:ind w:left="0" w:firstLine="0"/>
        <w:jc w:val="left"/>
      </w:pPr>
      <w:r>
        <w:t xml:space="preserve"> </w:t>
      </w:r>
    </w:p>
    <w:p w14:paraId="2FCDE04A" w14:textId="77777777" w:rsidR="00B94971" w:rsidRDefault="0047225A">
      <w:pPr>
        <w:spacing w:after="0" w:line="259" w:lineRule="auto"/>
        <w:ind w:left="-37" w:right="-28" w:firstLine="0"/>
        <w:jc w:val="left"/>
      </w:pPr>
      <w:r>
        <w:rPr>
          <w:noProof/>
        </w:rPr>
        <w:lastRenderedPageBreak/>
        <w:drawing>
          <wp:inline distT="0" distB="0" distL="0" distR="0" wp14:anchorId="2F63DFA9" wp14:editId="2588357B">
            <wp:extent cx="5775960" cy="2170176"/>
            <wp:effectExtent l="0" t="0" r="0" b="0"/>
            <wp:docPr id="70600" name="Picture 70600"/>
            <wp:cNvGraphicFramePr/>
            <a:graphic xmlns:a="http://schemas.openxmlformats.org/drawingml/2006/main">
              <a:graphicData uri="http://schemas.openxmlformats.org/drawingml/2006/picture">
                <pic:pic xmlns:pic="http://schemas.openxmlformats.org/drawingml/2006/picture">
                  <pic:nvPicPr>
                    <pic:cNvPr id="70600" name="Picture 70600"/>
                    <pic:cNvPicPr/>
                  </pic:nvPicPr>
                  <pic:blipFill>
                    <a:blip r:embed="rId7"/>
                    <a:stretch>
                      <a:fillRect/>
                    </a:stretch>
                  </pic:blipFill>
                  <pic:spPr>
                    <a:xfrm>
                      <a:off x="0" y="0"/>
                      <a:ext cx="5775960" cy="2170176"/>
                    </a:xfrm>
                    <a:prstGeom prst="rect">
                      <a:avLst/>
                    </a:prstGeom>
                  </pic:spPr>
                </pic:pic>
              </a:graphicData>
            </a:graphic>
          </wp:inline>
        </w:drawing>
      </w:r>
    </w:p>
    <w:p w14:paraId="08224F9A" w14:textId="77777777" w:rsidR="00B94971" w:rsidRDefault="0047225A">
      <w:pPr>
        <w:pStyle w:val="Heading3"/>
        <w:ind w:left="-5"/>
      </w:pPr>
      <w:r>
        <w:t xml:space="preserve">Regional Variation </w:t>
      </w:r>
    </w:p>
    <w:p w14:paraId="27547CD2" w14:textId="77777777" w:rsidR="00B94971" w:rsidRDefault="0047225A">
      <w:pPr>
        <w:ind w:left="-5"/>
      </w:pPr>
      <w:r>
        <w:t>Among the nine possible responses to ‘Region’ there was some variation, but no obvious pattern. The spread of ‘needing many’ adaptations ranged from 7% (Yorkshire and East of England) to 12% (</w:t>
      </w:r>
      <w:proofErr w:type="gramStart"/>
      <w:r>
        <w:t>North West</w:t>
      </w:r>
      <w:proofErr w:type="gramEnd"/>
      <w:r>
        <w:t xml:space="preserve"> and London), but it seems that the difference is not </w:t>
      </w:r>
      <w:r>
        <w:t xml:space="preserve">strongly related to geographical location. There is a slightly stronger pattern when using the ‘Type of </w:t>
      </w:r>
    </w:p>
    <w:p w14:paraId="6F454EC4" w14:textId="77777777" w:rsidR="00B94971" w:rsidRDefault="0047225A">
      <w:pPr>
        <w:ind w:left="-5"/>
      </w:pPr>
      <w:r>
        <w:t>Area’ measure that may explain the differences better. In rural areas 78% ‘have most’ and 7% ‘need many’ adaptations, whereas in urban areas the equiva</w:t>
      </w:r>
      <w:r>
        <w:t>lent figures are 65% and 14% (suburban areas are intermediate for both figures). To speculate further, there may be a link to tenure, in that London has the highest proportion of rented accommodation in England and Wales (50.4% in 2011), however the region</w:t>
      </w:r>
      <w:r>
        <w:t xml:space="preserve"> with the third highest is Yorkshire (35.5%). This suggests that there is likely to be a more complex set of relationships driving regional variation, possibly including a rural/urban divide or issues to do with tenure. </w:t>
      </w:r>
    </w:p>
    <w:p w14:paraId="50EBA42C" w14:textId="77777777" w:rsidR="00B94971" w:rsidRDefault="0047225A">
      <w:pPr>
        <w:pStyle w:val="Heading2"/>
        <w:spacing w:after="0" w:line="259" w:lineRule="auto"/>
        <w:ind w:right="9"/>
        <w:jc w:val="center"/>
      </w:pPr>
      <w:r>
        <w:rPr>
          <w:b/>
          <w:i w:val="0"/>
        </w:rPr>
        <w:t>Table 3</w:t>
      </w:r>
      <w:r>
        <w:rPr>
          <w:i w:val="0"/>
        </w:rPr>
        <w:t>: Zero Adaptations vs Dwelli</w:t>
      </w:r>
      <w:r>
        <w:rPr>
          <w:i w:val="0"/>
        </w:rPr>
        <w:t xml:space="preserve">ng Age </w:t>
      </w:r>
    </w:p>
    <w:p w14:paraId="7B060645" w14:textId="77777777" w:rsidR="00B94971" w:rsidRDefault="0047225A">
      <w:pPr>
        <w:spacing w:after="0" w:line="259" w:lineRule="auto"/>
        <w:ind w:left="54" w:firstLine="0"/>
        <w:jc w:val="center"/>
      </w:pPr>
      <w:r>
        <w:t xml:space="preserve"> </w:t>
      </w:r>
    </w:p>
    <w:tbl>
      <w:tblPr>
        <w:tblStyle w:val="TableGrid"/>
        <w:tblW w:w="9244" w:type="dxa"/>
        <w:tblInd w:w="-108" w:type="dxa"/>
        <w:tblCellMar>
          <w:top w:w="7" w:type="dxa"/>
          <w:left w:w="108" w:type="dxa"/>
          <w:bottom w:w="0" w:type="dxa"/>
          <w:right w:w="115" w:type="dxa"/>
        </w:tblCellMar>
        <w:tblLook w:val="04A0" w:firstRow="1" w:lastRow="0" w:firstColumn="1" w:lastColumn="0" w:noHBand="0" w:noVBand="1"/>
      </w:tblPr>
      <w:tblGrid>
        <w:gridCol w:w="1761"/>
        <w:gridCol w:w="1582"/>
        <w:gridCol w:w="886"/>
        <w:gridCol w:w="1220"/>
        <w:gridCol w:w="1690"/>
        <w:gridCol w:w="874"/>
        <w:gridCol w:w="1231"/>
      </w:tblGrid>
      <w:tr w:rsidR="00B94971" w14:paraId="103C0154" w14:textId="77777777">
        <w:trPr>
          <w:trHeight w:val="259"/>
        </w:trPr>
        <w:tc>
          <w:tcPr>
            <w:tcW w:w="1762" w:type="dxa"/>
            <w:vMerge w:val="restart"/>
            <w:tcBorders>
              <w:top w:val="single" w:sz="12" w:space="0" w:color="000000"/>
              <w:left w:val="single" w:sz="12" w:space="0" w:color="000000"/>
              <w:bottom w:val="single" w:sz="12" w:space="0" w:color="000000"/>
              <w:right w:val="single" w:sz="12" w:space="0" w:color="000000"/>
            </w:tcBorders>
          </w:tcPr>
          <w:p w14:paraId="312B808D" w14:textId="77777777" w:rsidR="00B94971" w:rsidRDefault="0047225A">
            <w:pPr>
              <w:spacing w:after="0" w:line="259" w:lineRule="auto"/>
              <w:ind w:left="0" w:right="23" w:firstLine="0"/>
              <w:jc w:val="left"/>
            </w:pPr>
            <w:r>
              <w:rPr>
                <w:b/>
                <w:sz w:val="20"/>
              </w:rPr>
              <w:t xml:space="preserve">Dwelling </w:t>
            </w:r>
            <w:proofErr w:type="gramStart"/>
            <w:r>
              <w:rPr>
                <w:b/>
                <w:sz w:val="20"/>
              </w:rPr>
              <w:t>Age  (</w:t>
            </w:r>
            <w:proofErr w:type="gramEnd"/>
            <w:r>
              <w:rPr>
                <w:b/>
                <w:sz w:val="20"/>
              </w:rPr>
              <w:t xml:space="preserve">by category) </w:t>
            </w:r>
          </w:p>
        </w:tc>
        <w:tc>
          <w:tcPr>
            <w:tcW w:w="3687" w:type="dxa"/>
            <w:gridSpan w:val="3"/>
            <w:tcBorders>
              <w:top w:val="single" w:sz="12" w:space="0" w:color="000000"/>
              <w:left w:val="single" w:sz="12" w:space="0" w:color="000000"/>
              <w:bottom w:val="single" w:sz="12" w:space="0" w:color="000000"/>
              <w:right w:val="single" w:sz="12" w:space="0" w:color="000000"/>
            </w:tcBorders>
          </w:tcPr>
          <w:p w14:paraId="6CEF61E2" w14:textId="77777777" w:rsidR="00B94971" w:rsidRDefault="0047225A">
            <w:pPr>
              <w:spacing w:after="0" w:line="259" w:lineRule="auto"/>
              <w:ind w:left="5" w:firstLine="0"/>
              <w:jc w:val="center"/>
            </w:pPr>
            <w:r>
              <w:rPr>
                <w:b/>
                <w:sz w:val="20"/>
              </w:rPr>
              <w:t xml:space="preserve">EHCS2003 </w:t>
            </w:r>
          </w:p>
        </w:tc>
        <w:tc>
          <w:tcPr>
            <w:tcW w:w="3795" w:type="dxa"/>
            <w:gridSpan w:val="3"/>
            <w:tcBorders>
              <w:top w:val="single" w:sz="12" w:space="0" w:color="000000"/>
              <w:left w:val="single" w:sz="12" w:space="0" w:color="000000"/>
              <w:bottom w:val="single" w:sz="12" w:space="0" w:color="000000"/>
              <w:right w:val="single" w:sz="12" w:space="0" w:color="000000"/>
            </w:tcBorders>
          </w:tcPr>
          <w:p w14:paraId="368B11F0" w14:textId="77777777" w:rsidR="00B94971" w:rsidRDefault="0047225A">
            <w:pPr>
              <w:spacing w:after="0" w:line="259" w:lineRule="auto"/>
              <w:ind w:left="7" w:firstLine="0"/>
              <w:jc w:val="center"/>
            </w:pPr>
            <w:r>
              <w:rPr>
                <w:b/>
                <w:sz w:val="20"/>
              </w:rPr>
              <w:t xml:space="preserve">EHS2009 </w:t>
            </w:r>
          </w:p>
        </w:tc>
      </w:tr>
      <w:tr w:rsidR="00B94971" w14:paraId="35488DBA" w14:textId="77777777">
        <w:trPr>
          <w:trHeight w:val="490"/>
        </w:trPr>
        <w:tc>
          <w:tcPr>
            <w:tcW w:w="0" w:type="auto"/>
            <w:vMerge/>
            <w:tcBorders>
              <w:top w:val="nil"/>
              <w:left w:val="single" w:sz="12" w:space="0" w:color="000000"/>
              <w:bottom w:val="single" w:sz="12" w:space="0" w:color="000000"/>
              <w:right w:val="single" w:sz="12" w:space="0" w:color="000000"/>
            </w:tcBorders>
          </w:tcPr>
          <w:p w14:paraId="690B9E86" w14:textId="77777777" w:rsidR="00B94971" w:rsidRDefault="00B94971">
            <w:pPr>
              <w:spacing w:after="160" w:line="259" w:lineRule="auto"/>
              <w:ind w:left="0" w:firstLine="0"/>
              <w:jc w:val="left"/>
            </w:pPr>
          </w:p>
        </w:tc>
        <w:tc>
          <w:tcPr>
            <w:tcW w:w="1582" w:type="dxa"/>
            <w:tcBorders>
              <w:top w:val="single" w:sz="12" w:space="0" w:color="000000"/>
              <w:left w:val="single" w:sz="12" w:space="0" w:color="000000"/>
              <w:bottom w:val="single" w:sz="12" w:space="0" w:color="000000"/>
              <w:right w:val="single" w:sz="12" w:space="0" w:color="000000"/>
            </w:tcBorders>
          </w:tcPr>
          <w:p w14:paraId="7DCD5E8E" w14:textId="77777777" w:rsidR="00B94971" w:rsidRDefault="0047225A">
            <w:pPr>
              <w:spacing w:after="0" w:line="259" w:lineRule="auto"/>
              <w:ind w:left="0" w:firstLine="0"/>
              <w:jc w:val="center"/>
            </w:pPr>
            <w:r>
              <w:rPr>
                <w:b/>
                <w:sz w:val="20"/>
              </w:rPr>
              <w:t xml:space="preserve">No. Disabled Households </w:t>
            </w:r>
          </w:p>
        </w:tc>
        <w:tc>
          <w:tcPr>
            <w:tcW w:w="2105" w:type="dxa"/>
            <w:gridSpan w:val="2"/>
            <w:tcBorders>
              <w:top w:val="single" w:sz="12" w:space="0" w:color="000000"/>
              <w:left w:val="single" w:sz="12" w:space="0" w:color="000000"/>
              <w:bottom w:val="single" w:sz="12" w:space="0" w:color="000000"/>
              <w:right w:val="single" w:sz="12" w:space="0" w:color="000000"/>
            </w:tcBorders>
          </w:tcPr>
          <w:p w14:paraId="4AB172A9" w14:textId="77777777" w:rsidR="00B94971" w:rsidRDefault="0047225A">
            <w:pPr>
              <w:spacing w:after="0" w:line="259" w:lineRule="auto"/>
              <w:ind w:left="0" w:firstLine="0"/>
              <w:jc w:val="center"/>
            </w:pPr>
            <w:r>
              <w:rPr>
                <w:b/>
                <w:sz w:val="20"/>
              </w:rPr>
              <w:t xml:space="preserve">With Zero Adaptations </w:t>
            </w:r>
          </w:p>
        </w:tc>
        <w:tc>
          <w:tcPr>
            <w:tcW w:w="1690" w:type="dxa"/>
            <w:tcBorders>
              <w:top w:val="single" w:sz="12" w:space="0" w:color="000000"/>
              <w:left w:val="single" w:sz="12" w:space="0" w:color="000000"/>
              <w:bottom w:val="single" w:sz="12" w:space="0" w:color="000000"/>
              <w:right w:val="single" w:sz="12" w:space="0" w:color="000000"/>
            </w:tcBorders>
          </w:tcPr>
          <w:p w14:paraId="148887A7" w14:textId="77777777" w:rsidR="00B94971" w:rsidRDefault="0047225A">
            <w:pPr>
              <w:spacing w:after="0" w:line="259" w:lineRule="auto"/>
              <w:ind w:left="0" w:firstLine="0"/>
              <w:jc w:val="center"/>
            </w:pPr>
            <w:r>
              <w:rPr>
                <w:b/>
                <w:sz w:val="20"/>
              </w:rPr>
              <w:t xml:space="preserve">No. Disabled Households </w:t>
            </w:r>
          </w:p>
        </w:tc>
        <w:tc>
          <w:tcPr>
            <w:tcW w:w="2105" w:type="dxa"/>
            <w:gridSpan w:val="2"/>
            <w:tcBorders>
              <w:top w:val="single" w:sz="12" w:space="0" w:color="000000"/>
              <w:left w:val="single" w:sz="12" w:space="0" w:color="000000"/>
              <w:bottom w:val="single" w:sz="12" w:space="0" w:color="000000"/>
              <w:right w:val="single" w:sz="12" w:space="0" w:color="000000"/>
            </w:tcBorders>
          </w:tcPr>
          <w:p w14:paraId="54C8C55E" w14:textId="77777777" w:rsidR="00B94971" w:rsidRDefault="0047225A">
            <w:pPr>
              <w:spacing w:after="0" w:line="259" w:lineRule="auto"/>
              <w:ind w:left="0" w:firstLine="0"/>
              <w:jc w:val="center"/>
            </w:pPr>
            <w:r>
              <w:rPr>
                <w:b/>
                <w:sz w:val="20"/>
              </w:rPr>
              <w:t xml:space="preserve">With Zero Adaptations </w:t>
            </w:r>
          </w:p>
        </w:tc>
      </w:tr>
      <w:tr w:rsidR="00B94971" w14:paraId="4621D50A" w14:textId="77777777">
        <w:trPr>
          <w:trHeight w:val="252"/>
        </w:trPr>
        <w:tc>
          <w:tcPr>
            <w:tcW w:w="1762" w:type="dxa"/>
            <w:tcBorders>
              <w:top w:val="single" w:sz="12" w:space="0" w:color="000000"/>
              <w:left w:val="single" w:sz="12" w:space="0" w:color="000000"/>
              <w:bottom w:val="single" w:sz="4" w:space="0" w:color="000000"/>
              <w:right w:val="single" w:sz="12" w:space="0" w:color="000000"/>
            </w:tcBorders>
          </w:tcPr>
          <w:p w14:paraId="3B71E599" w14:textId="77777777" w:rsidR="00B94971" w:rsidRDefault="0047225A">
            <w:pPr>
              <w:spacing w:after="0" w:line="259" w:lineRule="auto"/>
              <w:ind w:left="0" w:firstLine="0"/>
              <w:jc w:val="left"/>
            </w:pPr>
            <w:r>
              <w:rPr>
                <w:b/>
                <w:sz w:val="20"/>
              </w:rPr>
              <w:t xml:space="preserve"> </w:t>
            </w:r>
          </w:p>
        </w:tc>
        <w:tc>
          <w:tcPr>
            <w:tcW w:w="1582" w:type="dxa"/>
            <w:tcBorders>
              <w:top w:val="single" w:sz="12" w:space="0" w:color="000000"/>
              <w:left w:val="single" w:sz="12" w:space="0" w:color="000000"/>
              <w:bottom w:val="single" w:sz="4" w:space="0" w:color="000000"/>
              <w:right w:val="single" w:sz="12" w:space="0" w:color="000000"/>
            </w:tcBorders>
          </w:tcPr>
          <w:p w14:paraId="1B81EDEF" w14:textId="77777777" w:rsidR="00B94971" w:rsidRDefault="0047225A">
            <w:pPr>
              <w:spacing w:after="0" w:line="259" w:lineRule="auto"/>
              <w:ind w:left="54" w:firstLine="0"/>
              <w:jc w:val="center"/>
            </w:pPr>
            <w:r>
              <w:rPr>
                <w:b/>
                <w:sz w:val="20"/>
              </w:rPr>
              <w:t xml:space="preserve"> </w:t>
            </w:r>
          </w:p>
        </w:tc>
        <w:tc>
          <w:tcPr>
            <w:tcW w:w="886" w:type="dxa"/>
            <w:tcBorders>
              <w:top w:val="single" w:sz="12" w:space="0" w:color="000000"/>
              <w:left w:val="single" w:sz="12" w:space="0" w:color="000000"/>
              <w:bottom w:val="single" w:sz="4" w:space="0" w:color="000000"/>
              <w:right w:val="single" w:sz="4" w:space="0" w:color="000000"/>
            </w:tcBorders>
          </w:tcPr>
          <w:p w14:paraId="6291AB03" w14:textId="77777777" w:rsidR="00B94971" w:rsidRDefault="0047225A">
            <w:pPr>
              <w:spacing w:after="0" w:line="259" w:lineRule="auto"/>
              <w:ind w:left="1" w:firstLine="0"/>
              <w:jc w:val="center"/>
            </w:pPr>
            <w:r>
              <w:rPr>
                <w:b/>
                <w:sz w:val="20"/>
              </w:rPr>
              <w:t xml:space="preserve">No. </w:t>
            </w:r>
          </w:p>
        </w:tc>
        <w:tc>
          <w:tcPr>
            <w:tcW w:w="1220" w:type="dxa"/>
            <w:tcBorders>
              <w:top w:val="single" w:sz="12" w:space="0" w:color="000000"/>
              <w:left w:val="single" w:sz="4" w:space="0" w:color="000000"/>
              <w:bottom w:val="single" w:sz="4" w:space="0" w:color="000000"/>
              <w:right w:val="single" w:sz="12" w:space="0" w:color="000000"/>
            </w:tcBorders>
          </w:tcPr>
          <w:p w14:paraId="095A6CFB" w14:textId="77777777" w:rsidR="00B94971" w:rsidRDefault="0047225A">
            <w:pPr>
              <w:spacing w:after="0" w:line="259" w:lineRule="auto"/>
              <w:ind w:left="4" w:firstLine="0"/>
              <w:jc w:val="center"/>
            </w:pPr>
            <w:r>
              <w:rPr>
                <w:b/>
                <w:sz w:val="20"/>
              </w:rPr>
              <w:t xml:space="preserve">%  </w:t>
            </w:r>
          </w:p>
        </w:tc>
        <w:tc>
          <w:tcPr>
            <w:tcW w:w="1690" w:type="dxa"/>
            <w:tcBorders>
              <w:top w:val="single" w:sz="12" w:space="0" w:color="000000"/>
              <w:left w:val="single" w:sz="12" w:space="0" w:color="000000"/>
              <w:bottom w:val="single" w:sz="4" w:space="0" w:color="000000"/>
              <w:right w:val="single" w:sz="12" w:space="0" w:color="000000"/>
            </w:tcBorders>
          </w:tcPr>
          <w:p w14:paraId="6D139952" w14:textId="77777777" w:rsidR="00B94971" w:rsidRDefault="0047225A">
            <w:pPr>
              <w:spacing w:after="0" w:line="259" w:lineRule="auto"/>
              <w:ind w:left="57" w:firstLine="0"/>
              <w:jc w:val="center"/>
            </w:pPr>
            <w:r>
              <w:rPr>
                <w:b/>
                <w:sz w:val="20"/>
              </w:rPr>
              <w:t xml:space="preserve"> </w:t>
            </w:r>
          </w:p>
        </w:tc>
        <w:tc>
          <w:tcPr>
            <w:tcW w:w="874" w:type="dxa"/>
            <w:tcBorders>
              <w:top w:val="single" w:sz="12" w:space="0" w:color="000000"/>
              <w:left w:val="single" w:sz="12" w:space="0" w:color="000000"/>
              <w:bottom w:val="single" w:sz="4" w:space="0" w:color="000000"/>
              <w:right w:val="single" w:sz="4" w:space="0" w:color="000000"/>
            </w:tcBorders>
          </w:tcPr>
          <w:p w14:paraId="23EDCB36" w14:textId="77777777" w:rsidR="00B94971" w:rsidRDefault="0047225A">
            <w:pPr>
              <w:spacing w:after="0" w:line="259" w:lineRule="auto"/>
              <w:ind w:left="3" w:firstLine="0"/>
              <w:jc w:val="center"/>
            </w:pPr>
            <w:r>
              <w:rPr>
                <w:b/>
                <w:sz w:val="20"/>
              </w:rPr>
              <w:t xml:space="preserve">No. </w:t>
            </w:r>
          </w:p>
        </w:tc>
        <w:tc>
          <w:tcPr>
            <w:tcW w:w="1231" w:type="dxa"/>
            <w:tcBorders>
              <w:top w:val="single" w:sz="12" w:space="0" w:color="000000"/>
              <w:left w:val="single" w:sz="4" w:space="0" w:color="000000"/>
              <w:bottom w:val="single" w:sz="4" w:space="0" w:color="000000"/>
              <w:right w:val="single" w:sz="12" w:space="0" w:color="000000"/>
            </w:tcBorders>
          </w:tcPr>
          <w:p w14:paraId="7499AA29" w14:textId="77777777" w:rsidR="00B94971" w:rsidRDefault="0047225A">
            <w:pPr>
              <w:spacing w:after="0" w:line="259" w:lineRule="auto"/>
              <w:ind w:left="7" w:firstLine="0"/>
              <w:jc w:val="center"/>
            </w:pPr>
            <w:r>
              <w:rPr>
                <w:b/>
                <w:sz w:val="20"/>
              </w:rPr>
              <w:t xml:space="preserve">%  </w:t>
            </w:r>
          </w:p>
        </w:tc>
      </w:tr>
      <w:tr w:rsidR="00B94971" w14:paraId="29B6432F" w14:textId="77777777">
        <w:trPr>
          <w:trHeight w:val="240"/>
        </w:trPr>
        <w:tc>
          <w:tcPr>
            <w:tcW w:w="1762" w:type="dxa"/>
            <w:tcBorders>
              <w:top w:val="single" w:sz="4" w:space="0" w:color="000000"/>
              <w:left w:val="single" w:sz="12" w:space="0" w:color="000000"/>
              <w:bottom w:val="single" w:sz="4" w:space="0" w:color="000000"/>
              <w:right w:val="single" w:sz="12" w:space="0" w:color="000000"/>
            </w:tcBorders>
          </w:tcPr>
          <w:p w14:paraId="1AF6BB13" w14:textId="77777777" w:rsidR="00B94971" w:rsidRDefault="0047225A">
            <w:pPr>
              <w:spacing w:after="0" w:line="259" w:lineRule="auto"/>
              <w:ind w:left="0" w:firstLine="0"/>
              <w:jc w:val="left"/>
            </w:pPr>
            <w:r>
              <w:rPr>
                <w:b/>
                <w:sz w:val="20"/>
              </w:rPr>
              <w:t xml:space="preserve">Pre 1919 </w:t>
            </w:r>
          </w:p>
        </w:tc>
        <w:tc>
          <w:tcPr>
            <w:tcW w:w="1582" w:type="dxa"/>
            <w:tcBorders>
              <w:top w:val="single" w:sz="4" w:space="0" w:color="000000"/>
              <w:left w:val="single" w:sz="12" w:space="0" w:color="000000"/>
              <w:bottom w:val="single" w:sz="4" w:space="0" w:color="000000"/>
              <w:right w:val="single" w:sz="12" w:space="0" w:color="000000"/>
            </w:tcBorders>
          </w:tcPr>
          <w:p w14:paraId="06738499" w14:textId="77777777" w:rsidR="00B94971" w:rsidRDefault="0047225A">
            <w:pPr>
              <w:spacing w:after="0" w:line="259" w:lineRule="auto"/>
              <w:ind w:left="3" w:firstLine="0"/>
              <w:jc w:val="center"/>
            </w:pPr>
            <w:r>
              <w:rPr>
                <w:sz w:val="20"/>
              </w:rPr>
              <w:t xml:space="preserve">232 </w:t>
            </w:r>
          </w:p>
        </w:tc>
        <w:tc>
          <w:tcPr>
            <w:tcW w:w="886" w:type="dxa"/>
            <w:tcBorders>
              <w:top w:val="single" w:sz="4" w:space="0" w:color="000000"/>
              <w:left w:val="single" w:sz="12" w:space="0" w:color="000000"/>
              <w:bottom w:val="single" w:sz="4" w:space="0" w:color="000000"/>
              <w:right w:val="single" w:sz="4" w:space="0" w:color="000000"/>
            </w:tcBorders>
          </w:tcPr>
          <w:p w14:paraId="18B29A01" w14:textId="77777777" w:rsidR="00B94971" w:rsidRDefault="0047225A">
            <w:pPr>
              <w:spacing w:after="0" w:line="259" w:lineRule="auto"/>
              <w:ind w:left="3" w:firstLine="0"/>
              <w:jc w:val="center"/>
            </w:pPr>
            <w:r>
              <w:rPr>
                <w:sz w:val="20"/>
              </w:rPr>
              <w:t xml:space="preserve">49 </w:t>
            </w:r>
          </w:p>
        </w:tc>
        <w:tc>
          <w:tcPr>
            <w:tcW w:w="1220" w:type="dxa"/>
            <w:tcBorders>
              <w:top w:val="single" w:sz="4" w:space="0" w:color="000000"/>
              <w:left w:val="single" w:sz="4" w:space="0" w:color="000000"/>
              <w:bottom w:val="single" w:sz="4" w:space="0" w:color="000000"/>
              <w:right w:val="single" w:sz="12" w:space="0" w:color="000000"/>
            </w:tcBorders>
          </w:tcPr>
          <w:p w14:paraId="16CAE997" w14:textId="77777777" w:rsidR="00B94971" w:rsidRDefault="0047225A">
            <w:pPr>
              <w:spacing w:after="0" w:line="259" w:lineRule="auto"/>
              <w:ind w:left="7" w:firstLine="0"/>
              <w:jc w:val="center"/>
            </w:pPr>
            <w:r>
              <w:rPr>
                <w:sz w:val="20"/>
              </w:rPr>
              <w:t xml:space="preserve">21.1 </w:t>
            </w:r>
          </w:p>
        </w:tc>
        <w:tc>
          <w:tcPr>
            <w:tcW w:w="1690" w:type="dxa"/>
            <w:tcBorders>
              <w:top w:val="single" w:sz="4" w:space="0" w:color="000000"/>
              <w:left w:val="single" w:sz="12" w:space="0" w:color="000000"/>
              <w:bottom w:val="single" w:sz="4" w:space="0" w:color="000000"/>
              <w:right w:val="single" w:sz="12" w:space="0" w:color="000000"/>
            </w:tcBorders>
          </w:tcPr>
          <w:p w14:paraId="016FF570" w14:textId="77777777" w:rsidR="00B94971" w:rsidRDefault="0047225A">
            <w:pPr>
              <w:spacing w:after="0" w:line="259" w:lineRule="auto"/>
              <w:ind w:left="6" w:firstLine="0"/>
              <w:jc w:val="center"/>
            </w:pPr>
            <w:r>
              <w:rPr>
                <w:sz w:val="20"/>
              </w:rPr>
              <w:t xml:space="preserve">173 </w:t>
            </w:r>
          </w:p>
        </w:tc>
        <w:tc>
          <w:tcPr>
            <w:tcW w:w="874" w:type="dxa"/>
            <w:tcBorders>
              <w:top w:val="single" w:sz="4" w:space="0" w:color="000000"/>
              <w:left w:val="single" w:sz="12" w:space="0" w:color="000000"/>
              <w:bottom w:val="single" w:sz="4" w:space="0" w:color="000000"/>
              <w:right w:val="single" w:sz="4" w:space="0" w:color="000000"/>
            </w:tcBorders>
          </w:tcPr>
          <w:p w14:paraId="3F278A47" w14:textId="77777777" w:rsidR="00B94971" w:rsidRDefault="0047225A">
            <w:pPr>
              <w:spacing w:after="0" w:line="259" w:lineRule="auto"/>
              <w:ind w:left="5" w:firstLine="0"/>
              <w:jc w:val="center"/>
            </w:pPr>
            <w:r>
              <w:rPr>
                <w:sz w:val="20"/>
              </w:rPr>
              <w:t xml:space="preserve">14 </w:t>
            </w:r>
          </w:p>
        </w:tc>
        <w:tc>
          <w:tcPr>
            <w:tcW w:w="1231" w:type="dxa"/>
            <w:tcBorders>
              <w:top w:val="single" w:sz="4" w:space="0" w:color="000000"/>
              <w:left w:val="single" w:sz="4" w:space="0" w:color="000000"/>
              <w:bottom w:val="single" w:sz="4" w:space="0" w:color="000000"/>
              <w:right w:val="single" w:sz="12" w:space="0" w:color="000000"/>
            </w:tcBorders>
          </w:tcPr>
          <w:p w14:paraId="6AF08F4C" w14:textId="77777777" w:rsidR="00B94971" w:rsidRDefault="0047225A">
            <w:pPr>
              <w:spacing w:after="0" w:line="259" w:lineRule="auto"/>
              <w:ind w:left="5" w:firstLine="0"/>
              <w:jc w:val="center"/>
            </w:pPr>
            <w:r>
              <w:rPr>
                <w:sz w:val="20"/>
              </w:rPr>
              <w:t xml:space="preserve">8.1 </w:t>
            </w:r>
          </w:p>
        </w:tc>
      </w:tr>
      <w:tr w:rsidR="00B94971" w14:paraId="43DBFB89" w14:textId="77777777">
        <w:trPr>
          <w:trHeight w:val="240"/>
        </w:trPr>
        <w:tc>
          <w:tcPr>
            <w:tcW w:w="1762" w:type="dxa"/>
            <w:tcBorders>
              <w:top w:val="single" w:sz="4" w:space="0" w:color="000000"/>
              <w:left w:val="single" w:sz="12" w:space="0" w:color="000000"/>
              <w:bottom w:val="single" w:sz="4" w:space="0" w:color="000000"/>
              <w:right w:val="single" w:sz="12" w:space="0" w:color="000000"/>
            </w:tcBorders>
          </w:tcPr>
          <w:p w14:paraId="503C1D31" w14:textId="77777777" w:rsidR="00B94971" w:rsidRDefault="0047225A">
            <w:pPr>
              <w:spacing w:after="0" w:line="259" w:lineRule="auto"/>
              <w:ind w:left="0" w:firstLine="0"/>
              <w:jc w:val="left"/>
            </w:pPr>
            <w:r>
              <w:rPr>
                <w:b/>
                <w:sz w:val="20"/>
              </w:rPr>
              <w:t xml:space="preserve">1919 - 1944 </w:t>
            </w:r>
          </w:p>
        </w:tc>
        <w:tc>
          <w:tcPr>
            <w:tcW w:w="1582" w:type="dxa"/>
            <w:tcBorders>
              <w:top w:val="single" w:sz="4" w:space="0" w:color="000000"/>
              <w:left w:val="single" w:sz="12" w:space="0" w:color="000000"/>
              <w:bottom w:val="single" w:sz="4" w:space="0" w:color="000000"/>
              <w:right w:val="single" w:sz="12" w:space="0" w:color="000000"/>
            </w:tcBorders>
          </w:tcPr>
          <w:p w14:paraId="2D38C6B4" w14:textId="77777777" w:rsidR="00B94971" w:rsidRDefault="0047225A">
            <w:pPr>
              <w:spacing w:after="0" w:line="259" w:lineRule="auto"/>
              <w:ind w:left="3" w:firstLine="0"/>
              <w:jc w:val="center"/>
            </w:pPr>
            <w:r>
              <w:rPr>
                <w:sz w:val="20"/>
              </w:rPr>
              <w:t xml:space="preserve">321 </w:t>
            </w:r>
          </w:p>
        </w:tc>
        <w:tc>
          <w:tcPr>
            <w:tcW w:w="886" w:type="dxa"/>
            <w:tcBorders>
              <w:top w:val="single" w:sz="4" w:space="0" w:color="000000"/>
              <w:left w:val="single" w:sz="12" w:space="0" w:color="000000"/>
              <w:bottom w:val="single" w:sz="4" w:space="0" w:color="000000"/>
              <w:right w:val="single" w:sz="4" w:space="0" w:color="000000"/>
            </w:tcBorders>
          </w:tcPr>
          <w:p w14:paraId="762BC26D" w14:textId="77777777" w:rsidR="00B94971" w:rsidRDefault="0047225A">
            <w:pPr>
              <w:spacing w:after="0" w:line="259" w:lineRule="auto"/>
              <w:ind w:left="3" w:firstLine="0"/>
              <w:jc w:val="center"/>
            </w:pPr>
            <w:r>
              <w:rPr>
                <w:sz w:val="20"/>
              </w:rPr>
              <w:t xml:space="preserve">62 </w:t>
            </w:r>
          </w:p>
        </w:tc>
        <w:tc>
          <w:tcPr>
            <w:tcW w:w="1220" w:type="dxa"/>
            <w:tcBorders>
              <w:top w:val="single" w:sz="4" w:space="0" w:color="000000"/>
              <w:left w:val="single" w:sz="4" w:space="0" w:color="000000"/>
              <w:bottom w:val="single" w:sz="4" w:space="0" w:color="000000"/>
              <w:right w:val="single" w:sz="12" w:space="0" w:color="000000"/>
            </w:tcBorders>
          </w:tcPr>
          <w:p w14:paraId="07CEC40A" w14:textId="77777777" w:rsidR="00B94971" w:rsidRDefault="0047225A">
            <w:pPr>
              <w:spacing w:after="0" w:line="259" w:lineRule="auto"/>
              <w:ind w:left="7" w:firstLine="0"/>
              <w:jc w:val="center"/>
            </w:pPr>
            <w:r>
              <w:rPr>
                <w:sz w:val="20"/>
              </w:rPr>
              <w:t xml:space="preserve">19.3 </w:t>
            </w:r>
          </w:p>
        </w:tc>
        <w:tc>
          <w:tcPr>
            <w:tcW w:w="1690" w:type="dxa"/>
            <w:tcBorders>
              <w:top w:val="single" w:sz="4" w:space="0" w:color="000000"/>
              <w:left w:val="single" w:sz="12" w:space="0" w:color="000000"/>
              <w:bottom w:val="single" w:sz="4" w:space="0" w:color="000000"/>
              <w:right w:val="single" w:sz="12" w:space="0" w:color="000000"/>
            </w:tcBorders>
          </w:tcPr>
          <w:p w14:paraId="2243719A" w14:textId="77777777" w:rsidR="00B94971" w:rsidRDefault="0047225A">
            <w:pPr>
              <w:spacing w:after="0" w:line="259" w:lineRule="auto"/>
              <w:ind w:left="6" w:firstLine="0"/>
              <w:jc w:val="center"/>
            </w:pPr>
            <w:r>
              <w:rPr>
                <w:sz w:val="20"/>
              </w:rPr>
              <w:t xml:space="preserve">229 </w:t>
            </w:r>
          </w:p>
        </w:tc>
        <w:tc>
          <w:tcPr>
            <w:tcW w:w="874" w:type="dxa"/>
            <w:tcBorders>
              <w:top w:val="single" w:sz="4" w:space="0" w:color="000000"/>
              <w:left w:val="single" w:sz="12" w:space="0" w:color="000000"/>
              <w:bottom w:val="single" w:sz="4" w:space="0" w:color="000000"/>
              <w:right w:val="single" w:sz="4" w:space="0" w:color="000000"/>
            </w:tcBorders>
          </w:tcPr>
          <w:p w14:paraId="1069DCBE" w14:textId="77777777" w:rsidR="00B94971" w:rsidRDefault="0047225A">
            <w:pPr>
              <w:spacing w:after="0" w:line="259" w:lineRule="auto"/>
              <w:ind w:left="5" w:firstLine="0"/>
              <w:jc w:val="center"/>
            </w:pPr>
            <w:r>
              <w:rPr>
                <w:sz w:val="20"/>
              </w:rPr>
              <w:t xml:space="preserve">19 </w:t>
            </w:r>
          </w:p>
        </w:tc>
        <w:tc>
          <w:tcPr>
            <w:tcW w:w="1231" w:type="dxa"/>
            <w:tcBorders>
              <w:top w:val="single" w:sz="4" w:space="0" w:color="000000"/>
              <w:left w:val="single" w:sz="4" w:space="0" w:color="000000"/>
              <w:bottom w:val="single" w:sz="4" w:space="0" w:color="000000"/>
              <w:right w:val="single" w:sz="12" w:space="0" w:color="000000"/>
            </w:tcBorders>
          </w:tcPr>
          <w:p w14:paraId="4846168D" w14:textId="77777777" w:rsidR="00B94971" w:rsidRDefault="0047225A">
            <w:pPr>
              <w:spacing w:after="0" w:line="259" w:lineRule="auto"/>
              <w:ind w:left="5" w:firstLine="0"/>
              <w:jc w:val="center"/>
            </w:pPr>
            <w:r>
              <w:rPr>
                <w:sz w:val="20"/>
              </w:rPr>
              <w:t xml:space="preserve">8.3 </w:t>
            </w:r>
          </w:p>
        </w:tc>
      </w:tr>
      <w:tr w:rsidR="00B94971" w14:paraId="601186D0" w14:textId="77777777">
        <w:trPr>
          <w:trHeight w:val="240"/>
        </w:trPr>
        <w:tc>
          <w:tcPr>
            <w:tcW w:w="1762" w:type="dxa"/>
            <w:tcBorders>
              <w:top w:val="single" w:sz="4" w:space="0" w:color="000000"/>
              <w:left w:val="single" w:sz="12" w:space="0" w:color="000000"/>
              <w:bottom w:val="single" w:sz="4" w:space="0" w:color="000000"/>
              <w:right w:val="single" w:sz="12" w:space="0" w:color="000000"/>
            </w:tcBorders>
          </w:tcPr>
          <w:p w14:paraId="694D8837" w14:textId="77777777" w:rsidR="00B94971" w:rsidRDefault="0047225A">
            <w:pPr>
              <w:spacing w:after="0" w:line="259" w:lineRule="auto"/>
              <w:ind w:left="0" w:firstLine="0"/>
              <w:jc w:val="left"/>
            </w:pPr>
            <w:r>
              <w:rPr>
                <w:b/>
                <w:sz w:val="20"/>
              </w:rPr>
              <w:t xml:space="preserve">1945 – 1964 </w:t>
            </w:r>
          </w:p>
        </w:tc>
        <w:tc>
          <w:tcPr>
            <w:tcW w:w="1582" w:type="dxa"/>
            <w:tcBorders>
              <w:top w:val="single" w:sz="4" w:space="0" w:color="000000"/>
              <w:left w:val="single" w:sz="12" w:space="0" w:color="000000"/>
              <w:bottom w:val="single" w:sz="4" w:space="0" w:color="000000"/>
              <w:right w:val="single" w:sz="12" w:space="0" w:color="000000"/>
            </w:tcBorders>
          </w:tcPr>
          <w:p w14:paraId="5E6F90D4" w14:textId="77777777" w:rsidR="00B94971" w:rsidRDefault="0047225A">
            <w:pPr>
              <w:spacing w:after="0" w:line="259" w:lineRule="auto"/>
              <w:ind w:left="3" w:firstLine="0"/>
              <w:jc w:val="center"/>
            </w:pPr>
            <w:r>
              <w:rPr>
                <w:sz w:val="20"/>
              </w:rPr>
              <w:t xml:space="preserve">548 </w:t>
            </w:r>
          </w:p>
        </w:tc>
        <w:tc>
          <w:tcPr>
            <w:tcW w:w="886" w:type="dxa"/>
            <w:tcBorders>
              <w:top w:val="single" w:sz="4" w:space="0" w:color="000000"/>
              <w:left w:val="single" w:sz="12" w:space="0" w:color="000000"/>
              <w:bottom w:val="single" w:sz="4" w:space="0" w:color="000000"/>
              <w:right w:val="single" w:sz="4" w:space="0" w:color="000000"/>
            </w:tcBorders>
          </w:tcPr>
          <w:p w14:paraId="7913EF9A" w14:textId="77777777" w:rsidR="00B94971" w:rsidRDefault="0047225A">
            <w:pPr>
              <w:spacing w:after="0" w:line="259" w:lineRule="auto"/>
              <w:ind w:left="3" w:firstLine="0"/>
              <w:jc w:val="center"/>
            </w:pPr>
            <w:r>
              <w:rPr>
                <w:sz w:val="20"/>
              </w:rPr>
              <w:t xml:space="preserve">91 </w:t>
            </w:r>
          </w:p>
        </w:tc>
        <w:tc>
          <w:tcPr>
            <w:tcW w:w="1220" w:type="dxa"/>
            <w:tcBorders>
              <w:top w:val="single" w:sz="4" w:space="0" w:color="000000"/>
              <w:left w:val="single" w:sz="4" w:space="0" w:color="000000"/>
              <w:bottom w:val="single" w:sz="4" w:space="0" w:color="000000"/>
              <w:right w:val="single" w:sz="12" w:space="0" w:color="000000"/>
            </w:tcBorders>
          </w:tcPr>
          <w:p w14:paraId="0CDBD7F1" w14:textId="77777777" w:rsidR="00B94971" w:rsidRDefault="0047225A">
            <w:pPr>
              <w:spacing w:after="0" w:line="259" w:lineRule="auto"/>
              <w:ind w:left="7" w:firstLine="0"/>
              <w:jc w:val="center"/>
            </w:pPr>
            <w:r>
              <w:rPr>
                <w:sz w:val="20"/>
              </w:rPr>
              <w:t xml:space="preserve">16.6 </w:t>
            </w:r>
          </w:p>
        </w:tc>
        <w:tc>
          <w:tcPr>
            <w:tcW w:w="1690" w:type="dxa"/>
            <w:tcBorders>
              <w:top w:val="single" w:sz="4" w:space="0" w:color="000000"/>
              <w:left w:val="single" w:sz="12" w:space="0" w:color="000000"/>
              <w:bottom w:val="single" w:sz="4" w:space="0" w:color="000000"/>
              <w:right w:val="single" w:sz="12" w:space="0" w:color="000000"/>
            </w:tcBorders>
          </w:tcPr>
          <w:p w14:paraId="68F7E8BA" w14:textId="77777777" w:rsidR="00B94971" w:rsidRDefault="0047225A">
            <w:pPr>
              <w:spacing w:after="0" w:line="259" w:lineRule="auto"/>
              <w:ind w:left="6" w:firstLine="0"/>
              <w:jc w:val="center"/>
            </w:pPr>
            <w:r>
              <w:rPr>
                <w:sz w:val="20"/>
              </w:rPr>
              <w:t xml:space="preserve">415 </w:t>
            </w:r>
          </w:p>
        </w:tc>
        <w:tc>
          <w:tcPr>
            <w:tcW w:w="874" w:type="dxa"/>
            <w:tcBorders>
              <w:top w:val="single" w:sz="4" w:space="0" w:color="000000"/>
              <w:left w:val="single" w:sz="12" w:space="0" w:color="000000"/>
              <w:bottom w:val="single" w:sz="4" w:space="0" w:color="000000"/>
              <w:right w:val="single" w:sz="4" w:space="0" w:color="000000"/>
            </w:tcBorders>
          </w:tcPr>
          <w:p w14:paraId="09A81FE9" w14:textId="77777777" w:rsidR="00B94971" w:rsidRDefault="0047225A">
            <w:pPr>
              <w:spacing w:after="0" w:line="259" w:lineRule="auto"/>
              <w:ind w:left="5" w:firstLine="0"/>
              <w:jc w:val="center"/>
            </w:pPr>
            <w:r>
              <w:rPr>
                <w:sz w:val="20"/>
              </w:rPr>
              <w:t xml:space="preserve">34 </w:t>
            </w:r>
          </w:p>
        </w:tc>
        <w:tc>
          <w:tcPr>
            <w:tcW w:w="1231" w:type="dxa"/>
            <w:tcBorders>
              <w:top w:val="single" w:sz="4" w:space="0" w:color="000000"/>
              <w:left w:val="single" w:sz="4" w:space="0" w:color="000000"/>
              <w:bottom w:val="single" w:sz="4" w:space="0" w:color="000000"/>
              <w:right w:val="single" w:sz="12" w:space="0" w:color="000000"/>
            </w:tcBorders>
          </w:tcPr>
          <w:p w14:paraId="11DCD62F" w14:textId="77777777" w:rsidR="00B94971" w:rsidRDefault="0047225A">
            <w:pPr>
              <w:spacing w:after="0" w:line="259" w:lineRule="auto"/>
              <w:ind w:left="5" w:firstLine="0"/>
              <w:jc w:val="center"/>
            </w:pPr>
            <w:r>
              <w:rPr>
                <w:sz w:val="20"/>
              </w:rPr>
              <w:t xml:space="preserve">8.2 </w:t>
            </w:r>
          </w:p>
        </w:tc>
      </w:tr>
      <w:tr w:rsidR="00B94971" w14:paraId="03DD0B68" w14:textId="77777777">
        <w:trPr>
          <w:trHeight w:val="240"/>
        </w:trPr>
        <w:tc>
          <w:tcPr>
            <w:tcW w:w="1762" w:type="dxa"/>
            <w:tcBorders>
              <w:top w:val="single" w:sz="4" w:space="0" w:color="000000"/>
              <w:left w:val="single" w:sz="12" w:space="0" w:color="000000"/>
              <w:bottom w:val="single" w:sz="4" w:space="0" w:color="000000"/>
              <w:right w:val="single" w:sz="12" w:space="0" w:color="000000"/>
            </w:tcBorders>
          </w:tcPr>
          <w:p w14:paraId="1B6DCD2E" w14:textId="77777777" w:rsidR="00B94971" w:rsidRDefault="0047225A">
            <w:pPr>
              <w:spacing w:after="0" w:line="259" w:lineRule="auto"/>
              <w:ind w:left="0" w:firstLine="0"/>
              <w:jc w:val="left"/>
            </w:pPr>
            <w:r>
              <w:rPr>
                <w:b/>
                <w:sz w:val="20"/>
              </w:rPr>
              <w:t xml:space="preserve">1965 – 1980 </w:t>
            </w:r>
          </w:p>
        </w:tc>
        <w:tc>
          <w:tcPr>
            <w:tcW w:w="1582" w:type="dxa"/>
            <w:tcBorders>
              <w:top w:val="single" w:sz="4" w:space="0" w:color="000000"/>
              <w:left w:val="single" w:sz="12" w:space="0" w:color="000000"/>
              <w:bottom w:val="single" w:sz="4" w:space="0" w:color="000000"/>
              <w:right w:val="single" w:sz="12" w:space="0" w:color="000000"/>
            </w:tcBorders>
          </w:tcPr>
          <w:p w14:paraId="5E651B9A" w14:textId="77777777" w:rsidR="00B94971" w:rsidRDefault="0047225A">
            <w:pPr>
              <w:spacing w:after="0" w:line="259" w:lineRule="auto"/>
              <w:ind w:left="3" w:firstLine="0"/>
              <w:jc w:val="center"/>
            </w:pPr>
            <w:r>
              <w:rPr>
                <w:sz w:val="20"/>
              </w:rPr>
              <w:t xml:space="preserve">455 </w:t>
            </w:r>
          </w:p>
        </w:tc>
        <w:tc>
          <w:tcPr>
            <w:tcW w:w="886" w:type="dxa"/>
            <w:tcBorders>
              <w:top w:val="single" w:sz="4" w:space="0" w:color="000000"/>
              <w:left w:val="single" w:sz="12" w:space="0" w:color="000000"/>
              <w:bottom w:val="single" w:sz="4" w:space="0" w:color="000000"/>
              <w:right w:val="single" w:sz="4" w:space="0" w:color="000000"/>
            </w:tcBorders>
          </w:tcPr>
          <w:p w14:paraId="67E0BE22" w14:textId="77777777" w:rsidR="00B94971" w:rsidRDefault="0047225A">
            <w:pPr>
              <w:spacing w:after="0" w:line="259" w:lineRule="auto"/>
              <w:ind w:left="3" w:firstLine="0"/>
              <w:jc w:val="center"/>
            </w:pPr>
            <w:r>
              <w:rPr>
                <w:sz w:val="20"/>
              </w:rPr>
              <w:t xml:space="preserve">76 </w:t>
            </w:r>
          </w:p>
        </w:tc>
        <w:tc>
          <w:tcPr>
            <w:tcW w:w="1220" w:type="dxa"/>
            <w:tcBorders>
              <w:top w:val="single" w:sz="4" w:space="0" w:color="000000"/>
              <w:left w:val="single" w:sz="4" w:space="0" w:color="000000"/>
              <w:bottom w:val="single" w:sz="4" w:space="0" w:color="000000"/>
              <w:right w:val="single" w:sz="12" w:space="0" w:color="000000"/>
            </w:tcBorders>
          </w:tcPr>
          <w:p w14:paraId="33EAFA5D" w14:textId="77777777" w:rsidR="00B94971" w:rsidRDefault="0047225A">
            <w:pPr>
              <w:spacing w:after="0" w:line="259" w:lineRule="auto"/>
              <w:ind w:left="7" w:firstLine="0"/>
              <w:jc w:val="center"/>
            </w:pPr>
            <w:r>
              <w:rPr>
                <w:sz w:val="20"/>
              </w:rPr>
              <w:t xml:space="preserve">16.7 </w:t>
            </w:r>
          </w:p>
        </w:tc>
        <w:tc>
          <w:tcPr>
            <w:tcW w:w="1690" w:type="dxa"/>
            <w:tcBorders>
              <w:top w:val="single" w:sz="4" w:space="0" w:color="000000"/>
              <w:left w:val="single" w:sz="12" w:space="0" w:color="000000"/>
              <w:bottom w:val="single" w:sz="4" w:space="0" w:color="000000"/>
              <w:right w:val="single" w:sz="12" w:space="0" w:color="000000"/>
            </w:tcBorders>
          </w:tcPr>
          <w:p w14:paraId="58939DB9" w14:textId="77777777" w:rsidR="00B94971" w:rsidRDefault="0047225A">
            <w:pPr>
              <w:spacing w:after="0" w:line="259" w:lineRule="auto"/>
              <w:ind w:left="6" w:firstLine="0"/>
              <w:jc w:val="center"/>
            </w:pPr>
            <w:r>
              <w:rPr>
                <w:sz w:val="20"/>
              </w:rPr>
              <w:t xml:space="preserve">351 </w:t>
            </w:r>
          </w:p>
        </w:tc>
        <w:tc>
          <w:tcPr>
            <w:tcW w:w="874" w:type="dxa"/>
            <w:tcBorders>
              <w:top w:val="single" w:sz="4" w:space="0" w:color="000000"/>
              <w:left w:val="single" w:sz="12" w:space="0" w:color="000000"/>
              <w:bottom w:val="single" w:sz="4" w:space="0" w:color="000000"/>
              <w:right w:val="single" w:sz="4" w:space="0" w:color="000000"/>
            </w:tcBorders>
          </w:tcPr>
          <w:p w14:paraId="3216972D" w14:textId="77777777" w:rsidR="00B94971" w:rsidRDefault="0047225A">
            <w:pPr>
              <w:spacing w:after="0" w:line="259" w:lineRule="auto"/>
              <w:ind w:left="5" w:firstLine="0"/>
              <w:jc w:val="center"/>
            </w:pPr>
            <w:r>
              <w:rPr>
                <w:sz w:val="20"/>
              </w:rPr>
              <w:t xml:space="preserve">20 </w:t>
            </w:r>
          </w:p>
        </w:tc>
        <w:tc>
          <w:tcPr>
            <w:tcW w:w="1231" w:type="dxa"/>
            <w:tcBorders>
              <w:top w:val="single" w:sz="4" w:space="0" w:color="000000"/>
              <w:left w:val="single" w:sz="4" w:space="0" w:color="000000"/>
              <w:bottom w:val="single" w:sz="4" w:space="0" w:color="000000"/>
              <w:right w:val="single" w:sz="12" w:space="0" w:color="000000"/>
            </w:tcBorders>
          </w:tcPr>
          <w:p w14:paraId="27B27270" w14:textId="77777777" w:rsidR="00B94971" w:rsidRDefault="0047225A">
            <w:pPr>
              <w:spacing w:after="0" w:line="259" w:lineRule="auto"/>
              <w:ind w:left="5" w:firstLine="0"/>
              <w:jc w:val="center"/>
            </w:pPr>
            <w:r>
              <w:rPr>
                <w:sz w:val="20"/>
              </w:rPr>
              <w:t xml:space="preserve">5.7 </w:t>
            </w:r>
          </w:p>
        </w:tc>
      </w:tr>
      <w:tr w:rsidR="00B94971" w14:paraId="251F165C" w14:textId="77777777">
        <w:trPr>
          <w:trHeight w:val="240"/>
        </w:trPr>
        <w:tc>
          <w:tcPr>
            <w:tcW w:w="1762" w:type="dxa"/>
            <w:tcBorders>
              <w:top w:val="single" w:sz="4" w:space="0" w:color="000000"/>
              <w:left w:val="single" w:sz="12" w:space="0" w:color="000000"/>
              <w:bottom w:val="single" w:sz="4" w:space="0" w:color="000000"/>
              <w:right w:val="single" w:sz="12" w:space="0" w:color="000000"/>
            </w:tcBorders>
          </w:tcPr>
          <w:p w14:paraId="520B4AA7" w14:textId="77777777" w:rsidR="00B94971" w:rsidRDefault="0047225A">
            <w:pPr>
              <w:spacing w:after="0" w:line="259" w:lineRule="auto"/>
              <w:ind w:left="0" w:firstLine="0"/>
              <w:jc w:val="left"/>
            </w:pPr>
            <w:r>
              <w:rPr>
                <w:b/>
                <w:sz w:val="20"/>
              </w:rPr>
              <w:t xml:space="preserve">1981 – 1990 </w:t>
            </w:r>
          </w:p>
        </w:tc>
        <w:tc>
          <w:tcPr>
            <w:tcW w:w="1582" w:type="dxa"/>
            <w:tcBorders>
              <w:top w:val="single" w:sz="4" w:space="0" w:color="000000"/>
              <w:left w:val="single" w:sz="12" w:space="0" w:color="000000"/>
              <w:bottom w:val="single" w:sz="4" w:space="0" w:color="000000"/>
              <w:right w:val="single" w:sz="12" w:space="0" w:color="000000"/>
            </w:tcBorders>
          </w:tcPr>
          <w:p w14:paraId="163BD983" w14:textId="77777777" w:rsidR="00B94971" w:rsidRDefault="0047225A">
            <w:pPr>
              <w:spacing w:after="0" w:line="259" w:lineRule="auto"/>
              <w:ind w:left="3" w:firstLine="0"/>
              <w:jc w:val="center"/>
            </w:pPr>
            <w:r>
              <w:rPr>
                <w:sz w:val="20"/>
              </w:rPr>
              <w:t xml:space="preserve">181 </w:t>
            </w:r>
          </w:p>
        </w:tc>
        <w:tc>
          <w:tcPr>
            <w:tcW w:w="886" w:type="dxa"/>
            <w:tcBorders>
              <w:top w:val="single" w:sz="4" w:space="0" w:color="000000"/>
              <w:left w:val="single" w:sz="12" w:space="0" w:color="000000"/>
              <w:bottom w:val="single" w:sz="4" w:space="0" w:color="000000"/>
              <w:right w:val="single" w:sz="4" w:space="0" w:color="000000"/>
            </w:tcBorders>
          </w:tcPr>
          <w:p w14:paraId="11143F33" w14:textId="77777777" w:rsidR="00B94971" w:rsidRDefault="0047225A">
            <w:pPr>
              <w:spacing w:after="0" w:line="259" w:lineRule="auto"/>
              <w:ind w:left="3" w:firstLine="0"/>
              <w:jc w:val="center"/>
            </w:pPr>
            <w:r>
              <w:rPr>
                <w:sz w:val="20"/>
              </w:rPr>
              <w:t xml:space="preserve">22 </w:t>
            </w:r>
          </w:p>
        </w:tc>
        <w:tc>
          <w:tcPr>
            <w:tcW w:w="1220" w:type="dxa"/>
            <w:tcBorders>
              <w:top w:val="single" w:sz="4" w:space="0" w:color="000000"/>
              <w:left w:val="single" w:sz="4" w:space="0" w:color="000000"/>
              <w:bottom w:val="single" w:sz="4" w:space="0" w:color="000000"/>
              <w:right w:val="single" w:sz="12" w:space="0" w:color="000000"/>
            </w:tcBorders>
          </w:tcPr>
          <w:p w14:paraId="50C93B61" w14:textId="77777777" w:rsidR="00B94971" w:rsidRDefault="0047225A">
            <w:pPr>
              <w:spacing w:after="0" w:line="259" w:lineRule="auto"/>
              <w:ind w:left="7" w:firstLine="0"/>
              <w:jc w:val="center"/>
            </w:pPr>
            <w:r>
              <w:rPr>
                <w:sz w:val="20"/>
              </w:rPr>
              <w:t xml:space="preserve">12.2 </w:t>
            </w:r>
          </w:p>
        </w:tc>
        <w:tc>
          <w:tcPr>
            <w:tcW w:w="1690" w:type="dxa"/>
            <w:tcBorders>
              <w:top w:val="single" w:sz="4" w:space="0" w:color="000000"/>
              <w:left w:val="single" w:sz="12" w:space="0" w:color="000000"/>
              <w:bottom w:val="single" w:sz="4" w:space="0" w:color="000000"/>
              <w:right w:val="single" w:sz="12" w:space="0" w:color="000000"/>
            </w:tcBorders>
          </w:tcPr>
          <w:p w14:paraId="52F7C663" w14:textId="77777777" w:rsidR="00B94971" w:rsidRDefault="0047225A">
            <w:pPr>
              <w:spacing w:after="0" w:line="259" w:lineRule="auto"/>
              <w:ind w:left="6" w:firstLine="0"/>
              <w:jc w:val="center"/>
            </w:pPr>
            <w:r>
              <w:rPr>
                <w:sz w:val="20"/>
              </w:rPr>
              <w:t xml:space="preserve">143 </w:t>
            </w:r>
          </w:p>
        </w:tc>
        <w:tc>
          <w:tcPr>
            <w:tcW w:w="874" w:type="dxa"/>
            <w:tcBorders>
              <w:top w:val="single" w:sz="4" w:space="0" w:color="000000"/>
              <w:left w:val="single" w:sz="12" w:space="0" w:color="000000"/>
              <w:bottom w:val="single" w:sz="4" w:space="0" w:color="000000"/>
              <w:right w:val="single" w:sz="4" w:space="0" w:color="000000"/>
            </w:tcBorders>
          </w:tcPr>
          <w:p w14:paraId="0682AF1E" w14:textId="77777777" w:rsidR="00B94971" w:rsidRDefault="0047225A">
            <w:pPr>
              <w:spacing w:after="0" w:line="259" w:lineRule="auto"/>
              <w:ind w:left="5" w:firstLine="0"/>
              <w:jc w:val="center"/>
            </w:pPr>
            <w:r>
              <w:rPr>
                <w:sz w:val="20"/>
              </w:rPr>
              <w:t xml:space="preserve">8 </w:t>
            </w:r>
          </w:p>
        </w:tc>
        <w:tc>
          <w:tcPr>
            <w:tcW w:w="1231" w:type="dxa"/>
            <w:tcBorders>
              <w:top w:val="single" w:sz="4" w:space="0" w:color="000000"/>
              <w:left w:val="single" w:sz="4" w:space="0" w:color="000000"/>
              <w:bottom w:val="single" w:sz="4" w:space="0" w:color="000000"/>
              <w:right w:val="single" w:sz="12" w:space="0" w:color="000000"/>
            </w:tcBorders>
          </w:tcPr>
          <w:p w14:paraId="5E84BBA2" w14:textId="77777777" w:rsidR="00B94971" w:rsidRDefault="0047225A">
            <w:pPr>
              <w:spacing w:after="0" w:line="259" w:lineRule="auto"/>
              <w:ind w:left="5" w:firstLine="0"/>
              <w:jc w:val="center"/>
            </w:pPr>
            <w:r>
              <w:rPr>
                <w:sz w:val="20"/>
              </w:rPr>
              <w:t xml:space="preserve">5.6 </w:t>
            </w:r>
          </w:p>
        </w:tc>
      </w:tr>
      <w:tr w:rsidR="00B94971" w14:paraId="57A5DEBF" w14:textId="77777777">
        <w:trPr>
          <w:trHeight w:val="240"/>
        </w:trPr>
        <w:tc>
          <w:tcPr>
            <w:tcW w:w="1762" w:type="dxa"/>
            <w:tcBorders>
              <w:top w:val="single" w:sz="4" w:space="0" w:color="000000"/>
              <w:left w:val="single" w:sz="12" w:space="0" w:color="000000"/>
              <w:bottom w:val="single" w:sz="4" w:space="0" w:color="000000"/>
              <w:right w:val="single" w:sz="12" w:space="0" w:color="000000"/>
            </w:tcBorders>
          </w:tcPr>
          <w:p w14:paraId="34A99F77" w14:textId="77777777" w:rsidR="00B94971" w:rsidRDefault="0047225A">
            <w:pPr>
              <w:spacing w:after="0" w:line="259" w:lineRule="auto"/>
              <w:ind w:left="0" w:firstLine="0"/>
              <w:jc w:val="left"/>
            </w:pPr>
            <w:r>
              <w:rPr>
                <w:b/>
                <w:sz w:val="20"/>
              </w:rPr>
              <w:t xml:space="preserve">Post 1990 </w:t>
            </w:r>
          </w:p>
        </w:tc>
        <w:tc>
          <w:tcPr>
            <w:tcW w:w="1582" w:type="dxa"/>
            <w:tcBorders>
              <w:top w:val="single" w:sz="4" w:space="0" w:color="000000"/>
              <w:left w:val="single" w:sz="12" w:space="0" w:color="000000"/>
              <w:bottom w:val="single" w:sz="4" w:space="0" w:color="000000"/>
              <w:right w:val="single" w:sz="12" w:space="0" w:color="000000"/>
            </w:tcBorders>
          </w:tcPr>
          <w:p w14:paraId="6A575C1D" w14:textId="77777777" w:rsidR="00B94971" w:rsidRDefault="0047225A">
            <w:pPr>
              <w:spacing w:after="0" w:line="259" w:lineRule="auto"/>
              <w:ind w:left="3" w:firstLine="0"/>
              <w:jc w:val="center"/>
            </w:pPr>
            <w:r>
              <w:rPr>
                <w:sz w:val="20"/>
              </w:rPr>
              <w:t xml:space="preserve">90 </w:t>
            </w:r>
          </w:p>
        </w:tc>
        <w:tc>
          <w:tcPr>
            <w:tcW w:w="886" w:type="dxa"/>
            <w:tcBorders>
              <w:top w:val="single" w:sz="4" w:space="0" w:color="000000"/>
              <w:left w:val="single" w:sz="12" w:space="0" w:color="000000"/>
              <w:bottom w:val="single" w:sz="4" w:space="0" w:color="000000"/>
              <w:right w:val="single" w:sz="4" w:space="0" w:color="000000"/>
            </w:tcBorders>
          </w:tcPr>
          <w:p w14:paraId="3475B41B" w14:textId="77777777" w:rsidR="00B94971" w:rsidRDefault="0047225A">
            <w:pPr>
              <w:spacing w:after="0" w:line="259" w:lineRule="auto"/>
              <w:ind w:left="3" w:firstLine="0"/>
              <w:jc w:val="center"/>
            </w:pPr>
            <w:r>
              <w:rPr>
                <w:sz w:val="20"/>
              </w:rPr>
              <w:t xml:space="preserve">11 </w:t>
            </w:r>
          </w:p>
        </w:tc>
        <w:tc>
          <w:tcPr>
            <w:tcW w:w="1220" w:type="dxa"/>
            <w:tcBorders>
              <w:top w:val="single" w:sz="4" w:space="0" w:color="000000"/>
              <w:left w:val="single" w:sz="4" w:space="0" w:color="000000"/>
              <w:bottom w:val="single" w:sz="4" w:space="0" w:color="000000"/>
              <w:right w:val="single" w:sz="12" w:space="0" w:color="000000"/>
            </w:tcBorders>
          </w:tcPr>
          <w:p w14:paraId="228B350B" w14:textId="77777777" w:rsidR="00B94971" w:rsidRDefault="0047225A">
            <w:pPr>
              <w:spacing w:after="0" w:line="259" w:lineRule="auto"/>
              <w:ind w:left="7" w:firstLine="0"/>
              <w:jc w:val="center"/>
            </w:pPr>
            <w:r>
              <w:rPr>
                <w:sz w:val="20"/>
              </w:rPr>
              <w:t xml:space="preserve">12.2 </w:t>
            </w:r>
          </w:p>
        </w:tc>
        <w:tc>
          <w:tcPr>
            <w:tcW w:w="1690" w:type="dxa"/>
            <w:tcBorders>
              <w:top w:val="single" w:sz="4" w:space="0" w:color="000000"/>
              <w:left w:val="single" w:sz="12" w:space="0" w:color="000000"/>
              <w:bottom w:val="single" w:sz="4" w:space="0" w:color="000000"/>
              <w:right w:val="single" w:sz="12" w:space="0" w:color="000000"/>
            </w:tcBorders>
          </w:tcPr>
          <w:p w14:paraId="517EBA8A" w14:textId="77777777" w:rsidR="00B94971" w:rsidRDefault="0047225A">
            <w:pPr>
              <w:spacing w:after="0" w:line="259" w:lineRule="auto"/>
              <w:ind w:left="6" w:firstLine="0"/>
              <w:jc w:val="center"/>
            </w:pPr>
            <w:r>
              <w:rPr>
                <w:sz w:val="20"/>
              </w:rPr>
              <w:t xml:space="preserve">85 </w:t>
            </w:r>
          </w:p>
        </w:tc>
        <w:tc>
          <w:tcPr>
            <w:tcW w:w="874" w:type="dxa"/>
            <w:tcBorders>
              <w:top w:val="single" w:sz="4" w:space="0" w:color="000000"/>
              <w:left w:val="single" w:sz="12" w:space="0" w:color="000000"/>
              <w:bottom w:val="single" w:sz="4" w:space="0" w:color="000000"/>
              <w:right w:val="single" w:sz="4" w:space="0" w:color="000000"/>
            </w:tcBorders>
          </w:tcPr>
          <w:p w14:paraId="05C72E48" w14:textId="77777777" w:rsidR="00B94971" w:rsidRDefault="0047225A">
            <w:pPr>
              <w:spacing w:after="0" w:line="259" w:lineRule="auto"/>
              <w:ind w:left="5" w:firstLine="0"/>
              <w:jc w:val="center"/>
            </w:pPr>
            <w:r>
              <w:rPr>
                <w:sz w:val="20"/>
              </w:rPr>
              <w:t xml:space="preserve">11 </w:t>
            </w:r>
          </w:p>
        </w:tc>
        <w:tc>
          <w:tcPr>
            <w:tcW w:w="1231" w:type="dxa"/>
            <w:tcBorders>
              <w:top w:val="single" w:sz="4" w:space="0" w:color="000000"/>
              <w:left w:val="single" w:sz="4" w:space="0" w:color="000000"/>
              <w:bottom w:val="single" w:sz="4" w:space="0" w:color="000000"/>
              <w:right w:val="single" w:sz="12" w:space="0" w:color="000000"/>
            </w:tcBorders>
          </w:tcPr>
          <w:p w14:paraId="45473415" w14:textId="77777777" w:rsidR="00B94971" w:rsidRDefault="0047225A">
            <w:pPr>
              <w:spacing w:after="0" w:line="259" w:lineRule="auto"/>
              <w:ind w:left="5" w:firstLine="0"/>
              <w:jc w:val="center"/>
            </w:pPr>
            <w:r>
              <w:rPr>
                <w:sz w:val="20"/>
              </w:rPr>
              <w:t xml:space="preserve">12.9 </w:t>
            </w:r>
          </w:p>
        </w:tc>
      </w:tr>
      <w:tr w:rsidR="00B94971" w14:paraId="232785A2" w14:textId="77777777">
        <w:trPr>
          <w:trHeight w:val="250"/>
        </w:trPr>
        <w:tc>
          <w:tcPr>
            <w:tcW w:w="1762" w:type="dxa"/>
            <w:tcBorders>
              <w:top w:val="single" w:sz="4" w:space="0" w:color="000000"/>
              <w:left w:val="single" w:sz="12" w:space="0" w:color="000000"/>
              <w:bottom w:val="single" w:sz="12" w:space="0" w:color="000000"/>
              <w:right w:val="single" w:sz="12" w:space="0" w:color="000000"/>
            </w:tcBorders>
          </w:tcPr>
          <w:p w14:paraId="115F2C6B" w14:textId="77777777" w:rsidR="00B94971" w:rsidRDefault="0047225A">
            <w:pPr>
              <w:spacing w:after="0" w:line="259" w:lineRule="auto"/>
              <w:ind w:left="0" w:firstLine="0"/>
              <w:jc w:val="left"/>
            </w:pPr>
            <w:r>
              <w:rPr>
                <w:b/>
                <w:sz w:val="20"/>
              </w:rPr>
              <w:t xml:space="preserve">Full Sample </w:t>
            </w:r>
          </w:p>
        </w:tc>
        <w:tc>
          <w:tcPr>
            <w:tcW w:w="1582" w:type="dxa"/>
            <w:tcBorders>
              <w:top w:val="single" w:sz="4" w:space="0" w:color="000000"/>
              <w:left w:val="single" w:sz="12" w:space="0" w:color="000000"/>
              <w:bottom w:val="single" w:sz="12" w:space="0" w:color="000000"/>
              <w:right w:val="single" w:sz="12" w:space="0" w:color="000000"/>
            </w:tcBorders>
          </w:tcPr>
          <w:p w14:paraId="0B37AEFC" w14:textId="77777777" w:rsidR="00B94971" w:rsidRDefault="0047225A">
            <w:pPr>
              <w:spacing w:after="0" w:line="259" w:lineRule="auto"/>
              <w:ind w:left="3" w:firstLine="0"/>
              <w:jc w:val="center"/>
            </w:pPr>
            <w:r>
              <w:rPr>
                <w:b/>
                <w:sz w:val="20"/>
              </w:rPr>
              <w:t xml:space="preserve">1828 </w:t>
            </w:r>
          </w:p>
        </w:tc>
        <w:tc>
          <w:tcPr>
            <w:tcW w:w="886" w:type="dxa"/>
            <w:tcBorders>
              <w:top w:val="single" w:sz="4" w:space="0" w:color="000000"/>
              <w:left w:val="single" w:sz="12" w:space="0" w:color="000000"/>
              <w:bottom w:val="single" w:sz="12" w:space="0" w:color="000000"/>
              <w:right w:val="single" w:sz="4" w:space="0" w:color="000000"/>
            </w:tcBorders>
          </w:tcPr>
          <w:p w14:paraId="7240B02B" w14:textId="77777777" w:rsidR="00B94971" w:rsidRDefault="0047225A">
            <w:pPr>
              <w:spacing w:after="0" w:line="259" w:lineRule="auto"/>
              <w:ind w:left="3" w:firstLine="0"/>
              <w:jc w:val="center"/>
            </w:pPr>
            <w:r>
              <w:rPr>
                <w:b/>
                <w:sz w:val="20"/>
              </w:rPr>
              <w:t xml:space="preserve">311 </w:t>
            </w:r>
          </w:p>
        </w:tc>
        <w:tc>
          <w:tcPr>
            <w:tcW w:w="1220" w:type="dxa"/>
            <w:tcBorders>
              <w:top w:val="single" w:sz="4" w:space="0" w:color="000000"/>
              <w:left w:val="single" w:sz="4" w:space="0" w:color="000000"/>
              <w:bottom w:val="single" w:sz="12" w:space="0" w:color="000000"/>
              <w:right w:val="single" w:sz="12" w:space="0" w:color="000000"/>
            </w:tcBorders>
          </w:tcPr>
          <w:p w14:paraId="36B34B6C" w14:textId="77777777" w:rsidR="00B94971" w:rsidRDefault="0047225A">
            <w:pPr>
              <w:spacing w:after="0" w:line="259" w:lineRule="auto"/>
              <w:ind w:left="7" w:firstLine="0"/>
              <w:jc w:val="center"/>
            </w:pPr>
            <w:r>
              <w:rPr>
                <w:b/>
                <w:sz w:val="20"/>
              </w:rPr>
              <w:t xml:space="preserve">17.0 </w:t>
            </w:r>
          </w:p>
        </w:tc>
        <w:tc>
          <w:tcPr>
            <w:tcW w:w="1690" w:type="dxa"/>
            <w:tcBorders>
              <w:top w:val="single" w:sz="4" w:space="0" w:color="000000"/>
              <w:left w:val="single" w:sz="12" w:space="0" w:color="000000"/>
              <w:bottom w:val="single" w:sz="12" w:space="0" w:color="000000"/>
              <w:right w:val="single" w:sz="12" w:space="0" w:color="000000"/>
            </w:tcBorders>
          </w:tcPr>
          <w:p w14:paraId="176133FF" w14:textId="77777777" w:rsidR="00B94971" w:rsidRDefault="0047225A">
            <w:pPr>
              <w:spacing w:after="0" w:line="259" w:lineRule="auto"/>
              <w:ind w:left="6" w:firstLine="0"/>
              <w:jc w:val="center"/>
            </w:pPr>
            <w:r>
              <w:rPr>
                <w:b/>
                <w:sz w:val="20"/>
              </w:rPr>
              <w:t xml:space="preserve">1396 </w:t>
            </w:r>
          </w:p>
        </w:tc>
        <w:tc>
          <w:tcPr>
            <w:tcW w:w="874" w:type="dxa"/>
            <w:tcBorders>
              <w:top w:val="single" w:sz="4" w:space="0" w:color="000000"/>
              <w:left w:val="single" w:sz="12" w:space="0" w:color="000000"/>
              <w:bottom w:val="single" w:sz="12" w:space="0" w:color="000000"/>
              <w:right w:val="single" w:sz="4" w:space="0" w:color="000000"/>
            </w:tcBorders>
          </w:tcPr>
          <w:p w14:paraId="0714753D" w14:textId="77777777" w:rsidR="00B94971" w:rsidRDefault="0047225A">
            <w:pPr>
              <w:spacing w:after="0" w:line="259" w:lineRule="auto"/>
              <w:ind w:left="5" w:firstLine="0"/>
              <w:jc w:val="center"/>
            </w:pPr>
            <w:r>
              <w:rPr>
                <w:b/>
                <w:sz w:val="20"/>
              </w:rPr>
              <w:t xml:space="preserve">106 </w:t>
            </w:r>
          </w:p>
        </w:tc>
        <w:tc>
          <w:tcPr>
            <w:tcW w:w="1231" w:type="dxa"/>
            <w:tcBorders>
              <w:top w:val="single" w:sz="4" w:space="0" w:color="000000"/>
              <w:left w:val="single" w:sz="4" w:space="0" w:color="000000"/>
              <w:bottom w:val="single" w:sz="12" w:space="0" w:color="000000"/>
              <w:right w:val="single" w:sz="12" w:space="0" w:color="000000"/>
            </w:tcBorders>
          </w:tcPr>
          <w:p w14:paraId="36E25018" w14:textId="77777777" w:rsidR="00B94971" w:rsidRDefault="0047225A">
            <w:pPr>
              <w:spacing w:after="0" w:line="259" w:lineRule="auto"/>
              <w:ind w:left="5" w:firstLine="0"/>
              <w:jc w:val="center"/>
            </w:pPr>
            <w:r>
              <w:rPr>
                <w:b/>
                <w:sz w:val="20"/>
              </w:rPr>
              <w:t xml:space="preserve">7.6 </w:t>
            </w:r>
          </w:p>
        </w:tc>
      </w:tr>
    </w:tbl>
    <w:p w14:paraId="3E3E5452" w14:textId="77777777" w:rsidR="00B94971" w:rsidRDefault="0047225A">
      <w:pPr>
        <w:spacing w:after="0" w:line="259" w:lineRule="auto"/>
        <w:ind w:left="0" w:firstLine="0"/>
        <w:jc w:val="left"/>
      </w:pPr>
      <w:r>
        <w:rPr>
          <w:color w:val="2E2E2E"/>
        </w:rPr>
        <w:t xml:space="preserve"> </w:t>
      </w:r>
    </w:p>
    <w:p w14:paraId="783597AA" w14:textId="77777777" w:rsidR="00B94971" w:rsidRDefault="0047225A">
      <w:pPr>
        <w:pStyle w:val="Heading3"/>
        <w:ind w:left="-5"/>
      </w:pPr>
      <w:r>
        <w:t xml:space="preserve">Tenure </w:t>
      </w:r>
    </w:p>
    <w:p w14:paraId="3B0858B5" w14:textId="77777777" w:rsidR="00B94971" w:rsidRDefault="0047225A">
      <w:pPr>
        <w:ind w:left="-5"/>
      </w:pPr>
      <w:r>
        <w:t xml:space="preserve">As an owner-occupier, adapting the home is restricted primarily by funding, but as the data here shows that </w:t>
      </w:r>
      <w:proofErr w:type="gramStart"/>
      <w:r>
        <w:t>the majority of</w:t>
      </w:r>
      <w:proofErr w:type="gramEnd"/>
      <w:r>
        <w:t xml:space="preserve"> disabled households are in rented accommodation, the role of the landlord is an important consideration. Problems vary according to </w:t>
      </w:r>
      <w:r>
        <w:t>whether the property is rented privately, or from a Registered Social Landlord, or a Local Authority. Social landlords report being frustrated by the complexities and inconsistencies of funding provision (Ramsay 2010; Adams and Ellison 2009), whereas priva</w:t>
      </w:r>
      <w:r>
        <w:t>te landlords are more inclined to obstruct the installation of adaptations (Williamson 2011). As the property owner, their permission is required before work can be carried out, but its denial could be interpreted as discrimination, a situation that can on</w:t>
      </w:r>
      <w:r>
        <w:t xml:space="preserve">ly be redressed through the courts. Funding through the DFG includes a </w:t>
      </w:r>
      <w:r>
        <w:lastRenderedPageBreak/>
        <w:t>grant condition that there is an intention that the occupant remains in the dwelling for a period of five years, which must include the landlord’s consent. Landlords may feel constraine</w:t>
      </w:r>
      <w:r>
        <w:t xml:space="preserve">d by such a </w:t>
      </w:r>
      <w:proofErr w:type="gramStart"/>
      <w:r>
        <w:t>long term</w:t>
      </w:r>
      <w:proofErr w:type="gramEnd"/>
      <w:r>
        <w:t xml:space="preserve"> agreement and prefer that the tenant moves out rather than carrying out adaptations. This can be done legally by giving notice within the terms of the tenancy </w:t>
      </w:r>
      <w:proofErr w:type="gramStart"/>
      <w:r>
        <w:t>agreement, or</w:t>
      </w:r>
      <w:proofErr w:type="gramEnd"/>
      <w:r>
        <w:t xml:space="preserve"> refusing to renew the agreement and allowing it to lapse. Eve</w:t>
      </w:r>
      <w:r>
        <w:t>n these scenarios assume that the landlord is prepared to abide by his legal obligations, which of course many do not, instead simply ignoring their responsibilities (Williamson 2011). It is difficult and impractical to pursue a reluctant landlord, especia</w:t>
      </w:r>
      <w:r>
        <w:t xml:space="preserve">lly if the tenant is vulnerable, and so the prospect emerges of a lack of suitably adapted accommodation for a disabled household. </w:t>
      </w:r>
    </w:p>
    <w:p w14:paraId="4A3FECA6" w14:textId="77777777" w:rsidR="00B94971" w:rsidRDefault="0047225A">
      <w:pPr>
        <w:ind w:left="-15" w:firstLine="720"/>
      </w:pPr>
      <w:r>
        <w:t>From our analysis however, there are only weak links between the type of tenure and the provision of disability adaptations (see Table 4).</w:t>
      </w:r>
      <w:r>
        <w:rPr>
          <w:vertAlign w:val="superscript"/>
        </w:rPr>
        <w:footnoteReference w:id="7"/>
      </w:r>
      <w:r>
        <w:t xml:space="preserve"> A similar number of homes that are owned (either outright or mortgaged) have zero adaptations to those that are ren</w:t>
      </w:r>
      <w:r>
        <w:t xml:space="preserve">ted (21% vs 18%), with a slightly lower figure for those renting from a Registered Social Landlord (15%). As is confirmed by the more subtle analysis of Differential Provision, there are no significant differences between rented and owned properties.  </w:t>
      </w:r>
    </w:p>
    <w:p w14:paraId="11666E6E" w14:textId="77777777" w:rsidR="00B94971" w:rsidRDefault="0047225A">
      <w:pPr>
        <w:ind w:left="-15" w:firstLine="720"/>
      </w:pPr>
      <w:r>
        <w:t>How</w:t>
      </w:r>
      <w:r>
        <w:t>ever, it is striking that the households used as the basis for our analysis here (those who self-report the need for disability adaptations to their home), are disproportionately over-represented in the rental sector. 65.4% of all those households who repo</w:t>
      </w:r>
      <w:r>
        <w:t>rt the need for disability adaptations are renting, whether from local authority, Registered Social Landlord or privately. From the 2011 census of England and Wales in figures given by the Office for National Statistics (ONS 2013), nationwide the proportio</w:t>
      </w:r>
      <w:r>
        <w:t xml:space="preserve">n of rented accommodation is 36%, a rise from 31% in 2001. </w:t>
      </w:r>
      <w:proofErr w:type="gramStart"/>
      <w:r>
        <w:t>So</w:t>
      </w:r>
      <w:proofErr w:type="gramEnd"/>
      <w:r>
        <w:t xml:space="preserve"> while we do not see a difference in the actual provision of adaptations related to tenure, self-reported disabled households, when compared to the national average, are twice as likely to live i</w:t>
      </w:r>
      <w:r>
        <w:t xml:space="preserve">n rented accommodation. </w:t>
      </w:r>
    </w:p>
    <w:p w14:paraId="21A72870" w14:textId="77777777" w:rsidR="00B94971" w:rsidRDefault="0047225A">
      <w:pPr>
        <w:pStyle w:val="Heading2"/>
        <w:spacing w:after="0" w:line="259" w:lineRule="auto"/>
        <w:ind w:right="6"/>
        <w:jc w:val="center"/>
      </w:pPr>
      <w:r>
        <w:rPr>
          <w:b/>
          <w:i w:val="0"/>
        </w:rPr>
        <w:t>Table 4</w:t>
      </w:r>
      <w:r>
        <w:rPr>
          <w:i w:val="0"/>
        </w:rPr>
        <w:t xml:space="preserve">: Variations in number of adaptations according to Tenure (EHCS2003) </w:t>
      </w:r>
    </w:p>
    <w:p w14:paraId="24C70630" w14:textId="77777777" w:rsidR="00B94971" w:rsidRDefault="0047225A">
      <w:pPr>
        <w:spacing w:after="0" w:line="259" w:lineRule="auto"/>
        <w:ind w:left="0" w:firstLine="0"/>
        <w:jc w:val="left"/>
      </w:pPr>
      <w:r>
        <w:rPr>
          <w:color w:val="2E2E2E"/>
        </w:rPr>
        <w:t xml:space="preserve"> </w:t>
      </w:r>
    </w:p>
    <w:tbl>
      <w:tblPr>
        <w:tblStyle w:val="TableGrid"/>
        <w:tblW w:w="10615" w:type="dxa"/>
        <w:tblInd w:w="-795" w:type="dxa"/>
        <w:tblCellMar>
          <w:top w:w="7" w:type="dxa"/>
          <w:left w:w="108" w:type="dxa"/>
          <w:bottom w:w="0" w:type="dxa"/>
          <w:right w:w="115" w:type="dxa"/>
        </w:tblCellMar>
        <w:tblLook w:val="04A0" w:firstRow="1" w:lastRow="0" w:firstColumn="1" w:lastColumn="0" w:noHBand="0" w:noVBand="1"/>
      </w:tblPr>
      <w:tblGrid>
        <w:gridCol w:w="1511"/>
        <w:gridCol w:w="1610"/>
        <w:gridCol w:w="1703"/>
        <w:gridCol w:w="1560"/>
        <w:gridCol w:w="1702"/>
        <w:gridCol w:w="829"/>
        <w:gridCol w:w="850"/>
        <w:gridCol w:w="850"/>
      </w:tblGrid>
      <w:tr w:rsidR="00B94971" w14:paraId="35712EA9" w14:textId="77777777">
        <w:trPr>
          <w:trHeight w:val="490"/>
        </w:trPr>
        <w:tc>
          <w:tcPr>
            <w:tcW w:w="1512" w:type="dxa"/>
            <w:tcBorders>
              <w:top w:val="single" w:sz="12" w:space="0" w:color="000000"/>
              <w:left w:val="single" w:sz="12" w:space="0" w:color="000000"/>
              <w:bottom w:val="single" w:sz="12" w:space="0" w:color="000000"/>
              <w:right w:val="single" w:sz="12" w:space="0" w:color="000000"/>
            </w:tcBorders>
          </w:tcPr>
          <w:p w14:paraId="02452D71" w14:textId="77777777" w:rsidR="00B94971" w:rsidRDefault="0047225A">
            <w:pPr>
              <w:spacing w:after="0" w:line="259" w:lineRule="auto"/>
              <w:ind w:left="0" w:firstLine="0"/>
              <w:jc w:val="left"/>
            </w:pPr>
            <w:r>
              <w:rPr>
                <w:sz w:val="20"/>
              </w:rPr>
              <w:t xml:space="preserve"> </w:t>
            </w:r>
          </w:p>
        </w:tc>
        <w:tc>
          <w:tcPr>
            <w:tcW w:w="3313" w:type="dxa"/>
            <w:gridSpan w:val="2"/>
            <w:tcBorders>
              <w:top w:val="single" w:sz="12" w:space="0" w:color="000000"/>
              <w:left w:val="single" w:sz="12" w:space="0" w:color="000000"/>
              <w:bottom w:val="single" w:sz="12" w:space="0" w:color="000000"/>
              <w:right w:val="single" w:sz="4" w:space="0" w:color="000000"/>
            </w:tcBorders>
          </w:tcPr>
          <w:p w14:paraId="32ECFEE6" w14:textId="77777777" w:rsidR="00B94971" w:rsidRDefault="0047225A">
            <w:pPr>
              <w:spacing w:after="0" w:line="259" w:lineRule="auto"/>
              <w:ind w:left="2" w:firstLine="0"/>
              <w:jc w:val="center"/>
            </w:pPr>
            <w:r>
              <w:rPr>
                <w:b/>
                <w:sz w:val="20"/>
              </w:rPr>
              <w:t xml:space="preserve">Households requiring adaptations </w:t>
            </w:r>
          </w:p>
        </w:tc>
        <w:tc>
          <w:tcPr>
            <w:tcW w:w="3262" w:type="dxa"/>
            <w:gridSpan w:val="2"/>
            <w:tcBorders>
              <w:top w:val="single" w:sz="12" w:space="0" w:color="000000"/>
              <w:left w:val="single" w:sz="4" w:space="0" w:color="000000"/>
              <w:bottom w:val="single" w:sz="12" w:space="0" w:color="000000"/>
              <w:right w:val="single" w:sz="4" w:space="0" w:color="000000"/>
            </w:tcBorders>
          </w:tcPr>
          <w:p w14:paraId="48FB95E6" w14:textId="77777777" w:rsidR="00B94971" w:rsidRDefault="0047225A">
            <w:pPr>
              <w:spacing w:after="0" w:line="259" w:lineRule="auto"/>
              <w:ind w:left="2" w:firstLine="0"/>
              <w:jc w:val="center"/>
            </w:pPr>
            <w:r>
              <w:rPr>
                <w:b/>
                <w:sz w:val="20"/>
              </w:rPr>
              <w:t>Households with zero adaptations</w:t>
            </w:r>
            <w:r>
              <w:rPr>
                <w:sz w:val="20"/>
              </w:rPr>
              <w:t xml:space="preserve"> </w:t>
            </w:r>
          </w:p>
        </w:tc>
        <w:tc>
          <w:tcPr>
            <w:tcW w:w="2528" w:type="dxa"/>
            <w:gridSpan w:val="3"/>
            <w:tcBorders>
              <w:top w:val="single" w:sz="12" w:space="0" w:color="000000"/>
              <w:left w:val="single" w:sz="4" w:space="0" w:color="000000"/>
              <w:bottom w:val="single" w:sz="12" w:space="0" w:color="000000"/>
              <w:right w:val="single" w:sz="12" w:space="0" w:color="000000"/>
            </w:tcBorders>
          </w:tcPr>
          <w:p w14:paraId="76B268F3" w14:textId="77777777" w:rsidR="00B94971" w:rsidRDefault="0047225A">
            <w:pPr>
              <w:spacing w:after="0" w:line="259" w:lineRule="auto"/>
              <w:ind w:left="62" w:right="10" w:firstLine="0"/>
              <w:jc w:val="center"/>
            </w:pPr>
            <w:r>
              <w:rPr>
                <w:b/>
                <w:sz w:val="20"/>
              </w:rPr>
              <w:t xml:space="preserve">Differential Provision (%) </w:t>
            </w:r>
          </w:p>
        </w:tc>
      </w:tr>
      <w:tr w:rsidR="00B94971" w14:paraId="0A828966" w14:textId="77777777">
        <w:trPr>
          <w:trHeight w:val="480"/>
        </w:trPr>
        <w:tc>
          <w:tcPr>
            <w:tcW w:w="1512" w:type="dxa"/>
            <w:tcBorders>
              <w:top w:val="single" w:sz="12" w:space="0" w:color="000000"/>
              <w:left w:val="single" w:sz="12" w:space="0" w:color="000000"/>
              <w:bottom w:val="single" w:sz="4" w:space="0" w:color="000000"/>
              <w:right w:val="single" w:sz="12" w:space="0" w:color="000000"/>
            </w:tcBorders>
          </w:tcPr>
          <w:p w14:paraId="5217D0F3" w14:textId="77777777" w:rsidR="00B94971" w:rsidRDefault="0047225A">
            <w:pPr>
              <w:spacing w:after="0" w:line="259" w:lineRule="auto"/>
              <w:ind w:left="2" w:firstLine="0"/>
              <w:jc w:val="center"/>
            </w:pPr>
            <w:r>
              <w:rPr>
                <w:b/>
                <w:sz w:val="20"/>
              </w:rPr>
              <w:t xml:space="preserve">Tenure </w:t>
            </w:r>
          </w:p>
        </w:tc>
        <w:tc>
          <w:tcPr>
            <w:tcW w:w="1610" w:type="dxa"/>
            <w:tcBorders>
              <w:top w:val="single" w:sz="12" w:space="0" w:color="000000"/>
              <w:left w:val="single" w:sz="12" w:space="0" w:color="000000"/>
              <w:bottom w:val="single" w:sz="4" w:space="0" w:color="000000"/>
              <w:right w:val="single" w:sz="4" w:space="0" w:color="000000"/>
            </w:tcBorders>
          </w:tcPr>
          <w:p w14:paraId="76B7E605" w14:textId="77777777" w:rsidR="00B94971" w:rsidRDefault="0047225A">
            <w:pPr>
              <w:spacing w:after="0" w:line="259" w:lineRule="auto"/>
              <w:ind w:left="2" w:firstLine="0"/>
              <w:jc w:val="center"/>
            </w:pPr>
            <w:r>
              <w:rPr>
                <w:b/>
                <w:sz w:val="20"/>
              </w:rPr>
              <w:t xml:space="preserve">Number </w:t>
            </w:r>
          </w:p>
        </w:tc>
        <w:tc>
          <w:tcPr>
            <w:tcW w:w="1702" w:type="dxa"/>
            <w:tcBorders>
              <w:top w:val="single" w:sz="12" w:space="0" w:color="000000"/>
              <w:left w:val="single" w:sz="4" w:space="0" w:color="000000"/>
              <w:bottom w:val="single" w:sz="4" w:space="0" w:color="000000"/>
              <w:right w:val="single" w:sz="4" w:space="0" w:color="000000"/>
            </w:tcBorders>
          </w:tcPr>
          <w:p w14:paraId="080055AA" w14:textId="77777777" w:rsidR="00B94971" w:rsidRDefault="0047225A">
            <w:pPr>
              <w:spacing w:after="0" w:line="259" w:lineRule="auto"/>
              <w:ind w:left="0" w:firstLine="0"/>
              <w:jc w:val="center"/>
            </w:pPr>
            <w:r>
              <w:rPr>
                <w:b/>
                <w:sz w:val="20"/>
              </w:rPr>
              <w:t xml:space="preserve">Proportion of Total (%) </w:t>
            </w:r>
          </w:p>
        </w:tc>
        <w:tc>
          <w:tcPr>
            <w:tcW w:w="1560" w:type="dxa"/>
            <w:tcBorders>
              <w:top w:val="single" w:sz="12" w:space="0" w:color="000000"/>
              <w:left w:val="single" w:sz="4" w:space="0" w:color="000000"/>
              <w:bottom w:val="single" w:sz="4" w:space="0" w:color="000000"/>
              <w:right w:val="single" w:sz="4" w:space="0" w:color="000000"/>
            </w:tcBorders>
          </w:tcPr>
          <w:p w14:paraId="0FE31A60" w14:textId="77777777" w:rsidR="00B94971" w:rsidRDefault="0047225A">
            <w:pPr>
              <w:spacing w:after="0" w:line="259" w:lineRule="auto"/>
              <w:ind w:left="4" w:firstLine="0"/>
              <w:jc w:val="center"/>
            </w:pPr>
            <w:r>
              <w:rPr>
                <w:b/>
                <w:sz w:val="20"/>
              </w:rPr>
              <w:t xml:space="preserve">Number </w:t>
            </w:r>
          </w:p>
        </w:tc>
        <w:tc>
          <w:tcPr>
            <w:tcW w:w="1702" w:type="dxa"/>
            <w:tcBorders>
              <w:top w:val="single" w:sz="12" w:space="0" w:color="000000"/>
              <w:left w:val="single" w:sz="4" w:space="0" w:color="000000"/>
              <w:bottom w:val="single" w:sz="4" w:space="0" w:color="000000"/>
              <w:right w:val="single" w:sz="4" w:space="0" w:color="000000"/>
            </w:tcBorders>
          </w:tcPr>
          <w:p w14:paraId="16779085" w14:textId="77777777" w:rsidR="00B94971" w:rsidRDefault="0047225A">
            <w:pPr>
              <w:spacing w:after="0" w:line="259" w:lineRule="auto"/>
              <w:ind w:left="4" w:firstLine="0"/>
              <w:jc w:val="center"/>
            </w:pPr>
            <w:r>
              <w:rPr>
                <w:b/>
                <w:sz w:val="20"/>
              </w:rPr>
              <w:t xml:space="preserve">% </w:t>
            </w:r>
            <w:proofErr w:type="gramStart"/>
            <w:r>
              <w:rPr>
                <w:b/>
                <w:sz w:val="20"/>
              </w:rPr>
              <w:t>of</w:t>
            </w:r>
            <w:proofErr w:type="gramEnd"/>
            <w:r>
              <w:rPr>
                <w:b/>
                <w:sz w:val="20"/>
              </w:rPr>
              <w:t xml:space="preserve"> category </w:t>
            </w:r>
          </w:p>
        </w:tc>
        <w:tc>
          <w:tcPr>
            <w:tcW w:w="829" w:type="dxa"/>
            <w:tcBorders>
              <w:top w:val="single" w:sz="12" w:space="0" w:color="000000"/>
              <w:left w:val="single" w:sz="4" w:space="0" w:color="000000"/>
              <w:bottom w:val="single" w:sz="4" w:space="0" w:color="000000"/>
              <w:right w:val="single" w:sz="4" w:space="0" w:color="000000"/>
            </w:tcBorders>
          </w:tcPr>
          <w:p w14:paraId="03F00846" w14:textId="77777777" w:rsidR="00B94971" w:rsidRDefault="0047225A">
            <w:pPr>
              <w:spacing w:after="0" w:line="259" w:lineRule="auto"/>
              <w:ind w:left="0" w:firstLine="0"/>
              <w:jc w:val="center"/>
            </w:pPr>
            <w:r>
              <w:rPr>
                <w:b/>
                <w:sz w:val="20"/>
              </w:rPr>
              <w:t xml:space="preserve">Have Most </w:t>
            </w:r>
          </w:p>
        </w:tc>
        <w:tc>
          <w:tcPr>
            <w:tcW w:w="850" w:type="dxa"/>
            <w:tcBorders>
              <w:top w:val="single" w:sz="12" w:space="0" w:color="000000"/>
              <w:left w:val="single" w:sz="4" w:space="0" w:color="000000"/>
              <w:bottom w:val="single" w:sz="4" w:space="0" w:color="000000"/>
              <w:right w:val="single" w:sz="4" w:space="0" w:color="000000"/>
            </w:tcBorders>
          </w:tcPr>
          <w:p w14:paraId="2A7A239F" w14:textId="77777777" w:rsidR="00B94971" w:rsidRDefault="0047225A">
            <w:pPr>
              <w:spacing w:after="0" w:line="259" w:lineRule="auto"/>
              <w:ind w:left="82" w:firstLine="17"/>
              <w:jc w:val="left"/>
            </w:pPr>
            <w:r>
              <w:rPr>
                <w:b/>
                <w:sz w:val="20"/>
              </w:rPr>
              <w:t xml:space="preserve">Need Some </w:t>
            </w:r>
          </w:p>
        </w:tc>
        <w:tc>
          <w:tcPr>
            <w:tcW w:w="850" w:type="dxa"/>
            <w:tcBorders>
              <w:top w:val="single" w:sz="12" w:space="0" w:color="000000"/>
              <w:left w:val="single" w:sz="4" w:space="0" w:color="000000"/>
              <w:bottom w:val="single" w:sz="4" w:space="0" w:color="000000"/>
              <w:right w:val="single" w:sz="12" w:space="0" w:color="000000"/>
            </w:tcBorders>
          </w:tcPr>
          <w:p w14:paraId="2AB55B76" w14:textId="77777777" w:rsidR="00B94971" w:rsidRDefault="0047225A">
            <w:pPr>
              <w:spacing w:after="0" w:line="259" w:lineRule="auto"/>
              <w:ind w:left="0" w:firstLine="0"/>
              <w:jc w:val="center"/>
            </w:pPr>
            <w:r>
              <w:rPr>
                <w:b/>
                <w:sz w:val="20"/>
              </w:rPr>
              <w:t xml:space="preserve">Need Many </w:t>
            </w:r>
          </w:p>
        </w:tc>
      </w:tr>
      <w:tr w:rsidR="00B94971" w14:paraId="7AEB53E5" w14:textId="77777777">
        <w:trPr>
          <w:trHeight w:val="240"/>
        </w:trPr>
        <w:tc>
          <w:tcPr>
            <w:tcW w:w="1512" w:type="dxa"/>
            <w:tcBorders>
              <w:top w:val="single" w:sz="4" w:space="0" w:color="000000"/>
              <w:left w:val="single" w:sz="12" w:space="0" w:color="000000"/>
              <w:bottom w:val="single" w:sz="4" w:space="0" w:color="000000"/>
              <w:right w:val="single" w:sz="12" w:space="0" w:color="000000"/>
            </w:tcBorders>
          </w:tcPr>
          <w:p w14:paraId="4CDDC520" w14:textId="77777777" w:rsidR="00B94971" w:rsidRDefault="0047225A">
            <w:pPr>
              <w:spacing w:after="0" w:line="259" w:lineRule="auto"/>
              <w:ind w:left="0" w:firstLine="0"/>
              <w:jc w:val="left"/>
            </w:pPr>
            <w:r>
              <w:rPr>
                <w:b/>
                <w:sz w:val="20"/>
              </w:rPr>
              <w:t xml:space="preserve">Own </w:t>
            </w:r>
          </w:p>
        </w:tc>
        <w:tc>
          <w:tcPr>
            <w:tcW w:w="1610" w:type="dxa"/>
            <w:tcBorders>
              <w:top w:val="single" w:sz="4" w:space="0" w:color="000000"/>
              <w:left w:val="single" w:sz="12" w:space="0" w:color="000000"/>
              <w:bottom w:val="single" w:sz="4" w:space="0" w:color="000000"/>
              <w:right w:val="single" w:sz="4" w:space="0" w:color="000000"/>
            </w:tcBorders>
          </w:tcPr>
          <w:p w14:paraId="72E049DE" w14:textId="77777777" w:rsidR="00B94971" w:rsidRDefault="0047225A">
            <w:pPr>
              <w:spacing w:after="0" w:line="259" w:lineRule="auto"/>
              <w:ind w:left="8" w:firstLine="0"/>
              <w:jc w:val="center"/>
            </w:pPr>
            <w:r>
              <w:rPr>
                <w:b/>
                <w:sz w:val="20"/>
              </w:rPr>
              <w:t xml:space="preserve">633 </w:t>
            </w:r>
          </w:p>
        </w:tc>
        <w:tc>
          <w:tcPr>
            <w:tcW w:w="1702" w:type="dxa"/>
            <w:tcBorders>
              <w:top w:val="single" w:sz="4" w:space="0" w:color="000000"/>
              <w:left w:val="single" w:sz="4" w:space="0" w:color="000000"/>
              <w:bottom w:val="single" w:sz="4" w:space="0" w:color="000000"/>
              <w:right w:val="single" w:sz="4" w:space="0" w:color="000000"/>
            </w:tcBorders>
          </w:tcPr>
          <w:p w14:paraId="217EC369" w14:textId="77777777" w:rsidR="00B94971" w:rsidRDefault="0047225A">
            <w:pPr>
              <w:spacing w:after="0" w:line="259" w:lineRule="auto"/>
              <w:ind w:left="6" w:firstLine="0"/>
              <w:jc w:val="center"/>
            </w:pPr>
            <w:r>
              <w:rPr>
                <w:b/>
                <w:sz w:val="20"/>
              </w:rPr>
              <w:t xml:space="preserve">34.6 </w:t>
            </w:r>
          </w:p>
        </w:tc>
        <w:tc>
          <w:tcPr>
            <w:tcW w:w="1560" w:type="dxa"/>
            <w:tcBorders>
              <w:top w:val="single" w:sz="4" w:space="0" w:color="000000"/>
              <w:left w:val="single" w:sz="4" w:space="0" w:color="000000"/>
              <w:bottom w:val="single" w:sz="4" w:space="0" w:color="000000"/>
              <w:right w:val="single" w:sz="4" w:space="0" w:color="000000"/>
            </w:tcBorders>
          </w:tcPr>
          <w:p w14:paraId="171B4D11" w14:textId="77777777" w:rsidR="00B94971" w:rsidRDefault="0047225A">
            <w:pPr>
              <w:spacing w:after="0" w:line="259" w:lineRule="auto"/>
              <w:ind w:left="6" w:firstLine="0"/>
              <w:jc w:val="center"/>
            </w:pPr>
            <w:r>
              <w:rPr>
                <w:b/>
                <w:sz w:val="20"/>
              </w:rPr>
              <w:t xml:space="preserve">99 </w:t>
            </w:r>
          </w:p>
        </w:tc>
        <w:tc>
          <w:tcPr>
            <w:tcW w:w="1702" w:type="dxa"/>
            <w:tcBorders>
              <w:top w:val="single" w:sz="4" w:space="0" w:color="000000"/>
              <w:left w:val="single" w:sz="4" w:space="0" w:color="000000"/>
              <w:bottom w:val="single" w:sz="4" w:space="0" w:color="000000"/>
              <w:right w:val="single" w:sz="4" w:space="0" w:color="000000"/>
            </w:tcBorders>
          </w:tcPr>
          <w:p w14:paraId="0D684851" w14:textId="77777777" w:rsidR="00B94971" w:rsidRDefault="0047225A">
            <w:pPr>
              <w:spacing w:after="0" w:line="259" w:lineRule="auto"/>
              <w:ind w:left="5" w:firstLine="0"/>
              <w:jc w:val="center"/>
            </w:pPr>
            <w:r>
              <w:rPr>
                <w:b/>
                <w:sz w:val="20"/>
              </w:rPr>
              <w:t xml:space="preserve">15.6 </w:t>
            </w:r>
          </w:p>
        </w:tc>
        <w:tc>
          <w:tcPr>
            <w:tcW w:w="829" w:type="dxa"/>
            <w:tcBorders>
              <w:top w:val="single" w:sz="4" w:space="0" w:color="000000"/>
              <w:left w:val="single" w:sz="4" w:space="0" w:color="000000"/>
              <w:bottom w:val="single" w:sz="4" w:space="0" w:color="000000"/>
              <w:right w:val="single" w:sz="4" w:space="0" w:color="000000"/>
            </w:tcBorders>
          </w:tcPr>
          <w:p w14:paraId="74AAF54F" w14:textId="77777777" w:rsidR="00B94971" w:rsidRDefault="0047225A">
            <w:pPr>
              <w:spacing w:after="0" w:line="259" w:lineRule="auto"/>
              <w:ind w:left="0" w:firstLine="0"/>
              <w:jc w:val="center"/>
            </w:pPr>
            <w:r>
              <w:rPr>
                <w:b/>
                <w:sz w:val="20"/>
              </w:rPr>
              <w:t xml:space="preserve">74.8 </w:t>
            </w:r>
          </w:p>
        </w:tc>
        <w:tc>
          <w:tcPr>
            <w:tcW w:w="850" w:type="dxa"/>
            <w:tcBorders>
              <w:top w:val="single" w:sz="4" w:space="0" w:color="000000"/>
              <w:left w:val="single" w:sz="4" w:space="0" w:color="000000"/>
              <w:bottom w:val="single" w:sz="4" w:space="0" w:color="000000"/>
              <w:right w:val="single" w:sz="4" w:space="0" w:color="000000"/>
            </w:tcBorders>
          </w:tcPr>
          <w:p w14:paraId="5D91C624" w14:textId="77777777" w:rsidR="00B94971" w:rsidRDefault="0047225A">
            <w:pPr>
              <w:spacing w:after="0" w:line="259" w:lineRule="auto"/>
              <w:ind w:left="3" w:firstLine="0"/>
              <w:jc w:val="center"/>
            </w:pPr>
            <w:r>
              <w:rPr>
                <w:b/>
                <w:sz w:val="20"/>
              </w:rPr>
              <w:t xml:space="preserve">16.0 </w:t>
            </w:r>
          </w:p>
        </w:tc>
        <w:tc>
          <w:tcPr>
            <w:tcW w:w="850" w:type="dxa"/>
            <w:tcBorders>
              <w:top w:val="single" w:sz="4" w:space="0" w:color="000000"/>
              <w:left w:val="single" w:sz="4" w:space="0" w:color="000000"/>
              <w:bottom w:val="single" w:sz="4" w:space="0" w:color="000000"/>
              <w:right w:val="single" w:sz="12" w:space="0" w:color="000000"/>
            </w:tcBorders>
          </w:tcPr>
          <w:p w14:paraId="3C6B4964" w14:textId="77777777" w:rsidR="00B94971" w:rsidRDefault="0047225A">
            <w:pPr>
              <w:spacing w:after="0" w:line="259" w:lineRule="auto"/>
              <w:ind w:left="8" w:firstLine="0"/>
              <w:jc w:val="center"/>
            </w:pPr>
            <w:r>
              <w:rPr>
                <w:b/>
                <w:sz w:val="20"/>
              </w:rPr>
              <w:t xml:space="preserve">9.2 </w:t>
            </w:r>
          </w:p>
        </w:tc>
      </w:tr>
      <w:tr w:rsidR="00B94971" w14:paraId="7254DD3D" w14:textId="77777777">
        <w:trPr>
          <w:trHeight w:val="240"/>
        </w:trPr>
        <w:tc>
          <w:tcPr>
            <w:tcW w:w="1512" w:type="dxa"/>
            <w:tcBorders>
              <w:top w:val="single" w:sz="4" w:space="0" w:color="000000"/>
              <w:left w:val="single" w:sz="12" w:space="0" w:color="000000"/>
              <w:bottom w:val="single" w:sz="4" w:space="0" w:color="000000"/>
              <w:right w:val="single" w:sz="12" w:space="0" w:color="000000"/>
            </w:tcBorders>
          </w:tcPr>
          <w:p w14:paraId="30FE7ED7" w14:textId="77777777" w:rsidR="00B94971" w:rsidRDefault="0047225A">
            <w:pPr>
              <w:spacing w:after="0" w:line="259" w:lineRule="auto"/>
              <w:ind w:left="0" w:firstLine="0"/>
              <w:jc w:val="left"/>
            </w:pPr>
            <w:r>
              <w:rPr>
                <w:sz w:val="20"/>
              </w:rPr>
              <w:t xml:space="preserve">Rent from LA </w:t>
            </w:r>
          </w:p>
        </w:tc>
        <w:tc>
          <w:tcPr>
            <w:tcW w:w="1610" w:type="dxa"/>
            <w:tcBorders>
              <w:top w:val="single" w:sz="4" w:space="0" w:color="000000"/>
              <w:left w:val="single" w:sz="12" w:space="0" w:color="000000"/>
              <w:bottom w:val="single" w:sz="4" w:space="0" w:color="000000"/>
              <w:right w:val="single" w:sz="4" w:space="0" w:color="000000"/>
            </w:tcBorders>
          </w:tcPr>
          <w:p w14:paraId="2E54C151" w14:textId="77777777" w:rsidR="00B94971" w:rsidRDefault="0047225A">
            <w:pPr>
              <w:spacing w:after="0" w:line="259" w:lineRule="auto"/>
              <w:ind w:left="8" w:firstLine="0"/>
              <w:jc w:val="center"/>
            </w:pPr>
            <w:r>
              <w:rPr>
                <w:sz w:val="20"/>
              </w:rPr>
              <w:t xml:space="preserve">674 </w:t>
            </w:r>
          </w:p>
        </w:tc>
        <w:tc>
          <w:tcPr>
            <w:tcW w:w="1702" w:type="dxa"/>
            <w:tcBorders>
              <w:top w:val="single" w:sz="4" w:space="0" w:color="000000"/>
              <w:left w:val="single" w:sz="4" w:space="0" w:color="000000"/>
              <w:bottom w:val="single" w:sz="4" w:space="0" w:color="000000"/>
              <w:right w:val="single" w:sz="4" w:space="0" w:color="000000"/>
            </w:tcBorders>
          </w:tcPr>
          <w:p w14:paraId="048917A5" w14:textId="77777777" w:rsidR="00B94971" w:rsidRDefault="0047225A">
            <w:pPr>
              <w:spacing w:after="0" w:line="259" w:lineRule="auto"/>
              <w:ind w:left="6" w:firstLine="0"/>
              <w:jc w:val="center"/>
            </w:pPr>
            <w:r>
              <w:rPr>
                <w:sz w:val="20"/>
              </w:rPr>
              <w:t xml:space="preserve">36.9 </w:t>
            </w:r>
          </w:p>
        </w:tc>
        <w:tc>
          <w:tcPr>
            <w:tcW w:w="1560" w:type="dxa"/>
            <w:tcBorders>
              <w:top w:val="single" w:sz="4" w:space="0" w:color="000000"/>
              <w:left w:val="single" w:sz="4" w:space="0" w:color="000000"/>
              <w:bottom w:val="single" w:sz="4" w:space="0" w:color="000000"/>
              <w:right w:val="single" w:sz="4" w:space="0" w:color="000000"/>
            </w:tcBorders>
          </w:tcPr>
          <w:p w14:paraId="1A5CD8E7" w14:textId="77777777" w:rsidR="00B94971" w:rsidRDefault="0047225A">
            <w:pPr>
              <w:spacing w:after="0" w:line="259" w:lineRule="auto"/>
              <w:ind w:left="6" w:firstLine="0"/>
              <w:jc w:val="center"/>
            </w:pPr>
            <w:r>
              <w:rPr>
                <w:sz w:val="20"/>
              </w:rPr>
              <w:t xml:space="preserve">126 </w:t>
            </w:r>
          </w:p>
        </w:tc>
        <w:tc>
          <w:tcPr>
            <w:tcW w:w="1702" w:type="dxa"/>
            <w:tcBorders>
              <w:top w:val="single" w:sz="4" w:space="0" w:color="000000"/>
              <w:left w:val="single" w:sz="4" w:space="0" w:color="000000"/>
              <w:bottom w:val="single" w:sz="4" w:space="0" w:color="000000"/>
              <w:right w:val="single" w:sz="4" w:space="0" w:color="000000"/>
            </w:tcBorders>
          </w:tcPr>
          <w:p w14:paraId="76F9E617" w14:textId="77777777" w:rsidR="00B94971" w:rsidRDefault="0047225A">
            <w:pPr>
              <w:spacing w:after="0" w:line="259" w:lineRule="auto"/>
              <w:ind w:left="5" w:firstLine="0"/>
              <w:jc w:val="center"/>
            </w:pPr>
            <w:r>
              <w:rPr>
                <w:sz w:val="20"/>
              </w:rPr>
              <w:t xml:space="preserve">18.7 </w:t>
            </w:r>
          </w:p>
        </w:tc>
        <w:tc>
          <w:tcPr>
            <w:tcW w:w="829" w:type="dxa"/>
            <w:tcBorders>
              <w:top w:val="single" w:sz="4" w:space="0" w:color="000000"/>
              <w:left w:val="single" w:sz="4" w:space="0" w:color="000000"/>
              <w:bottom w:val="single" w:sz="4" w:space="0" w:color="000000"/>
              <w:right w:val="single" w:sz="4" w:space="0" w:color="000000"/>
            </w:tcBorders>
          </w:tcPr>
          <w:p w14:paraId="6BFCE7D4" w14:textId="77777777" w:rsidR="00B94971" w:rsidRDefault="0047225A">
            <w:pPr>
              <w:spacing w:after="0" w:line="259" w:lineRule="auto"/>
              <w:ind w:left="0" w:firstLine="0"/>
              <w:jc w:val="center"/>
            </w:pPr>
            <w:r>
              <w:rPr>
                <w:sz w:val="20"/>
              </w:rPr>
              <w:t xml:space="preserve">67.2 </w:t>
            </w:r>
          </w:p>
        </w:tc>
        <w:tc>
          <w:tcPr>
            <w:tcW w:w="850" w:type="dxa"/>
            <w:tcBorders>
              <w:top w:val="single" w:sz="4" w:space="0" w:color="000000"/>
              <w:left w:val="single" w:sz="4" w:space="0" w:color="000000"/>
              <w:bottom w:val="single" w:sz="4" w:space="0" w:color="000000"/>
              <w:right w:val="single" w:sz="4" w:space="0" w:color="000000"/>
            </w:tcBorders>
          </w:tcPr>
          <w:p w14:paraId="6056AA5F" w14:textId="77777777" w:rsidR="00B94971" w:rsidRDefault="0047225A">
            <w:pPr>
              <w:spacing w:after="0" w:line="259" w:lineRule="auto"/>
              <w:ind w:left="3" w:firstLine="0"/>
              <w:jc w:val="center"/>
            </w:pPr>
            <w:r>
              <w:rPr>
                <w:sz w:val="20"/>
              </w:rPr>
              <w:t xml:space="preserve">21.4 </w:t>
            </w:r>
          </w:p>
        </w:tc>
        <w:tc>
          <w:tcPr>
            <w:tcW w:w="850" w:type="dxa"/>
            <w:tcBorders>
              <w:top w:val="single" w:sz="4" w:space="0" w:color="000000"/>
              <w:left w:val="single" w:sz="4" w:space="0" w:color="000000"/>
              <w:bottom w:val="single" w:sz="4" w:space="0" w:color="000000"/>
              <w:right w:val="single" w:sz="12" w:space="0" w:color="000000"/>
            </w:tcBorders>
          </w:tcPr>
          <w:p w14:paraId="77D2F02D" w14:textId="77777777" w:rsidR="00B94971" w:rsidRDefault="0047225A">
            <w:pPr>
              <w:spacing w:after="0" w:line="259" w:lineRule="auto"/>
              <w:ind w:left="8" w:firstLine="0"/>
              <w:jc w:val="center"/>
            </w:pPr>
            <w:r>
              <w:rPr>
                <w:sz w:val="20"/>
              </w:rPr>
              <w:t xml:space="preserve">11.4 </w:t>
            </w:r>
          </w:p>
        </w:tc>
      </w:tr>
      <w:tr w:rsidR="00B94971" w14:paraId="6DC3B2A0" w14:textId="77777777">
        <w:trPr>
          <w:trHeight w:val="240"/>
        </w:trPr>
        <w:tc>
          <w:tcPr>
            <w:tcW w:w="1512" w:type="dxa"/>
            <w:tcBorders>
              <w:top w:val="single" w:sz="4" w:space="0" w:color="000000"/>
              <w:left w:val="single" w:sz="12" w:space="0" w:color="000000"/>
              <w:bottom w:val="single" w:sz="4" w:space="0" w:color="000000"/>
              <w:right w:val="single" w:sz="12" w:space="0" w:color="000000"/>
            </w:tcBorders>
          </w:tcPr>
          <w:p w14:paraId="3CB866C5" w14:textId="77777777" w:rsidR="00B94971" w:rsidRDefault="0047225A">
            <w:pPr>
              <w:spacing w:after="0" w:line="259" w:lineRule="auto"/>
              <w:ind w:left="0" w:firstLine="0"/>
              <w:jc w:val="left"/>
            </w:pPr>
            <w:r>
              <w:rPr>
                <w:sz w:val="20"/>
              </w:rPr>
              <w:t xml:space="preserve">Rent from RSL </w:t>
            </w:r>
          </w:p>
        </w:tc>
        <w:tc>
          <w:tcPr>
            <w:tcW w:w="1610" w:type="dxa"/>
            <w:tcBorders>
              <w:top w:val="single" w:sz="4" w:space="0" w:color="000000"/>
              <w:left w:val="single" w:sz="12" w:space="0" w:color="000000"/>
              <w:bottom w:val="single" w:sz="4" w:space="0" w:color="000000"/>
              <w:right w:val="single" w:sz="4" w:space="0" w:color="000000"/>
            </w:tcBorders>
          </w:tcPr>
          <w:p w14:paraId="094B65EB" w14:textId="77777777" w:rsidR="00B94971" w:rsidRDefault="0047225A">
            <w:pPr>
              <w:spacing w:after="0" w:line="259" w:lineRule="auto"/>
              <w:ind w:left="8" w:firstLine="0"/>
              <w:jc w:val="center"/>
            </w:pPr>
            <w:r>
              <w:rPr>
                <w:sz w:val="20"/>
              </w:rPr>
              <w:t xml:space="preserve">411 </w:t>
            </w:r>
          </w:p>
        </w:tc>
        <w:tc>
          <w:tcPr>
            <w:tcW w:w="1702" w:type="dxa"/>
            <w:tcBorders>
              <w:top w:val="single" w:sz="4" w:space="0" w:color="000000"/>
              <w:left w:val="single" w:sz="4" w:space="0" w:color="000000"/>
              <w:bottom w:val="single" w:sz="4" w:space="0" w:color="000000"/>
              <w:right w:val="single" w:sz="4" w:space="0" w:color="000000"/>
            </w:tcBorders>
          </w:tcPr>
          <w:p w14:paraId="2C918D63" w14:textId="77777777" w:rsidR="00B94971" w:rsidRDefault="0047225A">
            <w:pPr>
              <w:spacing w:after="0" w:line="259" w:lineRule="auto"/>
              <w:ind w:left="6" w:firstLine="0"/>
              <w:jc w:val="center"/>
            </w:pPr>
            <w:r>
              <w:rPr>
                <w:sz w:val="20"/>
              </w:rPr>
              <w:t xml:space="preserve">22.5 </w:t>
            </w:r>
          </w:p>
        </w:tc>
        <w:tc>
          <w:tcPr>
            <w:tcW w:w="1560" w:type="dxa"/>
            <w:tcBorders>
              <w:top w:val="single" w:sz="4" w:space="0" w:color="000000"/>
              <w:left w:val="single" w:sz="4" w:space="0" w:color="000000"/>
              <w:bottom w:val="single" w:sz="4" w:space="0" w:color="000000"/>
              <w:right w:val="single" w:sz="4" w:space="0" w:color="000000"/>
            </w:tcBorders>
          </w:tcPr>
          <w:p w14:paraId="66E9DE76" w14:textId="77777777" w:rsidR="00B94971" w:rsidRDefault="0047225A">
            <w:pPr>
              <w:spacing w:after="0" w:line="259" w:lineRule="auto"/>
              <w:ind w:left="6" w:firstLine="0"/>
              <w:jc w:val="center"/>
            </w:pPr>
            <w:r>
              <w:rPr>
                <w:sz w:val="20"/>
              </w:rPr>
              <w:t xml:space="preserve">62 </w:t>
            </w:r>
          </w:p>
        </w:tc>
        <w:tc>
          <w:tcPr>
            <w:tcW w:w="1702" w:type="dxa"/>
            <w:tcBorders>
              <w:top w:val="single" w:sz="4" w:space="0" w:color="000000"/>
              <w:left w:val="single" w:sz="4" w:space="0" w:color="000000"/>
              <w:bottom w:val="single" w:sz="4" w:space="0" w:color="000000"/>
              <w:right w:val="single" w:sz="4" w:space="0" w:color="000000"/>
            </w:tcBorders>
          </w:tcPr>
          <w:p w14:paraId="35084A5B" w14:textId="77777777" w:rsidR="00B94971" w:rsidRDefault="0047225A">
            <w:pPr>
              <w:spacing w:after="0" w:line="259" w:lineRule="auto"/>
              <w:ind w:left="5" w:firstLine="0"/>
              <w:jc w:val="center"/>
            </w:pPr>
            <w:r>
              <w:rPr>
                <w:sz w:val="20"/>
              </w:rPr>
              <w:t xml:space="preserve">15.1 </w:t>
            </w:r>
          </w:p>
        </w:tc>
        <w:tc>
          <w:tcPr>
            <w:tcW w:w="829" w:type="dxa"/>
            <w:tcBorders>
              <w:top w:val="single" w:sz="4" w:space="0" w:color="000000"/>
              <w:left w:val="single" w:sz="4" w:space="0" w:color="000000"/>
              <w:bottom w:val="single" w:sz="4" w:space="0" w:color="000000"/>
              <w:right w:val="single" w:sz="4" w:space="0" w:color="000000"/>
            </w:tcBorders>
          </w:tcPr>
          <w:p w14:paraId="1A1957B5" w14:textId="77777777" w:rsidR="00B94971" w:rsidRDefault="0047225A">
            <w:pPr>
              <w:spacing w:after="0" w:line="259" w:lineRule="auto"/>
              <w:ind w:left="0" w:firstLine="0"/>
              <w:jc w:val="center"/>
            </w:pPr>
            <w:r>
              <w:rPr>
                <w:sz w:val="20"/>
              </w:rPr>
              <w:t xml:space="preserve">73.7 </w:t>
            </w:r>
          </w:p>
        </w:tc>
        <w:tc>
          <w:tcPr>
            <w:tcW w:w="850" w:type="dxa"/>
            <w:tcBorders>
              <w:top w:val="single" w:sz="4" w:space="0" w:color="000000"/>
              <w:left w:val="single" w:sz="4" w:space="0" w:color="000000"/>
              <w:bottom w:val="single" w:sz="4" w:space="0" w:color="000000"/>
              <w:right w:val="single" w:sz="4" w:space="0" w:color="000000"/>
            </w:tcBorders>
          </w:tcPr>
          <w:p w14:paraId="59467BA4" w14:textId="77777777" w:rsidR="00B94971" w:rsidRDefault="0047225A">
            <w:pPr>
              <w:spacing w:after="0" w:line="259" w:lineRule="auto"/>
              <w:ind w:left="3" w:firstLine="0"/>
              <w:jc w:val="center"/>
            </w:pPr>
            <w:r>
              <w:rPr>
                <w:sz w:val="20"/>
              </w:rPr>
              <w:t xml:space="preserve">18.0 </w:t>
            </w:r>
          </w:p>
        </w:tc>
        <w:tc>
          <w:tcPr>
            <w:tcW w:w="850" w:type="dxa"/>
            <w:tcBorders>
              <w:top w:val="single" w:sz="4" w:space="0" w:color="000000"/>
              <w:left w:val="single" w:sz="4" w:space="0" w:color="000000"/>
              <w:bottom w:val="single" w:sz="4" w:space="0" w:color="000000"/>
              <w:right w:val="single" w:sz="12" w:space="0" w:color="000000"/>
            </w:tcBorders>
          </w:tcPr>
          <w:p w14:paraId="000227F6" w14:textId="77777777" w:rsidR="00B94971" w:rsidRDefault="0047225A">
            <w:pPr>
              <w:spacing w:after="0" w:line="259" w:lineRule="auto"/>
              <w:ind w:left="8" w:firstLine="0"/>
              <w:jc w:val="center"/>
            </w:pPr>
            <w:r>
              <w:rPr>
                <w:sz w:val="20"/>
              </w:rPr>
              <w:t xml:space="preserve">8.3 </w:t>
            </w:r>
          </w:p>
        </w:tc>
      </w:tr>
      <w:tr w:rsidR="00B94971" w14:paraId="0E3A0572" w14:textId="77777777">
        <w:trPr>
          <w:trHeight w:val="240"/>
        </w:trPr>
        <w:tc>
          <w:tcPr>
            <w:tcW w:w="1512" w:type="dxa"/>
            <w:tcBorders>
              <w:top w:val="single" w:sz="4" w:space="0" w:color="000000"/>
              <w:left w:val="single" w:sz="12" w:space="0" w:color="000000"/>
              <w:bottom w:val="single" w:sz="4" w:space="0" w:color="000000"/>
              <w:right w:val="single" w:sz="12" w:space="0" w:color="000000"/>
            </w:tcBorders>
          </w:tcPr>
          <w:p w14:paraId="07A88F0E" w14:textId="77777777" w:rsidR="00B94971" w:rsidRDefault="0047225A">
            <w:pPr>
              <w:spacing w:after="0" w:line="259" w:lineRule="auto"/>
              <w:ind w:left="0" w:firstLine="0"/>
              <w:jc w:val="left"/>
            </w:pPr>
            <w:r>
              <w:rPr>
                <w:sz w:val="20"/>
              </w:rPr>
              <w:t xml:space="preserve">Rent Privately </w:t>
            </w:r>
          </w:p>
        </w:tc>
        <w:tc>
          <w:tcPr>
            <w:tcW w:w="1610" w:type="dxa"/>
            <w:tcBorders>
              <w:top w:val="single" w:sz="4" w:space="0" w:color="000000"/>
              <w:left w:val="single" w:sz="12" w:space="0" w:color="000000"/>
              <w:bottom w:val="single" w:sz="4" w:space="0" w:color="000000"/>
              <w:right w:val="single" w:sz="4" w:space="0" w:color="000000"/>
            </w:tcBorders>
          </w:tcPr>
          <w:p w14:paraId="6884AEC7" w14:textId="77777777" w:rsidR="00B94971" w:rsidRDefault="0047225A">
            <w:pPr>
              <w:spacing w:after="0" w:line="259" w:lineRule="auto"/>
              <w:ind w:left="8" w:firstLine="0"/>
              <w:jc w:val="center"/>
            </w:pPr>
            <w:r>
              <w:rPr>
                <w:sz w:val="20"/>
              </w:rPr>
              <w:t xml:space="preserve">110 </w:t>
            </w:r>
          </w:p>
        </w:tc>
        <w:tc>
          <w:tcPr>
            <w:tcW w:w="1702" w:type="dxa"/>
            <w:tcBorders>
              <w:top w:val="single" w:sz="4" w:space="0" w:color="000000"/>
              <w:left w:val="single" w:sz="4" w:space="0" w:color="000000"/>
              <w:bottom w:val="single" w:sz="4" w:space="0" w:color="000000"/>
              <w:right w:val="single" w:sz="4" w:space="0" w:color="000000"/>
            </w:tcBorders>
          </w:tcPr>
          <w:p w14:paraId="4531E5F4" w14:textId="77777777" w:rsidR="00B94971" w:rsidRDefault="0047225A">
            <w:pPr>
              <w:spacing w:after="0" w:line="259" w:lineRule="auto"/>
              <w:ind w:left="6" w:firstLine="0"/>
              <w:jc w:val="center"/>
            </w:pPr>
            <w:r>
              <w:rPr>
                <w:sz w:val="20"/>
              </w:rPr>
              <w:t xml:space="preserve">6.0 </w:t>
            </w:r>
          </w:p>
        </w:tc>
        <w:tc>
          <w:tcPr>
            <w:tcW w:w="1560" w:type="dxa"/>
            <w:tcBorders>
              <w:top w:val="single" w:sz="4" w:space="0" w:color="000000"/>
              <w:left w:val="single" w:sz="4" w:space="0" w:color="000000"/>
              <w:bottom w:val="single" w:sz="4" w:space="0" w:color="000000"/>
              <w:right w:val="single" w:sz="4" w:space="0" w:color="000000"/>
            </w:tcBorders>
          </w:tcPr>
          <w:p w14:paraId="264F9D6E" w14:textId="77777777" w:rsidR="00B94971" w:rsidRDefault="0047225A">
            <w:pPr>
              <w:spacing w:after="0" w:line="259" w:lineRule="auto"/>
              <w:ind w:left="6" w:firstLine="0"/>
              <w:jc w:val="center"/>
            </w:pPr>
            <w:r>
              <w:rPr>
                <w:sz w:val="20"/>
              </w:rPr>
              <w:t xml:space="preserve">24 </w:t>
            </w:r>
          </w:p>
        </w:tc>
        <w:tc>
          <w:tcPr>
            <w:tcW w:w="1702" w:type="dxa"/>
            <w:tcBorders>
              <w:top w:val="single" w:sz="4" w:space="0" w:color="000000"/>
              <w:left w:val="single" w:sz="4" w:space="0" w:color="000000"/>
              <w:bottom w:val="single" w:sz="4" w:space="0" w:color="000000"/>
              <w:right w:val="single" w:sz="4" w:space="0" w:color="000000"/>
            </w:tcBorders>
          </w:tcPr>
          <w:p w14:paraId="57574BFE" w14:textId="77777777" w:rsidR="00B94971" w:rsidRDefault="0047225A">
            <w:pPr>
              <w:spacing w:after="0" w:line="259" w:lineRule="auto"/>
              <w:ind w:left="5" w:firstLine="0"/>
              <w:jc w:val="center"/>
            </w:pPr>
            <w:r>
              <w:rPr>
                <w:sz w:val="20"/>
              </w:rPr>
              <w:t xml:space="preserve">21.8 </w:t>
            </w:r>
          </w:p>
        </w:tc>
        <w:tc>
          <w:tcPr>
            <w:tcW w:w="829" w:type="dxa"/>
            <w:tcBorders>
              <w:top w:val="single" w:sz="4" w:space="0" w:color="000000"/>
              <w:left w:val="single" w:sz="4" w:space="0" w:color="000000"/>
              <w:bottom w:val="single" w:sz="4" w:space="0" w:color="000000"/>
              <w:right w:val="single" w:sz="4" w:space="0" w:color="000000"/>
            </w:tcBorders>
          </w:tcPr>
          <w:p w14:paraId="4B0B309B" w14:textId="77777777" w:rsidR="00B94971" w:rsidRDefault="0047225A">
            <w:pPr>
              <w:spacing w:after="0" w:line="259" w:lineRule="auto"/>
              <w:ind w:left="0" w:firstLine="0"/>
              <w:jc w:val="center"/>
            </w:pPr>
            <w:r>
              <w:rPr>
                <w:sz w:val="20"/>
              </w:rPr>
              <w:t xml:space="preserve">67.3 </w:t>
            </w:r>
          </w:p>
        </w:tc>
        <w:tc>
          <w:tcPr>
            <w:tcW w:w="850" w:type="dxa"/>
            <w:tcBorders>
              <w:top w:val="single" w:sz="4" w:space="0" w:color="000000"/>
              <w:left w:val="single" w:sz="4" w:space="0" w:color="000000"/>
              <w:bottom w:val="single" w:sz="4" w:space="0" w:color="000000"/>
              <w:right w:val="single" w:sz="4" w:space="0" w:color="000000"/>
            </w:tcBorders>
          </w:tcPr>
          <w:p w14:paraId="07548247" w14:textId="77777777" w:rsidR="00B94971" w:rsidRDefault="0047225A">
            <w:pPr>
              <w:spacing w:after="0" w:line="259" w:lineRule="auto"/>
              <w:ind w:left="3" w:firstLine="0"/>
              <w:jc w:val="center"/>
            </w:pPr>
            <w:r>
              <w:rPr>
                <w:sz w:val="20"/>
              </w:rPr>
              <w:t xml:space="preserve">18.2 </w:t>
            </w:r>
          </w:p>
        </w:tc>
        <w:tc>
          <w:tcPr>
            <w:tcW w:w="850" w:type="dxa"/>
            <w:tcBorders>
              <w:top w:val="single" w:sz="4" w:space="0" w:color="000000"/>
              <w:left w:val="single" w:sz="4" w:space="0" w:color="000000"/>
              <w:bottom w:val="single" w:sz="4" w:space="0" w:color="000000"/>
              <w:right w:val="single" w:sz="12" w:space="0" w:color="000000"/>
            </w:tcBorders>
          </w:tcPr>
          <w:p w14:paraId="50169AB6" w14:textId="77777777" w:rsidR="00B94971" w:rsidRDefault="0047225A">
            <w:pPr>
              <w:spacing w:after="0" w:line="259" w:lineRule="auto"/>
              <w:ind w:left="8" w:firstLine="0"/>
              <w:jc w:val="center"/>
            </w:pPr>
            <w:r>
              <w:rPr>
                <w:sz w:val="20"/>
              </w:rPr>
              <w:t xml:space="preserve">14.5 </w:t>
            </w:r>
          </w:p>
        </w:tc>
      </w:tr>
      <w:tr w:rsidR="00B94971" w14:paraId="04537E1E" w14:textId="77777777">
        <w:trPr>
          <w:trHeight w:val="240"/>
        </w:trPr>
        <w:tc>
          <w:tcPr>
            <w:tcW w:w="1512" w:type="dxa"/>
            <w:tcBorders>
              <w:top w:val="single" w:sz="4" w:space="0" w:color="000000"/>
              <w:left w:val="single" w:sz="12" w:space="0" w:color="000000"/>
              <w:bottom w:val="single" w:sz="4" w:space="0" w:color="000000"/>
              <w:right w:val="single" w:sz="12" w:space="0" w:color="000000"/>
            </w:tcBorders>
          </w:tcPr>
          <w:p w14:paraId="62EFAB45" w14:textId="77777777" w:rsidR="00B94971" w:rsidRDefault="0047225A">
            <w:pPr>
              <w:spacing w:after="0" w:line="259" w:lineRule="auto"/>
              <w:ind w:left="0" w:firstLine="0"/>
              <w:jc w:val="left"/>
            </w:pPr>
            <w:r>
              <w:rPr>
                <w:b/>
                <w:sz w:val="20"/>
              </w:rPr>
              <w:t xml:space="preserve">Rent Total </w:t>
            </w:r>
          </w:p>
        </w:tc>
        <w:tc>
          <w:tcPr>
            <w:tcW w:w="1610" w:type="dxa"/>
            <w:tcBorders>
              <w:top w:val="single" w:sz="4" w:space="0" w:color="000000"/>
              <w:left w:val="single" w:sz="12" w:space="0" w:color="000000"/>
              <w:bottom w:val="single" w:sz="4" w:space="0" w:color="000000"/>
              <w:right w:val="single" w:sz="4" w:space="0" w:color="000000"/>
            </w:tcBorders>
          </w:tcPr>
          <w:p w14:paraId="1F8A7380" w14:textId="77777777" w:rsidR="00B94971" w:rsidRDefault="0047225A">
            <w:pPr>
              <w:spacing w:after="0" w:line="259" w:lineRule="auto"/>
              <w:ind w:left="8" w:firstLine="0"/>
              <w:jc w:val="center"/>
            </w:pPr>
            <w:r>
              <w:rPr>
                <w:b/>
                <w:sz w:val="20"/>
              </w:rPr>
              <w:t xml:space="preserve">1195 </w:t>
            </w:r>
          </w:p>
        </w:tc>
        <w:tc>
          <w:tcPr>
            <w:tcW w:w="1702" w:type="dxa"/>
            <w:tcBorders>
              <w:top w:val="single" w:sz="4" w:space="0" w:color="000000"/>
              <w:left w:val="single" w:sz="4" w:space="0" w:color="000000"/>
              <w:bottom w:val="single" w:sz="4" w:space="0" w:color="000000"/>
              <w:right w:val="single" w:sz="4" w:space="0" w:color="000000"/>
            </w:tcBorders>
          </w:tcPr>
          <w:p w14:paraId="1D7DAB87" w14:textId="77777777" w:rsidR="00B94971" w:rsidRDefault="0047225A">
            <w:pPr>
              <w:spacing w:after="0" w:line="259" w:lineRule="auto"/>
              <w:ind w:left="6" w:firstLine="0"/>
              <w:jc w:val="center"/>
            </w:pPr>
            <w:r>
              <w:rPr>
                <w:b/>
                <w:sz w:val="20"/>
              </w:rPr>
              <w:t xml:space="preserve">65.4 </w:t>
            </w:r>
          </w:p>
        </w:tc>
        <w:tc>
          <w:tcPr>
            <w:tcW w:w="1560" w:type="dxa"/>
            <w:tcBorders>
              <w:top w:val="single" w:sz="4" w:space="0" w:color="000000"/>
              <w:left w:val="single" w:sz="4" w:space="0" w:color="000000"/>
              <w:bottom w:val="single" w:sz="4" w:space="0" w:color="000000"/>
              <w:right w:val="single" w:sz="4" w:space="0" w:color="000000"/>
            </w:tcBorders>
          </w:tcPr>
          <w:p w14:paraId="792A0C18" w14:textId="77777777" w:rsidR="00B94971" w:rsidRDefault="0047225A">
            <w:pPr>
              <w:spacing w:after="0" w:line="259" w:lineRule="auto"/>
              <w:ind w:left="6" w:firstLine="0"/>
              <w:jc w:val="center"/>
            </w:pPr>
            <w:r>
              <w:rPr>
                <w:b/>
                <w:sz w:val="20"/>
              </w:rPr>
              <w:t xml:space="preserve">212 </w:t>
            </w:r>
          </w:p>
        </w:tc>
        <w:tc>
          <w:tcPr>
            <w:tcW w:w="1702" w:type="dxa"/>
            <w:tcBorders>
              <w:top w:val="single" w:sz="4" w:space="0" w:color="000000"/>
              <w:left w:val="single" w:sz="4" w:space="0" w:color="000000"/>
              <w:bottom w:val="single" w:sz="4" w:space="0" w:color="000000"/>
              <w:right w:val="single" w:sz="4" w:space="0" w:color="000000"/>
            </w:tcBorders>
          </w:tcPr>
          <w:p w14:paraId="5D1EDB72" w14:textId="77777777" w:rsidR="00B94971" w:rsidRDefault="0047225A">
            <w:pPr>
              <w:spacing w:after="0" w:line="259" w:lineRule="auto"/>
              <w:ind w:left="5" w:firstLine="0"/>
              <w:jc w:val="center"/>
            </w:pPr>
            <w:r>
              <w:rPr>
                <w:b/>
                <w:sz w:val="20"/>
              </w:rPr>
              <w:t xml:space="preserve">17.7 </w:t>
            </w:r>
          </w:p>
        </w:tc>
        <w:tc>
          <w:tcPr>
            <w:tcW w:w="829" w:type="dxa"/>
            <w:tcBorders>
              <w:top w:val="single" w:sz="4" w:space="0" w:color="000000"/>
              <w:left w:val="single" w:sz="4" w:space="0" w:color="000000"/>
              <w:bottom w:val="single" w:sz="4" w:space="0" w:color="000000"/>
              <w:right w:val="single" w:sz="4" w:space="0" w:color="000000"/>
            </w:tcBorders>
          </w:tcPr>
          <w:p w14:paraId="03D57F75" w14:textId="77777777" w:rsidR="00B94971" w:rsidRDefault="0047225A">
            <w:pPr>
              <w:spacing w:after="0" w:line="259" w:lineRule="auto"/>
              <w:ind w:left="0" w:firstLine="0"/>
              <w:jc w:val="center"/>
            </w:pPr>
            <w:r>
              <w:rPr>
                <w:b/>
                <w:sz w:val="20"/>
              </w:rPr>
              <w:t xml:space="preserve">69.5 </w:t>
            </w:r>
          </w:p>
        </w:tc>
        <w:tc>
          <w:tcPr>
            <w:tcW w:w="850" w:type="dxa"/>
            <w:tcBorders>
              <w:top w:val="single" w:sz="4" w:space="0" w:color="000000"/>
              <w:left w:val="single" w:sz="4" w:space="0" w:color="000000"/>
              <w:bottom w:val="single" w:sz="4" w:space="0" w:color="000000"/>
              <w:right w:val="single" w:sz="4" w:space="0" w:color="000000"/>
            </w:tcBorders>
          </w:tcPr>
          <w:p w14:paraId="30875338" w14:textId="77777777" w:rsidR="00B94971" w:rsidRDefault="0047225A">
            <w:pPr>
              <w:spacing w:after="0" w:line="259" w:lineRule="auto"/>
              <w:ind w:left="3" w:firstLine="0"/>
              <w:jc w:val="center"/>
            </w:pPr>
            <w:r>
              <w:rPr>
                <w:b/>
                <w:sz w:val="20"/>
              </w:rPr>
              <w:t xml:space="preserve">19.9 </w:t>
            </w:r>
          </w:p>
        </w:tc>
        <w:tc>
          <w:tcPr>
            <w:tcW w:w="850" w:type="dxa"/>
            <w:tcBorders>
              <w:top w:val="single" w:sz="4" w:space="0" w:color="000000"/>
              <w:left w:val="single" w:sz="4" w:space="0" w:color="000000"/>
              <w:bottom w:val="single" w:sz="4" w:space="0" w:color="000000"/>
              <w:right w:val="single" w:sz="12" w:space="0" w:color="000000"/>
            </w:tcBorders>
          </w:tcPr>
          <w:p w14:paraId="52904929" w14:textId="77777777" w:rsidR="00B94971" w:rsidRDefault="0047225A">
            <w:pPr>
              <w:spacing w:after="0" w:line="259" w:lineRule="auto"/>
              <w:ind w:left="8" w:firstLine="0"/>
              <w:jc w:val="center"/>
            </w:pPr>
            <w:r>
              <w:rPr>
                <w:b/>
                <w:sz w:val="20"/>
              </w:rPr>
              <w:t xml:space="preserve">10.6 </w:t>
            </w:r>
          </w:p>
        </w:tc>
      </w:tr>
      <w:tr w:rsidR="00B94971" w14:paraId="31CC5FD1" w14:textId="77777777">
        <w:trPr>
          <w:trHeight w:val="252"/>
        </w:trPr>
        <w:tc>
          <w:tcPr>
            <w:tcW w:w="1512" w:type="dxa"/>
            <w:tcBorders>
              <w:top w:val="single" w:sz="4" w:space="0" w:color="000000"/>
              <w:left w:val="single" w:sz="12" w:space="0" w:color="000000"/>
              <w:bottom w:val="single" w:sz="12" w:space="0" w:color="000000"/>
              <w:right w:val="single" w:sz="12" w:space="0" w:color="000000"/>
            </w:tcBorders>
          </w:tcPr>
          <w:p w14:paraId="1219FEAC" w14:textId="77777777" w:rsidR="00B94971" w:rsidRDefault="0047225A">
            <w:pPr>
              <w:spacing w:after="0" w:line="259" w:lineRule="auto"/>
              <w:ind w:left="0" w:firstLine="0"/>
              <w:jc w:val="left"/>
            </w:pPr>
            <w:r>
              <w:rPr>
                <w:sz w:val="20"/>
              </w:rPr>
              <w:t xml:space="preserve">Survey Total </w:t>
            </w:r>
          </w:p>
        </w:tc>
        <w:tc>
          <w:tcPr>
            <w:tcW w:w="1610" w:type="dxa"/>
            <w:tcBorders>
              <w:top w:val="single" w:sz="4" w:space="0" w:color="000000"/>
              <w:left w:val="single" w:sz="12" w:space="0" w:color="000000"/>
              <w:bottom w:val="single" w:sz="12" w:space="0" w:color="000000"/>
              <w:right w:val="single" w:sz="4" w:space="0" w:color="000000"/>
            </w:tcBorders>
          </w:tcPr>
          <w:p w14:paraId="0A4BC1B0" w14:textId="77777777" w:rsidR="00B94971" w:rsidRDefault="0047225A">
            <w:pPr>
              <w:spacing w:after="0" w:line="259" w:lineRule="auto"/>
              <w:ind w:left="8" w:firstLine="0"/>
              <w:jc w:val="center"/>
            </w:pPr>
            <w:r>
              <w:rPr>
                <w:sz w:val="20"/>
              </w:rPr>
              <w:t xml:space="preserve">1828 </w:t>
            </w:r>
          </w:p>
        </w:tc>
        <w:tc>
          <w:tcPr>
            <w:tcW w:w="1702" w:type="dxa"/>
            <w:tcBorders>
              <w:top w:val="single" w:sz="4" w:space="0" w:color="000000"/>
              <w:left w:val="single" w:sz="4" w:space="0" w:color="000000"/>
              <w:bottom w:val="single" w:sz="12" w:space="0" w:color="000000"/>
              <w:right w:val="single" w:sz="4" w:space="0" w:color="000000"/>
            </w:tcBorders>
          </w:tcPr>
          <w:p w14:paraId="17522F11" w14:textId="77777777" w:rsidR="00B94971" w:rsidRDefault="0047225A">
            <w:pPr>
              <w:spacing w:after="0" w:line="259" w:lineRule="auto"/>
              <w:ind w:left="6" w:firstLine="0"/>
              <w:jc w:val="center"/>
            </w:pPr>
            <w:r>
              <w:rPr>
                <w:sz w:val="20"/>
              </w:rPr>
              <w:t xml:space="preserve">100.0 </w:t>
            </w:r>
          </w:p>
        </w:tc>
        <w:tc>
          <w:tcPr>
            <w:tcW w:w="1560" w:type="dxa"/>
            <w:tcBorders>
              <w:top w:val="single" w:sz="4" w:space="0" w:color="000000"/>
              <w:left w:val="single" w:sz="4" w:space="0" w:color="000000"/>
              <w:bottom w:val="single" w:sz="12" w:space="0" w:color="000000"/>
              <w:right w:val="single" w:sz="4" w:space="0" w:color="000000"/>
            </w:tcBorders>
          </w:tcPr>
          <w:p w14:paraId="46E46682" w14:textId="77777777" w:rsidR="00B94971" w:rsidRDefault="0047225A">
            <w:pPr>
              <w:spacing w:after="0" w:line="259" w:lineRule="auto"/>
              <w:ind w:left="6" w:firstLine="0"/>
              <w:jc w:val="center"/>
            </w:pPr>
            <w:r>
              <w:rPr>
                <w:sz w:val="20"/>
              </w:rPr>
              <w:t xml:space="preserve">311 </w:t>
            </w:r>
          </w:p>
        </w:tc>
        <w:tc>
          <w:tcPr>
            <w:tcW w:w="1702" w:type="dxa"/>
            <w:tcBorders>
              <w:top w:val="single" w:sz="4" w:space="0" w:color="000000"/>
              <w:left w:val="single" w:sz="4" w:space="0" w:color="000000"/>
              <w:bottom w:val="single" w:sz="12" w:space="0" w:color="000000"/>
              <w:right w:val="single" w:sz="4" w:space="0" w:color="000000"/>
            </w:tcBorders>
          </w:tcPr>
          <w:p w14:paraId="433D6012" w14:textId="77777777" w:rsidR="00B94971" w:rsidRDefault="0047225A">
            <w:pPr>
              <w:spacing w:after="0" w:line="259" w:lineRule="auto"/>
              <w:ind w:left="5" w:firstLine="0"/>
              <w:jc w:val="center"/>
            </w:pPr>
            <w:r>
              <w:rPr>
                <w:sz w:val="20"/>
              </w:rPr>
              <w:t xml:space="preserve">17.0 </w:t>
            </w:r>
          </w:p>
        </w:tc>
        <w:tc>
          <w:tcPr>
            <w:tcW w:w="829" w:type="dxa"/>
            <w:tcBorders>
              <w:top w:val="single" w:sz="4" w:space="0" w:color="000000"/>
              <w:left w:val="single" w:sz="4" w:space="0" w:color="000000"/>
              <w:bottom w:val="single" w:sz="12" w:space="0" w:color="000000"/>
              <w:right w:val="single" w:sz="4" w:space="0" w:color="000000"/>
            </w:tcBorders>
          </w:tcPr>
          <w:p w14:paraId="249B5A06" w14:textId="77777777" w:rsidR="00B94971" w:rsidRDefault="0047225A">
            <w:pPr>
              <w:spacing w:after="0" w:line="259" w:lineRule="auto"/>
              <w:ind w:left="0" w:firstLine="0"/>
              <w:jc w:val="center"/>
            </w:pPr>
            <w:r>
              <w:rPr>
                <w:sz w:val="20"/>
              </w:rPr>
              <w:t xml:space="preserve">71.3 </w:t>
            </w:r>
          </w:p>
        </w:tc>
        <w:tc>
          <w:tcPr>
            <w:tcW w:w="850" w:type="dxa"/>
            <w:tcBorders>
              <w:top w:val="single" w:sz="4" w:space="0" w:color="000000"/>
              <w:left w:val="single" w:sz="4" w:space="0" w:color="000000"/>
              <w:bottom w:val="single" w:sz="12" w:space="0" w:color="000000"/>
              <w:right w:val="single" w:sz="4" w:space="0" w:color="000000"/>
            </w:tcBorders>
          </w:tcPr>
          <w:p w14:paraId="76D95698" w14:textId="77777777" w:rsidR="00B94971" w:rsidRDefault="0047225A">
            <w:pPr>
              <w:spacing w:after="0" w:line="259" w:lineRule="auto"/>
              <w:ind w:left="3" w:firstLine="0"/>
              <w:jc w:val="center"/>
            </w:pPr>
            <w:r>
              <w:rPr>
                <w:sz w:val="20"/>
              </w:rPr>
              <w:t xml:space="preserve">18.5 </w:t>
            </w:r>
          </w:p>
        </w:tc>
        <w:tc>
          <w:tcPr>
            <w:tcW w:w="850" w:type="dxa"/>
            <w:tcBorders>
              <w:top w:val="single" w:sz="4" w:space="0" w:color="000000"/>
              <w:left w:val="single" w:sz="4" w:space="0" w:color="000000"/>
              <w:bottom w:val="single" w:sz="12" w:space="0" w:color="000000"/>
              <w:right w:val="single" w:sz="12" w:space="0" w:color="000000"/>
            </w:tcBorders>
          </w:tcPr>
          <w:p w14:paraId="0ADBEAD3" w14:textId="77777777" w:rsidR="00B94971" w:rsidRDefault="0047225A">
            <w:pPr>
              <w:spacing w:after="0" w:line="259" w:lineRule="auto"/>
              <w:ind w:left="8" w:firstLine="0"/>
              <w:jc w:val="center"/>
            </w:pPr>
            <w:r>
              <w:rPr>
                <w:sz w:val="20"/>
              </w:rPr>
              <w:t xml:space="preserve">10.1 </w:t>
            </w:r>
          </w:p>
        </w:tc>
      </w:tr>
    </w:tbl>
    <w:p w14:paraId="0884B37D" w14:textId="77777777" w:rsidR="00B94971" w:rsidRDefault="0047225A">
      <w:pPr>
        <w:spacing w:after="0" w:line="259" w:lineRule="auto"/>
        <w:ind w:left="0" w:firstLine="0"/>
        <w:jc w:val="left"/>
      </w:pPr>
      <w:r>
        <w:rPr>
          <w:color w:val="2E2E2E"/>
        </w:rPr>
        <w:t xml:space="preserve"> </w:t>
      </w:r>
    </w:p>
    <w:p w14:paraId="65E67EBA" w14:textId="77777777" w:rsidR="00B94971" w:rsidRDefault="0047225A">
      <w:pPr>
        <w:pStyle w:val="Heading3"/>
        <w:ind w:left="-5"/>
      </w:pPr>
      <w:r>
        <w:t xml:space="preserve">Ethnic Group </w:t>
      </w:r>
    </w:p>
    <w:p w14:paraId="569887E0" w14:textId="77777777" w:rsidR="00B94971" w:rsidRDefault="0047225A">
      <w:pPr>
        <w:ind w:left="-5"/>
      </w:pPr>
      <w:r>
        <w:t xml:space="preserve">Relating provision to ethnic groups provided one of the most noticeable differences in the EHCS2003 survey. On </w:t>
      </w:r>
      <w:proofErr w:type="gramStart"/>
      <w:r>
        <w:t>a number of</w:t>
      </w:r>
      <w:proofErr w:type="gramEnd"/>
      <w:r>
        <w:t xml:space="preserve"> measures, the data suggest that non-white households are more in need of disability adaptations than white households. These results </w:t>
      </w:r>
      <w:r>
        <w:t>need to be tempered by the observation that the numbers of non-white households who report needing adaptations are relatively small. Table 5 gives results as four separate categories, but these are also summed into two coarse categories (white and non-whit</w:t>
      </w:r>
      <w:r>
        <w:t>e) to increase numbers and hence reliability at the expense of detail. This shows that non-white households are twice as likely to have no adaptations at all (15.6% vs 37.6%),</w:t>
      </w:r>
      <w:r>
        <w:rPr>
          <w:vertAlign w:val="superscript"/>
        </w:rPr>
        <w:footnoteReference w:id="8"/>
      </w:r>
      <w:r>
        <w:t xml:space="preserve"> while the average number of adaptations per household </w:t>
      </w:r>
      <w:r>
        <w:lastRenderedPageBreak/>
        <w:t>drops from 2.20 for whit</w:t>
      </w:r>
      <w:r>
        <w:t>es to 1.52 for non-whites. This is reinforced by the Differential Provision indicator, which measures the scale of need for adaptations when compared to that already provided. Fewer non-white households had what they needed (56.4% vs 72.4%), and more non-w</w:t>
      </w:r>
      <w:r>
        <w:t xml:space="preserve">hite households reported needing </w:t>
      </w:r>
      <w:r>
        <w:rPr>
          <w:i/>
        </w:rPr>
        <w:t>many more</w:t>
      </w:r>
      <w:r>
        <w:t xml:space="preserve"> adaptations (21.4% vs 9.4%). While the numbers available in the survey limit the extent to which these results can be extrapolated to the wider population, </w:t>
      </w:r>
      <w:proofErr w:type="gramStart"/>
      <w:r>
        <w:t>overall</w:t>
      </w:r>
      <w:proofErr w:type="gramEnd"/>
      <w:r>
        <w:t xml:space="preserve"> this provides strong evidence for reduced accessi</w:t>
      </w:r>
      <w:r>
        <w:t xml:space="preserve">bility to adaptations for non-white households. </w:t>
      </w:r>
    </w:p>
    <w:p w14:paraId="34A18234" w14:textId="77777777" w:rsidR="00B94971" w:rsidRDefault="0047225A">
      <w:pPr>
        <w:spacing w:after="0" w:line="259" w:lineRule="auto"/>
        <w:ind w:left="0" w:firstLine="0"/>
        <w:jc w:val="left"/>
      </w:pPr>
      <w:r>
        <w:t xml:space="preserve"> </w:t>
      </w:r>
    </w:p>
    <w:p w14:paraId="330CD8F6" w14:textId="77777777" w:rsidR="00B94971" w:rsidRDefault="0047225A">
      <w:pPr>
        <w:pStyle w:val="Heading2"/>
        <w:spacing w:after="0" w:line="259" w:lineRule="auto"/>
        <w:ind w:right="6"/>
        <w:jc w:val="center"/>
      </w:pPr>
      <w:r>
        <w:rPr>
          <w:b/>
          <w:i w:val="0"/>
        </w:rPr>
        <w:t>Table 5</w:t>
      </w:r>
      <w:r>
        <w:rPr>
          <w:i w:val="0"/>
        </w:rPr>
        <w:t xml:space="preserve">: Variations in number of adaptations according to Ethnic Group (EHCS2003) </w:t>
      </w:r>
    </w:p>
    <w:p w14:paraId="0EEC2791" w14:textId="77777777" w:rsidR="00B94971" w:rsidRDefault="0047225A">
      <w:pPr>
        <w:spacing w:after="0" w:line="259" w:lineRule="auto"/>
        <w:ind w:left="0" w:firstLine="0"/>
        <w:jc w:val="left"/>
      </w:pPr>
      <w:r>
        <w:t xml:space="preserve"> </w:t>
      </w:r>
    </w:p>
    <w:tbl>
      <w:tblPr>
        <w:tblStyle w:val="TableGrid"/>
        <w:tblW w:w="9040" w:type="dxa"/>
        <w:tblInd w:w="-7" w:type="dxa"/>
        <w:tblCellMar>
          <w:top w:w="7" w:type="dxa"/>
          <w:left w:w="108" w:type="dxa"/>
          <w:bottom w:w="0" w:type="dxa"/>
          <w:right w:w="61" w:type="dxa"/>
        </w:tblCellMar>
        <w:tblLook w:val="04A0" w:firstRow="1" w:lastRow="0" w:firstColumn="1" w:lastColumn="0" w:noHBand="0" w:noVBand="1"/>
      </w:tblPr>
      <w:tblGrid>
        <w:gridCol w:w="1284"/>
        <w:gridCol w:w="991"/>
        <w:gridCol w:w="1277"/>
        <w:gridCol w:w="1133"/>
        <w:gridCol w:w="953"/>
        <w:gridCol w:w="1133"/>
        <w:gridCol w:w="749"/>
        <w:gridCol w:w="711"/>
        <w:gridCol w:w="809"/>
      </w:tblGrid>
      <w:tr w:rsidR="00B94971" w14:paraId="52F5EC9D" w14:textId="77777777">
        <w:trPr>
          <w:trHeight w:val="480"/>
        </w:trPr>
        <w:tc>
          <w:tcPr>
            <w:tcW w:w="1284" w:type="dxa"/>
            <w:tcBorders>
              <w:top w:val="single" w:sz="12" w:space="0" w:color="000000"/>
              <w:left w:val="single" w:sz="12" w:space="0" w:color="000000"/>
              <w:bottom w:val="single" w:sz="4" w:space="0" w:color="000000"/>
              <w:right w:val="single" w:sz="12" w:space="0" w:color="000000"/>
            </w:tcBorders>
          </w:tcPr>
          <w:p w14:paraId="14B6A31F" w14:textId="77777777" w:rsidR="00B94971" w:rsidRDefault="0047225A">
            <w:pPr>
              <w:spacing w:after="0" w:line="259" w:lineRule="auto"/>
              <w:ind w:left="0" w:firstLine="0"/>
              <w:jc w:val="left"/>
            </w:pPr>
            <w:r>
              <w:rPr>
                <w:sz w:val="20"/>
              </w:rPr>
              <w:t xml:space="preserve"> </w:t>
            </w:r>
          </w:p>
        </w:tc>
        <w:tc>
          <w:tcPr>
            <w:tcW w:w="3401" w:type="dxa"/>
            <w:gridSpan w:val="3"/>
            <w:tcBorders>
              <w:top w:val="single" w:sz="12" w:space="0" w:color="000000"/>
              <w:left w:val="single" w:sz="12" w:space="0" w:color="000000"/>
              <w:bottom w:val="single" w:sz="4" w:space="0" w:color="000000"/>
              <w:right w:val="single" w:sz="4" w:space="0" w:color="000000"/>
            </w:tcBorders>
          </w:tcPr>
          <w:p w14:paraId="3D9C8DA4" w14:textId="77777777" w:rsidR="00B94971" w:rsidRDefault="0047225A">
            <w:pPr>
              <w:spacing w:after="0" w:line="259" w:lineRule="auto"/>
              <w:ind w:left="0" w:right="49" w:firstLine="0"/>
              <w:jc w:val="center"/>
            </w:pPr>
            <w:r>
              <w:rPr>
                <w:b/>
                <w:sz w:val="20"/>
              </w:rPr>
              <w:t xml:space="preserve">Adaptations provided </w:t>
            </w:r>
          </w:p>
        </w:tc>
        <w:tc>
          <w:tcPr>
            <w:tcW w:w="2086" w:type="dxa"/>
            <w:gridSpan w:val="2"/>
            <w:tcBorders>
              <w:top w:val="single" w:sz="12" w:space="0" w:color="000000"/>
              <w:left w:val="single" w:sz="4" w:space="0" w:color="000000"/>
              <w:bottom w:val="single" w:sz="4" w:space="0" w:color="000000"/>
              <w:right w:val="single" w:sz="4" w:space="0" w:color="000000"/>
            </w:tcBorders>
          </w:tcPr>
          <w:p w14:paraId="39F29AF4" w14:textId="77777777" w:rsidR="00B94971" w:rsidRDefault="0047225A">
            <w:pPr>
              <w:spacing w:after="0" w:line="259" w:lineRule="auto"/>
              <w:ind w:left="0" w:firstLine="0"/>
              <w:jc w:val="center"/>
            </w:pPr>
            <w:r>
              <w:rPr>
                <w:b/>
                <w:sz w:val="20"/>
              </w:rPr>
              <w:t>Households with zero adaptations</w:t>
            </w:r>
            <w:r>
              <w:rPr>
                <w:sz w:val="20"/>
              </w:rPr>
              <w:t xml:space="preserve"> </w:t>
            </w:r>
          </w:p>
        </w:tc>
        <w:tc>
          <w:tcPr>
            <w:tcW w:w="2269" w:type="dxa"/>
            <w:gridSpan w:val="3"/>
            <w:tcBorders>
              <w:top w:val="single" w:sz="12" w:space="0" w:color="000000"/>
              <w:left w:val="single" w:sz="4" w:space="0" w:color="000000"/>
              <w:bottom w:val="single" w:sz="4" w:space="0" w:color="000000"/>
              <w:right w:val="single" w:sz="12" w:space="0" w:color="000000"/>
            </w:tcBorders>
          </w:tcPr>
          <w:p w14:paraId="2B2F5C55" w14:textId="77777777" w:rsidR="00B94971" w:rsidRDefault="0047225A">
            <w:pPr>
              <w:spacing w:after="0" w:line="259" w:lineRule="auto"/>
              <w:ind w:left="0" w:firstLine="0"/>
              <w:jc w:val="center"/>
            </w:pPr>
            <w:r>
              <w:rPr>
                <w:b/>
                <w:sz w:val="20"/>
              </w:rPr>
              <w:t xml:space="preserve">Differential Provision (%) </w:t>
            </w:r>
          </w:p>
        </w:tc>
      </w:tr>
      <w:tr w:rsidR="00B94971" w14:paraId="67CC1FE6" w14:textId="77777777">
        <w:trPr>
          <w:trHeight w:val="480"/>
        </w:trPr>
        <w:tc>
          <w:tcPr>
            <w:tcW w:w="1284" w:type="dxa"/>
            <w:tcBorders>
              <w:top w:val="single" w:sz="4" w:space="0" w:color="000000"/>
              <w:left w:val="single" w:sz="12" w:space="0" w:color="000000"/>
              <w:bottom w:val="single" w:sz="12" w:space="0" w:color="000000"/>
              <w:right w:val="single" w:sz="12" w:space="0" w:color="000000"/>
            </w:tcBorders>
          </w:tcPr>
          <w:p w14:paraId="3F8324AB" w14:textId="77777777" w:rsidR="00B94971" w:rsidRDefault="0047225A">
            <w:pPr>
              <w:spacing w:after="0" w:line="259" w:lineRule="auto"/>
              <w:ind w:left="0" w:firstLine="0"/>
              <w:jc w:val="left"/>
            </w:pPr>
            <w:r>
              <w:rPr>
                <w:b/>
                <w:sz w:val="20"/>
              </w:rPr>
              <w:t xml:space="preserve">Ethnic Group  </w:t>
            </w:r>
          </w:p>
        </w:tc>
        <w:tc>
          <w:tcPr>
            <w:tcW w:w="991" w:type="dxa"/>
            <w:tcBorders>
              <w:top w:val="single" w:sz="4" w:space="0" w:color="000000"/>
              <w:left w:val="single" w:sz="12" w:space="0" w:color="000000"/>
              <w:bottom w:val="single" w:sz="12" w:space="0" w:color="000000"/>
              <w:right w:val="single" w:sz="4" w:space="0" w:color="000000"/>
            </w:tcBorders>
          </w:tcPr>
          <w:p w14:paraId="25228199" w14:textId="77777777" w:rsidR="00B94971" w:rsidRDefault="0047225A">
            <w:pPr>
              <w:spacing w:after="0" w:line="259" w:lineRule="auto"/>
              <w:ind w:left="31" w:firstLine="0"/>
              <w:jc w:val="left"/>
            </w:pPr>
            <w:r>
              <w:rPr>
                <w:b/>
                <w:sz w:val="20"/>
              </w:rPr>
              <w:t xml:space="preserve">Number </w:t>
            </w:r>
          </w:p>
        </w:tc>
        <w:tc>
          <w:tcPr>
            <w:tcW w:w="1277" w:type="dxa"/>
            <w:tcBorders>
              <w:top w:val="single" w:sz="4" w:space="0" w:color="000000"/>
              <w:left w:val="single" w:sz="4" w:space="0" w:color="000000"/>
              <w:bottom w:val="single" w:sz="12" w:space="0" w:color="000000"/>
              <w:right w:val="single" w:sz="4" w:space="0" w:color="000000"/>
            </w:tcBorders>
          </w:tcPr>
          <w:p w14:paraId="37D29D61" w14:textId="77777777" w:rsidR="00B94971" w:rsidRDefault="0047225A">
            <w:pPr>
              <w:spacing w:after="0" w:line="259" w:lineRule="auto"/>
              <w:ind w:left="0" w:firstLine="0"/>
              <w:jc w:val="center"/>
            </w:pPr>
            <w:r>
              <w:rPr>
                <w:b/>
                <w:sz w:val="20"/>
              </w:rPr>
              <w:t xml:space="preserve">Number of Households </w:t>
            </w:r>
          </w:p>
        </w:tc>
        <w:tc>
          <w:tcPr>
            <w:tcW w:w="1133" w:type="dxa"/>
            <w:tcBorders>
              <w:top w:val="single" w:sz="4" w:space="0" w:color="000000"/>
              <w:left w:val="single" w:sz="4" w:space="0" w:color="000000"/>
              <w:bottom w:val="single" w:sz="12" w:space="0" w:color="000000"/>
              <w:right w:val="single" w:sz="4" w:space="0" w:color="000000"/>
            </w:tcBorders>
          </w:tcPr>
          <w:p w14:paraId="25EC6111" w14:textId="77777777" w:rsidR="00B94971" w:rsidRDefault="0047225A">
            <w:pPr>
              <w:spacing w:after="0" w:line="259" w:lineRule="auto"/>
              <w:ind w:left="0" w:firstLine="0"/>
              <w:jc w:val="center"/>
            </w:pPr>
            <w:r>
              <w:rPr>
                <w:b/>
                <w:sz w:val="20"/>
              </w:rPr>
              <w:t xml:space="preserve">Per Household </w:t>
            </w:r>
          </w:p>
        </w:tc>
        <w:tc>
          <w:tcPr>
            <w:tcW w:w="953" w:type="dxa"/>
            <w:tcBorders>
              <w:top w:val="single" w:sz="4" w:space="0" w:color="000000"/>
              <w:left w:val="single" w:sz="4" w:space="0" w:color="000000"/>
              <w:bottom w:val="single" w:sz="12" w:space="0" w:color="000000"/>
              <w:right w:val="single" w:sz="4" w:space="0" w:color="000000"/>
            </w:tcBorders>
          </w:tcPr>
          <w:p w14:paraId="78547FF2" w14:textId="77777777" w:rsidR="00B94971" w:rsidRDefault="0047225A">
            <w:pPr>
              <w:spacing w:after="0" w:line="259" w:lineRule="auto"/>
              <w:ind w:left="12" w:firstLine="0"/>
              <w:jc w:val="left"/>
            </w:pPr>
            <w:r>
              <w:rPr>
                <w:b/>
                <w:sz w:val="20"/>
              </w:rPr>
              <w:t xml:space="preserve">Number </w:t>
            </w:r>
          </w:p>
        </w:tc>
        <w:tc>
          <w:tcPr>
            <w:tcW w:w="1133" w:type="dxa"/>
            <w:tcBorders>
              <w:top w:val="single" w:sz="4" w:space="0" w:color="000000"/>
              <w:left w:val="single" w:sz="4" w:space="0" w:color="000000"/>
              <w:bottom w:val="single" w:sz="12" w:space="0" w:color="000000"/>
              <w:right w:val="single" w:sz="4" w:space="0" w:color="000000"/>
            </w:tcBorders>
          </w:tcPr>
          <w:p w14:paraId="5CBD5EA6" w14:textId="77777777" w:rsidR="00B94971" w:rsidRDefault="0047225A">
            <w:pPr>
              <w:spacing w:after="0" w:line="259" w:lineRule="auto"/>
              <w:ind w:left="0" w:firstLine="0"/>
              <w:jc w:val="center"/>
            </w:pPr>
            <w:r>
              <w:rPr>
                <w:b/>
                <w:sz w:val="20"/>
              </w:rPr>
              <w:t xml:space="preserve">% </w:t>
            </w:r>
            <w:proofErr w:type="gramStart"/>
            <w:r>
              <w:rPr>
                <w:b/>
                <w:sz w:val="20"/>
              </w:rPr>
              <w:t>of</w:t>
            </w:r>
            <w:proofErr w:type="gramEnd"/>
            <w:r>
              <w:rPr>
                <w:b/>
                <w:sz w:val="20"/>
              </w:rPr>
              <w:t xml:space="preserve"> category </w:t>
            </w:r>
          </w:p>
        </w:tc>
        <w:tc>
          <w:tcPr>
            <w:tcW w:w="749" w:type="dxa"/>
            <w:tcBorders>
              <w:top w:val="single" w:sz="4" w:space="0" w:color="000000"/>
              <w:left w:val="single" w:sz="4" w:space="0" w:color="000000"/>
              <w:bottom w:val="single" w:sz="12" w:space="0" w:color="000000"/>
              <w:right w:val="single" w:sz="4" w:space="0" w:color="000000"/>
            </w:tcBorders>
          </w:tcPr>
          <w:p w14:paraId="67E4EA55" w14:textId="77777777" w:rsidR="00B94971" w:rsidRDefault="0047225A">
            <w:pPr>
              <w:spacing w:after="0" w:line="259" w:lineRule="auto"/>
              <w:ind w:left="0" w:firstLine="0"/>
              <w:jc w:val="center"/>
            </w:pPr>
            <w:r>
              <w:rPr>
                <w:b/>
                <w:sz w:val="20"/>
              </w:rPr>
              <w:t xml:space="preserve">Have Most </w:t>
            </w:r>
          </w:p>
        </w:tc>
        <w:tc>
          <w:tcPr>
            <w:tcW w:w="711" w:type="dxa"/>
            <w:tcBorders>
              <w:top w:val="single" w:sz="4" w:space="0" w:color="000000"/>
              <w:left w:val="single" w:sz="4" w:space="0" w:color="000000"/>
              <w:bottom w:val="single" w:sz="12" w:space="0" w:color="000000"/>
              <w:right w:val="single" w:sz="4" w:space="0" w:color="000000"/>
            </w:tcBorders>
          </w:tcPr>
          <w:p w14:paraId="53FEAB86" w14:textId="77777777" w:rsidR="00B94971" w:rsidRDefault="0047225A">
            <w:pPr>
              <w:spacing w:after="0" w:line="259" w:lineRule="auto"/>
              <w:ind w:left="12" w:firstLine="17"/>
              <w:jc w:val="left"/>
            </w:pPr>
            <w:r>
              <w:rPr>
                <w:b/>
                <w:sz w:val="20"/>
              </w:rPr>
              <w:t xml:space="preserve">Need Some </w:t>
            </w:r>
          </w:p>
        </w:tc>
        <w:tc>
          <w:tcPr>
            <w:tcW w:w="809" w:type="dxa"/>
            <w:tcBorders>
              <w:top w:val="single" w:sz="4" w:space="0" w:color="000000"/>
              <w:left w:val="single" w:sz="4" w:space="0" w:color="000000"/>
              <w:bottom w:val="single" w:sz="12" w:space="0" w:color="000000"/>
              <w:right w:val="single" w:sz="12" w:space="0" w:color="000000"/>
            </w:tcBorders>
          </w:tcPr>
          <w:p w14:paraId="6C071C0D" w14:textId="77777777" w:rsidR="00B94971" w:rsidRDefault="0047225A">
            <w:pPr>
              <w:spacing w:after="0" w:line="259" w:lineRule="auto"/>
              <w:ind w:left="0" w:firstLine="0"/>
              <w:jc w:val="center"/>
            </w:pPr>
            <w:r>
              <w:rPr>
                <w:b/>
                <w:sz w:val="20"/>
              </w:rPr>
              <w:t xml:space="preserve">Need Many </w:t>
            </w:r>
          </w:p>
        </w:tc>
      </w:tr>
      <w:tr w:rsidR="00B94971" w14:paraId="760A761F" w14:textId="77777777">
        <w:trPr>
          <w:trHeight w:val="250"/>
        </w:trPr>
        <w:tc>
          <w:tcPr>
            <w:tcW w:w="1284" w:type="dxa"/>
            <w:tcBorders>
              <w:top w:val="single" w:sz="12" w:space="0" w:color="000000"/>
              <w:left w:val="single" w:sz="12" w:space="0" w:color="000000"/>
              <w:bottom w:val="single" w:sz="4" w:space="0" w:color="000000"/>
              <w:right w:val="single" w:sz="12" w:space="0" w:color="000000"/>
            </w:tcBorders>
          </w:tcPr>
          <w:p w14:paraId="1CF09A17" w14:textId="77777777" w:rsidR="00B94971" w:rsidRDefault="0047225A">
            <w:pPr>
              <w:spacing w:after="0" w:line="259" w:lineRule="auto"/>
              <w:ind w:left="0" w:firstLine="0"/>
              <w:jc w:val="left"/>
            </w:pPr>
            <w:r>
              <w:rPr>
                <w:b/>
                <w:sz w:val="20"/>
              </w:rPr>
              <w:t xml:space="preserve">White </w:t>
            </w:r>
          </w:p>
        </w:tc>
        <w:tc>
          <w:tcPr>
            <w:tcW w:w="991" w:type="dxa"/>
            <w:tcBorders>
              <w:top w:val="single" w:sz="12" w:space="0" w:color="000000"/>
              <w:left w:val="single" w:sz="12" w:space="0" w:color="000000"/>
              <w:bottom w:val="single" w:sz="4" w:space="0" w:color="000000"/>
              <w:right w:val="single" w:sz="4" w:space="0" w:color="000000"/>
            </w:tcBorders>
          </w:tcPr>
          <w:p w14:paraId="55542E89" w14:textId="77777777" w:rsidR="00B94971" w:rsidRDefault="0047225A">
            <w:pPr>
              <w:spacing w:after="0" w:line="259" w:lineRule="auto"/>
              <w:ind w:left="0" w:right="46" w:firstLine="0"/>
              <w:jc w:val="center"/>
            </w:pPr>
            <w:r>
              <w:rPr>
                <w:b/>
                <w:sz w:val="20"/>
              </w:rPr>
              <w:t xml:space="preserve">3762 </w:t>
            </w:r>
          </w:p>
        </w:tc>
        <w:tc>
          <w:tcPr>
            <w:tcW w:w="1277" w:type="dxa"/>
            <w:tcBorders>
              <w:top w:val="single" w:sz="12" w:space="0" w:color="000000"/>
              <w:left w:val="single" w:sz="4" w:space="0" w:color="000000"/>
              <w:bottom w:val="single" w:sz="4" w:space="0" w:color="000000"/>
              <w:right w:val="single" w:sz="4" w:space="0" w:color="000000"/>
            </w:tcBorders>
          </w:tcPr>
          <w:p w14:paraId="198A10DE" w14:textId="77777777" w:rsidR="00B94971" w:rsidRDefault="0047225A">
            <w:pPr>
              <w:spacing w:after="0" w:line="259" w:lineRule="auto"/>
              <w:ind w:left="0" w:right="48" w:firstLine="0"/>
              <w:jc w:val="center"/>
            </w:pPr>
            <w:r>
              <w:rPr>
                <w:b/>
                <w:sz w:val="20"/>
              </w:rPr>
              <w:t xml:space="preserve">1711 </w:t>
            </w:r>
          </w:p>
        </w:tc>
        <w:tc>
          <w:tcPr>
            <w:tcW w:w="1133" w:type="dxa"/>
            <w:tcBorders>
              <w:top w:val="single" w:sz="12" w:space="0" w:color="000000"/>
              <w:left w:val="single" w:sz="4" w:space="0" w:color="000000"/>
              <w:bottom w:val="single" w:sz="4" w:space="0" w:color="000000"/>
              <w:right w:val="single" w:sz="4" w:space="0" w:color="000000"/>
            </w:tcBorders>
          </w:tcPr>
          <w:p w14:paraId="60B5D8FB" w14:textId="77777777" w:rsidR="00B94971" w:rsidRDefault="0047225A">
            <w:pPr>
              <w:spacing w:after="0" w:line="259" w:lineRule="auto"/>
              <w:ind w:left="0" w:right="47" w:firstLine="0"/>
              <w:jc w:val="center"/>
            </w:pPr>
            <w:r>
              <w:rPr>
                <w:b/>
                <w:sz w:val="20"/>
              </w:rPr>
              <w:t xml:space="preserve">2.20 </w:t>
            </w:r>
          </w:p>
        </w:tc>
        <w:tc>
          <w:tcPr>
            <w:tcW w:w="953" w:type="dxa"/>
            <w:tcBorders>
              <w:top w:val="single" w:sz="12" w:space="0" w:color="000000"/>
              <w:left w:val="single" w:sz="4" w:space="0" w:color="000000"/>
              <w:bottom w:val="single" w:sz="4" w:space="0" w:color="000000"/>
              <w:right w:val="single" w:sz="4" w:space="0" w:color="000000"/>
            </w:tcBorders>
          </w:tcPr>
          <w:p w14:paraId="3B520833" w14:textId="77777777" w:rsidR="00B94971" w:rsidRDefault="0047225A">
            <w:pPr>
              <w:spacing w:after="0" w:line="259" w:lineRule="auto"/>
              <w:ind w:left="0" w:right="47" w:firstLine="0"/>
              <w:jc w:val="center"/>
            </w:pPr>
            <w:r>
              <w:rPr>
                <w:b/>
                <w:sz w:val="20"/>
              </w:rPr>
              <w:t xml:space="preserve">267 </w:t>
            </w:r>
          </w:p>
        </w:tc>
        <w:tc>
          <w:tcPr>
            <w:tcW w:w="1133" w:type="dxa"/>
            <w:tcBorders>
              <w:top w:val="single" w:sz="12" w:space="0" w:color="000000"/>
              <w:left w:val="single" w:sz="4" w:space="0" w:color="000000"/>
              <w:bottom w:val="single" w:sz="4" w:space="0" w:color="000000"/>
              <w:right w:val="single" w:sz="4" w:space="0" w:color="000000"/>
            </w:tcBorders>
          </w:tcPr>
          <w:p w14:paraId="55115F66" w14:textId="77777777" w:rsidR="00B94971" w:rsidRDefault="0047225A">
            <w:pPr>
              <w:spacing w:after="0" w:line="259" w:lineRule="auto"/>
              <w:ind w:left="0" w:right="47" w:firstLine="0"/>
              <w:jc w:val="center"/>
            </w:pPr>
            <w:r>
              <w:rPr>
                <w:b/>
                <w:sz w:val="20"/>
              </w:rPr>
              <w:t xml:space="preserve">15.6 </w:t>
            </w:r>
          </w:p>
        </w:tc>
        <w:tc>
          <w:tcPr>
            <w:tcW w:w="749" w:type="dxa"/>
            <w:tcBorders>
              <w:top w:val="single" w:sz="12" w:space="0" w:color="000000"/>
              <w:left w:val="single" w:sz="4" w:space="0" w:color="000000"/>
              <w:bottom w:val="single" w:sz="4" w:space="0" w:color="000000"/>
              <w:right w:val="single" w:sz="4" w:space="0" w:color="000000"/>
            </w:tcBorders>
          </w:tcPr>
          <w:p w14:paraId="1685A1DA" w14:textId="77777777" w:rsidR="00B94971" w:rsidRDefault="0047225A">
            <w:pPr>
              <w:spacing w:after="0" w:line="259" w:lineRule="auto"/>
              <w:ind w:left="0" w:right="47" w:firstLine="0"/>
              <w:jc w:val="center"/>
            </w:pPr>
            <w:r>
              <w:rPr>
                <w:b/>
                <w:sz w:val="20"/>
              </w:rPr>
              <w:t xml:space="preserve">72.4 </w:t>
            </w:r>
          </w:p>
        </w:tc>
        <w:tc>
          <w:tcPr>
            <w:tcW w:w="711" w:type="dxa"/>
            <w:tcBorders>
              <w:top w:val="single" w:sz="12" w:space="0" w:color="000000"/>
              <w:left w:val="single" w:sz="4" w:space="0" w:color="000000"/>
              <w:bottom w:val="single" w:sz="4" w:space="0" w:color="000000"/>
              <w:right w:val="single" w:sz="4" w:space="0" w:color="000000"/>
            </w:tcBorders>
          </w:tcPr>
          <w:p w14:paraId="1F9EDAD9" w14:textId="77777777" w:rsidR="00B94971" w:rsidRDefault="0047225A">
            <w:pPr>
              <w:spacing w:after="0" w:line="259" w:lineRule="auto"/>
              <w:ind w:left="0" w:right="52" w:firstLine="0"/>
              <w:jc w:val="center"/>
            </w:pPr>
            <w:r>
              <w:rPr>
                <w:b/>
                <w:sz w:val="20"/>
              </w:rPr>
              <w:t xml:space="preserve">18.3 </w:t>
            </w:r>
          </w:p>
        </w:tc>
        <w:tc>
          <w:tcPr>
            <w:tcW w:w="809" w:type="dxa"/>
            <w:tcBorders>
              <w:top w:val="single" w:sz="12" w:space="0" w:color="000000"/>
              <w:left w:val="single" w:sz="4" w:space="0" w:color="000000"/>
              <w:bottom w:val="single" w:sz="4" w:space="0" w:color="000000"/>
              <w:right w:val="single" w:sz="12" w:space="0" w:color="000000"/>
            </w:tcBorders>
          </w:tcPr>
          <w:p w14:paraId="2C3E8895" w14:textId="77777777" w:rsidR="00B94971" w:rsidRDefault="0047225A">
            <w:pPr>
              <w:spacing w:after="0" w:line="259" w:lineRule="auto"/>
              <w:ind w:left="0" w:right="49" w:firstLine="0"/>
              <w:jc w:val="center"/>
            </w:pPr>
            <w:r>
              <w:rPr>
                <w:b/>
                <w:sz w:val="20"/>
              </w:rPr>
              <w:t xml:space="preserve">9.4 </w:t>
            </w:r>
          </w:p>
        </w:tc>
      </w:tr>
      <w:tr w:rsidR="00B94971" w14:paraId="2AB357BF" w14:textId="77777777">
        <w:trPr>
          <w:trHeight w:val="240"/>
        </w:trPr>
        <w:tc>
          <w:tcPr>
            <w:tcW w:w="1284" w:type="dxa"/>
            <w:tcBorders>
              <w:top w:val="single" w:sz="4" w:space="0" w:color="000000"/>
              <w:left w:val="single" w:sz="12" w:space="0" w:color="000000"/>
              <w:bottom w:val="single" w:sz="4" w:space="0" w:color="000000"/>
              <w:right w:val="single" w:sz="12" w:space="0" w:color="000000"/>
            </w:tcBorders>
          </w:tcPr>
          <w:p w14:paraId="0A6273BC" w14:textId="77777777" w:rsidR="00B94971" w:rsidRDefault="0047225A">
            <w:pPr>
              <w:spacing w:after="0" w:line="259" w:lineRule="auto"/>
              <w:ind w:left="0" w:firstLine="0"/>
              <w:jc w:val="left"/>
            </w:pPr>
            <w:r>
              <w:rPr>
                <w:sz w:val="20"/>
              </w:rPr>
              <w:t xml:space="preserve">Black </w:t>
            </w:r>
          </w:p>
        </w:tc>
        <w:tc>
          <w:tcPr>
            <w:tcW w:w="991" w:type="dxa"/>
            <w:tcBorders>
              <w:top w:val="single" w:sz="4" w:space="0" w:color="000000"/>
              <w:left w:val="single" w:sz="12" w:space="0" w:color="000000"/>
              <w:bottom w:val="single" w:sz="4" w:space="0" w:color="000000"/>
              <w:right w:val="single" w:sz="4" w:space="0" w:color="000000"/>
            </w:tcBorders>
          </w:tcPr>
          <w:p w14:paraId="7DFE9922" w14:textId="77777777" w:rsidR="00B94971" w:rsidRDefault="0047225A">
            <w:pPr>
              <w:spacing w:after="0" w:line="259" w:lineRule="auto"/>
              <w:ind w:left="0" w:right="46" w:firstLine="0"/>
              <w:jc w:val="center"/>
            </w:pPr>
            <w:r>
              <w:rPr>
                <w:sz w:val="20"/>
              </w:rPr>
              <w:t xml:space="preserve">66 </w:t>
            </w:r>
          </w:p>
        </w:tc>
        <w:tc>
          <w:tcPr>
            <w:tcW w:w="1277" w:type="dxa"/>
            <w:tcBorders>
              <w:top w:val="single" w:sz="4" w:space="0" w:color="000000"/>
              <w:left w:val="single" w:sz="4" w:space="0" w:color="000000"/>
              <w:bottom w:val="single" w:sz="4" w:space="0" w:color="000000"/>
              <w:right w:val="single" w:sz="4" w:space="0" w:color="000000"/>
            </w:tcBorders>
          </w:tcPr>
          <w:p w14:paraId="2B45A324" w14:textId="77777777" w:rsidR="00B94971" w:rsidRDefault="0047225A">
            <w:pPr>
              <w:spacing w:after="0" w:line="259" w:lineRule="auto"/>
              <w:ind w:left="0" w:right="48" w:firstLine="0"/>
              <w:jc w:val="center"/>
            </w:pPr>
            <w:r>
              <w:rPr>
                <w:sz w:val="20"/>
              </w:rPr>
              <w:t xml:space="preserve">41 </w:t>
            </w:r>
          </w:p>
        </w:tc>
        <w:tc>
          <w:tcPr>
            <w:tcW w:w="1133" w:type="dxa"/>
            <w:tcBorders>
              <w:top w:val="single" w:sz="4" w:space="0" w:color="000000"/>
              <w:left w:val="single" w:sz="4" w:space="0" w:color="000000"/>
              <w:bottom w:val="single" w:sz="4" w:space="0" w:color="000000"/>
              <w:right w:val="single" w:sz="4" w:space="0" w:color="000000"/>
            </w:tcBorders>
          </w:tcPr>
          <w:p w14:paraId="2990643C" w14:textId="77777777" w:rsidR="00B94971" w:rsidRDefault="0047225A">
            <w:pPr>
              <w:spacing w:after="0" w:line="259" w:lineRule="auto"/>
              <w:ind w:left="0" w:right="47" w:firstLine="0"/>
              <w:jc w:val="center"/>
            </w:pPr>
            <w:r>
              <w:rPr>
                <w:sz w:val="20"/>
              </w:rPr>
              <w:t xml:space="preserve">1.61 </w:t>
            </w:r>
          </w:p>
        </w:tc>
        <w:tc>
          <w:tcPr>
            <w:tcW w:w="953" w:type="dxa"/>
            <w:tcBorders>
              <w:top w:val="single" w:sz="4" w:space="0" w:color="000000"/>
              <w:left w:val="single" w:sz="4" w:space="0" w:color="000000"/>
              <w:bottom w:val="single" w:sz="4" w:space="0" w:color="000000"/>
              <w:right w:val="single" w:sz="4" w:space="0" w:color="000000"/>
            </w:tcBorders>
          </w:tcPr>
          <w:p w14:paraId="23622891" w14:textId="77777777" w:rsidR="00B94971" w:rsidRDefault="0047225A">
            <w:pPr>
              <w:spacing w:after="0" w:line="259" w:lineRule="auto"/>
              <w:ind w:left="0" w:right="47" w:firstLine="0"/>
              <w:jc w:val="center"/>
            </w:pPr>
            <w:r>
              <w:rPr>
                <w:sz w:val="20"/>
              </w:rPr>
              <w:t xml:space="preserve">14 </w:t>
            </w:r>
          </w:p>
        </w:tc>
        <w:tc>
          <w:tcPr>
            <w:tcW w:w="1133" w:type="dxa"/>
            <w:tcBorders>
              <w:top w:val="single" w:sz="4" w:space="0" w:color="000000"/>
              <w:left w:val="single" w:sz="4" w:space="0" w:color="000000"/>
              <w:bottom w:val="single" w:sz="4" w:space="0" w:color="000000"/>
              <w:right w:val="single" w:sz="4" w:space="0" w:color="000000"/>
            </w:tcBorders>
          </w:tcPr>
          <w:p w14:paraId="07BB0331" w14:textId="77777777" w:rsidR="00B94971" w:rsidRDefault="0047225A">
            <w:pPr>
              <w:spacing w:after="0" w:line="259" w:lineRule="auto"/>
              <w:ind w:left="0" w:right="47" w:firstLine="0"/>
              <w:jc w:val="center"/>
            </w:pPr>
            <w:r>
              <w:rPr>
                <w:sz w:val="20"/>
              </w:rPr>
              <w:t xml:space="preserve">34.1 </w:t>
            </w:r>
          </w:p>
        </w:tc>
        <w:tc>
          <w:tcPr>
            <w:tcW w:w="749" w:type="dxa"/>
            <w:tcBorders>
              <w:top w:val="single" w:sz="4" w:space="0" w:color="000000"/>
              <w:left w:val="single" w:sz="4" w:space="0" w:color="000000"/>
              <w:bottom w:val="single" w:sz="4" w:space="0" w:color="000000"/>
              <w:right w:val="single" w:sz="4" w:space="0" w:color="000000"/>
            </w:tcBorders>
          </w:tcPr>
          <w:p w14:paraId="2C763157" w14:textId="77777777" w:rsidR="00B94971" w:rsidRDefault="0047225A">
            <w:pPr>
              <w:spacing w:after="0" w:line="259" w:lineRule="auto"/>
              <w:ind w:left="0" w:right="47" w:firstLine="0"/>
              <w:jc w:val="center"/>
            </w:pPr>
            <w:r>
              <w:rPr>
                <w:sz w:val="20"/>
              </w:rPr>
              <w:t xml:space="preserve">58.5 </w:t>
            </w:r>
          </w:p>
        </w:tc>
        <w:tc>
          <w:tcPr>
            <w:tcW w:w="711" w:type="dxa"/>
            <w:tcBorders>
              <w:top w:val="single" w:sz="4" w:space="0" w:color="000000"/>
              <w:left w:val="single" w:sz="4" w:space="0" w:color="000000"/>
              <w:bottom w:val="single" w:sz="4" w:space="0" w:color="000000"/>
              <w:right w:val="single" w:sz="4" w:space="0" w:color="000000"/>
            </w:tcBorders>
          </w:tcPr>
          <w:p w14:paraId="4D4F9578" w14:textId="77777777" w:rsidR="00B94971" w:rsidRDefault="0047225A">
            <w:pPr>
              <w:spacing w:after="0" w:line="259" w:lineRule="auto"/>
              <w:ind w:left="0" w:right="52" w:firstLine="0"/>
              <w:jc w:val="center"/>
            </w:pPr>
            <w:r>
              <w:rPr>
                <w:sz w:val="20"/>
              </w:rPr>
              <w:t xml:space="preserve">19.5 </w:t>
            </w:r>
          </w:p>
        </w:tc>
        <w:tc>
          <w:tcPr>
            <w:tcW w:w="809" w:type="dxa"/>
            <w:tcBorders>
              <w:top w:val="single" w:sz="4" w:space="0" w:color="000000"/>
              <w:left w:val="single" w:sz="4" w:space="0" w:color="000000"/>
              <w:bottom w:val="single" w:sz="4" w:space="0" w:color="000000"/>
              <w:right w:val="single" w:sz="12" w:space="0" w:color="000000"/>
            </w:tcBorders>
          </w:tcPr>
          <w:p w14:paraId="012605A6" w14:textId="77777777" w:rsidR="00B94971" w:rsidRDefault="0047225A">
            <w:pPr>
              <w:spacing w:after="0" w:line="259" w:lineRule="auto"/>
              <w:ind w:left="0" w:right="49" w:firstLine="0"/>
              <w:jc w:val="center"/>
            </w:pPr>
            <w:r>
              <w:rPr>
                <w:sz w:val="20"/>
              </w:rPr>
              <w:t xml:space="preserve">22.0 </w:t>
            </w:r>
          </w:p>
        </w:tc>
      </w:tr>
      <w:tr w:rsidR="00B94971" w14:paraId="4A201A89" w14:textId="77777777">
        <w:trPr>
          <w:trHeight w:val="240"/>
        </w:trPr>
        <w:tc>
          <w:tcPr>
            <w:tcW w:w="1284" w:type="dxa"/>
            <w:tcBorders>
              <w:top w:val="single" w:sz="4" w:space="0" w:color="000000"/>
              <w:left w:val="single" w:sz="12" w:space="0" w:color="000000"/>
              <w:bottom w:val="single" w:sz="4" w:space="0" w:color="000000"/>
              <w:right w:val="single" w:sz="12" w:space="0" w:color="000000"/>
            </w:tcBorders>
          </w:tcPr>
          <w:p w14:paraId="3D39F4D5" w14:textId="77777777" w:rsidR="00B94971" w:rsidRDefault="0047225A">
            <w:pPr>
              <w:spacing w:after="0" w:line="259" w:lineRule="auto"/>
              <w:ind w:left="0" w:firstLine="0"/>
              <w:jc w:val="left"/>
            </w:pPr>
            <w:r>
              <w:rPr>
                <w:sz w:val="20"/>
              </w:rPr>
              <w:t xml:space="preserve">Asian </w:t>
            </w:r>
          </w:p>
        </w:tc>
        <w:tc>
          <w:tcPr>
            <w:tcW w:w="991" w:type="dxa"/>
            <w:tcBorders>
              <w:top w:val="single" w:sz="4" w:space="0" w:color="000000"/>
              <w:left w:val="single" w:sz="12" w:space="0" w:color="000000"/>
              <w:bottom w:val="single" w:sz="4" w:space="0" w:color="000000"/>
              <w:right w:val="single" w:sz="4" w:space="0" w:color="000000"/>
            </w:tcBorders>
          </w:tcPr>
          <w:p w14:paraId="7372686E" w14:textId="77777777" w:rsidR="00B94971" w:rsidRDefault="0047225A">
            <w:pPr>
              <w:spacing w:after="0" w:line="259" w:lineRule="auto"/>
              <w:ind w:left="0" w:right="46" w:firstLine="0"/>
              <w:jc w:val="center"/>
            </w:pPr>
            <w:r>
              <w:rPr>
                <w:sz w:val="20"/>
              </w:rPr>
              <w:t xml:space="preserve">83 </w:t>
            </w:r>
          </w:p>
        </w:tc>
        <w:tc>
          <w:tcPr>
            <w:tcW w:w="1277" w:type="dxa"/>
            <w:tcBorders>
              <w:top w:val="single" w:sz="4" w:space="0" w:color="000000"/>
              <w:left w:val="single" w:sz="4" w:space="0" w:color="000000"/>
              <w:bottom w:val="single" w:sz="4" w:space="0" w:color="000000"/>
              <w:right w:val="single" w:sz="4" w:space="0" w:color="000000"/>
            </w:tcBorders>
          </w:tcPr>
          <w:p w14:paraId="071D2C6A" w14:textId="77777777" w:rsidR="00B94971" w:rsidRDefault="0047225A">
            <w:pPr>
              <w:spacing w:after="0" w:line="259" w:lineRule="auto"/>
              <w:ind w:left="0" w:right="48" w:firstLine="0"/>
              <w:jc w:val="center"/>
            </w:pPr>
            <w:r>
              <w:rPr>
                <w:sz w:val="20"/>
              </w:rPr>
              <w:t xml:space="preserve">60 </w:t>
            </w:r>
          </w:p>
        </w:tc>
        <w:tc>
          <w:tcPr>
            <w:tcW w:w="1133" w:type="dxa"/>
            <w:tcBorders>
              <w:top w:val="single" w:sz="4" w:space="0" w:color="000000"/>
              <w:left w:val="single" w:sz="4" w:space="0" w:color="000000"/>
              <w:bottom w:val="single" w:sz="4" w:space="0" w:color="000000"/>
              <w:right w:val="single" w:sz="4" w:space="0" w:color="000000"/>
            </w:tcBorders>
          </w:tcPr>
          <w:p w14:paraId="053D9A14" w14:textId="77777777" w:rsidR="00B94971" w:rsidRDefault="0047225A">
            <w:pPr>
              <w:spacing w:after="0" w:line="259" w:lineRule="auto"/>
              <w:ind w:left="0" w:right="47" w:firstLine="0"/>
              <w:jc w:val="center"/>
            </w:pPr>
            <w:r>
              <w:rPr>
                <w:sz w:val="20"/>
              </w:rPr>
              <w:t xml:space="preserve">1.38 </w:t>
            </w:r>
          </w:p>
        </w:tc>
        <w:tc>
          <w:tcPr>
            <w:tcW w:w="953" w:type="dxa"/>
            <w:tcBorders>
              <w:top w:val="single" w:sz="4" w:space="0" w:color="000000"/>
              <w:left w:val="single" w:sz="4" w:space="0" w:color="000000"/>
              <w:bottom w:val="single" w:sz="4" w:space="0" w:color="000000"/>
              <w:right w:val="single" w:sz="4" w:space="0" w:color="000000"/>
            </w:tcBorders>
          </w:tcPr>
          <w:p w14:paraId="274CB441" w14:textId="77777777" w:rsidR="00B94971" w:rsidRDefault="0047225A">
            <w:pPr>
              <w:spacing w:after="0" w:line="259" w:lineRule="auto"/>
              <w:ind w:left="0" w:right="47" w:firstLine="0"/>
              <w:jc w:val="center"/>
            </w:pPr>
            <w:r>
              <w:rPr>
                <w:sz w:val="20"/>
              </w:rPr>
              <w:t xml:space="preserve">24 </w:t>
            </w:r>
          </w:p>
        </w:tc>
        <w:tc>
          <w:tcPr>
            <w:tcW w:w="1133" w:type="dxa"/>
            <w:tcBorders>
              <w:top w:val="single" w:sz="4" w:space="0" w:color="000000"/>
              <w:left w:val="single" w:sz="4" w:space="0" w:color="000000"/>
              <w:bottom w:val="single" w:sz="4" w:space="0" w:color="000000"/>
              <w:right w:val="single" w:sz="4" w:space="0" w:color="000000"/>
            </w:tcBorders>
          </w:tcPr>
          <w:p w14:paraId="44ABE3ED" w14:textId="77777777" w:rsidR="00B94971" w:rsidRDefault="0047225A">
            <w:pPr>
              <w:spacing w:after="0" w:line="259" w:lineRule="auto"/>
              <w:ind w:left="0" w:right="47" w:firstLine="0"/>
              <w:jc w:val="center"/>
            </w:pPr>
            <w:r>
              <w:rPr>
                <w:sz w:val="20"/>
              </w:rPr>
              <w:t xml:space="preserve">40.0 </w:t>
            </w:r>
          </w:p>
        </w:tc>
        <w:tc>
          <w:tcPr>
            <w:tcW w:w="749" w:type="dxa"/>
            <w:tcBorders>
              <w:top w:val="single" w:sz="4" w:space="0" w:color="000000"/>
              <w:left w:val="single" w:sz="4" w:space="0" w:color="000000"/>
              <w:bottom w:val="single" w:sz="4" w:space="0" w:color="000000"/>
              <w:right w:val="single" w:sz="4" w:space="0" w:color="000000"/>
            </w:tcBorders>
          </w:tcPr>
          <w:p w14:paraId="1153CB6D" w14:textId="77777777" w:rsidR="00B94971" w:rsidRDefault="0047225A">
            <w:pPr>
              <w:spacing w:after="0" w:line="259" w:lineRule="auto"/>
              <w:ind w:left="0" w:right="47" w:firstLine="0"/>
              <w:jc w:val="center"/>
            </w:pPr>
            <w:r>
              <w:rPr>
                <w:sz w:val="20"/>
              </w:rPr>
              <w:t xml:space="preserve">51.7 </w:t>
            </w:r>
          </w:p>
        </w:tc>
        <w:tc>
          <w:tcPr>
            <w:tcW w:w="711" w:type="dxa"/>
            <w:tcBorders>
              <w:top w:val="single" w:sz="4" w:space="0" w:color="000000"/>
              <w:left w:val="single" w:sz="4" w:space="0" w:color="000000"/>
              <w:bottom w:val="single" w:sz="4" w:space="0" w:color="000000"/>
              <w:right w:val="single" w:sz="4" w:space="0" w:color="000000"/>
            </w:tcBorders>
          </w:tcPr>
          <w:p w14:paraId="56AFBD48" w14:textId="77777777" w:rsidR="00B94971" w:rsidRDefault="0047225A">
            <w:pPr>
              <w:spacing w:after="0" w:line="259" w:lineRule="auto"/>
              <w:ind w:left="0" w:right="52" w:firstLine="0"/>
              <w:jc w:val="center"/>
            </w:pPr>
            <w:r>
              <w:rPr>
                <w:sz w:val="20"/>
              </w:rPr>
              <w:t xml:space="preserve">21.7 </w:t>
            </w:r>
          </w:p>
        </w:tc>
        <w:tc>
          <w:tcPr>
            <w:tcW w:w="809" w:type="dxa"/>
            <w:tcBorders>
              <w:top w:val="single" w:sz="4" w:space="0" w:color="000000"/>
              <w:left w:val="single" w:sz="4" w:space="0" w:color="000000"/>
              <w:bottom w:val="single" w:sz="4" w:space="0" w:color="000000"/>
              <w:right w:val="single" w:sz="12" w:space="0" w:color="000000"/>
            </w:tcBorders>
          </w:tcPr>
          <w:p w14:paraId="2EFD6533" w14:textId="77777777" w:rsidR="00B94971" w:rsidRDefault="0047225A">
            <w:pPr>
              <w:spacing w:after="0" w:line="259" w:lineRule="auto"/>
              <w:ind w:left="0" w:right="49" w:firstLine="0"/>
              <w:jc w:val="center"/>
            </w:pPr>
            <w:r>
              <w:rPr>
                <w:sz w:val="20"/>
              </w:rPr>
              <w:t xml:space="preserve">26.7 </w:t>
            </w:r>
          </w:p>
        </w:tc>
      </w:tr>
      <w:tr w:rsidR="00B94971" w14:paraId="10DA4AB0" w14:textId="77777777">
        <w:trPr>
          <w:trHeight w:val="240"/>
        </w:trPr>
        <w:tc>
          <w:tcPr>
            <w:tcW w:w="1284" w:type="dxa"/>
            <w:tcBorders>
              <w:top w:val="single" w:sz="4" w:space="0" w:color="000000"/>
              <w:left w:val="single" w:sz="12" w:space="0" w:color="000000"/>
              <w:bottom w:val="single" w:sz="4" w:space="0" w:color="000000"/>
              <w:right w:val="single" w:sz="12" w:space="0" w:color="000000"/>
            </w:tcBorders>
          </w:tcPr>
          <w:p w14:paraId="4CA6DEC6" w14:textId="77777777" w:rsidR="00B94971" w:rsidRDefault="0047225A">
            <w:pPr>
              <w:spacing w:after="0" w:line="259" w:lineRule="auto"/>
              <w:ind w:left="0" w:firstLine="0"/>
              <w:jc w:val="left"/>
            </w:pPr>
            <w:r>
              <w:rPr>
                <w:sz w:val="20"/>
              </w:rPr>
              <w:t xml:space="preserve">Other </w:t>
            </w:r>
          </w:p>
        </w:tc>
        <w:tc>
          <w:tcPr>
            <w:tcW w:w="991" w:type="dxa"/>
            <w:tcBorders>
              <w:top w:val="single" w:sz="4" w:space="0" w:color="000000"/>
              <w:left w:val="single" w:sz="12" w:space="0" w:color="000000"/>
              <w:bottom w:val="single" w:sz="4" w:space="0" w:color="000000"/>
              <w:right w:val="single" w:sz="4" w:space="0" w:color="000000"/>
            </w:tcBorders>
          </w:tcPr>
          <w:p w14:paraId="38BD2613" w14:textId="77777777" w:rsidR="00B94971" w:rsidRDefault="0047225A">
            <w:pPr>
              <w:spacing w:after="0" w:line="259" w:lineRule="auto"/>
              <w:ind w:left="0" w:right="46" w:firstLine="0"/>
              <w:jc w:val="center"/>
            </w:pPr>
            <w:r>
              <w:rPr>
                <w:sz w:val="20"/>
              </w:rPr>
              <w:t xml:space="preserve">29 </w:t>
            </w:r>
          </w:p>
        </w:tc>
        <w:tc>
          <w:tcPr>
            <w:tcW w:w="1277" w:type="dxa"/>
            <w:tcBorders>
              <w:top w:val="single" w:sz="4" w:space="0" w:color="000000"/>
              <w:left w:val="single" w:sz="4" w:space="0" w:color="000000"/>
              <w:bottom w:val="single" w:sz="4" w:space="0" w:color="000000"/>
              <w:right w:val="single" w:sz="4" w:space="0" w:color="000000"/>
            </w:tcBorders>
          </w:tcPr>
          <w:p w14:paraId="4B6A8011" w14:textId="77777777" w:rsidR="00B94971" w:rsidRDefault="0047225A">
            <w:pPr>
              <w:spacing w:after="0" w:line="259" w:lineRule="auto"/>
              <w:ind w:left="0" w:right="48" w:firstLine="0"/>
              <w:jc w:val="center"/>
            </w:pPr>
            <w:r>
              <w:rPr>
                <w:sz w:val="20"/>
              </w:rPr>
              <w:t xml:space="preserve">16 </w:t>
            </w:r>
          </w:p>
        </w:tc>
        <w:tc>
          <w:tcPr>
            <w:tcW w:w="1133" w:type="dxa"/>
            <w:tcBorders>
              <w:top w:val="single" w:sz="4" w:space="0" w:color="000000"/>
              <w:left w:val="single" w:sz="4" w:space="0" w:color="000000"/>
              <w:bottom w:val="single" w:sz="4" w:space="0" w:color="000000"/>
              <w:right w:val="single" w:sz="4" w:space="0" w:color="000000"/>
            </w:tcBorders>
          </w:tcPr>
          <w:p w14:paraId="4FBFEBDC" w14:textId="77777777" w:rsidR="00B94971" w:rsidRDefault="0047225A">
            <w:pPr>
              <w:spacing w:after="0" w:line="259" w:lineRule="auto"/>
              <w:ind w:left="0" w:right="47" w:firstLine="0"/>
              <w:jc w:val="center"/>
            </w:pPr>
            <w:r>
              <w:rPr>
                <w:sz w:val="20"/>
              </w:rPr>
              <w:t xml:space="preserve">1.81 </w:t>
            </w:r>
          </w:p>
        </w:tc>
        <w:tc>
          <w:tcPr>
            <w:tcW w:w="953" w:type="dxa"/>
            <w:tcBorders>
              <w:top w:val="single" w:sz="4" w:space="0" w:color="000000"/>
              <w:left w:val="single" w:sz="4" w:space="0" w:color="000000"/>
              <w:bottom w:val="single" w:sz="4" w:space="0" w:color="000000"/>
              <w:right w:val="single" w:sz="4" w:space="0" w:color="000000"/>
            </w:tcBorders>
          </w:tcPr>
          <w:p w14:paraId="10C82F0A" w14:textId="77777777" w:rsidR="00B94971" w:rsidRDefault="0047225A">
            <w:pPr>
              <w:spacing w:after="0" w:line="259" w:lineRule="auto"/>
              <w:ind w:left="0" w:right="51" w:firstLine="0"/>
              <w:jc w:val="center"/>
            </w:pPr>
            <w:r>
              <w:rPr>
                <w:sz w:val="20"/>
              </w:rP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6AC15D7C" w14:textId="77777777" w:rsidR="00B94971" w:rsidRDefault="0047225A">
            <w:pPr>
              <w:spacing w:after="0" w:line="259" w:lineRule="auto"/>
              <w:ind w:left="0" w:right="47" w:firstLine="0"/>
              <w:jc w:val="center"/>
            </w:pPr>
            <w:r>
              <w:rPr>
                <w:sz w:val="20"/>
              </w:rPr>
              <w:t xml:space="preserve">37.5 </w:t>
            </w:r>
          </w:p>
        </w:tc>
        <w:tc>
          <w:tcPr>
            <w:tcW w:w="749" w:type="dxa"/>
            <w:tcBorders>
              <w:top w:val="single" w:sz="4" w:space="0" w:color="000000"/>
              <w:left w:val="single" w:sz="4" w:space="0" w:color="000000"/>
              <w:bottom w:val="single" w:sz="4" w:space="0" w:color="000000"/>
              <w:right w:val="single" w:sz="4" w:space="0" w:color="000000"/>
            </w:tcBorders>
          </w:tcPr>
          <w:p w14:paraId="172C497F" w14:textId="77777777" w:rsidR="00B94971" w:rsidRDefault="0047225A">
            <w:pPr>
              <w:spacing w:after="0" w:line="259" w:lineRule="auto"/>
              <w:ind w:left="0" w:right="47" w:firstLine="0"/>
              <w:jc w:val="center"/>
            </w:pPr>
            <w:r>
              <w:rPr>
                <w:sz w:val="20"/>
              </w:rPr>
              <w:t xml:space="preserve">68.8 </w:t>
            </w:r>
          </w:p>
        </w:tc>
        <w:tc>
          <w:tcPr>
            <w:tcW w:w="711" w:type="dxa"/>
            <w:tcBorders>
              <w:top w:val="single" w:sz="4" w:space="0" w:color="000000"/>
              <w:left w:val="single" w:sz="4" w:space="0" w:color="000000"/>
              <w:bottom w:val="single" w:sz="4" w:space="0" w:color="000000"/>
              <w:right w:val="single" w:sz="4" w:space="0" w:color="000000"/>
            </w:tcBorders>
          </w:tcPr>
          <w:p w14:paraId="190C52BF" w14:textId="77777777" w:rsidR="00B94971" w:rsidRDefault="0047225A">
            <w:pPr>
              <w:spacing w:after="0" w:line="259" w:lineRule="auto"/>
              <w:ind w:left="0" w:right="52" w:firstLine="0"/>
              <w:jc w:val="center"/>
            </w:pPr>
            <w:r>
              <w:rPr>
                <w:sz w:val="20"/>
              </w:rPr>
              <w:t xml:space="preserve">31.3 </w:t>
            </w:r>
          </w:p>
        </w:tc>
        <w:tc>
          <w:tcPr>
            <w:tcW w:w="809" w:type="dxa"/>
            <w:tcBorders>
              <w:top w:val="single" w:sz="4" w:space="0" w:color="000000"/>
              <w:left w:val="single" w:sz="4" w:space="0" w:color="000000"/>
              <w:bottom w:val="single" w:sz="4" w:space="0" w:color="000000"/>
              <w:right w:val="single" w:sz="12" w:space="0" w:color="000000"/>
            </w:tcBorders>
          </w:tcPr>
          <w:p w14:paraId="08CF396A" w14:textId="77777777" w:rsidR="00B94971" w:rsidRDefault="0047225A">
            <w:pPr>
              <w:spacing w:after="0" w:line="259" w:lineRule="auto"/>
              <w:ind w:left="0" w:right="49" w:firstLine="0"/>
              <w:jc w:val="center"/>
            </w:pPr>
            <w:r>
              <w:rPr>
                <w:sz w:val="20"/>
              </w:rPr>
              <w:t xml:space="preserve">0.0 </w:t>
            </w:r>
          </w:p>
        </w:tc>
      </w:tr>
      <w:tr w:rsidR="00B94971" w14:paraId="15AA5882" w14:textId="77777777">
        <w:trPr>
          <w:trHeight w:val="470"/>
        </w:trPr>
        <w:tc>
          <w:tcPr>
            <w:tcW w:w="1284" w:type="dxa"/>
            <w:tcBorders>
              <w:top w:val="single" w:sz="4" w:space="0" w:color="000000"/>
              <w:left w:val="single" w:sz="12" w:space="0" w:color="000000"/>
              <w:bottom w:val="single" w:sz="4" w:space="0" w:color="000000"/>
              <w:right w:val="single" w:sz="12" w:space="0" w:color="000000"/>
            </w:tcBorders>
          </w:tcPr>
          <w:p w14:paraId="216FF7BD" w14:textId="77777777" w:rsidR="00B94971" w:rsidRDefault="0047225A">
            <w:pPr>
              <w:spacing w:after="0" w:line="259" w:lineRule="auto"/>
              <w:ind w:left="0" w:firstLine="0"/>
              <w:jc w:val="left"/>
            </w:pPr>
            <w:r>
              <w:rPr>
                <w:b/>
                <w:sz w:val="20"/>
              </w:rPr>
              <w:t xml:space="preserve">Non-white </w:t>
            </w:r>
          </w:p>
          <w:p w14:paraId="5F7FD12B" w14:textId="77777777" w:rsidR="00B94971" w:rsidRDefault="0047225A">
            <w:pPr>
              <w:spacing w:after="0" w:line="259" w:lineRule="auto"/>
              <w:ind w:left="0" w:firstLine="0"/>
              <w:jc w:val="left"/>
            </w:pPr>
            <w:r>
              <w:rPr>
                <w:b/>
                <w:sz w:val="20"/>
              </w:rPr>
              <w:t xml:space="preserve">total </w:t>
            </w:r>
          </w:p>
        </w:tc>
        <w:tc>
          <w:tcPr>
            <w:tcW w:w="991" w:type="dxa"/>
            <w:tcBorders>
              <w:top w:val="single" w:sz="4" w:space="0" w:color="000000"/>
              <w:left w:val="single" w:sz="12" w:space="0" w:color="000000"/>
              <w:bottom w:val="single" w:sz="4" w:space="0" w:color="000000"/>
              <w:right w:val="single" w:sz="4" w:space="0" w:color="000000"/>
            </w:tcBorders>
          </w:tcPr>
          <w:p w14:paraId="458851B6" w14:textId="77777777" w:rsidR="00B94971" w:rsidRDefault="0047225A">
            <w:pPr>
              <w:spacing w:after="0" w:line="259" w:lineRule="auto"/>
              <w:ind w:left="0" w:right="46" w:firstLine="0"/>
              <w:jc w:val="center"/>
            </w:pPr>
            <w:r>
              <w:rPr>
                <w:b/>
                <w:sz w:val="20"/>
              </w:rPr>
              <w:t xml:space="preserve">178 </w:t>
            </w:r>
          </w:p>
        </w:tc>
        <w:tc>
          <w:tcPr>
            <w:tcW w:w="1277" w:type="dxa"/>
            <w:tcBorders>
              <w:top w:val="single" w:sz="4" w:space="0" w:color="000000"/>
              <w:left w:val="single" w:sz="4" w:space="0" w:color="000000"/>
              <w:bottom w:val="single" w:sz="4" w:space="0" w:color="000000"/>
              <w:right w:val="single" w:sz="4" w:space="0" w:color="000000"/>
            </w:tcBorders>
          </w:tcPr>
          <w:p w14:paraId="19B38CF5" w14:textId="77777777" w:rsidR="00B94971" w:rsidRDefault="0047225A">
            <w:pPr>
              <w:spacing w:after="0" w:line="259" w:lineRule="auto"/>
              <w:ind w:left="0" w:right="48" w:firstLine="0"/>
              <w:jc w:val="center"/>
            </w:pPr>
            <w:r>
              <w:rPr>
                <w:b/>
                <w:sz w:val="20"/>
              </w:rPr>
              <w:t xml:space="preserve">117 </w:t>
            </w:r>
          </w:p>
        </w:tc>
        <w:tc>
          <w:tcPr>
            <w:tcW w:w="1133" w:type="dxa"/>
            <w:tcBorders>
              <w:top w:val="single" w:sz="4" w:space="0" w:color="000000"/>
              <w:left w:val="single" w:sz="4" w:space="0" w:color="000000"/>
              <w:bottom w:val="single" w:sz="4" w:space="0" w:color="000000"/>
              <w:right w:val="single" w:sz="4" w:space="0" w:color="000000"/>
            </w:tcBorders>
          </w:tcPr>
          <w:p w14:paraId="183364AE" w14:textId="77777777" w:rsidR="00B94971" w:rsidRDefault="0047225A">
            <w:pPr>
              <w:spacing w:after="0" w:line="259" w:lineRule="auto"/>
              <w:ind w:left="0" w:right="47" w:firstLine="0"/>
              <w:jc w:val="center"/>
            </w:pPr>
            <w:r>
              <w:rPr>
                <w:b/>
                <w:sz w:val="20"/>
              </w:rPr>
              <w:t xml:space="preserve">1.52 </w:t>
            </w:r>
          </w:p>
        </w:tc>
        <w:tc>
          <w:tcPr>
            <w:tcW w:w="953" w:type="dxa"/>
            <w:tcBorders>
              <w:top w:val="single" w:sz="4" w:space="0" w:color="000000"/>
              <w:left w:val="single" w:sz="4" w:space="0" w:color="000000"/>
              <w:bottom w:val="single" w:sz="4" w:space="0" w:color="000000"/>
              <w:right w:val="single" w:sz="4" w:space="0" w:color="000000"/>
            </w:tcBorders>
          </w:tcPr>
          <w:p w14:paraId="06AA1A3E" w14:textId="77777777" w:rsidR="00B94971" w:rsidRDefault="0047225A">
            <w:pPr>
              <w:spacing w:after="0" w:line="259" w:lineRule="auto"/>
              <w:ind w:left="0" w:right="47" w:firstLine="0"/>
              <w:jc w:val="center"/>
            </w:pPr>
            <w:r>
              <w:rPr>
                <w:b/>
                <w:sz w:val="20"/>
              </w:rPr>
              <w:t xml:space="preserve">44 </w:t>
            </w:r>
          </w:p>
        </w:tc>
        <w:tc>
          <w:tcPr>
            <w:tcW w:w="1133" w:type="dxa"/>
            <w:tcBorders>
              <w:top w:val="single" w:sz="4" w:space="0" w:color="000000"/>
              <w:left w:val="single" w:sz="4" w:space="0" w:color="000000"/>
              <w:bottom w:val="single" w:sz="4" w:space="0" w:color="000000"/>
              <w:right w:val="single" w:sz="4" w:space="0" w:color="000000"/>
            </w:tcBorders>
          </w:tcPr>
          <w:p w14:paraId="46BD6463" w14:textId="77777777" w:rsidR="00B94971" w:rsidRDefault="0047225A">
            <w:pPr>
              <w:spacing w:after="0" w:line="259" w:lineRule="auto"/>
              <w:ind w:left="0" w:right="47" w:firstLine="0"/>
              <w:jc w:val="center"/>
            </w:pPr>
            <w:r>
              <w:rPr>
                <w:b/>
                <w:sz w:val="20"/>
              </w:rPr>
              <w:t xml:space="preserve">37.6 </w:t>
            </w:r>
          </w:p>
        </w:tc>
        <w:tc>
          <w:tcPr>
            <w:tcW w:w="749" w:type="dxa"/>
            <w:tcBorders>
              <w:top w:val="single" w:sz="4" w:space="0" w:color="000000"/>
              <w:left w:val="single" w:sz="4" w:space="0" w:color="000000"/>
              <w:bottom w:val="single" w:sz="4" w:space="0" w:color="000000"/>
              <w:right w:val="single" w:sz="4" w:space="0" w:color="000000"/>
            </w:tcBorders>
          </w:tcPr>
          <w:p w14:paraId="6AC0F5B7" w14:textId="77777777" w:rsidR="00B94971" w:rsidRDefault="0047225A">
            <w:pPr>
              <w:spacing w:after="0" w:line="259" w:lineRule="auto"/>
              <w:ind w:left="0" w:right="46" w:firstLine="0"/>
              <w:jc w:val="center"/>
            </w:pPr>
            <w:r>
              <w:rPr>
                <w:b/>
                <w:sz w:val="20"/>
              </w:rPr>
              <w:t xml:space="preserve">56.4 </w:t>
            </w:r>
          </w:p>
        </w:tc>
        <w:tc>
          <w:tcPr>
            <w:tcW w:w="711" w:type="dxa"/>
            <w:tcBorders>
              <w:top w:val="single" w:sz="4" w:space="0" w:color="000000"/>
              <w:left w:val="single" w:sz="4" w:space="0" w:color="000000"/>
              <w:bottom w:val="single" w:sz="4" w:space="0" w:color="000000"/>
              <w:right w:val="single" w:sz="4" w:space="0" w:color="000000"/>
            </w:tcBorders>
          </w:tcPr>
          <w:p w14:paraId="079F5FD3" w14:textId="77777777" w:rsidR="00B94971" w:rsidRDefault="0047225A">
            <w:pPr>
              <w:spacing w:after="0" w:line="259" w:lineRule="auto"/>
              <w:ind w:left="0" w:right="52" w:firstLine="0"/>
              <w:jc w:val="center"/>
            </w:pPr>
            <w:r>
              <w:rPr>
                <w:b/>
                <w:sz w:val="20"/>
              </w:rPr>
              <w:t xml:space="preserve">22.2 </w:t>
            </w:r>
          </w:p>
        </w:tc>
        <w:tc>
          <w:tcPr>
            <w:tcW w:w="809" w:type="dxa"/>
            <w:tcBorders>
              <w:top w:val="single" w:sz="4" w:space="0" w:color="000000"/>
              <w:left w:val="single" w:sz="4" w:space="0" w:color="000000"/>
              <w:bottom w:val="single" w:sz="4" w:space="0" w:color="000000"/>
              <w:right w:val="single" w:sz="12" w:space="0" w:color="000000"/>
            </w:tcBorders>
          </w:tcPr>
          <w:p w14:paraId="082BDC2D" w14:textId="77777777" w:rsidR="00B94971" w:rsidRDefault="0047225A">
            <w:pPr>
              <w:spacing w:after="0" w:line="259" w:lineRule="auto"/>
              <w:ind w:left="0" w:right="49" w:firstLine="0"/>
              <w:jc w:val="center"/>
            </w:pPr>
            <w:r>
              <w:rPr>
                <w:b/>
                <w:sz w:val="20"/>
              </w:rPr>
              <w:t xml:space="preserve">21.4 </w:t>
            </w:r>
          </w:p>
        </w:tc>
      </w:tr>
      <w:tr w:rsidR="00B94971" w14:paraId="04CB0B19" w14:textId="77777777">
        <w:trPr>
          <w:trHeight w:val="480"/>
        </w:trPr>
        <w:tc>
          <w:tcPr>
            <w:tcW w:w="1284" w:type="dxa"/>
            <w:tcBorders>
              <w:top w:val="single" w:sz="4" w:space="0" w:color="000000"/>
              <w:left w:val="single" w:sz="12" w:space="0" w:color="000000"/>
              <w:bottom w:val="single" w:sz="12" w:space="0" w:color="000000"/>
              <w:right w:val="single" w:sz="12" w:space="0" w:color="000000"/>
            </w:tcBorders>
          </w:tcPr>
          <w:p w14:paraId="43122282" w14:textId="77777777" w:rsidR="00B94971" w:rsidRDefault="0047225A">
            <w:pPr>
              <w:spacing w:after="0" w:line="259" w:lineRule="auto"/>
              <w:ind w:left="0" w:firstLine="0"/>
              <w:jc w:val="left"/>
            </w:pPr>
            <w:r>
              <w:rPr>
                <w:sz w:val="20"/>
              </w:rPr>
              <w:t xml:space="preserve">Full Survey total </w:t>
            </w:r>
          </w:p>
        </w:tc>
        <w:tc>
          <w:tcPr>
            <w:tcW w:w="991" w:type="dxa"/>
            <w:tcBorders>
              <w:top w:val="single" w:sz="4" w:space="0" w:color="000000"/>
              <w:left w:val="single" w:sz="12" w:space="0" w:color="000000"/>
              <w:bottom w:val="single" w:sz="12" w:space="0" w:color="000000"/>
              <w:right w:val="single" w:sz="4" w:space="0" w:color="000000"/>
            </w:tcBorders>
          </w:tcPr>
          <w:p w14:paraId="29C2A04E" w14:textId="77777777" w:rsidR="00B94971" w:rsidRDefault="0047225A">
            <w:pPr>
              <w:spacing w:after="0" w:line="259" w:lineRule="auto"/>
              <w:ind w:left="0" w:right="46" w:firstLine="0"/>
              <w:jc w:val="center"/>
            </w:pPr>
            <w:r>
              <w:rPr>
                <w:sz w:val="20"/>
              </w:rPr>
              <w:t xml:space="preserve">3940 </w:t>
            </w:r>
          </w:p>
        </w:tc>
        <w:tc>
          <w:tcPr>
            <w:tcW w:w="1277" w:type="dxa"/>
            <w:tcBorders>
              <w:top w:val="single" w:sz="4" w:space="0" w:color="000000"/>
              <w:left w:val="single" w:sz="4" w:space="0" w:color="000000"/>
              <w:bottom w:val="single" w:sz="12" w:space="0" w:color="000000"/>
              <w:right w:val="single" w:sz="4" w:space="0" w:color="000000"/>
            </w:tcBorders>
          </w:tcPr>
          <w:p w14:paraId="2A8CAA54" w14:textId="77777777" w:rsidR="00B94971" w:rsidRDefault="0047225A">
            <w:pPr>
              <w:spacing w:after="0" w:line="259" w:lineRule="auto"/>
              <w:ind w:left="0" w:right="48" w:firstLine="0"/>
              <w:jc w:val="center"/>
            </w:pPr>
            <w:r>
              <w:rPr>
                <w:sz w:val="20"/>
              </w:rPr>
              <w:t xml:space="preserve">1828 </w:t>
            </w:r>
          </w:p>
        </w:tc>
        <w:tc>
          <w:tcPr>
            <w:tcW w:w="1133" w:type="dxa"/>
            <w:tcBorders>
              <w:top w:val="single" w:sz="4" w:space="0" w:color="000000"/>
              <w:left w:val="single" w:sz="4" w:space="0" w:color="000000"/>
              <w:bottom w:val="single" w:sz="12" w:space="0" w:color="000000"/>
              <w:right w:val="single" w:sz="4" w:space="0" w:color="000000"/>
            </w:tcBorders>
          </w:tcPr>
          <w:p w14:paraId="716F11C2" w14:textId="77777777" w:rsidR="00B94971" w:rsidRDefault="0047225A">
            <w:pPr>
              <w:spacing w:after="0" w:line="259" w:lineRule="auto"/>
              <w:ind w:left="0" w:right="47" w:firstLine="0"/>
              <w:jc w:val="center"/>
            </w:pPr>
            <w:r>
              <w:rPr>
                <w:sz w:val="20"/>
              </w:rPr>
              <w:t xml:space="preserve">2.16 </w:t>
            </w:r>
          </w:p>
        </w:tc>
        <w:tc>
          <w:tcPr>
            <w:tcW w:w="953" w:type="dxa"/>
            <w:tcBorders>
              <w:top w:val="single" w:sz="4" w:space="0" w:color="000000"/>
              <w:left w:val="single" w:sz="4" w:space="0" w:color="000000"/>
              <w:bottom w:val="single" w:sz="12" w:space="0" w:color="000000"/>
              <w:right w:val="single" w:sz="4" w:space="0" w:color="000000"/>
            </w:tcBorders>
          </w:tcPr>
          <w:p w14:paraId="4D0936FD" w14:textId="77777777" w:rsidR="00B94971" w:rsidRDefault="0047225A">
            <w:pPr>
              <w:spacing w:after="0" w:line="259" w:lineRule="auto"/>
              <w:ind w:left="0" w:right="47" w:firstLine="0"/>
              <w:jc w:val="center"/>
            </w:pPr>
            <w:r>
              <w:rPr>
                <w:sz w:val="20"/>
              </w:rPr>
              <w:t xml:space="preserve">311 </w:t>
            </w:r>
          </w:p>
        </w:tc>
        <w:tc>
          <w:tcPr>
            <w:tcW w:w="1133" w:type="dxa"/>
            <w:tcBorders>
              <w:top w:val="single" w:sz="4" w:space="0" w:color="000000"/>
              <w:left w:val="single" w:sz="4" w:space="0" w:color="000000"/>
              <w:bottom w:val="single" w:sz="12" w:space="0" w:color="000000"/>
              <w:right w:val="single" w:sz="4" w:space="0" w:color="000000"/>
            </w:tcBorders>
          </w:tcPr>
          <w:p w14:paraId="758F56F5" w14:textId="77777777" w:rsidR="00B94971" w:rsidRDefault="0047225A">
            <w:pPr>
              <w:spacing w:after="0" w:line="259" w:lineRule="auto"/>
              <w:ind w:left="0" w:right="47" w:firstLine="0"/>
              <w:jc w:val="center"/>
            </w:pPr>
            <w:r>
              <w:rPr>
                <w:sz w:val="20"/>
              </w:rPr>
              <w:t xml:space="preserve">17.0 </w:t>
            </w:r>
          </w:p>
        </w:tc>
        <w:tc>
          <w:tcPr>
            <w:tcW w:w="749" w:type="dxa"/>
            <w:tcBorders>
              <w:top w:val="single" w:sz="4" w:space="0" w:color="000000"/>
              <w:left w:val="single" w:sz="4" w:space="0" w:color="000000"/>
              <w:bottom w:val="single" w:sz="12" w:space="0" w:color="000000"/>
              <w:right w:val="single" w:sz="4" w:space="0" w:color="000000"/>
            </w:tcBorders>
          </w:tcPr>
          <w:p w14:paraId="1707E70C" w14:textId="77777777" w:rsidR="00B94971" w:rsidRDefault="0047225A">
            <w:pPr>
              <w:spacing w:after="0" w:line="259" w:lineRule="auto"/>
              <w:ind w:left="0" w:right="47" w:firstLine="0"/>
              <w:jc w:val="center"/>
            </w:pPr>
            <w:r>
              <w:rPr>
                <w:sz w:val="20"/>
              </w:rPr>
              <w:t xml:space="preserve">71.3 </w:t>
            </w:r>
          </w:p>
        </w:tc>
        <w:tc>
          <w:tcPr>
            <w:tcW w:w="711" w:type="dxa"/>
            <w:tcBorders>
              <w:top w:val="single" w:sz="4" w:space="0" w:color="000000"/>
              <w:left w:val="single" w:sz="4" w:space="0" w:color="000000"/>
              <w:bottom w:val="single" w:sz="12" w:space="0" w:color="000000"/>
              <w:right w:val="single" w:sz="4" w:space="0" w:color="000000"/>
            </w:tcBorders>
          </w:tcPr>
          <w:p w14:paraId="25377C85" w14:textId="77777777" w:rsidR="00B94971" w:rsidRDefault="0047225A">
            <w:pPr>
              <w:spacing w:after="0" w:line="259" w:lineRule="auto"/>
              <w:ind w:left="0" w:right="52" w:firstLine="0"/>
              <w:jc w:val="center"/>
            </w:pPr>
            <w:r>
              <w:rPr>
                <w:sz w:val="20"/>
              </w:rPr>
              <w:t xml:space="preserve">18.5 </w:t>
            </w:r>
          </w:p>
        </w:tc>
        <w:tc>
          <w:tcPr>
            <w:tcW w:w="809" w:type="dxa"/>
            <w:tcBorders>
              <w:top w:val="single" w:sz="4" w:space="0" w:color="000000"/>
              <w:left w:val="single" w:sz="4" w:space="0" w:color="000000"/>
              <w:bottom w:val="single" w:sz="12" w:space="0" w:color="000000"/>
              <w:right w:val="single" w:sz="12" w:space="0" w:color="000000"/>
            </w:tcBorders>
          </w:tcPr>
          <w:p w14:paraId="5CB0C6E4" w14:textId="77777777" w:rsidR="00B94971" w:rsidRDefault="0047225A">
            <w:pPr>
              <w:spacing w:after="0" w:line="259" w:lineRule="auto"/>
              <w:ind w:left="0" w:right="49" w:firstLine="0"/>
              <w:jc w:val="center"/>
            </w:pPr>
            <w:r>
              <w:rPr>
                <w:sz w:val="20"/>
              </w:rPr>
              <w:t xml:space="preserve">10.1 </w:t>
            </w:r>
          </w:p>
        </w:tc>
      </w:tr>
    </w:tbl>
    <w:p w14:paraId="7C7571A1" w14:textId="77777777" w:rsidR="00B94971" w:rsidRDefault="0047225A">
      <w:pPr>
        <w:spacing w:after="0" w:line="259" w:lineRule="auto"/>
        <w:ind w:left="0" w:firstLine="0"/>
        <w:jc w:val="left"/>
      </w:pPr>
      <w:r>
        <w:t xml:space="preserve"> </w:t>
      </w:r>
    </w:p>
    <w:p w14:paraId="40952C7E" w14:textId="77777777" w:rsidR="00B94971" w:rsidRDefault="0047225A">
      <w:pPr>
        <w:pStyle w:val="Heading3"/>
        <w:ind w:left="-5"/>
      </w:pPr>
      <w:r>
        <w:t xml:space="preserve">Age </w:t>
      </w:r>
    </w:p>
    <w:p w14:paraId="35D8B31E" w14:textId="77777777" w:rsidR="00B94971" w:rsidRDefault="0047225A">
      <w:pPr>
        <w:ind w:left="-5"/>
      </w:pPr>
      <w:r>
        <w:t xml:space="preserve">A </w:t>
      </w:r>
      <w:r>
        <w:t>significant pattern also emerges in the relationship between the ‘age of oldest resident’ and the numbers of adaptations (Table 6).</w:t>
      </w:r>
      <w:r>
        <w:rPr>
          <w:vertAlign w:val="superscript"/>
        </w:rPr>
        <w:footnoteReference w:id="9"/>
      </w:r>
      <w:r>
        <w:t xml:space="preserve"> Dividing the ages into two groups, separated at the age of 60 shows that the younger disabled are much more likely to have</w:t>
      </w:r>
      <w:r>
        <w:t xml:space="preserve"> no adaptations at all (28% vs 12%).</w:t>
      </w:r>
      <w:r>
        <w:rPr>
          <w:vertAlign w:val="superscript"/>
        </w:rPr>
        <w:t>10</w:t>
      </w:r>
      <w:r>
        <w:t xml:space="preserve"> As can also be seen, the increase in provision from youngest to oldest is gradual but consistent, from around 50% with zero adaptations under the age of 35 to around 10% with zero adaptations over the age of 75. This </w:t>
      </w:r>
      <w:r>
        <w:t xml:space="preserve">is reinforced when looking at Differential Provision, which shows the same pattern of increased provision with age, but also highlights a substantial discrepancy in those needing </w:t>
      </w:r>
      <w:r>
        <w:rPr>
          <w:i/>
        </w:rPr>
        <w:t>many more</w:t>
      </w:r>
      <w:r>
        <w:t xml:space="preserve"> adaptations. This drops from 27% of the youngest to 7% of the oldes</w:t>
      </w:r>
      <w:r>
        <w:t>t. As a measure of perceived need, this represents both the amount provided and the degree to which it meets needs, so for a substantial proportion of the younger disabled, their needs went largely unmet in 2003/4. This may be reinforced using the data rel</w:t>
      </w:r>
      <w:r>
        <w:t xml:space="preserve">ating to household type, by dividing the results into two categories, those without children, and those with children or ‘other multi-person </w:t>
      </w:r>
      <w:proofErr w:type="gramStart"/>
      <w:r>
        <w:t>households’</w:t>
      </w:r>
      <w:proofErr w:type="gramEnd"/>
      <w:r>
        <w:t>. The former category (no children) is about 10% more likely to have all or most of the adaptations that</w:t>
      </w:r>
      <w:r>
        <w:t xml:space="preserve"> they need than the latter, but the numbers with children are small, and there is not enough detail to confidently assume ‘multi-person households’ means it includes children, let alone a disabled child. </w:t>
      </w:r>
    </w:p>
    <w:p w14:paraId="555C5B77" w14:textId="77777777" w:rsidR="00B94971" w:rsidRDefault="0047225A">
      <w:pPr>
        <w:spacing w:after="0" w:line="259" w:lineRule="auto"/>
        <w:ind w:left="0" w:firstLine="0"/>
        <w:jc w:val="left"/>
      </w:pPr>
      <w:r>
        <w:t xml:space="preserve"> </w:t>
      </w:r>
    </w:p>
    <w:p w14:paraId="532DCEB4" w14:textId="77777777" w:rsidR="00B94971" w:rsidRDefault="0047225A">
      <w:pPr>
        <w:pStyle w:val="Heading2"/>
        <w:spacing w:after="0" w:line="259" w:lineRule="auto"/>
        <w:ind w:right="3"/>
        <w:jc w:val="center"/>
      </w:pPr>
      <w:r>
        <w:rPr>
          <w:b/>
          <w:i w:val="0"/>
        </w:rPr>
        <w:t>Table 6</w:t>
      </w:r>
      <w:r>
        <w:rPr>
          <w:i w:val="0"/>
        </w:rPr>
        <w:t xml:space="preserve">: Variations in number of adaptations according to Age (EHCS2003) </w:t>
      </w:r>
    </w:p>
    <w:p w14:paraId="1F5FAD81" w14:textId="77777777" w:rsidR="00B94971" w:rsidRDefault="0047225A">
      <w:pPr>
        <w:spacing w:after="0" w:line="259" w:lineRule="auto"/>
        <w:ind w:left="0" w:firstLine="0"/>
        <w:jc w:val="left"/>
      </w:pPr>
      <w:r>
        <w:t xml:space="preserve"> </w:t>
      </w:r>
    </w:p>
    <w:tbl>
      <w:tblPr>
        <w:tblStyle w:val="TableGrid"/>
        <w:tblW w:w="9304" w:type="dxa"/>
        <w:tblInd w:w="-140" w:type="dxa"/>
        <w:tblCellMar>
          <w:top w:w="7" w:type="dxa"/>
          <w:left w:w="111" w:type="dxa"/>
          <w:bottom w:w="0" w:type="dxa"/>
          <w:right w:w="61" w:type="dxa"/>
        </w:tblCellMar>
        <w:tblLook w:val="04A0" w:firstRow="1" w:lastRow="0" w:firstColumn="1" w:lastColumn="0" w:noHBand="0" w:noVBand="1"/>
      </w:tblPr>
      <w:tblGrid>
        <w:gridCol w:w="1931"/>
        <w:gridCol w:w="2127"/>
        <w:gridCol w:w="1133"/>
        <w:gridCol w:w="1136"/>
        <w:gridCol w:w="991"/>
        <w:gridCol w:w="994"/>
        <w:gridCol w:w="992"/>
      </w:tblGrid>
      <w:tr w:rsidR="00B94971" w14:paraId="4911DA4B" w14:textId="77777777">
        <w:trPr>
          <w:trHeight w:val="490"/>
        </w:trPr>
        <w:tc>
          <w:tcPr>
            <w:tcW w:w="1932" w:type="dxa"/>
            <w:tcBorders>
              <w:top w:val="single" w:sz="12" w:space="0" w:color="000000"/>
              <w:left w:val="single" w:sz="12" w:space="0" w:color="000000"/>
              <w:bottom w:val="single" w:sz="12" w:space="0" w:color="000000"/>
              <w:right w:val="single" w:sz="12" w:space="0" w:color="000000"/>
            </w:tcBorders>
          </w:tcPr>
          <w:p w14:paraId="348FE6BC" w14:textId="77777777" w:rsidR="00B94971" w:rsidRDefault="0047225A">
            <w:pPr>
              <w:spacing w:after="0" w:line="259" w:lineRule="auto"/>
              <w:ind w:left="0" w:firstLine="0"/>
              <w:jc w:val="left"/>
            </w:pPr>
            <w:r>
              <w:rPr>
                <w:sz w:val="20"/>
              </w:rPr>
              <w:t xml:space="preserve"> </w:t>
            </w:r>
          </w:p>
        </w:tc>
        <w:tc>
          <w:tcPr>
            <w:tcW w:w="2127" w:type="dxa"/>
            <w:tcBorders>
              <w:top w:val="single" w:sz="12" w:space="0" w:color="000000"/>
              <w:left w:val="single" w:sz="12" w:space="0" w:color="000000"/>
              <w:bottom w:val="single" w:sz="12" w:space="0" w:color="000000"/>
              <w:right w:val="single" w:sz="4" w:space="0" w:color="000000"/>
            </w:tcBorders>
          </w:tcPr>
          <w:p w14:paraId="0F938EF8" w14:textId="77777777" w:rsidR="00B94971" w:rsidRDefault="0047225A">
            <w:pPr>
              <w:spacing w:after="0" w:line="259" w:lineRule="auto"/>
              <w:ind w:left="0" w:firstLine="0"/>
              <w:jc w:val="center"/>
            </w:pPr>
            <w:r>
              <w:rPr>
                <w:b/>
                <w:sz w:val="20"/>
              </w:rPr>
              <w:t xml:space="preserve">Households requiring adaptations </w:t>
            </w:r>
          </w:p>
        </w:tc>
        <w:tc>
          <w:tcPr>
            <w:tcW w:w="2268" w:type="dxa"/>
            <w:gridSpan w:val="2"/>
            <w:tcBorders>
              <w:top w:val="single" w:sz="12" w:space="0" w:color="000000"/>
              <w:left w:val="single" w:sz="4" w:space="0" w:color="000000"/>
              <w:bottom w:val="single" w:sz="12" w:space="0" w:color="000000"/>
              <w:right w:val="single" w:sz="4" w:space="0" w:color="000000"/>
            </w:tcBorders>
          </w:tcPr>
          <w:p w14:paraId="2AE07D50" w14:textId="77777777" w:rsidR="00B94971" w:rsidRDefault="0047225A">
            <w:pPr>
              <w:spacing w:after="0" w:line="259" w:lineRule="auto"/>
              <w:ind w:left="0" w:firstLine="0"/>
              <w:jc w:val="center"/>
            </w:pPr>
            <w:r>
              <w:rPr>
                <w:b/>
                <w:sz w:val="20"/>
              </w:rPr>
              <w:t>Households with zero adaptations</w:t>
            </w:r>
            <w:r>
              <w:rPr>
                <w:sz w:val="20"/>
              </w:rPr>
              <w:t xml:space="preserve"> </w:t>
            </w:r>
          </w:p>
        </w:tc>
        <w:tc>
          <w:tcPr>
            <w:tcW w:w="2977" w:type="dxa"/>
            <w:gridSpan w:val="3"/>
            <w:tcBorders>
              <w:top w:val="single" w:sz="12" w:space="0" w:color="000000"/>
              <w:left w:val="single" w:sz="4" w:space="0" w:color="000000"/>
              <w:bottom w:val="single" w:sz="12" w:space="0" w:color="000000"/>
              <w:right w:val="single" w:sz="12" w:space="0" w:color="000000"/>
            </w:tcBorders>
          </w:tcPr>
          <w:p w14:paraId="013428E7" w14:textId="77777777" w:rsidR="00B94971" w:rsidRDefault="0047225A">
            <w:pPr>
              <w:spacing w:after="0" w:line="259" w:lineRule="auto"/>
              <w:ind w:left="284" w:right="287" w:firstLine="0"/>
              <w:jc w:val="center"/>
            </w:pPr>
            <w:r>
              <w:rPr>
                <w:b/>
                <w:sz w:val="20"/>
              </w:rPr>
              <w:t xml:space="preserve">Differential Provision (%) </w:t>
            </w:r>
          </w:p>
        </w:tc>
      </w:tr>
      <w:tr w:rsidR="00B94971" w14:paraId="5FAF41CD" w14:textId="77777777">
        <w:trPr>
          <w:trHeight w:val="480"/>
        </w:trPr>
        <w:tc>
          <w:tcPr>
            <w:tcW w:w="1932" w:type="dxa"/>
            <w:tcBorders>
              <w:top w:val="single" w:sz="12" w:space="0" w:color="000000"/>
              <w:left w:val="single" w:sz="12" w:space="0" w:color="000000"/>
              <w:bottom w:val="single" w:sz="4" w:space="0" w:color="000000"/>
              <w:right w:val="single" w:sz="12" w:space="0" w:color="000000"/>
            </w:tcBorders>
          </w:tcPr>
          <w:p w14:paraId="4CF047D0" w14:textId="77777777" w:rsidR="00B94971" w:rsidRDefault="0047225A">
            <w:pPr>
              <w:spacing w:after="0" w:line="259" w:lineRule="auto"/>
              <w:ind w:left="0" w:firstLine="0"/>
              <w:jc w:val="center"/>
            </w:pPr>
            <w:r>
              <w:rPr>
                <w:b/>
                <w:sz w:val="20"/>
              </w:rPr>
              <w:t xml:space="preserve">Age of Oldest person in household </w:t>
            </w:r>
          </w:p>
        </w:tc>
        <w:tc>
          <w:tcPr>
            <w:tcW w:w="2127" w:type="dxa"/>
            <w:tcBorders>
              <w:top w:val="single" w:sz="12" w:space="0" w:color="000000"/>
              <w:left w:val="single" w:sz="12" w:space="0" w:color="000000"/>
              <w:bottom w:val="single" w:sz="4" w:space="0" w:color="000000"/>
              <w:right w:val="single" w:sz="4" w:space="0" w:color="000000"/>
            </w:tcBorders>
          </w:tcPr>
          <w:p w14:paraId="38FFD054" w14:textId="77777777" w:rsidR="00B94971" w:rsidRDefault="0047225A">
            <w:pPr>
              <w:spacing w:after="0" w:line="259" w:lineRule="auto"/>
              <w:ind w:left="0" w:right="54" w:firstLine="0"/>
              <w:jc w:val="center"/>
            </w:pPr>
            <w:r>
              <w:rPr>
                <w:b/>
                <w:sz w:val="20"/>
              </w:rPr>
              <w:t xml:space="preserve">Number </w:t>
            </w:r>
          </w:p>
        </w:tc>
        <w:tc>
          <w:tcPr>
            <w:tcW w:w="1133" w:type="dxa"/>
            <w:tcBorders>
              <w:top w:val="single" w:sz="12" w:space="0" w:color="000000"/>
              <w:left w:val="single" w:sz="4" w:space="0" w:color="000000"/>
              <w:bottom w:val="single" w:sz="4" w:space="0" w:color="000000"/>
              <w:right w:val="single" w:sz="4" w:space="0" w:color="000000"/>
            </w:tcBorders>
          </w:tcPr>
          <w:p w14:paraId="48E7F138" w14:textId="77777777" w:rsidR="00B94971" w:rsidRDefault="0047225A">
            <w:pPr>
              <w:spacing w:after="0" w:line="259" w:lineRule="auto"/>
              <w:ind w:left="100" w:firstLine="0"/>
              <w:jc w:val="left"/>
            </w:pPr>
            <w:r>
              <w:rPr>
                <w:b/>
                <w:sz w:val="20"/>
              </w:rPr>
              <w:t xml:space="preserve">Number </w:t>
            </w:r>
          </w:p>
        </w:tc>
        <w:tc>
          <w:tcPr>
            <w:tcW w:w="1136" w:type="dxa"/>
            <w:tcBorders>
              <w:top w:val="single" w:sz="12" w:space="0" w:color="000000"/>
              <w:left w:val="single" w:sz="4" w:space="0" w:color="000000"/>
              <w:bottom w:val="single" w:sz="4" w:space="0" w:color="000000"/>
              <w:right w:val="single" w:sz="4" w:space="0" w:color="000000"/>
            </w:tcBorders>
          </w:tcPr>
          <w:p w14:paraId="051DCEDC" w14:textId="77777777" w:rsidR="00B94971" w:rsidRDefault="0047225A">
            <w:pPr>
              <w:spacing w:after="0" w:line="259" w:lineRule="auto"/>
              <w:ind w:left="0" w:firstLine="0"/>
              <w:jc w:val="center"/>
            </w:pPr>
            <w:r>
              <w:rPr>
                <w:b/>
                <w:sz w:val="20"/>
              </w:rPr>
              <w:t xml:space="preserve">% </w:t>
            </w:r>
            <w:proofErr w:type="gramStart"/>
            <w:r>
              <w:rPr>
                <w:b/>
                <w:sz w:val="20"/>
              </w:rPr>
              <w:t>of</w:t>
            </w:r>
            <w:proofErr w:type="gramEnd"/>
            <w:r>
              <w:rPr>
                <w:b/>
                <w:sz w:val="20"/>
              </w:rPr>
              <w:t xml:space="preserve"> category </w:t>
            </w:r>
          </w:p>
        </w:tc>
        <w:tc>
          <w:tcPr>
            <w:tcW w:w="991" w:type="dxa"/>
            <w:tcBorders>
              <w:top w:val="single" w:sz="12" w:space="0" w:color="000000"/>
              <w:left w:val="single" w:sz="4" w:space="0" w:color="000000"/>
              <w:bottom w:val="single" w:sz="4" w:space="0" w:color="000000"/>
              <w:right w:val="single" w:sz="4" w:space="0" w:color="000000"/>
            </w:tcBorders>
          </w:tcPr>
          <w:p w14:paraId="63957568" w14:textId="77777777" w:rsidR="00B94971" w:rsidRDefault="0047225A">
            <w:pPr>
              <w:spacing w:after="0" w:line="259" w:lineRule="auto"/>
              <w:ind w:left="0" w:right="54" w:firstLine="0"/>
              <w:jc w:val="center"/>
            </w:pPr>
            <w:r>
              <w:rPr>
                <w:b/>
                <w:sz w:val="20"/>
              </w:rPr>
              <w:t xml:space="preserve">Have </w:t>
            </w:r>
          </w:p>
          <w:p w14:paraId="77C60C6A" w14:textId="77777777" w:rsidR="00B94971" w:rsidRDefault="0047225A">
            <w:pPr>
              <w:spacing w:after="0" w:line="259" w:lineRule="auto"/>
              <w:ind w:left="0" w:right="51" w:firstLine="0"/>
              <w:jc w:val="center"/>
            </w:pPr>
            <w:r>
              <w:rPr>
                <w:b/>
                <w:sz w:val="20"/>
              </w:rPr>
              <w:t xml:space="preserve">Most </w:t>
            </w:r>
          </w:p>
        </w:tc>
        <w:tc>
          <w:tcPr>
            <w:tcW w:w="994" w:type="dxa"/>
            <w:tcBorders>
              <w:top w:val="single" w:sz="12" w:space="0" w:color="000000"/>
              <w:left w:val="single" w:sz="4" w:space="0" w:color="000000"/>
              <w:bottom w:val="single" w:sz="4" w:space="0" w:color="000000"/>
              <w:right w:val="single" w:sz="4" w:space="0" w:color="000000"/>
            </w:tcBorders>
          </w:tcPr>
          <w:p w14:paraId="03D74575" w14:textId="77777777" w:rsidR="00B94971" w:rsidRDefault="0047225A">
            <w:pPr>
              <w:spacing w:after="0" w:line="259" w:lineRule="auto"/>
              <w:ind w:left="151" w:firstLine="17"/>
              <w:jc w:val="left"/>
            </w:pPr>
            <w:r>
              <w:rPr>
                <w:b/>
                <w:sz w:val="20"/>
              </w:rPr>
              <w:t xml:space="preserve">Need Some </w:t>
            </w:r>
          </w:p>
        </w:tc>
        <w:tc>
          <w:tcPr>
            <w:tcW w:w="991" w:type="dxa"/>
            <w:tcBorders>
              <w:top w:val="single" w:sz="12" w:space="0" w:color="000000"/>
              <w:left w:val="single" w:sz="4" w:space="0" w:color="000000"/>
              <w:bottom w:val="single" w:sz="4" w:space="0" w:color="000000"/>
              <w:right w:val="single" w:sz="12" w:space="0" w:color="000000"/>
            </w:tcBorders>
          </w:tcPr>
          <w:p w14:paraId="74905239" w14:textId="77777777" w:rsidR="00B94971" w:rsidRDefault="0047225A">
            <w:pPr>
              <w:spacing w:after="0" w:line="259" w:lineRule="auto"/>
              <w:ind w:left="0" w:firstLine="0"/>
              <w:jc w:val="center"/>
            </w:pPr>
            <w:r>
              <w:rPr>
                <w:b/>
                <w:sz w:val="20"/>
              </w:rPr>
              <w:t xml:space="preserve">Need Many </w:t>
            </w:r>
          </w:p>
        </w:tc>
      </w:tr>
      <w:tr w:rsidR="00B94971" w14:paraId="090F93C2" w14:textId="77777777">
        <w:trPr>
          <w:trHeight w:val="240"/>
        </w:trPr>
        <w:tc>
          <w:tcPr>
            <w:tcW w:w="1932" w:type="dxa"/>
            <w:tcBorders>
              <w:top w:val="single" w:sz="4" w:space="0" w:color="000000"/>
              <w:left w:val="single" w:sz="12" w:space="0" w:color="000000"/>
              <w:bottom w:val="single" w:sz="4" w:space="0" w:color="000000"/>
              <w:right w:val="single" w:sz="12" w:space="0" w:color="000000"/>
            </w:tcBorders>
          </w:tcPr>
          <w:p w14:paraId="617C414B" w14:textId="77777777" w:rsidR="00B94971" w:rsidRDefault="0047225A">
            <w:pPr>
              <w:spacing w:after="0" w:line="259" w:lineRule="auto"/>
              <w:ind w:left="0" w:firstLine="0"/>
              <w:jc w:val="left"/>
            </w:pPr>
            <w:r>
              <w:rPr>
                <w:sz w:val="20"/>
              </w:rPr>
              <w:lastRenderedPageBreak/>
              <w:t xml:space="preserve">16 - 24 </w:t>
            </w:r>
          </w:p>
        </w:tc>
        <w:tc>
          <w:tcPr>
            <w:tcW w:w="2127" w:type="dxa"/>
            <w:tcBorders>
              <w:top w:val="single" w:sz="4" w:space="0" w:color="000000"/>
              <w:left w:val="single" w:sz="12" w:space="0" w:color="000000"/>
              <w:bottom w:val="single" w:sz="4" w:space="0" w:color="000000"/>
              <w:right w:val="single" w:sz="4" w:space="0" w:color="000000"/>
            </w:tcBorders>
          </w:tcPr>
          <w:p w14:paraId="76E1C2B1" w14:textId="77777777" w:rsidR="00B94971" w:rsidRDefault="0047225A">
            <w:pPr>
              <w:spacing w:after="0" w:line="259" w:lineRule="auto"/>
              <w:ind w:left="0" w:right="51" w:firstLine="0"/>
              <w:jc w:val="center"/>
            </w:pPr>
            <w:r>
              <w:rPr>
                <w:sz w:val="20"/>
              </w:rPr>
              <w:t xml:space="preserve">11 </w:t>
            </w:r>
          </w:p>
        </w:tc>
        <w:tc>
          <w:tcPr>
            <w:tcW w:w="1133" w:type="dxa"/>
            <w:tcBorders>
              <w:top w:val="single" w:sz="4" w:space="0" w:color="000000"/>
              <w:left w:val="single" w:sz="4" w:space="0" w:color="000000"/>
              <w:bottom w:val="single" w:sz="4" w:space="0" w:color="000000"/>
              <w:right w:val="single" w:sz="4" w:space="0" w:color="000000"/>
            </w:tcBorders>
          </w:tcPr>
          <w:p w14:paraId="4DF70872" w14:textId="77777777" w:rsidR="00B94971" w:rsidRDefault="0047225A">
            <w:pPr>
              <w:spacing w:after="0" w:line="259" w:lineRule="auto"/>
              <w:ind w:left="0" w:right="51" w:firstLine="0"/>
              <w:jc w:val="center"/>
            </w:pPr>
            <w:r>
              <w:rPr>
                <w:sz w:val="20"/>
              </w:rPr>
              <w:t xml:space="preserve">5 </w:t>
            </w:r>
          </w:p>
        </w:tc>
        <w:tc>
          <w:tcPr>
            <w:tcW w:w="1136" w:type="dxa"/>
            <w:tcBorders>
              <w:top w:val="single" w:sz="4" w:space="0" w:color="000000"/>
              <w:left w:val="single" w:sz="4" w:space="0" w:color="000000"/>
              <w:bottom w:val="single" w:sz="4" w:space="0" w:color="000000"/>
              <w:right w:val="single" w:sz="4" w:space="0" w:color="000000"/>
            </w:tcBorders>
          </w:tcPr>
          <w:p w14:paraId="190BD8E7" w14:textId="77777777" w:rsidR="00B94971" w:rsidRDefault="0047225A">
            <w:pPr>
              <w:spacing w:after="0" w:line="259" w:lineRule="auto"/>
              <w:ind w:left="0" w:right="52" w:firstLine="0"/>
              <w:jc w:val="center"/>
            </w:pPr>
            <w:r>
              <w:rPr>
                <w:sz w:val="20"/>
              </w:rPr>
              <w:t xml:space="preserve">45.5 </w:t>
            </w:r>
          </w:p>
        </w:tc>
        <w:tc>
          <w:tcPr>
            <w:tcW w:w="991" w:type="dxa"/>
            <w:tcBorders>
              <w:top w:val="single" w:sz="4" w:space="0" w:color="000000"/>
              <w:left w:val="single" w:sz="4" w:space="0" w:color="000000"/>
              <w:bottom w:val="single" w:sz="4" w:space="0" w:color="000000"/>
              <w:right w:val="single" w:sz="4" w:space="0" w:color="000000"/>
            </w:tcBorders>
          </w:tcPr>
          <w:p w14:paraId="768CE770" w14:textId="77777777" w:rsidR="00B94971" w:rsidRDefault="0047225A">
            <w:pPr>
              <w:spacing w:after="0" w:line="259" w:lineRule="auto"/>
              <w:ind w:left="0" w:right="52" w:firstLine="0"/>
              <w:jc w:val="center"/>
            </w:pPr>
            <w:r>
              <w:rPr>
                <w:sz w:val="20"/>
              </w:rPr>
              <w:t xml:space="preserve">54.5 </w:t>
            </w:r>
          </w:p>
        </w:tc>
        <w:tc>
          <w:tcPr>
            <w:tcW w:w="994" w:type="dxa"/>
            <w:tcBorders>
              <w:top w:val="single" w:sz="4" w:space="0" w:color="000000"/>
              <w:left w:val="single" w:sz="4" w:space="0" w:color="000000"/>
              <w:bottom w:val="single" w:sz="4" w:space="0" w:color="000000"/>
              <w:right w:val="single" w:sz="4" w:space="0" w:color="000000"/>
            </w:tcBorders>
          </w:tcPr>
          <w:p w14:paraId="1697A582" w14:textId="77777777" w:rsidR="00B94971" w:rsidRDefault="0047225A">
            <w:pPr>
              <w:spacing w:after="0" w:line="259" w:lineRule="auto"/>
              <w:ind w:left="0" w:right="55" w:firstLine="0"/>
              <w:jc w:val="center"/>
            </w:pPr>
            <w:r>
              <w:rPr>
                <w:sz w:val="20"/>
              </w:rPr>
              <w:t xml:space="preserve">18.2 </w:t>
            </w:r>
          </w:p>
        </w:tc>
        <w:tc>
          <w:tcPr>
            <w:tcW w:w="991" w:type="dxa"/>
            <w:tcBorders>
              <w:top w:val="single" w:sz="4" w:space="0" w:color="000000"/>
              <w:left w:val="single" w:sz="4" w:space="0" w:color="000000"/>
              <w:bottom w:val="single" w:sz="4" w:space="0" w:color="000000"/>
              <w:right w:val="single" w:sz="12" w:space="0" w:color="000000"/>
            </w:tcBorders>
          </w:tcPr>
          <w:p w14:paraId="52B51C68" w14:textId="77777777" w:rsidR="00B94971" w:rsidRDefault="0047225A">
            <w:pPr>
              <w:spacing w:after="0" w:line="259" w:lineRule="auto"/>
              <w:ind w:left="0" w:right="52" w:firstLine="0"/>
              <w:jc w:val="center"/>
            </w:pPr>
            <w:r>
              <w:rPr>
                <w:sz w:val="20"/>
              </w:rPr>
              <w:t xml:space="preserve">27.3 </w:t>
            </w:r>
          </w:p>
        </w:tc>
      </w:tr>
      <w:tr w:rsidR="00B94971" w14:paraId="2FF76205" w14:textId="77777777">
        <w:trPr>
          <w:trHeight w:val="240"/>
        </w:trPr>
        <w:tc>
          <w:tcPr>
            <w:tcW w:w="1932" w:type="dxa"/>
            <w:tcBorders>
              <w:top w:val="single" w:sz="4" w:space="0" w:color="000000"/>
              <w:left w:val="single" w:sz="12" w:space="0" w:color="000000"/>
              <w:bottom w:val="single" w:sz="4" w:space="0" w:color="000000"/>
              <w:right w:val="single" w:sz="12" w:space="0" w:color="000000"/>
            </w:tcBorders>
          </w:tcPr>
          <w:p w14:paraId="35A42204" w14:textId="77777777" w:rsidR="00B94971" w:rsidRDefault="0047225A">
            <w:pPr>
              <w:spacing w:after="0" w:line="259" w:lineRule="auto"/>
              <w:ind w:left="0" w:firstLine="0"/>
              <w:jc w:val="left"/>
            </w:pPr>
            <w:r>
              <w:rPr>
                <w:sz w:val="20"/>
              </w:rPr>
              <w:t xml:space="preserve">25 - 34 </w:t>
            </w:r>
          </w:p>
        </w:tc>
        <w:tc>
          <w:tcPr>
            <w:tcW w:w="2127" w:type="dxa"/>
            <w:tcBorders>
              <w:top w:val="single" w:sz="4" w:space="0" w:color="000000"/>
              <w:left w:val="single" w:sz="12" w:space="0" w:color="000000"/>
              <w:bottom w:val="single" w:sz="4" w:space="0" w:color="000000"/>
              <w:right w:val="single" w:sz="4" w:space="0" w:color="000000"/>
            </w:tcBorders>
          </w:tcPr>
          <w:p w14:paraId="74B9B131" w14:textId="77777777" w:rsidR="00B94971" w:rsidRDefault="0047225A">
            <w:pPr>
              <w:spacing w:after="0" w:line="259" w:lineRule="auto"/>
              <w:ind w:left="0" w:right="51" w:firstLine="0"/>
              <w:jc w:val="center"/>
            </w:pPr>
            <w:r>
              <w:rPr>
                <w:sz w:val="20"/>
              </w:rPr>
              <w:t xml:space="preserve">43 </w:t>
            </w:r>
          </w:p>
        </w:tc>
        <w:tc>
          <w:tcPr>
            <w:tcW w:w="1133" w:type="dxa"/>
            <w:tcBorders>
              <w:top w:val="single" w:sz="4" w:space="0" w:color="000000"/>
              <w:left w:val="single" w:sz="4" w:space="0" w:color="000000"/>
              <w:bottom w:val="single" w:sz="4" w:space="0" w:color="000000"/>
              <w:right w:val="single" w:sz="4" w:space="0" w:color="000000"/>
            </w:tcBorders>
          </w:tcPr>
          <w:p w14:paraId="12CF986B" w14:textId="77777777" w:rsidR="00B94971" w:rsidRDefault="0047225A">
            <w:pPr>
              <w:spacing w:after="0" w:line="259" w:lineRule="auto"/>
              <w:ind w:left="0" w:right="51" w:firstLine="0"/>
              <w:jc w:val="center"/>
            </w:pPr>
            <w:r>
              <w:rPr>
                <w:sz w:val="20"/>
              </w:rPr>
              <w:t xml:space="preserve">23 </w:t>
            </w:r>
          </w:p>
        </w:tc>
        <w:tc>
          <w:tcPr>
            <w:tcW w:w="1136" w:type="dxa"/>
            <w:tcBorders>
              <w:top w:val="single" w:sz="4" w:space="0" w:color="000000"/>
              <w:left w:val="single" w:sz="4" w:space="0" w:color="000000"/>
              <w:bottom w:val="single" w:sz="4" w:space="0" w:color="000000"/>
              <w:right w:val="single" w:sz="4" w:space="0" w:color="000000"/>
            </w:tcBorders>
          </w:tcPr>
          <w:p w14:paraId="4116FED6" w14:textId="77777777" w:rsidR="00B94971" w:rsidRDefault="0047225A">
            <w:pPr>
              <w:spacing w:after="0" w:line="259" w:lineRule="auto"/>
              <w:ind w:left="0" w:right="52" w:firstLine="0"/>
              <w:jc w:val="center"/>
            </w:pPr>
            <w:r>
              <w:rPr>
                <w:sz w:val="20"/>
              </w:rPr>
              <w:t xml:space="preserve">53.5 </w:t>
            </w:r>
          </w:p>
        </w:tc>
        <w:tc>
          <w:tcPr>
            <w:tcW w:w="991" w:type="dxa"/>
            <w:tcBorders>
              <w:top w:val="single" w:sz="4" w:space="0" w:color="000000"/>
              <w:left w:val="single" w:sz="4" w:space="0" w:color="000000"/>
              <w:bottom w:val="single" w:sz="4" w:space="0" w:color="000000"/>
              <w:right w:val="single" w:sz="4" w:space="0" w:color="000000"/>
            </w:tcBorders>
          </w:tcPr>
          <w:p w14:paraId="2A3B39E6" w14:textId="77777777" w:rsidR="00B94971" w:rsidRDefault="0047225A">
            <w:pPr>
              <w:spacing w:after="0" w:line="259" w:lineRule="auto"/>
              <w:ind w:left="0" w:right="52" w:firstLine="0"/>
              <w:jc w:val="center"/>
            </w:pPr>
            <w:r>
              <w:rPr>
                <w:sz w:val="20"/>
              </w:rPr>
              <w:t xml:space="preserve">55.8 </w:t>
            </w:r>
          </w:p>
        </w:tc>
        <w:tc>
          <w:tcPr>
            <w:tcW w:w="994" w:type="dxa"/>
            <w:tcBorders>
              <w:top w:val="single" w:sz="4" w:space="0" w:color="000000"/>
              <w:left w:val="single" w:sz="4" w:space="0" w:color="000000"/>
              <w:bottom w:val="single" w:sz="4" w:space="0" w:color="000000"/>
              <w:right w:val="single" w:sz="4" w:space="0" w:color="000000"/>
            </w:tcBorders>
          </w:tcPr>
          <w:p w14:paraId="3D290472" w14:textId="77777777" w:rsidR="00B94971" w:rsidRDefault="0047225A">
            <w:pPr>
              <w:spacing w:after="0" w:line="259" w:lineRule="auto"/>
              <w:ind w:left="0" w:right="55" w:firstLine="0"/>
              <w:jc w:val="center"/>
            </w:pPr>
            <w:r>
              <w:rPr>
                <w:sz w:val="20"/>
              </w:rPr>
              <w:t xml:space="preserve">20.9 </w:t>
            </w:r>
          </w:p>
        </w:tc>
        <w:tc>
          <w:tcPr>
            <w:tcW w:w="991" w:type="dxa"/>
            <w:tcBorders>
              <w:top w:val="single" w:sz="4" w:space="0" w:color="000000"/>
              <w:left w:val="single" w:sz="4" w:space="0" w:color="000000"/>
              <w:bottom w:val="single" w:sz="4" w:space="0" w:color="000000"/>
              <w:right w:val="single" w:sz="12" w:space="0" w:color="000000"/>
            </w:tcBorders>
          </w:tcPr>
          <w:p w14:paraId="699C65B9" w14:textId="77777777" w:rsidR="00B94971" w:rsidRDefault="0047225A">
            <w:pPr>
              <w:spacing w:after="0" w:line="259" w:lineRule="auto"/>
              <w:ind w:left="0" w:right="52" w:firstLine="0"/>
              <w:jc w:val="center"/>
            </w:pPr>
            <w:r>
              <w:rPr>
                <w:sz w:val="20"/>
              </w:rPr>
              <w:t xml:space="preserve">23.3 </w:t>
            </w:r>
          </w:p>
        </w:tc>
      </w:tr>
      <w:tr w:rsidR="00B94971" w14:paraId="6749BF1A" w14:textId="77777777">
        <w:trPr>
          <w:trHeight w:val="240"/>
        </w:trPr>
        <w:tc>
          <w:tcPr>
            <w:tcW w:w="1932" w:type="dxa"/>
            <w:tcBorders>
              <w:top w:val="single" w:sz="4" w:space="0" w:color="000000"/>
              <w:left w:val="single" w:sz="12" w:space="0" w:color="000000"/>
              <w:bottom w:val="single" w:sz="4" w:space="0" w:color="000000"/>
              <w:right w:val="single" w:sz="12" w:space="0" w:color="000000"/>
            </w:tcBorders>
          </w:tcPr>
          <w:p w14:paraId="40781E4D" w14:textId="77777777" w:rsidR="00B94971" w:rsidRDefault="0047225A">
            <w:pPr>
              <w:spacing w:after="0" w:line="259" w:lineRule="auto"/>
              <w:ind w:left="0" w:firstLine="0"/>
              <w:jc w:val="left"/>
            </w:pPr>
            <w:r>
              <w:rPr>
                <w:sz w:val="20"/>
              </w:rPr>
              <w:t xml:space="preserve">35 - 49 </w:t>
            </w:r>
          </w:p>
        </w:tc>
        <w:tc>
          <w:tcPr>
            <w:tcW w:w="2127" w:type="dxa"/>
            <w:tcBorders>
              <w:top w:val="single" w:sz="4" w:space="0" w:color="000000"/>
              <w:left w:val="single" w:sz="12" w:space="0" w:color="000000"/>
              <w:bottom w:val="single" w:sz="4" w:space="0" w:color="000000"/>
              <w:right w:val="single" w:sz="4" w:space="0" w:color="000000"/>
            </w:tcBorders>
          </w:tcPr>
          <w:p w14:paraId="5B2F4A8F" w14:textId="77777777" w:rsidR="00B94971" w:rsidRDefault="0047225A">
            <w:pPr>
              <w:spacing w:after="0" w:line="259" w:lineRule="auto"/>
              <w:ind w:left="0" w:right="51" w:firstLine="0"/>
              <w:jc w:val="center"/>
            </w:pPr>
            <w:r>
              <w:rPr>
                <w:sz w:val="20"/>
              </w:rPr>
              <w:t xml:space="preserve">244 </w:t>
            </w:r>
          </w:p>
        </w:tc>
        <w:tc>
          <w:tcPr>
            <w:tcW w:w="1133" w:type="dxa"/>
            <w:tcBorders>
              <w:top w:val="single" w:sz="4" w:space="0" w:color="000000"/>
              <w:left w:val="single" w:sz="4" w:space="0" w:color="000000"/>
              <w:bottom w:val="single" w:sz="4" w:space="0" w:color="000000"/>
              <w:right w:val="single" w:sz="4" w:space="0" w:color="000000"/>
            </w:tcBorders>
          </w:tcPr>
          <w:p w14:paraId="404C40F1" w14:textId="77777777" w:rsidR="00B94971" w:rsidRDefault="0047225A">
            <w:pPr>
              <w:spacing w:after="0" w:line="259" w:lineRule="auto"/>
              <w:ind w:left="0" w:right="51" w:firstLine="0"/>
              <w:jc w:val="center"/>
            </w:pPr>
            <w:r>
              <w:rPr>
                <w:sz w:val="20"/>
              </w:rPr>
              <w:t xml:space="preserve">77 </w:t>
            </w:r>
          </w:p>
        </w:tc>
        <w:tc>
          <w:tcPr>
            <w:tcW w:w="1136" w:type="dxa"/>
            <w:tcBorders>
              <w:top w:val="single" w:sz="4" w:space="0" w:color="000000"/>
              <w:left w:val="single" w:sz="4" w:space="0" w:color="000000"/>
              <w:bottom w:val="single" w:sz="4" w:space="0" w:color="000000"/>
              <w:right w:val="single" w:sz="4" w:space="0" w:color="000000"/>
            </w:tcBorders>
          </w:tcPr>
          <w:p w14:paraId="48643418" w14:textId="77777777" w:rsidR="00B94971" w:rsidRDefault="0047225A">
            <w:pPr>
              <w:spacing w:after="0" w:line="259" w:lineRule="auto"/>
              <w:ind w:left="0" w:right="52" w:firstLine="0"/>
              <w:jc w:val="center"/>
            </w:pPr>
            <w:r>
              <w:rPr>
                <w:sz w:val="20"/>
              </w:rPr>
              <w:t xml:space="preserve">31.6 </w:t>
            </w:r>
          </w:p>
        </w:tc>
        <w:tc>
          <w:tcPr>
            <w:tcW w:w="991" w:type="dxa"/>
            <w:tcBorders>
              <w:top w:val="single" w:sz="4" w:space="0" w:color="000000"/>
              <w:left w:val="single" w:sz="4" w:space="0" w:color="000000"/>
              <w:bottom w:val="single" w:sz="4" w:space="0" w:color="000000"/>
              <w:right w:val="single" w:sz="4" w:space="0" w:color="000000"/>
            </w:tcBorders>
          </w:tcPr>
          <w:p w14:paraId="472F4EB1" w14:textId="77777777" w:rsidR="00B94971" w:rsidRDefault="0047225A">
            <w:pPr>
              <w:spacing w:after="0" w:line="259" w:lineRule="auto"/>
              <w:ind w:left="0" w:right="52" w:firstLine="0"/>
              <w:jc w:val="center"/>
            </w:pPr>
            <w:r>
              <w:rPr>
                <w:sz w:val="20"/>
              </w:rPr>
              <w:t xml:space="preserve">60.2 </w:t>
            </w:r>
          </w:p>
        </w:tc>
        <w:tc>
          <w:tcPr>
            <w:tcW w:w="994" w:type="dxa"/>
            <w:tcBorders>
              <w:top w:val="single" w:sz="4" w:space="0" w:color="000000"/>
              <w:left w:val="single" w:sz="4" w:space="0" w:color="000000"/>
              <w:bottom w:val="single" w:sz="4" w:space="0" w:color="000000"/>
              <w:right w:val="single" w:sz="4" w:space="0" w:color="000000"/>
            </w:tcBorders>
          </w:tcPr>
          <w:p w14:paraId="7CEAAB32" w14:textId="77777777" w:rsidR="00B94971" w:rsidRDefault="0047225A">
            <w:pPr>
              <w:spacing w:after="0" w:line="259" w:lineRule="auto"/>
              <w:ind w:left="0" w:right="55" w:firstLine="0"/>
              <w:jc w:val="center"/>
            </w:pPr>
            <w:r>
              <w:rPr>
                <w:sz w:val="20"/>
              </w:rPr>
              <w:t xml:space="preserve">23.4 </w:t>
            </w:r>
          </w:p>
        </w:tc>
        <w:tc>
          <w:tcPr>
            <w:tcW w:w="991" w:type="dxa"/>
            <w:tcBorders>
              <w:top w:val="single" w:sz="4" w:space="0" w:color="000000"/>
              <w:left w:val="single" w:sz="4" w:space="0" w:color="000000"/>
              <w:bottom w:val="single" w:sz="4" w:space="0" w:color="000000"/>
              <w:right w:val="single" w:sz="12" w:space="0" w:color="000000"/>
            </w:tcBorders>
          </w:tcPr>
          <w:p w14:paraId="51B6A7A1" w14:textId="77777777" w:rsidR="00B94971" w:rsidRDefault="0047225A">
            <w:pPr>
              <w:spacing w:after="0" w:line="259" w:lineRule="auto"/>
              <w:ind w:left="0" w:right="52" w:firstLine="0"/>
              <w:jc w:val="center"/>
            </w:pPr>
            <w:r>
              <w:rPr>
                <w:sz w:val="20"/>
              </w:rPr>
              <w:t xml:space="preserve">16.4 </w:t>
            </w:r>
          </w:p>
        </w:tc>
      </w:tr>
      <w:tr w:rsidR="00B94971" w14:paraId="69E368B4" w14:textId="77777777">
        <w:trPr>
          <w:trHeight w:val="240"/>
        </w:trPr>
        <w:tc>
          <w:tcPr>
            <w:tcW w:w="1932" w:type="dxa"/>
            <w:tcBorders>
              <w:top w:val="single" w:sz="4" w:space="0" w:color="000000"/>
              <w:left w:val="single" w:sz="12" w:space="0" w:color="000000"/>
              <w:bottom w:val="single" w:sz="4" w:space="0" w:color="000000"/>
              <w:right w:val="single" w:sz="12" w:space="0" w:color="000000"/>
            </w:tcBorders>
          </w:tcPr>
          <w:p w14:paraId="13352CB4" w14:textId="77777777" w:rsidR="00B94971" w:rsidRDefault="0047225A">
            <w:pPr>
              <w:spacing w:after="0" w:line="259" w:lineRule="auto"/>
              <w:ind w:left="0" w:firstLine="0"/>
              <w:jc w:val="left"/>
            </w:pPr>
            <w:r>
              <w:rPr>
                <w:sz w:val="20"/>
              </w:rPr>
              <w:t xml:space="preserve">50 - 59 </w:t>
            </w:r>
          </w:p>
        </w:tc>
        <w:tc>
          <w:tcPr>
            <w:tcW w:w="2127" w:type="dxa"/>
            <w:tcBorders>
              <w:top w:val="single" w:sz="4" w:space="0" w:color="000000"/>
              <w:left w:val="single" w:sz="12" w:space="0" w:color="000000"/>
              <w:bottom w:val="single" w:sz="4" w:space="0" w:color="000000"/>
              <w:right w:val="single" w:sz="4" w:space="0" w:color="000000"/>
            </w:tcBorders>
          </w:tcPr>
          <w:p w14:paraId="7A00AA36" w14:textId="77777777" w:rsidR="00B94971" w:rsidRDefault="0047225A">
            <w:pPr>
              <w:spacing w:after="0" w:line="259" w:lineRule="auto"/>
              <w:ind w:left="0" w:right="51" w:firstLine="0"/>
              <w:jc w:val="center"/>
            </w:pPr>
            <w:r>
              <w:rPr>
                <w:sz w:val="20"/>
              </w:rPr>
              <w:t xml:space="preserve">257 </w:t>
            </w:r>
          </w:p>
        </w:tc>
        <w:tc>
          <w:tcPr>
            <w:tcW w:w="1133" w:type="dxa"/>
            <w:tcBorders>
              <w:top w:val="single" w:sz="4" w:space="0" w:color="000000"/>
              <w:left w:val="single" w:sz="4" w:space="0" w:color="000000"/>
              <w:bottom w:val="single" w:sz="4" w:space="0" w:color="000000"/>
              <w:right w:val="single" w:sz="4" w:space="0" w:color="000000"/>
            </w:tcBorders>
          </w:tcPr>
          <w:p w14:paraId="068EDBFF" w14:textId="77777777" w:rsidR="00B94971" w:rsidRDefault="0047225A">
            <w:pPr>
              <w:spacing w:after="0" w:line="259" w:lineRule="auto"/>
              <w:ind w:left="0" w:right="51" w:firstLine="0"/>
              <w:jc w:val="center"/>
            </w:pPr>
            <w:r>
              <w:rPr>
                <w:sz w:val="20"/>
              </w:rPr>
              <w:t xml:space="preserve">51 </w:t>
            </w:r>
          </w:p>
        </w:tc>
        <w:tc>
          <w:tcPr>
            <w:tcW w:w="1136" w:type="dxa"/>
            <w:tcBorders>
              <w:top w:val="single" w:sz="4" w:space="0" w:color="000000"/>
              <w:left w:val="single" w:sz="4" w:space="0" w:color="000000"/>
              <w:bottom w:val="single" w:sz="4" w:space="0" w:color="000000"/>
              <w:right w:val="single" w:sz="4" w:space="0" w:color="000000"/>
            </w:tcBorders>
          </w:tcPr>
          <w:p w14:paraId="319A7B36" w14:textId="77777777" w:rsidR="00B94971" w:rsidRDefault="0047225A">
            <w:pPr>
              <w:spacing w:after="0" w:line="259" w:lineRule="auto"/>
              <w:ind w:left="0" w:right="52" w:firstLine="0"/>
              <w:jc w:val="center"/>
            </w:pPr>
            <w:r>
              <w:rPr>
                <w:sz w:val="20"/>
              </w:rPr>
              <w:t xml:space="preserve">19.8 </w:t>
            </w:r>
          </w:p>
        </w:tc>
        <w:tc>
          <w:tcPr>
            <w:tcW w:w="991" w:type="dxa"/>
            <w:tcBorders>
              <w:top w:val="single" w:sz="4" w:space="0" w:color="000000"/>
              <w:left w:val="single" w:sz="4" w:space="0" w:color="000000"/>
              <w:bottom w:val="single" w:sz="4" w:space="0" w:color="000000"/>
              <w:right w:val="single" w:sz="4" w:space="0" w:color="000000"/>
            </w:tcBorders>
          </w:tcPr>
          <w:p w14:paraId="0E759B97" w14:textId="77777777" w:rsidR="00B94971" w:rsidRDefault="0047225A">
            <w:pPr>
              <w:spacing w:after="0" w:line="259" w:lineRule="auto"/>
              <w:ind w:left="0" w:right="52" w:firstLine="0"/>
              <w:jc w:val="center"/>
            </w:pPr>
            <w:r>
              <w:rPr>
                <w:sz w:val="20"/>
              </w:rPr>
              <w:t xml:space="preserve">64.2 </w:t>
            </w:r>
          </w:p>
        </w:tc>
        <w:tc>
          <w:tcPr>
            <w:tcW w:w="994" w:type="dxa"/>
            <w:tcBorders>
              <w:top w:val="single" w:sz="4" w:space="0" w:color="000000"/>
              <w:left w:val="single" w:sz="4" w:space="0" w:color="000000"/>
              <w:bottom w:val="single" w:sz="4" w:space="0" w:color="000000"/>
              <w:right w:val="single" w:sz="4" w:space="0" w:color="000000"/>
            </w:tcBorders>
          </w:tcPr>
          <w:p w14:paraId="50DEA295" w14:textId="77777777" w:rsidR="00B94971" w:rsidRDefault="0047225A">
            <w:pPr>
              <w:spacing w:after="0" w:line="259" w:lineRule="auto"/>
              <w:ind w:left="0" w:right="55" w:firstLine="0"/>
              <w:jc w:val="center"/>
            </w:pPr>
            <w:r>
              <w:rPr>
                <w:sz w:val="20"/>
              </w:rPr>
              <w:t xml:space="preserve">21.4 </w:t>
            </w:r>
          </w:p>
        </w:tc>
        <w:tc>
          <w:tcPr>
            <w:tcW w:w="991" w:type="dxa"/>
            <w:tcBorders>
              <w:top w:val="single" w:sz="4" w:space="0" w:color="000000"/>
              <w:left w:val="single" w:sz="4" w:space="0" w:color="000000"/>
              <w:bottom w:val="single" w:sz="4" w:space="0" w:color="000000"/>
              <w:right w:val="single" w:sz="12" w:space="0" w:color="000000"/>
            </w:tcBorders>
          </w:tcPr>
          <w:p w14:paraId="081006D9" w14:textId="77777777" w:rsidR="00B94971" w:rsidRDefault="0047225A">
            <w:pPr>
              <w:spacing w:after="0" w:line="259" w:lineRule="auto"/>
              <w:ind w:left="0" w:right="52" w:firstLine="0"/>
              <w:jc w:val="center"/>
            </w:pPr>
            <w:r>
              <w:rPr>
                <w:sz w:val="20"/>
              </w:rPr>
              <w:t xml:space="preserve">14.4 </w:t>
            </w:r>
          </w:p>
        </w:tc>
      </w:tr>
      <w:tr w:rsidR="00B94971" w14:paraId="4743E8A5" w14:textId="77777777">
        <w:trPr>
          <w:trHeight w:val="240"/>
        </w:trPr>
        <w:tc>
          <w:tcPr>
            <w:tcW w:w="1932" w:type="dxa"/>
            <w:tcBorders>
              <w:top w:val="single" w:sz="4" w:space="0" w:color="000000"/>
              <w:left w:val="single" w:sz="12" w:space="0" w:color="000000"/>
              <w:bottom w:val="single" w:sz="4" w:space="0" w:color="000000"/>
              <w:right w:val="single" w:sz="12" w:space="0" w:color="000000"/>
            </w:tcBorders>
          </w:tcPr>
          <w:p w14:paraId="5434B23B" w14:textId="77777777" w:rsidR="00B94971" w:rsidRDefault="0047225A">
            <w:pPr>
              <w:spacing w:after="0" w:line="259" w:lineRule="auto"/>
              <w:ind w:left="0" w:firstLine="0"/>
              <w:jc w:val="left"/>
            </w:pPr>
            <w:r>
              <w:rPr>
                <w:b/>
                <w:sz w:val="20"/>
              </w:rPr>
              <w:t xml:space="preserve">Under 60 Total </w:t>
            </w:r>
          </w:p>
        </w:tc>
        <w:tc>
          <w:tcPr>
            <w:tcW w:w="2127" w:type="dxa"/>
            <w:tcBorders>
              <w:top w:val="single" w:sz="4" w:space="0" w:color="000000"/>
              <w:left w:val="single" w:sz="12" w:space="0" w:color="000000"/>
              <w:bottom w:val="single" w:sz="4" w:space="0" w:color="000000"/>
              <w:right w:val="single" w:sz="4" w:space="0" w:color="000000"/>
            </w:tcBorders>
          </w:tcPr>
          <w:p w14:paraId="04A67068" w14:textId="77777777" w:rsidR="00B94971" w:rsidRDefault="0047225A">
            <w:pPr>
              <w:spacing w:after="0" w:line="259" w:lineRule="auto"/>
              <w:ind w:left="0" w:right="51" w:firstLine="0"/>
              <w:jc w:val="center"/>
            </w:pPr>
            <w:r>
              <w:rPr>
                <w:b/>
                <w:sz w:val="20"/>
              </w:rPr>
              <w:t xml:space="preserve">555 </w:t>
            </w:r>
          </w:p>
        </w:tc>
        <w:tc>
          <w:tcPr>
            <w:tcW w:w="1133" w:type="dxa"/>
            <w:tcBorders>
              <w:top w:val="single" w:sz="4" w:space="0" w:color="000000"/>
              <w:left w:val="single" w:sz="4" w:space="0" w:color="000000"/>
              <w:bottom w:val="single" w:sz="4" w:space="0" w:color="000000"/>
              <w:right w:val="single" w:sz="4" w:space="0" w:color="000000"/>
            </w:tcBorders>
          </w:tcPr>
          <w:p w14:paraId="0032F9A3" w14:textId="77777777" w:rsidR="00B94971" w:rsidRDefault="0047225A">
            <w:pPr>
              <w:spacing w:after="0" w:line="259" w:lineRule="auto"/>
              <w:ind w:left="0" w:right="51" w:firstLine="0"/>
              <w:jc w:val="center"/>
            </w:pPr>
            <w:r>
              <w:rPr>
                <w:b/>
                <w:sz w:val="20"/>
              </w:rPr>
              <w:t xml:space="preserve">156 </w:t>
            </w:r>
          </w:p>
        </w:tc>
        <w:tc>
          <w:tcPr>
            <w:tcW w:w="1136" w:type="dxa"/>
            <w:tcBorders>
              <w:top w:val="single" w:sz="4" w:space="0" w:color="000000"/>
              <w:left w:val="single" w:sz="4" w:space="0" w:color="000000"/>
              <w:bottom w:val="single" w:sz="4" w:space="0" w:color="000000"/>
              <w:right w:val="single" w:sz="4" w:space="0" w:color="000000"/>
            </w:tcBorders>
          </w:tcPr>
          <w:p w14:paraId="3E9F8A01" w14:textId="77777777" w:rsidR="00B94971" w:rsidRDefault="0047225A">
            <w:pPr>
              <w:spacing w:after="0" w:line="259" w:lineRule="auto"/>
              <w:ind w:left="0" w:right="52" w:firstLine="0"/>
              <w:jc w:val="center"/>
            </w:pPr>
            <w:r>
              <w:rPr>
                <w:b/>
                <w:sz w:val="20"/>
              </w:rPr>
              <w:t xml:space="preserve">28.1 </w:t>
            </w:r>
          </w:p>
        </w:tc>
        <w:tc>
          <w:tcPr>
            <w:tcW w:w="991" w:type="dxa"/>
            <w:tcBorders>
              <w:top w:val="single" w:sz="4" w:space="0" w:color="000000"/>
              <w:left w:val="single" w:sz="4" w:space="0" w:color="000000"/>
              <w:bottom w:val="single" w:sz="4" w:space="0" w:color="000000"/>
              <w:right w:val="single" w:sz="4" w:space="0" w:color="000000"/>
            </w:tcBorders>
          </w:tcPr>
          <w:p w14:paraId="097E0D27" w14:textId="77777777" w:rsidR="00B94971" w:rsidRDefault="0047225A">
            <w:pPr>
              <w:spacing w:after="0" w:line="259" w:lineRule="auto"/>
              <w:ind w:left="0" w:right="52" w:firstLine="0"/>
              <w:jc w:val="center"/>
            </w:pPr>
            <w:r>
              <w:rPr>
                <w:b/>
                <w:sz w:val="20"/>
              </w:rPr>
              <w:t xml:space="preserve">61.6 </w:t>
            </w:r>
          </w:p>
        </w:tc>
        <w:tc>
          <w:tcPr>
            <w:tcW w:w="994" w:type="dxa"/>
            <w:tcBorders>
              <w:top w:val="single" w:sz="4" w:space="0" w:color="000000"/>
              <w:left w:val="single" w:sz="4" w:space="0" w:color="000000"/>
              <w:bottom w:val="single" w:sz="4" w:space="0" w:color="000000"/>
              <w:right w:val="single" w:sz="4" w:space="0" w:color="000000"/>
            </w:tcBorders>
          </w:tcPr>
          <w:p w14:paraId="43CB494A" w14:textId="77777777" w:rsidR="00B94971" w:rsidRDefault="0047225A">
            <w:pPr>
              <w:spacing w:after="0" w:line="259" w:lineRule="auto"/>
              <w:ind w:left="0" w:right="55" w:firstLine="0"/>
              <w:jc w:val="center"/>
            </w:pPr>
            <w:r>
              <w:rPr>
                <w:b/>
                <w:sz w:val="20"/>
              </w:rPr>
              <w:t xml:space="preserve">22.2 </w:t>
            </w:r>
          </w:p>
        </w:tc>
        <w:tc>
          <w:tcPr>
            <w:tcW w:w="991" w:type="dxa"/>
            <w:tcBorders>
              <w:top w:val="single" w:sz="4" w:space="0" w:color="000000"/>
              <w:left w:val="single" w:sz="4" w:space="0" w:color="000000"/>
              <w:bottom w:val="single" w:sz="4" w:space="0" w:color="000000"/>
              <w:right w:val="single" w:sz="12" w:space="0" w:color="000000"/>
            </w:tcBorders>
          </w:tcPr>
          <w:p w14:paraId="68C77798" w14:textId="77777777" w:rsidR="00B94971" w:rsidRDefault="0047225A">
            <w:pPr>
              <w:spacing w:after="0" w:line="259" w:lineRule="auto"/>
              <w:ind w:left="0" w:right="52" w:firstLine="0"/>
              <w:jc w:val="center"/>
            </w:pPr>
            <w:r>
              <w:rPr>
                <w:b/>
                <w:sz w:val="20"/>
              </w:rPr>
              <w:t xml:space="preserve">16.2 </w:t>
            </w:r>
          </w:p>
        </w:tc>
      </w:tr>
      <w:tr w:rsidR="00B94971" w14:paraId="53DEF018" w14:textId="77777777">
        <w:trPr>
          <w:trHeight w:val="240"/>
        </w:trPr>
        <w:tc>
          <w:tcPr>
            <w:tcW w:w="1932" w:type="dxa"/>
            <w:tcBorders>
              <w:top w:val="single" w:sz="4" w:space="0" w:color="000000"/>
              <w:left w:val="single" w:sz="12" w:space="0" w:color="000000"/>
              <w:bottom w:val="single" w:sz="4" w:space="0" w:color="000000"/>
              <w:right w:val="single" w:sz="12" w:space="0" w:color="000000"/>
            </w:tcBorders>
          </w:tcPr>
          <w:p w14:paraId="1340E766" w14:textId="77777777" w:rsidR="00B94971" w:rsidRDefault="0047225A">
            <w:pPr>
              <w:spacing w:after="0" w:line="259" w:lineRule="auto"/>
              <w:ind w:left="0" w:firstLine="0"/>
              <w:jc w:val="left"/>
            </w:pPr>
            <w:r>
              <w:rPr>
                <w:sz w:val="20"/>
              </w:rPr>
              <w:t xml:space="preserve">60 - 74 </w:t>
            </w:r>
          </w:p>
        </w:tc>
        <w:tc>
          <w:tcPr>
            <w:tcW w:w="2127" w:type="dxa"/>
            <w:tcBorders>
              <w:top w:val="single" w:sz="4" w:space="0" w:color="000000"/>
              <w:left w:val="single" w:sz="12" w:space="0" w:color="000000"/>
              <w:bottom w:val="single" w:sz="4" w:space="0" w:color="000000"/>
              <w:right w:val="single" w:sz="4" w:space="0" w:color="000000"/>
            </w:tcBorders>
          </w:tcPr>
          <w:p w14:paraId="3BF9E548" w14:textId="77777777" w:rsidR="00B94971" w:rsidRDefault="0047225A">
            <w:pPr>
              <w:spacing w:after="0" w:line="259" w:lineRule="auto"/>
              <w:ind w:left="0" w:right="51" w:firstLine="0"/>
              <w:jc w:val="center"/>
            </w:pPr>
            <w:r>
              <w:rPr>
                <w:sz w:val="20"/>
              </w:rPr>
              <w:t xml:space="preserve">590 </w:t>
            </w:r>
          </w:p>
        </w:tc>
        <w:tc>
          <w:tcPr>
            <w:tcW w:w="1133" w:type="dxa"/>
            <w:tcBorders>
              <w:top w:val="single" w:sz="4" w:space="0" w:color="000000"/>
              <w:left w:val="single" w:sz="4" w:space="0" w:color="000000"/>
              <w:bottom w:val="single" w:sz="4" w:space="0" w:color="000000"/>
              <w:right w:val="single" w:sz="4" w:space="0" w:color="000000"/>
            </w:tcBorders>
          </w:tcPr>
          <w:p w14:paraId="7CDDE1F4" w14:textId="77777777" w:rsidR="00B94971" w:rsidRDefault="0047225A">
            <w:pPr>
              <w:spacing w:after="0" w:line="259" w:lineRule="auto"/>
              <w:ind w:left="0" w:right="51" w:firstLine="0"/>
              <w:jc w:val="center"/>
            </w:pPr>
            <w:r>
              <w:rPr>
                <w:sz w:val="20"/>
              </w:rPr>
              <w:t xml:space="preserve">89 </w:t>
            </w:r>
          </w:p>
        </w:tc>
        <w:tc>
          <w:tcPr>
            <w:tcW w:w="1136" w:type="dxa"/>
            <w:tcBorders>
              <w:top w:val="single" w:sz="4" w:space="0" w:color="000000"/>
              <w:left w:val="single" w:sz="4" w:space="0" w:color="000000"/>
              <w:bottom w:val="single" w:sz="4" w:space="0" w:color="000000"/>
              <w:right w:val="single" w:sz="4" w:space="0" w:color="000000"/>
            </w:tcBorders>
          </w:tcPr>
          <w:p w14:paraId="673255EF" w14:textId="77777777" w:rsidR="00B94971" w:rsidRDefault="0047225A">
            <w:pPr>
              <w:spacing w:after="0" w:line="259" w:lineRule="auto"/>
              <w:ind w:left="0" w:right="52" w:firstLine="0"/>
              <w:jc w:val="center"/>
            </w:pPr>
            <w:r>
              <w:rPr>
                <w:sz w:val="20"/>
              </w:rPr>
              <w:t xml:space="preserve">15.1 </w:t>
            </w:r>
          </w:p>
        </w:tc>
        <w:tc>
          <w:tcPr>
            <w:tcW w:w="991" w:type="dxa"/>
            <w:tcBorders>
              <w:top w:val="single" w:sz="4" w:space="0" w:color="000000"/>
              <w:left w:val="single" w:sz="4" w:space="0" w:color="000000"/>
              <w:bottom w:val="single" w:sz="4" w:space="0" w:color="000000"/>
              <w:right w:val="single" w:sz="4" w:space="0" w:color="000000"/>
            </w:tcBorders>
          </w:tcPr>
          <w:p w14:paraId="11179B40" w14:textId="77777777" w:rsidR="00B94971" w:rsidRDefault="0047225A">
            <w:pPr>
              <w:spacing w:after="0" w:line="259" w:lineRule="auto"/>
              <w:ind w:left="0" w:right="52" w:firstLine="0"/>
              <w:jc w:val="center"/>
            </w:pPr>
            <w:r>
              <w:rPr>
                <w:sz w:val="20"/>
              </w:rPr>
              <w:t xml:space="preserve">72.7 </w:t>
            </w:r>
          </w:p>
        </w:tc>
        <w:tc>
          <w:tcPr>
            <w:tcW w:w="994" w:type="dxa"/>
            <w:tcBorders>
              <w:top w:val="single" w:sz="4" w:space="0" w:color="000000"/>
              <w:left w:val="single" w:sz="4" w:space="0" w:color="000000"/>
              <w:bottom w:val="single" w:sz="4" w:space="0" w:color="000000"/>
              <w:right w:val="single" w:sz="4" w:space="0" w:color="000000"/>
            </w:tcBorders>
          </w:tcPr>
          <w:p w14:paraId="51ABAF87" w14:textId="77777777" w:rsidR="00B94971" w:rsidRDefault="0047225A">
            <w:pPr>
              <w:spacing w:after="0" w:line="259" w:lineRule="auto"/>
              <w:ind w:left="0" w:right="55" w:firstLine="0"/>
              <w:jc w:val="center"/>
            </w:pPr>
            <w:r>
              <w:rPr>
                <w:sz w:val="20"/>
              </w:rPr>
              <w:t xml:space="preserve">19.5 </w:t>
            </w:r>
          </w:p>
        </w:tc>
        <w:tc>
          <w:tcPr>
            <w:tcW w:w="991" w:type="dxa"/>
            <w:tcBorders>
              <w:top w:val="single" w:sz="4" w:space="0" w:color="000000"/>
              <w:left w:val="single" w:sz="4" w:space="0" w:color="000000"/>
              <w:bottom w:val="single" w:sz="4" w:space="0" w:color="000000"/>
              <w:right w:val="single" w:sz="12" w:space="0" w:color="000000"/>
            </w:tcBorders>
          </w:tcPr>
          <w:p w14:paraId="4279C09C" w14:textId="77777777" w:rsidR="00B94971" w:rsidRDefault="0047225A">
            <w:pPr>
              <w:spacing w:after="0" w:line="259" w:lineRule="auto"/>
              <w:ind w:left="0" w:right="52" w:firstLine="0"/>
              <w:jc w:val="center"/>
            </w:pPr>
            <w:r>
              <w:rPr>
                <w:sz w:val="20"/>
              </w:rPr>
              <w:t xml:space="preserve">7.8 </w:t>
            </w:r>
          </w:p>
        </w:tc>
      </w:tr>
      <w:tr w:rsidR="00B94971" w14:paraId="29F90111" w14:textId="77777777">
        <w:trPr>
          <w:trHeight w:val="240"/>
        </w:trPr>
        <w:tc>
          <w:tcPr>
            <w:tcW w:w="1932" w:type="dxa"/>
            <w:tcBorders>
              <w:top w:val="single" w:sz="4" w:space="0" w:color="000000"/>
              <w:left w:val="single" w:sz="12" w:space="0" w:color="000000"/>
              <w:bottom w:val="single" w:sz="4" w:space="0" w:color="000000"/>
              <w:right w:val="single" w:sz="12" w:space="0" w:color="000000"/>
            </w:tcBorders>
          </w:tcPr>
          <w:p w14:paraId="2AADB73D" w14:textId="77777777" w:rsidR="00B94971" w:rsidRDefault="0047225A">
            <w:pPr>
              <w:spacing w:after="0" w:line="259" w:lineRule="auto"/>
              <w:ind w:left="0" w:firstLine="0"/>
              <w:jc w:val="left"/>
            </w:pPr>
            <w:r>
              <w:rPr>
                <w:sz w:val="20"/>
              </w:rPr>
              <w:t xml:space="preserve">75 - 84 </w:t>
            </w:r>
          </w:p>
        </w:tc>
        <w:tc>
          <w:tcPr>
            <w:tcW w:w="2127" w:type="dxa"/>
            <w:tcBorders>
              <w:top w:val="single" w:sz="4" w:space="0" w:color="000000"/>
              <w:left w:val="single" w:sz="12" w:space="0" w:color="000000"/>
              <w:bottom w:val="single" w:sz="4" w:space="0" w:color="000000"/>
              <w:right w:val="single" w:sz="4" w:space="0" w:color="000000"/>
            </w:tcBorders>
          </w:tcPr>
          <w:p w14:paraId="655B75ED" w14:textId="77777777" w:rsidR="00B94971" w:rsidRDefault="0047225A">
            <w:pPr>
              <w:spacing w:after="0" w:line="259" w:lineRule="auto"/>
              <w:ind w:left="0" w:right="51" w:firstLine="0"/>
              <w:jc w:val="center"/>
            </w:pPr>
            <w:r>
              <w:rPr>
                <w:sz w:val="20"/>
              </w:rPr>
              <w:t xml:space="preserve">506 </w:t>
            </w:r>
          </w:p>
        </w:tc>
        <w:tc>
          <w:tcPr>
            <w:tcW w:w="1133" w:type="dxa"/>
            <w:tcBorders>
              <w:top w:val="single" w:sz="4" w:space="0" w:color="000000"/>
              <w:left w:val="single" w:sz="4" w:space="0" w:color="000000"/>
              <w:bottom w:val="single" w:sz="4" w:space="0" w:color="000000"/>
              <w:right w:val="single" w:sz="4" w:space="0" w:color="000000"/>
            </w:tcBorders>
          </w:tcPr>
          <w:p w14:paraId="00C7EBFA" w14:textId="77777777" w:rsidR="00B94971" w:rsidRDefault="0047225A">
            <w:pPr>
              <w:spacing w:after="0" w:line="259" w:lineRule="auto"/>
              <w:ind w:left="0" w:right="51" w:firstLine="0"/>
              <w:jc w:val="center"/>
            </w:pPr>
            <w:r>
              <w:rPr>
                <w:sz w:val="20"/>
              </w:rPr>
              <w:t xml:space="preserve">50 </w:t>
            </w:r>
          </w:p>
        </w:tc>
        <w:tc>
          <w:tcPr>
            <w:tcW w:w="1136" w:type="dxa"/>
            <w:tcBorders>
              <w:top w:val="single" w:sz="4" w:space="0" w:color="000000"/>
              <w:left w:val="single" w:sz="4" w:space="0" w:color="000000"/>
              <w:bottom w:val="single" w:sz="4" w:space="0" w:color="000000"/>
              <w:right w:val="single" w:sz="4" w:space="0" w:color="000000"/>
            </w:tcBorders>
          </w:tcPr>
          <w:p w14:paraId="10B4985C" w14:textId="77777777" w:rsidR="00B94971" w:rsidRDefault="0047225A">
            <w:pPr>
              <w:spacing w:after="0" w:line="259" w:lineRule="auto"/>
              <w:ind w:left="0" w:right="51" w:firstLine="0"/>
              <w:jc w:val="center"/>
            </w:pPr>
            <w:r>
              <w:rPr>
                <w:sz w:val="20"/>
              </w:rPr>
              <w:t xml:space="preserve">9.9 </w:t>
            </w:r>
          </w:p>
        </w:tc>
        <w:tc>
          <w:tcPr>
            <w:tcW w:w="991" w:type="dxa"/>
            <w:tcBorders>
              <w:top w:val="single" w:sz="4" w:space="0" w:color="000000"/>
              <w:left w:val="single" w:sz="4" w:space="0" w:color="000000"/>
              <w:bottom w:val="single" w:sz="4" w:space="0" w:color="000000"/>
              <w:right w:val="single" w:sz="4" w:space="0" w:color="000000"/>
            </w:tcBorders>
          </w:tcPr>
          <w:p w14:paraId="7B45C049" w14:textId="77777777" w:rsidR="00B94971" w:rsidRDefault="0047225A">
            <w:pPr>
              <w:spacing w:after="0" w:line="259" w:lineRule="auto"/>
              <w:ind w:left="0" w:right="52" w:firstLine="0"/>
              <w:jc w:val="center"/>
            </w:pPr>
            <w:r>
              <w:rPr>
                <w:sz w:val="20"/>
              </w:rPr>
              <w:t xml:space="preserve">78.5 </w:t>
            </w:r>
          </w:p>
        </w:tc>
        <w:tc>
          <w:tcPr>
            <w:tcW w:w="994" w:type="dxa"/>
            <w:tcBorders>
              <w:top w:val="single" w:sz="4" w:space="0" w:color="000000"/>
              <w:left w:val="single" w:sz="4" w:space="0" w:color="000000"/>
              <w:bottom w:val="single" w:sz="4" w:space="0" w:color="000000"/>
              <w:right w:val="single" w:sz="4" w:space="0" w:color="000000"/>
            </w:tcBorders>
          </w:tcPr>
          <w:p w14:paraId="3DEEA512" w14:textId="77777777" w:rsidR="00B94971" w:rsidRDefault="0047225A">
            <w:pPr>
              <w:spacing w:after="0" w:line="259" w:lineRule="auto"/>
              <w:ind w:left="0" w:right="55" w:firstLine="0"/>
              <w:jc w:val="center"/>
            </w:pPr>
            <w:r>
              <w:rPr>
                <w:sz w:val="20"/>
              </w:rPr>
              <w:t xml:space="preserve">14.2 </w:t>
            </w:r>
          </w:p>
        </w:tc>
        <w:tc>
          <w:tcPr>
            <w:tcW w:w="991" w:type="dxa"/>
            <w:tcBorders>
              <w:top w:val="single" w:sz="4" w:space="0" w:color="000000"/>
              <w:left w:val="single" w:sz="4" w:space="0" w:color="000000"/>
              <w:bottom w:val="single" w:sz="4" w:space="0" w:color="000000"/>
              <w:right w:val="single" w:sz="12" w:space="0" w:color="000000"/>
            </w:tcBorders>
          </w:tcPr>
          <w:p w14:paraId="073F7F08" w14:textId="77777777" w:rsidR="00B94971" w:rsidRDefault="0047225A">
            <w:pPr>
              <w:spacing w:after="0" w:line="259" w:lineRule="auto"/>
              <w:ind w:left="0" w:right="52" w:firstLine="0"/>
              <w:jc w:val="center"/>
            </w:pPr>
            <w:r>
              <w:rPr>
                <w:sz w:val="20"/>
              </w:rPr>
              <w:t xml:space="preserve">7.3 </w:t>
            </w:r>
          </w:p>
        </w:tc>
      </w:tr>
      <w:tr w:rsidR="00B94971" w14:paraId="0464773E" w14:textId="77777777">
        <w:trPr>
          <w:trHeight w:val="240"/>
        </w:trPr>
        <w:tc>
          <w:tcPr>
            <w:tcW w:w="1932" w:type="dxa"/>
            <w:tcBorders>
              <w:top w:val="single" w:sz="4" w:space="0" w:color="000000"/>
              <w:left w:val="single" w:sz="12" w:space="0" w:color="000000"/>
              <w:bottom w:val="single" w:sz="4" w:space="0" w:color="000000"/>
              <w:right w:val="single" w:sz="12" w:space="0" w:color="000000"/>
            </w:tcBorders>
          </w:tcPr>
          <w:p w14:paraId="50AAB4A1" w14:textId="77777777" w:rsidR="00B94971" w:rsidRDefault="0047225A">
            <w:pPr>
              <w:spacing w:after="0" w:line="259" w:lineRule="auto"/>
              <w:ind w:left="0" w:firstLine="0"/>
              <w:jc w:val="left"/>
            </w:pPr>
            <w:r>
              <w:rPr>
                <w:sz w:val="20"/>
              </w:rPr>
              <w:t xml:space="preserve">85 or over </w:t>
            </w:r>
          </w:p>
        </w:tc>
        <w:tc>
          <w:tcPr>
            <w:tcW w:w="2127" w:type="dxa"/>
            <w:tcBorders>
              <w:top w:val="single" w:sz="4" w:space="0" w:color="000000"/>
              <w:left w:val="single" w:sz="12" w:space="0" w:color="000000"/>
              <w:bottom w:val="single" w:sz="4" w:space="0" w:color="000000"/>
              <w:right w:val="single" w:sz="4" w:space="0" w:color="000000"/>
            </w:tcBorders>
          </w:tcPr>
          <w:p w14:paraId="3FE05AF5" w14:textId="77777777" w:rsidR="00B94971" w:rsidRDefault="0047225A">
            <w:pPr>
              <w:spacing w:after="0" w:line="259" w:lineRule="auto"/>
              <w:ind w:left="0" w:right="51" w:firstLine="0"/>
              <w:jc w:val="center"/>
            </w:pPr>
            <w:r>
              <w:rPr>
                <w:sz w:val="20"/>
              </w:rPr>
              <w:t xml:space="preserve">177 </w:t>
            </w:r>
          </w:p>
        </w:tc>
        <w:tc>
          <w:tcPr>
            <w:tcW w:w="1133" w:type="dxa"/>
            <w:tcBorders>
              <w:top w:val="single" w:sz="4" w:space="0" w:color="000000"/>
              <w:left w:val="single" w:sz="4" w:space="0" w:color="000000"/>
              <w:bottom w:val="single" w:sz="4" w:space="0" w:color="000000"/>
              <w:right w:val="single" w:sz="4" w:space="0" w:color="000000"/>
            </w:tcBorders>
          </w:tcPr>
          <w:p w14:paraId="1D0E3402" w14:textId="77777777" w:rsidR="00B94971" w:rsidRDefault="0047225A">
            <w:pPr>
              <w:spacing w:after="0" w:line="259" w:lineRule="auto"/>
              <w:ind w:left="0" w:right="51" w:firstLine="0"/>
              <w:jc w:val="center"/>
            </w:pPr>
            <w:r>
              <w:rPr>
                <w:sz w:val="20"/>
              </w:rPr>
              <w:t xml:space="preserve">16 </w:t>
            </w:r>
          </w:p>
        </w:tc>
        <w:tc>
          <w:tcPr>
            <w:tcW w:w="1136" w:type="dxa"/>
            <w:tcBorders>
              <w:top w:val="single" w:sz="4" w:space="0" w:color="000000"/>
              <w:left w:val="single" w:sz="4" w:space="0" w:color="000000"/>
              <w:bottom w:val="single" w:sz="4" w:space="0" w:color="000000"/>
              <w:right w:val="single" w:sz="4" w:space="0" w:color="000000"/>
            </w:tcBorders>
          </w:tcPr>
          <w:p w14:paraId="44EE03BF" w14:textId="77777777" w:rsidR="00B94971" w:rsidRDefault="0047225A">
            <w:pPr>
              <w:spacing w:after="0" w:line="259" w:lineRule="auto"/>
              <w:ind w:left="0" w:right="51" w:firstLine="0"/>
              <w:jc w:val="center"/>
            </w:pPr>
            <w:r>
              <w:rPr>
                <w:sz w:val="20"/>
              </w:rPr>
              <w:t xml:space="preserve">9.0 </w:t>
            </w:r>
          </w:p>
        </w:tc>
        <w:tc>
          <w:tcPr>
            <w:tcW w:w="991" w:type="dxa"/>
            <w:tcBorders>
              <w:top w:val="single" w:sz="4" w:space="0" w:color="000000"/>
              <w:left w:val="single" w:sz="4" w:space="0" w:color="000000"/>
              <w:bottom w:val="single" w:sz="4" w:space="0" w:color="000000"/>
              <w:right w:val="single" w:sz="4" w:space="0" w:color="000000"/>
            </w:tcBorders>
          </w:tcPr>
          <w:p w14:paraId="7A129A1D" w14:textId="77777777" w:rsidR="00B94971" w:rsidRDefault="0047225A">
            <w:pPr>
              <w:spacing w:after="0" w:line="259" w:lineRule="auto"/>
              <w:ind w:left="0" w:right="52" w:firstLine="0"/>
              <w:jc w:val="center"/>
            </w:pPr>
            <w:r>
              <w:rPr>
                <w:sz w:val="20"/>
              </w:rPr>
              <w:t xml:space="preserve">76.8 </w:t>
            </w:r>
          </w:p>
        </w:tc>
        <w:tc>
          <w:tcPr>
            <w:tcW w:w="994" w:type="dxa"/>
            <w:tcBorders>
              <w:top w:val="single" w:sz="4" w:space="0" w:color="000000"/>
              <w:left w:val="single" w:sz="4" w:space="0" w:color="000000"/>
              <w:bottom w:val="single" w:sz="4" w:space="0" w:color="000000"/>
              <w:right w:val="single" w:sz="4" w:space="0" w:color="000000"/>
            </w:tcBorders>
          </w:tcPr>
          <w:p w14:paraId="36AF41AC" w14:textId="77777777" w:rsidR="00B94971" w:rsidRDefault="0047225A">
            <w:pPr>
              <w:spacing w:after="0" w:line="259" w:lineRule="auto"/>
              <w:ind w:left="0" w:right="55" w:firstLine="0"/>
              <w:jc w:val="center"/>
            </w:pPr>
            <w:r>
              <w:rPr>
                <w:sz w:val="20"/>
              </w:rPr>
              <w:t xml:space="preserve">16.4 </w:t>
            </w:r>
          </w:p>
        </w:tc>
        <w:tc>
          <w:tcPr>
            <w:tcW w:w="991" w:type="dxa"/>
            <w:tcBorders>
              <w:top w:val="single" w:sz="4" w:space="0" w:color="000000"/>
              <w:left w:val="single" w:sz="4" w:space="0" w:color="000000"/>
              <w:bottom w:val="single" w:sz="4" w:space="0" w:color="000000"/>
              <w:right w:val="single" w:sz="12" w:space="0" w:color="000000"/>
            </w:tcBorders>
          </w:tcPr>
          <w:p w14:paraId="7C773620" w14:textId="77777777" w:rsidR="00B94971" w:rsidRDefault="0047225A">
            <w:pPr>
              <w:spacing w:after="0" w:line="259" w:lineRule="auto"/>
              <w:ind w:left="0" w:right="52" w:firstLine="0"/>
              <w:jc w:val="center"/>
            </w:pPr>
            <w:r>
              <w:rPr>
                <w:sz w:val="20"/>
              </w:rPr>
              <w:t xml:space="preserve">6.8 </w:t>
            </w:r>
          </w:p>
        </w:tc>
      </w:tr>
      <w:tr w:rsidR="00B94971" w14:paraId="00443A6A" w14:textId="77777777">
        <w:trPr>
          <w:trHeight w:val="240"/>
        </w:trPr>
        <w:tc>
          <w:tcPr>
            <w:tcW w:w="1932" w:type="dxa"/>
            <w:tcBorders>
              <w:top w:val="single" w:sz="4" w:space="0" w:color="000000"/>
              <w:left w:val="single" w:sz="12" w:space="0" w:color="000000"/>
              <w:bottom w:val="single" w:sz="4" w:space="0" w:color="000000"/>
              <w:right w:val="single" w:sz="12" w:space="0" w:color="000000"/>
            </w:tcBorders>
          </w:tcPr>
          <w:p w14:paraId="1D3F44B1" w14:textId="77777777" w:rsidR="00B94971" w:rsidRDefault="0047225A">
            <w:pPr>
              <w:spacing w:after="0" w:line="259" w:lineRule="auto"/>
              <w:ind w:left="0" w:firstLine="0"/>
              <w:jc w:val="left"/>
            </w:pPr>
            <w:r>
              <w:rPr>
                <w:b/>
                <w:sz w:val="20"/>
              </w:rPr>
              <w:t xml:space="preserve">Over 60 Total </w:t>
            </w:r>
          </w:p>
        </w:tc>
        <w:tc>
          <w:tcPr>
            <w:tcW w:w="2127" w:type="dxa"/>
            <w:tcBorders>
              <w:top w:val="single" w:sz="4" w:space="0" w:color="000000"/>
              <w:left w:val="single" w:sz="12" w:space="0" w:color="000000"/>
              <w:bottom w:val="single" w:sz="4" w:space="0" w:color="000000"/>
              <w:right w:val="single" w:sz="4" w:space="0" w:color="000000"/>
            </w:tcBorders>
          </w:tcPr>
          <w:p w14:paraId="1F3AF280" w14:textId="77777777" w:rsidR="00B94971" w:rsidRDefault="0047225A">
            <w:pPr>
              <w:spacing w:after="0" w:line="259" w:lineRule="auto"/>
              <w:ind w:left="0" w:right="51" w:firstLine="0"/>
              <w:jc w:val="center"/>
            </w:pPr>
            <w:r>
              <w:rPr>
                <w:b/>
                <w:sz w:val="20"/>
              </w:rPr>
              <w:t xml:space="preserve">1273 </w:t>
            </w:r>
          </w:p>
        </w:tc>
        <w:tc>
          <w:tcPr>
            <w:tcW w:w="1133" w:type="dxa"/>
            <w:tcBorders>
              <w:top w:val="single" w:sz="4" w:space="0" w:color="000000"/>
              <w:left w:val="single" w:sz="4" w:space="0" w:color="000000"/>
              <w:bottom w:val="single" w:sz="4" w:space="0" w:color="000000"/>
              <w:right w:val="single" w:sz="4" w:space="0" w:color="000000"/>
            </w:tcBorders>
          </w:tcPr>
          <w:p w14:paraId="3375D4D2" w14:textId="77777777" w:rsidR="00B94971" w:rsidRDefault="0047225A">
            <w:pPr>
              <w:spacing w:after="0" w:line="259" w:lineRule="auto"/>
              <w:ind w:left="0" w:right="51" w:firstLine="0"/>
              <w:jc w:val="center"/>
            </w:pPr>
            <w:r>
              <w:rPr>
                <w:b/>
                <w:sz w:val="20"/>
              </w:rPr>
              <w:t xml:space="preserve">155 </w:t>
            </w:r>
          </w:p>
        </w:tc>
        <w:tc>
          <w:tcPr>
            <w:tcW w:w="1136" w:type="dxa"/>
            <w:tcBorders>
              <w:top w:val="single" w:sz="4" w:space="0" w:color="000000"/>
              <w:left w:val="single" w:sz="4" w:space="0" w:color="000000"/>
              <w:bottom w:val="single" w:sz="4" w:space="0" w:color="000000"/>
              <w:right w:val="single" w:sz="4" w:space="0" w:color="000000"/>
            </w:tcBorders>
          </w:tcPr>
          <w:p w14:paraId="4A72383B" w14:textId="77777777" w:rsidR="00B94971" w:rsidRDefault="0047225A">
            <w:pPr>
              <w:spacing w:after="0" w:line="259" w:lineRule="auto"/>
              <w:ind w:left="0" w:right="52" w:firstLine="0"/>
              <w:jc w:val="center"/>
            </w:pPr>
            <w:r>
              <w:rPr>
                <w:b/>
                <w:sz w:val="20"/>
              </w:rPr>
              <w:t xml:space="preserve">12.2 </w:t>
            </w:r>
          </w:p>
        </w:tc>
        <w:tc>
          <w:tcPr>
            <w:tcW w:w="991" w:type="dxa"/>
            <w:tcBorders>
              <w:top w:val="single" w:sz="4" w:space="0" w:color="000000"/>
              <w:left w:val="single" w:sz="4" w:space="0" w:color="000000"/>
              <w:bottom w:val="single" w:sz="4" w:space="0" w:color="000000"/>
              <w:right w:val="single" w:sz="4" w:space="0" w:color="000000"/>
            </w:tcBorders>
          </w:tcPr>
          <w:p w14:paraId="1AE41544" w14:textId="77777777" w:rsidR="00B94971" w:rsidRDefault="0047225A">
            <w:pPr>
              <w:spacing w:after="0" w:line="259" w:lineRule="auto"/>
              <w:ind w:left="0" w:right="52" w:firstLine="0"/>
              <w:jc w:val="center"/>
            </w:pPr>
            <w:r>
              <w:rPr>
                <w:b/>
                <w:sz w:val="20"/>
              </w:rPr>
              <w:t xml:space="preserve">75.6 </w:t>
            </w:r>
          </w:p>
        </w:tc>
        <w:tc>
          <w:tcPr>
            <w:tcW w:w="994" w:type="dxa"/>
            <w:tcBorders>
              <w:top w:val="single" w:sz="4" w:space="0" w:color="000000"/>
              <w:left w:val="single" w:sz="4" w:space="0" w:color="000000"/>
              <w:bottom w:val="single" w:sz="4" w:space="0" w:color="000000"/>
              <w:right w:val="single" w:sz="4" w:space="0" w:color="000000"/>
            </w:tcBorders>
          </w:tcPr>
          <w:p w14:paraId="3B107F69" w14:textId="77777777" w:rsidR="00B94971" w:rsidRDefault="0047225A">
            <w:pPr>
              <w:spacing w:after="0" w:line="259" w:lineRule="auto"/>
              <w:ind w:left="0" w:right="55" w:firstLine="0"/>
              <w:jc w:val="center"/>
            </w:pPr>
            <w:r>
              <w:rPr>
                <w:b/>
                <w:sz w:val="20"/>
              </w:rPr>
              <w:t xml:space="preserve">17.0 </w:t>
            </w:r>
          </w:p>
        </w:tc>
        <w:tc>
          <w:tcPr>
            <w:tcW w:w="991" w:type="dxa"/>
            <w:tcBorders>
              <w:top w:val="single" w:sz="4" w:space="0" w:color="000000"/>
              <w:left w:val="single" w:sz="4" w:space="0" w:color="000000"/>
              <w:bottom w:val="single" w:sz="4" w:space="0" w:color="000000"/>
              <w:right w:val="single" w:sz="12" w:space="0" w:color="000000"/>
            </w:tcBorders>
          </w:tcPr>
          <w:p w14:paraId="02F4B158" w14:textId="77777777" w:rsidR="00B94971" w:rsidRDefault="0047225A">
            <w:pPr>
              <w:spacing w:after="0" w:line="259" w:lineRule="auto"/>
              <w:ind w:left="0" w:right="52" w:firstLine="0"/>
              <w:jc w:val="center"/>
            </w:pPr>
            <w:r>
              <w:rPr>
                <w:b/>
                <w:sz w:val="20"/>
              </w:rPr>
              <w:t xml:space="preserve">7.5 </w:t>
            </w:r>
          </w:p>
        </w:tc>
      </w:tr>
      <w:tr w:rsidR="00B94971" w14:paraId="5E60B7DA" w14:textId="77777777">
        <w:trPr>
          <w:trHeight w:val="252"/>
        </w:trPr>
        <w:tc>
          <w:tcPr>
            <w:tcW w:w="1932" w:type="dxa"/>
            <w:tcBorders>
              <w:top w:val="single" w:sz="4" w:space="0" w:color="000000"/>
              <w:left w:val="single" w:sz="12" w:space="0" w:color="000000"/>
              <w:bottom w:val="single" w:sz="12" w:space="0" w:color="000000"/>
              <w:right w:val="single" w:sz="12" w:space="0" w:color="000000"/>
            </w:tcBorders>
          </w:tcPr>
          <w:p w14:paraId="5481A5E3" w14:textId="77777777" w:rsidR="00B94971" w:rsidRDefault="0047225A">
            <w:pPr>
              <w:spacing w:after="0" w:line="259" w:lineRule="auto"/>
              <w:ind w:left="0" w:firstLine="0"/>
              <w:jc w:val="left"/>
            </w:pPr>
            <w:r>
              <w:rPr>
                <w:sz w:val="20"/>
              </w:rPr>
              <w:t xml:space="preserve">Survey Total </w:t>
            </w:r>
          </w:p>
        </w:tc>
        <w:tc>
          <w:tcPr>
            <w:tcW w:w="2127" w:type="dxa"/>
            <w:tcBorders>
              <w:top w:val="single" w:sz="4" w:space="0" w:color="000000"/>
              <w:left w:val="single" w:sz="12" w:space="0" w:color="000000"/>
              <w:bottom w:val="single" w:sz="12" w:space="0" w:color="000000"/>
              <w:right w:val="single" w:sz="4" w:space="0" w:color="000000"/>
            </w:tcBorders>
          </w:tcPr>
          <w:p w14:paraId="0CC5DAD7" w14:textId="77777777" w:rsidR="00B94971" w:rsidRDefault="0047225A">
            <w:pPr>
              <w:spacing w:after="0" w:line="259" w:lineRule="auto"/>
              <w:ind w:left="0" w:right="51" w:firstLine="0"/>
              <w:jc w:val="center"/>
            </w:pPr>
            <w:r>
              <w:rPr>
                <w:sz w:val="20"/>
              </w:rPr>
              <w:t xml:space="preserve">1828 </w:t>
            </w:r>
          </w:p>
        </w:tc>
        <w:tc>
          <w:tcPr>
            <w:tcW w:w="1133" w:type="dxa"/>
            <w:tcBorders>
              <w:top w:val="single" w:sz="4" w:space="0" w:color="000000"/>
              <w:left w:val="single" w:sz="4" w:space="0" w:color="000000"/>
              <w:bottom w:val="single" w:sz="12" w:space="0" w:color="000000"/>
              <w:right w:val="single" w:sz="4" w:space="0" w:color="000000"/>
            </w:tcBorders>
          </w:tcPr>
          <w:p w14:paraId="1D692A79" w14:textId="77777777" w:rsidR="00B94971" w:rsidRDefault="0047225A">
            <w:pPr>
              <w:spacing w:after="0" w:line="259" w:lineRule="auto"/>
              <w:ind w:left="0" w:right="51" w:firstLine="0"/>
              <w:jc w:val="center"/>
            </w:pPr>
            <w:r>
              <w:rPr>
                <w:sz w:val="20"/>
              </w:rPr>
              <w:t xml:space="preserve">311 </w:t>
            </w:r>
          </w:p>
        </w:tc>
        <w:tc>
          <w:tcPr>
            <w:tcW w:w="1136" w:type="dxa"/>
            <w:tcBorders>
              <w:top w:val="single" w:sz="4" w:space="0" w:color="000000"/>
              <w:left w:val="single" w:sz="4" w:space="0" w:color="000000"/>
              <w:bottom w:val="single" w:sz="12" w:space="0" w:color="000000"/>
              <w:right w:val="single" w:sz="4" w:space="0" w:color="000000"/>
            </w:tcBorders>
          </w:tcPr>
          <w:p w14:paraId="668F188E" w14:textId="77777777" w:rsidR="00B94971" w:rsidRDefault="0047225A">
            <w:pPr>
              <w:spacing w:after="0" w:line="259" w:lineRule="auto"/>
              <w:ind w:left="0" w:right="52" w:firstLine="0"/>
              <w:jc w:val="center"/>
            </w:pPr>
            <w:r>
              <w:rPr>
                <w:sz w:val="20"/>
              </w:rPr>
              <w:t xml:space="preserve">17.0 </w:t>
            </w:r>
          </w:p>
        </w:tc>
        <w:tc>
          <w:tcPr>
            <w:tcW w:w="991" w:type="dxa"/>
            <w:tcBorders>
              <w:top w:val="single" w:sz="4" w:space="0" w:color="000000"/>
              <w:left w:val="single" w:sz="4" w:space="0" w:color="000000"/>
              <w:bottom w:val="single" w:sz="12" w:space="0" w:color="000000"/>
              <w:right w:val="single" w:sz="4" w:space="0" w:color="000000"/>
            </w:tcBorders>
          </w:tcPr>
          <w:p w14:paraId="1AADED0F" w14:textId="77777777" w:rsidR="00B94971" w:rsidRDefault="0047225A">
            <w:pPr>
              <w:spacing w:after="0" w:line="259" w:lineRule="auto"/>
              <w:ind w:left="0" w:right="52" w:firstLine="0"/>
              <w:jc w:val="center"/>
            </w:pPr>
            <w:r>
              <w:rPr>
                <w:sz w:val="20"/>
              </w:rPr>
              <w:t xml:space="preserve">71.3 </w:t>
            </w:r>
          </w:p>
        </w:tc>
        <w:tc>
          <w:tcPr>
            <w:tcW w:w="994" w:type="dxa"/>
            <w:tcBorders>
              <w:top w:val="single" w:sz="4" w:space="0" w:color="000000"/>
              <w:left w:val="single" w:sz="4" w:space="0" w:color="000000"/>
              <w:bottom w:val="single" w:sz="12" w:space="0" w:color="000000"/>
              <w:right w:val="single" w:sz="4" w:space="0" w:color="000000"/>
            </w:tcBorders>
          </w:tcPr>
          <w:p w14:paraId="1D6C1A63" w14:textId="77777777" w:rsidR="00B94971" w:rsidRDefault="0047225A">
            <w:pPr>
              <w:spacing w:after="0" w:line="259" w:lineRule="auto"/>
              <w:ind w:left="0" w:right="55" w:firstLine="0"/>
              <w:jc w:val="center"/>
            </w:pPr>
            <w:r>
              <w:rPr>
                <w:sz w:val="20"/>
              </w:rPr>
              <w:t xml:space="preserve">18.5 </w:t>
            </w:r>
          </w:p>
        </w:tc>
        <w:tc>
          <w:tcPr>
            <w:tcW w:w="991" w:type="dxa"/>
            <w:tcBorders>
              <w:top w:val="single" w:sz="4" w:space="0" w:color="000000"/>
              <w:left w:val="single" w:sz="4" w:space="0" w:color="000000"/>
              <w:bottom w:val="single" w:sz="12" w:space="0" w:color="000000"/>
              <w:right w:val="single" w:sz="12" w:space="0" w:color="000000"/>
            </w:tcBorders>
          </w:tcPr>
          <w:p w14:paraId="573D1BCF" w14:textId="77777777" w:rsidR="00B94971" w:rsidRDefault="0047225A">
            <w:pPr>
              <w:spacing w:after="0" w:line="259" w:lineRule="auto"/>
              <w:ind w:left="0" w:right="52" w:firstLine="0"/>
              <w:jc w:val="center"/>
            </w:pPr>
            <w:r>
              <w:rPr>
                <w:sz w:val="20"/>
              </w:rPr>
              <w:t xml:space="preserve">10.1 </w:t>
            </w:r>
          </w:p>
        </w:tc>
      </w:tr>
    </w:tbl>
    <w:p w14:paraId="3F7A165D" w14:textId="77777777" w:rsidR="00B94971" w:rsidRDefault="0047225A">
      <w:pPr>
        <w:spacing w:after="0" w:line="259" w:lineRule="auto"/>
        <w:ind w:left="0" w:firstLine="0"/>
        <w:jc w:val="left"/>
      </w:pPr>
      <w:r>
        <w:t xml:space="preserve"> </w:t>
      </w:r>
    </w:p>
    <w:p w14:paraId="49B8C467" w14:textId="77777777" w:rsidR="00B94971" w:rsidRDefault="0047225A">
      <w:pPr>
        <w:pStyle w:val="Heading3"/>
        <w:ind w:left="-5"/>
      </w:pPr>
      <w:r>
        <w:t xml:space="preserve">Other Social Measures </w:t>
      </w:r>
    </w:p>
    <w:p w14:paraId="50537C5B" w14:textId="77777777" w:rsidR="00B94971" w:rsidRDefault="0047225A">
      <w:pPr>
        <w:ind w:left="-5"/>
      </w:pPr>
      <w:r>
        <w:t>Described above are the more noticeable patterns that relate provision of disability adaptations to the available Social Measures in EHCS2003. Of the others that we considered, there are further patterns that would warrant further in</w:t>
      </w:r>
      <w:r>
        <w:t>vestigation, although as with the issues related to regional variation described above, the data available here is not sufficiently detailed or targeted to provide anything more than reasonable speculation; either there are no obvious patterns, or the degr</w:t>
      </w:r>
      <w:r>
        <w:t xml:space="preserve">ee of change is small.  </w:t>
      </w:r>
    </w:p>
    <w:p w14:paraId="2DD6A034" w14:textId="77777777" w:rsidR="00B94971" w:rsidRDefault="0047225A">
      <w:pPr>
        <w:spacing w:after="174"/>
        <w:ind w:left="-15" w:firstLine="720"/>
      </w:pPr>
      <w:r>
        <w:t xml:space="preserve">As might be expected from Lansley </w:t>
      </w:r>
      <w:r>
        <w:rPr>
          <w:i/>
        </w:rPr>
        <w:t>et al.</w:t>
      </w:r>
      <w:r>
        <w:t xml:space="preserve"> (2</w:t>
      </w:r>
      <w:r>
        <w:t>005), there are differences in levels of provision depending on dwelling type and age, potentially confirming their conclusions that converted flats and older buildings are less likely to have adaptations, although this is not a statistically significant r</w:t>
      </w:r>
      <w:r>
        <w:t>elationship.</w:t>
      </w:r>
      <w:r>
        <w:rPr>
          <w:vertAlign w:val="superscript"/>
        </w:rPr>
        <w:t>11</w:t>
      </w:r>
      <w:r>
        <w:t xml:space="preserve"> Analysing length of residence also appears to demonstrate what we might intuitively expect, in that there is a gradual increase in the levels of provision and satisfaction of perceived need the longer the householder has been living at the s</w:t>
      </w:r>
      <w:r>
        <w:t xml:space="preserve">ame address. This does not change appreciably after 5 years of residence, so it may be that initial installations in the first few years of residence are more important than the </w:t>
      </w:r>
      <w:proofErr w:type="gramStart"/>
      <w:r>
        <w:t>longer term</w:t>
      </w:r>
      <w:proofErr w:type="gramEnd"/>
      <w:r>
        <w:t xml:space="preserve"> continual changes.  </w:t>
      </w:r>
    </w:p>
    <w:p w14:paraId="1DCCA902" w14:textId="77777777" w:rsidR="00B94971" w:rsidRDefault="0047225A">
      <w:pPr>
        <w:spacing w:after="0" w:line="259" w:lineRule="auto"/>
        <w:ind w:left="0" w:firstLine="0"/>
        <w:jc w:val="left"/>
      </w:pPr>
      <w:r>
        <w:rPr>
          <w:rFonts w:ascii="Calibri" w:eastAsia="Calibri" w:hAnsi="Calibri" w:cs="Calibri"/>
          <w:strike/>
          <w:sz w:val="22"/>
        </w:rPr>
        <w:t xml:space="preserve">                                             </w:t>
      </w:r>
      <w:r>
        <w:rPr>
          <w:rFonts w:ascii="Calibri" w:eastAsia="Calibri" w:hAnsi="Calibri" w:cs="Calibri"/>
          <w:strike/>
          <w:sz w:val="22"/>
        </w:rPr>
        <w:t xml:space="preserve">            </w:t>
      </w:r>
      <w:r>
        <w:rPr>
          <w:rFonts w:ascii="Calibri" w:eastAsia="Calibri" w:hAnsi="Calibri" w:cs="Calibri"/>
          <w:sz w:val="22"/>
        </w:rPr>
        <w:t xml:space="preserve"> </w:t>
      </w:r>
    </w:p>
    <w:p w14:paraId="4F7C7B75" w14:textId="77777777" w:rsidR="00B94971" w:rsidRDefault="0047225A">
      <w:pPr>
        <w:numPr>
          <w:ilvl w:val="0"/>
          <w:numId w:val="1"/>
        </w:numPr>
        <w:spacing w:after="0" w:line="259" w:lineRule="auto"/>
        <w:ind w:firstLine="0"/>
        <w:jc w:val="left"/>
      </w:pPr>
      <w:r>
        <w:rPr>
          <w:sz w:val="20"/>
        </w:rPr>
        <w:t xml:space="preserve">65 might have been a more useful distinction as the common age of retirement with all its related changes, but the data gathered in these surveys has the closest category break at 60 years of age. </w:t>
      </w:r>
    </w:p>
    <w:p w14:paraId="75990726" w14:textId="77777777" w:rsidR="00B94971" w:rsidRDefault="0047225A">
      <w:pPr>
        <w:numPr>
          <w:ilvl w:val="0"/>
          <w:numId w:val="1"/>
        </w:numPr>
        <w:spacing w:after="0" w:line="259" w:lineRule="auto"/>
        <w:ind w:firstLine="0"/>
        <w:jc w:val="left"/>
      </w:pPr>
      <w:r>
        <w:rPr>
          <w:rFonts w:ascii="Calibri" w:eastAsia="Calibri" w:hAnsi="Calibri" w:cs="Calibri"/>
          <w:sz w:val="20"/>
        </w:rPr>
        <w:t xml:space="preserve">P=0.13 </w:t>
      </w:r>
    </w:p>
    <w:p w14:paraId="0AB4403C" w14:textId="77777777" w:rsidR="00B94971" w:rsidRDefault="0047225A">
      <w:pPr>
        <w:ind w:left="-15" w:firstLine="720"/>
      </w:pPr>
      <w:r>
        <w:t>Whilst the measure of neighbourhood quality does s</w:t>
      </w:r>
      <w:r>
        <w:t xml:space="preserve">uggest an increase in provision for the ‘better’ neighbourhoods, we are reluctant to attribute a causal effect to this on the basis that the criteria used to define quality are fairly </w:t>
      </w:r>
      <w:proofErr w:type="gramStart"/>
      <w:r>
        <w:t>arbitrary, and</w:t>
      </w:r>
      <w:proofErr w:type="gramEnd"/>
      <w:r>
        <w:t xml:space="preserve"> depend on individual fieldworker’s judgement. When seen i</w:t>
      </w:r>
      <w:r>
        <w:t xml:space="preserve">n conjunction with household income, which might be a reasonable correlate, and which does not show a pattern of provision, this seems tentative at best. </w:t>
      </w:r>
    </w:p>
    <w:p w14:paraId="4010E1FD" w14:textId="77777777" w:rsidR="00B94971" w:rsidRDefault="0047225A">
      <w:pPr>
        <w:spacing w:after="0" w:line="259" w:lineRule="auto"/>
        <w:ind w:left="0" w:firstLine="0"/>
        <w:jc w:val="left"/>
      </w:pPr>
      <w:r>
        <w:t xml:space="preserve"> </w:t>
      </w:r>
    </w:p>
    <w:p w14:paraId="62BA767B" w14:textId="77777777" w:rsidR="00B94971" w:rsidRDefault="0047225A">
      <w:pPr>
        <w:pStyle w:val="Heading3"/>
        <w:ind w:left="-5"/>
      </w:pPr>
      <w:r>
        <w:t xml:space="preserve">Suitability of Provision </w:t>
      </w:r>
    </w:p>
    <w:p w14:paraId="26604924" w14:textId="77777777" w:rsidR="00B94971" w:rsidRDefault="0047225A">
      <w:pPr>
        <w:ind w:left="-5"/>
      </w:pPr>
      <w:r>
        <w:t>As discussed above, during the time period under review here, there was a</w:t>
      </w:r>
      <w:r>
        <w:t xml:space="preserve"> substantial increase in the number of adaptations provided, rising by 22% from 2.16 adaptations per household in 2003/4 to 2.64 in 2009/10. </w:t>
      </w:r>
      <w:proofErr w:type="gramStart"/>
      <w:r>
        <w:t>Similarly</w:t>
      </w:r>
      <w:proofErr w:type="gramEnd"/>
      <w:r>
        <w:t xml:space="preserve"> the number of households with no adaptations at all, despite a stated need, dropped from 17% to 7.6% (see</w:t>
      </w:r>
      <w:r>
        <w:t xml:space="preserve"> Table 2). Greater provision might be expected to satisfy outstanding need, but this increase seemed to go beyond that, as we also identified an increase in the numbers of households who reported having more adaptations than they needed. In EHCS2003 this r</w:t>
      </w:r>
      <w:r>
        <w:t xml:space="preserve">epresented 3.3% of disabled households, rising to 20.8% for EHS2009. </w:t>
      </w:r>
    </w:p>
    <w:p w14:paraId="56E2B89A" w14:textId="77777777" w:rsidR="00B94971" w:rsidRDefault="0047225A">
      <w:pPr>
        <w:ind w:left="-15" w:firstLine="720"/>
      </w:pPr>
      <w:r>
        <w:t xml:space="preserve">To investigate this further, a comparison was made for each of the 24 adaptation options, tabulating whether a household </w:t>
      </w:r>
      <w:r>
        <w:rPr>
          <w:i/>
        </w:rPr>
        <w:t>had</w:t>
      </w:r>
      <w:r>
        <w:t xml:space="preserve"> the item or not, versus whether they </w:t>
      </w:r>
      <w:r>
        <w:rPr>
          <w:i/>
        </w:rPr>
        <w:t>needed</w:t>
      </w:r>
      <w:r>
        <w:t xml:space="preserve"> the item or not. </w:t>
      </w:r>
      <w:r>
        <w:t xml:space="preserve">Using one particular adaptation – the stairlift – to illustrate the data (Table 7), it </w:t>
      </w:r>
      <w:r>
        <w:lastRenderedPageBreak/>
        <w:t>can be seen that the proportion of households who had a stairlift but did not need it stood at 2.7% in EHCS2003, and 16.7% in EHS2009. From similar tables for each of th</w:t>
      </w:r>
      <w:r>
        <w:t xml:space="preserve">e 24 options an equivalent figure for the adaptations provided </w:t>
      </w:r>
      <w:r>
        <w:rPr>
          <w:i/>
        </w:rPr>
        <w:t>when not needed</w:t>
      </w:r>
      <w:r>
        <w:t xml:space="preserve"> can be collated (Table 8). This shows that of the 3774 adaptations provided to householders in the EHS2009 survey, 943 or 25% are not needed. This has risen from a figure of 6.6</w:t>
      </w:r>
      <w:r>
        <w:t xml:space="preserve">% in EHCS2003. Possible causes for this change are discussed in more detail below, but essentially this might be a positive outcome of the increased influence of the Lifetime Homes agenda (Hanson 2001; Carroll </w:t>
      </w:r>
      <w:r>
        <w:rPr>
          <w:i/>
        </w:rPr>
        <w:t>et al.</w:t>
      </w:r>
      <w:r>
        <w:t xml:space="preserve"> 1999), the introduction of new building</w:t>
      </w:r>
      <w:r>
        <w:t xml:space="preserve"> regulations (HM Govt. 2010), or more worryingly, a surge in poorly targeted provision. </w:t>
      </w:r>
    </w:p>
    <w:p w14:paraId="52D0D392" w14:textId="77777777" w:rsidR="00B94971" w:rsidRDefault="0047225A">
      <w:pPr>
        <w:spacing w:after="0" w:line="259" w:lineRule="auto"/>
        <w:ind w:left="720" w:firstLine="0"/>
        <w:jc w:val="left"/>
      </w:pPr>
      <w:r>
        <w:t xml:space="preserve"> </w:t>
      </w:r>
    </w:p>
    <w:p w14:paraId="305169E6" w14:textId="77777777" w:rsidR="00B94971" w:rsidRDefault="0047225A">
      <w:pPr>
        <w:ind w:left="1928"/>
      </w:pPr>
      <w:r>
        <w:rPr>
          <w:b/>
        </w:rPr>
        <w:t>Table 7</w:t>
      </w:r>
      <w:r>
        <w:t xml:space="preserve">: Suitability of Provision: Stairlifts 2003/4 &amp; 2009/10 </w:t>
      </w:r>
    </w:p>
    <w:p w14:paraId="3E585893" w14:textId="77777777" w:rsidR="00B94971" w:rsidRDefault="0047225A">
      <w:pPr>
        <w:spacing w:after="0" w:line="259" w:lineRule="auto"/>
        <w:ind w:left="0" w:firstLine="0"/>
        <w:jc w:val="left"/>
      </w:pPr>
      <w:r>
        <w:t xml:space="preserve"> </w:t>
      </w:r>
    </w:p>
    <w:tbl>
      <w:tblPr>
        <w:tblStyle w:val="TableGrid"/>
        <w:tblW w:w="9085" w:type="dxa"/>
        <w:tblInd w:w="-29" w:type="dxa"/>
        <w:tblCellMar>
          <w:top w:w="7" w:type="dxa"/>
          <w:left w:w="29" w:type="dxa"/>
          <w:bottom w:w="0" w:type="dxa"/>
          <w:right w:w="115" w:type="dxa"/>
        </w:tblCellMar>
        <w:tblLook w:val="04A0" w:firstRow="1" w:lastRow="0" w:firstColumn="1" w:lastColumn="0" w:noHBand="0" w:noVBand="1"/>
      </w:tblPr>
      <w:tblGrid>
        <w:gridCol w:w="305"/>
        <w:gridCol w:w="3086"/>
        <w:gridCol w:w="1702"/>
        <w:gridCol w:w="1700"/>
        <w:gridCol w:w="1985"/>
        <w:gridCol w:w="307"/>
      </w:tblGrid>
      <w:tr w:rsidR="00B94971" w14:paraId="5883DD25" w14:textId="77777777">
        <w:trPr>
          <w:trHeight w:val="490"/>
        </w:trPr>
        <w:tc>
          <w:tcPr>
            <w:tcW w:w="305" w:type="dxa"/>
            <w:vMerge w:val="restart"/>
            <w:tcBorders>
              <w:top w:val="nil"/>
              <w:left w:val="nil"/>
              <w:bottom w:val="nil"/>
              <w:right w:val="single" w:sz="12" w:space="0" w:color="000000"/>
            </w:tcBorders>
          </w:tcPr>
          <w:p w14:paraId="5E4AC5D5" w14:textId="77777777" w:rsidR="00B94971" w:rsidRDefault="00B94971">
            <w:pPr>
              <w:spacing w:after="160" w:line="259" w:lineRule="auto"/>
              <w:ind w:left="0" w:firstLine="0"/>
              <w:jc w:val="left"/>
            </w:pPr>
          </w:p>
        </w:tc>
        <w:tc>
          <w:tcPr>
            <w:tcW w:w="3087" w:type="dxa"/>
            <w:tcBorders>
              <w:top w:val="single" w:sz="12" w:space="0" w:color="000000"/>
              <w:left w:val="single" w:sz="12" w:space="0" w:color="000000"/>
              <w:bottom w:val="single" w:sz="12" w:space="0" w:color="000000"/>
              <w:right w:val="single" w:sz="12" w:space="0" w:color="000000"/>
            </w:tcBorders>
          </w:tcPr>
          <w:p w14:paraId="759472B0" w14:textId="77777777" w:rsidR="00B94971" w:rsidRDefault="0047225A">
            <w:pPr>
              <w:spacing w:after="0" w:line="259" w:lineRule="auto"/>
              <w:ind w:left="79" w:firstLine="0"/>
              <w:jc w:val="left"/>
            </w:pPr>
            <w:r>
              <w:rPr>
                <w:b/>
                <w:color w:val="2E2E2E"/>
                <w:sz w:val="20"/>
              </w:rPr>
              <w:t xml:space="preserve"> </w:t>
            </w:r>
          </w:p>
        </w:tc>
        <w:tc>
          <w:tcPr>
            <w:tcW w:w="1702" w:type="dxa"/>
            <w:tcBorders>
              <w:top w:val="single" w:sz="12" w:space="0" w:color="000000"/>
              <w:left w:val="single" w:sz="12" w:space="0" w:color="000000"/>
              <w:bottom w:val="single" w:sz="12" w:space="0" w:color="000000"/>
              <w:right w:val="single" w:sz="4" w:space="0" w:color="000000"/>
            </w:tcBorders>
          </w:tcPr>
          <w:p w14:paraId="5B00C2DF" w14:textId="77777777" w:rsidR="00B94971" w:rsidRDefault="0047225A">
            <w:pPr>
              <w:spacing w:after="0" w:line="259" w:lineRule="auto"/>
              <w:ind w:left="82" w:firstLine="0"/>
              <w:jc w:val="center"/>
            </w:pPr>
            <w:r>
              <w:rPr>
                <w:b/>
                <w:color w:val="2E2E2E"/>
                <w:sz w:val="20"/>
              </w:rPr>
              <w:t xml:space="preserve">EHCS2003 </w:t>
            </w:r>
          </w:p>
        </w:tc>
        <w:tc>
          <w:tcPr>
            <w:tcW w:w="1700" w:type="dxa"/>
            <w:tcBorders>
              <w:top w:val="single" w:sz="12" w:space="0" w:color="000000"/>
              <w:left w:val="single" w:sz="4" w:space="0" w:color="000000"/>
              <w:bottom w:val="single" w:sz="12" w:space="0" w:color="000000"/>
              <w:right w:val="single" w:sz="4" w:space="0" w:color="000000"/>
            </w:tcBorders>
          </w:tcPr>
          <w:p w14:paraId="4740C572" w14:textId="77777777" w:rsidR="00B94971" w:rsidRDefault="0047225A">
            <w:pPr>
              <w:spacing w:after="0" w:line="259" w:lineRule="auto"/>
              <w:ind w:left="90" w:firstLine="0"/>
              <w:jc w:val="center"/>
            </w:pPr>
            <w:r>
              <w:rPr>
                <w:b/>
                <w:color w:val="2E2E2E"/>
                <w:sz w:val="20"/>
              </w:rPr>
              <w:t xml:space="preserve">EHS2009 </w:t>
            </w:r>
          </w:p>
        </w:tc>
        <w:tc>
          <w:tcPr>
            <w:tcW w:w="1985" w:type="dxa"/>
            <w:tcBorders>
              <w:top w:val="single" w:sz="12" w:space="0" w:color="000000"/>
              <w:left w:val="single" w:sz="4" w:space="0" w:color="000000"/>
              <w:bottom w:val="single" w:sz="12" w:space="0" w:color="000000"/>
              <w:right w:val="single" w:sz="12" w:space="0" w:color="000000"/>
            </w:tcBorders>
          </w:tcPr>
          <w:p w14:paraId="1AE3777D" w14:textId="77777777" w:rsidR="00B94971" w:rsidRDefault="0047225A">
            <w:pPr>
              <w:spacing w:after="0" w:line="259" w:lineRule="auto"/>
              <w:ind w:left="85" w:firstLine="0"/>
              <w:jc w:val="center"/>
            </w:pPr>
            <w:r>
              <w:rPr>
                <w:b/>
                <w:color w:val="2E2E2E"/>
                <w:sz w:val="20"/>
              </w:rPr>
              <w:t xml:space="preserve">Change </w:t>
            </w:r>
          </w:p>
          <w:p w14:paraId="236BBE6B" w14:textId="77777777" w:rsidR="00B94971" w:rsidRDefault="0047225A">
            <w:pPr>
              <w:spacing w:after="0" w:line="259" w:lineRule="auto"/>
              <w:ind w:left="85" w:firstLine="0"/>
              <w:jc w:val="center"/>
            </w:pPr>
            <w:r>
              <w:rPr>
                <w:b/>
                <w:color w:val="2E2E2E"/>
                <w:sz w:val="20"/>
              </w:rPr>
              <w:t xml:space="preserve"> 2003 to 2009 </w:t>
            </w:r>
          </w:p>
        </w:tc>
        <w:tc>
          <w:tcPr>
            <w:tcW w:w="307" w:type="dxa"/>
            <w:vMerge w:val="restart"/>
            <w:tcBorders>
              <w:top w:val="nil"/>
              <w:left w:val="single" w:sz="12" w:space="0" w:color="000000"/>
              <w:bottom w:val="nil"/>
              <w:right w:val="nil"/>
            </w:tcBorders>
          </w:tcPr>
          <w:p w14:paraId="7774D7B3" w14:textId="77777777" w:rsidR="00B94971" w:rsidRDefault="00B94971">
            <w:pPr>
              <w:spacing w:after="160" w:line="259" w:lineRule="auto"/>
              <w:ind w:left="0" w:firstLine="0"/>
              <w:jc w:val="left"/>
            </w:pPr>
          </w:p>
        </w:tc>
      </w:tr>
      <w:tr w:rsidR="00B94971" w14:paraId="04E5C1F1" w14:textId="77777777">
        <w:trPr>
          <w:trHeight w:val="250"/>
        </w:trPr>
        <w:tc>
          <w:tcPr>
            <w:tcW w:w="0" w:type="auto"/>
            <w:vMerge/>
            <w:tcBorders>
              <w:top w:val="nil"/>
              <w:left w:val="nil"/>
              <w:bottom w:val="nil"/>
              <w:right w:val="single" w:sz="12" w:space="0" w:color="000000"/>
            </w:tcBorders>
          </w:tcPr>
          <w:p w14:paraId="55C7BCAA" w14:textId="77777777" w:rsidR="00B94971" w:rsidRDefault="00B94971">
            <w:pPr>
              <w:spacing w:after="160" w:line="259" w:lineRule="auto"/>
              <w:ind w:left="0" w:firstLine="0"/>
              <w:jc w:val="left"/>
            </w:pPr>
          </w:p>
        </w:tc>
        <w:tc>
          <w:tcPr>
            <w:tcW w:w="3087" w:type="dxa"/>
            <w:tcBorders>
              <w:top w:val="single" w:sz="12" w:space="0" w:color="000000"/>
              <w:left w:val="single" w:sz="12" w:space="0" w:color="000000"/>
              <w:bottom w:val="single" w:sz="4" w:space="0" w:color="000000"/>
              <w:right w:val="single" w:sz="12" w:space="0" w:color="000000"/>
            </w:tcBorders>
          </w:tcPr>
          <w:p w14:paraId="6A9DB8FF" w14:textId="77777777" w:rsidR="00B94971" w:rsidRDefault="0047225A">
            <w:pPr>
              <w:spacing w:after="0" w:line="259" w:lineRule="auto"/>
              <w:ind w:left="79" w:firstLine="0"/>
              <w:jc w:val="left"/>
            </w:pPr>
            <w:r>
              <w:rPr>
                <w:b/>
                <w:color w:val="2E2E2E"/>
                <w:sz w:val="20"/>
              </w:rPr>
              <w:t xml:space="preserve">Number of Disabled Households </w:t>
            </w:r>
          </w:p>
        </w:tc>
        <w:tc>
          <w:tcPr>
            <w:tcW w:w="1702" w:type="dxa"/>
            <w:tcBorders>
              <w:top w:val="single" w:sz="12" w:space="0" w:color="000000"/>
              <w:left w:val="single" w:sz="12" w:space="0" w:color="000000"/>
              <w:bottom w:val="single" w:sz="4" w:space="0" w:color="000000"/>
              <w:right w:val="single" w:sz="4" w:space="0" w:color="000000"/>
            </w:tcBorders>
          </w:tcPr>
          <w:p w14:paraId="3FCEF66A" w14:textId="77777777" w:rsidR="00B94971" w:rsidRDefault="0047225A">
            <w:pPr>
              <w:spacing w:after="0" w:line="259" w:lineRule="auto"/>
              <w:ind w:left="88" w:firstLine="0"/>
              <w:jc w:val="center"/>
            </w:pPr>
            <w:r>
              <w:rPr>
                <w:color w:val="2E2E2E"/>
                <w:sz w:val="20"/>
              </w:rPr>
              <w:t xml:space="preserve">1828 </w:t>
            </w:r>
          </w:p>
        </w:tc>
        <w:tc>
          <w:tcPr>
            <w:tcW w:w="1700" w:type="dxa"/>
            <w:tcBorders>
              <w:top w:val="single" w:sz="12" w:space="0" w:color="000000"/>
              <w:left w:val="single" w:sz="4" w:space="0" w:color="000000"/>
              <w:bottom w:val="single" w:sz="4" w:space="0" w:color="000000"/>
              <w:right w:val="single" w:sz="4" w:space="0" w:color="000000"/>
            </w:tcBorders>
          </w:tcPr>
          <w:p w14:paraId="01D009F1" w14:textId="77777777" w:rsidR="00B94971" w:rsidRDefault="0047225A">
            <w:pPr>
              <w:spacing w:after="0" w:line="259" w:lineRule="auto"/>
              <w:ind w:left="90" w:firstLine="0"/>
              <w:jc w:val="center"/>
            </w:pPr>
            <w:r>
              <w:rPr>
                <w:color w:val="2E2E2E"/>
                <w:sz w:val="20"/>
              </w:rPr>
              <w:t xml:space="preserve">1396 </w:t>
            </w:r>
          </w:p>
        </w:tc>
        <w:tc>
          <w:tcPr>
            <w:tcW w:w="1985" w:type="dxa"/>
            <w:tcBorders>
              <w:top w:val="single" w:sz="12" w:space="0" w:color="000000"/>
              <w:left w:val="single" w:sz="4" w:space="0" w:color="000000"/>
              <w:bottom w:val="single" w:sz="4" w:space="0" w:color="000000"/>
              <w:right w:val="single" w:sz="12" w:space="0" w:color="000000"/>
            </w:tcBorders>
          </w:tcPr>
          <w:p w14:paraId="251A1654" w14:textId="77777777" w:rsidR="00B94971" w:rsidRDefault="0047225A">
            <w:pPr>
              <w:spacing w:after="0" w:line="259" w:lineRule="auto"/>
              <w:ind w:left="79" w:firstLine="0"/>
              <w:jc w:val="left"/>
            </w:pPr>
            <w:r>
              <w:rPr>
                <w:color w:val="2E2E2E"/>
                <w:sz w:val="20"/>
              </w:rPr>
              <w:t xml:space="preserve"> </w:t>
            </w:r>
          </w:p>
        </w:tc>
        <w:tc>
          <w:tcPr>
            <w:tcW w:w="0" w:type="auto"/>
            <w:vMerge/>
            <w:tcBorders>
              <w:top w:val="nil"/>
              <w:left w:val="single" w:sz="12" w:space="0" w:color="000000"/>
              <w:bottom w:val="nil"/>
              <w:right w:val="nil"/>
            </w:tcBorders>
          </w:tcPr>
          <w:p w14:paraId="74D75BB2" w14:textId="77777777" w:rsidR="00B94971" w:rsidRDefault="00B94971">
            <w:pPr>
              <w:spacing w:after="160" w:line="259" w:lineRule="auto"/>
              <w:ind w:left="0" w:firstLine="0"/>
              <w:jc w:val="left"/>
            </w:pPr>
          </w:p>
        </w:tc>
      </w:tr>
      <w:tr w:rsidR="00B94971" w14:paraId="2F96130B" w14:textId="77777777">
        <w:trPr>
          <w:trHeight w:val="470"/>
        </w:trPr>
        <w:tc>
          <w:tcPr>
            <w:tcW w:w="0" w:type="auto"/>
            <w:vMerge/>
            <w:tcBorders>
              <w:top w:val="nil"/>
              <w:left w:val="nil"/>
              <w:bottom w:val="nil"/>
              <w:right w:val="single" w:sz="12" w:space="0" w:color="000000"/>
            </w:tcBorders>
          </w:tcPr>
          <w:p w14:paraId="7D4DDAD7" w14:textId="77777777" w:rsidR="00B94971" w:rsidRDefault="00B94971">
            <w:pPr>
              <w:spacing w:after="160" w:line="259" w:lineRule="auto"/>
              <w:ind w:left="0" w:firstLine="0"/>
              <w:jc w:val="left"/>
            </w:pPr>
          </w:p>
        </w:tc>
        <w:tc>
          <w:tcPr>
            <w:tcW w:w="3087" w:type="dxa"/>
            <w:tcBorders>
              <w:top w:val="single" w:sz="4" w:space="0" w:color="000000"/>
              <w:left w:val="single" w:sz="12" w:space="0" w:color="000000"/>
              <w:bottom w:val="single" w:sz="4" w:space="0" w:color="000000"/>
              <w:right w:val="single" w:sz="12" w:space="0" w:color="000000"/>
            </w:tcBorders>
          </w:tcPr>
          <w:p w14:paraId="2ED17553" w14:textId="77777777" w:rsidR="00B94971" w:rsidRDefault="0047225A">
            <w:pPr>
              <w:spacing w:after="0" w:line="259" w:lineRule="auto"/>
              <w:ind w:left="79" w:firstLine="0"/>
              <w:jc w:val="left"/>
            </w:pPr>
            <w:r>
              <w:rPr>
                <w:b/>
                <w:color w:val="2E2E2E"/>
                <w:sz w:val="20"/>
              </w:rPr>
              <w:t xml:space="preserve">Those who NEED a stairlift </w:t>
            </w:r>
          </w:p>
        </w:tc>
        <w:tc>
          <w:tcPr>
            <w:tcW w:w="1702" w:type="dxa"/>
            <w:tcBorders>
              <w:top w:val="single" w:sz="4" w:space="0" w:color="000000"/>
              <w:left w:val="single" w:sz="12" w:space="0" w:color="000000"/>
              <w:bottom w:val="single" w:sz="4" w:space="0" w:color="000000"/>
              <w:right w:val="single" w:sz="4" w:space="0" w:color="000000"/>
            </w:tcBorders>
          </w:tcPr>
          <w:p w14:paraId="348EB783" w14:textId="77777777" w:rsidR="00B94971" w:rsidRDefault="0047225A">
            <w:pPr>
              <w:spacing w:after="0" w:line="259" w:lineRule="auto"/>
              <w:ind w:left="88" w:firstLine="0"/>
              <w:jc w:val="center"/>
            </w:pPr>
            <w:r>
              <w:rPr>
                <w:color w:val="2E2E2E"/>
                <w:sz w:val="20"/>
              </w:rPr>
              <w:t xml:space="preserve">287 </w:t>
            </w:r>
          </w:p>
          <w:p w14:paraId="6222E591" w14:textId="77777777" w:rsidR="00B94971" w:rsidRDefault="0047225A">
            <w:pPr>
              <w:spacing w:after="0" w:line="259" w:lineRule="auto"/>
              <w:ind w:left="88" w:firstLine="0"/>
              <w:jc w:val="center"/>
            </w:pPr>
            <w:r>
              <w:rPr>
                <w:color w:val="2E2E2E"/>
                <w:sz w:val="20"/>
              </w:rPr>
              <w:t xml:space="preserve">15.7% </w:t>
            </w:r>
          </w:p>
        </w:tc>
        <w:tc>
          <w:tcPr>
            <w:tcW w:w="1700" w:type="dxa"/>
            <w:tcBorders>
              <w:top w:val="single" w:sz="4" w:space="0" w:color="000000"/>
              <w:left w:val="single" w:sz="4" w:space="0" w:color="000000"/>
              <w:bottom w:val="single" w:sz="4" w:space="0" w:color="000000"/>
              <w:right w:val="single" w:sz="4" w:space="0" w:color="000000"/>
            </w:tcBorders>
          </w:tcPr>
          <w:p w14:paraId="6FCDE8BA" w14:textId="77777777" w:rsidR="00B94971" w:rsidRDefault="0047225A">
            <w:pPr>
              <w:spacing w:after="0" w:line="259" w:lineRule="auto"/>
              <w:ind w:left="90" w:firstLine="0"/>
              <w:jc w:val="center"/>
            </w:pPr>
            <w:r>
              <w:rPr>
                <w:color w:val="2E2E2E"/>
                <w:sz w:val="20"/>
              </w:rPr>
              <w:t xml:space="preserve">216 </w:t>
            </w:r>
          </w:p>
          <w:p w14:paraId="49662DD7" w14:textId="77777777" w:rsidR="00B94971" w:rsidRDefault="0047225A">
            <w:pPr>
              <w:spacing w:after="0" w:line="259" w:lineRule="auto"/>
              <w:ind w:left="91" w:firstLine="0"/>
              <w:jc w:val="center"/>
            </w:pPr>
            <w:r>
              <w:rPr>
                <w:color w:val="2E2E2E"/>
                <w:sz w:val="20"/>
              </w:rPr>
              <w:t xml:space="preserve">15.5% </w:t>
            </w:r>
          </w:p>
        </w:tc>
        <w:tc>
          <w:tcPr>
            <w:tcW w:w="1985" w:type="dxa"/>
            <w:tcBorders>
              <w:top w:val="single" w:sz="4" w:space="0" w:color="000000"/>
              <w:left w:val="single" w:sz="4" w:space="0" w:color="000000"/>
              <w:bottom w:val="single" w:sz="4" w:space="0" w:color="000000"/>
              <w:right w:val="single" w:sz="12" w:space="0" w:color="000000"/>
            </w:tcBorders>
          </w:tcPr>
          <w:p w14:paraId="6FF97E20" w14:textId="77777777" w:rsidR="00B94971" w:rsidRDefault="0047225A">
            <w:pPr>
              <w:spacing w:after="0" w:line="259" w:lineRule="auto"/>
              <w:ind w:left="79" w:firstLine="0"/>
              <w:jc w:val="left"/>
            </w:pPr>
            <w:r>
              <w:rPr>
                <w:color w:val="2E2E2E"/>
                <w:sz w:val="20"/>
              </w:rPr>
              <w:t xml:space="preserve">No change </w:t>
            </w:r>
          </w:p>
        </w:tc>
        <w:tc>
          <w:tcPr>
            <w:tcW w:w="0" w:type="auto"/>
            <w:vMerge/>
            <w:tcBorders>
              <w:top w:val="nil"/>
              <w:left w:val="single" w:sz="12" w:space="0" w:color="000000"/>
              <w:bottom w:val="nil"/>
              <w:right w:val="nil"/>
            </w:tcBorders>
          </w:tcPr>
          <w:p w14:paraId="5168767A" w14:textId="77777777" w:rsidR="00B94971" w:rsidRDefault="00B94971">
            <w:pPr>
              <w:spacing w:after="160" w:line="259" w:lineRule="auto"/>
              <w:ind w:left="0" w:firstLine="0"/>
              <w:jc w:val="left"/>
            </w:pPr>
          </w:p>
        </w:tc>
      </w:tr>
      <w:tr w:rsidR="00B94971" w14:paraId="08550881" w14:textId="77777777">
        <w:trPr>
          <w:trHeight w:val="470"/>
        </w:trPr>
        <w:tc>
          <w:tcPr>
            <w:tcW w:w="0" w:type="auto"/>
            <w:vMerge/>
            <w:tcBorders>
              <w:top w:val="nil"/>
              <w:left w:val="nil"/>
              <w:bottom w:val="nil"/>
              <w:right w:val="single" w:sz="12" w:space="0" w:color="000000"/>
            </w:tcBorders>
          </w:tcPr>
          <w:p w14:paraId="2B6555FA" w14:textId="77777777" w:rsidR="00B94971" w:rsidRDefault="00B94971">
            <w:pPr>
              <w:spacing w:after="160" w:line="259" w:lineRule="auto"/>
              <w:ind w:left="0" w:firstLine="0"/>
              <w:jc w:val="left"/>
            </w:pPr>
          </w:p>
        </w:tc>
        <w:tc>
          <w:tcPr>
            <w:tcW w:w="3087" w:type="dxa"/>
            <w:tcBorders>
              <w:top w:val="single" w:sz="4" w:space="0" w:color="000000"/>
              <w:left w:val="single" w:sz="12" w:space="0" w:color="000000"/>
              <w:bottom w:val="single" w:sz="4" w:space="0" w:color="000000"/>
              <w:right w:val="single" w:sz="12" w:space="0" w:color="000000"/>
            </w:tcBorders>
          </w:tcPr>
          <w:p w14:paraId="69A02E83" w14:textId="77777777" w:rsidR="00B94971" w:rsidRDefault="0047225A">
            <w:pPr>
              <w:spacing w:after="0" w:line="259" w:lineRule="auto"/>
              <w:ind w:left="79" w:firstLine="0"/>
              <w:jc w:val="left"/>
            </w:pPr>
            <w:r>
              <w:rPr>
                <w:b/>
                <w:color w:val="2E2E2E"/>
                <w:sz w:val="20"/>
              </w:rPr>
              <w:t xml:space="preserve">Those who HAVE a stairlift </w:t>
            </w:r>
          </w:p>
        </w:tc>
        <w:tc>
          <w:tcPr>
            <w:tcW w:w="1702" w:type="dxa"/>
            <w:tcBorders>
              <w:top w:val="single" w:sz="4" w:space="0" w:color="000000"/>
              <w:left w:val="single" w:sz="12" w:space="0" w:color="000000"/>
              <w:bottom w:val="single" w:sz="4" w:space="0" w:color="000000"/>
              <w:right w:val="single" w:sz="4" w:space="0" w:color="000000"/>
            </w:tcBorders>
          </w:tcPr>
          <w:p w14:paraId="41253780" w14:textId="77777777" w:rsidR="00B94971" w:rsidRDefault="0047225A">
            <w:pPr>
              <w:spacing w:after="0" w:line="259" w:lineRule="auto"/>
              <w:ind w:left="88" w:firstLine="0"/>
              <w:jc w:val="center"/>
            </w:pPr>
            <w:r>
              <w:rPr>
                <w:color w:val="2E2E2E"/>
                <w:sz w:val="20"/>
              </w:rPr>
              <w:t xml:space="preserve">150 </w:t>
            </w:r>
          </w:p>
          <w:p w14:paraId="4BCEF028" w14:textId="77777777" w:rsidR="00B94971" w:rsidRDefault="0047225A">
            <w:pPr>
              <w:spacing w:after="0" w:line="259" w:lineRule="auto"/>
              <w:ind w:left="84" w:firstLine="0"/>
              <w:jc w:val="center"/>
            </w:pPr>
            <w:r>
              <w:rPr>
                <w:color w:val="2E2E2E"/>
                <w:sz w:val="20"/>
              </w:rPr>
              <w:t xml:space="preserve">8.2% </w:t>
            </w:r>
          </w:p>
        </w:tc>
        <w:tc>
          <w:tcPr>
            <w:tcW w:w="1700" w:type="dxa"/>
            <w:tcBorders>
              <w:top w:val="single" w:sz="4" w:space="0" w:color="000000"/>
              <w:left w:val="single" w:sz="4" w:space="0" w:color="000000"/>
              <w:bottom w:val="single" w:sz="4" w:space="0" w:color="000000"/>
              <w:right w:val="single" w:sz="4" w:space="0" w:color="000000"/>
            </w:tcBorders>
          </w:tcPr>
          <w:p w14:paraId="5CE01362" w14:textId="77777777" w:rsidR="00B94971" w:rsidRDefault="0047225A">
            <w:pPr>
              <w:spacing w:after="0" w:line="259" w:lineRule="auto"/>
              <w:ind w:left="90" w:firstLine="0"/>
              <w:jc w:val="center"/>
            </w:pPr>
            <w:r>
              <w:rPr>
                <w:color w:val="2E2E2E"/>
                <w:sz w:val="20"/>
              </w:rPr>
              <w:t xml:space="preserve">156 </w:t>
            </w:r>
          </w:p>
          <w:p w14:paraId="1B54832D" w14:textId="77777777" w:rsidR="00B94971" w:rsidRDefault="0047225A">
            <w:pPr>
              <w:spacing w:after="0" w:line="259" w:lineRule="auto"/>
              <w:ind w:left="91" w:firstLine="0"/>
              <w:jc w:val="center"/>
            </w:pPr>
            <w:r>
              <w:rPr>
                <w:color w:val="2E2E2E"/>
                <w:sz w:val="20"/>
              </w:rPr>
              <w:t xml:space="preserve">11.2% </w:t>
            </w:r>
          </w:p>
        </w:tc>
        <w:tc>
          <w:tcPr>
            <w:tcW w:w="1985" w:type="dxa"/>
            <w:tcBorders>
              <w:top w:val="single" w:sz="4" w:space="0" w:color="000000"/>
              <w:left w:val="single" w:sz="4" w:space="0" w:color="000000"/>
              <w:bottom w:val="single" w:sz="4" w:space="0" w:color="000000"/>
              <w:right w:val="single" w:sz="12" w:space="0" w:color="000000"/>
            </w:tcBorders>
          </w:tcPr>
          <w:p w14:paraId="14391065" w14:textId="77777777" w:rsidR="00B94971" w:rsidRDefault="0047225A">
            <w:pPr>
              <w:spacing w:after="0" w:line="259" w:lineRule="auto"/>
              <w:ind w:left="79" w:firstLine="0"/>
              <w:jc w:val="left"/>
            </w:pPr>
            <w:r>
              <w:rPr>
                <w:color w:val="2E2E2E"/>
                <w:sz w:val="20"/>
              </w:rPr>
              <w:t xml:space="preserve">Small increase </w:t>
            </w:r>
          </w:p>
        </w:tc>
        <w:tc>
          <w:tcPr>
            <w:tcW w:w="0" w:type="auto"/>
            <w:vMerge/>
            <w:tcBorders>
              <w:top w:val="nil"/>
              <w:left w:val="single" w:sz="12" w:space="0" w:color="000000"/>
              <w:bottom w:val="nil"/>
              <w:right w:val="nil"/>
            </w:tcBorders>
          </w:tcPr>
          <w:p w14:paraId="6C36AB43" w14:textId="77777777" w:rsidR="00B94971" w:rsidRDefault="00B94971">
            <w:pPr>
              <w:spacing w:after="160" w:line="259" w:lineRule="auto"/>
              <w:ind w:left="0" w:firstLine="0"/>
              <w:jc w:val="left"/>
            </w:pPr>
          </w:p>
        </w:tc>
      </w:tr>
      <w:tr w:rsidR="00B94971" w14:paraId="74FED17D" w14:textId="77777777">
        <w:trPr>
          <w:trHeight w:val="470"/>
        </w:trPr>
        <w:tc>
          <w:tcPr>
            <w:tcW w:w="0" w:type="auto"/>
            <w:vMerge/>
            <w:tcBorders>
              <w:top w:val="nil"/>
              <w:left w:val="nil"/>
              <w:bottom w:val="nil"/>
              <w:right w:val="single" w:sz="12" w:space="0" w:color="000000"/>
            </w:tcBorders>
          </w:tcPr>
          <w:p w14:paraId="4133E45A" w14:textId="77777777" w:rsidR="00B94971" w:rsidRDefault="00B94971">
            <w:pPr>
              <w:spacing w:after="160" w:line="259" w:lineRule="auto"/>
              <w:ind w:left="0" w:firstLine="0"/>
              <w:jc w:val="left"/>
            </w:pPr>
          </w:p>
        </w:tc>
        <w:tc>
          <w:tcPr>
            <w:tcW w:w="3087" w:type="dxa"/>
            <w:tcBorders>
              <w:top w:val="single" w:sz="4" w:space="0" w:color="000000"/>
              <w:left w:val="single" w:sz="12" w:space="0" w:color="000000"/>
              <w:bottom w:val="single" w:sz="4" w:space="0" w:color="000000"/>
              <w:right w:val="single" w:sz="12" w:space="0" w:color="000000"/>
            </w:tcBorders>
          </w:tcPr>
          <w:p w14:paraId="7ECC1FF7" w14:textId="77777777" w:rsidR="00B94971" w:rsidRDefault="0047225A">
            <w:pPr>
              <w:spacing w:after="0" w:line="259" w:lineRule="auto"/>
              <w:ind w:left="79" w:firstLine="0"/>
              <w:jc w:val="left"/>
            </w:pPr>
            <w:r>
              <w:rPr>
                <w:b/>
                <w:color w:val="2E2E2E"/>
                <w:sz w:val="20"/>
              </w:rPr>
              <w:t xml:space="preserve">Those who NEED a stairlift but do not HAVE one </w:t>
            </w:r>
          </w:p>
        </w:tc>
        <w:tc>
          <w:tcPr>
            <w:tcW w:w="1702" w:type="dxa"/>
            <w:tcBorders>
              <w:top w:val="single" w:sz="4" w:space="0" w:color="000000"/>
              <w:left w:val="single" w:sz="12" w:space="0" w:color="000000"/>
              <w:bottom w:val="single" w:sz="4" w:space="0" w:color="000000"/>
              <w:right w:val="single" w:sz="4" w:space="0" w:color="000000"/>
            </w:tcBorders>
          </w:tcPr>
          <w:p w14:paraId="77F34DAC" w14:textId="77777777" w:rsidR="00B94971" w:rsidRDefault="0047225A">
            <w:pPr>
              <w:spacing w:after="0" w:line="259" w:lineRule="auto"/>
              <w:ind w:left="88" w:firstLine="0"/>
              <w:jc w:val="center"/>
            </w:pPr>
            <w:r>
              <w:rPr>
                <w:color w:val="2E2E2E"/>
                <w:sz w:val="20"/>
              </w:rPr>
              <w:t xml:space="preserve">141 </w:t>
            </w:r>
          </w:p>
          <w:p w14:paraId="4BF7C4EE" w14:textId="77777777" w:rsidR="00B94971" w:rsidRDefault="0047225A">
            <w:pPr>
              <w:spacing w:after="0" w:line="259" w:lineRule="auto"/>
              <w:ind w:left="84" w:firstLine="0"/>
              <w:jc w:val="center"/>
            </w:pPr>
            <w:r>
              <w:rPr>
                <w:color w:val="2E2E2E"/>
                <w:sz w:val="20"/>
              </w:rPr>
              <w:t xml:space="preserve">8.4% </w:t>
            </w:r>
          </w:p>
        </w:tc>
        <w:tc>
          <w:tcPr>
            <w:tcW w:w="1700" w:type="dxa"/>
            <w:tcBorders>
              <w:top w:val="single" w:sz="4" w:space="0" w:color="000000"/>
              <w:left w:val="single" w:sz="4" w:space="0" w:color="000000"/>
              <w:bottom w:val="single" w:sz="4" w:space="0" w:color="000000"/>
              <w:right w:val="single" w:sz="4" w:space="0" w:color="000000"/>
            </w:tcBorders>
          </w:tcPr>
          <w:p w14:paraId="7B4ACBA1" w14:textId="77777777" w:rsidR="00B94971" w:rsidRDefault="0047225A">
            <w:pPr>
              <w:spacing w:after="0" w:line="259" w:lineRule="auto"/>
              <w:ind w:left="514" w:right="375" w:firstLine="0"/>
              <w:jc w:val="center"/>
            </w:pPr>
            <w:r>
              <w:rPr>
                <w:color w:val="2E2E2E"/>
                <w:sz w:val="20"/>
              </w:rPr>
              <w:t xml:space="preserve">86 6.9% </w:t>
            </w:r>
          </w:p>
        </w:tc>
        <w:tc>
          <w:tcPr>
            <w:tcW w:w="1985" w:type="dxa"/>
            <w:tcBorders>
              <w:top w:val="single" w:sz="4" w:space="0" w:color="000000"/>
              <w:left w:val="single" w:sz="4" w:space="0" w:color="000000"/>
              <w:bottom w:val="single" w:sz="4" w:space="0" w:color="000000"/>
              <w:right w:val="single" w:sz="12" w:space="0" w:color="000000"/>
            </w:tcBorders>
          </w:tcPr>
          <w:p w14:paraId="7F72D246" w14:textId="77777777" w:rsidR="00B94971" w:rsidRDefault="0047225A">
            <w:pPr>
              <w:spacing w:after="0" w:line="259" w:lineRule="auto"/>
              <w:ind w:left="79" w:firstLine="0"/>
              <w:jc w:val="left"/>
            </w:pPr>
            <w:r>
              <w:rPr>
                <w:color w:val="2E2E2E"/>
                <w:sz w:val="20"/>
              </w:rPr>
              <w:t xml:space="preserve">Small decrease </w:t>
            </w:r>
          </w:p>
        </w:tc>
        <w:tc>
          <w:tcPr>
            <w:tcW w:w="0" w:type="auto"/>
            <w:vMerge/>
            <w:tcBorders>
              <w:top w:val="nil"/>
              <w:left w:val="single" w:sz="12" w:space="0" w:color="000000"/>
              <w:bottom w:val="nil"/>
              <w:right w:val="nil"/>
            </w:tcBorders>
          </w:tcPr>
          <w:p w14:paraId="72F9D21F" w14:textId="77777777" w:rsidR="00B94971" w:rsidRDefault="00B94971">
            <w:pPr>
              <w:spacing w:after="160" w:line="259" w:lineRule="auto"/>
              <w:ind w:left="0" w:firstLine="0"/>
              <w:jc w:val="left"/>
            </w:pPr>
          </w:p>
        </w:tc>
      </w:tr>
      <w:tr w:rsidR="00B94971" w14:paraId="6ADD345B" w14:textId="77777777">
        <w:trPr>
          <w:trHeight w:val="484"/>
        </w:trPr>
        <w:tc>
          <w:tcPr>
            <w:tcW w:w="0" w:type="auto"/>
            <w:vMerge/>
            <w:tcBorders>
              <w:top w:val="nil"/>
              <w:left w:val="nil"/>
              <w:bottom w:val="nil"/>
              <w:right w:val="single" w:sz="12" w:space="0" w:color="000000"/>
            </w:tcBorders>
          </w:tcPr>
          <w:p w14:paraId="6EB7ADB4" w14:textId="77777777" w:rsidR="00B94971" w:rsidRDefault="00B94971">
            <w:pPr>
              <w:spacing w:after="160" w:line="259" w:lineRule="auto"/>
              <w:ind w:left="0" w:firstLine="0"/>
              <w:jc w:val="left"/>
            </w:pPr>
          </w:p>
        </w:tc>
        <w:tc>
          <w:tcPr>
            <w:tcW w:w="3087" w:type="dxa"/>
            <w:tcBorders>
              <w:top w:val="single" w:sz="4" w:space="0" w:color="000000"/>
              <w:left w:val="single" w:sz="12" w:space="0" w:color="000000"/>
              <w:bottom w:val="single" w:sz="12" w:space="0" w:color="000000"/>
              <w:right w:val="single" w:sz="12" w:space="0" w:color="000000"/>
            </w:tcBorders>
          </w:tcPr>
          <w:p w14:paraId="178FD7FE" w14:textId="77777777" w:rsidR="00B94971" w:rsidRDefault="0047225A">
            <w:pPr>
              <w:spacing w:after="0" w:line="259" w:lineRule="auto"/>
              <w:ind w:left="79" w:firstLine="0"/>
              <w:jc w:val="left"/>
            </w:pPr>
            <w:r>
              <w:rPr>
                <w:b/>
                <w:color w:val="2E2E2E"/>
                <w:sz w:val="20"/>
              </w:rPr>
              <w:t xml:space="preserve">Those who HAVE a stairlift but do not NEED one. </w:t>
            </w:r>
          </w:p>
        </w:tc>
        <w:tc>
          <w:tcPr>
            <w:tcW w:w="1702" w:type="dxa"/>
            <w:tcBorders>
              <w:top w:val="single" w:sz="4" w:space="0" w:color="000000"/>
              <w:left w:val="single" w:sz="12" w:space="0" w:color="000000"/>
              <w:bottom w:val="single" w:sz="12" w:space="0" w:color="000000"/>
              <w:right w:val="single" w:sz="4" w:space="0" w:color="000000"/>
            </w:tcBorders>
          </w:tcPr>
          <w:p w14:paraId="045DD9A8" w14:textId="77777777" w:rsidR="00B94971" w:rsidRDefault="0047225A">
            <w:pPr>
              <w:spacing w:after="0" w:line="259" w:lineRule="auto"/>
              <w:ind w:left="562" w:right="428" w:firstLine="0"/>
              <w:jc w:val="center"/>
            </w:pPr>
            <w:r>
              <w:rPr>
                <w:color w:val="2E2E2E"/>
                <w:sz w:val="20"/>
              </w:rPr>
              <w:t xml:space="preserve">4 2.7% </w:t>
            </w:r>
          </w:p>
        </w:tc>
        <w:tc>
          <w:tcPr>
            <w:tcW w:w="1700" w:type="dxa"/>
            <w:tcBorders>
              <w:top w:val="single" w:sz="4" w:space="0" w:color="000000"/>
              <w:left w:val="single" w:sz="4" w:space="0" w:color="000000"/>
              <w:bottom w:val="single" w:sz="12" w:space="0" w:color="000000"/>
              <w:right w:val="single" w:sz="4" w:space="0" w:color="000000"/>
            </w:tcBorders>
          </w:tcPr>
          <w:p w14:paraId="1F73C638" w14:textId="77777777" w:rsidR="00B94971" w:rsidRDefault="0047225A">
            <w:pPr>
              <w:spacing w:after="0" w:line="259" w:lineRule="auto"/>
              <w:ind w:left="464" w:right="325" w:firstLine="0"/>
              <w:jc w:val="center"/>
            </w:pPr>
            <w:r>
              <w:rPr>
                <w:color w:val="2E2E2E"/>
                <w:sz w:val="20"/>
              </w:rPr>
              <w:t xml:space="preserve">26 16.7% </w:t>
            </w:r>
          </w:p>
        </w:tc>
        <w:tc>
          <w:tcPr>
            <w:tcW w:w="1985" w:type="dxa"/>
            <w:tcBorders>
              <w:top w:val="single" w:sz="4" w:space="0" w:color="000000"/>
              <w:left w:val="single" w:sz="4" w:space="0" w:color="000000"/>
              <w:bottom w:val="single" w:sz="12" w:space="0" w:color="000000"/>
              <w:right w:val="single" w:sz="12" w:space="0" w:color="000000"/>
            </w:tcBorders>
          </w:tcPr>
          <w:p w14:paraId="3788110F" w14:textId="77777777" w:rsidR="00B94971" w:rsidRDefault="0047225A">
            <w:pPr>
              <w:spacing w:after="0" w:line="259" w:lineRule="auto"/>
              <w:ind w:left="79" w:firstLine="0"/>
              <w:jc w:val="left"/>
            </w:pPr>
            <w:r>
              <w:rPr>
                <w:color w:val="2E2E2E"/>
                <w:sz w:val="20"/>
              </w:rPr>
              <w:t xml:space="preserve">Large increase </w:t>
            </w:r>
          </w:p>
        </w:tc>
        <w:tc>
          <w:tcPr>
            <w:tcW w:w="0" w:type="auto"/>
            <w:vMerge/>
            <w:tcBorders>
              <w:top w:val="nil"/>
              <w:left w:val="single" w:sz="12" w:space="0" w:color="000000"/>
              <w:bottom w:val="nil"/>
              <w:right w:val="nil"/>
            </w:tcBorders>
          </w:tcPr>
          <w:p w14:paraId="7A03478F" w14:textId="77777777" w:rsidR="00B94971" w:rsidRDefault="00B94971">
            <w:pPr>
              <w:spacing w:after="160" w:line="259" w:lineRule="auto"/>
              <w:ind w:left="0" w:firstLine="0"/>
              <w:jc w:val="left"/>
            </w:pPr>
          </w:p>
        </w:tc>
      </w:tr>
      <w:tr w:rsidR="00B94971" w14:paraId="7200EFAB" w14:textId="77777777">
        <w:trPr>
          <w:trHeight w:val="287"/>
        </w:trPr>
        <w:tc>
          <w:tcPr>
            <w:tcW w:w="3392" w:type="dxa"/>
            <w:gridSpan w:val="2"/>
            <w:tcBorders>
              <w:top w:val="single" w:sz="12" w:space="0" w:color="000000"/>
              <w:left w:val="nil"/>
              <w:bottom w:val="nil"/>
              <w:right w:val="nil"/>
            </w:tcBorders>
            <w:shd w:val="clear" w:color="auto" w:fill="FFFFFF"/>
          </w:tcPr>
          <w:p w14:paraId="432E6731" w14:textId="77777777" w:rsidR="00B94971" w:rsidRDefault="0047225A">
            <w:pPr>
              <w:spacing w:after="0" w:line="259" w:lineRule="auto"/>
              <w:ind w:left="0" w:firstLine="0"/>
              <w:jc w:val="left"/>
            </w:pPr>
            <w:r>
              <w:rPr>
                <w:color w:val="2E2E2E"/>
              </w:rPr>
              <w:t xml:space="preserve"> </w:t>
            </w:r>
          </w:p>
        </w:tc>
        <w:tc>
          <w:tcPr>
            <w:tcW w:w="1702" w:type="dxa"/>
            <w:tcBorders>
              <w:top w:val="single" w:sz="12" w:space="0" w:color="000000"/>
              <w:left w:val="nil"/>
              <w:bottom w:val="nil"/>
              <w:right w:val="nil"/>
            </w:tcBorders>
            <w:shd w:val="clear" w:color="auto" w:fill="FFFFFF"/>
          </w:tcPr>
          <w:p w14:paraId="66399E70" w14:textId="77777777" w:rsidR="00B94971" w:rsidRDefault="00B94971">
            <w:pPr>
              <w:spacing w:after="160" w:line="259" w:lineRule="auto"/>
              <w:ind w:left="0" w:firstLine="0"/>
              <w:jc w:val="left"/>
            </w:pPr>
          </w:p>
        </w:tc>
        <w:tc>
          <w:tcPr>
            <w:tcW w:w="1700" w:type="dxa"/>
            <w:tcBorders>
              <w:top w:val="single" w:sz="12" w:space="0" w:color="000000"/>
              <w:left w:val="nil"/>
              <w:bottom w:val="nil"/>
              <w:right w:val="nil"/>
            </w:tcBorders>
            <w:shd w:val="clear" w:color="auto" w:fill="FFFFFF"/>
          </w:tcPr>
          <w:p w14:paraId="4B800E25" w14:textId="77777777" w:rsidR="00B94971" w:rsidRDefault="00B94971">
            <w:pPr>
              <w:spacing w:after="160" w:line="259" w:lineRule="auto"/>
              <w:ind w:left="0" w:firstLine="0"/>
              <w:jc w:val="left"/>
            </w:pPr>
          </w:p>
        </w:tc>
        <w:tc>
          <w:tcPr>
            <w:tcW w:w="2292" w:type="dxa"/>
            <w:gridSpan w:val="2"/>
            <w:tcBorders>
              <w:top w:val="nil"/>
              <w:left w:val="nil"/>
              <w:bottom w:val="nil"/>
              <w:right w:val="nil"/>
            </w:tcBorders>
            <w:shd w:val="clear" w:color="auto" w:fill="FFFFFF"/>
          </w:tcPr>
          <w:p w14:paraId="0AAB8B05" w14:textId="77777777" w:rsidR="00B94971" w:rsidRDefault="00B94971">
            <w:pPr>
              <w:spacing w:after="160" w:line="259" w:lineRule="auto"/>
              <w:ind w:left="0" w:firstLine="0"/>
              <w:jc w:val="left"/>
            </w:pPr>
          </w:p>
        </w:tc>
      </w:tr>
    </w:tbl>
    <w:p w14:paraId="28F75D72" w14:textId="77777777" w:rsidR="00B94971" w:rsidRDefault="0047225A">
      <w:pPr>
        <w:spacing w:after="0" w:line="259" w:lineRule="auto"/>
        <w:ind w:left="0" w:firstLine="0"/>
        <w:jc w:val="left"/>
      </w:pPr>
      <w:r>
        <w:t xml:space="preserve"> </w:t>
      </w:r>
    </w:p>
    <w:p w14:paraId="34C8AEAA" w14:textId="77777777" w:rsidR="00B94971" w:rsidRDefault="0047225A">
      <w:pPr>
        <w:pStyle w:val="Heading1"/>
        <w:ind w:left="-5"/>
      </w:pPr>
      <w:r>
        <w:t xml:space="preserve">Discussion </w:t>
      </w:r>
    </w:p>
    <w:p w14:paraId="11E177D8" w14:textId="77777777" w:rsidR="00B94971" w:rsidRDefault="0047225A">
      <w:pPr>
        <w:spacing w:after="0" w:line="259" w:lineRule="auto"/>
        <w:ind w:left="0" w:firstLine="0"/>
        <w:jc w:val="left"/>
      </w:pPr>
      <w:r>
        <w:rPr>
          <w:b/>
        </w:rPr>
        <w:t xml:space="preserve"> </w:t>
      </w:r>
    </w:p>
    <w:p w14:paraId="11BF42E8" w14:textId="77777777" w:rsidR="00B94971" w:rsidRDefault="0047225A">
      <w:pPr>
        <w:ind w:left="-5"/>
      </w:pPr>
      <w:r>
        <w:t xml:space="preserve">From these results </w:t>
      </w:r>
      <w:proofErr w:type="gramStart"/>
      <w:r>
        <w:t>it is clear that the</w:t>
      </w:r>
      <w:proofErr w:type="gramEnd"/>
      <w:r>
        <w:t xml:space="preserve"> scope of disability adaptations provision reported in the English Housing Survey of 2009/10 (EHS2009) is more generous than that reported in equivalent data from the 2003/4 English House Condition Survey (EHCS2003), with a 22% increase</w:t>
      </w:r>
      <w:r>
        <w:t xml:space="preserve"> in numbers of adaptations per household. Along with this is a consequent halving of the number of households with no adaptations at all (dropping from 17% to 7.6%). However, the distribution of adaptations is in several ways uneven, and this deserves furt</w:t>
      </w:r>
      <w:r>
        <w:t xml:space="preserve">her attention and explanation. </w:t>
      </w:r>
    </w:p>
    <w:p w14:paraId="717682EA" w14:textId="77777777" w:rsidR="00B94971" w:rsidRDefault="0047225A">
      <w:pPr>
        <w:spacing w:after="0" w:line="259" w:lineRule="auto"/>
        <w:ind w:left="0" w:firstLine="0"/>
        <w:jc w:val="left"/>
      </w:pPr>
      <w:r>
        <w:t xml:space="preserve"> </w:t>
      </w:r>
    </w:p>
    <w:p w14:paraId="6A893388" w14:textId="77777777" w:rsidR="00B94971" w:rsidRDefault="0047225A">
      <w:pPr>
        <w:pStyle w:val="Heading2"/>
        <w:ind w:left="-5"/>
      </w:pPr>
      <w:r>
        <w:t xml:space="preserve">Bias according to Ethnic Group </w:t>
      </w:r>
    </w:p>
    <w:p w14:paraId="2C8AD13C" w14:textId="77777777" w:rsidR="00B94971" w:rsidRDefault="0047225A">
      <w:pPr>
        <w:ind w:left="-5"/>
      </w:pPr>
      <w:r>
        <w:t xml:space="preserve">Evidence for bias in the provision of adaptations associated with ethnicity is demonstrated by a distinct difference in the numbers and suitability of adaptations between white and </w:t>
      </w:r>
      <w:proofErr w:type="spellStart"/>
      <w:r>
        <w:t>nonwhite</w:t>
      </w:r>
      <w:proofErr w:type="spellEnd"/>
      <w:r>
        <w:t xml:space="preserve"> </w:t>
      </w:r>
      <w:r>
        <w:t>households from the figures available in EHCS2003, such that non-white households were then more than twice as likely to have no adaptations as white households, twice as likely to need many more adaptations, and significantly less likely to have most of t</w:t>
      </w:r>
      <w:r>
        <w:t>he adaptations they needed. By the time of EHS2009, the general increase in provision masks any potential bias so that all groups have much lower levels of perceived outstanding need. This is a mixed result, since if these problems have not been detected o</w:t>
      </w:r>
      <w:r>
        <w:t xml:space="preserve">r understood there is a strong possibility that they remain. If there is a genuine bias in favour of white over </w:t>
      </w:r>
      <w:proofErr w:type="spellStart"/>
      <w:r>
        <w:t>nonwhite</w:t>
      </w:r>
      <w:proofErr w:type="spellEnd"/>
      <w:r>
        <w:t xml:space="preserve"> disabled households, then we need to understand why.  </w:t>
      </w:r>
    </w:p>
    <w:p w14:paraId="6489A2B1" w14:textId="77777777" w:rsidR="00B94971" w:rsidRDefault="0047225A">
      <w:pPr>
        <w:ind w:left="-15" w:firstLine="72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78766A" wp14:editId="2963AC55">
                <wp:simplePos x="0" y="0"/>
                <wp:positionH relativeFrom="page">
                  <wp:posOffset>457200</wp:posOffset>
                </wp:positionH>
                <wp:positionV relativeFrom="page">
                  <wp:posOffset>8451799</wp:posOffset>
                </wp:positionV>
                <wp:extent cx="9144" cy="1051560"/>
                <wp:effectExtent l="0" t="0" r="0" b="0"/>
                <wp:wrapSquare wrapText="bothSides"/>
                <wp:docPr id="58929" name="Group 58929"/>
                <wp:cNvGraphicFramePr/>
                <a:graphic xmlns:a="http://schemas.openxmlformats.org/drawingml/2006/main">
                  <a:graphicData uri="http://schemas.microsoft.com/office/word/2010/wordprocessingGroup">
                    <wpg:wgp>
                      <wpg:cNvGrpSpPr/>
                      <wpg:grpSpPr>
                        <a:xfrm>
                          <a:off x="0" y="0"/>
                          <a:ext cx="9144" cy="1051560"/>
                          <a:chOff x="0" y="0"/>
                          <a:chExt cx="9144" cy="1051560"/>
                        </a:xfrm>
                      </wpg:grpSpPr>
                      <wps:wsp>
                        <wps:cNvPr id="72881" name="Shape 72881"/>
                        <wps:cNvSpPr/>
                        <wps:spPr>
                          <a:xfrm>
                            <a:off x="0" y="0"/>
                            <a:ext cx="9144" cy="1051560"/>
                          </a:xfrm>
                          <a:custGeom>
                            <a:avLst/>
                            <a:gdLst/>
                            <a:ahLst/>
                            <a:cxnLst/>
                            <a:rect l="0" t="0" r="0" b="0"/>
                            <a:pathLst>
                              <a:path w="9144" h="1051560">
                                <a:moveTo>
                                  <a:pt x="0" y="0"/>
                                </a:moveTo>
                                <a:lnTo>
                                  <a:pt x="9144" y="0"/>
                                </a:lnTo>
                                <a:lnTo>
                                  <a:pt x="9144" y="1051560"/>
                                </a:lnTo>
                                <a:lnTo>
                                  <a:pt x="0" y="1051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929" style="width:0.720001pt;height:82.8pt;position:absolute;mso-position-horizontal-relative:page;mso-position-horizontal:absolute;margin-left:36pt;mso-position-vertical-relative:page;margin-top:665.496pt;" coordsize="91,10515">
                <v:shape id="Shape 72882" style="position:absolute;width:91;height:10515;left:0;top:0;" coordsize="9144,1051560" path="m0,0l9144,0l9144,1051560l0,1051560l0,0">
                  <v:stroke weight="0pt" endcap="flat" joinstyle="miter" miterlimit="10" on="false" color="#000000" opacity="0"/>
                  <v:fill on="true" color="#000000"/>
                </v:shape>
                <w10:wrap type="square"/>
              </v:group>
            </w:pict>
          </mc:Fallback>
        </mc:AlternateContent>
      </w:r>
      <w:r>
        <w:t>Previous research has highlighted the importance of cultural sensitivity when a</w:t>
      </w:r>
      <w:r>
        <w:t xml:space="preserve">ssessments are made for suitable adaptations (Heywood 2004), suggesting that this is a </w:t>
      </w:r>
      <w:r>
        <w:lastRenderedPageBreak/>
        <w:t>current, or at least recent issue. Any research that has looked specifically at ethnic or cultural differences in disabled living at home has focussed almost exclusively</w:t>
      </w:r>
      <w:r>
        <w:t xml:space="preserve"> on Asian communities (Victor </w:t>
      </w:r>
      <w:r>
        <w:rPr>
          <w:i/>
        </w:rPr>
        <w:t>et al.</w:t>
      </w:r>
      <w:r>
        <w:t xml:space="preserve"> 2012; </w:t>
      </w:r>
      <w:proofErr w:type="spellStart"/>
      <w:r>
        <w:t>Katbamna</w:t>
      </w:r>
      <w:proofErr w:type="spellEnd"/>
      <w:r>
        <w:t xml:space="preserve"> </w:t>
      </w:r>
      <w:r>
        <w:rPr>
          <w:i/>
        </w:rPr>
        <w:t>et al</w:t>
      </w:r>
      <w:r>
        <w:t xml:space="preserve">. 2004), which limits the academic foundations on which we can build our argument. </w:t>
      </w:r>
      <w:proofErr w:type="gramStart"/>
      <w:r>
        <w:t>However</w:t>
      </w:r>
      <w:proofErr w:type="gramEnd"/>
      <w:r>
        <w:t xml:space="preserve"> in the body of work that has been done, </w:t>
      </w:r>
      <w:proofErr w:type="spellStart"/>
      <w:r>
        <w:t>Katbamna</w:t>
      </w:r>
      <w:proofErr w:type="spellEnd"/>
      <w:r>
        <w:t xml:space="preserve"> </w:t>
      </w:r>
      <w:r>
        <w:rPr>
          <w:i/>
        </w:rPr>
        <w:t>et al.</w:t>
      </w:r>
      <w:r>
        <w:t xml:space="preserve"> (2004) took as their starting point the suggestion t</w:t>
      </w:r>
      <w:r>
        <w:t>hat multi-generational Asian households were culturally adapted, even required, to provide informal care to elderly family members. If this were true, then the need for other forms of assistance, such as home adaptations, might be reduced and lead to a low</w:t>
      </w:r>
      <w:r>
        <w:t xml:space="preserve">er uptake. They found this not to be the case, a result which has subsequently been confirmed by Victor </w:t>
      </w:r>
      <w:r>
        <w:rPr>
          <w:i/>
        </w:rPr>
        <w:t xml:space="preserve">et al. </w:t>
      </w:r>
      <w:r>
        <w:t xml:space="preserve">(2012) for particular South Asian </w:t>
      </w:r>
      <w:proofErr w:type="gramStart"/>
      <w:r>
        <w:t>groups, and</w:t>
      </w:r>
      <w:proofErr w:type="gramEnd"/>
      <w:r>
        <w:t xml:space="preserve"> is currently being expanded by them into other ethnic minorities including African, Caribbean and C</w:t>
      </w:r>
      <w:r>
        <w:t xml:space="preserve">hinese communities.  </w:t>
      </w:r>
    </w:p>
    <w:p w14:paraId="0F334D79" w14:textId="77777777" w:rsidR="00B94971" w:rsidRDefault="0047225A">
      <w:pPr>
        <w:ind w:left="-15" w:firstLine="720"/>
      </w:pPr>
      <w:r>
        <w:t xml:space="preserve">The anecdotal nature of </w:t>
      </w:r>
      <w:proofErr w:type="spellStart"/>
      <w:r>
        <w:t>Katbamna</w:t>
      </w:r>
      <w:proofErr w:type="spellEnd"/>
      <w:r>
        <w:t xml:space="preserve"> </w:t>
      </w:r>
      <w:r>
        <w:rPr>
          <w:i/>
        </w:rPr>
        <w:t>et al</w:t>
      </w:r>
      <w:r>
        <w:t>.’s initial suspicions suggests that there may be a wider perception within the healthcare professions that Asian households are socially structured to provide care for family members. It may also</w:t>
      </w:r>
      <w:r>
        <w:t xml:space="preserve"> be the case that culturally rooted practices make the provision of adaptations more difficult. For example, traditional Asian practices of sitting and sleeping on the floor have been shown to affect limb joints, and rehabilitation following medical interv</w:t>
      </w:r>
      <w:r>
        <w:t xml:space="preserve">entions required a significant change in behaviour (Kim </w:t>
      </w:r>
      <w:r>
        <w:rPr>
          <w:i/>
        </w:rPr>
        <w:t>et al.</w:t>
      </w:r>
      <w:r>
        <w:t xml:space="preserve"> 2010). In that case, knee replacement surgery meant a far greater proportion of patients resorted to sitting on chairs and sleeping on beds than previously, when their cultural norm was not to </w:t>
      </w:r>
      <w:r>
        <w:t xml:space="preserve">use such furniture. Some of the equipment that would normally be specified </w:t>
      </w:r>
      <w:proofErr w:type="gramStart"/>
      <w:r>
        <w:t>on the basis of</w:t>
      </w:r>
      <w:proofErr w:type="gramEnd"/>
      <w:r>
        <w:t xml:space="preserve"> medical assessment, typically done according to a comparison of specific impairments with the demands of the home environment (COT 2006; Dept. of Health 2010; Gitlin</w:t>
      </w:r>
      <w:r>
        <w:t xml:space="preserve"> 2003), is likely to be at odds with these cultural requirements. For </w:t>
      </w:r>
      <w:proofErr w:type="gramStart"/>
      <w:r>
        <w:t>example</w:t>
      </w:r>
      <w:proofErr w:type="gramEnd"/>
      <w:r>
        <w:t xml:space="preserve"> hoists designed to lift and lower patients into bed are not suitable for lifting and lowering patients to the floor. Current policy advice to pay more attention to the user’s exp</w:t>
      </w:r>
      <w:r>
        <w:t xml:space="preserve">erience goes some way to acknowledge the prospect of incompatibility in schemes of assessment (COT 2006; see also Gitlin 2009; Heywood 2004), between those issues seen as medically pertinent and the patient’s notion of their future life.  </w:t>
      </w:r>
    </w:p>
    <w:p w14:paraId="3E2FE762" w14:textId="77777777" w:rsidR="00B94971" w:rsidRDefault="0047225A">
      <w:pPr>
        <w:spacing w:after="0" w:line="259" w:lineRule="auto"/>
        <w:ind w:left="720" w:firstLine="0"/>
        <w:jc w:val="left"/>
      </w:pPr>
      <w:r>
        <w:t xml:space="preserve"> </w:t>
      </w:r>
    </w:p>
    <w:p w14:paraId="4ECC7EEE" w14:textId="77777777" w:rsidR="00B94971" w:rsidRDefault="0047225A">
      <w:pPr>
        <w:spacing w:after="0" w:line="259" w:lineRule="auto"/>
        <w:ind w:left="720" w:firstLine="0"/>
        <w:jc w:val="left"/>
      </w:pPr>
      <w:r>
        <w:t xml:space="preserve"> </w:t>
      </w:r>
    </w:p>
    <w:p w14:paraId="162E529F" w14:textId="77777777" w:rsidR="00B94971" w:rsidRDefault="0047225A">
      <w:pPr>
        <w:spacing w:after="0" w:line="259" w:lineRule="auto"/>
        <w:ind w:left="720" w:firstLine="0"/>
        <w:jc w:val="left"/>
      </w:pPr>
      <w:r>
        <w:t xml:space="preserve"> </w:t>
      </w:r>
    </w:p>
    <w:p w14:paraId="0A244F4B" w14:textId="77777777" w:rsidR="00B94971" w:rsidRDefault="0047225A">
      <w:pPr>
        <w:spacing w:after="0" w:line="259" w:lineRule="auto"/>
        <w:ind w:left="720" w:firstLine="0"/>
        <w:jc w:val="left"/>
      </w:pPr>
      <w:r>
        <w:t xml:space="preserve"> </w:t>
      </w:r>
    </w:p>
    <w:p w14:paraId="2E02A632" w14:textId="77777777" w:rsidR="00B94971" w:rsidRDefault="0047225A">
      <w:pPr>
        <w:spacing w:after="0" w:line="259" w:lineRule="auto"/>
        <w:ind w:left="720" w:firstLine="0"/>
        <w:jc w:val="left"/>
      </w:pPr>
      <w:r>
        <w:t xml:space="preserve"> </w:t>
      </w:r>
    </w:p>
    <w:p w14:paraId="36AE9D9D" w14:textId="77777777" w:rsidR="00B94971" w:rsidRDefault="0047225A">
      <w:pPr>
        <w:spacing w:after="0" w:line="259" w:lineRule="auto"/>
        <w:ind w:left="720" w:firstLine="0"/>
        <w:jc w:val="left"/>
      </w:pPr>
      <w:r>
        <w:t xml:space="preserve"> </w:t>
      </w:r>
    </w:p>
    <w:p w14:paraId="63E15485" w14:textId="77777777" w:rsidR="00B94971" w:rsidRDefault="0047225A">
      <w:pPr>
        <w:pStyle w:val="Heading2"/>
        <w:spacing w:after="0" w:line="259" w:lineRule="auto"/>
        <w:ind w:right="9"/>
        <w:jc w:val="center"/>
      </w:pPr>
      <w:r>
        <w:rPr>
          <w:b/>
          <w:i w:val="0"/>
        </w:rPr>
        <w:t>Table 8</w:t>
      </w:r>
      <w:r>
        <w:rPr>
          <w:i w:val="0"/>
        </w:rPr>
        <w:t xml:space="preserve">: Adaptations provided but not needed </w:t>
      </w:r>
    </w:p>
    <w:p w14:paraId="56744CE7" w14:textId="77777777" w:rsidR="00B94971" w:rsidRDefault="0047225A">
      <w:pPr>
        <w:spacing w:after="0" w:line="259" w:lineRule="auto"/>
        <w:ind w:left="0" w:firstLine="0"/>
        <w:jc w:val="left"/>
      </w:pPr>
      <w:r>
        <w:t xml:space="preserve"> </w:t>
      </w:r>
    </w:p>
    <w:tbl>
      <w:tblPr>
        <w:tblStyle w:val="TableGrid"/>
        <w:tblW w:w="10058" w:type="dxa"/>
        <w:tblInd w:w="-516" w:type="dxa"/>
        <w:tblCellMar>
          <w:top w:w="7" w:type="dxa"/>
          <w:left w:w="108" w:type="dxa"/>
          <w:bottom w:w="0" w:type="dxa"/>
          <w:right w:w="73" w:type="dxa"/>
        </w:tblCellMar>
        <w:tblLook w:val="04A0" w:firstRow="1" w:lastRow="0" w:firstColumn="1" w:lastColumn="0" w:noHBand="0" w:noVBand="1"/>
      </w:tblPr>
      <w:tblGrid>
        <w:gridCol w:w="2696"/>
        <w:gridCol w:w="1126"/>
        <w:gridCol w:w="1133"/>
        <w:gridCol w:w="994"/>
        <w:gridCol w:w="991"/>
        <w:gridCol w:w="1133"/>
        <w:gridCol w:w="994"/>
        <w:gridCol w:w="991"/>
      </w:tblGrid>
      <w:tr w:rsidR="00B94971" w14:paraId="2DCF9AFA" w14:textId="77777777">
        <w:trPr>
          <w:trHeight w:val="950"/>
        </w:trPr>
        <w:tc>
          <w:tcPr>
            <w:tcW w:w="2696" w:type="dxa"/>
            <w:tcBorders>
              <w:top w:val="single" w:sz="12" w:space="0" w:color="000000"/>
              <w:left w:val="single" w:sz="12" w:space="0" w:color="000000"/>
              <w:bottom w:val="single" w:sz="12" w:space="0" w:color="000000"/>
              <w:right w:val="single" w:sz="12" w:space="0" w:color="000000"/>
            </w:tcBorders>
          </w:tcPr>
          <w:p w14:paraId="46B72AE9" w14:textId="77777777" w:rsidR="00B94971" w:rsidRDefault="0047225A">
            <w:pPr>
              <w:spacing w:after="0" w:line="259" w:lineRule="auto"/>
              <w:ind w:left="0" w:firstLine="0"/>
              <w:jc w:val="left"/>
            </w:pPr>
            <w:r>
              <w:rPr>
                <w:b/>
                <w:sz w:val="20"/>
              </w:rPr>
              <w:t xml:space="preserve"> </w:t>
            </w:r>
          </w:p>
          <w:p w14:paraId="7BF6032F" w14:textId="77777777" w:rsidR="00B94971" w:rsidRDefault="0047225A">
            <w:pPr>
              <w:spacing w:after="0" w:line="259" w:lineRule="auto"/>
              <w:ind w:left="0" w:firstLine="0"/>
              <w:jc w:val="left"/>
            </w:pPr>
            <w:r>
              <w:rPr>
                <w:b/>
                <w:sz w:val="20"/>
              </w:rPr>
              <w:t xml:space="preserve"> </w:t>
            </w:r>
          </w:p>
          <w:p w14:paraId="27E51A69" w14:textId="77777777" w:rsidR="00B94971" w:rsidRDefault="0047225A">
            <w:pPr>
              <w:spacing w:after="0" w:line="259" w:lineRule="auto"/>
              <w:ind w:left="0" w:firstLine="0"/>
              <w:jc w:val="left"/>
            </w:pPr>
            <w:r>
              <w:rPr>
                <w:b/>
                <w:sz w:val="20"/>
              </w:rPr>
              <w:t xml:space="preserve">Adaptation </w:t>
            </w:r>
          </w:p>
        </w:tc>
        <w:tc>
          <w:tcPr>
            <w:tcW w:w="1126" w:type="dxa"/>
            <w:tcBorders>
              <w:top w:val="single" w:sz="12" w:space="0" w:color="000000"/>
              <w:left w:val="single" w:sz="12" w:space="0" w:color="000000"/>
              <w:bottom w:val="single" w:sz="12" w:space="0" w:color="000000"/>
              <w:right w:val="single" w:sz="12" w:space="0" w:color="000000"/>
            </w:tcBorders>
          </w:tcPr>
          <w:p w14:paraId="1B32FD32" w14:textId="77777777" w:rsidR="00B94971" w:rsidRDefault="0047225A">
            <w:pPr>
              <w:spacing w:after="0" w:line="240" w:lineRule="auto"/>
              <w:ind w:left="332" w:hanging="241"/>
              <w:jc w:val="left"/>
            </w:pPr>
            <w:proofErr w:type="gramStart"/>
            <w:r>
              <w:rPr>
                <w:b/>
                <w:sz w:val="20"/>
              </w:rPr>
              <w:t>Lifetime  or</w:t>
            </w:r>
            <w:proofErr w:type="gramEnd"/>
            <w:r>
              <w:rPr>
                <w:b/>
                <w:sz w:val="20"/>
              </w:rPr>
              <w:t xml:space="preserve"> </w:t>
            </w:r>
          </w:p>
          <w:p w14:paraId="0E2832D8" w14:textId="77777777" w:rsidR="00B94971" w:rsidRDefault="0047225A">
            <w:pPr>
              <w:spacing w:after="0" w:line="259" w:lineRule="auto"/>
              <w:ind w:left="0" w:right="45" w:firstLine="0"/>
              <w:jc w:val="center"/>
            </w:pPr>
            <w:r>
              <w:rPr>
                <w:b/>
                <w:sz w:val="20"/>
              </w:rPr>
              <w:t xml:space="preserve">Disabled </w:t>
            </w:r>
          </w:p>
        </w:tc>
        <w:tc>
          <w:tcPr>
            <w:tcW w:w="2127" w:type="dxa"/>
            <w:gridSpan w:val="2"/>
            <w:tcBorders>
              <w:top w:val="single" w:sz="12" w:space="0" w:color="000000"/>
              <w:left w:val="single" w:sz="12" w:space="0" w:color="000000"/>
              <w:bottom w:val="single" w:sz="12" w:space="0" w:color="000000"/>
              <w:right w:val="single" w:sz="4" w:space="0" w:color="000000"/>
            </w:tcBorders>
          </w:tcPr>
          <w:p w14:paraId="37334D7B" w14:textId="77777777" w:rsidR="00B94971" w:rsidRDefault="0047225A">
            <w:pPr>
              <w:spacing w:after="0" w:line="240" w:lineRule="auto"/>
              <w:ind w:left="0" w:firstLine="0"/>
              <w:jc w:val="center"/>
            </w:pPr>
            <w:r>
              <w:rPr>
                <w:b/>
                <w:sz w:val="20"/>
              </w:rPr>
              <w:t xml:space="preserve">No. households that </w:t>
            </w:r>
            <w:r>
              <w:rPr>
                <w:b/>
                <w:i/>
                <w:sz w:val="20"/>
              </w:rPr>
              <w:t>have</w:t>
            </w:r>
            <w:r>
              <w:rPr>
                <w:b/>
                <w:sz w:val="20"/>
              </w:rPr>
              <w:t xml:space="preserve"> the adaptation </w:t>
            </w:r>
          </w:p>
          <w:p w14:paraId="46302653" w14:textId="77777777" w:rsidR="00B94971" w:rsidRDefault="0047225A">
            <w:pPr>
              <w:spacing w:after="0" w:line="259" w:lineRule="auto"/>
              <w:ind w:left="14" w:firstLine="0"/>
              <w:jc w:val="center"/>
            </w:pPr>
            <w:r>
              <w:rPr>
                <w:b/>
                <w:sz w:val="20"/>
              </w:rPr>
              <w:t xml:space="preserve"> </w:t>
            </w:r>
          </w:p>
          <w:p w14:paraId="403B124C" w14:textId="77777777" w:rsidR="00B94971" w:rsidRDefault="0047225A">
            <w:pPr>
              <w:spacing w:after="0" w:line="259" w:lineRule="auto"/>
              <w:ind w:left="0" w:right="40" w:firstLine="0"/>
              <w:jc w:val="center"/>
            </w:pPr>
            <w:r>
              <w:rPr>
                <w:b/>
                <w:sz w:val="20"/>
              </w:rPr>
              <w:t xml:space="preserve">2003/04      2009/10 </w:t>
            </w:r>
          </w:p>
        </w:tc>
        <w:tc>
          <w:tcPr>
            <w:tcW w:w="2124" w:type="dxa"/>
            <w:gridSpan w:val="2"/>
            <w:tcBorders>
              <w:top w:val="single" w:sz="12" w:space="0" w:color="000000"/>
              <w:left w:val="single" w:sz="4" w:space="0" w:color="000000"/>
              <w:bottom w:val="single" w:sz="12" w:space="0" w:color="000000"/>
              <w:right w:val="single" w:sz="4" w:space="0" w:color="000000"/>
            </w:tcBorders>
          </w:tcPr>
          <w:p w14:paraId="3539C6C6" w14:textId="77777777" w:rsidR="00B94971" w:rsidRDefault="0047225A">
            <w:pPr>
              <w:spacing w:after="0" w:line="240" w:lineRule="auto"/>
              <w:ind w:left="6" w:hanging="1"/>
              <w:jc w:val="center"/>
            </w:pPr>
            <w:r>
              <w:rPr>
                <w:b/>
                <w:sz w:val="20"/>
              </w:rPr>
              <w:t>No. households that do not</w:t>
            </w:r>
            <w:r>
              <w:rPr>
                <w:b/>
                <w:i/>
                <w:sz w:val="20"/>
              </w:rPr>
              <w:t xml:space="preserve"> need</w:t>
            </w:r>
            <w:r>
              <w:rPr>
                <w:b/>
                <w:sz w:val="20"/>
              </w:rPr>
              <w:t xml:space="preserve"> the adaptation </w:t>
            </w:r>
          </w:p>
          <w:p w14:paraId="048B799E" w14:textId="77777777" w:rsidR="00B94971" w:rsidRDefault="0047225A">
            <w:pPr>
              <w:spacing w:after="0" w:line="259" w:lineRule="auto"/>
              <w:ind w:left="0" w:right="40" w:firstLine="0"/>
              <w:jc w:val="center"/>
            </w:pPr>
            <w:r>
              <w:rPr>
                <w:b/>
                <w:sz w:val="20"/>
              </w:rPr>
              <w:t xml:space="preserve">2003/04      2009/10 </w:t>
            </w:r>
          </w:p>
        </w:tc>
        <w:tc>
          <w:tcPr>
            <w:tcW w:w="1985" w:type="dxa"/>
            <w:gridSpan w:val="2"/>
            <w:tcBorders>
              <w:top w:val="single" w:sz="12" w:space="0" w:color="000000"/>
              <w:left w:val="single" w:sz="4" w:space="0" w:color="000000"/>
              <w:bottom w:val="single" w:sz="12" w:space="0" w:color="000000"/>
              <w:right w:val="single" w:sz="12" w:space="0" w:color="000000"/>
            </w:tcBorders>
          </w:tcPr>
          <w:p w14:paraId="75C55426" w14:textId="77777777" w:rsidR="00B94971" w:rsidRDefault="0047225A">
            <w:pPr>
              <w:spacing w:after="0" w:line="259" w:lineRule="auto"/>
              <w:ind w:left="13" w:firstLine="0"/>
              <w:jc w:val="center"/>
            </w:pPr>
            <w:r>
              <w:rPr>
                <w:b/>
                <w:sz w:val="20"/>
              </w:rPr>
              <w:t xml:space="preserve"> </w:t>
            </w:r>
          </w:p>
          <w:p w14:paraId="2E3A2706" w14:textId="77777777" w:rsidR="00B94971" w:rsidRDefault="0047225A">
            <w:pPr>
              <w:spacing w:after="0" w:line="259" w:lineRule="auto"/>
              <w:ind w:left="0" w:right="38" w:firstLine="0"/>
              <w:jc w:val="center"/>
            </w:pPr>
            <w:r>
              <w:rPr>
                <w:b/>
                <w:sz w:val="20"/>
              </w:rPr>
              <w:t xml:space="preserve">% Not needed </w:t>
            </w:r>
          </w:p>
          <w:p w14:paraId="07F7D658" w14:textId="77777777" w:rsidR="00B94971" w:rsidRDefault="0047225A">
            <w:pPr>
              <w:spacing w:after="0" w:line="259" w:lineRule="auto"/>
              <w:ind w:left="13" w:firstLine="0"/>
              <w:jc w:val="center"/>
            </w:pPr>
            <w:r>
              <w:rPr>
                <w:b/>
                <w:sz w:val="20"/>
              </w:rPr>
              <w:t xml:space="preserve"> </w:t>
            </w:r>
          </w:p>
          <w:p w14:paraId="49E6942F" w14:textId="77777777" w:rsidR="00B94971" w:rsidRDefault="0047225A">
            <w:pPr>
              <w:spacing w:after="0" w:line="259" w:lineRule="auto"/>
              <w:ind w:left="0" w:right="37" w:firstLine="0"/>
              <w:jc w:val="center"/>
            </w:pPr>
            <w:r>
              <w:rPr>
                <w:b/>
                <w:sz w:val="20"/>
              </w:rPr>
              <w:t xml:space="preserve">2003/04     2009/10 </w:t>
            </w:r>
          </w:p>
        </w:tc>
      </w:tr>
      <w:tr w:rsidR="00B94971" w14:paraId="56AA2E82" w14:textId="77777777">
        <w:trPr>
          <w:trHeight w:val="250"/>
        </w:trPr>
        <w:tc>
          <w:tcPr>
            <w:tcW w:w="2696" w:type="dxa"/>
            <w:tcBorders>
              <w:top w:val="single" w:sz="12" w:space="0" w:color="000000"/>
              <w:left w:val="single" w:sz="12" w:space="0" w:color="000000"/>
              <w:bottom w:val="single" w:sz="4" w:space="0" w:color="000000"/>
              <w:right w:val="single" w:sz="12" w:space="0" w:color="000000"/>
            </w:tcBorders>
          </w:tcPr>
          <w:p w14:paraId="107942BD" w14:textId="77777777" w:rsidR="00B94971" w:rsidRDefault="0047225A">
            <w:pPr>
              <w:spacing w:after="0" w:line="259" w:lineRule="auto"/>
              <w:ind w:left="0" w:firstLine="0"/>
              <w:jc w:val="left"/>
            </w:pPr>
            <w:r>
              <w:rPr>
                <w:b/>
                <w:sz w:val="20"/>
              </w:rPr>
              <w:t xml:space="preserve">Internal Ramp </w:t>
            </w:r>
          </w:p>
        </w:tc>
        <w:tc>
          <w:tcPr>
            <w:tcW w:w="1126" w:type="dxa"/>
            <w:tcBorders>
              <w:top w:val="single" w:sz="12" w:space="0" w:color="000000"/>
              <w:left w:val="single" w:sz="12" w:space="0" w:color="000000"/>
              <w:bottom w:val="single" w:sz="4" w:space="0" w:color="000000"/>
              <w:right w:val="single" w:sz="12" w:space="0" w:color="000000"/>
            </w:tcBorders>
          </w:tcPr>
          <w:p w14:paraId="1701FEF1" w14:textId="77777777" w:rsidR="00B94971" w:rsidRDefault="0047225A">
            <w:pPr>
              <w:spacing w:after="0" w:line="259" w:lineRule="auto"/>
              <w:ind w:left="0" w:right="40" w:firstLine="0"/>
              <w:jc w:val="center"/>
            </w:pPr>
            <w:r>
              <w:rPr>
                <w:sz w:val="20"/>
              </w:rPr>
              <w:t xml:space="preserve">L </w:t>
            </w:r>
          </w:p>
        </w:tc>
        <w:tc>
          <w:tcPr>
            <w:tcW w:w="1133" w:type="dxa"/>
            <w:tcBorders>
              <w:top w:val="single" w:sz="12" w:space="0" w:color="000000"/>
              <w:left w:val="single" w:sz="12" w:space="0" w:color="000000"/>
              <w:bottom w:val="single" w:sz="4" w:space="0" w:color="000000"/>
              <w:right w:val="single" w:sz="4" w:space="0" w:color="000000"/>
            </w:tcBorders>
          </w:tcPr>
          <w:p w14:paraId="429E1275" w14:textId="77777777" w:rsidR="00B94971" w:rsidRDefault="0047225A">
            <w:pPr>
              <w:spacing w:after="0" w:line="259" w:lineRule="auto"/>
              <w:ind w:left="0" w:right="37" w:firstLine="0"/>
              <w:jc w:val="center"/>
            </w:pPr>
            <w:r>
              <w:rPr>
                <w:sz w:val="20"/>
              </w:rPr>
              <w:t xml:space="preserve">39 </w:t>
            </w:r>
          </w:p>
        </w:tc>
        <w:tc>
          <w:tcPr>
            <w:tcW w:w="994" w:type="dxa"/>
            <w:tcBorders>
              <w:top w:val="single" w:sz="12" w:space="0" w:color="000000"/>
              <w:left w:val="single" w:sz="4" w:space="0" w:color="000000"/>
              <w:bottom w:val="single" w:sz="4" w:space="0" w:color="000000"/>
              <w:right w:val="single" w:sz="4" w:space="0" w:color="000000"/>
            </w:tcBorders>
          </w:tcPr>
          <w:p w14:paraId="4536E11B" w14:textId="77777777" w:rsidR="00B94971" w:rsidRDefault="0047225A">
            <w:pPr>
              <w:spacing w:after="0" w:line="259" w:lineRule="auto"/>
              <w:ind w:left="0" w:right="37" w:firstLine="0"/>
              <w:jc w:val="center"/>
            </w:pPr>
            <w:r>
              <w:rPr>
                <w:sz w:val="20"/>
              </w:rPr>
              <w:t xml:space="preserve">47 </w:t>
            </w:r>
          </w:p>
        </w:tc>
        <w:tc>
          <w:tcPr>
            <w:tcW w:w="991" w:type="dxa"/>
            <w:tcBorders>
              <w:top w:val="single" w:sz="12" w:space="0" w:color="000000"/>
              <w:left w:val="single" w:sz="4" w:space="0" w:color="000000"/>
              <w:bottom w:val="single" w:sz="4" w:space="0" w:color="000000"/>
              <w:right w:val="single" w:sz="4" w:space="0" w:color="000000"/>
            </w:tcBorders>
          </w:tcPr>
          <w:p w14:paraId="6566910A" w14:textId="77777777" w:rsidR="00B94971" w:rsidRDefault="0047225A">
            <w:pPr>
              <w:spacing w:after="0" w:line="259" w:lineRule="auto"/>
              <w:ind w:left="0" w:right="44" w:firstLine="0"/>
              <w:jc w:val="center"/>
            </w:pPr>
            <w:r>
              <w:rPr>
                <w:sz w:val="20"/>
              </w:rPr>
              <w:t xml:space="preserve">5 </w:t>
            </w:r>
          </w:p>
        </w:tc>
        <w:tc>
          <w:tcPr>
            <w:tcW w:w="1133" w:type="dxa"/>
            <w:tcBorders>
              <w:top w:val="single" w:sz="12" w:space="0" w:color="000000"/>
              <w:left w:val="single" w:sz="4" w:space="0" w:color="000000"/>
              <w:bottom w:val="single" w:sz="4" w:space="0" w:color="000000"/>
              <w:right w:val="single" w:sz="4" w:space="0" w:color="000000"/>
            </w:tcBorders>
          </w:tcPr>
          <w:p w14:paraId="2AD70A5F" w14:textId="77777777" w:rsidR="00B94971" w:rsidRDefault="0047225A">
            <w:pPr>
              <w:spacing w:after="0" w:line="259" w:lineRule="auto"/>
              <w:ind w:left="0" w:right="37" w:firstLine="0"/>
              <w:jc w:val="center"/>
            </w:pPr>
            <w:r>
              <w:rPr>
                <w:sz w:val="20"/>
              </w:rPr>
              <w:t xml:space="preserve">20 </w:t>
            </w:r>
          </w:p>
        </w:tc>
        <w:tc>
          <w:tcPr>
            <w:tcW w:w="994" w:type="dxa"/>
            <w:tcBorders>
              <w:top w:val="single" w:sz="12" w:space="0" w:color="000000"/>
              <w:left w:val="single" w:sz="4" w:space="0" w:color="000000"/>
              <w:bottom w:val="single" w:sz="4" w:space="0" w:color="000000"/>
              <w:right w:val="single" w:sz="4" w:space="0" w:color="000000"/>
            </w:tcBorders>
          </w:tcPr>
          <w:p w14:paraId="16B59AE8" w14:textId="77777777" w:rsidR="00B94971" w:rsidRDefault="0047225A">
            <w:pPr>
              <w:spacing w:after="0" w:line="259" w:lineRule="auto"/>
              <w:ind w:left="0" w:right="39" w:firstLine="0"/>
              <w:jc w:val="center"/>
            </w:pPr>
            <w:r>
              <w:rPr>
                <w:sz w:val="20"/>
              </w:rPr>
              <w:t xml:space="preserve">12.8 </w:t>
            </w:r>
          </w:p>
        </w:tc>
        <w:tc>
          <w:tcPr>
            <w:tcW w:w="991" w:type="dxa"/>
            <w:tcBorders>
              <w:top w:val="single" w:sz="12" w:space="0" w:color="000000"/>
              <w:left w:val="single" w:sz="4" w:space="0" w:color="000000"/>
              <w:bottom w:val="single" w:sz="4" w:space="0" w:color="000000"/>
              <w:right w:val="single" w:sz="12" w:space="0" w:color="000000"/>
            </w:tcBorders>
          </w:tcPr>
          <w:p w14:paraId="50047931" w14:textId="77777777" w:rsidR="00B94971" w:rsidRDefault="0047225A">
            <w:pPr>
              <w:spacing w:after="0" w:line="259" w:lineRule="auto"/>
              <w:ind w:left="0" w:right="32" w:firstLine="0"/>
              <w:jc w:val="center"/>
            </w:pPr>
            <w:r>
              <w:rPr>
                <w:sz w:val="20"/>
              </w:rPr>
              <w:t xml:space="preserve">42.6 </w:t>
            </w:r>
          </w:p>
        </w:tc>
      </w:tr>
      <w:tr w:rsidR="00B94971" w14:paraId="635770AC"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59C705AB" w14:textId="77777777" w:rsidR="00B94971" w:rsidRDefault="0047225A">
            <w:pPr>
              <w:spacing w:after="0" w:line="259" w:lineRule="auto"/>
              <w:ind w:left="0" w:firstLine="0"/>
              <w:jc w:val="left"/>
            </w:pPr>
            <w:r>
              <w:rPr>
                <w:b/>
                <w:sz w:val="20"/>
              </w:rPr>
              <w:t xml:space="preserve">Grab/Hand/Stair Rail </w:t>
            </w:r>
          </w:p>
        </w:tc>
        <w:tc>
          <w:tcPr>
            <w:tcW w:w="1126" w:type="dxa"/>
            <w:tcBorders>
              <w:top w:val="single" w:sz="4" w:space="0" w:color="000000"/>
              <w:left w:val="single" w:sz="12" w:space="0" w:color="000000"/>
              <w:bottom w:val="single" w:sz="4" w:space="0" w:color="000000"/>
              <w:right w:val="single" w:sz="12" w:space="0" w:color="000000"/>
            </w:tcBorders>
          </w:tcPr>
          <w:p w14:paraId="43316629" w14:textId="77777777" w:rsidR="00B94971" w:rsidRDefault="0047225A">
            <w:pPr>
              <w:spacing w:after="0" w:line="259" w:lineRule="auto"/>
              <w:ind w:left="0" w:right="42" w:firstLine="0"/>
              <w:jc w:val="center"/>
            </w:pPr>
            <w:r>
              <w:rPr>
                <w:sz w:val="20"/>
              </w:rPr>
              <w:t xml:space="preserve">D </w:t>
            </w:r>
          </w:p>
        </w:tc>
        <w:tc>
          <w:tcPr>
            <w:tcW w:w="1133" w:type="dxa"/>
            <w:tcBorders>
              <w:top w:val="single" w:sz="4" w:space="0" w:color="000000"/>
              <w:left w:val="single" w:sz="12" w:space="0" w:color="000000"/>
              <w:bottom w:val="single" w:sz="4" w:space="0" w:color="000000"/>
              <w:right w:val="single" w:sz="4" w:space="0" w:color="000000"/>
            </w:tcBorders>
          </w:tcPr>
          <w:p w14:paraId="59290218" w14:textId="77777777" w:rsidR="00B94971" w:rsidRDefault="0047225A">
            <w:pPr>
              <w:spacing w:after="0" w:line="259" w:lineRule="auto"/>
              <w:ind w:left="0" w:right="37" w:firstLine="0"/>
              <w:jc w:val="center"/>
            </w:pPr>
            <w:r>
              <w:rPr>
                <w:sz w:val="20"/>
              </w:rPr>
              <w:t xml:space="preserve">921 </w:t>
            </w:r>
          </w:p>
        </w:tc>
        <w:tc>
          <w:tcPr>
            <w:tcW w:w="994" w:type="dxa"/>
            <w:tcBorders>
              <w:top w:val="single" w:sz="4" w:space="0" w:color="000000"/>
              <w:left w:val="single" w:sz="4" w:space="0" w:color="000000"/>
              <w:bottom w:val="single" w:sz="4" w:space="0" w:color="000000"/>
              <w:right w:val="single" w:sz="4" w:space="0" w:color="000000"/>
            </w:tcBorders>
          </w:tcPr>
          <w:p w14:paraId="15422C56" w14:textId="77777777" w:rsidR="00B94971" w:rsidRDefault="0047225A">
            <w:pPr>
              <w:spacing w:after="0" w:line="259" w:lineRule="auto"/>
              <w:ind w:left="0" w:right="37" w:firstLine="0"/>
              <w:jc w:val="center"/>
            </w:pPr>
            <w:r>
              <w:rPr>
                <w:sz w:val="20"/>
              </w:rPr>
              <w:t xml:space="preserve">718 </w:t>
            </w:r>
          </w:p>
        </w:tc>
        <w:tc>
          <w:tcPr>
            <w:tcW w:w="991" w:type="dxa"/>
            <w:tcBorders>
              <w:top w:val="single" w:sz="4" w:space="0" w:color="000000"/>
              <w:left w:val="single" w:sz="4" w:space="0" w:color="000000"/>
              <w:bottom w:val="single" w:sz="4" w:space="0" w:color="000000"/>
              <w:right w:val="single" w:sz="4" w:space="0" w:color="000000"/>
            </w:tcBorders>
          </w:tcPr>
          <w:p w14:paraId="26AB9C03" w14:textId="77777777" w:rsidR="00B94971" w:rsidRDefault="0047225A">
            <w:pPr>
              <w:spacing w:after="0" w:line="259" w:lineRule="auto"/>
              <w:ind w:left="0" w:right="39" w:firstLine="0"/>
              <w:jc w:val="center"/>
            </w:pPr>
            <w:r>
              <w:rPr>
                <w:sz w:val="20"/>
              </w:rPr>
              <w:t xml:space="preserve">31 </w:t>
            </w:r>
          </w:p>
        </w:tc>
        <w:tc>
          <w:tcPr>
            <w:tcW w:w="1133" w:type="dxa"/>
            <w:tcBorders>
              <w:top w:val="single" w:sz="4" w:space="0" w:color="000000"/>
              <w:left w:val="single" w:sz="4" w:space="0" w:color="000000"/>
              <w:bottom w:val="single" w:sz="4" w:space="0" w:color="000000"/>
              <w:right w:val="single" w:sz="4" w:space="0" w:color="000000"/>
            </w:tcBorders>
          </w:tcPr>
          <w:p w14:paraId="208CDE7B" w14:textId="77777777" w:rsidR="00B94971" w:rsidRDefault="0047225A">
            <w:pPr>
              <w:spacing w:after="0" w:line="259" w:lineRule="auto"/>
              <w:ind w:left="0" w:right="37" w:firstLine="0"/>
              <w:jc w:val="center"/>
            </w:pPr>
            <w:r>
              <w:rPr>
                <w:sz w:val="20"/>
              </w:rPr>
              <w:t xml:space="preserve">149 </w:t>
            </w:r>
          </w:p>
        </w:tc>
        <w:tc>
          <w:tcPr>
            <w:tcW w:w="994" w:type="dxa"/>
            <w:tcBorders>
              <w:top w:val="single" w:sz="4" w:space="0" w:color="000000"/>
              <w:left w:val="single" w:sz="4" w:space="0" w:color="000000"/>
              <w:bottom w:val="single" w:sz="4" w:space="0" w:color="000000"/>
              <w:right w:val="single" w:sz="4" w:space="0" w:color="000000"/>
            </w:tcBorders>
          </w:tcPr>
          <w:p w14:paraId="573FE1C9" w14:textId="77777777" w:rsidR="00B94971" w:rsidRDefault="0047225A">
            <w:pPr>
              <w:spacing w:after="0" w:line="259" w:lineRule="auto"/>
              <w:ind w:left="0" w:right="39" w:firstLine="0"/>
              <w:jc w:val="center"/>
            </w:pPr>
            <w:r>
              <w:rPr>
                <w:sz w:val="20"/>
              </w:rPr>
              <w:t xml:space="preserve">3.4 </w:t>
            </w:r>
          </w:p>
        </w:tc>
        <w:tc>
          <w:tcPr>
            <w:tcW w:w="991" w:type="dxa"/>
            <w:tcBorders>
              <w:top w:val="single" w:sz="4" w:space="0" w:color="000000"/>
              <w:left w:val="single" w:sz="4" w:space="0" w:color="000000"/>
              <w:bottom w:val="single" w:sz="4" w:space="0" w:color="000000"/>
              <w:right w:val="single" w:sz="12" w:space="0" w:color="000000"/>
            </w:tcBorders>
          </w:tcPr>
          <w:p w14:paraId="48C5B256" w14:textId="77777777" w:rsidR="00B94971" w:rsidRDefault="0047225A">
            <w:pPr>
              <w:spacing w:after="0" w:line="259" w:lineRule="auto"/>
              <w:ind w:left="0" w:right="32" w:firstLine="0"/>
              <w:jc w:val="center"/>
            </w:pPr>
            <w:r>
              <w:rPr>
                <w:sz w:val="20"/>
              </w:rPr>
              <w:t xml:space="preserve">20.8 </w:t>
            </w:r>
          </w:p>
        </w:tc>
      </w:tr>
      <w:tr w:rsidR="00B94971" w14:paraId="6D8D5EC8"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2C8A51C0" w14:textId="77777777" w:rsidR="00B94971" w:rsidRDefault="0047225A">
            <w:pPr>
              <w:spacing w:after="0" w:line="259" w:lineRule="auto"/>
              <w:ind w:left="0" w:firstLine="0"/>
              <w:jc w:val="left"/>
            </w:pPr>
            <w:r>
              <w:rPr>
                <w:b/>
                <w:sz w:val="20"/>
              </w:rPr>
              <w:t xml:space="preserve">Wide Doorways </w:t>
            </w:r>
          </w:p>
        </w:tc>
        <w:tc>
          <w:tcPr>
            <w:tcW w:w="1126" w:type="dxa"/>
            <w:tcBorders>
              <w:top w:val="single" w:sz="4" w:space="0" w:color="000000"/>
              <w:left w:val="single" w:sz="12" w:space="0" w:color="000000"/>
              <w:bottom w:val="single" w:sz="4" w:space="0" w:color="000000"/>
              <w:right w:val="single" w:sz="12" w:space="0" w:color="000000"/>
            </w:tcBorders>
          </w:tcPr>
          <w:p w14:paraId="516EEF5E" w14:textId="77777777" w:rsidR="00B94971" w:rsidRDefault="0047225A">
            <w:pPr>
              <w:spacing w:after="0" w:line="259" w:lineRule="auto"/>
              <w:ind w:left="0" w:right="40" w:firstLine="0"/>
              <w:jc w:val="center"/>
            </w:pPr>
            <w:r>
              <w:rPr>
                <w:sz w:val="20"/>
              </w:rPr>
              <w:t xml:space="preserve">L </w:t>
            </w:r>
          </w:p>
        </w:tc>
        <w:tc>
          <w:tcPr>
            <w:tcW w:w="1133" w:type="dxa"/>
            <w:tcBorders>
              <w:top w:val="single" w:sz="4" w:space="0" w:color="000000"/>
              <w:left w:val="single" w:sz="12" w:space="0" w:color="000000"/>
              <w:bottom w:val="single" w:sz="4" w:space="0" w:color="000000"/>
              <w:right w:val="single" w:sz="4" w:space="0" w:color="000000"/>
            </w:tcBorders>
          </w:tcPr>
          <w:p w14:paraId="27E1C0F7" w14:textId="77777777" w:rsidR="00B94971" w:rsidRDefault="0047225A">
            <w:pPr>
              <w:spacing w:after="0" w:line="259" w:lineRule="auto"/>
              <w:ind w:left="0" w:right="37" w:firstLine="0"/>
              <w:jc w:val="center"/>
            </w:pPr>
            <w:r>
              <w:rPr>
                <w:sz w:val="20"/>
              </w:rPr>
              <w:t xml:space="preserve">112 </w:t>
            </w:r>
          </w:p>
        </w:tc>
        <w:tc>
          <w:tcPr>
            <w:tcW w:w="994" w:type="dxa"/>
            <w:tcBorders>
              <w:top w:val="single" w:sz="4" w:space="0" w:color="000000"/>
              <w:left w:val="single" w:sz="4" w:space="0" w:color="000000"/>
              <w:bottom w:val="single" w:sz="4" w:space="0" w:color="000000"/>
              <w:right w:val="single" w:sz="4" w:space="0" w:color="000000"/>
            </w:tcBorders>
          </w:tcPr>
          <w:p w14:paraId="1AB49914" w14:textId="77777777" w:rsidR="00B94971" w:rsidRDefault="0047225A">
            <w:pPr>
              <w:spacing w:after="0" w:line="259" w:lineRule="auto"/>
              <w:ind w:left="0" w:right="37" w:firstLine="0"/>
              <w:jc w:val="center"/>
            </w:pPr>
            <w:r>
              <w:rPr>
                <w:sz w:val="20"/>
              </w:rPr>
              <w:t xml:space="preserve">132 </w:t>
            </w:r>
          </w:p>
        </w:tc>
        <w:tc>
          <w:tcPr>
            <w:tcW w:w="991" w:type="dxa"/>
            <w:tcBorders>
              <w:top w:val="single" w:sz="4" w:space="0" w:color="000000"/>
              <w:left w:val="single" w:sz="4" w:space="0" w:color="000000"/>
              <w:bottom w:val="single" w:sz="4" w:space="0" w:color="000000"/>
              <w:right w:val="single" w:sz="4" w:space="0" w:color="000000"/>
            </w:tcBorders>
          </w:tcPr>
          <w:p w14:paraId="1D614379" w14:textId="77777777" w:rsidR="00B94971" w:rsidRDefault="0047225A">
            <w:pPr>
              <w:spacing w:after="0" w:line="259" w:lineRule="auto"/>
              <w:ind w:left="0" w:right="44" w:firstLine="0"/>
              <w:jc w:val="center"/>
            </w:pPr>
            <w:r>
              <w:rPr>
                <w:sz w:val="20"/>
              </w:rP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37663D11" w14:textId="77777777" w:rsidR="00B94971" w:rsidRDefault="0047225A">
            <w:pPr>
              <w:spacing w:after="0" w:line="259" w:lineRule="auto"/>
              <w:ind w:left="0" w:right="37" w:firstLine="0"/>
              <w:jc w:val="center"/>
            </w:pPr>
            <w:r>
              <w:rPr>
                <w:sz w:val="20"/>
              </w:rPr>
              <w:t xml:space="preserve">33 </w:t>
            </w:r>
          </w:p>
        </w:tc>
        <w:tc>
          <w:tcPr>
            <w:tcW w:w="994" w:type="dxa"/>
            <w:tcBorders>
              <w:top w:val="single" w:sz="4" w:space="0" w:color="000000"/>
              <w:left w:val="single" w:sz="4" w:space="0" w:color="000000"/>
              <w:bottom w:val="single" w:sz="4" w:space="0" w:color="000000"/>
              <w:right w:val="single" w:sz="4" w:space="0" w:color="000000"/>
            </w:tcBorders>
          </w:tcPr>
          <w:p w14:paraId="68419349" w14:textId="77777777" w:rsidR="00B94971" w:rsidRDefault="0047225A">
            <w:pPr>
              <w:spacing w:after="0" w:line="259" w:lineRule="auto"/>
              <w:ind w:left="0" w:right="39" w:firstLine="0"/>
              <w:jc w:val="center"/>
            </w:pPr>
            <w:r>
              <w:rPr>
                <w:sz w:val="20"/>
              </w:rPr>
              <w:t xml:space="preserve">5.4 </w:t>
            </w:r>
          </w:p>
        </w:tc>
        <w:tc>
          <w:tcPr>
            <w:tcW w:w="991" w:type="dxa"/>
            <w:tcBorders>
              <w:top w:val="single" w:sz="4" w:space="0" w:color="000000"/>
              <w:left w:val="single" w:sz="4" w:space="0" w:color="000000"/>
              <w:bottom w:val="single" w:sz="4" w:space="0" w:color="000000"/>
              <w:right w:val="single" w:sz="12" w:space="0" w:color="000000"/>
            </w:tcBorders>
          </w:tcPr>
          <w:p w14:paraId="36BC36C1" w14:textId="77777777" w:rsidR="00B94971" w:rsidRDefault="0047225A">
            <w:pPr>
              <w:spacing w:after="0" w:line="259" w:lineRule="auto"/>
              <w:ind w:left="0" w:right="32" w:firstLine="0"/>
              <w:jc w:val="center"/>
            </w:pPr>
            <w:r>
              <w:rPr>
                <w:sz w:val="20"/>
              </w:rPr>
              <w:t xml:space="preserve">25.0 </w:t>
            </w:r>
          </w:p>
        </w:tc>
      </w:tr>
      <w:tr w:rsidR="00B94971" w14:paraId="60DC8B82"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637A023C" w14:textId="77777777" w:rsidR="00B94971" w:rsidRDefault="0047225A">
            <w:pPr>
              <w:spacing w:after="0" w:line="259" w:lineRule="auto"/>
              <w:ind w:left="0" w:firstLine="0"/>
              <w:jc w:val="left"/>
            </w:pPr>
            <w:r>
              <w:rPr>
                <w:b/>
                <w:sz w:val="20"/>
              </w:rPr>
              <w:t xml:space="preserve">Electrical Modifications </w:t>
            </w:r>
          </w:p>
        </w:tc>
        <w:tc>
          <w:tcPr>
            <w:tcW w:w="1126" w:type="dxa"/>
            <w:tcBorders>
              <w:top w:val="single" w:sz="4" w:space="0" w:color="000000"/>
              <w:left w:val="single" w:sz="12" w:space="0" w:color="000000"/>
              <w:bottom w:val="single" w:sz="4" w:space="0" w:color="000000"/>
              <w:right w:val="single" w:sz="12" w:space="0" w:color="000000"/>
            </w:tcBorders>
          </w:tcPr>
          <w:p w14:paraId="5AB4A112" w14:textId="77777777" w:rsidR="00B94971" w:rsidRDefault="0047225A">
            <w:pPr>
              <w:spacing w:after="0" w:line="259" w:lineRule="auto"/>
              <w:ind w:left="0" w:right="40" w:firstLine="0"/>
              <w:jc w:val="center"/>
            </w:pPr>
            <w:r>
              <w:rPr>
                <w:sz w:val="20"/>
              </w:rPr>
              <w:t xml:space="preserve">L </w:t>
            </w:r>
          </w:p>
        </w:tc>
        <w:tc>
          <w:tcPr>
            <w:tcW w:w="1133" w:type="dxa"/>
            <w:tcBorders>
              <w:top w:val="single" w:sz="4" w:space="0" w:color="000000"/>
              <w:left w:val="single" w:sz="12" w:space="0" w:color="000000"/>
              <w:bottom w:val="single" w:sz="4" w:space="0" w:color="000000"/>
              <w:right w:val="single" w:sz="4" w:space="0" w:color="000000"/>
            </w:tcBorders>
          </w:tcPr>
          <w:p w14:paraId="5E94113E" w14:textId="77777777" w:rsidR="00B94971" w:rsidRDefault="0047225A">
            <w:pPr>
              <w:spacing w:after="0" w:line="259" w:lineRule="auto"/>
              <w:ind w:left="0" w:right="37" w:firstLine="0"/>
              <w:jc w:val="center"/>
            </w:pPr>
            <w:r>
              <w:rPr>
                <w:sz w:val="20"/>
              </w:rPr>
              <w:t xml:space="preserve">61 </w:t>
            </w:r>
          </w:p>
        </w:tc>
        <w:tc>
          <w:tcPr>
            <w:tcW w:w="994" w:type="dxa"/>
            <w:tcBorders>
              <w:top w:val="single" w:sz="4" w:space="0" w:color="000000"/>
              <w:left w:val="single" w:sz="4" w:space="0" w:color="000000"/>
              <w:bottom w:val="single" w:sz="4" w:space="0" w:color="000000"/>
              <w:right w:val="single" w:sz="4" w:space="0" w:color="000000"/>
            </w:tcBorders>
          </w:tcPr>
          <w:p w14:paraId="71667254" w14:textId="77777777" w:rsidR="00B94971" w:rsidRDefault="0047225A">
            <w:pPr>
              <w:spacing w:after="0" w:line="259" w:lineRule="auto"/>
              <w:ind w:left="0" w:right="37" w:firstLine="0"/>
              <w:jc w:val="center"/>
            </w:pPr>
            <w:r>
              <w:rPr>
                <w:sz w:val="20"/>
              </w:rPr>
              <w:t xml:space="preserve">45 </w:t>
            </w:r>
          </w:p>
        </w:tc>
        <w:tc>
          <w:tcPr>
            <w:tcW w:w="991" w:type="dxa"/>
            <w:tcBorders>
              <w:top w:val="single" w:sz="4" w:space="0" w:color="000000"/>
              <w:left w:val="single" w:sz="4" w:space="0" w:color="000000"/>
              <w:bottom w:val="single" w:sz="4" w:space="0" w:color="000000"/>
              <w:right w:val="single" w:sz="4" w:space="0" w:color="000000"/>
            </w:tcBorders>
          </w:tcPr>
          <w:p w14:paraId="023CF58F" w14:textId="77777777" w:rsidR="00B94971" w:rsidRDefault="0047225A">
            <w:pPr>
              <w:spacing w:after="0" w:line="259" w:lineRule="auto"/>
              <w:ind w:left="0" w:right="44" w:firstLine="0"/>
              <w:jc w:val="center"/>
            </w:pPr>
            <w:r>
              <w:rPr>
                <w:sz w:val="20"/>
              </w:rP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77A517EF" w14:textId="77777777" w:rsidR="00B94971" w:rsidRDefault="0047225A">
            <w:pPr>
              <w:spacing w:after="0" w:line="259" w:lineRule="auto"/>
              <w:ind w:left="0" w:right="37" w:firstLine="0"/>
              <w:jc w:val="center"/>
            </w:pPr>
            <w:r>
              <w:rPr>
                <w:sz w:val="20"/>
              </w:rPr>
              <w:t xml:space="preserve">10 </w:t>
            </w:r>
          </w:p>
        </w:tc>
        <w:tc>
          <w:tcPr>
            <w:tcW w:w="994" w:type="dxa"/>
            <w:tcBorders>
              <w:top w:val="single" w:sz="4" w:space="0" w:color="000000"/>
              <w:left w:val="single" w:sz="4" w:space="0" w:color="000000"/>
              <w:bottom w:val="single" w:sz="4" w:space="0" w:color="000000"/>
              <w:right w:val="single" w:sz="4" w:space="0" w:color="000000"/>
            </w:tcBorders>
          </w:tcPr>
          <w:p w14:paraId="13941361" w14:textId="77777777" w:rsidR="00B94971" w:rsidRDefault="0047225A">
            <w:pPr>
              <w:spacing w:after="0" w:line="259" w:lineRule="auto"/>
              <w:ind w:left="0" w:right="39" w:firstLine="0"/>
              <w:jc w:val="center"/>
            </w:pPr>
            <w:r>
              <w:rPr>
                <w:sz w:val="20"/>
              </w:rPr>
              <w:t xml:space="preserve">4.9 </w:t>
            </w:r>
          </w:p>
        </w:tc>
        <w:tc>
          <w:tcPr>
            <w:tcW w:w="991" w:type="dxa"/>
            <w:tcBorders>
              <w:top w:val="single" w:sz="4" w:space="0" w:color="000000"/>
              <w:left w:val="single" w:sz="4" w:space="0" w:color="000000"/>
              <w:bottom w:val="single" w:sz="4" w:space="0" w:color="000000"/>
              <w:right w:val="single" w:sz="12" w:space="0" w:color="000000"/>
            </w:tcBorders>
          </w:tcPr>
          <w:p w14:paraId="32B83BD8" w14:textId="77777777" w:rsidR="00B94971" w:rsidRDefault="0047225A">
            <w:pPr>
              <w:spacing w:after="0" w:line="259" w:lineRule="auto"/>
              <w:ind w:left="0" w:right="32" w:firstLine="0"/>
              <w:jc w:val="center"/>
            </w:pPr>
            <w:r>
              <w:rPr>
                <w:sz w:val="20"/>
              </w:rPr>
              <w:t xml:space="preserve">22.2 </w:t>
            </w:r>
          </w:p>
        </w:tc>
      </w:tr>
      <w:tr w:rsidR="00B94971" w14:paraId="24DB6DA8"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07E0E35B" w14:textId="77777777" w:rsidR="00B94971" w:rsidRDefault="0047225A">
            <w:pPr>
              <w:spacing w:after="0" w:line="259" w:lineRule="auto"/>
              <w:ind w:left="0" w:firstLine="0"/>
              <w:jc w:val="left"/>
            </w:pPr>
            <w:r>
              <w:rPr>
                <w:b/>
                <w:sz w:val="20"/>
              </w:rPr>
              <w:t xml:space="preserve">Additional Heating </w:t>
            </w:r>
          </w:p>
        </w:tc>
        <w:tc>
          <w:tcPr>
            <w:tcW w:w="1126" w:type="dxa"/>
            <w:tcBorders>
              <w:top w:val="single" w:sz="4" w:space="0" w:color="000000"/>
              <w:left w:val="single" w:sz="12" w:space="0" w:color="000000"/>
              <w:bottom w:val="single" w:sz="4" w:space="0" w:color="000000"/>
              <w:right w:val="single" w:sz="12" w:space="0" w:color="000000"/>
            </w:tcBorders>
          </w:tcPr>
          <w:p w14:paraId="597EC777" w14:textId="77777777" w:rsidR="00B94971" w:rsidRDefault="0047225A">
            <w:pPr>
              <w:spacing w:after="0" w:line="259" w:lineRule="auto"/>
              <w:ind w:left="0" w:right="40" w:firstLine="0"/>
              <w:jc w:val="center"/>
            </w:pPr>
            <w:r>
              <w:rPr>
                <w:sz w:val="20"/>
              </w:rPr>
              <w:t xml:space="preserve">L </w:t>
            </w:r>
          </w:p>
        </w:tc>
        <w:tc>
          <w:tcPr>
            <w:tcW w:w="1133" w:type="dxa"/>
            <w:tcBorders>
              <w:top w:val="single" w:sz="4" w:space="0" w:color="000000"/>
              <w:left w:val="single" w:sz="12" w:space="0" w:color="000000"/>
              <w:bottom w:val="single" w:sz="4" w:space="0" w:color="000000"/>
              <w:right w:val="single" w:sz="4" w:space="0" w:color="000000"/>
            </w:tcBorders>
          </w:tcPr>
          <w:p w14:paraId="6FB6FCEA" w14:textId="77777777" w:rsidR="00B94971" w:rsidRDefault="0047225A">
            <w:pPr>
              <w:spacing w:after="0" w:line="259" w:lineRule="auto"/>
              <w:ind w:left="0" w:right="37" w:firstLine="0"/>
              <w:jc w:val="center"/>
            </w:pPr>
            <w:r>
              <w:rPr>
                <w:sz w:val="20"/>
              </w:rPr>
              <w:t xml:space="preserve">47 </w:t>
            </w:r>
          </w:p>
        </w:tc>
        <w:tc>
          <w:tcPr>
            <w:tcW w:w="994" w:type="dxa"/>
            <w:tcBorders>
              <w:top w:val="single" w:sz="4" w:space="0" w:color="000000"/>
              <w:left w:val="single" w:sz="4" w:space="0" w:color="000000"/>
              <w:bottom w:val="single" w:sz="4" w:space="0" w:color="000000"/>
              <w:right w:val="single" w:sz="4" w:space="0" w:color="000000"/>
            </w:tcBorders>
          </w:tcPr>
          <w:p w14:paraId="5A11914C" w14:textId="77777777" w:rsidR="00B94971" w:rsidRDefault="0047225A">
            <w:pPr>
              <w:spacing w:after="0" w:line="259" w:lineRule="auto"/>
              <w:ind w:left="0" w:right="37" w:firstLine="0"/>
              <w:jc w:val="center"/>
            </w:pPr>
            <w:r>
              <w:rPr>
                <w:sz w:val="20"/>
              </w:rPr>
              <w:t xml:space="preserve">64 </w:t>
            </w:r>
          </w:p>
        </w:tc>
        <w:tc>
          <w:tcPr>
            <w:tcW w:w="991" w:type="dxa"/>
            <w:tcBorders>
              <w:top w:val="single" w:sz="4" w:space="0" w:color="000000"/>
              <w:left w:val="single" w:sz="4" w:space="0" w:color="000000"/>
              <w:bottom w:val="single" w:sz="4" w:space="0" w:color="000000"/>
              <w:right w:val="single" w:sz="4" w:space="0" w:color="000000"/>
            </w:tcBorders>
          </w:tcPr>
          <w:p w14:paraId="6EFFE6D9" w14:textId="77777777" w:rsidR="00B94971" w:rsidRDefault="0047225A">
            <w:pPr>
              <w:spacing w:after="0" w:line="259" w:lineRule="auto"/>
              <w:ind w:left="0" w:right="44" w:firstLine="0"/>
              <w:jc w:val="center"/>
            </w:pPr>
            <w:r>
              <w:rPr>
                <w:sz w:val="20"/>
              </w:rPr>
              <w:t xml:space="preserve">0 </w:t>
            </w:r>
          </w:p>
        </w:tc>
        <w:tc>
          <w:tcPr>
            <w:tcW w:w="1133" w:type="dxa"/>
            <w:tcBorders>
              <w:top w:val="single" w:sz="4" w:space="0" w:color="000000"/>
              <w:left w:val="single" w:sz="4" w:space="0" w:color="000000"/>
              <w:bottom w:val="single" w:sz="4" w:space="0" w:color="000000"/>
              <w:right w:val="single" w:sz="4" w:space="0" w:color="000000"/>
            </w:tcBorders>
          </w:tcPr>
          <w:p w14:paraId="6A4815A8" w14:textId="77777777" w:rsidR="00B94971" w:rsidRDefault="0047225A">
            <w:pPr>
              <w:spacing w:after="0" w:line="259" w:lineRule="auto"/>
              <w:ind w:left="0" w:right="37" w:firstLine="0"/>
              <w:jc w:val="center"/>
            </w:pPr>
            <w:r>
              <w:rPr>
                <w:sz w:val="20"/>
              </w:rPr>
              <w:t xml:space="preserve">24 </w:t>
            </w:r>
          </w:p>
        </w:tc>
        <w:tc>
          <w:tcPr>
            <w:tcW w:w="994" w:type="dxa"/>
            <w:tcBorders>
              <w:top w:val="single" w:sz="4" w:space="0" w:color="000000"/>
              <w:left w:val="single" w:sz="4" w:space="0" w:color="000000"/>
              <w:bottom w:val="single" w:sz="4" w:space="0" w:color="000000"/>
              <w:right w:val="single" w:sz="4" w:space="0" w:color="000000"/>
            </w:tcBorders>
          </w:tcPr>
          <w:p w14:paraId="6A73AD90" w14:textId="77777777" w:rsidR="00B94971" w:rsidRDefault="0047225A">
            <w:pPr>
              <w:spacing w:after="0" w:line="259" w:lineRule="auto"/>
              <w:ind w:left="0" w:right="39" w:firstLine="0"/>
              <w:jc w:val="center"/>
            </w:pPr>
            <w:r>
              <w:rPr>
                <w:sz w:val="20"/>
              </w:rPr>
              <w:t xml:space="preserve">0.0 </w:t>
            </w:r>
          </w:p>
        </w:tc>
        <w:tc>
          <w:tcPr>
            <w:tcW w:w="991" w:type="dxa"/>
            <w:tcBorders>
              <w:top w:val="single" w:sz="4" w:space="0" w:color="000000"/>
              <w:left w:val="single" w:sz="4" w:space="0" w:color="000000"/>
              <w:bottom w:val="single" w:sz="4" w:space="0" w:color="000000"/>
              <w:right w:val="single" w:sz="12" w:space="0" w:color="000000"/>
            </w:tcBorders>
          </w:tcPr>
          <w:p w14:paraId="72D65DDA" w14:textId="77777777" w:rsidR="00B94971" w:rsidRDefault="0047225A">
            <w:pPr>
              <w:spacing w:after="0" w:line="259" w:lineRule="auto"/>
              <w:ind w:left="0" w:right="32" w:firstLine="0"/>
              <w:jc w:val="center"/>
            </w:pPr>
            <w:r>
              <w:rPr>
                <w:sz w:val="20"/>
              </w:rPr>
              <w:t xml:space="preserve">37.5 </w:t>
            </w:r>
          </w:p>
        </w:tc>
      </w:tr>
      <w:tr w:rsidR="00B94971" w14:paraId="460E68AA"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110A8A72" w14:textId="77777777" w:rsidR="00B94971" w:rsidRDefault="0047225A">
            <w:pPr>
              <w:spacing w:after="0" w:line="259" w:lineRule="auto"/>
              <w:ind w:left="0" w:firstLine="0"/>
              <w:jc w:val="left"/>
            </w:pPr>
            <w:r>
              <w:rPr>
                <w:b/>
                <w:sz w:val="20"/>
              </w:rPr>
              <w:t xml:space="preserve">Entry Phone </w:t>
            </w:r>
          </w:p>
        </w:tc>
        <w:tc>
          <w:tcPr>
            <w:tcW w:w="1126" w:type="dxa"/>
            <w:tcBorders>
              <w:top w:val="single" w:sz="4" w:space="0" w:color="000000"/>
              <w:left w:val="single" w:sz="12" w:space="0" w:color="000000"/>
              <w:bottom w:val="single" w:sz="4" w:space="0" w:color="000000"/>
              <w:right w:val="single" w:sz="12" w:space="0" w:color="000000"/>
            </w:tcBorders>
          </w:tcPr>
          <w:p w14:paraId="5C6DE4AB" w14:textId="77777777" w:rsidR="00B94971" w:rsidRDefault="0047225A">
            <w:pPr>
              <w:spacing w:after="0" w:line="259" w:lineRule="auto"/>
              <w:ind w:left="0" w:right="40" w:firstLine="0"/>
              <w:jc w:val="center"/>
            </w:pPr>
            <w:r>
              <w:rPr>
                <w:sz w:val="20"/>
              </w:rPr>
              <w:t xml:space="preserve">L </w:t>
            </w:r>
          </w:p>
        </w:tc>
        <w:tc>
          <w:tcPr>
            <w:tcW w:w="1133" w:type="dxa"/>
            <w:tcBorders>
              <w:top w:val="single" w:sz="4" w:space="0" w:color="000000"/>
              <w:left w:val="single" w:sz="12" w:space="0" w:color="000000"/>
              <w:bottom w:val="single" w:sz="4" w:space="0" w:color="000000"/>
              <w:right w:val="single" w:sz="4" w:space="0" w:color="000000"/>
            </w:tcBorders>
          </w:tcPr>
          <w:p w14:paraId="7EEA693B" w14:textId="77777777" w:rsidR="00B94971" w:rsidRDefault="0047225A">
            <w:pPr>
              <w:spacing w:after="0" w:line="259" w:lineRule="auto"/>
              <w:ind w:left="0" w:right="37" w:firstLine="0"/>
              <w:jc w:val="center"/>
            </w:pPr>
            <w:r>
              <w:rPr>
                <w:sz w:val="20"/>
              </w:rPr>
              <w:t xml:space="preserve">88 </w:t>
            </w:r>
          </w:p>
        </w:tc>
        <w:tc>
          <w:tcPr>
            <w:tcW w:w="994" w:type="dxa"/>
            <w:tcBorders>
              <w:top w:val="single" w:sz="4" w:space="0" w:color="000000"/>
              <w:left w:val="single" w:sz="4" w:space="0" w:color="000000"/>
              <w:bottom w:val="single" w:sz="4" w:space="0" w:color="000000"/>
              <w:right w:val="single" w:sz="4" w:space="0" w:color="000000"/>
            </w:tcBorders>
          </w:tcPr>
          <w:p w14:paraId="01D3F8F8" w14:textId="77777777" w:rsidR="00B94971" w:rsidRDefault="0047225A">
            <w:pPr>
              <w:spacing w:after="0" w:line="259" w:lineRule="auto"/>
              <w:ind w:left="0" w:right="37" w:firstLine="0"/>
              <w:jc w:val="center"/>
            </w:pPr>
            <w:r>
              <w:rPr>
                <w:sz w:val="20"/>
              </w:rPr>
              <w:t xml:space="preserve">112 </w:t>
            </w:r>
          </w:p>
        </w:tc>
        <w:tc>
          <w:tcPr>
            <w:tcW w:w="991" w:type="dxa"/>
            <w:tcBorders>
              <w:top w:val="single" w:sz="4" w:space="0" w:color="000000"/>
              <w:left w:val="single" w:sz="4" w:space="0" w:color="000000"/>
              <w:bottom w:val="single" w:sz="4" w:space="0" w:color="000000"/>
              <w:right w:val="single" w:sz="4" w:space="0" w:color="000000"/>
            </w:tcBorders>
          </w:tcPr>
          <w:p w14:paraId="3C02F160" w14:textId="77777777" w:rsidR="00B94971" w:rsidRDefault="0047225A">
            <w:pPr>
              <w:spacing w:after="0" w:line="259" w:lineRule="auto"/>
              <w:ind w:left="0" w:right="44" w:firstLine="0"/>
              <w:jc w:val="center"/>
            </w:pPr>
            <w:r>
              <w:rPr>
                <w:sz w:val="20"/>
              </w:rP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57F2BAF4" w14:textId="77777777" w:rsidR="00B94971" w:rsidRDefault="0047225A">
            <w:pPr>
              <w:spacing w:after="0" w:line="259" w:lineRule="auto"/>
              <w:ind w:left="0" w:right="37" w:firstLine="0"/>
              <w:jc w:val="center"/>
            </w:pPr>
            <w:r>
              <w:rPr>
                <w:sz w:val="20"/>
              </w:rPr>
              <w:t xml:space="preserve">49 </w:t>
            </w:r>
          </w:p>
        </w:tc>
        <w:tc>
          <w:tcPr>
            <w:tcW w:w="994" w:type="dxa"/>
            <w:tcBorders>
              <w:top w:val="single" w:sz="4" w:space="0" w:color="000000"/>
              <w:left w:val="single" w:sz="4" w:space="0" w:color="000000"/>
              <w:bottom w:val="single" w:sz="4" w:space="0" w:color="000000"/>
              <w:right w:val="single" w:sz="4" w:space="0" w:color="000000"/>
            </w:tcBorders>
          </w:tcPr>
          <w:p w14:paraId="15FB13A3" w14:textId="77777777" w:rsidR="00B94971" w:rsidRDefault="0047225A">
            <w:pPr>
              <w:spacing w:after="0" w:line="259" w:lineRule="auto"/>
              <w:ind w:left="0" w:right="39" w:firstLine="0"/>
              <w:jc w:val="center"/>
            </w:pPr>
            <w:r>
              <w:rPr>
                <w:sz w:val="20"/>
              </w:rPr>
              <w:t xml:space="preserve">6.8 </w:t>
            </w:r>
          </w:p>
        </w:tc>
        <w:tc>
          <w:tcPr>
            <w:tcW w:w="991" w:type="dxa"/>
            <w:tcBorders>
              <w:top w:val="single" w:sz="4" w:space="0" w:color="000000"/>
              <w:left w:val="single" w:sz="4" w:space="0" w:color="000000"/>
              <w:bottom w:val="single" w:sz="4" w:space="0" w:color="000000"/>
              <w:right w:val="single" w:sz="12" w:space="0" w:color="000000"/>
            </w:tcBorders>
          </w:tcPr>
          <w:p w14:paraId="5C2D0464" w14:textId="77777777" w:rsidR="00B94971" w:rsidRDefault="0047225A">
            <w:pPr>
              <w:spacing w:after="0" w:line="259" w:lineRule="auto"/>
              <w:ind w:left="0" w:right="32" w:firstLine="0"/>
              <w:jc w:val="center"/>
            </w:pPr>
            <w:r>
              <w:rPr>
                <w:sz w:val="20"/>
              </w:rPr>
              <w:t xml:space="preserve">43.8 </w:t>
            </w:r>
          </w:p>
        </w:tc>
      </w:tr>
      <w:tr w:rsidR="00B94971" w14:paraId="47F9795E"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31D210A9" w14:textId="77777777" w:rsidR="00B94971" w:rsidRDefault="0047225A">
            <w:pPr>
              <w:spacing w:after="0" w:line="259" w:lineRule="auto"/>
              <w:ind w:left="0" w:firstLine="0"/>
              <w:jc w:val="left"/>
            </w:pPr>
            <w:r>
              <w:rPr>
                <w:b/>
                <w:sz w:val="20"/>
              </w:rPr>
              <w:t xml:space="preserve">Individual Alarm </w:t>
            </w:r>
          </w:p>
        </w:tc>
        <w:tc>
          <w:tcPr>
            <w:tcW w:w="1126" w:type="dxa"/>
            <w:tcBorders>
              <w:top w:val="single" w:sz="4" w:space="0" w:color="000000"/>
              <w:left w:val="single" w:sz="12" w:space="0" w:color="000000"/>
              <w:bottom w:val="single" w:sz="4" w:space="0" w:color="000000"/>
              <w:right w:val="single" w:sz="12" w:space="0" w:color="000000"/>
            </w:tcBorders>
          </w:tcPr>
          <w:p w14:paraId="62D5E122" w14:textId="77777777" w:rsidR="00B94971" w:rsidRDefault="0047225A">
            <w:pPr>
              <w:spacing w:after="0" w:line="259" w:lineRule="auto"/>
              <w:ind w:left="0" w:right="42" w:firstLine="0"/>
              <w:jc w:val="center"/>
            </w:pPr>
            <w:r>
              <w:rPr>
                <w:sz w:val="20"/>
              </w:rPr>
              <w:t xml:space="preserve">D </w:t>
            </w:r>
          </w:p>
        </w:tc>
        <w:tc>
          <w:tcPr>
            <w:tcW w:w="1133" w:type="dxa"/>
            <w:tcBorders>
              <w:top w:val="single" w:sz="4" w:space="0" w:color="000000"/>
              <w:left w:val="single" w:sz="12" w:space="0" w:color="000000"/>
              <w:bottom w:val="single" w:sz="4" w:space="0" w:color="000000"/>
              <w:right w:val="single" w:sz="4" w:space="0" w:color="000000"/>
            </w:tcBorders>
          </w:tcPr>
          <w:p w14:paraId="422AC8F7" w14:textId="77777777" w:rsidR="00B94971" w:rsidRDefault="0047225A">
            <w:pPr>
              <w:spacing w:after="0" w:line="259" w:lineRule="auto"/>
              <w:ind w:left="0" w:right="37" w:firstLine="0"/>
              <w:jc w:val="center"/>
            </w:pPr>
            <w:r>
              <w:rPr>
                <w:sz w:val="20"/>
              </w:rPr>
              <w:t xml:space="preserve">155 </w:t>
            </w:r>
          </w:p>
        </w:tc>
        <w:tc>
          <w:tcPr>
            <w:tcW w:w="994" w:type="dxa"/>
            <w:tcBorders>
              <w:top w:val="single" w:sz="4" w:space="0" w:color="000000"/>
              <w:left w:val="single" w:sz="4" w:space="0" w:color="000000"/>
              <w:bottom w:val="single" w:sz="4" w:space="0" w:color="000000"/>
              <w:right w:val="single" w:sz="4" w:space="0" w:color="000000"/>
            </w:tcBorders>
          </w:tcPr>
          <w:p w14:paraId="7E6C8FFB" w14:textId="77777777" w:rsidR="00B94971" w:rsidRDefault="0047225A">
            <w:pPr>
              <w:spacing w:after="0" w:line="259" w:lineRule="auto"/>
              <w:ind w:left="0" w:right="37" w:firstLine="0"/>
              <w:jc w:val="center"/>
            </w:pPr>
            <w:r>
              <w:rPr>
                <w:sz w:val="20"/>
              </w:rPr>
              <w:t xml:space="preserve">150 </w:t>
            </w:r>
          </w:p>
        </w:tc>
        <w:tc>
          <w:tcPr>
            <w:tcW w:w="991" w:type="dxa"/>
            <w:tcBorders>
              <w:top w:val="single" w:sz="4" w:space="0" w:color="000000"/>
              <w:left w:val="single" w:sz="4" w:space="0" w:color="000000"/>
              <w:bottom w:val="single" w:sz="4" w:space="0" w:color="000000"/>
              <w:right w:val="single" w:sz="4" w:space="0" w:color="000000"/>
            </w:tcBorders>
          </w:tcPr>
          <w:p w14:paraId="25DC91BD" w14:textId="77777777" w:rsidR="00B94971" w:rsidRDefault="0047225A">
            <w:pPr>
              <w:spacing w:after="0" w:line="259" w:lineRule="auto"/>
              <w:ind w:left="0" w:right="39" w:firstLine="0"/>
              <w:jc w:val="center"/>
            </w:pPr>
            <w:r>
              <w:rPr>
                <w:sz w:val="20"/>
              </w:rPr>
              <w:t xml:space="preserve">14 </w:t>
            </w:r>
          </w:p>
        </w:tc>
        <w:tc>
          <w:tcPr>
            <w:tcW w:w="1133" w:type="dxa"/>
            <w:tcBorders>
              <w:top w:val="single" w:sz="4" w:space="0" w:color="000000"/>
              <w:left w:val="single" w:sz="4" w:space="0" w:color="000000"/>
              <w:bottom w:val="single" w:sz="4" w:space="0" w:color="000000"/>
              <w:right w:val="single" w:sz="4" w:space="0" w:color="000000"/>
            </w:tcBorders>
          </w:tcPr>
          <w:p w14:paraId="19CFB563" w14:textId="77777777" w:rsidR="00B94971" w:rsidRDefault="0047225A">
            <w:pPr>
              <w:spacing w:after="0" w:line="259" w:lineRule="auto"/>
              <w:ind w:left="0" w:right="37" w:firstLine="0"/>
              <w:jc w:val="center"/>
            </w:pPr>
            <w:r>
              <w:rPr>
                <w:sz w:val="20"/>
              </w:rPr>
              <w:t xml:space="preserve">49 </w:t>
            </w:r>
          </w:p>
        </w:tc>
        <w:tc>
          <w:tcPr>
            <w:tcW w:w="994" w:type="dxa"/>
            <w:tcBorders>
              <w:top w:val="single" w:sz="4" w:space="0" w:color="000000"/>
              <w:left w:val="single" w:sz="4" w:space="0" w:color="000000"/>
              <w:bottom w:val="single" w:sz="4" w:space="0" w:color="000000"/>
              <w:right w:val="single" w:sz="4" w:space="0" w:color="000000"/>
            </w:tcBorders>
          </w:tcPr>
          <w:p w14:paraId="506E5382" w14:textId="77777777" w:rsidR="00B94971" w:rsidRDefault="0047225A">
            <w:pPr>
              <w:spacing w:after="0" w:line="259" w:lineRule="auto"/>
              <w:ind w:left="0" w:right="39" w:firstLine="0"/>
              <w:jc w:val="center"/>
            </w:pPr>
            <w:r>
              <w:rPr>
                <w:sz w:val="20"/>
              </w:rPr>
              <w:t xml:space="preserve">9.0 </w:t>
            </w:r>
          </w:p>
        </w:tc>
        <w:tc>
          <w:tcPr>
            <w:tcW w:w="991" w:type="dxa"/>
            <w:tcBorders>
              <w:top w:val="single" w:sz="4" w:space="0" w:color="000000"/>
              <w:left w:val="single" w:sz="4" w:space="0" w:color="000000"/>
              <w:bottom w:val="single" w:sz="4" w:space="0" w:color="000000"/>
              <w:right w:val="single" w:sz="12" w:space="0" w:color="000000"/>
            </w:tcBorders>
          </w:tcPr>
          <w:p w14:paraId="33867313" w14:textId="77777777" w:rsidR="00B94971" w:rsidRDefault="0047225A">
            <w:pPr>
              <w:spacing w:after="0" w:line="259" w:lineRule="auto"/>
              <w:ind w:left="0" w:right="32" w:firstLine="0"/>
              <w:jc w:val="center"/>
            </w:pPr>
            <w:r>
              <w:rPr>
                <w:sz w:val="20"/>
              </w:rPr>
              <w:t xml:space="preserve">32.7 </w:t>
            </w:r>
          </w:p>
        </w:tc>
      </w:tr>
      <w:tr w:rsidR="00B94971" w14:paraId="5FFCDAFA"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48B1E057" w14:textId="77777777" w:rsidR="00B94971" w:rsidRDefault="0047225A">
            <w:pPr>
              <w:spacing w:after="0" w:line="259" w:lineRule="auto"/>
              <w:ind w:left="0" w:firstLine="0"/>
              <w:jc w:val="left"/>
            </w:pPr>
            <w:r>
              <w:rPr>
                <w:b/>
                <w:sz w:val="20"/>
              </w:rPr>
              <w:t xml:space="preserve">Hoist </w:t>
            </w:r>
          </w:p>
        </w:tc>
        <w:tc>
          <w:tcPr>
            <w:tcW w:w="1126" w:type="dxa"/>
            <w:tcBorders>
              <w:top w:val="single" w:sz="4" w:space="0" w:color="000000"/>
              <w:left w:val="single" w:sz="12" w:space="0" w:color="000000"/>
              <w:bottom w:val="single" w:sz="4" w:space="0" w:color="000000"/>
              <w:right w:val="single" w:sz="12" w:space="0" w:color="000000"/>
            </w:tcBorders>
          </w:tcPr>
          <w:p w14:paraId="6AF85799" w14:textId="77777777" w:rsidR="00B94971" w:rsidRDefault="0047225A">
            <w:pPr>
              <w:spacing w:after="0" w:line="259" w:lineRule="auto"/>
              <w:ind w:left="0" w:right="42" w:firstLine="0"/>
              <w:jc w:val="center"/>
            </w:pPr>
            <w:r>
              <w:rPr>
                <w:sz w:val="20"/>
              </w:rPr>
              <w:t xml:space="preserve">D </w:t>
            </w:r>
          </w:p>
        </w:tc>
        <w:tc>
          <w:tcPr>
            <w:tcW w:w="1133" w:type="dxa"/>
            <w:tcBorders>
              <w:top w:val="single" w:sz="4" w:space="0" w:color="000000"/>
              <w:left w:val="single" w:sz="12" w:space="0" w:color="000000"/>
              <w:bottom w:val="single" w:sz="4" w:space="0" w:color="000000"/>
              <w:right w:val="single" w:sz="4" w:space="0" w:color="000000"/>
            </w:tcBorders>
          </w:tcPr>
          <w:p w14:paraId="54457B4C" w14:textId="77777777" w:rsidR="00B94971" w:rsidRDefault="0047225A">
            <w:pPr>
              <w:spacing w:after="0" w:line="259" w:lineRule="auto"/>
              <w:ind w:left="0" w:right="37" w:firstLine="0"/>
              <w:jc w:val="center"/>
            </w:pPr>
            <w:r>
              <w:rPr>
                <w:sz w:val="20"/>
              </w:rPr>
              <w:t xml:space="preserve">58 </w:t>
            </w:r>
          </w:p>
        </w:tc>
        <w:tc>
          <w:tcPr>
            <w:tcW w:w="994" w:type="dxa"/>
            <w:tcBorders>
              <w:top w:val="single" w:sz="4" w:space="0" w:color="000000"/>
              <w:left w:val="single" w:sz="4" w:space="0" w:color="000000"/>
              <w:bottom w:val="single" w:sz="4" w:space="0" w:color="000000"/>
              <w:right w:val="single" w:sz="4" w:space="0" w:color="000000"/>
            </w:tcBorders>
          </w:tcPr>
          <w:p w14:paraId="0897F00C" w14:textId="77777777" w:rsidR="00B94971" w:rsidRDefault="0047225A">
            <w:pPr>
              <w:spacing w:after="0" w:line="259" w:lineRule="auto"/>
              <w:ind w:left="0" w:right="37" w:firstLine="0"/>
              <w:jc w:val="center"/>
            </w:pPr>
            <w:r>
              <w:rPr>
                <w:sz w:val="20"/>
              </w:rPr>
              <w:t xml:space="preserve">46 </w:t>
            </w:r>
          </w:p>
        </w:tc>
        <w:tc>
          <w:tcPr>
            <w:tcW w:w="991" w:type="dxa"/>
            <w:tcBorders>
              <w:top w:val="single" w:sz="4" w:space="0" w:color="000000"/>
              <w:left w:val="single" w:sz="4" w:space="0" w:color="000000"/>
              <w:bottom w:val="single" w:sz="4" w:space="0" w:color="000000"/>
              <w:right w:val="single" w:sz="4" w:space="0" w:color="000000"/>
            </w:tcBorders>
          </w:tcPr>
          <w:p w14:paraId="47E0C33E" w14:textId="77777777" w:rsidR="00B94971" w:rsidRDefault="0047225A">
            <w:pPr>
              <w:spacing w:after="0" w:line="259" w:lineRule="auto"/>
              <w:ind w:left="0" w:right="44" w:firstLine="0"/>
              <w:jc w:val="center"/>
            </w:pPr>
            <w:r>
              <w:rPr>
                <w:sz w:val="20"/>
              </w:rPr>
              <w:t xml:space="preserve">3 </w:t>
            </w:r>
          </w:p>
        </w:tc>
        <w:tc>
          <w:tcPr>
            <w:tcW w:w="1133" w:type="dxa"/>
            <w:tcBorders>
              <w:top w:val="single" w:sz="4" w:space="0" w:color="000000"/>
              <w:left w:val="single" w:sz="4" w:space="0" w:color="000000"/>
              <w:bottom w:val="single" w:sz="4" w:space="0" w:color="000000"/>
              <w:right w:val="single" w:sz="4" w:space="0" w:color="000000"/>
            </w:tcBorders>
          </w:tcPr>
          <w:p w14:paraId="14AEF4EC" w14:textId="77777777" w:rsidR="00B94971" w:rsidRDefault="0047225A">
            <w:pPr>
              <w:spacing w:after="0" w:line="259" w:lineRule="auto"/>
              <w:ind w:left="0" w:right="37" w:firstLine="0"/>
              <w:jc w:val="center"/>
            </w:pPr>
            <w:r>
              <w:rPr>
                <w:sz w:val="20"/>
              </w:rPr>
              <w:t xml:space="preserve">13 </w:t>
            </w:r>
          </w:p>
        </w:tc>
        <w:tc>
          <w:tcPr>
            <w:tcW w:w="994" w:type="dxa"/>
            <w:tcBorders>
              <w:top w:val="single" w:sz="4" w:space="0" w:color="000000"/>
              <w:left w:val="single" w:sz="4" w:space="0" w:color="000000"/>
              <w:bottom w:val="single" w:sz="4" w:space="0" w:color="000000"/>
              <w:right w:val="single" w:sz="4" w:space="0" w:color="000000"/>
            </w:tcBorders>
          </w:tcPr>
          <w:p w14:paraId="16F6BB95" w14:textId="77777777" w:rsidR="00B94971" w:rsidRDefault="0047225A">
            <w:pPr>
              <w:spacing w:after="0" w:line="259" w:lineRule="auto"/>
              <w:ind w:left="0" w:right="39" w:firstLine="0"/>
              <w:jc w:val="center"/>
            </w:pPr>
            <w:r>
              <w:rPr>
                <w:sz w:val="20"/>
              </w:rPr>
              <w:t xml:space="preserve">5.2 </w:t>
            </w:r>
          </w:p>
        </w:tc>
        <w:tc>
          <w:tcPr>
            <w:tcW w:w="991" w:type="dxa"/>
            <w:tcBorders>
              <w:top w:val="single" w:sz="4" w:space="0" w:color="000000"/>
              <w:left w:val="single" w:sz="4" w:space="0" w:color="000000"/>
              <w:bottom w:val="single" w:sz="4" w:space="0" w:color="000000"/>
              <w:right w:val="single" w:sz="12" w:space="0" w:color="000000"/>
            </w:tcBorders>
          </w:tcPr>
          <w:p w14:paraId="1286FF4D" w14:textId="77777777" w:rsidR="00B94971" w:rsidRDefault="0047225A">
            <w:pPr>
              <w:spacing w:after="0" w:line="259" w:lineRule="auto"/>
              <w:ind w:left="0" w:right="32" w:firstLine="0"/>
              <w:jc w:val="center"/>
            </w:pPr>
            <w:r>
              <w:rPr>
                <w:sz w:val="20"/>
              </w:rPr>
              <w:t xml:space="preserve">28.3 </w:t>
            </w:r>
          </w:p>
        </w:tc>
      </w:tr>
      <w:tr w:rsidR="00B94971" w14:paraId="61022279"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026996E5" w14:textId="77777777" w:rsidR="00B94971" w:rsidRDefault="0047225A">
            <w:pPr>
              <w:spacing w:after="0" w:line="259" w:lineRule="auto"/>
              <w:ind w:left="0" w:firstLine="0"/>
              <w:jc w:val="left"/>
            </w:pPr>
            <w:r>
              <w:rPr>
                <w:b/>
                <w:sz w:val="20"/>
              </w:rPr>
              <w:t xml:space="preserve">Stairlift </w:t>
            </w:r>
          </w:p>
        </w:tc>
        <w:tc>
          <w:tcPr>
            <w:tcW w:w="1126" w:type="dxa"/>
            <w:tcBorders>
              <w:top w:val="single" w:sz="4" w:space="0" w:color="000000"/>
              <w:left w:val="single" w:sz="12" w:space="0" w:color="000000"/>
              <w:bottom w:val="single" w:sz="4" w:space="0" w:color="000000"/>
              <w:right w:val="single" w:sz="12" w:space="0" w:color="000000"/>
            </w:tcBorders>
          </w:tcPr>
          <w:p w14:paraId="27CE7C26" w14:textId="77777777" w:rsidR="00B94971" w:rsidRDefault="0047225A">
            <w:pPr>
              <w:spacing w:after="0" w:line="259" w:lineRule="auto"/>
              <w:ind w:left="0" w:right="42" w:firstLine="0"/>
              <w:jc w:val="center"/>
            </w:pPr>
            <w:r>
              <w:rPr>
                <w:sz w:val="20"/>
              </w:rPr>
              <w:t xml:space="preserve">D </w:t>
            </w:r>
          </w:p>
        </w:tc>
        <w:tc>
          <w:tcPr>
            <w:tcW w:w="1133" w:type="dxa"/>
            <w:tcBorders>
              <w:top w:val="single" w:sz="4" w:space="0" w:color="000000"/>
              <w:left w:val="single" w:sz="12" w:space="0" w:color="000000"/>
              <w:bottom w:val="single" w:sz="4" w:space="0" w:color="000000"/>
              <w:right w:val="single" w:sz="4" w:space="0" w:color="000000"/>
            </w:tcBorders>
          </w:tcPr>
          <w:p w14:paraId="377D970C" w14:textId="77777777" w:rsidR="00B94971" w:rsidRDefault="0047225A">
            <w:pPr>
              <w:spacing w:after="0" w:line="259" w:lineRule="auto"/>
              <w:ind w:left="0" w:right="37" w:firstLine="0"/>
              <w:jc w:val="center"/>
            </w:pPr>
            <w:r>
              <w:rPr>
                <w:sz w:val="20"/>
              </w:rPr>
              <w:t xml:space="preserve">150 </w:t>
            </w:r>
          </w:p>
        </w:tc>
        <w:tc>
          <w:tcPr>
            <w:tcW w:w="994" w:type="dxa"/>
            <w:tcBorders>
              <w:top w:val="single" w:sz="4" w:space="0" w:color="000000"/>
              <w:left w:val="single" w:sz="4" w:space="0" w:color="000000"/>
              <w:bottom w:val="single" w:sz="4" w:space="0" w:color="000000"/>
              <w:right w:val="single" w:sz="4" w:space="0" w:color="000000"/>
            </w:tcBorders>
          </w:tcPr>
          <w:p w14:paraId="68187EA6" w14:textId="77777777" w:rsidR="00B94971" w:rsidRDefault="0047225A">
            <w:pPr>
              <w:spacing w:after="0" w:line="259" w:lineRule="auto"/>
              <w:ind w:left="0" w:right="37" w:firstLine="0"/>
              <w:jc w:val="center"/>
            </w:pPr>
            <w:r>
              <w:rPr>
                <w:sz w:val="20"/>
              </w:rPr>
              <w:t xml:space="preserve">156 </w:t>
            </w:r>
          </w:p>
        </w:tc>
        <w:tc>
          <w:tcPr>
            <w:tcW w:w="991" w:type="dxa"/>
            <w:tcBorders>
              <w:top w:val="single" w:sz="4" w:space="0" w:color="000000"/>
              <w:left w:val="single" w:sz="4" w:space="0" w:color="000000"/>
              <w:bottom w:val="single" w:sz="4" w:space="0" w:color="000000"/>
              <w:right w:val="single" w:sz="4" w:space="0" w:color="000000"/>
            </w:tcBorders>
          </w:tcPr>
          <w:p w14:paraId="0EBF9799" w14:textId="77777777" w:rsidR="00B94971" w:rsidRDefault="0047225A">
            <w:pPr>
              <w:spacing w:after="0" w:line="259" w:lineRule="auto"/>
              <w:ind w:left="0" w:right="44" w:firstLine="0"/>
              <w:jc w:val="center"/>
            </w:pPr>
            <w:r>
              <w:rPr>
                <w:sz w:val="20"/>
              </w:rP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672794A2" w14:textId="77777777" w:rsidR="00B94971" w:rsidRDefault="0047225A">
            <w:pPr>
              <w:spacing w:after="0" w:line="259" w:lineRule="auto"/>
              <w:ind w:left="0" w:right="37" w:firstLine="0"/>
              <w:jc w:val="center"/>
            </w:pPr>
            <w:r>
              <w:rPr>
                <w:sz w:val="20"/>
              </w:rPr>
              <w:t xml:space="preserve">26 </w:t>
            </w:r>
          </w:p>
        </w:tc>
        <w:tc>
          <w:tcPr>
            <w:tcW w:w="994" w:type="dxa"/>
            <w:tcBorders>
              <w:top w:val="single" w:sz="4" w:space="0" w:color="000000"/>
              <w:left w:val="single" w:sz="4" w:space="0" w:color="000000"/>
              <w:bottom w:val="single" w:sz="4" w:space="0" w:color="000000"/>
              <w:right w:val="single" w:sz="4" w:space="0" w:color="000000"/>
            </w:tcBorders>
          </w:tcPr>
          <w:p w14:paraId="747DF2B3" w14:textId="77777777" w:rsidR="00B94971" w:rsidRDefault="0047225A">
            <w:pPr>
              <w:spacing w:after="0" w:line="259" w:lineRule="auto"/>
              <w:ind w:left="0" w:right="39" w:firstLine="0"/>
              <w:jc w:val="center"/>
            </w:pPr>
            <w:r>
              <w:rPr>
                <w:sz w:val="20"/>
              </w:rPr>
              <w:t xml:space="preserve">2.7 </w:t>
            </w:r>
          </w:p>
        </w:tc>
        <w:tc>
          <w:tcPr>
            <w:tcW w:w="991" w:type="dxa"/>
            <w:tcBorders>
              <w:top w:val="single" w:sz="4" w:space="0" w:color="000000"/>
              <w:left w:val="single" w:sz="4" w:space="0" w:color="000000"/>
              <w:bottom w:val="single" w:sz="4" w:space="0" w:color="000000"/>
              <w:right w:val="single" w:sz="12" w:space="0" w:color="000000"/>
            </w:tcBorders>
          </w:tcPr>
          <w:p w14:paraId="1ED4B3CB" w14:textId="77777777" w:rsidR="00B94971" w:rsidRDefault="0047225A">
            <w:pPr>
              <w:spacing w:after="0" w:line="259" w:lineRule="auto"/>
              <w:ind w:left="0" w:right="32" w:firstLine="0"/>
              <w:jc w:val="center"/>
            </w:pPr>
            <w:r>
              <w:rPr>
                <w:sz w:val="20"/>
              </w:rPr>
              <w:t xml:space="preserve">16.7 </w:t>
            </w:r>
          </w:p>
        </w:tc>
      </w:tr>
      <w:tr w:rsidR="00B94971" w14:paraId="58C2BE41"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29F170D9" w14:textId="77777777" w:rsidR="00B94971" w:rsidRDefault="0047225A">
            <w:pPr>
              <w:spacing w:after="0" w:line="259" w:lineRule="auto"/>
              <w:ind w:left="0" w:firstLine="0"/>
              <w:jc w:val="left"/>
            </w:pPr>
            <w:r>
              <w:rPr>
                <w:b/>
                <w:sz w:val="20"/>
              </w:rPr>
              <w:lastRenderedPageBreak/>
              <w:t xml:space="preserve">Graduated </w:t>
            </w:r>
            <w:proofErr w:type="spellStart"/>
            <w:r>
              <w:rPr>
                <w:b/>
                <w:sz w:val="20"/>
              </w:rPr>
              <w:t>Shwr</w:t>
            </w:r>
            <w:proofErr w:type="spellEnd"/>
            <w:r>
              <w:rPr>
                <w:b/>
                <w:sz w:val="20"/>
              </w:rPr>
              <w:t xml:space="preserve"> Floor </w:t>
            </w:r>
          </w:p>
        </w:tc>
        <w:tc>
          <w:tcPr>
            <w:tcW w:w="1126" w:type="dxa"/>
            <w:tcBorders>
              <w:top w:val="single" w:sz="4" w:space="0" w:color="000000"/>
              <w:left w:val="single" w:sz="12" w:space="0" w:color="000000"/>
              <w:bottom w:val="single" w:sz="4" w:space="0" w:color="000000"/>
              <w:right w:val="single" w:sz="12" w:space="0" w:color="000000"/>
            </w:tcBorders>
          </w:tcPr>
          <w:p w14:paraId="2E82F619" w14:textId="77777777" w:rsidR="00B94971" w:rsidRDefault="0047225A">
            <w:pPr>
              <w:spacing w:after="0" w:line="259" w:lineRule="auto"/>
              <w:ind w:left="0" w:right="40" w:firstLine="0"/>
              <w:jc w:val="center"/>
            </w:pPr>
            <w:r>
              <w:rPr>
                <w:sz w:val="20"/>
              </w:rPr>
              <w:t xml:space="preserve">L </w:t>
            </w:r>
          </w:p>
        </w:tc>
        <w:tc>
          <w:tcPr>
            <w:tcW w:w="1133" w:type="dxa"/>
            <w:tcBorders>
              <w:top w:val="single" w:sz="4" w:space="0" w:color="000000"/>
              <w:left w:val="single" w:sz="12" w:space="0" w:color="000000"/>
              <w:bottom w:val="single" w:sz="4" w:space="0" w:color="000000"/>
              <w:right w:val="single" w:sz="4" w:space="0" w:color="000000"/>
            </w:tcBorders>
          </w:tcPr>
          <w:p w14:paraId="7127D893" w14:textId="77777777" w:rsidR="00B94971" w:rsidRDefault="0047225A">
            <w:pPr>
              <w:spacing w:after="0" w:line="259" w:lineRule="auto"/>
              <w:ind w:left="0" w:right="37" w:firstLine="0"/>
              <w:jc w:val="center"/>
            </w:pPr>
            <w:r>
              <w:rPr>
                <w:sz w:val="20"/>
              </w:rPr>
              <w:t xml:space="preserve">110 </w:t>
            </w:r>
          </w:p>
        </w:tc>
        <w:tc>
          <w:tcPr>
            <w:tcW w:w="994" w:type="dxa"/>
            <w:tcBorders>
              <w:top w:val="single" w:sz="4" w:space="0" w:color="000000"/>
              <w:left w:val="single" w:sz="4" w:space="0" w:color="000000"/>
              <w:bottom w:val="single" w:sz="4" w:space="0" w:color="000000"/>
              <w:right w:val="single" w:sz="4" w:space="0" w:color="000000"/>
            </w:tcBorders>
          </w:tcPr>
          <w:p w14:paraId="20AC61C9" w14:textId="77777777" w:rsidR="00B94971" w:rsidRDefault="0047225A">
            <w:pPr>
              <w:spacing w:after="0" w:line="259" w:lineRule="auto"/>
              <w:ind w:left="0" w:right="37" w:firstLine="0"/>
              <w:jc w:val="center"/>
            </w:pPr>
            <w:r>
              <w:rPr>
                <w:sz w:val="20"/>
              </w:rPr>
              <w:t xml:space="preserve">148 </w:t>
            </w:r>
          </w:p>
        </w:tc>
        <w:tc>
          <w:tcPr>
            <w:tcW w:w="991" w:type="dxa"/>
            <w:tcBorders>
              <w:top w:val="single" w:sz="4" w:space="0" w:color="000000"/>
              <w:left w:val="single" w:sz="4" w:space="0" w:color="000000"/>
              <w:bottom w:val="single" w:sz="4" w:space="0" w:color="000000"/>
              <w:right w:val="single" w:sz="4" w:space="0" w:color="000000"/>
            </w:tcBorders>
          </w:tcPr>
          <w:p w14:paraId="10302288" w14:textId="77777777" w:rsidR="00B94971" w:rsidRDefault="0047225A">
            <w:pPr>
              <w:spacing w:after="0" w:line="259" w:lineRule="auto"/>
              <w:ind w:left="0" w:right="44" w:firstLine="0"/>
              <w:jc w:val="center"/>
            </w:pPr>
            <w:r>
              <w:rPr>
                <w:sz w:val="20"/>
              </w:rPr>
              <w:t xml:space="preserve">7 </w:t>
            </w:r>
          </w:p>
        </w:tc>
        <w:tc>
          <w:tcPr>
            <w:tcW w:w="1133" w:type="dxa"/>
            <w:tcBorders>
              <w:top w:val="single" w:sz="4" w:space="0" w:color="000000"/>
              <w:left w:val="single" w:sz="4" w:space="0" w:color="000000"/>
              <w:bottom w:val="single" w:sz="4" w:space="0" w:color="000000"/>
              <w:right w:val="single" w:sz="4" w:space="0" w:color="000000"/>
            </w:tcBorders>
          </w:tcPr>
          <w:p w14:paraId="21A96BF6" w14:textId="77777777" w:rsidR="00B94971" w:rsidRDefault="0047225A">
            <w:pPr>
              <w:spacing w:after="0" w:line="259" w:lineRule="auto"/>
              <w:ind w:left="0" w:right="37" w:firstLine="0"/>
              <w:jc w:val="center"/>
            </w:pPr>
            <w:r>
              <w:rPr>
                <w:sz w:val="20"/>
              </w:rPr>
              <w:t xml:space="preserve">21 </w:t>
            </w:r>
          </w:p>
        </w:tc>
        <w:tc>
          <w:tcPr>
            <w:tcW w:w="994" w:type="dxa"/>
            <w:tcBorders>
              <w:top w:val="single" w:sz="4" w:space="0" w:color="000000"/>
              <w:left w:val="single" w:sz="4" w:space="0" w:color="000000"/>
              <w:bottom w:val="single" w:sz="4" w:space="0" w:color="000000"/>
              <w:right w:val="single" w:sz="4" w:space="0" w:color="000000"/>
            </w:tcBorders>
          </w:tcPr>
          <w:p w14:paraId="7B9F8AD0" w14:textId="77777777" w:rsidR="00B94971" w:rsidRDefault="0047225A">
            <w:pPr>
              <w:spacing w:after="0" w:line="259" w:lineRule="auto"/>
              <w:ind w:left="0" w:right="39" w:firstLine="0"/>
              <w:jc w:val="center"/>
            </w:pPr>
            <w:r>
              <w:rPr>
                <w:sz w:val="20"/>
              </w:rPr>
              <w:t xml:space="preserve">6.4 </w:t>
            </w:r>
          </w:p>
        </w:tc>
        <w:tc>
          <w:tcPr>
            <w:tcW w:w="991" w:type="dxa"/>
            <w:tcBorders>
              <w:top w:val="single" w:sz="4" w:space="0" w:color="000000"/>
              <w:left w:val="single" w:sz="4" w:space="0" w:color="000000"/>
              <w:bottom w:val="single" w:sz="4" w:space="0" w:color="000000"/>
              <w:right w:val="single" w:sz="12" w:space="0" w:color="000000"/>
            </w:tcBorders>
          </w:tcPr>
          <w:p w14:paraId="329D5496" w14:textId="77777777" w:rsidR="00B94971" w:rsidRDefault="0047225A">
            <w:pPr>
              <w:spacing w:after="0" w:line="259" w:lineRule="auto"/>
              <w:ind w:left="0" w:right="32" w:firstLine="0"/>
              <w:jc w:val="center"/>
            </w:pPr>
            <w:r>
              <w:rPr>
                <w:sz w:val="20"/>
              </w:rPr>
              <w:t xml:space="preserve">14.2 </w:t>
            </w:r>
          </w:p>
        </w:tc>
      </w:tr>
      <w:tr w:rsidR="00B94971" w14:paraId="6F5178BC"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4209B38E" w14:textId="77777777" w:rsidR="00B94971" w:rsidRDefault="0047225A">
            <w:pPr>
              <w:spacing w:after="0" w:line="259" w:lineRule="auto"/>
              <w:ind w:left="0" w:firstLine="0"/>
              <w:jc w:val="left"/>
            </w:pPr>
            <w:r>
              <w:rPr>
                <w:b/>
                <w:sz w:val="20"/>
              </w:rPr>
              <w:t xml:space="preserve">Low Level Bath </w:t>
            </w:r>
          </w:p>
        </w:tc>
        <w:tc>
          <w:tcPr>
            <w:tcW w:w="1126" w:type="dxa"/>
            <w:tcBorders>
              <w:top w:val="single" w:sz="4" w:space="0" w:color="000000"/>
              <w:left w:val="single" w:sz="12" w:space="0" w:color="000000"/>
              <w:bottom w:val="single" w:sz="4" w:space="0" w:color="000000"/>
              <w:right w:val="single" w:sz="12" w:space="0" w:color="000000"/>
            </w:tcBorders>
          </w:tcPr>
          <w:p w14:paraId="093A36AA" w14:textId="77777777" w:rsidR="00B94971" w:rsidRDefault="0047225A">
            <w:pPr>
              <w:spacing w:after="0" w:line="259" w:lineRule="auto"/>
              <w:ind w:left="0" w:right="42" w:firstLine="0"/>
              <w:jc w:val="center"/>
            </w:pPr>
            <w:r>
              <w:rPr>
                <w:sz w:val="20"/>
              </w:rPr>
              <w:t xml:space="preserve">D </w:t>
            </w:r>
          </w:p>
        </w:tc>
        <w:tc>
          <w:tcPr>
            <w:tcW w:w="1133" w:type="dxa"/>
            <w:tcBorders>
              <w:top w:val="single" w:sz="4" w:space="0" w:color="000000"/>
              <w:left w:val="single" w:sz="12" w:space="0" w:color="000000"/>
              <w:bottom w:val="single" w:sz="4" w:space="0" w:color="000000"/>
              <w:right w:val="single" w:sz="4" w:space="0" w:color="000000"/>
            </w:tcBorders>
          </w:tcPr>
          <w:p w14:paraId="194FD6B3" w14:textId="77777777" w:rsidR="00B94971" w:rsidRDefault="0047225A">
            <w:pPr>
              <w:spacing w:after="0" w:line="259" w:lineRule="auto"/>
              <w:ind w:left="0" w:right="37" w:firstLine="0"/>
              <w:jc w:val="center"/>
            </w:pPr>
            <w:r>
              <w:rPr>
                <w:sz w:val="20"/>
              </w:rPr>
              <w:t xml:space="preserve">71 </w:t>
            </w:r>
          </w:p>
        </w:tc>
        <w:tc>
          <w:tcPr>
            <w:tcW w:w="994" w:type="dxa"/>
            <w:tcBorders>
              <w:top w:val="single" w:sz="4" w:space="0" w:color="000000"/>
              <w:left w:val="single" w:sz="4" w:space="0" w:color="000000"/>
              <w:bottom w:val="single" w:sz="4" w:space="0" w:color="000000"/>
              <w:right w:val="single" w:sz="4" w:space="0" w:color="000000"/>
            </w:tcBorders>
          </w:tcPr>
          <w:p w14:paraId="26EC5AAF" w14:textId="77777777" w:rsidR="00B94971" w:rsidRDefault="0047225A">
            <w:pPr>
              <w:spacing w:after="0" w:line="259" w:lineRule="auto"/>
              <w:ind w:left="0" w:right="37" w:firstLine="0"/>
              <w:jc w:val="center"/>
            </w:pPr>
            <w:r>
              <w:rPr>
                <w:sz w:val="20"/>
              </w:rPr>
              <w:t xml:space="preserve">53 </w:t>
            </w:r>
          </w:p>
        </w:tc>
        <w:tc>
          <w:tcPr>
            <w:tcW w:w="991" w:type="dxa"/>
            <w:tcBorders>
              <w:top w:val="single" w:sz="4" w:space="0" w:color="000000"/>
              <w:left w:val="single" w:sz="4" w:space="0" w:color="000000"/>
              <w:bottom w:val="single" w:sz="4" w:space="0" w:color="000000"/>
              <w:right w:val="single" w:sz="4" w:space="0" w:color="000000"/>
            </w:tcBorders>
          </w:tcPr>
          <w:p w14:paraId="545FB441" w14:textId="77777777" w:rsidR="00B94971" w:rsidRDefault="0047225A">
            <w:pPr>
              <w:spacing w:after="0" w:line="259" w:lineRule="auto"/>
              <w:ind w:left="0" w:right="44" w:firstLine="0"/>
              <w:jc w:val="center"/>
            </w:pPr>
            <w:r>
              <w:rPr>
                <w:sz w:val="20"/>
              </w:rP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769302CB" w14:textId="77777777" w:rsidR="00B94971" w:rsidRDefault="0047225A">
            <w:pPr>
              <w:spacing w:after="0" w:line="259" w:lineRule="auto"/>
              <w:ind w:left="0" w:right="37" w:firstLine="0"/>
              <w:jc w:val="center"/>
            </w:pPr>
            <w:r>
              <w:rPr>
                <w:sz w:val="20"/>
              </w:rPr>
              <w:t xml:space="preserve">16 </w:t>
            </w:r>
          </w:p>
        </w:tc>
        <w:tc>
          <w:tcPr>
            <w:tcW w:w="994" w:type="dxa"/>
            <w:tcBorders>
              <w:top w:val="single" w:sz="4" w:space="0" w:color="000000"/>
              <w:left w:val="single" w:sz="4" w:space="0" w:color="000000"/>
              <w:bottom w:val="single" w:sz="4" w:space="0" w:color="000000"/>
              <w:right w:val="single" w:sz="4" w:space="0" w:color="000000"/>
            </w:tcBorders>
          </w:tcPr>
          <w:p w14:paraId="00DF1625" w14:textId="77777777" w:rsidR="00B94971" w:rsidRDefault="0047225A">
            <w:pPr>
              <w:spacing w:after="0" w:line="259" w:lineRule="auto"/>
              <w:ind w:left="0" w:right="39" w:firstLine="0"/>
              <w:jc w:val="center"/>
            </w:pPr>
            <w:r>
              <w:rPr>
                <w:sz w:val="20"/>
              </w:rPr>
              <w:t xml:space="preserve">5.6 </w:t>
            </w:r>
          </w:p>
        </w:tc>
        <w:tc>
          <w:tcPr>
            <w:tcW w:w="991" w:type="dxa"/>
            <w:tcBorders>
              <w:top w:val="single" w:sz="4" w:space="0" w:color="000000"/>
              <w:left w:val="single" w:sz="4" w:space="0" w:color="000000"/>
              <w:bottom w:val="single" w:sz="4" w:space="0" w:color="000000"/>
              <w:right w:val="single" w:sz="12" w:space="0" w:color="000000"/>
            </w:tcBorders>
          </w:tcPr>
          <w:p w14:paraId="0961283E" w14:textId="77777777" w:rsidR="00B94971" w:rsidRDefault="0047225A">
            <w:pPr>
              <w:spacing w:after="0" w:line="259" w:lineRule="auto"/>
              <w:ind w:left="0" w:right="32" w:firstLine="0"/>
              <w:jc w:val="center"/>
            </w:pPr>
            <w:r>
              <w:rPr>
                <w:sz w:val="20"/>
              </w:rPr>
              <w:t xml:space="preserve">30.2 </w:t>
            </w:r>
          </w:p>
        </w:tc>
      </w:tr>
      <w:tr w:rsidR="00B94971" w14:paraId="3A708740" w14:textId="77777777">
        <w:trPr>
          <w:trHeight w:val="241"/>
        </w:trPr>
        <w:tc>
          <w:tcPr>
            <w:tcW w:w="2696" w:type="dxa"/>
            <w:tcBorders>
              <w:top w:val="single" w:sz="4" w:space="0" w:color="000000"/>
              <w:left w:val="single" w:sz="12" w:space="0" w:color="000000"/>
              <w:bottom w:val="single" w:sz="4" w:space="0" w:color="000000"/>
              <w:right w:val="single" w:sz="12" w:space="0" w:color="000000"/>
            </w:tcBorders>
          </w:tcPr>
          <w:p w14:paraId="2391C211" w14:textId="77777777" w:rsidR="00B94971" w:rsidRDefault="0047225A">
            <w:pPr>
              <w:spacing w:after="0" w:line="259" w:lineRule="auto"/>
              <w:ind w:left="0" w:firstLine="0"/>
              <w:jc w:val="left"/>
            </w:pPr>
            <w:r>
              <w:rPr>
                <w:b/>
                <w:sz w:val="20"/>
              </w:rPr>
              <w:t xml:space="preserve">Shower over Bath </w:t>
            </w:r>
          </w:p>
        </w:tc>
        <w:tc>
          <w:tcPr>
            <w:tcW w:w="1126" w:type="dxa"/>
            <w:tcBorders>
              <w:top w:val="single" w:sz="4" w:space="0" w:color="000000"/>
              <w:left w:val="single" w:sz="12" w:space="0" w:color="000000"/>
              <w:bottom w:val="single" w:sz="4" w:space="0" w:color="000000"/>
              <w:right w:val="single" w:sz="12" w:space="0" w:color="000000"/>
            </w:tcBorders>
          </w:tcPr>
          <w:p w14:paraId="29CEC87D" w14:textId="77777777" w:rsidR="00B94971" w:rsidRDefault="0047225A">
            <w:pPr>
              <w:spacing w:after="0" w:line="259" w:lineRule="auto"/>
              <w:ind w:left="0" w:right="40" w:firstLine="0"/>
              <w:jc w:val="center"/>
            </w:pPr>
            <w:r>
              <w:rPr>
                <w:sz w:val="20"/>
              </w:rPr>
              <w:t xml:space="preserve">L </w:t>
            </w:r>
          </w:p>
        </w:tc>
        <w:tc>
          <w:tcPr>
            <w:tcW w:w="1133" w:type="dxa"/>
            <w:tcBorders>
              <w:top w:val="single" w:sz="4" w:space="0" w:color="000000"/>
              <w:left w:val="single" w:sz="12" w:space="0" w:color="000000"/>
              <w:bottom w:val="single" w:sz="4" w:space="0" w:color="000000"/>
              <w:right w:val="single" w:sz="4" w:space="0" w:color="000000"/>
            </w:tcBorders>
          </w:tcPr>
          <w:p w14:paraId="7CEE33BB" w14:textId="77777777" w:rsidR="00B94971" w:rsidRDefault="0047225A">
            <w:pPr>
              <w:spacing w:after="0" w:line="259" w:lineRule="auto"/>
              <w:ind w:left="0" w:right="37" w:firstLine="0"/>
              <w:jc w:val="center"/>
            </w:pPr>
            <w:r>
              <w:rPr>
                <w:sz w:val="20"/>
              </w:rPr>
              <w:t xml:space="preserve">282 </w:t>
            </w:r>
          </w:p>
        </w:tc>
        <w:tc>
          <w:tcPr>
            <w:tcW w:w="994" w:type="dxa"/>
            <w:tcBorders>
              <w:top w:val="single" w:sz="4" w:space="0" w:color="000000"/>
              <w:left w:val="single" w:sz="4" w:space="0" w:color="000000"/>
              <w:bottom w:val="single" w:sz="4" w:space="0" w:color="000000"/>
              <w:right w:val="single" w:sz="4" w:space="0" w:color="000000"/>
            </w:tcBorders>
          </w:tcPr>
          <w:p w14:paraId="59438258" w14:textId="77777777" w:rsidR="00B94971" w:rsidRDefault="0047225A">
            <w:pPr>
              <w:spacing w:after="0" w:line="259" w:lineRule="auto"/>
              <w:ind w:left="0" w:right="37" w:firstLine="0"/>
              <w:jc w:val="center"/>
            </w:pPr>
            <w:r>
              <w:rPr>
                <w:sz w:val="20"/>
              </w:rPr>
              <w:t xml:space="preserve">192 </w:t>
            </w:r>
          </w:p>
        </w:tc>
        <w:tc>
          <w:tcPr>
            <w:tcW w:w="991" w:type="dxa"/>
            <w:tcBorders>
              <w:top w:val="single" w:sz="4" w:space="0" w:color="000000"/>
              <w:left w:val="single" w:sz="4" w:space="0" w:color="000000"/>
              <w:bottom w:val="single" w:sz="4" w:space="0" w:color="000000"/>
              <w:right w:val="single" w:sz="4" w:space="0" w:color="000000"/>
            </w:tcBorders>
          </w:tcPr>
          <w:p w14:paraId="0DEC5C17" w14:textId="77777777" w:rsidR="00B94971" w:rsidRDefault="0047225A">
            <w:pPr>
              <w:spacing w:after="0" w:line="259" w:lineRule="auto"/>
              <w:ind w:left="0" w:right="39" w:firstLine="0"/>
              <w:jc w:val="center"/>
            </w:pPr>
            <w:r>
              <w:rPr>
                <w:sz w:val="20"/>
              </w:rPr>
              <w:t xml:space="preserve">26 </w:t>
            </w:r>
          </w:p>
        </w:tc>
        <w:tc>
          <w:tcPr>
            <w:tcW w:w="1133" w:type="dxa"/>
            <w:tcBorders>
              <w:top w:val="single" w:sz="4" w:space="0" w:color="000000"/>
              <w:left w:val="single" w:sz="4" w:space="0" w:color="000000"/>
              <w:bottom w:val="single" w:sz="4" w:space="0" w:color="000000"/>
              <w:right w:val="single" w:sz="4" w:space="0" w:color="000000"/>
            </w:tcBorders>
          </w:tcPr>
          <w:p w14:paraId="3F9583F8" w14:textId="77777777" w:rsidR="00B94971" w:rsidRDefault="0047225A">
            <w:pPr>
              <w:spacing w:after="0" w:line="259" w:lineRule="auto"/>
              <w:ind w:left="0" w:right="37" w:firstLine="0"/>
              <w:jc w:val="center"/>
            </w:pPr>
            <w:r>
              <w:rPr>
                <w:sz w:val="20"/>
              </w:rPr>
              <w:t xml:space="preserve">91 </w:t>
            </w:r>
          </w:p>
        </w:tc>
        <w:tc>
          <w:tcPr>
            <w:tcW w:w="994" w:type="dxa"/>
            <w:tcBorders>
              <w:top w:val="single" w:sz="4" w:space="0" w:color="000000"/>
              <w:left w:val="single" w:sz="4" w:space="0" w:color="000000"/>
              <w:bottom w:val="single" w:sz="4" w:space="0" w:color="000000"/>
              <w:right w:val="single" w:sz="4" w:space="0" w:color="000000"/>
            </w:tcBorders>
          </w:tcPr>
          <w:p w14:paraId="65F4A1F9" w14:textId="77777777" w:rsidR="00B94971" w:rsidRDefault="0047225A">
            <w:pPr>
              <w:spacing w:after="0" w:line="259" w:lineRule="auto"/>
              <w:ind w:left="0" w:right="39" w:firstLine="0"/>
              <w:jc w:val="center"/>
            </w:pPr>
            <w:r>
              <w:rPr>
                <w:sz w:val="20"/>
              </w:rPr>
              <w:t xml:space="preserve">9.2 </w:t>
            </w:r>
          </w:p>
        </w:tc>
        <w:tc>
          <w:tcPr>
            <w:tcW w:w="991" w:type="dxa"/>
            <w:tcBorders>
              <w:top w:val="single" w:sz="4" w:space="0" w:color="000000"/>
              <w:left w:val="single" w:sz="4" w:space="0" w:color="000000"/>
              <w:bottom w:val="single" w:sz="4" w:space="0" w:color="000000"/>
              <w:right w:val="single" w:sz="12" w:space="0" w:color="000000"/>
            </w:tcBorders>
          </w:tcPr>
          <w:p w14:paraId="74F6C856" w14:textId="77777777" w:rsidR="00B94971" w:rsidRDefault="0047225A">
            <w:pPr>
              <w:spacing w:after="0" w:line="259" w:lineRule="auto"/>
              <w:ind w:left="0" w:right="32" w:firstLine="0"/>
              <w:jc w:val="center"/>
            </w:pPr>
            <w:r>
              <w:rPr>
                <w:sz w:val="20"/>
              </w:rPr>
              <w:t xml:space="preserve">47.4 </w:t>
            </w:r>
          </w:p>
        </w:tc>
      </w:tr>
      <w:tr w:rsidR="00B94971" w14:paraId="07F28980"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0A016D68" w14:textId="77777777" w:rsidR="00B94971" w:rsidRDefault="0047225A">
            <w:pPr>
              <w:spacing w:after="0" w:line="259" w:lineRule="auto"/>
              <w:ind w:left="0" w:firstLine="0"/>
              <w:jc w:val="left"/>
            </w:pPr>
            <w:r>
              <w:rPr>
                <w:b/>
                <w:sz w:val="20"/>
              </w:rPr>
              <w:t xml:space="preserve">Shower Replacing Bath </w:t>
            </w:r>
          </w:p>
        </w:tc>
        <w:tc>
          <w:tcPr>
            <w:tcW w:w="1126" w:type="dxa"/>
            <w:tcBorders>
              <w:top w:val="single" w:sz="4" w:space="0" w:color="000000"/>
              <w:left w:val="single" w:sz="12" w:space="0" w:color="000000"/>
              <w:bottom w:val="single" w:sz="4" w:space="0" w:color="000000"/>
              <w:right w:val="single" w:sz="12" w:space="0" w:color="000000"/>
            </w:tcBorders>
          </w:tcPr>
          <w:p w14:paraId="73CEE95F" w14:textId="77777777" w:rsidR="00B94971" w:rsidRDefault="0047225A">
            <w:pPr>
              <w:spacing w:after="0" w:line="259" w:lineRule="auto"/>
              <w:ind w:left="0" w:right="42" w:firstLine="0"/>
              <w:jc w:val="center"/>
            </w:pPr>
            <w:r>
              <w:rPr>
                <w:sz w:val="20"/>
              </w:rPr>
              <w:t xml:space="preserve">D </w:t>
            </w:r>
          </w:p>
        </w:tc>
        <w:tc>
          <w:tcPr>
            <w:tcW w:w="1133" w:type="dxa"/>
            <w:tcBorders>
              <w:top w:val="single" w:sz="4" w:space="0" w:color="000000"/>
              <w:left w:val="single" w:sz="12" w:space="0" w:color="000000"/>
              <w:bottom w:val="single" w:sz="4" w:space="0" w:color="000000"/>
              <w:right w:val="single" w:sz="4" w:space="0" w:color="000000"/>
            </w:tcBorders>
          </w:tcPr>
          <w:p w14:paraId="63DBE35C" w14:textId="77777777" w:rsidR="00B94971" w:rsidRDefault="0047225A">
            <w:pPr>
              <w:spacing w:after="0" w:line="259" w:lineRule="auto"/>
              <w:ind w:left="0" w:right="37" w:firstLine="0"/>
              <w:jc w:val="center"/>
            </w:pPr>
            <w:r>
              <w:rPr>
                <w:sz w:val="20"/>
              </w:rPr>
              <w:t xml:space="preserve">251 </w:t>
            </w:r>
          </w:p>
        </w:tc>
        <w:tc>
          <w:tcPr>
            <w:tcW w:w="994" w:type="dxa"/>
            <w:tcBorders>
              <w:top w:val="single" w:sz="4" w:space="0" w:color="000000"/>
              <w:left w:val="single" w:sz="4" w:space="0" w:color="000000"/>
              <w:bottom w:val="single" w:sz="4" w:space="0" w:color="000000"/>
              <w:right w:val="single" w:sz="4" w:space="0" w:color="000000"/>
            </w:tcBorders>
          </w:tcPr>
          <w:p w14:paraId="05AE3863" w14:textId="77777777" w:rsidR="00B94971" w:rsidRDefault="0047225A">
            <w:pPr>
              <w:spacing w:after="0" w:line="259" w:lineRule="auto"/>
              <w:ind w:left="0" w:right="37" w:firstLine="0"/>
              <w:jc w:val="center"/>
            </w:pPr>
            <w:r>
              <w:rPr>
                <w:sz w:val="20"/>
              </w:rPr>
              <w:t xml:space="preserve">255 </w:t>
            </w:r>
          </w:p>
        </w:tc>
        <w:tc>
          <w:tcPr>
            <w:tcW w:w="991" w:type="dxa"/>
            <w:tcBorders>
              <w:top w:val="single" w:sz="4" w:space="0" w:color="000000"/>
              <w:left w:val="single" w:sz="4" w:space="0" w:color="000000"/>
              <w:bottom w:val="single" w:sz="4" w:space="0" w:color="000000"/>
              <w:right w:val="single" w:sz="4" w:space="0" w:color="000000"/>
            </w:tcBorders>
          </w:tcPr>
          <w:p w14:paraId="07B5DA07" w14:textId="77777777" w:rsidR="00B94971" w:rsidRDefault="0047225A">
            <w:pPr>
              <w:spacing w:after="0" w:line="259" w:lineRule="auto"/>
              <w:ind w:left="0" w:right="44" w:firstLine="0"/>
              <w:jc w:val="center"/>
            </w:pPr>
            <w:r>
              <w:rPr>
                <w:sz w:val="20"/>
              </w:rPr>
              <w:t xml:space="preserve">7 </w:t>
            </w:r>
          </w:p>
        </w:tc>
        <w:tc>
          <w:tcPr>
            <w:tcW w:w="1133" w:type="dxa"/>
            <w:tcBorders>
              <w:top w:val="single" w:sz="4" w:space="0" w:color="000000"/>
              <w:left w:val="single" w:sz="4" w:space="0" w:color="000000"/>
              <w:bottom w:val="single" w:sz="4" w:space="0" w:color="000000"/>
              <w:right w:val="single" w:sz="4" w:space="0" w:color="000000"/>
            </w:tcBorders>
          </w:tcPr>
          <w:p w14:paraId="6679EA86" w14:textId="77777777" w:rsidR="00B94971" w:rsidRDefault="0047225A">
            <w:pPr>
              <w:spacing w:after="0" w:line="259" w:lineRule="auto"/>
              <w:ind w:left="0" w:right="37" w:firstLine="0"/>
              <w:jc w:val="center"/>
            </w:pPr>
            <w:r>
              <w:rPr>
                <w:sz w:val="20"/>
              </w:rPr>
              <w:t xml:space="preserve">46 </w:t>
            </w:r>
          </w:p>
        </w:tc>
        <w:tc>
          <w:tcPr>
            <w:tcW w:w="994" w:type="dxa"/>
            <w:tcBorders>
              <w:top w:val="single" w:sz="4" w:space="0" w:color="000000"/>
              <w:left w:val="single" w:sz="4" w:space="0" w:color="000000"/>
              <w:bottom w:val="single" w:sz="4" w:space="0" w:color="000000"/>
              <w:right w:val="single" w:sz="4" w:space="0" w:color="000000"/>
            </w:tcBorders>
          </w:tcPr>
          <w:p w14:paraId="6E27086B" w14:textId="77777777" w:rsidR="00B94971" w:rsidRDefault="0047225A">
            <w:pPr>
              <w:spacing w:after="0" w:line="259" w:lineRule="auto"/>
              <w:ind w:left="0" w:right="39" w:firstLine="0"/>
              <w:jc w:val="center"/>
            </w:pPr>
            <w:r>
              <w:rPr>
                <w:sz w:val="20"/>
              </w:rPr>
              <w:t xml:space="preserve">2.8 </w:t>
            </w:r>
          </w:p>
        </w:tc>
        <w:tc>
          <w:tcPr>
            <w:tcW w:w="991" w:type="dxa"/>
            <w:tcBorders>
              <w:top w:val="single" w:sz="4" w:space="0" w:color="000000"/>
              <w:left w:val="single" w:sz="4" w:space="0" w:color="000000"/>
              <w:bottom w:val="single" w:sz="4" w:space="0" w:color="000000"/>
              <w:right w:val="single" w:sz="12" w:space="0" w:color="000000"/>
            </w:tcBorders>
          </w:tcPr>
          <w:p w14:paraId="6A7AE6BB" w14:textId="77777777" w:rsidR="00B94971" w:rsidRDefault="0047225A">
            <w:pPr>
              <w:spacing w:after="0" w:line="259" w:lineRule="auto"/>
              <w:ind w:left="0" w:right="32" w:firstLine="0"/>
              <w:jc w:val="center"/>
            </w:pPr>
            <w:r>
              <w:rPr>
                <w:sz w:val="20"/>
              </w:rPr>
              <w:t xml:space="preserve">18.0 </w:t>
            </w:r>
          </w:p>
        </w:tc>
      </w:tr>
      <w:tr w:rsidR="00B94971" w14:paraId="716FC68F"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7E91A6BF" w14:textId="77777777" w:rsidR="00B94971" w:rsidRDefault="0047225A">
            <w:pPr>
              <w:spacing w:after="0" w:line="259" w:lineRule="auto"/>
              <w:ind w:left="0" w:firstLine="0"/>
              <w:jc w:val="left"/>
            </w:pPr>
            <w:r>
              <w:rPr>
                <w:b/>
                <w:sz w:val="20"/>
              </w:rPr>
              <w:t>New Bath/</w:t>
            </w:r>
            <w:proofErr w:type="spellStart"/>
            <w:r>
              <w:rPr>
                <w:b/>
                <w:sz w:val="20"/>
              </w:rPr>
              <w:t>Shwr</w:t>
            </w:r>
            <w:proofErr w:type="spellEnd"/>
            <w:r>
              <w:rPr>
                <w:b/>
                <w:sz w:val="20"/>
              </w:rPr>
              <w:t xml:space="preserve"> room </w:t>
            </w:r>
          </w:p>
        </w:tc>
        <w:tc>
          <w:tcPr>
            <w:tcW w:w="1126" w:type="dxa"/>
            <w:tcBorders>
              <w:top w:val="single" w:sz="4" w:space="0" w:color="000000"/>
              <w:left w:val="single" w:sz="12" w:space="0" w:color="000000"/>
              <w:bottom w:val="single" w:sz="4" w:space="0" w:color="000000"/>
              <w:right w:val="single" w:sz="12" w:space="0" w:color="000000"/>
            </w:tcBorders>
          </w:tcPr>
          <w:p w14:paraId="34B6F6E2" w14:textId="77777777" w:rsidR="00B94971" w:rsidRDefault="0047225A">
            <w:pPr>
              <w:spacing w:after="0" w:line="259" w:lineRule="auto"/>
              <w:ind w:left="0" w:right="40" w:firstLine="0"/>
              <w:jc w:val="center"/>
            </w:pPr>
            <w:r>
              <w:rPr>
                <w:sz w:val="20"/>
              </w:rPr>
              <w:t xml:space="preserve">L </w:t>
            </w:r>
          </w:p>
        </w:tc>
        <w:tc>
          <w:tcPr>
            <w:tcW w:w="1133" w:type="dxa"/>
            <w:tcBorders>
              <w:top w:val="single" w:sz="4" w:space="0" w:color="000000"/>
              <w:left w:val="single" w:sz="12" w:space="0" w:color="000000"/>
              <w:bottom w:val="single" w:sz="4" w:space="0" w:color="000000"/>
              <w:right w:val="single" w:sz="4" w:space="0" w:color="000000"/>
            </w:tcBorders>
          </w:tcPr>
          <w:p w14:paraId="6A29FB90" w14:textId="77777777" w:rsidR="00B94971" w:rsidRDefault="0047225A">
            <w:pPr>
              <w:spacing w:after="0" w:line="259" w:lineRule="auto"/>
              <w:ind w:left="0" w:right="37" w:firstLine="0"/>
              <w:jc w:val="center"/>
            </w:pPr>
            <w:r>
              <w:rPr>
                <w:sz w:val="20"/>
              </w:rPr>
              <w:t xml:space="preserve">76 </w:t>
            </w:r>
          </w:p>
        </w:tc>
        <w:tc>
          <w:tcPr>
            <w:tcW w:w="994" w:type="dxa"/>
            <w:tcBorders>
              <w:top w:val="single" w:sz="4" w:space="0" w:color="000000"/>
              <w:left w:val="single" w:sz="4" w:space="0" w:color="000000"/>
              <w:bottom w:val="single" w:sz="4" w:space="0" w:color="000000"/>
              <w:right w:val="single" w:sz="4" w:space="0" w:color="000000"/>
            </w:tcBorders>
          </w:tcPr>
          <w:p w14:paraId="67A4BDBE" w14:textId="77777777" w:rsidR="00B94971" w:rsidRDefault="0047225A">
            <w:pPr>
              <w:spacing w:after="0" w:line="259" w:lineRule="auto"/>
              <w:ind w:left="0" w:right="37" w:firstLine="0"/>
              <w:jc w:val="center"/>
            </w:pPr>
            <w:r>
              <w:rPr>
                <w:sz w:val="20"/>
              </w:rPr>
              <w:t xml:space="preserve">128 </w:t>
            </w:r>
          </w:p>
        </w:tc>
        <w:tc>
          <w:tcPr>
            <w:tcW w:w="991" w:type="dxa"/>
            <w:tcBorders>
              <w:top w:val="single" w:sz="4" w:space="0" w:color="000000"/>
              <w:left w:val="single" w:sz="4" w:space="0" w:color="000000"/>
              <w:bottom w:val="single" w:sz="4" w:space="0" w:color="000000"/>
              <w:right w:val="single" w:sz="4" w:space="0" w:color="000000"/>
            </w:tcBorders>
          </w:tcPr>
          <w:p w14:paraId="36101A96" w14:textId="77777777" w:rsidR="00B94971" w:rsidRDefault="0047225A">
            <w:pPr>
              <w:spacing w:after="0" w:line="259" w:lineRule="auto"/>
              <w:ind w:left="0" w:right="44" w:firstLine="0"/>
              <w:jc w:val="center"/>
            </w:pPr>
            <w:r>
              <w:rPr>
                <w:sz w:val="20"/>
              </w:rP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22D8A9EF" w14:textId="77777777" w:rsidR="00B94971" w:rsidRDefault="0047225A">
            <w:pPr>
              <w:spacing w:after="0" w:line="259" w:lineRule="auto"/>
              <w:ind w:left="0" w:right="37" w:firstLine="0"/>
              <w:jc w:val="center"/>
            </w:pPr>
            <w:r>
              <w:rPr>
                <w:sz w:val="20"/>
              </w:rPr>
              <w:t xml:space="preserve">38 </w:t>
            </w:r>
          </w:p>
        </w:tc>
        <w:tc>
          <w:tcPr>
            <w:tcW w:w="994" w:type="dxa"/>
            <w:tcBorders>
              <w:top w:val="single" w:sz="4" w:space="0" w:color="000000"/>
              <w:left w:val="single" w:sz="4" w:space="0" w:color="000000"/>
              <w:bottom w:val="single" w:sz="4" w:space="0" w:color="000000"/>
              <w:right w:val="single" w:sz="4" w:space="0" w:color="000000"/>
            </w:tcBorders>
          </w:tcPr>
          <w:p w14:paraId="6CFC0D90" w14:textId="77777777" w:rsidR="00B94971" w:rsidRDefault="0047225A">
            <w:pPr>
              <w:spacing w:after="0" w:line="259" w:lineRule="auto"/>
              <w:ind w:left="0" w:right="39" w:firstLine="0"/>
              <w:jc w:val="center"/>
            </w:pPr>
            <w:r>
              <w:rPr>
                <w:sz w:val="20"/>
              </w:rPr>
              <w:t xml:space="preserve">2.6 </w:t>
            </w:r>
          </w:p>
        </w:tc>
        <w:tc>
          <w:tcPr>
            <w:tcW w:w="991" w:type="dxa"/>
            <w:tcBorders>
              <w:top w:val="single" w:sz="4" w:space="0" w:color="000000"/>
              <w:left w:val="single" w:sz="4" w:space="0" w:color="000000"/>
              <w:bottom w:val="single" w:sz="4" w:space="0" w:color="000000"/>
              <w:right w:val="single" w:sz="12" w:space="0" w:color="000000"/>
            </w:tcBorders>
          </w:tcPr>
          <w:p w14:paraId="1CA1420E" w14:textId="77777777" w:rsidR="00B94971" w:rsidRDefault="0047225A">
            <w:pPr>
              <w:spacing w:after="0" w:line="259" w:lineRule="auto"/>
              <w:ind w:left="0" w:right="32" w:firstLine="0"/>
              <w:jc w:val="center"/>
            </w:pPr>
            <w:r>
              <w:rPr>
                <w:sz w:val="20"/>
              </w:rPr>
              <w:t xml:space="preserve">29.7 </w:t>
            </w:r>
          </w:p>
        </w:tc>
      </w:tr>
      <w:tr w:rsidR="00B94971" w14:paraId="09E722D7"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682153FB" w14:textId="77777777" w:rsidR="00B94971" w:rsidRDefault="0047225A">
            <w:pPr>
              <w:spacing w:after="0" w:line="259" w:lineRule="auto"/>
              <w:ind w:left="0" w:firstLine="0"/>
              <w:jc w:val="left"/>
            </w:pPr>
            <w:r>
              <w:rPr>
                <w:b/>
                <w:sz w:val="20"/>
              </w:rPr>
              <w:t xml:space="preserve">Redesigned Bathroom </w:t>
            </w:r>
          </w:p>
        </w:tc>
        <w:tc>
          <w:tcPr>
            <w:tcW w:w="1126" w:type="dxa"/>
            <w:tcBorders>
              <w:top w:val="single" w:sz="4" w:space="0" w:color="000000"/>
              <w:left w:val="single" w:sz="12" w:space="0" w:color="000000"/>
              <w:bottom w:val="single" w:sz="4" w:space="0" w:color="000000"/>
              <w:right w:val="single" w:sz="12" w:space="0" w:color="000000"/>
            </w:tcBorders>
          </w:tcPr>
          <w:p w14:paraId="619FC416" w14:textId="77777777" w:rsidR="00B94971" w:rsidRDefault="0047225A">
            <w:pPr>
              <w:spacing w:after="0" w:line="259" w:lineRule="auto"/>
              <w:ind w:left="0" w:right="40" w:firstLine="0"/>
              <w:jc w:val="center"/>
            </w:pPr>
            <w:r>
              <w:rPr>
                <w:sz w:val="20"/>
              </w:rPr>
              <w:t xml:space="preserve">L </w:t>
            </w:r>
          </w:p>
        </w:tc>
        <w:tc>
          <w:tcPr>
            <w:tcW w:w="1133" w:type="dxa"/>
            <w:tcBorders>
              <w:top w:val="single" w:sz="4" w:space="0" w:color="000000"/>
              <w:left w:val="single" w:sz="12" w:space="0" w:color="000000"/>
              <w:bottom w:val="single" w:sz="4" w:space="0" w:color="000000"/>
              <w:right w:val="single" w:sz="4" w:space="0" w:color="000000"/>
            </w:tcBorders>
          </w:tcPr>
          <w:p w14:paraId="49325C27" w14:textId="77777777" w:rsidR="00B94971" w:rsidRDefault="0047225A">
            <w:pPr>
              <w:spacing w:after="0" w:line="259" w:lineRule="auto"/>
              <w:ind w:left="0" w:right="37" w:firstLine="0"/>
              <w:jc w:val="center"/>
            </w:pPr>
            <w:r>
              <w:rPr>
                <w:sz w:val="20"/>
              </w:rPr>
              <w:t xml:space="preserve">91 </w:t>
            </w:r>
          </w:p>
        </w:tc>
        <w:tc>
          <w:tcPr>
            <w:tcW w:w="994" w:type="dxa"/>
            <w:tcBorders>
              <w:top w:val="single" w:sz="4" w:space="0" w:color="000000"/>
              <w:left w:val="single" w:sz="4" w:space="0" w:color="000000"/>
              <w:bottom w:val="single" w:sz="4" w:space="0" w:color="000000"/>
              <w:right w:val="single" w:sz="4" w:space="0" w:color="000000"/>
            </w:tcBorders>
          </w:tcPr>
          <w:p w14:paraId="2C062E0B" w14:textId="77777777" w:rsidR="00B94971" w:rsidRDefault="0047225A">
            <w:pPr>
              <w:spacing w:after="0" w:line="259" w:lineRule="auto"/>
              <w:ind w:left="0" w:right="37" w:firstLine="0"/>
              <w:jc w:val="center"/>
            </w:pPr>
            <w:r>
              <w:rPr>
                <w:sz w:val="20"/>
              </w:rPr>
              <w:t xml:space="preserve">152 </w:t>
            </w:r>
          </w:p>
        </w:tc>
        <w:tc>
          <w:tcPr>
            <w:tcW w:w="991" w:type="dxa"/>
            <w:tcBorders>
              <w:top w:val="single" w:sz="4" w:space="0" w:color="000000"/>
              <w:left w:val="single" w:sz="4" w:space="0" w:color="000000"/>
              <w:bottom w:val="single" w:sz="4" w:space="0" w:color="000000"/>
              <w:right w:val="single" w:sz="4" w:space="0" w:color="000000"/>
            </w:tcBorders>
          </w:tcPr>
          <w:p w14:paraId="042128BA" w14:textId="77777777" w:rsidR="00B94971" w:rsidRDefault="0047225A">
            <w:pPr>
              <w:spacing w:after="0" w:line="259" w:lineRule="auto"/>
              <w:ind w:left="0" w:right="44" w:firstLine="0"/>
              <w:jc w:val="center"/>
            </w:pPr>
            <w:r>
              <w:rPr>
                <w:sz w:val="20"/>
              </w:rP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07241B0D" w14:textId="77777777" w:rsidR="00B94971" w:rsidRDefault="0047225A">
            <w:pPr>
              <w:spacing w:after="0" w:line="259" w:lineRule="auto"/>
              <w:ind w:left="0" w:right="37" w:firstLine="0"/>
              <w:jc w:val="center"/>
            </w:pPr>
            <w:r>
              <w:rPr>
                <w:sz w:val="20"/>
              </w:rPr>
              <w:t xml:space="preserve">49 </w:t>
            </w:r>
          </w:p>
        </w:tc>
        <w:tc>
          <w:tcPr>
            <w:tcW w:w="994" w:type="dxa"/>
            <w:tcBorders>
              <w:top w:val="single" w:sz="4" w:space="0" w:color="000000"/>
              <w:left w:val="single" w:sz="4" w:space="0" w:color="000000"/>
              <w:bottom w:val="single" w:sz="4" w:space="0" w:color="000000"/>
              <w:right w:val="single" w:sz="4" w:space="0" w:color="000000"/>
            </w:tcBorders>
          </w:tcPr>
          <w:p w14:paraId="0F2E6D09" w14:textId="77777777" w:rsidR="00B94971" w:rsidRDefault="0047225A">
            <w:pPr>
              <w:spacing w:after="0" w:line="259" w:lineRule="auto"/>
              <w:ind w:left="0" w:right="39" w:firstLine="0"/>
              <w:jc w:val="center"/>
            </w:pPr>
            <w:r>
              <w:rPr>
                <w:sz w:val="20"/>
              </w:rPr>
              <w:t xml:space="preserve">6.6 </w:t>
            </w:r>
          </w:p>
        </w:tc>
        <w:tc>
          <w:tcPr>
            <w:tcW w:w="991" w:type="dxa"/>
            <w:tcBorders>
              <w:top w:val="single" w:sz="4" w:space="0" w:color="000000"/>
              <w:left w:val="single" w:sz="4" w:space="0" w:color="000000"/>
              <w:bottom w:val="single" w:sz="4" w:space="0" w:color="000000"/>
              <w:right w:val="single" w:sz="12" w:space="0" w:color="000000"/>
            </w:tcBorders>
          </w:tcPr>
          <w:p w14:paraId="0319A54D" w14:textId="77777777" w:rsidR="00B94971" w:rsidRDefault="0047225A">
            <w:pPr>
              <w:spacing w:after="0" w:line="259" w:lineRule="auto"/>
              <w:ind w:left="0" w:right="32" w:firstLine="0"/>
              <w:jc w:val="center"/>
            </w:pPr>
            <w:r>
              <w:rPr>
                <w:sz w:val="20"/>
              </w:rPr>
              <w:t xml:space="preserve">32.2 </w:t>
            </w:r>
          </w:p>
        </w:tc>
      </w:tr>
      <w:tr w:rsidR="00B94971" w14:paraId="07C9EB90"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03303780" w14:textId="77777777" w:rsidR="00B94971" w:rsidRDefault="0047225A">
            <w:pPr>
              <w:spacing w:after="0" w:line="259" w:lineRule="auto"/>
              <w:ind w:left="0" w:firstLine="0"/>
              <w:jc w:val="left"/>
            </w:pPr>
            <w:r>
              <w:rPr>
                <w:b/>
                <w:sz w:val="20"/>
              </w:rPr>
              <w:t xml:space="preserve">Redesigned Kitchen </w:t>
            </w:r>
          </w:p>
        </w:tc>
        <w:tc>
          <w:tcPr>
            <w:tcW w:w="1126" w:type="dxa"/>
            <w:tcBorders>
              <w:top w:val="single" w:sz="4" w:space="0" w:color="000000"/>
              <w:left w:val="single" w:sz="12" w:space="0" w:color="000000"/>
              <w:bottom w:val="single" w:sz="4" w:space="0" w:color="000000"/>
              <w:right w:val="single" w:sz="12" w:space="0" w:color="000000"/>
            </w:tcBorders>
          </w:tcPr>
          <w:p w14:paraId="6BCDE61B" w14:textId="77777777" w:rsidR="00B94971" w:rsidRDefault="0047225A">
            <w:pPr>
              <w:spacing w:after="0" w:line="259" w:lineRule="auto"/>
              <w:ind w:left="0" w:right="40" w:firstLine="0"/>
              <w:jc w:val="center"/>
            </w:pPr>
            <w:r>
              <w:rPr>
                <w:sz w:val="20"/>
              </w:rPr>
              <w:t xml:space="preserve">L </w:t>
            </w:r>
          </w:p>
        </w:tc>
        <w:tc>
          <w:tcPr>
            <w:tcW w:w="1133" w:type="dxa"/>
            <w:tcBorders>
              <w:top w:val="single" w:sz="4" w:space="0" w:color="000000"/>
              <w:left w:val="single" w:sz="12" w:space="0" w:color="000000"/>
              <w:bottom w:val="single" w:sz="4" w:space="0" w:color="000000"/>
              <w:right w:val="single" w:sz="4" w:space="0" w:color="000000"/>
            </w:tcBorders>
          </w:tcPr>
          <w:p w14:paraId="550188BB" w14:textId="77777777" w:rsidR="00B94971" w:rsidRDefault="0047225A">
            <w:pPr>
              <w:spacing w:after="0" w:line="259" w:lineRule="auto"/>
              <w:ind w:left="0" w:right="37" w:firstLine="0"/>
              <w:jc w:val="center"/>
            </w:pPr>
            <w:r>
              <w:rPr>
                <w:sz w:val="20"/>
              </w:rPr>
              <w:t xml:space="preserve">44 </w:t>
            </w:r>
          </w:p>
        </w:tc>
        <w:tc>
          <w:tcPr>
            <w:tcW w:w="994" w:type="dxa"/>
            <w:tcBorders>
              <w:top w:val="single" w:sz="4" w:space="0" w:color="000000"/>
              <w:left w:val="single" w:sz="4" w:space="0" w:color="000000"/>
              <w:bottom w:val="single" w:sz="4" w:space="0" w:color="000000"/>
              <w:right w:val="single" w:sz="4" w:space="0" w:color="000000"/>
            </w:tcBorders>
          </w:tcPr>
          <w:p w14:paraId="36E75F9A" w14:textId="77777777" w:rsidR="00B94971" w:rsidRDefault="0047225A">
            <w:pPr>
              <w:spacing w:after="0" w:line="259" w:lineRule="auto"/>
              <w:ind w:left="0" w:right="37" w:firstLine="0"/>
              <w:jc w:val="center"/>
            </w:pPr>
            <w:r>
              <w:rPr>
                <w:sz w:val="20"/>
              </w:rPr>
              <w:t xml:space="preserve">63 </w:t>
            </w:r>
          </w:p>
        </w:tc>
        <w:tc>
          <w:tcPr>
            <w:tcW w:w="991" w:type="dxa"/>
            <w:tcBorders>
              <w:top w:val="single" w:sz="4" w:space="0" w:color="000000"/>
              <w:left w:val="single" w:sz="4" w:space="0" w:color="000000"/>
              <w:bottom w:val="single" w:sz="4" w:space="0" w:color="000000"/>
              <w:right w:val="single" w:sz="4" w:space="0" w:color="000000"/>
            </w:tcBorders>
          </w:tcPr>
          <w:p w14:paraId="654B5F79" w14:textId="77777777" w:rsidR="00B94971" w:rsidRDefault="0047225A">
            <w:pPr>
              <w:spacing w:after="0" w:line="259" w:lineRule="auto"/>
              <w:ind w:left="0" w:right="44" w:firstLine="0"/>
              <w:jc w:val="center"/>
            </w:pPr>
            <w:r>
              <w:rPr>
                <w:sz w:val="20"/>
              </w:rP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179A9E92" w14:textId="77777777" w:rsidR="00B94971" w:rsidRDefault="0047225A">
            <w:pPr>
              <w:spacing w:after="0" w:line="259" w:lineRule="auto"/>
              <w:ind w:left="0" w:right="37" w:firstLine="0"/>
              <w:jc w:val="center"/>
            </w:pPr>
            <w:r>
              <w:rPr>
                <w:sz w:val="20"/>
              </w:rPr>
              <w:t xml:space="preserve">18 </w:t>
            </w:r>
          </w:p>
        </w:tc>
        <w:tc>
          <w:tcPr>
            <w:tcW w:w="994" w:type="dxa"/>
            <w:tcBorders>
              <w:top w:val="single" w:sz="4" w:space="0" w:color="000000"/>
              <w:left w:val="single" w:sz="4" w:space="0" w:color="000000"/>
              <w:bottom w:val="single" w:sz="4" w:space="0" w:color="000000"/>
              <w:right w:val="single" w:sz="4" w:space="0" w:color="000000"/>
            </w:tcBorders>
          </w:tcPr>
          <w:p w14:paraId="21C1F2F3" w14:textId="77777777" w:rsidR="00B94971" w:rsidRDefault="0047225A">
            <w:pPr>
              <w:spacing w:after="0" w:line="259" w:lineRule="auto"/>
              <w:ind w:left="0" w:right="39" w:firstLine="0"/>
              <w:jc w:val="center"/>
            </w:pPr>
            <w:r>
              <w:rPr>
                <w:sz w:val="20"/>
              </w:rPr>
              <w:t xml:space="preserve">4.5 </w:t>
            </w:r>
          </w:p>
        </w:tc>
        <w:tc>
          <w:tcPr>
            <w:tcW w:w="991" w:type="dxa"/>
            <w:tcBorders>
              <w:top w:val="single" w:sz="4" w:space="0" w:color="000000"/>
              <w:left w:val="single" w:sz="4" w:space="0" w:color="000000"/>
              <w:bottom w:val="single" w:sz="4" w:space="0" w:color="000000"/>
              <w:right w:val="single" w:sz="12" w:space="0" w:color="000000"/>
            </w:tcBorders>
          </w:tcPr>
          <w:p w14:paraId="289218B0" w14:textId="77777777" w:rsidR="00B94971" w:rsidRDefault="0047225A">
            <w:pPr>
              <w:spacing w:after="0" w:line="259" w:lineRule="auto"/>
              <w:ind w:left="0" w:right="32" w:firstLine="0"/>
              <w:jc w:val="center"/>
            </w:pPr>
            <w:r>
              <w:rPr>
                <w:sz w:val="20"/>
              </w:rPr>
              <w:t xml:space="preserve">28.6 </w:t>
            </w:r>
          </w:p>
        </w:tc>
      </w:tr>
      <w:tr w:rsidR="00B94971" w14:paraId="4AD13F62"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685E9BB2" w14:textId="77777777" w:rsidR="00B94971" w:rsidRDefault="0047225A">
            <w:pPr>
              <w:spacing w:after="0" w:line="259" w:lineRule="auto"/>
              <w:ind w:left="0" w:firstLine="0"/>
              <w:jc w:val="left"/>
            </w:pPr>
            <w:r>
              <w:rPr>
                <w:b/>
                <w:sz w:val="20"/>
              </w:rPr>
              <w:t>Relocated Bath/</w:t>
            </w:r>
            <w:proofErr w:type="spellStart"/>
            <w:r>
              <w:rPr>
                <w:b/>
                <w:sz w:val="20"/>
              </w:rPr>
              <w:t>Shwr</w:t>
            </w:r>
            <w:proofErr w:type="spellEnd"/>
            <w:r>
              <w:rPr>
                <w:b/>
                <w:sz w:val="20"/>
              </w:rPr>
              <w:t xml:space="preserve"> room </w:t>
            </w:r>
          </w:p>
        </w:tc>
        <w:tc>
          <w:tcPr>
            <w:tcW w:w="1126" w:type="dxa"/>
            <w:tcBorders>
              <w:top w:val="single" w:sz="4" w:space="0" w:color="000000"/>
              <w:left w:val="single" w:sz="12" w:space="0" w:color="000000"/>
              <w:bottom w:val="single" w:sz="4" w:space="0" w:color="000000"/>
              <w:right w:val="single" w:sz="12" w:space="0" w:color="000000"/>
            </w:tcBorders>
          </w:tcPr>
          <w:p w14:paraId="1087F833" w14:textId="77777777" w:rsidR="00B94971" w:rsidRDefault="0047225A">
            <w:pPr>
              <w:spacing w:after="0" w:line="259" w:lineRule="auto"/>
              <w:ind w:left="0" w:right="40" w:firstLine="0"/>
              <w:jc w:val="center"/>
            </w:pPr>
            <w:r>
              <w:rPr>
                <w:sz w:val="20"/>
              </w:rPr>
              <w:t xml:space="preserve">L </w:t>
            </w:r>
          </w:p>
        </w:tc>
        <w:tc>
          <w:tcPr>
            <w:tcW w:w="1133" w:type="dxa"/>
            <w:tcBorders>
              <w:top w:val="single" w:sz="4" w:space="0" w:color="000000"/>
              <w:left w:val="single" w:sz="12" w:space="0" w:color="000000"/>
              <w:bottom w:val="single" w:sz="4" w:space="0" w:color="000000"/>
              <w:right w:val="single" w:sz="4" w:space="0" w:color="000000"/>
            </w:tcBorders>
          </w:tcPr>
          <w:p w14:paraId="4B496BA8" w14:textId="77777777" w:rsidR="00B94971" w:rsidRDefault="0047225A">
            <w:pPr>
              <w:spacing w:after="0" w:line="259" w:lineRule="auto"/>
              <w:ind w:left="0" w:right="37" w:firstLine="0"/>
              <w:jc w:val="center"/>
            </w:pPr>
            <w:r>
              <w:rPr>
                <w:sz w:val="20"/>
              </w:rPr>
              <w:t xml:space="preserve">29 </w:t>
            </w:r>
          </w:p>
        </w:tc>
        <w:tc>
          <w:tcPr>
            <w:tcW w:w="994" w:type="dxa"/>
            <w:tcBorders>
              <w:top w:val="single" w:sz="4" w:space="0" w:color="000000"/>
              <w:left w:val="single" w:sz="4" w:space="0" w:color="000000"/>
              <w:bottom w:val="single" w:sz="4" w:space="0" w:color="000000"/>
              <w:right w:val="single" w:sz="4" w:space="0" w:color="000000"/>
            </w:tcBorders>
          </w:tcPr>
          <w:p w14:paraId="5AB3EF89" w14:textId="77777777" w:rsidR="00B94971" w:rsidRDefault="0047225A">
            <w:pPr>
              <w:spacing w:after="0" w:line="259" w:lineRule="auto"/>
              <w:ind w:left="0" w:right="37" w:firstLine="0"/>
              <w:jc w:val="center"/>
            </w:pPr>
            <w:r>
              <w:rPr>
                <w:sz w:val="20"/>
              </w:rPr>
              <w:t xml:space="preserve">58 </w:t>
            </w:r>
          </w:p>
        </w:tc>
        <w:tc>
          <w:tcPr>
            <w:tcW w:w="991" w:type="dxa"/>
            <w:tcBorders>
              <w:top w:val="single" w:sz="4" w:space="0" w:color="000000"/>
              <w:left w:val="single" w:sz="4" w:space="0" w:color="000000"/>
              <w:bottom w:val="single" w:sz="4" w:space="0" w:color="000000"/>
              <w:right w:val="single" w:sz="4" w:space="0" w:color="000000"/>
            </w:tcBorders>
          </w:tcPr>
          <w:p w14:paraId="43F93D00" w14:textId="77777777" w:rsidR="00B94971" w:rsidRDefault="0047225A">
            <w:pPr>
              <w:spacing w:after="0" w:line="259" w:lineRule="auto"/>
              <w:ind w:left="0" w:right="44" w:firstLine="0"/>
              <w:jc w:val="center"/>
            </w:pPr>
            <w:r>
              <w:rPr>
                <w:sz w:val="20"/>
              </w:rPr>
              <w:t xml:space="preserve">1 </w:t>
            </w:r>
          </w:p>
        </w:tc>
        <w:tc>
          <w:tcPr>
            <w:tcW w:w="1133" w:type="dxa"/>
            <w:tcBorders>
              <w:top w:val="single" w:sz="4" w:space="0" w:color="000000"/>
              <w:left w:val="single" w:sz="4" w:space="0" w:color="000000"/>
              <w:bottom w:val="single" w:sz="4" w:space="0" w:color="000000"/>
              <w:right w:val="single" w:sz="4" w:space="0" w:color="000000"/>
            </w:tcBorders>
          </w:tcPr>
          <w:p w14:paraId="4BA607DC" w14:textId="77777777" w:rsidR="00B94971" w:rsidRDefault="0047225A">
            <w:pPr>
              <w:spacing w:after="0" w:line="259" w:lineRule="auto"/>
              <w:ind w:left="0" w:right="37" w:firstLine="0"/>
              <w:jc w:val="center"/>
            </w:pPr>
            <w:r>
              <w:rPr>
                <w:sz w:val="20"/>
              </w:rPr>
              <w:t xml:space="preserve">24 </w:t>
            </w:r>
          </w:p>
        </w:tc>
        <w:tc>
          <w:tcPr>
            <w:tcW w:w="994" w:type="dxa"/>
            <w:tcBorders>
              <w:top w:val="single" w:sz="4" w:space="0" w:color="000000"/>
              <w:left w:val="single" w:sz="4" w:space="0" w:color="000000"/>
              <w:bottom w:val="single" w:sz="4" w:space="0" w:color="000000"/>
              <w:right w:val="single" w:sz="4" w:space="0" w:color="000000"/>
            </w:tcBorders>
          </w:tcPr>
          <w:p w14:paraId="3B885B1D" w14:textId="77777777" w:rsidR="00B94971" w:rsidRDefault="0047225A">
            <w:pPr>
              <w:spacing w:after="0" w:line="259" w:lineRule="auto"/>
              <w:ind w:left="0" w:right="39" w:firstLine="0"/>
              <w:jc w:val="center"/>
            </w:pPr>
            <w:r>
              <w:rPr>
                <w:sz w:val="20"/>
              </w:rPr>
              <w:t xml:space="preserve">3.4 </w:t>
            </w:r>
          </w:p>
        </w:tc>
        <w:tc>
          <w:tcPr>
            <w:tcW w:w="991" w:type="dxa"/>
            <w:tcBorders>
              <w:top w:val="single" w:sz="4" w:space="0" w:color="000000"/>
              <w:left w:val="single" w:sz="4" w:space="0" w:color="000000"/>
              <w:bottom w:val="single" w:sz="4" w:space="0" w:color="000000"/>
              <w:right w:val="single" w:sz="12" w:space="0" w:color="000000"/>
            </w:tcBorders>
          </w:tcPr>
          <w:p w14:paraId="791C395B" w14:textId="77777777" w:rsidR="00B94971" w:rsidRDefault="0047225A">
            <w:pPr>
              <w:spacing w:after="0" w:line="259" w:lineRule="auto"/>
              <w:ind w:left="0" w:right="32" w:firstLine="0"/>
              <w:jc w:val="center"/>
            </w:pPr>
            <w:r>
              <w:rPr>
                <w:sz w:val="20"/>
              </w:rPr>
              <w:t xml:space="preserve">41.4 </w:t>
            </w:r>
          </w:p>
        </w:tc>
      </w:tr>
      <w:tr w:rsidR="00B94971" w14:paraId="03EC7950"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58797F06" w14:textId="77777777" w:rsidR="00B94971" w:rsidRDefault="0047225A">
            <w:pPr>
              <w:spacing w:after="0" w:line="259" w:lineRule="auto"/>
              <w:ind w:left="0" w:firstLine="0"/>
              <w:jc w:val="left"/>
            </w:pPr>
            <w:r>
              <w:rPr>
                <w:b/>
                <w:sz w:val="20"/>
              </w:rPr>
              <w:t xml:space="preserve">Additional/Relocated Toilet </w:t>
            </w:r>
          </w:p>
        </w:tc>
        <w:tc>
          <w:tcPr>
            <w:tcW w:w="1126" w:type="dxa"/>
            <w:tcBorders>
              <w:top w:val="single" w:sz="4" w:space="0" w:color="000000"/>
              <w:left w:val="single" w:sz="12" w:space="0" w:color="000000"/>
              <w:bottom w:val="single" w:sz="4" w:space="0" w:color="000000"/>
              <w:right w:val="single" w:sz="12" w:space="0" w:color="000000"/>
            </w:tcBorders>
          </w:tcPr>
          <w:p w14:paraId="480ADCA6" w14:textId="77777777" w:rsidR="00B94971" w:rsidRDefault="0047225A">
            <w:pPr>
              <w:spacing w:after="0" w:line="259" w:lineRule="auto"/>
              <w:ind w:left="0" w:right="40" w:firstLine="0"/>
              <w:jc w:val="center"/>
            </w:pPr>
            <w:r>
              <w:rPr>
                <w:sz w:val="20"/>
              </w:rPr>
              <w:t xml:space="preserve">L </w:t>
            </w:r>
          </w:p>
        </w:tc>
        <w:tc>
          <w:tcPr>
            <w:tcW w:w="1133" w:type="dxa"/>
            <w:tcBorders>
              <w:top w:val="single" w:sz="4" w:space="0" w:color="000000"/>
              <w:left w:val="single" w:sz="12" w:space="0" w:color="000000"/>
              <w:bottom w:val="single" w:sz="4" w:space="0" w:color="000000"/>
              <w:right w:val="single" w:sz="4" w:space="0" w:color="000000"/>
            </w:tcBorders>
          </w:tcPr>
          <w:p w14:paraId="63BFB37B" w14:textId="77777777" w:rsidR="00B94971" w:rsidRDefault="0047225A">
            <w:pPr>
              <w:spacing w:after="0" w:line="259" w:lineRule="auto"/>
              <w:ind w:left="0" w:right="37" w:firstLine="0"/>
              <w:jc w:val="center"/>
            </w:pPr>
            <w:r>
              <w:rPr>
                <w:sz w:val="20"/>
              </w:rPr>
              <w:t xml:space="preserve">58 </w:t>
            </w:r>
          </w:p>
        </w:tc>
        <w:tc>
          <w:tcPr>
            <w:tcW w:w="994" w:type="dxa"/>
            <w:tcBorders>
              <w:top w:val="single" w:sz="4" w:space="0" w:color="000000"/>
              <w:left w:val="single" w:sz="4" w:space="0" w:color="000000"/>
              <w:bottom w:val="single" w:sz="4" w:space="0" w:color="000000"/>
              <w:right w:val="single" w:sz="4" w:space="0" w:color="000000"/>
            </w:tcBorders>
          </w:tcPr>
          <w:p w14:paraId="4C555418" w14:textId="77777777" w:rsidR="00B94971" w:rsidRDefault="0047225A">
            <w:pPr>
              <w:spacing w:after="0" w:line="259" w:lineRule="auto"/>
              <w:ind w:left="0" w:right="37" w:firstLine="0"/>
              <w:jc w:val="center"/>
            </w:pPr>
            <w:r>
              <w:rPr>
                <w:sz w:val="20"/>
              </w:rPr>
              <w:t xml:space="preserve">72 </w:t>
            </w:r>
          </w:p>
        </w:tc>
        <w:tc>
          <w:tcPr>
            <w:tcW w:w="991" w:type="dxa"/>
            <w:tcBorders>
              <w:top w:val="single" w:sz="4" w:space="0" w:color="000000"/>
              <w:left w:val="single" w:sz="4" w:space="0" w:color="000000"/>
              <w:bottom w:val="single" w:sz="4" w:space="0" w:color="000000"/>
              <w:right w:val="single" w:sz="4" w:space="0" w:color="000000"/>
            </w:tcBorders>
          </w:tcPr>
          <w:p w14:paraId="0087F178" w14:textId="77777777" w:rsidR="00B94971" w:rsidRDefault="0047225A">
            <w:pPr>
              <w:spacing w:after="0" w:line="259" w:lineRule="auto"/>
              <w:ind w:left="0" w:right="44" w:firstLine="0"/>
              <w:jc w:val="center"/>
            </w:pPr>
            <w:r>
              <w:rPr>
                <w:sz w:val="20"/>
              </w:rPr>
              <w:t xml:space="preserve">4 </w:t>
            </w:r>
          </w:p>
        </w:tc>
        <w:tc>
          <w:tcPr>
            <w:tcW w:w="1133" w:type="dxa"/>
            <w:tcBorders>
              <w:top w:val="single" w:sz="4" w:space="0" w:color="000000"/>
              <w:left w:val="single" w:sz="4" w:space="0" w:color="000000"/>
              <w:bottom w:val="single" w:sz="4" w:space="0" w:color="000000"/>
              <w:right w:val="single" w:sz="4" w:space="0" w:color="000000"/>
            </w:tcBorders>
          </w:tcPr>
          <w:p w14:paraId="7A472669" w14:textId="77777777" w:rsidR="00B94971" w:rsidRDefault="0047225A">
            <w:pPr>
              <w:spacing w:after="0" w:line="259" w:lineRule="auto"/>
              <w:ind w:left="0" w:right="37" w:firstLine="0"/>
              <w:jc w:val="center"/>
            </w:pPr>
            <w:r>
              <w:rPr>
                <w:sz w:val="20"/>
              </w:rPr>
              <w:t xml:space="preserve">20 </w:t>
            </w:r>
          </w:p>
        </w:tc>
        <w:tc>
          <w:tcPr>
            <w:tcW w:w="994" w:type="dxa"/>
            <w:tcBorders>
              <w:top w:val="single" w:sz="4" w:space="0" w:color="000000"/>
              <w:left w:val="single" w:sz="4" w:space="0" w:color="000000"/>
              <w:bottom w:val="single" w:sz="4" w:space="0" w:color="000000"/>
              <w:right w:val="single" w:sz="4" w:space="0" w:color="000000"/>
            </w:tcBorders>
          </w:tcPr>
          <w:p w14:paraId="16999597" w14:textId="77777777" w:rsidR="00B94971" w:rsidRDefault="0047225A">
            <w:pPr>
              <w:spacing w:after="0" w:line="259" w:lineRule="auto"/>
              <w:ind w:left="0" w:right="39" w:firstLine="0"/>
              <w:jc w:val="center"/>
            </w:pPr>
            <w:r>
              <w:rPr>
                <w:sz w:val="20"/>
              </w:rPr>
              <w:t xml:space="preserve">6.9 </w:t>
            </w:r>
          </w:p>
        </w:tc>
        <w:tc>
          <w:tcPr>
            <w:tcW w:w="991" w:type="dxa"/>
            <w:tcBorders>
              <w:top w:val="single" w:sz="4" w:space="0" w:color="000000"/>
              <w:left w:val="single" w:sz="4" w:space="0" w:color="000000"/>
              <w:bottom w:val="single" w:sz="4" w:space="0" w:color="000000"/>
              <w:right w:val="single" w:sz="12" w:space="0" w:color="000000"/>
            </w:tcBorders>
          </w:tcPr>
          <w:p w14:paraId="1D0C8239" w14:textId="77777777" w:rsidR="00B94971" w:rsidRDefault="0047225A">
            <w:pPr>
              <w:spacing w:after="0" w:line="259" w:lineRule="auto"/>
              <w:ind w:left="0" w:right="32" w:firstLine="0"/>
              <w:jc w:val="center"/>
            </w:pPr>
            <w:r>
              <w:rPr>
                <w:sz w:val="20"/>
              </w:rPr>
              <w:t xml:space="preserve">27.8 </w:t>
            </w:r>
          </w:p>
        </w:tc>
      </w:tr>
      <w:tr w:rsidR="00B94971" w14:paraId="5E16E6C1"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21F692CF" w14:textId="77777777" w:rsidR="00B94971" w:rsidRDefault="0047225A">
            <w:pPr>
              <w:spacing w:after="0" w:line="259" w:lineRule="auto"/>
              <w:ind w:left="0" w:firstLine="0"/>
              <w:jc w:val="left"/>
            </w:pPr>
            <w:r>
              <w:rPr>
                <w:b/>
                <w:sz w:val="20"/>
              </w:rPr>
              <w:t xml:space="preserve">Bath/Shower Seat </w:t>
            </w:r>
          </w:p>
        </w:tc>
        <w:tc>
          <w:tcPr>
            <w:tcW w:w="1126" w:type="dxa"/>
            <w:tcBorders>
              <w:top w:val="single" w:sz="4" w:space="0" w:color="000000"/>
              <w:left w:val="single" w:sz="12" w:space="0" w:color="000000"/>
              <w:bottom w:val="single" w:sz="4" w:space="0" w:color="000000"/>
              <w:right w:val="single" w:sz="12" w:space="0" w:color="000000"/>
            </w:tcBorders>
          </w:tcPr>
          <w:p w14:paraId="0B6AD124" w14:textId="77777777" w:rsidR="00B94971" w:rsidRDefault="0047225A">
            <w:pPr>
              <w:spacing w:after="0" w:line="259" w:lineRule="auto"/>
              <w:ind w:left="0" w:right="42" w:firstLine="0"/>
              <w:jc w:val="center"/>
            </w:pPr>
            <w:r>
              <w:rPr>
                <w:sz w:val="20"/>
              </w:rPr>
              <w:t xml:space="preserve">D </w:t>
            </w:r>
          </w:p>
        </w:tc>
        <w:tc>
          <w:tcPr>
            <w:tcW w:w="1133" w:type="dxa"/>
            <w:tcBorders>
              <w:top w:val="single" w:sz="4" w:space="0" w:color="000000"/>
              <w:left w:val="single" w:sz="12" w:space="0" w:color="000000"/>
              <w:bottom w:val="single" w:sz="4" w:space="0" w:color="000000"/>
              <w:right w:val="single" w:sz="4" w:space="0" w:color="000000"/>
            </w:tcBorders>
          </w:tcPr>
          <w:p w14:paraId="1BE5FF90" w14:textId="77777777" w:rsidR="00B94971" w:rsidRDefault="0047225A">
            <w:pPr>
              <w:spacing w:after="0" w:line="259" w:lineRule="auto"/>
              <w:ind w:left="0" w:right="37" w:firstLine="0"/>
              <w:jc w:val="center"/>
            </w:pPr>
            <w:r>
              <w:rPr>
                <w:sz w:val="20"/>
              </w:rPr>
              <w:t xml:space="preserve">569 </w:t>
            </w:r>
          </w:p>
        </w:tc>
        <w:tc>
          <w:tcPr>
            <w:tcW w:w="994" w:type="dxa"/>
            <w:tcBorders>
              <w:top w:val="single" w:sz="4" w:space="0" w:color="000000"/>
              <w:left w:val="single" w:sz="4" w:space="0" w:color="000000"/>
              <w:bottom w:val="single" w:sz="4" w:space="0" w:color="000000"/>
              <w:right w:val="single" w:sz="4" w:space="0" w:color="000000"/>
            </w:tcBorders>
          </w:tcPr>
          <w:p w14:paraId="6189F49A" w14:textId="77777777" w:rsidR="00B94971" w:rsidRDefault="0047225A">
            <w:pPr>
              <w:spacing w:after="0" w:line="259" w:lineRule="auto"/>
              <w:ind w:left="0" w:right="37" w:firstLine="0"/>
              <w:jc w:val="center"/>
            </w:pPr>
            <w:r>
              <w:rPr>
                <w:sz w:val="20"/>
              </w:rPr>
              <w:t xml:space="preserve">515 </w:t>
            </w:r>
          </w:p>
        </w:tc>
        <w:tc>
          <w:tcPr>
            <w:tcW w:w="991" w:type="dxa"/>
            <w:tcBorders>
              <w:top w:val="single" w:sz="4" w:space="0" w:color="000000"/>
              <w:left w:val="single" w:sz="4" w:space="0" w:color="000000"/>
              <w:bottom w:val="single" w:sz="4" w:space="0" w:color="000000"/>
              <w:right w:val="single" w:sz="4" w:space="0" w:color="000000"/>
            </w:tcBorders>
          </w:tcPr>
          <w:p w14:paraId="0479A81E" w14:textId="77777777" w:rsidR="00B94971" w:rsidRDefault="0047225A">
            <w:pPr>
              <w:spacing w:after="0" w:line="259" w:lineRule="auto"/>
              <w:ind w:left="0" w:right="39" w:firstLine="0"/>
              <w:jc w:val="center"/>
            </w:pPr>
            <w:r>
              <w:rPr>
                <w:sz w:val="20"/>
              </w:rPr>
              <w:t xml:space="preserve">41 </w:t>
            </w:r>
          </w:p>
        </w:tc>
        <w:tc>
          <w:tcPr>
            <w:tcW w:w="1133" w:type="dxa"/>
            <w:tcBorders>
              <w:top w:val="single" w:sz="4" w:space="0" w:color="000000"/>
              <w:left w:val="single" w:sz="4" w:space="0" w:color="000000"/>
              <w:bottom w:val="single" w:sz="4" w:space="0" w:color="000000"/>
              <w:right w:val="single" w:sz="4" w:space="0" w:color="000000"/>
            </w:tcBorders>
          </w:tcPr>
          <w:p w14:paraId="4A333727" w14:textId="77777777" w:rsidR="00B94971" w:rsidRDefault="0047225A">
            <w:pPr>
              <w:spacing w:after="0" w:line="259" w:lineRule="auto"/>
              <w:ind w:left="0" w:right="37" w:firstLine="0"/>
              <w:jc w:val="center"/>
            </w:pPr>
            <w:r>
              <w:rPr>
                <w:sz w:val="20"/>
              </w:rPr>
              <w:t xml:space="preserve">112 </w:t>
            </w:r>
          </w:p>
        </w:tc>
        <w:tc>
          <w:tcPr>
            <w:tcW w:w="994" w:type="dxa"/>
            <w:tcBorders>
              <w:top w:val="single" w:sz="4" w:space="0" w:color="000000"/>
              <w:left w:val="single" w:sz="4" w:space="0" w:color="000000"/>
              <w:bottom w:val="single" w:sz="4" w:space="0" w:color="000000"/>
              <w:right w:val="single" w:sz="4" w:space="0" w:color="000000"/>
            </w:tcBorders>
          </w:tcPr>
          <w:p w14:paraId="29D7AC1C" w14:textId="77777777" w:rsidR="00B94971" w:rsidRDefault="0047225A">
            <w:pPr>
              <w:spacing w:after="0" w:line="259" w:lineRule="auto"/>
              <w:ind w:left="0" w:right="39" w:firstLine="0"/>
              <w:jc w:val="center"/>
            </w:pPr>
            <w:r>
              <w:rPr>
                <w:sz w:val="20"/>
              </w:rPr>
              <w:t xml:space="preserve">7.2 </w:t>
            </w:r>
          </w:p>
        </w:tc>
        <w:tc>
          <w:tcPr>
            <w:tcW w:w="991" w:type="dxa"/>
            <w:tcBorders>
              <w:top w:val="single" w:sz="4" w:space="0" w:color="000000"/>
              <w:left w:val="single" w:sz="4" w:space="0" w:color="000000"/>
              <w:bottom w:val="single" w:sz="4" w:space="0" w:color="000000"/>
              <w:right w:val="single" w:sz="12" w:space="0" w:color="000000"/>
            </w:tcBorders>
          </w:tcPr>
          <w:p w14:paraId="51F278F3" w14:textId="77777777" w:rsidR="00B94971" w:rsidRDefault="0047225A">
            <w:pPr>
              <w:spacing w:after="0" w:line="259" w:lineRule="auto"/>
              <w:ind w:left="0" w:right="32" w:firstLine="0"/>
              <w:jc w:val="center"/>
            </w:pPr>
            <w:r>
              <w:rPr>
                <w:sz w:val="20"/>
              </w:rPr>
              <w:t xml:space="preserve">21.7 </w:t>
            </w:r>
          </w:p>
        </w:tc>
      </w:tr>
      <w:tr w:rsidR="00B94971" w14:paraId="4FB4CA93"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2F9F6A35" w14:textId="77777777" w:rsidR="00B94971" w:rsidRDefault="0047225A">
            <w:pPr>
              <w:spacing w:after="0" w:line="259" w:lineRule="auto"/>
              <w:ind w:left="0" w:firstLine="0"/>
              <w:jc w:val="left"/>
            </w:pPr>
            <w:r>
              <w:rPr>
                <w:b/>
                <w:sz w:val="20"/>
              </w:rPr>
              <w:t xml:space="preserve">Special/Raised Toilet Seat </w:t>
            </w:r>
          </w:p>
        </w:tc>
        <w:tc>
          <w:tcPr>
            <w:tcW w:w="1126" w:type="dxa"/>
            <w:tcBorders>
              <w:top w:val="single" w:sz="4" w:space="0" w:color="000000"/>
              <w:left w:val="single" w:sz="12" w:space="0" w:color="000000"/>
              <w:bottom w:val="single" w:sz="4" w:space="0" w:color="000000"/>
              <w:right w:val="single" w:sz="12" w:space="0" w:color="000000"/>
            </w:tcBorders>
          </w:tcPr>
          <w:p w14:paraId="11BA42E8" w14:textId="77777777" w:rsidR="00B94971" w:rsidRDefault="0047225A">
            <w:pPr>
              <w:spacing w:after="0" w:line="259" w:lineRule="auto"/>
              <w:ind w:left="0" w:right="42" w:firstLine="0"/>
              <w:jc w:val="center"/>
            </w:pPr>
            <w:r>
              <w:rPr>
                <w:sz w:val="20"/>
              </w:rPr>
              <w:t xml:space="preserve">D </w:t>
            </w:r>
          </w:p>
        </w:tc>
        <w:tc>
          <w:tcPr>
            <w:tcW w:w="1133" w:type="dxa"/>
            <w:tcBorders>
              <w:top w:val="single" w:sz="4" w:space="0" w:color="000000"/>
              <w:left w:val="single" w:sz="12" w:space="0" w:color="000000"/>
              <w:bottom w:val="single" w:sz="4" w:space="0" w:color="000000"/>
              <w:right w:val="single" w:sz="4" w:space="0" w:color="000000"/>
            </w:tcBorders>
          </w:tcPr>
          <w:p w14:paraId="31A574FB" w14:textId="77777777" w:rsidR="00B94971" w:rsidRDefault="0047225A">
            <w:pPr>
              <w:spacing w:after="0" w:line="259" w:lineRule="auto"/>
              <w:ind w:left="0" w:right="37" w:firstLine="0"/>
              <w:jc w:val="center"/>
            </w:pPr>
            <w:r>
              <w:rPr>
                <w:sz w:val="20"/>
              </w:rPr>
              <w:t xml:space="preserve">423 </w:t>
            </w:r>
          </w:p>
        </w:tc>
        <w:tc>
          <w:tcPr>
            <w:tcW w:w="994" w:type="dxa"/>
            <w:tcBorders>
              <w:top w:val="single" w:sz="4" w:space="0" w:color="000000"/>
              <w:left w:val="single" w:sz="4" w:space="0" w:color="000000"/>
              <w:bottom w:val="single" w:sz="4" w:space="0" w:color="000000"/>
              <w:right w:val="single" w:sz="4" w:space="0" w:color="000000"/>
            </w:tcBorders>
          </w:tcPr>
          <w:p w14:paraId="33858B97" w14:textId="77777777" w:rsidR="00B94971" w:rsidRDefault="0047225A">
            <w:pPr>
              <w:spacing w:after="0" w:line="259" w:lineRule="auto"/>
              <w:ind w:left="0" w:right="37" w:firstLine="0"/>
              <w:jc w:val="center"/>
            </w:pPr>
            <w:r>
              <w:rPr>
                <w:sz w:val="20"/>
              </w:rPr>
              <w:t xml:space="preserve">359 </w:t>
            </w:r>
          </w:p>
        </w:tc>
        <w:tc>
          <w:tcPr>
            <w:tcW w:w="991" w:type="dxa"/>
            <w:tcBorders>
              <w:top w:val="single" w:sz="4" w:space="0" w:color="000000"/>
              <w:left w:val="single" w:sz="4" w:space="0" w:color="000000"/>
              <w:bottom w:val="single" w:sz="4" w:space="0" w:color="000000"/>
              <w:right w:val="single" w:sz="4" w:space="0" w:color="000000"/>
            </w:tcBorders>
          </w:tcPr>
          <w:p w14:paraId="2548E17F" w14:textId="77777777" w:rsidR="00B94971" w:rsidRDefault="0047225A">
            <w:pPr>
              <w:spacing w:after="0" w:line="259" w:lineRule="auto"/>
              <w:ind w:left="0" w:right="39" w:firstLine="0"/>
              <w:jc w:val="center"/>
            </w:pPr>
            <w:r>
              <w:rPr>
                <w:sz w:val="20"/>
              </w:rPr>
              <w:t xml:space="preserve">53 </w:t>
            </w:r>
          </w:p>
        </w:tc>
        <w:tc>
          <w:tcPr>
            <w:tcW w:w="1133" w:type="dxa"/>
            <w:tcBorders>
              <w:top w:val="single" w:sz="4" w:space="0" w:color="000000"/>
              <w:left w:val="single" w:sz="4" w:space="0" w:color="000000"/>
              <w:bottom w:val="single" w:sz="4" w:space="0" w:color="000000"/>
              <w:right w:val="single" w:sz="4" w:space="0" w:color="000000"/>
            </w:tcBorders>
          </w:tcPr>
          <w:p w14:paraId="77FF7D1B" w14:textId="77777777" w:rsidR="00B94971" w:rsidRDefault="0047225A">
            <w:pPr>
              <w:spacing w:after="0" w:line="259" w:lineRule="auto"/>
              <w:ind w:left="0" w:right="37" w:firstLine="0"/>
              <w:jc w:val="center"/>
            </w:pPr>
            <w:r>
              <w:rPr>
                <w:sz w:val="20"/>
              </w:rPr>
              <w:t xml:space="preserve">63 </w:t>
            </w:r>
          </w:p>
        </w:tc>
        <w:tc>
          <w:tcPr>
            <w:tcW w:w="994" w:type="dxa"/>
            <w:tcBorders>
              <w:top w:val="single" w:sz="4" w:space="0" w:color="000000"/>
              <w:left w:val="single" w:sz="4" w:space="0" w:color="000000"/>
              <w:bottom w:val="single" w:sz="4" w:space="0" w:color="000000"/>
              <w:right w:val="single" w:sz="4" w:space="0" w:color="000000"/>
            </w:tcBorders>
          </w:tcPr>
          <w:p w14:paraId="1F6F68F3" w14:textId="77777777" w:rsidR="00B94971" w:rsidRDefault="0047225A">
            <w:pPr>
              <w:spacing w:after="0" w:line="259" w:lineRule="auto"/>
              <w:ind w:left="0" w:right="39" w:firstLine="0"/>
              <w:jc w:val="center"/>
            </w:pPr>
            <w:r>
              <w:rPr>
                <w:sz w:val="20"/>
              </w:rPr>
              <w:t xml:space="preserve">12.5 </w:t>
            </w:r>
          </w:p>
        </w:tc>
        <w:tc>
          <w:tcPr>
            <w:tcW w:w="991" w:type="dxa"/>
            <w:tcBorders>
              <w:top w:val="single" w:sz="4" w:space="0" w:color="000000"/>
              <w:left w:val="single" w:sz="4" w:space="0" w:color="000000"/>
              <w:bottom w:val="single" w:sz="4" w:space="0" w:color="000000"/>
              <w:right w:val="single" w:sz="12" w:space="0" w:color="000000"/>
            </w:tcBorders>
          </w:tcPr>
          <w:p w14:paraId="1019FABC" w14:textId="77777777" w:rsidR="00B94971" w:rsidRDefault="0047225A">
            <w:pPr>
              <w:spacing w:after="0" w:line="259" w:lineRule="auto"/>
              <w:ind w:left="0" w:right="32" w:firstLine="0"/>
              <w:jc w:val="center"/>
            </w:pPr>
            <w:r>
              <w:rPr>
                <w:sz w:val="20"/>
              </w:rPr>
              <w:t xml:space="preserve">17.5 </w:t>
            </w:r>
          </w:p>
        </w:tc>
      </w:tr>
      <w:tr w:rsidR="00B94971" w14:paraId="4E1A13B7"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65CC3FCB" w14:textId="77777777" w:rsidR="00B94971" w:rsidRDefault="0047225A">
            <w:pPr>
              <w:spacing w:after="0" w:line="259" w:lineRule="auto"/>
              <w:ind w:left="0" w:firstLine="0"/>
              <w:jc w:val="left"/>
            </w:pPr>
            <w:r>
              <w:rPr>
                <w:b/>
                <w:sz w:val="20"/>
              </w:rPr>
              <w:t xml:space="preserve">Adjustable Bed </w:t>
            </w:r>
          </w:p>
        </w:tc>
        <w:tc>
          <w:tcPr>
            <w:tcW w:w="1126" w:type="dxa"/>
            <w:tcBorders>
              <w:top w:val="single" w:sz="4" w:space="0" w:color="000000"/>
              <w:left w:val="single" w:sz="12" w:space="0" w:color="000000"/>
              <w:bottom w:val="single" w:sz="4" w:space="0" w:color="000000"/>
              <w:right w:val="single" w:sz="12" w:space="0" w:color="000000"/>
            </w:tcBorders>
          </w:tcPr>
          <w:p w14:paraId="67B83924" w14:textId="77777777" w:rsidR="00B94971" w:rsidRDefault="0047225A">
            <w:pPr>
              <w:spacing w:after="0" w:line="259" w:lineRule="auto"/>
              <w:ind w:left="0" w:right="42" w:firstLine="0"/>
              <w:jc w:val="center"/>
            </w:pPr>
            <w:r>
              <w:rPr>
                <w:sz w:val="20"/>
              </w:rPr>
              <w:t xml:space="preserve">D </w:t>
            </w:r>
          </w:p>
        </w:tc>
        <w:tc>
          <w:tcPr>
            <w:tcW w:w="1133" w:type="dxa"/>
            <w:tcBorders>
              <w:top w:val="single" w:sz="4" w:space="0" w:color="000000"/>
              <w:left w:val="single" w:sz="12" w:space="0" w:color="000000"/>
              <w:bottom w:val="single" w:sz="4" w:space="0" w:color="000000"/>
              <w:right w:val="single" w:sz="4" w:space="0" w:color="000000"/>
            </w:tcBorders>
          </w:tcPr>
          <w:p w14:paraId="21751796" w14:textId="77777777" w:rsidR="00B94971" w:rsidRDefault="0047225A">
            <w:pPr>
              <w:spacing w:after="0" w:line="259" w:lineRule="auto"/>
              <w:ind w:left="0" w:right="37" w:firstLine="0"/>
              <w:jc w:val="center"/>
            </w:pPr>
            <w:r>
              <w:rPr>
                <w:sz w:val="20"/>
              </w:rPr>
              <w:t xml:space="preserve">168 </w:t>
            </w:r>
          </w:p>
        </w:tc>
        <w:tc>
          <w:tcPr>
            <w:tcW w:w="994" w:type="dxa"/>
            <w:tcBorders>
              <w:top w:val="single" w:sz="4" w:space="0" w:color="000000"/>
              <w:left w:val="single" w:sz="4" w:space="0" w:color="000000"/>
              <w:bottom w:val="single" w:sz="4" w:space="0" w:color="000000"/>
              <w:right w:val="single" w:sz="4" w:space="0" w:color="000000"/>
            </w:tcBorders>
          </w:tcPr>
          <w:p w14:paraId="2416927C" w14:textId="77777777" w:rsidR="00B94971" w:rsidRDefault="0047225A">
            <w:pPr>
              <w:spacing w:after="0" w:line="259" w:lineRule="auto"/>
              <w:ind w:left="0" w:right="37" w:firstLine="0"/>
              <w:jc w:val="center"/>
            </w:pPr>
            <w:r>
              <w:rPr>
                <w:sz w:val="20"/>
              </w:rPr>
              <w:t xml:space="preserve">188 </w:t>
            </w:r>
          </w:p>
        </w:tc>
        <w:tc>
          <w:tcPr>
            <w:tcW w:w="991" w:type="dxa"/>
            <w:tcBorders>
              <w:top w:val="single" w:sz="4" w:space="0" w:color="000000"/>
              <w:left w:val="single" w:sz="4" w:space="0" w:color="000000"/>
              <w:bottom w:val="single" w:sz="4" w:space="0" w:color="000000"/>
              <w:right w:val="single" w:sz="4" w:space="0" w:color="000000"/>
            </w:tcBorders>
          </w:tcPr>
          <w:p w14:paraId="10FE7358" w14:textId="77777777" w:rsidR="00B94971" w:rsidRDefault="0047225A">
            <w:pPr>
              <w:spacing w:after="0" w:line="259" w:lineRule="auto"/>
              <w:ind w:left="0" w:right="39" w:firstLine="0"/>
              <w:jc w:val="center"/>
            </w:pPr>
            <w:r>
              <w:rPr>
                <w:sz w:val="20"/>
              </w:rPr>
              <w:t xml:space="preserve">21 </w:t>
            </w:r>
          </w:p>
        </w:tc>
        <w:tc>
          <w:tcPr>
            <w:tcW w:w="1133" w:type="dxa"/>
            <w:tcBorders>
              <w:top w:val="single" w:sz="4" w:space="0" w:color="000000"/>
              <w:left w:val="single" w:sz="4" w:space="0" w:color="000000"/>
              <w:bottom w:val="single" w:sz="4" w:space="0" w:color="000000"/>
              <w:right w:val="single" w:sz="4" w:space="0" w:color="000000"/>
            </w:tcBorders>
          </w:tcPr>
          <w:p w14:paraId="0C9BB7B6" w14:textId="77777777" w:rsidR="00B94971" w:rsidRDefault="0047225A">
            <w:pPr>
              <w:spacing w:after="0" w:line="259" w:lineRule="auto"/>
              <w:ind w:left="0" w:right="37" w:firstLine="0"/>
              <w:jc w:val="center"/>
            </w:pPr>
            <w:r>
              <w:rPr>
                <w:sz w:val="20"/>
              </w:rPr>
              <w:t xml:space="preserve">38 </w:t>
            </w:r>
          </w:p>
        </w:tc>
        <w:tc>
          <w:tcPr>
            <w:tcW w:w="994" w:type="dxa"/>
            <w:tcBorders>
              <w:top w:val="single" w:sz="4" w:space="0" w:color="000000"/>
              <w:left w:val="single" w:sz="4" w:space="0" w:color="000000"/>
              <w:bottom w:val="single" w:sz="4" w:space="0" w:color="000000"/>
              <w:right w:val="single" w:sz="4" w:space="0" w:color="000000"/>
            </w:tcBorders>
          </w:tcPr>
          <w:p w14:paraId="4CE37232" w14:textId="77777777" w:rsidR="00B94971" w:rsidRDefault="0047225A">
            <w:pPr>
              <w:spacing w:after="0" w:line="259" w:lineRule="auto"/>
              <w:ind w:left="0" w:right="39" w:firstLine="0"/>
              <w:jc w:val="center"/>
            </w:pPr>
            <w:r>
              <w:rPr>
                <w:sz w:val="20"/>
              </w:rPr>
              <w:t xml:space="preserve">12.5 </w:t>
            </w:r>
          </w:p>
        </w:tc>
        <w:tc>
          <w:tcPr>
            <w:tcW w:w="991" w:type="dxa"/>
            <w:tcBorders>
              <w:top w:val="single" w:sz="4" w:space="0" w:color="000000"/>
              <w:left w:val="single" w:sz="4" w:space="0" w:color="000000"/>
              <w:bottom w:val="single" w:sz="4" w:space="0" w:color="000000"/>
              <w:right w:val="single" w:sz="12" w:space="0" w:color="000000"/>
            </w:tcBorders>
          </w:tcPr>
          <w:p w14:paraId="4CA0C107" w14:textId="77777777" w:rsidR="00B94971" w:rsidRDefault="0047225A">
            <w:pPr>
              <w:spacing w:after="0" w:line="259" w:lineRule="auto"/>
              <w:ind w:left="0" w:right="32" w:firstLine="0"/>
              <w:jc w:val="center"/>
            </w:pPr>
            <w:r>
              <w:rPr>
                <w:sz w:val="20"/>
              </w:rPr>
              <w:t xml:space="preserve">20.2 </w:t>
            </w:r>
          </w:p>
        </w:tc>
      </w:tr>
      <w:tr w:rsidR="00B94971" w14:paraId="4CB64B2B"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59733C14" w14:textId="77777777" w:rsidR="00B94971" w:rsidRDefault="0047225A">
            <w:pPr>
              <w:spacing w:after="0" w:line="259" w:lineRule="auto"/>
              <w:ind w:left="0" w:firstLine="0"/>
              <w:jc w:val="left"/>
            </w:pPr>
            <w:r>
              <w:rPr>
                <w:b/>
                <w:sz w:val="20"/>
              </w:rPr>
              <w:t xml:space="preserve">Other Kitchen Modifications </w:t>
            </w:r>
          </w:p>
        </w:tc>
        <w:tc>
          <w:tcPr>
            <w:tcW w:w="1126" w:type="dxa"/>
            <w:tcBorders>
              <w:top w:val="single" w:sz="4" w:space="0" w:color="000000"/>
              <w:left w:val="single" w:sz="12" w:space="0" w:color="000000"/>
              <w:bottom w:val="single" w:sz="4" w:space="0" w:color="000000"/>
              <w:right w:val="single" w:sz="12" w:space="0" w:color="000000"/>
            </w:tcBorders>
          </w:tcPr>
          <w:p w14:paraId="34D4BAFC" w14:textId="77777777" w:rsidR="00B94971" w:rsidRDefault="0047225A">
            <w:pPr>
              <w:spacing w:after="0" w:line="259" w:lineRule="auto"/>
              <w:ind w:left="0" w:right="42" w:firstLine="0"/>
              <w:jc w:val="center"/>
            </w:pPr>
            <w:r>
              <w:rPr>
                <w:sz w:val="20"/>
              </w:rPr>
              <w:t xml:space="preserve">D </w:t>
            </w:r>
          </w:p>
        </w:tc>
        <w:tc>
          <w:tcPr>
            <w:tcW w:w="1133" w:type="dxa"/>
            <w:tcBorders>
              <w:top w:val="single" w:sz="4" w:space="0" w:color="000000"/>
              <w:left w:val="single" w:sz="12" w:space="0" w:color="000000"/>
              <w:bottom w:val="single" w:sz="4" w:space="0" w:color="000000"/>
              <w:right w:val="single" w:sz="4" w:space="0" w:color="000000"/>
            </w:tcBorders>
          </w:tcPr>
          <w:p w14:paraId="601628B7" w14:textId="77777777" w:rsidR="00B94971" w:rsidRDefault="0047225A">
            <w:pPr>
              <w:spacing w:after="0" w:line="259" w:lineRule="auto"/>
              <w:ind w:left="0" w:right="37" w:firstLine="0"/>
              <w:jc w:val="center"/>
            </w:pPr>
            <w:r>
              <w:rPr>
                <w:sz w:val="20"/>
              </w:rPr>
              <w:t xml:space="preserve">51 </w:t>
            </w:r>
          </w:p>
        </w:tc>
        <w:tc>
          <w:tcPr>
            <w:tcW w:w="994" w:type="dxa"/>
            <w:tcBorders>
              <w:top w:val="single" w:sz="4" w:space="0" w:color="000000"/>
              <w:left w:val="single" w:sz="4" w:space="0" w:color="000000"/>
              <w:bottom w:val="single" w:sz="4" w:space="0" w:color="000000"/>
              <w:right w:val="single" w:sz="4" w:space="0" w:color="000000"/>
            </w:tcBorders>
          </w:tcPr>
          <w:p w14:paraId="4D24E625" w14:textId="77777777" w:rsidR="00B94971" w:rsidRDefault="0047225A">
            <w:pPr>
              <w:spacing w:after="0" w:line="259" w:lineRule="auto"/>
              <w:ind w:left="0" w:right="37" w:firstLine="0"/>
              <w:jc w:val="center"/>
            </w:pPr>
            <w:r>
              <w:rPr>
                <w:sz w:val="20"/>
              </w:rPr>
              <w:t xml:space="preserve">36 </w:t>
            </w:r>
          </w:p>
        </w:tc>
        <w:tc>
          <w:tcPr>
            <w:tcW w:w="991" w:type="dxa"/>
            <w:tcBorders>
              <w:top w:val="single" w:sz="4" w:space="0" w:color="000000"/>
              <w:left w:val="single" w:sz="4" w:space="0" w:color="000000"/>
              <w:bottom w:val="single" w:sz="4" w:space="0" w:color="000000"/>
              <w:right w:val="single" w:sz="4" w:space="0" w:color="000000"/>
            </w:tcBorders>
          </w:tcPr>
          <w:p w14:paraId="1B9E0856" w14:textId="77777777" w:rsidR="00B94971" w:rsidRDefault="0047225A">
            <w:pPr>
              <w:spacing w:after="0" w:line="259" w:lineRule="auto"/>
              <w:ind w:left="0" w:right="44" w:firstLine="0"/>
              <w:jc w:val="center"/>
            </w:pPr>
            <w:r>
              <w:rPr>
                <w:sz w:val="20"/>
              </w:rPr>
              <w:t xml:space="preserve">6 </w:t>
            </w:r>
          </w:p>
        </w:tc>
        <w:tc>
          <w:tcPr>
            <w:tcW w:w="1133" w:type="dxa"/>
            <w:tcBorders>
              <w:top w:val="single" w:sz="4" w:space="0" w:color="000000"/>
              <w:left w:val="single" w:sz="4" w:space="0" w:color="000000"/>
              <w:bottom w:val="single" w:sz="4" w:space="0" w:color="000000"/>
              <w:right w:val="single" w:sz="4" w:space="0" w:color="000000"/>
            </w:tcBorders>
          </w:tcPr>
          <w:p w14:paraId="18B29E7E" w14:textId="77777777" w:rsidR="00B94971" w:rsidRDefault="0047225A">
            <w:pPr>
              <w:spacing w:after="0" w:line="259" w:lineRule="auto"/>
              <w:ind w:left="0" w:right="37" w:firstLine="0"/>
              <w:jc w:val="center"/>
            </w:pPr>
            <w:r>
              <w:rPr>
                <w:sz w:val="20"/>
              </w:rPr>
              <w:t xml:space="preserve">13 </w:t>
            </w:r>
          </w:p>
        </w:tc>
        <w:tc>
          <w:tcPr>
            <w:tcW w:w="994" w:type="dxa"/>
            <w:tcBorders>
              <w:top w:val="single" w:sz="4" w:space="0" w:color="000000"/>
              <w:left w:val="single" w:sz="4" w:space="0" w:color="000000"/>
              <w:bottom w:val="single" w:sz="4" w:space="0" w:color="000000"/>
              <w:right w:val="single" w:sz="4" w:space="0" w:color="000000"/>
            </w:tcBorders>
          </w:tcPr>
          <w:p w14:paraId="1776F3AF" w14:textId="77777777" w:rsidR="00B94971" w:rsidRDefault="0047225A">
            <w:pPr>
              <w:spacing w:after="0" w:line="259" w:lineRule="auto"/>
              <w:ind w:left="0" w:right="39" w:firstLine="0"/>
              <w:jc w:val="center"/>
            </w:pPr>
            <w:r>
              <w:rPr>
                <w:sz w:val="20"/>
              </w:rPr>
              <w:t xml:space="preserve">11.8 </w:t>
            </w:r>
          </w:p>
        </w:tc>
        <w:tc>
          <w:tcPr>
            <w:tcW w:w="991" w:type="dxa"/>
            <w:tcBorders>
              <w:top w:val="single" w:sz="4" w:space="0" w:color="000000"/>
              <w:left w:val="single" w:sz="4" w:space="0" w:color="000000"/>
              <w:bottom w:val="single" w:sz="4" w:space="0" w:color="000000"/>
              <w:right w:val="single" w:sz="12" w:space="0" w:color="000000"/>
            </w:tcBorders>
          </w:tcPr>
          <w:p w14:paraId="496F44FC" w14:textId="77777777" w:rsidR="00B94971" w:rsidRDefault="0047225A">
            <w:pPr>
              <w:spacing w:after="0" w:line="259" w:lineRule="auto"/>
              <w:ind w:left="0" w:right="32" w:firstLine="0"/>
              <w:jc w:val="center"/>
            </w:pPr>
            <w:r>
              <w:rPr>
                <w:sz w:val="20"/>
              </w:rPr>
              <w:t xml:space="preserve">36.1 </w:t>
            </w:r>
          </w:p>
        </w:tc>
      </w:tr>
      <w:tr w:rsidR="00B94971" w14:paraId="57B48E8E" w14:textId="77777777">
        <w:trPr>
          <w:trHeight w:val="240"/>
        </w:trPr>
        <w:tc>
          <w:tcPr>
            <w:tcW w:w="2696" w:type="dxa"/>
            <w:tcBorders>
              <w:top w:val="single" w:sz="4" w:space="0" w:color="000000"/>
              <w:left w:val="single" w:sz="12" w:space="0" w:color="000000"/>
              <w:bottom w:val="single" w:sz="4" w:space="0" w:color="000000"/>
              <w:right w:val="single" w:sz="12" w:space="0" w:color="000000"/>
            </w:tcBorders>
          </w:tcPr>
          <w:p w14:paraId="086E7F60" w14:textId="77777777" w:rsidR="00B94971" w:rsidRDefault="0047225A">
            <w:pPr>
              <w:spacing w:after="0" w:line="259" w:lineRule="auto"/>
              <w:ind w:left="0" w:firstLine="0"/>
              <w:jc w:val="left"/>
            </w:pPr>
            <w:r>
              <w:rPr>
                <w:b/>
                <w:sz w:val="20"/>
              </w:rPr>
              <w:t xml:space="preserve">Extension </w:t>
            </w:r>
          </w:p>
        </w:tc>
        <w:tc>
          <w:tcPr>
            <w:tcW w:w="1126" w:type="dxa"/>
            <w:tcBorders>
              <w:top w:val="single" w:sz="4" w:space="0" w:color="000000"/>
              <w:left w:val="single" w:sz="12" w:space="0" w:color="000000"/>
              <w:bottom w:val="single" w:sz="4" w:space="0" w:color="000000"/>
              <w:right w:val="single" w:sz="12" w:space="0" w:color="000000"/>
            </w:tcBorders>
          </w:tcPr>
          <w:p w14:paraId="121935AF" w14:textId="77777777" w:rsidR="00B94971" w:rsidRDefault="0047225A">
            <w:pPr>
              <w:spacing w:after="0" w:line="259" w:lineRule="auto"/>
              <w:ind w:left="0" w:right="42" w:firstLine="0"/>
              <w:jc w:val="center"/>
            </w:pPr>
            <w:r>
              <w:rPr>
                <w:sz w:val="20"/>
              </w:rPr>
              <w:t xml:space="preserve">D </w:t>
            </w:r>
          </w:p>
        </w:tc>
        <w:tc>
          <w:tcPr>
            <w:tcW w:w="1133" w:type="dxa"/>
            <w:tcBorders>
              <w:top w:val="single" w:sz="4" w:space="0" w:color="000000"/>
              <w:left w:val="single" w:sz="12" w:space="0" w:color="000000"/>
              <w:bottom w:val="single" w:sz="4" w:space="0" w:color="000000"/>
              <w:right w:val="single" w:sz="4" w:space="0" w:color="000000"/>
            </w:tcBorders>
          </w:tcPr>
          <w:p w14:paraId="6C2D29B4" w14:textId="77777777" w:rsidR="00B94971" w:rsidRDefault="0047225A">
            <w:pPr>
              <w:spacing w:after="0" w:line="259" w:lineRule="auto"/>
              <w:ind w:left="0" w:right="37" w:firstLine="0"/>
              <w:jc w:val="center"/>
            </w:pPr>
            <w:r>
              <w:rPr>
                <w:sz w:val="20"/>
              </w:rPr>
              <w:t xml:space="preserve">26 </w:t>
            </w:r>
          </w:p>
        </w:tc>
        <w:tc>
          <w:tcPr>
            <w:tcW w:w="994" w:type="dxa"/>
            <w:tcBorders>
              <w:top w:val="single" w:sz="4" w:space="0" w:color="000000"/>
              <w:left w:val="single" w:sz="4" w:space="0" w:color="000000"/>
              <w:bottom w:val="single" w:sz="4" w:space="0" w:color="000000"/>
              <w:right w:val="single" w:sz="4" w:space="0" w:color="000000"/>
            </w:tcBorders>
          </w:tcPr>
          <w:p w14:paraId="1BA5C1E6" w14:textId="77777777" w:rsidR="00B94971" w:rsidRDefault="0047225A">
            <w:pPr>
              <w:spacing w:after="0" w:line="259" w:lineRule="auto"/>
              <w:ind w:left="0" w:right="37" w:firstLine="0"/>
              <w:jc w:val="center"/>
            </w:pPr>
            <w:r>
              <w:rPr>
                <w:sz w:val="20"/>
              </w:rPr>
              <w:t xml:space="preserve">51 </w:t>
            </w:r>
          </w:p>
        </w:tc>
        <w:tc>
          <w:tcPr>
            <w:tcW w:w="991" w:type="dxa"/>
            <w:tcBorders>
              <w:top w:val="single" w:sz="4" w:space="0" w:color="000000"/>
              <w:left w:val="single" w:sz="4" w:space="0" w:color="000000"/>
              <w:bottom w:val="single" w:sz="4" w:space="0" w:color="000000"/>
              <w:right w:val="single" w:sz="4" w:space="0" w:color="000000"/>
            </w:tcBorders>
          </w:tcPr>
          <w:p w14:paraId="410C506C" w14:textId="77777777" w:rsidR="00B94971" w:rsidRDefault="0047225A">
            <w:pPr>
              <w:spacing w:after="0" w:line="259" w:lineRule="auto"/>
              <w:ind w:left="0" w:right="44" w:firstLine="0"/>
              <w:jc w:val="center"/>
            </w:pPr>
            <w:r>
              <w:rPr>
                <w:sz w:val="20"/>
              </w:rPr>
              <w:t xml:space="preserve">2 </w:t>
            </w:r>
          </w:p>
        </w:tc>
        <w:tc>
          <w:tcPr>
            <w:tcW w:w="1133" w:type="dxa"/>
            <w:tcBorders>
              <w:top w:val="single" w:sz="4" w:space="0" w:color="000000"/>
              <w:left w:val="single" w:sz="4" w:space="0" w:color="000000"/>
              <w:bottom w:val="single" w:sz="4" w:space="0" w:color="000000"/>
              <w:right w:val="single" w:sz="4" w:space="0" w:color="000000"/>
            </w:tcBorders>
          </w:tcPr>
          <w:p w14:paraId="10761E19" w14:textId="77777777" w:rsidR="00B94971" w:rsidRDefault="0047225A">
            <w:pPr>
              <w:spacing w:after="0" w:line="259" w:lineRule="auto"/>
              <w:ind w:left="0" w:right="37" w:firstLine="0"/>
              <w:jc w:val="center"/>
            </w:pPr>
            <w:r>
              <w:rPr>
                <w:sz w:val="20"/>
              </w:rPr>
              <w:t xml:space="preserve">9 </w:t>
            </w:r>
          </w:p>
        </w:tc>
        <w:tc>
          <w:tcPr>
            <w:tcW w:w="994" w:type="dxa"/>
            <w:tcBorders>
              <w:top w:val="single" w:sz="4" w:space="0" w:color="000000"/>
              <w:left w:val="single" w:sz="4" w:space="0" w:color="000000"/>
              <w:bottom w:val="single" w:sz="4" w:space="0" w:color="000000"/>
              <w:right w:val="single" w:sz="4" w:space="0" w:color="000000"/>
            </w:tcBorders>
          </w:tcPr>
          <w:p w14:paraId="1E6D56E9" w14:textId="77777777" w:rsidR="00B94971" w:rsidRDefault="0047225A">
            <w:pPr>
              <w:spacing w:after="0" w:line="259" w:lineRule="auto"/>
              <w:ind w:left="0" w:right="39" w:firstLine="0"/>
              <w:jc w:val="center"/>
            </w:pPr>
            <w:r>
              <w:rPr>
                <w:sz w:val="20"/>
              </w:rPr>
              <w:t xml:space="preserve">7.7 </w:t>
            </w:r>
          </w:p>
        </w:tc>
        <w:tc>
          <w:tcPr>
            <w:tcW w:w="991" w:type="dxa"/>
            <w:tcBorders>
              <w:top w:val="single" w:sz="4" w:space="0" w:color="000000"/>
              <w:left w:val="single" w:sz="4" w:space="0" w:color="000000"/>
              <w:bottom w:val="single" w:sz="4" w:space="0" w:color="000000"/>
              <w:right w:val="single" w:sz="12" w:space="0" w:color="000000"/>
            </w:tcBorders>
          </w:tcPr>
          <w:p w14:paraId="63ABFA77" w14:textId="77777777" w:rsidR="00B94971" w:rsidRDefault="0047225A">
            <w:pPr>
              <w:spacing w:after="0" w:line="259" w:lineRule="auto"/>
              <w:ind w:left="0" w:right="32" w:firstLine="0"/>
              <w:jc w:val="center"/>
            </w:pPr>
            <w:r>
              <w:rPr>
                <w:sz w:val="20"/>
              </w:rPr>
              <w:t xml:space="preserve">17.6 </w:t>
            </w:r>
          </w:p>
        </w:tc>
      </w:tr>
      <w:tr w:rsidR="00B94971" w14:paraId="3FB5D01D" w14:textId="77777777">
        <w:trPr>
          <w:trHeight w:val="250"/>
        </w:trPr>
        <w:tc>
          <w:tcPr>
            <w:tcW w:w="2696" w:type="dxa"/>
            <w:tcBorders>
              <w:top w:val="single" w:sz="4" w:space="0" w:color="000000"/>
              <w:left w:val="single" w:sz="12" w:space="0" w:color="000000"/>
              <w:bottom w:val="single" w:sz="12" w:space="0" w:color="000000"/>
              <w:right w:val="single" w:sz="12" w:space="0" w:color="000000"/>
            </w:tcBorders>
          </w:tcPr>
          <w:p w14:paraId="44CDC9EF" w14:textId="77777777" w:rsidR="00B94971" w:rsidRDefault="0047225A">
            <w:pPr>
              <w:spacing w:after="0" w:line="259" w:lineRule="auto"/>
              <w:ind w:left="0" w:firstLine="0"/>
              <w:jc w:val="left"/>
            </w:pPr>
            <w:r>
              <w:rPr>
                <w:b/>
                <w:sz w:val="20"/>
              </w:rPr>
              <w:t xml:space="preserve">Visual/Hearing adaptations </w:t>
            </w:r>
          </w:p>
        </w:tc>
        <w:tc>
          <w:tcPr>
            <w:tcW w:w="1126" w:type="dxa"/>
            <w:tcBorders>
              <w:top w:val="single" w:sz="4" w:space="0" w:color="000000"/>
              <w:left w:val="single" w:sz="12" w:space="0" w:color="000000"/>
              <w:bottom w:val="single" w:sz="12" w:space="0" w:color="000000"/>
              <w:right w:val="single" w:sz="12" w:space="0" w:color="000000"/>
            </w:tcBorders>
          </w:tcPr>
          <w:p w14:paraId="25C8A254" w14:textId="77777777" w:rsidR="00B94971" w:rsidRDefault="0047225A">
            <w:pPr>
              <w:spacing w:after="0" w:line="259" w:lineRule="auto"/>
              <w:ind w:left="0" w:right="42" w:firstLine="0"/>
              <w:jc w:val="center"/>
            </w:pPr>
            <w:r>
              <w:rPr>
                <w:sz w:val="20"/>
              </w:rPr>
              <w:t xml:space="preserve">D </w:t>
            </w:r>
          </w:p>
        </w:tc>
        <w:tc>
          <w:tcPr>
            <w:tcW w:w="1133" w:type="dxa"/>
            <w:tcBorders>
              <w:top w:val="single" w:sz="4" w:space="0" w:color="000000"/>
              <w:left w:val="single" w:sz="12" w:space="0" w:color="000000"/>
              <w:bottom w:val="single" w:sz="12" w:space="0" w:color="000000"/>
              <w:right w:val="single" w:sz="4" w:space="0" w:color="000000"/>
            </w:tcBorders>
          </w:tcPr>
          <w:p w14:paraId="1D083574" w14:textId="77777777" w:rsidR="00B94971" w:rsidRDefault="0047225A">
            <w:pPr>
              <w:spacing w:after="0" w:line="259" w:lineRule="auto"/>
              <w:ind w:left="0" w:right="37" w:firstLine="0"/>
              <w:jc w:val="center"/>
            </w:pPr>
            <w:r>
              <w:rPr>
                <w:sz w:val="20"/>
              </w:rPr>
              <w:t xml:space="preserve">60 </w:t>
            </w:r>
          </w:p>
        </w:tc>
        <w:tc>
          <w:tcPr>
            <w:tcW w:w="994" w:type="dxa"/>
            <w:tcBorders>
              <w:top w:val="single" w:sz="4" w:space="0" w:color="000000"/>
              <w:left w:val="single" w:sz="4" w:space="0" w:color="000000"/>
              <w:bottom w:val="single" w:sz="12" w:space="0" w:color="000000"/>
              <w:right w:val="single" w:sz="4" w:space="0" w:color="000000"/>
            </w:tcBorders>
          </w:tcPr>
          <w:p w14:paraId="5EF75AD0" w14:textId="77777777" w:rsidR="00B94971" w:rsidRDefault="0047225A">
            <w:pPr>
              <w:spacing w:after="0" w:line="259" w:lineRule="auto"/>
              <w:ind w:left="0" w:right="37" w:firstLine="0"/>
              <w:jc w:val="center"/>
            </w:pPr>
            <w:r>
              <w:rPr>
                <w:sz w:val="20"/>
              </w:rPr>
              <w:t xml:space="preserve">34 </w:t>
            </w:r>
          </w:p>
        </w:tc>
        <w:tc>
          <w:tcPr>
            <w:tcW w:w="991" w:type="dxa"/>
            <w:tcBorders>
              <w:top w:val="single" w:sz="4" w:space="0" w:color="000000"/>
              <w:left w:val="single" w:sz="4" w:space="0" w:color="000000"/>
              <w:bottom w:val="single" w:sz="12" w:space="0" w:color="000000"/>
              <w:right w:val="single" w:sz="4" w:space="0" w:color="000000"/>
            </w:tcBorders>
          </w:tcPr>
          <w:p w14:paraId="5263B5D4" w14:textId="77777777" w:rsidR="00B94971" w:rsidRDefault="0047225A">
            <w:pPr>
              <w:spacing w:after="0" w:line="259" w:lineRule="auto"/>
              <w:ind w:left="0" w:right="44" w:firstLine="0"/>
              <w:jc w:val="center"/>
            </w:pPr>
            <w:r>
              <w:rPr>
                <w:sz w:val="20"/>
              </w:rPr>
              <w:t xml:space="preserve">6 </w:t>
            </w:r>
          </w:p>
        </w:tc>
        <w:tc>
          <w:tcPr>
            <w:tcW w:w="1133" w:type="dxa"/>
            <w:tcBorders>
              <w:top w:val="single" w:sz="4" w:space="0" w:color="000000"/>
              <w:left w:val="single" w:sz="4" w:space="0" w:color="000000"/>
              <w:bottom w:val="single" w:sz="12" w:space="0" w:color="000000"/>
              <w:right w:val="single" w:sz="4" w:space="0" w:color="000000"/>
            </w:tcBorders>
          </w:tcPr>
          <w:p w14:paraId="56435ECE" w14:textId="77777777" w:rsidR="00B94971" w:rsidRDefault="0047225A">
            <w:pPr>
              <w:spacing w:after="0" w:line="259" w:lineRule="auto"/>
              <w:ind w:left="0" w:right="37" w:firstLine="0"/>
              <w:jc w:val="center"/>
            </w:pPr>
            <w:r>
              <w:rPr>
                <w:sz w:val="20"/>
              </w:rPr>
              <w:t xml:space="preserve">12 </w:t>
            </w:r>
          </w:p>
        </w:tc>
        <w:tc>
          <w:tcPr>
            <w:tcW w:w="994" w:type="dxa"/>
            <w:tcBorders>
              <w:top w:val="single" w:sz="4" w:space="0" w:color="000000"/>
              <w:left w:val="single" w:sz="4" w:space="0" w:color="000000"/>
              <w:bottom w:val="single" w:sz="12" w:space="0" w:color="000000"/>
              <w:right w:val="single" w:sz="4" w:space="0" w:color="000000"/>
            </w:tcBorders>
          </w:tcPr>
          <w:p w14:paraId="7198E80A" w14:textId="77777777" w:rsidR="00B94971" w:rsidRDefault="0047225A">
            <w:pPr>
              <w:spacing w:after="0" w:line="259" w:lineRule="auto"/>
              <w:ind w:left="0" w:right="39" w:firstLine="0"/>
              <w:jc w:val="center"/>
            </w:pPr>
            <w:r>
              <w:rPr>
                <w:sz w:val="20"/>
              </w:rPr>
              <w:t xml:space="preserve">10.0 </w:t>
            </w:r>
          </w:p>
        </w:tc>
        <w:tc>
          <w:tcPr>
            <w:tcW w:w="991" w:type="dxa"/>
            <w:tcBorders>
              <w:top w:val="single" w:sz="4" w:space="0" w:color="000000"/>
              <w:left w:val="single" w:sz="4" w:space="0" w:color="000000"/>
              <w:bottom w:val="single" w:sz="12" w:space="0" w:color="000000"/>
              <w:right w:val="single" w:sz="12" w:space="0" w:color="000000"/>
            </w:tcBorders>
          </w:tcPr>
          <w:p w14:paraId="120AB45B" w14:textId="77777777" w:rsidR="00B94971" w:rsidRDefault="0047225A">
            <w:pPr>
              <w:spacing w:after="0" w:line="259" w:lineRule="auto"/>
              <w:ind w:left="0" w:right="32" w:firstLine="0"/>
              <w:jc w:val="center"/>
            </w:pPr>
            <w:r>
              <w:rPr>
                <w:sz w:val="20"/>
              </w:rPr>
              <w:t xml:space="preserve">35.3 </w:t>
            </w:r>
          </w:p>
        </w:tc>
      </w:tr>
      <w:tr w:rsidR="00B94971" w14:paraId="7A25A1DB" w14:textId="77777777">
        <w:trPr>
          <w:trHeight w:val="372"/>
        </w:trPr>
        <w:tc>
          <w:tcPr>
            <w:tcW w:w="2696" w:type="dxa"/>
            <w:tcBorders>
              <w:top w:val="single" w:sz="12" w:space="0" w:color="000000"/>
              <w:left w:val="single" w:sz="12" w:space="0" w:color="000000"/>
              <w:bottom w:val="single" w:sz="12" w:space="0" w:color="000000"/>
              <w:right w:val="single" w:sz="12" w:space="0" w:color="000000"/>
            </w:tcBorders>
          </w:tcPr>
          <w:p w14:paraId="3CFDC632" w14:textId="77777777" w:rsidR="00B94971" w:rsidRDefault="0047225A">
            <w:pPr>
              <w:spacing w:after="0" w:line="259" w:lineRule="auto"/>
              <w:ind w:left="0" w:firstLine="0"/>
              <w:jc w:val="left"/>
            </w:pPr>
            <w:r>
              <w:rPr>
                <w:b/>
                <w:sz w:val="20"/>
              </w:rPr>
              <w:t xml:space="preserve"> </w:t>
            </w:r>
          </w:p>
        </w:tc>
        <w:tc>
          <w:tcPr>
            <w:tcW w:w="1126" w:type="dxa"/>
            <w:tcBorders>
              <w:top w:val="single" w:sz="12" w:space="0" w:color="000000"/>
              <w:left w:val="single" w:sz="12" w:space="0" w:color="000000"/>
              <w:bottom w:val="single" w:sz="12" w:space="0" w:color="000000"/>
              <w:right w:val="single" w:sz="12" w:space="0" w:color="000000"/>
            </w:tcBorders>
          </w:tcPr>
          <w:p w14:paraId="6EA947F3" w14:textId="77777777" w:rsidR="00B94971" w:rsidRDefault="0047225A">
            <w:pPr>
              <w:spacing w:after="0" w:line="259" w:lineRule="auto"/>
              <w:ind w:left="8" w:firstLine="0"/>
              <w:jc w:val="center"/>
            </w:pPr>
            <w:r>
              <w:rPr>
                <w:b/>
                <w:sz w:val="20"/>
              </w:rPr>
              <w:t xml:space="preserve"> </w:t>
            </w:r>
          </w:p>
        </w:tc>
        <w:tc>
          <w:tcPr>
            <w:tcW w:w="1133" w:type="dxa"/>
            <w:tcBorders>
              <w:top w:val="single" w:sz="12" w:space="0" w:color="000000"/>
              <w:left w:val="single" w:sz="12" w:space="0" w:color="000000"/>
              <w:bottom w:val="single" w:sz="12" w:space="0" w:color="000000"/>
              <w:right w:val="single" w:sz="4" w:space="0" w:color="000000"/>
            </w:tcBorders>
          </w:tcPr>
          <w:p w14:paraId="6F3A22AC" w14:textId="77777777" w:rsidR="00B94971" w:rsidRDefault="0047225A">
            <w:pPr>
              <w:spacing w:after="0" w:line="259" w:lineRule="auto"/>
              <w:ind w:left="14" w:firstLine="0"/>
              <w:jc w:val="center"/>
            </w:pPr>
            <w:r>
              <w:rPr>
                <w:b/>
                <w:sz w:val="20"/>
              </w:rPr>
              <w:t xml:space="preserve"> </w:t>
            </w:r>
          </w:p>
        </w:tc>
        <w:tc>
          <w:tcPr>
            <w:tcW w:w="994" w:type="dxa"/>
            <w:tcBorders>
              <w:top w:val="single" w:sz="12" w:space="0" w:color="000000"/>
              <w:left w:val="single" w:sz="4" w:space="0" w:color="000000"/>
              <w:bottom w:val="single" w:sz="12" w:space="0" w:color="000000"/>
              <w:right w:val="single" w:sz="4" w:space="0" w:color="000000"/>
            </w:tcBorders>
          </w:tcPr>
          <w:p w14:paraId="245101D1" w14:textId="77777777" w:rsidR="00B94971" w:rsidRDefault="0047225A">
            <w:pPr>
              <w:spacing w:after="0" w:line="259" w:lineRule="auto"/>
              <w:ind w:left="9" w:firstLine="0"/>
              <w:jc w:val="center"/>
            </w:pPr>
            <w:r>
              <w:rPr>
                <w:b/>
                <w:sz w:val="20"/>
              </w:rPr>
              <w:t xml:space="preserve"> </w:t>
            </w:r>
          </w:p>
        </w:tc>
        <w:tc>
          <w:tcPr>
            <w:tcW w:w="991" w:type="dxa"/>
            <w:tcBorders>
              <w:top w:val="single" w:sz="12" w:space="0" w:color="000000"/>
              <w:left w:val="single" w:sz="4" w:space="0" w:color="000000"/>
              <w:bottom w:val="single" w:sz="12" w:space="0" w:color="000000"/>
              <w:right w:val="single" w:sz="4" w:space="0" w:color="000000"/>
            </w:tcBorders>
          </w:tcPr>
          <w:p w14:paraId="52BF86F7" w14:textId="77777777" w:rsidR="00B94971" w:rsidRDefault="0047225A">
            <w:pPr>
              <w:spacing w:after="0" w:line="259" w:lineRule="auto"/>
              <w:ind w:left="7" w:firstLine="0"/>
              <w:jc w:val="center"/>
            </w:pPr>
            <w:r>
              <w:rPr>
                <w:b/>
                <w:sz w:val="20"/>
              </w:rPr>
              <w:t xml:space="preserve"> </w:t>
            </w:r>
          </w:p>
        </w:tc>
        <w:tc>
          <w:tcPr>
            <w:tcW w:w="1133" w:type="dxa"/>
            <w:tcBorders>
              <w:top w:val="single" w:sz="12" w:space="0" w:color="000000"/>
              <w:left w:val="single" w:sz="4" w:space="0" w:color="000000"/>
              <w:bottom w:val="single" w:sz="12" w:space="0" w:color="000000"/>
              <w:right w:val="single" w:sz="4" w:space="0" w:color="000000"/>
            </w:tcBorders>
          </w:tcPr>
          <w:p w14:paraId="18A99BFB" w14:textId="77777777" w:rsidR="00B94971" w:rsidRDefault="0047225A">
            <w:pPr>
              <w:spacing w:after="0" w:line="259" w:lineRule="auto"/>
              <w:ind w:left="14" w:firstLine="0"/>
              <w:jc w:val="center"/>
            </w:pPr>
            <w:r>
              <w:rPr>
                <w:b/>
                <w:sz w:val="20"/>
              </w:rPr>
              <w:t xml:space="preserve"> </w:t>
            </w:r>
          </w:p>
        </w:tc>
        <w:tc>
          <w:tcPr>
            <w:tcW w:w="994" w:type="dxa"/>
            <w:tcBorders>
              <w:top w:val="single" w:sz="12" w:space="0" w:color="000000"/>
              <w:left w:val="single" w:sz="4" w:space="0" w:color="000000"/>
              <w:bottom w:val="single" w:sz="12" w:space="0" w:color="000000"/>
              <w:right w:val="single" w:sz="4" w:space="0" w:color="000000"/>
            </w:tcBorders>
          </w:tcPr>
          <w:p w14:paraId="3DD1B564" w14:textId="77777777" w:rsidR="00B94971" w:rsidRDefault="0047225A">
            <w:pPr>
              <w:spacing w:after="0" w:line="259" w:lineRule="auto"/>
              <w:ind w:firstLine="0"/>
              <w:jc w:val="center"/>
            </w:pPr>
            <w:r>
              <w:rPr>
                <w:b/>
                <w:sz w:val="20"/>
              </w:rPr>
              <w:t xml:space="preserve"> </w:t>
            </w:r>
          </w:p>
        </w:tc>
        <w:tc>
          <w:tcPr>
            <w:tcW w:w="991" w:type="dxa"/>
            <w:tcBorders>
              <w:top w:val="single" w:sz="12" w:space="0" w:color="000000"/>
              <w:left w:val="single" w:sz="4" w:space="0" w:color="000000"/>
              <w:bottom w:val="single" w:sz="12" w:space="0" w:color="000000"/>
              <w:right w:val="single" w:sz="12" w:space="0" w:color="000000"/>
            </w:tcBorders>
          </w:tcPr>
          <w:p w14:paraId="31288290" w14:textId="77777777" w:rsidR="00B94971" w:rsidRDefault="0047225A">
            <w:pPr>
              <w:spacing w:after="0" w:line="259" w:lineRule="auto"/>
              <w:ind w:left="17" w:firstLine="0"/>
              <w:jc w:val="center"/>
            </w:pPr>
            <w:r>
              <w:rPr>
                <w:b/>
                <w:sz w:val="20"/>
              </w:rPr>
              <w:t xml:space="preserve"> </w:t>
            </w:r>
          </w:p>
        </w:tc>
      </w:tr>
      <w:tr w:rsidR="00B94971" w14:paraId="1F81835A" w14:textId="77777777">
        <w:trPr>
          <w:trHeight w:val="490"/>
        </w:trPr>
        <w:tc>
          <w:tcPr>
            <w:tcW w:w="2696" w:type="dxa"/>
            <w:tcBorders>
              <w:top w:val="single" w:sz="12" w:space="0" w:color="000000"/>
              <w:left w:val="single" w:sz="12" w:space="0" w:color="000000"/>
              <w:bottom w:val="single" w:sz="12" w:space="0" w:color="000000"/>
              <w:right w:val="single" w:sz="12" w:space="0" w:color="000000"/>
            </w:tcBorders>
          </w:tcPr>
          <w:p w14:paraId="10BF3CB5" w14:textId="77777777" w:rsidR="00B94971" w:rsidRDefault="0047225A">
            <w:pPr>
              <w:spacing w:after="0" w:line="259" w:lineRule="auto"/>
              <w:ind w:left="0" w:firstLine="0"/>
              <w:jc w:val="left"/>
            </w:pPr>
            <w:r>
              <w:rPr>
                <w:b/>
                <w:sz w:val="20"/>
              </w:rPr>
              <w:t xml:space="preserve">Lifetime adaptations total </w:t>
            </w:r>
          </w:p>
        </w:tc>
        <w:tc>
          <w:tcPr>
            <w:tcW w:w="1126" w:type="dxa"/>
            <w:tcBorders>
              <w:top w:val="single" w:sz="12" w:space="0" w:color="000000"/>
              <w:left w:val="single" w:sz="12" w:space="0" w:color="000000"/>
              <w:bottom w:val="single" w:sz="12" w:space="0" w:color="000000"/>
              <w:right w:val="single" w:sz="12" w:space="0" w:color="000000"/>
            </w:tcBorders>
          </w:tcPr>
          <w:p w14:paraId="13889FD5" w14:textId="77777777" w:rsidR="00B94971" w:rsidRDefault="0047225A">
            <w:pPr>
              <w:spacing w:after="0" w:line="259" w:lineRule="auto"/>
              <w:ind w:left="8" w:firstLine="0"/>
              <w:jc w:val="center"/>
            </w:pPr>
            <w:r>
              <w:rPr>
                <w:b/>
                <w:sz w:val="20"/>
              </w:rPr>
              <w:t xml:space="preserve"> </w:t>
            </w:r>
          </w:p>
        </w:tc>
        <w:tc>
          <w:tcPr>
            <w:tcW w:w="1133" w:type="dxa"/>
            <w:tcBorders>
              <w:top w:val="single" w:sz="12" w:space="0" w:color="000000"/>
              <w:left w:val="single" w:sz="12" w:space="0" w:color="000000"/>
              <w:bottom w:val="single" w:sz="12" w:space="0" w:color="000000"/>
              <w:right w:val="single" w:sz="4" w:space="0" w:color="000000"/>
            </w:tcBorders>
          </w:tcPr>
          <w:p w14:paraId="7B686B11" w14:textId="77777777" w:rsidR="00B94971" w:rsidRDefault="0047225A">
            <w:pPr>
              <w:spacing w:after="0" w:line="259" w:lineRule="auto"/>
              <w:ind w:left="0" w:right="37" w:firstLine="0"/>
              <w:jc w:val="center"/>
            </w:pPr>
            <w:r>
              <w:rPr>
                <w:sz w:val="20"/>
              </w:rPr>
              <w:t xml:space="preserve">1037 </w:t>
            </w:r>
          </w:p>
          <w:p w14:paraId="6FE07052" w14:textId="77777777" w:rsidR="00B94971" w:rsidRDefault="0047225A">
            <w:pPr>
              <w:spacing w:after="0" w:line="259" w:lineRule="auto"/>
              <w:ind w:left="0" w:right="36" w:firstLine="0"/>
              <w:jc w:val="center"/>
            </w:pPr>
            <w:r>
              <w:rPr>
                <w:sz w:val="20"/>
              </w:rPr>
              <w:t xml:space="preserve">26.3% </w:t>
            </w:r>
          </w:p>
        </w:tc>
        <w:tc>
          <w:tcPr>
            <w:tcW w:w="994" w:type="dxa"/>
            <w:tcBorders>
              <w:top w:val="single" w:sz="12" w:space="0" w:color="000000"/>
              <w:left w:val="single" w:sz="4" w:space="0" w:color="000000"/>
              <w:bottom w:val="single" w:sz="12" w:space="0" w:color="000000"/>
              <w:right w:val="single" w:sz="4" w:space="0" w:color="000000"/>
            </w:tcBorders>
          </w:tcPr>
          <w:p w14:paraId="1041F174" w14:textId="77777777" w:rsidR="00B94971" w:rsidRDefault="0047225A">
            <w:pPr>
              <w:spacing w:after="0" w:line="259" w:lineRule="auto"/>
              <w:ind w:left="0" w:right="37" w:firstLine="0"/>
              <w:jc w:val="center"/>
            </w:pPr>
            <w:r>
              <w:rPr>
                <w:sz w:val="20"/>
              </w:rPr>
              <w:t xml:space="preserve">1213 </w:t>
            </w:r>
          </w:p>
          <w:p w14:paraId="4CD8A5C3" w14:textId="77777777" w:rsidR="00B94971" w:rsidRDefault="0047225A">
            <w:pPr>
              <w:spacing w:after="0" w:line="259" w:lineRule="auto"/>
              <w:ind w:left="0" w:right="36" w:firstLine="0"/>
              <w:jc w:val="center"/>
            </w:pPr>
            <w:r>
              <w:rPr>
                <w:sz w:val="20"/>
              </w:rPr>
              <w:t xml:space="preserve">32.1% </w:t>
            </w:r>
          </w:p>
        </w:tc>
        <w:tc>
          <w:tcPr>
            <w:tcW w:w="991" w:type="dxa"/>
            <w:tcBorders>
              <w:top w:val="single" w:sz="12" w:space="0" w:color="000000"/>
              <w:left w:val="single" w:sz="4" w:space="0" w:color="000000"/>
              <w:bottom w:val="single" w:sz="12" w:space="0" w:color="000000"/>
              <w:right w:val="single" w:sz="4" w:space="0" w:color="000000"/>
            </w:tcBorders>
          </w:tcPr>
          <w:p w14:paraId="2E5C13A4" w14:textId="77777777" w:rsidR="00B94971" w:rsidRDefault="0047225A">
            <w:pPr>
              <w:spacing w:after="0" w:line="259" w:lineRule="auto"/>
              <w:ind w:left="0" w:right="39" w:firstLine="0"/>
              <w:jc w:val="center"/>
            </w:pPr>
            <w:r>
              <w:rPr>
                <w:sz w:val="20"/>
              </w:rPr>
              <w:t xml:space="preserve">68 </w:t>
            </w:r>
          </w:p>
        </w:tc>
        <w:tc>
          <w:tcPr>
            <w:tcW w:w="1133" w:type="dxa"/>
            <w:tcBorders>
              <w:top w:val="single" w:sz="12" w:space="0" w:color="000000"/>
              <w:left w:val="single" w:sz="4" w:space="0" w:color="000000"/>
              <w:bottom w:val="single" w:sz="12" w:space="0" w:color="000000"/>
              <w:right w:val="single" w:sz="4" w:space="0" w:color="000000"/>
            </w:tcBorders>
          </w:tcPr>
          <w:p w14:paraId="1D6A4057" w14:textId="77777777" w:rsidR="00B94971" w:rsidRDefault="0047225A">
            <w:pPr>
              <w:spacing w:after="0" w:line="259" w:lineRule="auto"/>
              <w:ind w:left="0" w:right="37" w:firstLine="0"/>
              <w:jc w:val="center"/>
            </w:pPr>
            <w:r>
              <w:rPr>
                <w:sz w:val="20"/>
              </w:rPr>
              <w:t xml:space="preserve">397 </w:t>
            </w:r>
          </w:p>
        </w:tc>
        <w:tc>
          <w:tcPr>
            <w:tcW w:w="994" w:type="dxa"/>
            <w:tcBorders>
              <w:top w:val="single" w:sz="12" w:space="0" w:color="000000"/>
              <w:left w:val="single" w:sz="4" w:space="0" w:color="000000"/>
              <w:bottom w:val="single" w:sz="12" w:space="0" w:color="000000"/>
              <w:right w:val="single" w:sz="4" w:space="0" w:color="000000"/>
            </w:tcBorders>
          </w:tcPr>
          <w:p w14:paraId="10330135" w14:textId="77777777" w:rsidR="00B94971" w:rsidRDefault="0047225A">
            <w:pPr>
              <w:spacing w:after="0" w:line="259" w:lineRule="auto"/>
              <w:ind w:left="0" w:right="39" w:firstLine="0"/>
              <w:jc w:val="center"/>
            </w:pPr>
            <w:r>
              <w:rPr>
                <w:sz w:val="20"/>
              </w:rPr>
              <w:t xml:space="preserve">6.6 </w:t>
            </w:r>
          </w:p>
        </w:tc>
        <w:tc>
          <w:tcPr>
            <w:tcW w:w="991" w:type="dxa"/>
            <w:tcBorders>
              <w:top w:val="single" w:sz="12" w:space="0" w:color="000000"/>
              <w:left w:val="single" w:sz="4" w:space="0" w:color="000000"/>
              <w:bottom w:val="single" w:sz="12" w:space="0" w:color="000000"/>
              <w:right w:val="single" w:sz="12" w:space="0" w:color="000000"/>
            </w:tcBorders>
          </w:tcPr>
          <w:p w14:paraId="0FC1F931" w14:textId="77777777" w:rsidR="00B94971" w:rsidRDefault="0047225A">
            <w:pPr>
              <w:spacing w:after="0" w:line="259" w:lineRule="auto"/>
              <w:ind w:left="0" w:right="32" w:firstLine="0"/>
              <w:jc w:val="center"/>
            </w:pPr>
            <w:r>
              <w:rPr>
                <w:sz w:val="20"/>
              </w:rPr>
              <w:t xml:space="preserve">32.7 </w:t>
            </w:r>
          </w:p>
        </w:tc>
      </w:tr>
      <w:tr w:rsidR="00B94971" w14:paraId="1ACAD0D9" w14:textId="77777777">
        <w:trPr>
          <w:trHeight w:val="492"/>
        </w:trPr>
        <w:tc>
          <w:tcPr>
            <w:tcW w:w="2696" w:type="dxa"/>
            <w:tcBorders>
              <w:top w:val="single" w:sz="12" w:space="0" w:color="000000"/>
              <w:left w:val="single" w:sz="12" w:space="0" w:color="000000"/>
              <w:bottom w:val="single" w:sz="12" w:space="0" w:color="000000"/>
              <w:right w:val="single" w:sz="12" w:space="0" w:color="000000"/>
            </w:tcBorders>
          </w:tcPr>
          <w:p w14:paraId="4698D02A" w14:textId="77777777" w:rsidR="00B94971" w:rsidRDefault="0047225A">
            <w:pPr>
              <w:spacing w:after="0" w:line="259" w:lineRule="auto"/>
              <w:ind w:left="0" w:firstLine="0"/>
              <w:jc w:val="left"/>
            </w:pPr>
            <w:r>
              <w:rPr>
                <w:b/>
                <w:sz w:val="20"/>
              </w:rPr>
              <w:t xml:space="preserve">Disability adaptations total </w:t>
            </w:r>
          </w:p>
        </w:tc>
        <w:tc>
          <w:tcPr>
            <w:tcW w:w="1126" w:type="dxa"/>
            <w:tcBorders>
              <w:top w:val="single" w:sz="12" w:space="0" w:color="000000"/>
              <w:left w:val="single" w:sz="12" w:space="0" w:color="000000"/>
              <w:bottom w:val="single" w:sz="12" w:space="0" w:color="000000"/>
              <w:right w:val="single" w:sz="12" w:space="0" w:color="000000"/>
            </w:tcBorders>
          </w:tcPr>
          <w:p w14:paraId="6F76A522" w14:textId="77777777" w:rsidR="00B94971" w:rsidRDefault="0047225A">
            <w:pPr>
              <w:spacing w:after="0" w:line="259" w:lineRule="auto"/>
              <w:ind w:left="8" w:firstLine="0"/>
              <w:jc w:val="center"/>
            </w:pPr>
            <w:r>
              <w:rPr>
                <w:b/>
                <w:sz w:val="20"/>
              </w:rPr>
              <w:t xml:space="preserve"> </w:t>
            </w:r>
          </w:p>
        </w:tc>
        <w:tc>
          <w:tcPr>
            <w:tcW w:w="1133" w:type="dxa"/>
            <w:tcBorders>
              <w:top w:val="single" w:sz="12" w:space="0" w:color="000000"/>
              <w:left w:val="single" w:sz="12" w:space="0" w:color="000000"/>
              <w:bottom w:val="single" w:sz="12" w:space="0" w:color="000000"/>
              <w:right w:val="single" w:sz="4" w:space="0" w:color="000000"/>
            </w:tcBorders>
          </w:tcPr>
          <w:p w14:paraId="35AA0D4D" w14:textId="77777777" w:rsidR="00B94971" w:rsidRDefault="0047225A">
            <w:pPr>
              <w:spacing w:after="0" w:line="259" w:lineRule="auto"/>
              <w:ind w:left="0" w:right="37" w:firstLine="0"/>
              <w:jc w:val="center"/>
            </w:pPr>
            <w:r>
              <w:rPr>
                <w:sz w:val="20"/>
              </w:rPr>
              <w:t xml:space="preserve">2903 </w:t>
            </w:r>
          </w:p>
          <w:p w14:paraId="57CD17DE" w14:textId="77777777" w:rsidR="00B94971" w:rsidRDefault="0047225A">
            <w:pPr>
              <w:spacing w:after="0" w:line="259" w:lineRule="auto"/>
              <w:ind w:left="0" w:right="36" w:firstLine="0"/>
              <w:jc w:val="center"/>
            </w:pPr>
            <w:r>
              <w:rPr>
                <w:sz w:val="20"/>
              </w:rPr>
              <w:t xml:space="preserve">73.4% </w:t>
            </w:r>
          </w:p>
        </w:tc>
        <w:tc>
          <w:tcPr>
            <w:tcW w:w="994" w:type="dxa"/>
            <w:tcBorders>
              <w:top w:val="single" w:sz="12" w:space="0" w:color="000000"/>
              <w:left w:val="single" w:sz="4" w:space="0" w:color="000000"/>
              <w:bottom w:val="single" w:sz="12" w:space="0" w:color="000000"/>
              <w:right w:val="single" w:sz="4" w:space="0" w:color="000000"/>
            </w:tcBorders>
          </w:tcPr>
          <w:p w14:paraId="721971C4" w14:textId="77777777" w:rsidR="00B94971" w:rsidRDefault="0047225A">
            <w:pPr>
              <w:spacing w:after="0" w:line="259" w:lineRule="auto"/>
              <w:ind w:left="0" w:right="37" w:firstLine="0"/>
              <w:jc w:val="center"/>
            </w:pPr>
            <w:r>
              <w:rPr>
                <w:sz w:val="20"/>
              </w:rPr>
              <w:t xml:space="preserve">2561 </w:t>
            </w:r>
          </w:p>
          <w:p w14:paraId="552E6F67" w14:textId="77777777" w:rsidR="00B94971" w:rsidRDefault="0047225A">
            <w:pPr>
              <w:spacing w:after="0" w:line="259" w:lineRule="auto"/>
              <w:ind w:left="0" w:right="36" w:firstLine="0"/>
              <w:jc w:val="center"/>
            </w:pPr>
            <w:r>
              <w:rPr>
                <w:sz w:val="20"/>
              </w:rPr>
              <w:t xml:space="preserve">67.9% </w:t>
            </w:r>
          </w:p>
        </w:tc>
        <w:tc>
          <w:tcPr>
            <w:tcW w:w="991" w:type="dxa"/>
            <w:tcBorders>
              <w:top w:val="single" w:sz="12" w:space="0" w:color="000000"/>
              <w:left w:val="single" w:sz="4" w:space="0" w:color="000000"/>
              <w:bottom w:val="single" w:sz="12" w:space="0" w:color="000000"/>
              <w:right w:val="single" w:sz="4" w:space="0" w:color="000000"/>
            </w:tcBorders>
          </w:tcPr>
          <w:p w14:paraId="71749E5A" w14:textId="77777777" w:rsidR="00B94971" w:rsidRDefault="0047225A">
            <w:pPr>
              <w:spacing w:after="0" w:line="259" w:lineRule="auto"/>
              <w:ind w:left="0" w:right="39" w:firstLine="0"/>
              <w:jc w:val="center"/>
            </w:pPr>
            <w:r>
              <w:rPr>
                <w:sz w:val="20"/>
              </w:rPr>
              <w:t xml:space="preserve">192 </w:t>
            </w:r>
          </w:p>
        </w:tc>
        <w:tc>
          <w:tcPr>
            <w:tcW w:w="1133" w:type="dxa"/>
            <w:tcBorders>
              <w:top w:val="single" w:sz="12" w:space="0" w:color="000000"/>
              <w:left w:val="single" w:sz="4" w:space="0" w:color="000000"/>
              <w:bottom w:val="single" w:sz="12" w:space="0" w:color="000000"/>
              <w:right w:val="single" w:sz="4" w:space="0" w:color="000000"/>
            </w:tcBorders>
          </w:tcPr>
          <w:p w14:paraId="21EBDE08" w14:textId="77777777" w:rsidR="00B94971" w:rsidRDefault="0047225A">
            <w:pPr>
              <w:spacing w:after="0" w:line="259" w:lineRule="auto"/>
              <w:ind w:left="0" w:right="37" w:firstLine="0"/>
              <w:jc w:val="center"/>
            </w:pPr>
            <w:r>
              <w:rPr>
                <w:sz w:val="20"/>
              </w:rPr>
              <w:t xml:space="preserve">546 </w:t>
            </w:r>
          </w:p>
        </w:tc>
        <w:tc>
          <w:tcPr>
            <w:tcW w:w="994" w:type="dxa"/>
            <w:tcBorders>
              <w:top w:val="single" w:sz="12" w:space="0" w:color="000000"/>
              <w:left w:val="single" w:sz="4" w:space="0" w:color="000000"/>
              <w:bottom w:val="single" w:sz="12" w:space="0" w:color="000000"/>
              <w:right w:val="single" w:sz="4" w:space="0" w:color="000000"/>
            </w:tcBorders>
          </w:tcPr>
          <w:p w14:paraId="70B18BC8" w14:textId="77777777" w:rsidR="00B94971" w:rsidRDefault="0047225A">
            <w:pPr>
              <w:spacing w:after="0" w:line="259" w:lineRule="auto"/>
              <w:ind w:left="0" w:right="39" w:firstLine="0"/>
              <w:jc w:val="center"/>
            </w:pPr>
            <w:r>
              <w:rPr>
                <w:sz w:val="20"/>
              </w:rPr>
              <w:t xml:space="preserve">6.6 </w:t>
            </w:r>
          </w:p>
        </w:tc>
        <w:tc>
          <w:tcPr>
            <w:tcW w:w="991" w:type="dxa"/>
            <w:tcBorders>
              <w:top w:val="single" w:sz="12" w:space="0" w:color="000000"/>
              <w:left w:val="single" w:sz="4" w:space="0" w:color="000000"/>
              <w:bottom w:val="single" w:sz="12" w:space="0" w:color="000000"/>
              <w:right w:val="single" w:sz="12" w:space="0" w:color="000000"/>
            </w:tcBorders>
          </w:tcPr>
          <w:p w14:paraId="664C5E4E" w14:textId="77777777" w:rsidR="00B94971" w:rsidRDefault="0047225A">
            <w:pPr>
              <w:spacing w:after="0" w:line="259" w:lineRule="auto"/>
              <w:ind w:left="0" w:right="32" w:firstLine="0"/>
              <w:jc w:val="center"/>
            </w:pPr>
            <w:r>
              <w:rPr>
                <w:sz w:val="20"/>
              </w:rPr>
              <w:t xml:space="preserve">21.3 </w:t>
            </w:r>
          </w:p>
        </w:tc>
      </w:tr>
      <w:tr w:rsidR="00B94971" w14:paraId="3E5CC5BC" w14:textId="77777777">
        <w:trPr>
          <w:trHeight w:val="490"/>
        </w:trPr>
        <w:tc>
          <w:tcPr>
            <w:tcW w:w="2696" w:type="dxa"/>
            <w:tcBorders>
              <w:top w:val="single" w:sz="12" w:space="0" w:color="000000"/>
              <w:left w:val="single" w:sz="12" w:space="0" w:color="000000"/>
              <w:bottom w:val="single" w:sz="12" w:space="0" w:color="000000"/>
              <w:right w:val="single" w:sz="12" w:space="0" w:color="000000"/>
            </w:tcBorders>
          </w:tcPr>
          <w:p w14:paraId="71BAC7A1" w14:textId="77777777" w:rsidR="00B94971" w:rsidRDefault="0047225A">
            <w:pPr>
              <w:spacing w:after="0" w:line="259" w:lineRule="auto"/>
              <w:ind w:left="0" w:firstLine="0"/>
              <w:jc w:val="left"/>
            </w:pPr>
            <w:r>
              <w:rPr>
                <w:b/>
                <w:sz w:val="20"/>
              </w:rPr>
              <w:t xml:space="preserve">TOTALS </w:t>
            </w:r>
          </w:p>
        </w:tc>
        <w:tc>
          <w:tcPr>
            <w:tcW w:w="1126" w:type="dxa"/>
            <w:tcBorders>
              <w:top w:val="single" w:sz="12" w:space="0" w:color="000000"/>
              <w:left w:val="single" w:sz="12" w:space="0" w:color="000000"/>
              <w:bottom w:val="single" w:sz="12" w:space="0" w:color="000000"/>
              <w:right w:val="single" w:sz="12" w:space="0" w:color="000000"/>
            </w:tcBorders>
          </w:tcPr>
          <w:p w14:paraId="25897189" w14:textId="77777777" w:rsidR="00B94971" w:rsidRDefault="0047225A">
            <w:pPr>
              <w:spacing w:after="0" w:line="259" w:lineRule="auto"/>
              <w:ind w:left="8" w:firstLine="0"/>
              <w:jc w:val="center"/>
            </w:pPr>
            <w:r>
              <w:rPr>
                <w:b/>
                <w:sz w:val="20"/>
              </w:rPr>
              <w:t xml:space="preserve"> </w:t>
            </w:r>
          </w:p>
        </w:tc>
        <w:tc>
          <w:tcPr>
            <w:tcW w:w="1133" w:type="dxa"/>
            <w:tcBorders>
              <w:top w:val="single" w:sz="12" w:space="0" w:color="000000"/>
              <w:left w:val="single" w:sz="12" w:space="0" w:color="000000"/>
              <w:bottom w:val="single" w:sz="12" w:space="0" w:color="000000"/>
              <w:right w:val="single" w:sz="4" w:space="0" w:color="000000"/>
            </w:tcBorders>
          </w:tcPr>
          <w:p w14:paraId="24D56CF6" w14:textId="77777777" w:rsidR="00B94971" w:rsidRDefault="0047225A">
            <w:pPr>
              <w:spacing w:after="0" w:line="259" w:lineRule="auto"/>
              <w:ind w:left="6" w:firstLine="0"/>
              <w:jc w:val="center"/>
            </w:pPr>
            <w:r>
              <w:rPr>
                <w:b/>
                <w:sz w:val="20"/>
              </w:rPr>
              <w:t xml:space="preserve">3940 100% </w:t>
            </w:r>
          </w:p>
        </w:tc>
        <w:tc>
          <w:tcPr>
            <w:tcW w:w="994" w:type="dxa"/>
            <w:tcBorders>
              <w:top w:val="single" w:sz="12" w:space="0" w:color="000000"/>
              <w:left w:val="single" w:sz="4" w:space="0" w:color="000000"/>
              <w:bottom w:val="single" w:sz="12" w:space="0" w:color="000000"/>
              <w:right w:val="single" w:sz="4" w:space="0" w:color="000000"/>
            </w:tcBorders>
          </w:tcPr>
          <w:p w14:paraId="2AC1EB31" w14:textId="77777777" w:rsidR="00B94971" w:rsidRDefault="0047225A">
            <w:pPr>
              <w:spacing w:after="0" w:line="259" w:lineRule="auto"/>
              <w:ind w:left="0" w:firstLine="0"/>
              <w:jc w:val="center"/>
            </w:pPr>
            <w:r>
              <w:rPr>
                <w:b/>
                <w:sz w:val="20"/>
              </w:rPr>
              <w:t xml:space="preserve">3774 100% </w:t>
            </w:r>
          </w:p>
        </w:tc>
        <w:tc>
          <w:tcPr>
            <w:tcW w:w="991" w:type="dxa"/>
            <w:tcBorders>
              <w:top w:val="single" w:sz="12" w:space="0" w:color="000000"/>
              <w:left w:val="single" w:sz="4" w:space="0" w:color="000000"/>
              <w:bottom w:val="single" w:sz="12" w:space="0" w:color="000000"/>
              <w:right w:val="single" w:sz="4" w:space="0" w:color="000000"/>
            </w:tcBorders>
          </w:tcPr>
          <w:p w14:paraId="6C6877C3" w14:textId="77777777" w:rsidR="00B94971" w:rsidRDefault="0047225A">
            <w:pPr>
              <w:spacing w:after="0" w:line="259" w:lineRule="auto"/>
              <w:ind w:left="0" w:right="39" w:firstLine="0"/>
              <w:jc w:val="center"/>
            </w:pPr>
            <w:r>
              <w:rPr>
                <w:b/>
                <w:sz w:val="20"/>
              </w:rPr>
              <w:t xml:space="preserve">260 </w:t>
            </w:r>
          </w:p>
        </w:tc>
        <w:tc>
          <w:tcPr>
            <w:tcW w:w="1133" w:type="dxa"/>
            <w:tcBorders>
              <w:top w:val="single" w:sz="12" w:space="0" w:color="000000"/>
              <w:left w:val="single" w:sz="4" w:space="0" w:color="000000"/>
              <w:bottom w:val="single" w:sz="12" w:space="0" w:color="000000"/>
              <w:right w:val="single" w:sz="4" w:space="0" w:color="000000"/>
            </w:tcBorders>
          </w:tcPr>
          <w:p w14:paraId="7EC7602F" w14:textId="77777777" w:rsidR="00B94971" w:rsidRDefault="0047225A">
            <w:pPr>
              <w:spacing w:after="0" w:line="259" w:lineRule="auto"/>
              <w:ind w:left="0" w:right="37" w:firstLine="0"/>
              <w:jc w:val="center"/>
            </w:pPr>
            <w:r>
              <w:rPr>
                <w:b/>
                <w:sz w:val="20"/>
              </w:rPr>
              <w:t xml:space="preserve">943 </w:t>
            </w:r>
          </w:p>
        </w:tc>
        <w:tc>
          <w:tcPr>
            <w:tcW w:w="994" w:type="dxa"/>
            <w:tcBorders>
              <w:top w:val="single" w:sz="12" w:space="0" w:color="000000"/>
              <w:left w:val="single" w:sz="4" w:space="0" w:color="000000"/>
              <w:bottom w:val="single" w:sz="12" w:space="0" w:color="000000"/>
              <w:right w:val="single" w:sz="4" w:space="0" w:color="000000"/>
            </w:tcBorders>
          </w:tcPr>
          <w:p w14:paraId="41C1DE17" w14:textId="77777777" w:rsidR="00B94971" w:rsidRDefault="0047225A">
            <w:pPr>
              <w:spacing w:after="0" w:line="259" w:lineRule="auto"/>
              <w:ind w:left="0" w:right="39" w:firstLine="0"/>
              <w:jc w:val="center"/>
            </w:pPr>
            <w:r>
              <w:rPr>
                <w:b/>
                <w:sz w:val="20"/>
              </w:rPr>
              <w:t xml:space="preserve">6.6 </w:t>
            </w:r>
          </w:p>
        </w:tc>
        <w:tc>
          <w:tcPr>
            <w:tcW w:w="991" w:type="dxa"/>
            <w:tcBorders>
              <w:top w:val="single" w:sz="12" w:space="0" w:color="000000"/>
              <w:left w:val="single" w:sz="4" w:space="0" w:color="000000"/>
              <w:bottom w:val="single" w:sz="12" w:space="0" w:color="000000"/>
              <w:right w:val="single" w:sz="12" w:space="0" w:color="000000"/>
            </w:tcBorders>
          </w:tcPr>
          <w:p w14:paraId="4571EB4D" w14:textId="77777777" w:rsidR="00B94971" w:rsidRDefault="0047225A">
            <w:pPr>
              <w:spacing w:after="0" w:line="259" w:lineRule="auto"/>
              <w:ind w:left="0" w:right="32" w:firstLine="0"/>
              <w:jc w:val="center"/>
            </w:pPr>
            <w:r>
              <w:rPr>
                <w:b/>
                <w:sz w:val="20"/>
              </w:rPr>
              <w:t xml:space="preserve">25.0 </w:t>
            </w:r>
          </w:p>
        </w:tc>
      </w:tr>
    </w:tbl>
    <w:p w14:paraId="081A9232" w14:textId="77777777" w:rsidR="00B94971" w:rsidRDefault="0047225A">
      <w:pPr>
        <w:spacing w:after="0" w:line="259" w:lineRule="auto"/>
        <w:ind w:left="0" w:firstLine="0"/>
        <w:jc w:val="left"/>
      </w:pPr>
      <w:r>
        <w:t xml:space="preserve"> </w:t>
      </w:r>
    </w:p>
    <w:p w14:paraId="7E6733EB" w14:textId="77777777" w:rsidR="00B94971" w:rsidRDefault="0047225A">
      <w:pPr>
        <w:pStyle w:val="Heading3"/>
        <w:ind w:left="-5"/>
      </w:pPr>
      <w:r>
        <w:t xml:space="preserve">Bias according to Age </w:t>
      </w:r>
    </w:p>
    <w:p w14:paraId="583FC192" w14:textId="77777777" w:rsidR="00B94971" w:rsidRDefault="0047225A">
      <w:pPr>
        <w:ind w:left="-5"/>
      </w:pPr>
      <w:r>
        <w:t xml:space="preserve">Further evidence for bias across minority groups in EHCS2003 comes from the data related to age. Whilst non-white households </w:t>
      </w:r>
      <w:r>
        <w:t>represent around 6% of the total who report the need for disabled adaptations, the equivalent figure for the under-60s is around 30%. In the context of this sample the younger disabled population is in the minority, and the data from EHCS2003 show a patter</w:t>
      </w:r>
      <w:r>
        <w:t>n favouring the older rather than the younger disabled community. Where the age of the oldest person in the household is less than 60, the chance of having no adaptations at all is more than double that of the over-60 householder (28% to 12%). The link bet</w:t>
      </w:r>
      <w:r>
        <w:t>ween Differential Provision and age reinforces this basic observation, showing a pattern of increasing provision of necessary adaptations in line with age, so that only around half of the youngest ‘have most’ of what they need and a quarter ‘need many more</w:t>
      </w:r>
      <w:r>
        <w:t>’ adaptations (see Table 6). Imrie has written about the effect of the physical layout of the home on the lives of disabled people (</w:t>
      </w:r>
      <w:proofErr w:type="gramStart"/>
      <w:r>
        <w:t>e.g.</w:t>
      </w:r>
      <w:proofErr w:type="gramEnd"/>
      <w:r>
        <w:t xml:space="preserve"> 2004a), highlighting the particular difficulties of the younger disabled person, especially those who remain in robust </w:t>
      </w:r>
      <w:r>
        <w:t xml:space="preserve">physical and mental health but are obligatory wheelchair users (see also Harris 2010). Research into inclusive design, especially the concept of the Lifetime Home (Hanson 2001; Dewsbury </w:t>
      </w:r>
      <w:r>
        <w:rPr>
          <w:i/>
        </w:rPr>
        <w:t>et al.</w:t>
      </w:r>
      <w:r>
        <w:t xml:space="preserve"> 2004), has shown the need to better understand the heterogeneit</w:t>
      </w:r>
      <w:r>
        <w:t>y of the disabled community, and the consequent variety in suitable housing. However, much of the rhetoric surrounding the political agenda to shift responsibility for healthcare away from state institutions and on to the individual and their community (</w:t>
      </w:r>
      <w:proofErr w:type="spellStart"/>
      <w:r>
        <w:t>Bj</w:t>
      </w:r>
      <w:r>
        <w:t>örnsdóttir</w:t>
      </w:r>
      <w:proofErr w:type="spellEnd"/>
      <w:r>
        <w:t xml:space="preserve"> 2002) is based on the priority given to the ageing population as a problem to be solved (Ham </w:t>
      </w:r>
      <w:r>
        <w:rPr>
          <w:i/>
        </w:rPr>
        <w:t xml:space="preserve">et al. </w:t>
      </w:r>
      <w:r>
        <w:t xml:space="preserve">2012), especially using ICT (3 </w:t>
      </w:r>
      <w:proofErr w:type="spellStart"/>
      <w:r>
        <w:t>MillionLives</w:t>
      </w:r>
      <w:proofErr w:type="spellEnd"/>
      <w:r>
        <w:t xml:space="preserve"> 2012). Homebased healthcare has been justified with socio-economic arguments about the benefits of be</w:t>
      </w:r>
      <w:r>
        <w:t xml:space="preserve">tter care, reduced costs, and opportunities for business in developing new products (but see </w:t>
      </w:r>
      <w:proofErr w:type="spellStart"/>
      <w:r>
        <w:t>Steventon</w:t>
      </w:r>
      <w:proofErr w:type="spellEnd"/>
      <w:r>
        <w:t xml:space="preserve"> </w:t>
      </w:r>
      <w:r>
        <w:rPr>
          <w:i/>
        </w:rPr>
        <w:t>et al</w:t>
      </w:r>
      <w:r>
        <w:t xml:space="preserve">. 2012 for a critical assessment of the potential benefits of telecare), with most resources targeted at the elderly.  </w:t>
      </w:r>
    </w:p>
    <w:p w14:paraId="20F1D9FA" w14:textId="77777777" w:rsidR="00B94971" w:rsidRDefault="0047225A">
      <w:pPr>
        <w:ind w:left="-15" w:firstLine="720"/>
      </w:pPr>
      <w:r>
        <w:lastRenderedPageBreak/>
        <w:t>Generalizing the housing nee</w:t>
      </w:r>
      <w:r>
        <w:t>ds of the disabled by particularizing the needs of the elderly, as suggested by our data, seems to have resulted in a system which prioritizes devices and services for the over-60s at the expense of the younger disabled population. As they are the majority</w:t>
      </w:r>
      <w:r>
        <w:t xml:space="preserve"> (representing around 70% of the disabled population in the surveys used here), there are greater economic benefits to be had by targeting that group. Elderly patients tend to need longer and more expensive treatments, require support to return home that m</w:t>
      </w:r>
      <w:r>
        <w:t xml:space="preserve">ay be difficult to organise (Heywood and Turner 2007), and can be assisted in living at home </w:t>
      </w:r>
      <w:proofErr w:type="gramStart"/>
      <w:r>
        <w:t>through the use of</w:t>
      </w:r>
      <w:proofErr w:type="gramEnd"/>
      <w:r>
        <w:t xml:space="preserve"> new technologies and devices (Barlow </w:t>
      </w:r>
      <w:r>
        <w:rPr>
          <w:i/>
        </w:rPr>
        <w:t>et al.</w:t>
      </w:r>
      <w:r>
        <w:t xml:space="preserve"> 2007). The emphasis on the provision of home-based care for the elderly, coupled with greater market</w:t>
      </w:r>
      <w:r>
        <w:t xml:space="preserve">-oriented opportunities for suppliers to this part of the population has created a situation where it is seen as more valuable to help the elderly than the younger disabled.  </w:t>
      </w:r>
    </w:p>
    <w:p w14:paraId="794420C9" w14:textId="77777777" w:rsidR="00B94971" w:rsidRDefault="0047225A">
      <w:pPr>
        <w:spacing w:after="0" w:line="259" w:lineRule="auto"/>
        <w:ind w:left="0" w:firstLine="0"/>
        <w:jc w:val="left"/>
      </w:pPr>
      <w:r>
        <w:t xml:space="preserve"> </w:t>
      </w:r>
    </w:p>
    <w:p w14:paraId="45AABE79" w14:textId="77777777" w:rsidR="00B94971" w:rsidRDefault="0047225A">
      <w:pPr>
        <w:pStyle w:val="Heading3"/>
        <w:ind w:left="-5"/>
      </w:pPr>
      <w:r>
        <w:t xml:space="preserve">Provision related to Tenure and House Type </w:t>
      </w:r>
    </w:p>
    <w:p w14:paraId="425A00BF" w14:textId="77777777" w:rsidR="00B94971" w:rsidRDefault="0047225A">
      <w:pPr>
        <w:ind w:left="-5"/>
      </w:pPr>
      <w:r>
        <w:t>The results when considering the potential for variability in provision according to tenure appear at first glance to demonstrate that there are no obvious links between ownership and the type or number of adaptations provided. This is despite anecdotal ev</w:t>
      </w:r>
      <w:r>
        <w:t>idence suggesting that landlords, especially private landlords, are inclined to obstruct the installation of adaptive devices (Williamson 2011). Whilst our evidence seems to contradict that assertion, it also demonstrates the extent to which disabled house</w:t>
      </w:r>
      <w:r>
        <w:t xml:space="preserve">holders rely on the rental sector for their accommodation, since they are twice as likely to be living in rented housing as those households who did not report the need for adaptations. The proportion of disabled </w:t>
      </w:r>
      <w:proofErr w:type="spellStart"/>
      <w:r>
        <w:t>owneroccupiers</w:t>
      </w:r>
      <w:proofErr w:type="spellEnd"/>
      <w:r>
        <w:t xml:space="preserve"> at 35% compares with a natio</w:t>
      </w:r>
      <w:r>
        <w:t>nal average of 64% in 2011 and 69% in 2001 (ONS 2013). Taken together, the high numbers of disabled renters and the evidence for reluctant landlords, who prefer not to consent to adaptations, suggests an uneasy interdependence between the private rental se</w:t>
      </w:r>
      <w:r>
        <w:t xml:space="preserve">ctor and disabled living.  </w:t>
      </w:r>
    </w:p>
    <w:p w14:paraId="11DB8298" w14:textId="77777777" w:rsidR="00B94971" w:rsidRDefault="0047225A">
      <w:pPr>
        <w:ind w:left="-15" w:firstLine="720"/>
      </w:pPr>
      <w:r>
        <w:t xml:space="preserve">A less unexpected point that comes from this study is the support it lends to Lansley </w:t>
      </w:r>
      <w:r>
        <w:rPr>
          <w:i/>
        </w:rPr>
        <w:t>et al.</w:t>
      </w:r>
      <w:r>
        <w:t xml:space="preserve"> (2005) in highlighting the difficulties of adapting certain types of home. In their study, they showed that the type of adaptations tha</w:t>
      </w:r>
      <w:r>
        <w:t xml:space="preserve">t could be provided was restricted by, amongst other things, architecture. In both EHCS2003 and EHS2009 ‘Converted Flats’ (Lansley </w:t>
      </w:r>
      <w:r>
        <w:rPr>
          <w:i/>
        </w:rPr>
        <w:t>et al</w:t>
      </w:r>
      <w:r>
        <w:t>.’s most problematic category) had the lowest rate of adaptation but also the lowest numbers overall. Similarly, when lo</w:t>
      </w:r>
      <w:r>
        <w:t>oking at dwelling age (see Table 3) there is an apparent pattern of increased likelihood for older buildings to have no adaptations compared with newer buildings, with one exception - the ‘post 1990’ dwellings. This observation is tempered by the weak stat</w:t>
      </w:r>
      <w:r>
        <w:t>istical correlation,</w:t>
      </w:r>
      <w:r>
        <w:rPr>
          <w:vertAlign w:val="superscript"/>
        </w:rPr>
        <w:footnoteReference w:id="10"/>
      </w:r>
      <w:r>
        <w:t xml:space="preserve"> but in common with previous observations, this shows that more adaptations were provided generally, but not it seems to the most recent buildings. This may be due to the introduction of new Part M building regulations in 2004 that es</w:t>
      </w:r>
      <w:r>
        <w:t xml:space="preserve">tablished requirements to provide greater accessibility to all users, including wider doorways, fewer level changes per floor and a wheelchair-practical downstairs toilet (HM </w:t>
      </w:r>
    </w:p>
    <w:p w14:paraId="2D2DC794" w14:textId="77777777" w:rsidR="00B94971" w:rsidRDefault="0047225A">
      <w:pPr>
        <w:ind w:left="-5"/>
      </w:pPr>
      <w:r>
        <w:t>Govt. 2010). Some of these are equivalent to retrofitted adaptations, thus rende</w:t>
      </w:r>
      <w:r>
        <w:t>ring them unnecessary, hence increasing the numbers of newer homes without any adaptations. The definition of dwelling age categories in these surveys could easily be updated for future surveys to include pre- and post- 2004 to provide information on the e</w:t>
      </w:r>
      <w:r>
        <w:t>ffect of that new legislation. It may be for example that there is a lower perception of need for houses that comply with Part M building regulations, regardless of whether this truly satisfies the householder’s actual needs, since, according to Imrie (200</w:t>
      </w:r>
      <w:r>
        <w:t xml:space="preserve">4b) major </w:t>
      </w:r>
      <w:proofErr w:type="gramStart"/>
      <w:r>
        <w:t>house-builders</w:t>
      </w:r>
      <w:proofErr w:type="gramEnd"/>
      <w:r>
        <w:t xml:space="preserve"> are inclined to build to the minimum standard and have little interest in the spirit of the regulations. </w:t>
      </w:r>
    </w:p>
    <w:p w14:paraId="504E41BF" w14:textId="77777777" w:rsidR="00B94971" w:rsidRDefault="0047225A">
      <w:pPr>
        <w:spacing w:after="0" w:line="259" w:lineRule="auto"/>
        <w:ind w:left="0" w:firstLine="0"/>
        <w:jc w:val="left"/>
      </w:pPr>
      <w:r>
        <w:lastRenderedPageBreak/>
        <w:t xml:space="preserve"> </w:t>
      </w:r>
    </w:p>
    <w:p w14:paraId="653D1314" w14:textId="77777777" w:rsidR="00B94971" w:rsidRDefault="0047225A">
      <w:pPr>
        <w:pStyle w:val="Heading3"/>
        <w:ind w:left="-5"/>
      </w:pPr>
      <w:r>
        <w:rPr>
          <w:i w:val="0"/>
        </w:rPr>
        <w:t>S</w:t>
      </w:r>
      <w:r>
        <w:t xml:space="preserve">uitability of Adaptations </w:t>
      </w:r>
    </w:p>
    <w:p w14:paraId="7311C62C" w14:textId="77777777" w:rsidR="00B94971" w:rsidRDefault="0047225A">
      <w:pPr>
        <w:spacing w:after="43"/>
        <w:ind w:left="-5"/>
      </w:pPr>
      <w:r>
        <w:t>Having shown that the overall provision of adaptations increased between 2003/4 and 2009/10, th</w:t>
      </w:r>
      <w:r>
        <w:t>e data show a substantial increase in the numbers of adaptations that were deemed by their recipients to be not needed. A simple count of the number of adaptations in place, regardless of what they are, reveals that of all the disabled households in EHS200</w:t>
      </w:r>
      <w:r>
        <w:t>9, 20% had more than they needed, compared with only 3% in EHCS2003. More specifically, as listed in Table 8, by the time of EHS2009 of all the adaptations that had been provided, 25% were deemed by the householders not to be needed. This is a dramatic inc</w:t>
      </w:r>
      <w:r>
        <w:t xml:space="preserve">rease from the equivalent figure of 6.6% in </w:t>
      </w:r>
      <w:proofErr w:type="gramStart"/>
      <w:r>
        <w:t>EHCS2003, and</w:t>
      </w:r>
      <w:proofErr w:type="gramEnd"/>
      <w:r>
        <w:t xml:space="preserve"> is consistent across all types of adaptation.</w:t>
      </w:r>
      <w:r>
        <w:rPr>
          <w:vertAlign w:val="superscript"/>
        </w:rPr>
        <w:footnoteReference w:id="11"/>
      </w:r>
      <w:r>
        <w:t xml:space="preserve"> </w:t>
      </w:r>
    </w:p>
    <w:p w14:paraId="0BEC7302" w14:textId="77777777" w:rsidR="00B94971" w:rsidRDefault="0047225A">
      <w:pPr>
        <w:ind w:left="-15" w:firstLine="720"/>
      </w:pPr>
      <w:r>
        <w:t xml:space="preserve">What we called </w:t>
      </w:r>
      <w:r>
        <w:t>‘Suitability of Provision’ would be expected to include a proportion of adaptations that were not needed, as shown in previous research following up the use patterns of assistive technologies (Hoffmann and McKenna 2004; McCreadie and Tinker 2005), but this</w:t>
      </w:r>
      <w:r>
        <w:t xml:space="preserve"> does not explain why there should have been such a substantial change. The data is not sufficiently detailed to definitively suggest causes, but there are contradictory possibilities: it may be that the installations have been supplied without due regard </w:t>
      </w:r>
      <w:r>
        <w:t xml:space="preserve">for the needs of the occupants and users; or it may be that the housing stock is acquiring aspects of lifetime homes. In the first case, this suggests a problem with the process of specifying and funding adaptations for disabled households, but the second </w:t>
      </w:r>
      <w:r>
        <w:t xml:space="preserve">suggests a beneficial move towards greater preparation for an increasingly elderly population. </w:t>
      </w:r>
    </w:p>
    <w:p w14:paraId="0904D24C" w14:textId="77777777" w:rsidR="00B94971" w:rsidRDefault="0047225A">
      <w:pPr>
        <w:ind w:left="-15" w:firstLine="720"/>
      </w:pPr>
      <w:r>
        <w:t>We can gain some insights by considering in more detail the types of adaptations listed here and relating these to some of the adaptations that are becoming mor</w:t>
      </w:r>
      <w:r>
        <w:t xml:space="preserve">e mainstream. Part M building regulations (HM Govt. 2010) have applied to all new buildings since 1999, and essentially deal with access, and especially for wheelchair users, either as current or future </w:t>
      </w:r>
      <w:proofErr w:type="gramStart"/>
      <w:r>
        <w:t>home-owners</w:t>
      </w:r>
      <w:proofErr w:type="gramEnd"/>
      <w:r>
        <w:t>, or as visitors. This includes level acce</w:t>
      </w:r>
      <w:r>
        <w:t xml:space="preserve">ss into and through the house, wider doorways, lower switches and sockets, and a wheelchair friendly ground floor WC, along with considerations for future use, such as the allocation of downstairs space for a bed (Carroll </w:t>
      </w:r>
      <w:r>
        <w:rPr>
          <w:i/>
        </w:rPr>
        <w:t>et al.</w:t>
      </w:r>
      <w:r>
        <w:t xml:space="preserve"> 1999). These are relevant c</w:t>
      </w:r>
      <w:r>
        <w:t xml:space="preserve">riteria for new build houses, but do not address </w:t>
      </w:r>
      <w:proofErr w:type="gramStart"/>
      <w:r>
        <w:t>the majority of</w:t>
      </w:r>
      <w:proofErr w:type="gramEnd"/>
      <w:r>
        <w:t xml:space="preserve"> properties, which of course have been designed and built according to much older standards and ideas. Hanson (2001) suggests that the two main issues that prevent what she calls ‘architectura</w:t>
      </w:r>
      <w:r>
        <w:t>l emancipation’ are difficult changes in level and insufficient space. This represents one part of her argument that true Lifetime Homes must form part of a complete system including a wide range of issues such as new forms of ownership, access to transpor</w:t>
      </w:r>
      <w:r>
        <w:t xml:space="preserve">t, care packages etc. When looking through the list of adaptations from these surveys it is difficult to identify with any great certainty specific items that could be </w:t>
      </w:r>
      <w:proofErr w:type="gramStart"/>
      <w:r>
        <w:t>definitely attributed</w:t>
      </w:r>
      <w:proofErr w:type="gramEnd"/>
      <w:r>
        <w:t xml:space="preserve"> to the increasing provision of Lifetime Homes, or disability adapt</w:t>
      </w:r>
      <w:r>
        <w:t xml:space="preserve">ations made specifically for the current occupant. We can make some informed assumptions on the basis of the ideas put forward by Imrie (2004a; b), Hanson (2001) and the 16 design criteria developed by the Joseph Rowntree Foundation (Carroll </w:t>
      </w:r>
      <w:r>
        <w:rPr>
          <w:i/>
        </w:rPr>
        <w:t>et al.</w:t>
      </w:r>
      <w:r>
        <w:t xml:space="preserve"> 1999).</w:t>
      </w:r>
      <w:r>
        <w:rPr>
          <w:vertAlign w:val="superscript"/>
        </w:rPr>
        <w:footnoteReference w:id="12"/>
      </w:r>
      <w:r>
        <w:t xml:space="preserve">  Referring back to Table 8, we have separated out those items that might be reasonably considered part of the Lifetime Homes agenda (called ‘L’ in Table 8), and others that might be considered specific ‘disability adaptations’ (called ‘D’). If there is a</w:t>
      </w:r>
      <w:r>
        <w:t xml:space="preserve"> progressive move towards greater numbers of adaptations that form part of the drive for Lifetime Homes, then as far as is possible within these data, we would expect to see a </w:t>
      </w:r>
      <w:r>
        <w:lastRenderedPageBreak/>
        <w:t>significant difference between those items we have defined as ‘L’, and those def</w:t>
      </w:r>
      <w:r>
        <w:t xml:space="preserve">ined as ‘D’. </w:t>
      </w:r>
      <w:proofErr w:type="gramStart"/>
      <w:r>
        <w:t>In particular we</w:t>
      </w:r>
      <w:proofErr w:type="gramEnd"/>
      <w:r>
        <w:t xml:space="preserve"> might expect to see a greater increase in the proportion of ‘L’ adaptations that the householder defines as ‘not needed’ on the basis that they are provided for future use, or the use of visitors. To some extent this is visibl</w:t>
      </w:r>
      <w:r>
        <w:t>e in Table 8, where the proportion of ‘not needed’ rises from 6.6% to 32.7%, whereas the increase for ‘D’ adaptations rises from 6.6% to 21.3%. However, within the limits of the survey data used, the dominant picture remains one where there is a substantia</w:t>
      </w:r>
      <w:r>
        <w:t xml:space="preserve">l increase across the board in the numbers of adaptations provided that the householders consider not to be needed. </w:t>
      </w:r>
    </w:p>
    <w:p w14:paraId="1904546D" w14:textId="77777777" w:rsidR="00B94971" w:rsidRDefault="0047225A">
      <w:pPr>
        <w:ind w:left="-15" w:firstLine="720"/>
      </w:pPr>
      <w:r>
        <w:t>Various researchers have pointed out the link between social issues and perceptions of need for disability-related assistive devices, inclu</w:t>
      </w:r>
      <w:r>
        <w:t xml:space="preserve">ding stigma and loss of independence (Mann </w:t>
      </w:r>
      <w:r>
        <w:rPr>
          <w:i/>
        </w:rPr>
        <w:t>et al.</w:t>
      </w:r>
      <w:r>
        <w:t xml:space="preserve"> 2002), indignity and disempowerment (Heywood 2004), and the inherent tension between the patient’s felt need and medically assessed need, and the effect this has on the concept of home (McCreadie and Tinker</w:t>
      </w:r>
      <w:r>
        <w:t xml:space="preserve"> 2005; Angus </w:t>
      </w:r>
      <w:r>
        <w:rPr>
          <w:i/>
        </w:rPr>
        <w:t>et al.</w:t>
      </w:r>
      <w:r>
        <w:t xml:space="preserve"> 2005). Specifying adaptations is done by occupational therapists trying to resolve this tension according to their training and experience (Gitlin 2009; </w:t>
      </w:r>
      <w:proofErr w:type="spellStart"/>
      <w:r>
        <w:t>Fänge</w:t>
      </w:r>
      <w:proofErr w:type="spellEnd"/>
      <w:r>
        <w:t xml:space="preserve"> and </w:t>
      </w:r>
      <w:proofErr w:type="spellStart"/>
      <w:r>
        <w:t>Iwarsson</w:t>
      </w:r>
      <w:proofErr w:type="spellEnd"/>
      <w:r>
        <w:t xml:space="preserve"> 2007) and within a government framework of eligibility (</w:t>
      </w:r>
      <w:proofErr w:type="spellStart"/>
      <w:r>
        <w:t>DoH</w:t>
      </w:r>
      <w:proofErr w:type="spellEnd"/>
      <w:r>
        <w:t xml:space="preserve"> 2010</w:t>
      </w:r>
      <w:r>
        <w:t xml:space="preserve">). The degree to which the patient’s own knowledge is incorporated into this assessment depends on the individual therapist and, according to the report by Heywood </w:t>
      </w:r>
      <w:r>
        <w:rPr>
          <w:i/>
        </w:rPr>
        <w:t>et al</w:t>
      </w:r>
      <w:r>
        <w:t>. (COT 2006), is often advocated but usually overlooked (see also Gitlin 2009). This po</w:t>
      </w:r>
      <w:r>
        <w:t xml:space="preserve">sitions the clinical perspective as the default position, over-riding and sometimes disregarding the patient’s experience, resulting in adaptations that may not be useful and are sometimes actively harmful (Heywood 2004).  </w:t>
      </w:r>
    </w:p>
    <w:p w14:paraId="56279085" w14:textId="77777777" w:rsidR="00B94971" w:rsidRDefault="0047225A">
      <w:pPr>
        <w:ind w:left="-15" w:firstLine="720"/>
      </w:pPr>
      <w:r>
        <w:t xml:space="preserve">This is complicated by the fact </w:t>
      </w:r>
      <w:r>
        <w:t>that changes are ongoing and sometimes rapid, as in the case of some elderly patients (</w:t>
      </w:r>
      <w:proofErr w:type="spellStart"/>
      <w:r>
        <w:t>Niva</w:t>
      </w:r>
      <w:proofErr w:type="spellEnd"/>
      <w:r>
        <w:t xml:space="preserve"> and Skar 2006). Regardless of illness or disability, change also occurs through life (Dewsbury </w:t>
      </w:r>
      <w:r>
        <w:rPr>
          <w:i/>
        </w:rPr>
        <w:t>et al.</w:t>
      </w:r>
      <w:r>
        <w:t xml:space="preserve"> 2004; Johansson </w:t>
      </w:r>
      <w:r>
        <w:rPr>
          <w:i/>
        </w:rPr>
        <w:t>et al.</w:t>
      </w:r>
      <w:r>
        <w:t xml:space="preserve"> 2009) – sleep patterns, relationships w</w:t>
      </w:r>
      <w:r>
        <w:t>ith family and friends and so on – so that the domestic environment, including its adaptations, becomes part of a dynamic system. Adaptations to the home such as those listed in the surveys used here are fixed and relatively inflexible, reduced to either b</w:t>
      </w:r>
      <w:r>
        <w:t>eing in place or not.</w:t>
      </w:r>
      <w:r>
        <w:rPr>
          <w:vertAlign w:val="superscript"/>
        </w:rPr>
        <w:footnoteReference w:id="13"/>
      </w:r>
      <w:r>
        <w:t xml:space="preserve"> In the absence of any flexibility in the adaptation itself, or the building that contains it, coping with a dynamic health condition is therefore reliant on patients constantly altering  their daily routines and compromising their c</w:t>
      </w:r>
      <w:r>
        <w:t>ultural practices to suit the adaptation (</w:t>
      </w:r>
      <w:proofErr w:type="spellStart"/>
      <w:r>
        <w:t>Niva</w:t>
      </w:r>
      <w:proofErr w:type="spellEnd"/>
      <w:r>
        <w:t xml:space="preserve"> and Skar 2006; Gitlin 2003; Peace </w:t>
      </w:r>
      <w:r>
        <w:rPr>
          <w:i/>
        </w:rPr>
        <w:t>et al.</w:t>
      </w:r>
      <w:r>
        <w:t xml:space="preserve"> 2011). Even an apparently simple installation such as a grab rail </w:t>
      </w:r>
      <w:proofErr w:type="gramStart"/>
      <w:r>
        <w:t>opens up</w:t>
      </w:r>
      <w:proofErr w:type="gramEnd"/>
      <w:r>
        <w:t xml:space="preserve"> a new set of relations between the user, the object and the building. To be exploited effecti</w:t>
      </w:r>
      <w:r>
        <w:t xml:space="preserve">vely, they depend on the user developing a new set of bodily practices to become </w:t>
      </w:r>
      <w:proofErr w:type="spellStart"/>
      <w:r>
        <w:t>enskilled</w:t>
      </w:r>
      <w:proofErr w:type="spellEnd"/>
      <w:r>
        <w:t xml:space="preserve"> in the use of the grab rail (</w:t>
      </w:r>
      <w:proofErr w:type="spellStart"/>
      <w:r>
        <w:t>Mauss</w:t>
      </w:r>
      <w:proofErr w:type="spellEnd"/>
      <w:r>
        <w:t xml:space="preserve"> 1973[1934]), contrary to the supposition that a grab rail is unproblematic and immediately useful (Seton and Bridge 2006). At pres</w:t>
      </w:r>
      <w:r>
        <w:t>ent, the assumption in specifying and installing adaptations like a grab rail is that they prolong the ability of the user to carry out existing practices and routines, when in fact they act to force the user to continually alter their actions and daily ro</w:t>
      </w:r>
      <w:r>
        <w:t xml:space="preserve">utines and to develop new ways of living and new coping strategies. As Peace </w:t>
      </w:r>
      <w:proofErr w:type="gramStart"/>
      <w:r>
        <w:rPr>
          <w:i/>
        </w:rPr>
        <w:t>et al.</w:t>
      </w:r>
      <w:r>
        <w:t xml:space="preserve"> (2011) describe,</w:t>
      </w:r>
      <w:proofErr w:type="gramEnd"/>
      <w:r>
        <w:t xml:space="preserve"> the capacity for the patient to ‘fit’ with their environment relies on a shifting boundary between what the adaptation allows them to do, and their ability</w:t>
      </w:r>
      <w:r>
        <w:t xml:space="preserve"> to continually alter their behaviour. The surgery patients described by Kim </w:t>
      </w:r>
      <w:r>
        <w:rPr>
          <w:i/>
        </w:rPr>
        <w:t>et al.</w:t>
      </w:r>
      <w:r>
        <w:t xml:space="preserve"> (2010) and the consequent need for them to alter their relationship with their domestic furniture is a good example of this at play. Any flexibility in the system resides w</w:t>
      </w:r>
      <w:r>
        <w:t xml:space="preserve">ith the user and not with the adaptive objects or their site of installation. If the reason for adaptations to be ‘not needed’ is due to this imbalance, then by delegating greater responsibility for flexibility to </w:t>
      </w:r>
      <w:r>
        <w:lastRenderedPageBreak/>
        <w:t xml:space="preserve">the objects and the home, we would expect </w:t>
      </w:r>
      <w:r>
        <w:t xml:space="preserve">increased longevity and more widespread applicability to any set of adaptations.  </w:t>
      </w:r>
    </w:p>
    <w:p w14:paraId="46E01DA0" w14:textId="77777777" w:rsidR="00B94971" w:rsidRDefault="0047225A">
      <w:pPr>
        <w:spacing w:after="0" w:line="259" w:lineRule="auto"/>
        <w:ind w:left="0" w:firstLine="0"/>
        <w:jc w:val="left"/>
      </w:pPr>
      <w:r>
        <w:t xml:space="preserve"> </w:t>
      </w:r>
    </w:p>
    <w:p w14:paraId="1EDD5EC4" w14:textId="77777777" w:rsidR="00B94971" w:rsidRDefault="0047225A">
      <w:pPr>
        <w:spacing w:after="0" w:line="259" w:lineRule="auto"/>
        <w:ind w:left="720" w:firstLine="0"/>
        <w:jc w:val="left"/>
      </w:pPr>
      <w:r>
        <w:t xml:space="preserve"> </w:t>
      </w:r>
    </w:p>
    <w:p w14:paraId="2D893E4D" w14:textId="77777777" w:rsidR="00B94971" w:rsidRDefault="0047225A">
      <w:pPr>
        <w:pStyle w:val="Heading1"/>
        <w:ind w:left="-5"/>
      </w:pPr>
      <w:r>
        <w:t xml:space="preserve">Conclusions / Recommendations </w:t>
      </w:r>
    </w:p>
    <w:p w14:paraId="0527D330" w14:textId="77777777" w:rsidR="00B94971" w:rsidRDefault="0047225A">
      <w:pPr>
        <w:spacing w:after="0" w:line="259" w:lineRule="auto"/>
        <w:ind w:left="0" w:firstLine="0"/>
        <w:jc w:val="left"/>
      </w:pPr>
      <w:r>
        <w:rPr>
          <w:b/>
        </w:rPr>
        <w:t xml:space="preserve"> </w:t>
      </w:r>
    </w:p>
    <w:p w14:paraId="63DD894A" w14:textId="77777777" w:rsidR="00B94971" w:rsidRDefault="0047225A">
      <w:pPr>
        <w:ind w:left="-5"/>
      </w:pPr>
      <w:r>
        <w:t>Demographic changes and economic imperatives are driving the need for more and better healthcare in the home. As a key component of that</w:t>
      </w:r>
      <w:r>
        <w:t xml:space="preserve"> service, home adaptations for the disabled need to be effectively and sensitively implemented to create the best possible environment for the delivery of home-based care. Through the analysis of secondary </w:t>
      </w:r>
      <w:proofErr w:type="gramStart"/>
      <w:r>
        <w:t>data</w:t>
      </w:r>
      <w:proofErr w:type="gramEnd"/>
      <w:r>
        <w:t xml:space="preserve"> we have been able to highlight general themes</w:t>
      </w:r>
      <w:r>
        <w:t xml:space="preserve">, but there is a need for further research to corroborate, explain and attempt to resolve some of the issues raised here. </w:t>
      </w:r>
      <w:proofErr w:type="gramStart"/>
      <w:r>
        <w:t>Therefore</w:t>
      </w:r>
      <w:proofErr w:type="gramEnd"/>
      <w:r>
        <w:t xml:space="preserve"> we recommend the need for a methodologically diverse approach to be able to provide both larger-scale overviews and more det</w:t>
      </w:r>
      <w:r>
        <w:t xml:space="preserve">ailed, household-level data. As a point of departure, we suggest an outline research agenda made up of three parts: </w:t>
      </w:r>
    </w:p>
    <w:p w14:paraId="44E8C635" w14:textId="77777777" w:rsidR="00B94971" w:rsidRDefault="0047225A">
      <w:pPr>
        <w:spacing w:after="0" w:line="259" w:lineRule="auto"/>
        <w:ind w:left="0" w:firstLine="0"/>
        <w:jc w:val="left"/>
      </w:pPr>
      <w:r>
        <w:t xml:space="preserve"> </w:t>
      </w:r>
    </w:p>
    <w:p w14:paraId="3108AF6E" w14:textId="77777777" w:rsidR="00B94971" w:rsidRDefault="0047225A">
      <w:pPr>
        <w:pStyle w:val="Heading2"/>
        <w:ind w:left="-5"/>
      </w:pPr>
      <w:r>
        <w:t xml:space="preserve">1. Suitability of Adaptations </w:t>
      </w:r>
    </w:p>
    <w:p w14:paraId="353ED013" w14:textId="77777777" w:rsidR="00B94971" w:rsidRDefault="0047225A">
      <w:pPr>
        <w:ind w:left="-5"/>
      </w:pPr>
      <w:r>
        <w:t xml:space="preserve">The data show </w:t>
      </w:r>
      <w:r>
        <w:t>an increase in the provision of adaptations to the whole population of eligible households between 2003/4 and 2009/10, but also reveal a marked increase in the number of adaptations provided that are seen by the householders as unnecessary. The increase fr</w:t>
      </w:r>
      <w:r>
        <w:t>om 7% in EHCS2003 to 25% in EHS2009 of un-needed adaptations is at present a phenomenon that has escaped investigation. Whilst there have been some efforts to push the Lifetime Homes agenda, including the introduction of new building regulations, that seem</w:t>
      </w:r>
      <w:r>
        <w:t>s to us unlikely as a complete explanation for this increase. Recent government initiatives to promote healthcare at home (</w:t>
      </w:r>
      <w:proofErr w:type="spellStart"/>
      <w:r>
        <w:t>DoH</w:t>
      </w:r>
      <w:proofErr w:type="spellEnd"/>
      <w:r>
        <w:t xml:space="preserve"> 2010), changes to funding arrangements (DCLG 2008), and regional initiatives to restructure the process of specifying and install</w:t>
      </w:r>
      <w:r>
        <w:t xml:space="preserve">ing adaptations (Ramsay 2010), seem more likely to have had a significant impact. Our suggestion is that there needs to be further research that seeks to explicitly understand the causes for this apparent phenomenon. This should include at least three key </w:t>
      </w:r>
      <w:r>
        <w:t>themes: a more detailed consideration of the links between regulatory frameworks that seek to promote the concept of lifetime homes, and the medical assessment and specification process (Hanson 2001); the potential for greater flexibility in the installati</w:t>
      </w:r>
      <w:r>
        <w:t xml:space="preserve">on and longer term use of home adaptations (Rodden and </w:t>
      </w:r>
      <w:proofErr w:type="spellStart"/>
      <w:r>
        <w:t>Benford</w:t>
      </w:r>
      <w:proofErr w:type="spellEnd"/>
      <w:r>
        <w:t xml:space="preserve"> 2003); and a better understanding of need, taking greater account of the experience and requests of the householder even if these differ from prevailing medical recommendations (Gitlin 2009, He</w:t>
      </w:r>
      <w:r>
        <w:t xml:space="preserve">ywood 2004). </w:t>
      </w:r>
    </w:p>
    <w:p w14:paraId="45C13CD2" w14:textId="77777777" w:rsidR="00B94971" w:rsidRDefault="0047225A">
      <w:pPr>
        <w:spacing w:after="0" w:line="259" w:lineRule="auto"/>
        <w:ind w:left="0" w:firstLine="0"/>
        <w:jc w:val="left"/>
      </w:pPr>
      <w:r>
        <w:t xml:space="preserve"> </w:t>
      </w:r>
    </w:p>
    <w:p w14:paraId="21472EEA" w14:textId="77777777" w:rsidR="00B94971" w:rsidRDefault="0047225A">
      <w:pPr>
        <w:pStyle w:val="Heading2"/>
        <w:ind w:left="-5"/>
      </w:pPr>
      <w:r>
        <w:t xml:space="preserve">2. Bias in Provision </w:t>
      </w:r>
    </w:p>
    <w:p w14:paraId="42DF8CB1" w14:textId="77777777" w:rsidR="00B94971" w:rsidRDefault="0047225A">
      <w:pPr>
        <w:ind w:left="-5"/>
      </w:pPr>
      <w:r>
        <w:t xml:space="preserve">There are a series of questions posed by this research related to bias in provision, which can be inferred from our analysis, but there needs to be more detailed work to establish the size of the problem before we can </w:t>
      </w:r>
      <w:r>
        <w:t>understand the causes. Potential sources of bias include ethnic group, age and tenure, each with distinct underlying causes and requiring different approaches. We suggest that these three topics can and should be separately investigated further: First, cul</w:t>
      </w:r>
      <w:r>
        <w:t>turally sensitive research, such as that conducted by Victor et al. (2012), needs to be extended to include attitudes towards adaptations, and to trace the routes through which different social groups express their needs and acquire their adaptations; Seco</w:t>
      </w:r>
      <w:r>
        <w:t>nd, building on Imrie’s recent research on Universal Design (2012), which removes age as the dominant definition of disability, we can better understand the provision of adaptations to other sectors of the disabled population, especially for example childr</w:t>
      </w:r>
      <w:r>
        <w:t xml:space="preserve">en; and third, our consideration of the links between tenure and access to home adaptations has been limited by the data, but does suggest an uneasy </w:t>
      </w:r>
      <w:r>
        <w:lastRenderedPageBreak/>
        <w:t>relationship between disabled living and home ownership (Williamson 2011), which deserves further research.</w:t>
      </w:r>
      <w:r>
        <w:t xml:space="preserve">  </w:t>
      </w:r>
    </w:p>
    <w:p w14:paraId="1525394C" w14:textId="77777777" w:rsidR="00B94971" w:rsidRDefault="0047225A">
      <w:pPr>
        <w:spacing w:after="0" w:line="259" w:lineRule="auto"/>
        <w:ind w:left="0" w:firstLine="0"/>
        <w:jc w:val="left"/>
      </w:pPr>
      <w:r>
        <w:t xml:space="preserve"> </w:t>
      </w:r>
    </w:p>
    <w:p w14:paraId="5013C7AA" w14:textId="77777777" w:rsidR="00B94971" w:rsidRDefault="0047225A">
      <w:pPr>
        <w:pStyle w:val="Heading2"/>
        <w:ind w:left="-5"/>
      </w:pPr>
      <w:r>
        <w:t xml:space="preserve">3. Flexible Design </w:t>
      </w:r>
    </w:p>
    <w:p w14:paraId="21DFA14C" w14:textId="77777777" w:rsidR="00B94971" w:rsidRDefault="0047225A">
      <w:pPr>
        <w:ind w:left="-5"/>
      </w:pPr>
      <w:r>
        <w:t xml:space="preserve">Whether the explanation for the increase in ‘unneeded’ adaptations is due to the development of lifetime homes, or </w:t>
      </w:r>
      <w:proofErr w:type="gramStart"/>
      <w:r>
        <w:t>poorly-targeted</w:t>
      </w:r>
      <w:proofErr w:type="gramEnd"/>
      <w:r>
        <w:t xml:space="preserve"> provision following political and financial changes, it is clear that the adaptations themselves nee</w:t>
      </w:r>
      <w:r>
        <w:t xml:space="preserve">d to be more responsive to the changing needs of the users. This is equally important for growing children and fluctuating medical conditions, reflecting ongoing physical and social changes, and the move away from institutional healthcare. </w:t>
      </w:r>
      <w:proofErr w:type="gramStart"/>
      <w:r>
        <w:t>With the possibl</w:t>
      </w:r>
      <w:r>
        <w:t>e exception of</w:t>
      </w:r>
      <w:proofErr w:type="gramEnd"/>
      <w:r>
        <w:t xml:space="preserve"> some ICT-based home adaptations, there is very little flexibility in the material form of the objects or their potential spatial arrangements. Nor is there recognition of the home as a special and personal place, which carries with it differ</w:t>
      </w:r>
      <w:r>
        <w:t>ent meanings and aesthetics to traditional healthcare institutions. We suggest that there needs to be an interdisciplinary research programme set up to adopt an innovative and artistic approach to assisted living. Disability adaptations could act as the fo</w:t>
      </w:r>
      <w:r>
        <w:t xml:space="preserve">rum for new design thinking about flexible devices, architecture and social arrangements that cope much better with the demands of </w:t>
      </w:r>
      <w:proofErr w:type="gramStart"/>
      <w:r>
        <w:t>long term</w:t>
      </w:r>
      <w:proofErr w:type="gramEnd"/>
      <w:r>
        <w:t xml:space="preserve"> occupation.  </w:t>
      </w:r>
    </w:p>
    <w:p w14:paraId="1B3BA09A" w14:textId="77777777" w:rsidR="00B94971" w:rsidRDefault="0047225A">
      <w:pPr>
        <w:spacing w:after="0" w:line="259" w:lineRule="auto"/>
        <w:ind w:left="0" w:firstLine="0"/>
        <w:jc w:val="left"/>
      </w:pPr>
      <w:r>
        <w:t xml:space="preserve"> </w:t>
      </w:r>
    </w:p>
    <w:p w14:paraId="598CEC11" w14:textId="77777777" w:rsidR="00B94971" w:rsidRDefault="0047225A">
      <w:pPr>
        <w:ind w:left="-5"/>
      </w:pPr>
      <w:r>
        <w:t>By highlighting some of the areas that need improvement or explanation, this paper is intended to a</w:t>
      </w:r>
      <w:r>
        <w:t xml:space="preserve">ct as a spur for further research. As political, medical and economic agendas converge on the benefits of delivering healthcare at home, this is likely to become of </w:t>
      </w:r>
      <w:proofErr w:type="spellStart"/>
      <w:r>
        <w:t>evergreater</w:t>
      </w:r>
      <w:proofErr w:type="spellEnd"/>
      <w:r>
        <w:t xml:space="preserve"> interest and importance to a wide range of audiences. In </w:t>
      </w:r>
      <w:proofErr w:type="gramStart"/>
      <w:r>
        <w:t>all of</w:t>
      </w:r>
      <w:proofErr w:type="gramEnd"/>
      <w:r>
        <w:t xml:space="preserve"> this clamour, t</w:t>
      </w:r>
      <w:r>
        <w:t xml:space="preserve">he voice of the patient needs to be more clearly heard so that the changes currently envisaged can become part of a more sensitive and effective healthcare infrastructure. </w:t>
      </w:r>
    </w:p>
    <w:p w14:paraId="0E4923E4" w14:textId="77777777" w:rsidR="00B94971" w:rsidRDefault="0047225A">
      <w:pPr>
        <w:spacing w:after="0" w:line="259" w:lineRule="auto"/>
        <w:ind w:left="0" w:firstLine="0"/>
        <w:jc w:val="left"/>
      </w:pPr>
      <w:r>
        <w:t xml:space="preserve"> </w:t>
      </w:r>
    </w:p>
    <w:p w14:paraId="26F2A1E5" w14:textId="77777777" w:rsidR="00B94971" w:rsidRDefault="0047225A">
      <w:pPr>
        <w:pStyle w:val="Heading1"/>
        <w:ind w:left="-5"/>
      </w:pPr>
      <w:r>
        <w:t xml:space="preserve">Acknowledgements </w:t>
      </w:r>
    </w:p>
    <w:p w14:paraId="45398D48" w14:textId="77777777" w:rsidR="00B94971" w:rsidRDefault="0047225A">
      <w:pPr>
        <w:ind w:left="-5"/>
      </w:pPr>
      <w:r>
        <w:t>This research was supported by funding from the Engineering and</w:t>
      </w:r>
      <w:r>
        <w:t xml:space="preserve"> Physical Sciences Research Council (EPSRC) ‘Health and Care Infrastructure Research and Innovation Centre’ (</w:t>
      </w:r>
      <w:proofErr w:type="spellStart"/>
      <w:r>
        <w:t>HaCIRIC</w:t>
      </w:r>
      <w:proofErr w:type="spellEnd"/>
      <w:r>
        <w:t xml:space="preserve">: EP/I029788/1). The authors also gratefully acknowledge the very helpful comments and advice given by the anonymous reviewers. </w:t>
      </w:r>
    </w:p>
    <w:p w14:paraId="4BEDDABF" w14:textId="77777777" w:rsidR="00B94971" w:rsidRDefault="0047225A">
      <w:pPr>
        <w:spacing w:after="0" w:line="259" w:lineRule="auto"/>
        <w:ind w:left="0" w:firstLine="0"/>
        <w:jc w:val="left"/>
      </w:pPr>
      <w:r>
        <w:t xml:space="preserve"> </w:t>
      </w:r>
    </w:p>
    <w:p w14:paraId="7EEDB82F" w14:textId="77777777" w:rsidR="00B94971" w:rsidRDefault="0047225A">
      <w:pPr>
        <w:spacing w:after="0" w:line="259" w:lineRule="auto"/>
        <w:ind w:left="0" w:firstLine="0"/>
        <w:jc w:val="left"/>
      </w:pPr>
      <w:r>
        <w:t xml:space="preserve"> </w:t>
      </w:r>
    </w:p>
    <w:p w14:paraId="00BFEB5F" w14:textId="77777777" w:rsidR="00B94971" w:rsidRDefault="0047225A">
      <w:pPr>
        <w:pStyle w:val="Heading1"/>
        <w:ind w:left="-5"/>
      </w:pPr>
      <w:r>
        <w:t>Referen</w:t>
      </w:r>
      <w:r>
        <w:t xml:space="preserve">ces </w:t>
      </w:r>
    </w:p>
    <w:p w14:paraId="5DB55E92" w14:textId="77777777" w:rsidR="00B94971" w:rsidRDefault="0047225A">
      <w:pPr>
        <w:spacing w:after="0" w:line="259" w:lineRule="auto"/>
        <w:ind w:left="0" w:firstLine="0"/>
        <w:jc w:val="left"/>
      </w:pPr>
      <w:r>
        <w:t xml:space="preserve"> </w:t>
      </w:r>
    </w:p>
    <w:p w14:paraId="11F9F6B0" w14:textId="77777777" w:rsidR="00B94971" w:rsidRDefault="0047225A">
      <w:pPr>
        <w:spacing w:after="1" w:line="238" w:lineRule="auto"/>
        <w:ind w:left="0" w:firstLine="0"/>
        <w:jc w:val="left"/>
      </w:pPr>
      <w:r>
        <w:t xml:space="preserve">3 </w:t>
      </w:r>
      <w:proofErr w:type="spellStart"/>
      <w:r>
        <w:t>MillionLives</w:t>
      </w:r>
      <w:proofErr w:type="spellEnd"/>
      <w:r>
        <w:t xml:space="preserve">. 2012. </w:t>
      </w:r>
      <w:r>
        <w:rPr>
          <w:i/>
        </w:rPr>
        <w:t>News Release: Minister welcomes 3millionlives approach</w:t>
      </w:r>
      <w:r>
        <w:t>, January 19</w:t>
      </w:r>
      <w:proofErr w:type="gramStart"/>
      <w:r>
        <w:t xml:space="preserve"> 2012</w:t>
      </w:r>
      <w:proofErr w:type="gramEnd"/>
      <w:r>
        <w:t xml:space="preserve">. </w:t>
      </w:r>
      <w:hyperlink r:id="rId8">
        <w:r>
          <w:rPr>
            <w:u w:val="single" w:color="000000"/>
          </w:rPr>
          <w:t>http://3millionlives.co.uk//wp</w:t>
        </w:r>
      </w:hyperlink>
      <w:hyperlink r:id="rId9">
        <w:r>
          <w:rPr>
            <w:u w:val="single" w:color="000000"/>
          </w:rPr>
          <w:t>-</w:t>
        </w:r>
      </w:hyperlink>
      <w:hyperlink r:id="rId10">
        <w:r>
          <w:rPr>
            <w:u w:val="single" w:color="000000"/>
          </w:rPr>
          <w:t>content/uploads/2012/03/3millionlives</w:t>
        </w:r>
      </w:hyperlink>
      <w:hyperlink r:id="rId11">
        <w:r>
          <w:rPr>
            <w:u w:val="single" w:color="000000"/>
          </w:rPr>
          <w:t>-</w:t>
        </w:r>
      </w:hyperlink>
      <w:hyperlink r:id="rId12">
        <w:r>
          <w:rPr>
            <w:u w:val="single" w:color="000000"/>
          </w:rPr>
          <w:t>News</w:t>
        </w:r>
      </w:hyperlink>
      <w:hyperlink r:id="rId13"/>
      <w:hyperlink r:id="rId14">
        <w:r>
          <w:rPr>
            <w:u w:val="single" w:color="000000"/>
          </w:rPr>
          <w:t>Release.pdf</w:t>
        </w:r>
      </w:hyperlink>
      <w:hyperlink r:id="rId15">
        <w:r>
          <w:t>.</w:t>
        </w:r>
      </w:hyperlink>
      <w:r>
        <w:t xml:space="preserve"> (Accessed Jan. 2013). </w:t>
      </w:r>
    </w:p>
    <w:p w14:paraId="3D796F3E" w14:textId="77777777" w:rsidR="00B94971" w:rsidRDefault="0047225A">
      <w:pPr>
        <w:spacing w:after="0" w:line="259" w:lineRule="auto"/>
        <w:ind w:left="0" w:firstLine="0"/>
        <w:jc w:val="left"/>
      </w:pPr>
      <w:r>
        <w:rPr>
          <w:color w:val="2E2E2E"/>
        </w:rPr>
        <w:t xml:space="preserve"> </w:t>
      </w:r>
    </w:p>
    <w:p w14:paraId="76AD64ED" w14:textId="77777777" w:rsidR="00B94971" w:rsidRDefault="0047225A">
      <w:pPr>
        <w:spacing w:after="0" w:line="238" w:lineRule="auto"/>
        <w:ind w:left="0" w:firstLine="0"/>
        <w:jc w:val="left"/>
      </w:pPr>
      <w:r>
        <w:rPr>
          <w:color w:val="2E2E2E"/>
        </w:rPr>
        <w:t xml:space="preserve">Adams, S. and Ellison, M. 2009. </w:t>
      </w:r>
      <w:r>
        <w:rPr>
          <w:i/>
          <w:color w:val="2E2E2E"/>
        </w:rPr>
        <w:t>Time to adapt – Home adaptations for older people: Th</w:t>
      </w:r>
      <w:r>
        <w:rPr>
          <w:i/>
          <w:color w:val="2E2E2E"/>
        </w:rPr>
        <w:t>e increase in need and future of state provision.</w:t>
      </w:r>
      <w:r>
        <w:rPr>
          <w:color w:val="2E2E2E"/>
        </w:rPr>
        <w:t xml:space="preserve"> Nottingham: Care and Repair England. </w:t>
      </w:r>
    </w:p>
    <w:p w14:paraId="7505DC45" w14:textId="77777777" w:rsidR="00B94971" w:rsidRDefault="0047225A">
      <w:pPr>
        <w:spacing w:after="0" w:line="259" w:lineRule="auto"/>
        <w:ind w:left="0" w:firstLine="0"/>
        <w:jc w:val="left"/>
      </w:pPr>
      <w:r>
        <w:t xml:space="preserve"> </w:t>
      </w:r>
    </w:p>
    <w:p w14:paraId="7CE02CC9" w14:textId="77777777" w:rsidR="00B94971" w:rsidRDefault="0047225A">
      <w:pPr>
        <w:ind w:left="-5"/>
      </w:pPr>
      <w:r>
        <w:t xml:space="preserve">Angus, J., </w:t>
      </w:r>
      <w:proofErr w:type="spellStart"/>
      <w:r>
        <w:t>Kontos</w:t>
      </w:r>
      <w:proofErr w:type="spellEnd"/>
      <w:r>
        <w:t>, P., Dyck, I., McKeever, P. and Poland, B. 2005. The personal significance of home: Habitus and the experience of receiving long-term home care.</w:t>
      </w:r>
      <w:r>
        <w:rPr>
          <w:i/>
        </w:rPr>
        <w:t xml:space="preserve"> Sociology of Health and Illness</w:t>
      </w:r>
      <w:r>
        <w:t xml:space="preserve"> 27(2): 161-187. </w:t>
      </w:r>
    </w:p>
    <w:p w14:paraId="3F23269C" w14:textId="77777777" w:rsidR="00B94971" w:rsidRDefault="0047225A">
      <w:pPr>
        <w:spacing w:after="0" w:line="259" w:lineRule="auto"/>
        <w:ind w:left="0" w:firstLine="0"/>
        <w:jc w:val="left"/>
      </w:pPr>
      <w:r>
        <w:t xml:space="preserve"> </w:t>
      </w:r>
    </w:p>
    <w:p w14:paraId="428D17CC" w14:textId="77777777" w:rsidR="00B94971" w:rsidRDefault="0047225A">
      <w:pPr>
        <w:ind w:left="-5"/>
      </w:pPr>
      <w:r>
        <w:t xml:space="preserve">Barlow, J., Bayer, S. and Curry, R. 2007. </w:t>
      </w:r>
      <w:r>
        <w:t xml:space="preserve">Flexible homes, flexible care, inflexible organisations? The role of telecare in supporting independence. </w:t>
      </w:r>
      <w:r>
        <w:rPr>
          <w:i/>
        </w:rPr>
        <w:t xml:space="preserve"> Housing Studies</w:t>
      </w:r>
      <w:r>
        <w:t xml:space="preserve"> 20(3): 441456. </w:t>
      </w:r>
    </w:p>
    <w:p w14:paraId="39D6C0E1" w14:textId="77777777" w:rsidR="00B94971" w:rsidRDefault="0047225A">
      <w:pPr>
        <w:spacing w:after="0" w:line="259" w:lineRule="auto"/>
        <w:ind w:left="0" w:firstLine="0"/>
        <w:jc w:val="left"/>
      </w:pPr>
      <w:r>
        <w:lastRenderedPageBreak/>
        <w:t xml:space="preserve"> </w:t>
      </w:r>
    </w:p>
    <w:p w14:paraId="7EB2546C" w14:textId="77777777" w:rsidR="00B94971" w:rsidRDefault="0047225A">
      <w:pPr>
        <w:ind w:left="-5"/>
      </w:pPr>
      <w:proofErr w:type="spellStart"/>
      <w:r>
        <w:t>Björnsdóttir</w:t>
      </w:r>
      <w:proofErr w:type="spellEnd"/>
      <w:r>
        <w:t xml:space="preserve">, K. 2002. From the state to the family: Reconfiguring the responsibility for </w:t>
      </w:r>
      <w:proofErr w:type="spellStart"/>
      <w:r>
        <w:t>longterm</w:t>
      </w:r>
      <w:proofErr w:type="spellEnd"/>
      <w:r>
        <w:t xml:space="preserve"> nursing care at </w:t>
      </w:r>
      <w:r>
        <w:t xml:space="preserve">home. </w:t>
      </w:r>
      <w:r>
        <w:rPr>
          <w:i/>
        </w:rPr>
        <w:t>Nursing Enquiry</w:t>
      </w:r>
      <w:r>
        <w:t xml:space="preserve"> 9(1): 3-11. </w:t>
      </w:r>
    </w:p>
    <w:p w14:paraId="1A5DA787" w14:textId="77777777" w:rsidR="00B94971" w:rsidRDefault="0047225A">
      <w:pPr>
        <w:spacing w:after="0" w:line="259" w:lineRule="auto"/>
        <w:ind w:left="0" w:firstLine="0"/>
        <w:jc w:val="left"/>
      </w:pPr>
      <w:r>
        <w:t xml:space="preserve"> </w:t>
      </w:r>
    </w:p>
    <w:p w14:paraId="15F095ED" w14:textId="77777777" w:rsidR="00B94971" w:rsidRDefault="0047225A">
      <w:pPr>
        <w:ind w:left="-5"/>
      </w:pPr>
      <w:r>
        <w:t xml:space="preserve">Bryman, A. 2012. </w:t>
      </w:r>
      <w:r>
        <w:rPr>
          <w:i/>
        </w:rPr>
        <w:t>Social Research Methods.</w:t>
      </w:r>
      <w:r>
        <w:t xml:space="preserve"> Oxford: Oxford University Press. </w:t>
      </w:r>
    </w:p>
    <w:p w14:paraId="49B45B32" w14:textId="77777777" w:rsidR="00B94971" w:rsidRDefault="0047225A">
      <w:pPr>
        <w:spacing w:after="0" w:line="259" w:lineRule="auto"/>
        <w:ind w:left="0" w:firstLine="0"/>
        <w:jc w:val="left"/>
      </w:pPr>
      <w:r>
        <w:t xml:space="preserve"> </w:t>
      </w:r>
    </w:p>
    <w:p w14:paraId="271B6C8D" w14:textId="77777777" w:rsidR="00B94971" w:rsidRDefault="0047225A">
      <w:pPr>
        <w:ind w:left="-5"/>
      </w:pPr>
      <w:r>
        <w:t xml:space="preserve">Carroll, C., Cowans, J. and </w:t>
      </w:r>
      <w:proofErr w:type="spellStart"/>
      <w:r>
        <w:t>Darton</w:t>
      </w:r>
      <w:proofErr w:type="spellEnd"/>
      <w:r>
        <w:t xml:space="preserve">, D (eds.). 1999. </w:t>
      </w:r>
      <w:r>
        <w:rPr>
          <w:i/>
        </w:rPr>
        <w:t>Meeting Part M and designing Lifetime Homes.</w:t>
      </w:r>
      <w:r>
        <w:t xml:space="preserve"> </w:t>
      </w:r>
      <w:r>
        <w:t xml:space="preserve">York: Joseph Rowntree Foundation. </w:t>
      </w:r>
    </w:p>
    <w:p w14:paraId="62201977" w14:textId="77777777" w:rsidR="00B94971" w:rsidRDefault="0047225A">
      <w:pPr>
        <w:spacing w:after="0" w:line="259" w:lineRule="auto"/>
        <w:ind w:left="0" w:firstLine="0"/>
        <w:jc w:val="left"/>
      </w:pPr>
      <w:r>
        <w:t xml:space="preserve"> </w:t>
      </w:r>
    </w:p>
    <w:p w14:paraId="047DC592" w14:textId="77777777" w:rsidR="00B94971" w:rsidRDefault="0047225A">
      <w:pPr>
        <w:ind w:left="-5"/>
      </w:pPr>
      <w:r>
        <w:t xml:space="preserve">College of Occupational Therapists, Housing Corporation. 2006. </w:t>
      </w:r>
      <w:r>
        <w:rPr>
          <w:i/>
        </w:rPr>
        <w:t xml:space="preserve">Minor adaptations without delay. </w:t>
      </w:r>
      <w:r>
        <w:t xml:space="preserve">London: College of Occupational Therapists. </w:t>
      </w:r>
    </w:p>
    <w:p w14:paraId="6811359F" w14:textId="77777777" w:rsidR="00B94971" w:rsidRDefault="0047225A">
      <w:pPr>
        <w:spacing w:after="0" w:line="259" w:lineRule="auto"/>
        <w:ind w:left="0" w:firstLine="0"/>
        <w:jc w:val="left"/>
      </w:pPr>
      <w:r>
        <w:t xml:space="preserve"> </w:t>
      </w:r>
    </w:p>
    <w:p w14:paraId="77430ED1" w14:textId="77777777" w:rsidR="00B94971" w:rsidRDefault="0047225A">
      <w:pPr>
        <w:ind w:left="-5"/>
      </w:pPr>
      <w:r>
        <w:t xml:space="preserve">Department for Communities and Local Government. 2006. </w:t>
      </w:r>
      <w:r>
        <w:rPr>
          <w:i/>
        </w:rPr>
        <w:t>English House Conditi</w:t>
      </w:r>
      <w:r>
        <w:rPr>
          <w:i/>
        </w:rPr>
        <w:t>on Survey technical report (2003 edition): Decent homes and decent places.</w:t>
      </w:r>
      <w:r>
        <w:t xml:space="preserve"> Wetherby: Communities and Local Government Publications. </w:t>
      </w:r>
    </w:p>
    <w:p w14:paraId="629C6401" w14:textId="77777777" w:rsidR="00B94971" w:rsidRDefault="0047225A">
      <w:pPr>
        <w:spacing w:after="0" w:line="259" w:lineRule="auto"/>
        <w:ind w:left="0" w:firstLine="0"/>
        <w:jc w:val="left"/>
      </w:pPr>
      <w:r>
        <w:t xml:space="preserve"> </w:t>
      </w:r>
    </w:p>
    <w:p w14:paraId="24B572C6" w14:textId="77777777" w:rsidR="00B94971" w:rsidRDefault="0047225A">
      <w:pPr>
        <w:ind w:left="-5"/>
      </w:pPr>
      <w:r>
        <w:t xml:space="preserve">Department for Communities and Local Government. 2008. </w:t>
      </w:r>
      <w:r>
        <w:rPr>
          <w:i/>
        </w:rPr>
        <w:t>Disabled Facilities Grant – The package of changes to modernise th</w:t>
      </w:r>
      <w:r>
        <w:rPr>
          <w:i/>
        </w:rPr>
        <w:t>e programme.</w:t>
      </w:r>
      <w:r>
        <w:t xml:space="preserve"> Wetherby: Communities and Local Government Publications.  </w:t>
      </w:r>
    </w:p>
    <w:p w14:paraId="6000EBCC" w14:textId="77777777" w:rsidR="00B94971" w:rsidRDefault="0047225A">
      <w:pPr>
        <w:spacing w:after="0" w:line="259" w:lineRule="auto"/>
        <w:ind w:left="0" w:firstLine="0"/>
        <w:jc w:val="left"/>
      </w:pPr>
      <w:r>
        <w:t xml:space="preserve"> </w:t>
      </w:r>
    </w:p>
    <w:p w14:paraId="1E62D118" w14:textId="77777777" w:rsidR="00B94971" w:rsidRDefault="0047225A">
      <w:pPr>
        <w:spacing w:after="10" w:line="249" w:lineRule="auto"/>
        <w:ind w:left="-5"/>
      </w:pPr>
      <w:r>
        <w:t xml:space="preserve">Department of Health. 2010. </w:t>
      </w:r>
      <w:r>
        <w:rPr>
          <w:i/>
        </w:rPr>
        <w:t>Prioritising need in the context of ‘Putting People First’: A whole system approach to eligibility for social care. Guidance on eligibility criteria for a</w:t>
      </w:r>
      <w:r>
        <w:rPr>
          <w:i/>
        </w:rPr>
        <w:t xml:space="preserve">dult social care, England 2010. </w:t>
      </w:r>
      <w:r>
        <w:t xml:space="preserve">Available on-line at: </w:t>
      </w:r>
    </w:p>
    <w:p w14:paraId="4FFC5358" w14:textId="77777777" w:rsidR="00B94971" w:rsidRDefault="0047225A">
      <w:pPr>
        <w:spacing w:after="0" w:line="238" w:lineRule="auto"/>
        <w:ind w:left="-5"/>
        <w:jc w:val="left"/>
      </w:pPr>
      <w:hyperlink r:id="rId16">
        <w:r>
          <w:rPr>
            <w:color w:val="0000FF"/>
            <w:u w:val="single" w:color="0000FF"/>
          </w:rPr>
          <w:t>www.dh.gov.uk/en/Publicationsandstatistics/Publications/PublicationsPolicyAndGuid</w:t>
        </w:r>
        <w:r>
          <w:rPr>
            <w:color w:val="0000FF"/>
            <w:u w:val="single" w:color="0000FF"/>
          </w:rPr>
          <w:t xml:space="preserve">ance/D </w:t>
        </w:r>
      </w:hyperlink>
      <w:hyperlink r:id="rId17">
        <w:r>
          <w:rPr>
            <w:color w:val="0000FF"/>
            <w:u w:val="single" w:color="0000FF"/>
          </w:rPr>
          <w:t>H_113154</w:t>
        </w:r>
      </w:hyperlink>
      <w:hyperlink r:id="rId18">
        <w:r>
          <w:t xml:space="preserve"> </w:t>
        </w:r>
      </w:hyperlink>
      <w:r>
        <w:t xml:space="preserve">(Accessed Nov. 2012). </w:t>
      </w:r>
    </w:p>
    <w:p w14:paraId="1E1637B4" w14:textId="77777777" w:rsidR="00B94971" w:rsidRDefault="0047225A">
      <w:pPr>
        <w:spacing w:after="0" w:line="259" w:lineRule="auto"/>
        <w:ind w:left="0" w:firstLine="0"/>
        <w:jc w:val="left"/>
      </w:pPr>
      <w:r>
        <w:t xml:space="preserve"> </w:t>
      </w:r>
    </w:p>
    <w:p w14:paraId="5563BAF9" w14:textId="77777777" w:rsidR="00B94971" w:rsidRDefault="0047225A">
      <w:pPr>
        <w:ind w:left="-5"/>
      </w:pPr>
      <w:r>
        <w:t xml:space="preserve">Dewsbury, G., </w:t>
      </w:r>
      <w:proofErr w:type="spellStart"/>
      <w:r>
        <w:t>Rouncefield</w:t>
      </w:r>
      <w:proofErr w:type="spellEnd"/>
      <w:r>
        <w:t xml:space="preserve">, M., Clarke, K. and Sommerville, I. 2004. Depending on digital design: Extending inclusivity. </w:t>
      </w:r>
      <w:r>
        <w:rPr>
          <w:i/>
        </w:rPr>
        <w:t xml:space="preserve"> Hou</w:t>
      </w:r>
      <w:r>
        <w:rPr>
          <w:i/>
        </w:rPr>
        <w:t>sing Studies</w:t>
      </w:r>
      <w:r>
        <w:t xml:space="preserve"> 19(5): 811-825. </w:t>
      </w:r>
    </w:p>
    <w:p w14:paraId="6E08C057" w14:textId="77777777" w:rsidR="00B94971" w:rsidRDefault="0047225A">
      <w:pPr>
        <w:spacing w:after="0" w:line="259" w:lineRule="auto"/>
        <w:ind w:left="0" w:firstLine="0"/>
        <w:jc w:val="left"/>
      </w:pPr>
      <w:r>
        <w:t xml:space="preserve"> </w:t>
      </w:r>
    </w:p>
    <w:p w14:paraId="60C7BA4C" w14:textId="77777777" w:rsidR="00B94971" w:rsidRDefault="0047225A">
      <w:pPr>
        <w:ind w:left="-5"/>
      </w:pPr>
      <w:r>
        <w:t xml:space="preserve">Ewart, I.J. and Luck, R. 2013. Living </w:t>
      </w:r>
      <w:r>
        <w:rPr>
          <w:i/>
        </w:rPr>
        <w:t>from</w:t>
      </w:r>
      <w:r>
        <w:t xml:space="preserve"> home: </w:t>
      </w:r>
      <w:proofErr w:type="gramStart"/>
      <w:r>
        <w:t>Older</w:t>
      </w:r>
      <w:proofErr w:type="gramEnd"/>
      <w:r>
        <w:t xml:space="preserve"> people looking beyond the house. </w:t>
      </w:r>
      <w:r>
        <w:rPr>
          <w:i/>
        </w:rPr>
        <w:t>Home Cultures</w:t>
      </w:r>
      <w:r>
        <w:t xml:space="preserve"> 10(1): 25-42. </w:t>
      </w:r>
    </w:p>
    <w:p w14:paraId="6942D6A4" w14:textId="77777777" w:rsidR="00B94971" w:rsidRDefault="0047225A">
      <w:pPr>
        <w:spacing w:after="0" w:line="259" w:lineRule="auto"/>
        <w:ind w:left="0" w:firstLine="0"/>
        <w:jc w:val="left"/>
      </w:pPr>
      <w:r>
        <w:t xml:space="preserve"> </w:t>
      </w:r>
    </w:p>
    <w:p w14:paraId="44313409" w14:textId="77777777" w:rsidR="00B94971" w:rsidRDefault="0047225A">
      <w:pPr>
        <w:ind w:left="-5"/>
      </w:pPr>
      <w:proofErr w:type="spellStart"/>
      <w:r>
        <w:t>Fänge</w:t>
      </w:r>
      <w:proofErr w:type="spellEnd"/>
      <w:r>
        <w:t xml:space="preserve">, A. and </w:t>
      </w:r>
      <w:proofErr w:type="spellStart"/>
      <w:r>
        <w:t>Iwarsson</w:t>
      </w:r>
      <w:proofErr w:type="spellEnd"/>
      <w:r>
        <w:t>, S. 2007. Challenges in the development of strategies for housing adaptation evalu</w:t>
      </w:r>
      <w:r>
        <w:t xml:space="preserve">ations. </w:t>
      </w:r>
      <w:r>
        <w:rPr>
          <w:i/>
        </w:rPr>
        <w:t>Scandinavian Journal of Occupational Therapy</w:t>
      </w:r>
      <w:r>
        <w:t xml:space="preserve"> 14: 140-149. </w:t>
      </w:r>
    </w:p>
    <w:p w14:paraId="2EA60AAC" w14:textId="77777777" w:rsidR="00B94971" w:rsidRDefault="0047225A">
      <w:pPr>
        <w:spacing w:after="0" w:line="259" w:lineRule="auto"/>
        <w:ind w:left="0" w:firstLine="0"/>
        <w:jc w:val="left"/>
      </w:pPr>
      <w:r>
        <w:t xml:space="preserve"> </w:t>
      </w:r>
    </w:p>
    <w:p w14:paraId="32F43450" w14:textId="77777777" w:rsidR="00B94971" w:rsidRDefault="0047225A">
      <w:pPr>
        <w:ind w:left="-5"/>
      </w:pPr>
      <w:r>
        <w:t xml:space="preserve">Gitlin, L. 2003. Conducting research on home environments: Lessons learned and new directions. </w:t>
      </w:r>
      <w:r>
        <w:rPr>
          <w:i/>
        </w:rPr>
        <w:t>The Gerontologist</w:t>
      </w:r>
      <w:r>
        <w:t xml:space="preserve"> 43(5): 628-637. </w:t>
      </w:r>
    </w:p>
    <w:p w14:paraId="5D87B402" w14:textId="77777777" w:rsidR="00B94971" w:rsidRDefault="0047225A">
      <w:pPr>
        <w:spacing w:after="0" w:line="259" w:lineRule="auto"/>
        <w:ind w:left="0" w:firstLine="0"/>
        <w:jc w:val="left"/>
      </w:pPr>
      <w:r>
        <w:t xml:space="preserve"> </w:t>
      </w:r>
    </w:p>
    <w:p w14:paraId="3A118D7D" w14:textId="77777777" w:rsidR="00B94971" w:rsidRDefault="0047225A">
      <w:pPr>
        <w:ind w:left="-5"/>
      </w:pPr>
      <w:r>
        <w:t xml:space="preserve">Gitlin, L.N. 2009. Environmental adaptations for older adults and their families in the home and community. In </w:t>
      </w:r>
      <w:proofErr w:type="spellStart"/>
      <w:r>
        <w:t>Söderback</w:t>
      </w:r>
      <w:proofErr w:type="spellEnd"/>
      <w:r>
        <w:t xml:space="preserve">, I. (ed.) </w:t>
      </w:r>
      <w:r>
        <w:rPr>
          <w:i/>
        </w:rPr>
        <w:t>International Handbook of occupational therapy interventions,</w:t>
      </w:r>
      <w:r>
        <w:t xml:space="preserve"> pp. 53-62. New York: Springer.  </w:t>
      </w:r>
    </w:p>
    <w:p w14:paraId="4E6DC94E" w14:textId="77777777" w:rsidR="00B94971" w:rsidRDefault="0047225A">
      <w:pPr>
        <w:spacing w:after="0" w:line="259" w:lineRule="auto"/>
        <w:ind w:left="0" w:firstLine="0"/>
        <w:jc w:val="left"/>
      </w:pPr>
      <w:r>
        <w:t xml:space="preserve"> </w:t>
      </w:r>
    </w:p>
    <w:p w14:paraId="64D08775" w14:textId="77777777" w:rsidR="00B94971" w:rsidRDefault="0047225A">
      <w:pPr>
        <w:ind w:left="-5"/>
      </w:pPr>
      <w:r>
        <w:t xml:space="preserve">Goldsmith, S. 1997. </w:t>
      </w:r>
      <w:r>
        <w:rPr>
          <w:i/>
        </w:rPr>
        <w:t>Designin</w:t>
      </w:r>
      <w:r>
        <w:rPr>
          <w:i/>
        </w:rPr>
        <w:t>g for the disabled: A new paradigm.</w:t>
      </w:r>
      <w:r>
        <w:t xml:space="preserve"> London: Architectural Press. </w:t>
      </w:r>
    </w:p>
    <w:p w14:paraId="2EE97057" w14:textId="77777777" w:rsidR="00B94971" w:rsidRDefault="0047225A">
      <w:pPr>
        <w:spacing w:after="0" w:line="259" w:lineRule="auto"/>
        <w:ind w:left="0" w:firstLine="0"/>
        <w:jc w:val="left"/>
      </w:pPr>
      <w:r>
        <w:t xml:space="preserve"> </w:t>
      </w:r>
    </w:p>
    <w:p w14:paraId="4C879578" w14:textId="77777777" w:rsidR="00B94971" w:rsidRDefault="0047225A">
      <w:pPr>
        <w:spacing w:after="10" w:line="249" w:lineRule="auto"/>
        <w:ind w:left="-5"/>
      </w:pPr>
      <w:r>
        <w:t xml:space="preserve">Ham, C., Dixon, A. and Brooke, B. 2012. </w:t>
      </w:r>
      <w:r>
        <w:rPr>
          <w:i/>
        </w:rPr>
        <w:t>Transforming the delivery of health and social care: The case for fundamental change.</w:t>
      </w:r>
      <w:r>
        <w:t xml:space="preserve"> London: Kings Fund. </w:t>
      </w:r>
    </w:p>
    <w:p w14:paraId="087DEA99" w14:textId="77777777" w:rsidR="00B94971" w:rsidRDefault="0047225A">
      <w:pPr>
        <w:spacing w:after="0" w:line="259" w:lineRule="auto"/>
        <w:ind w:left="0" w:firstLine="0"/>
        <w:jc w:val="left"/>
      </w:pPr>
      <w:r>
        <w:t xml:space="preserve"> </w:t>
      </w:r>
    </w:p>
    <w:p w14:paraId="619DA66E" w14:textId="77777777" w:rsidR="00B94971" w:rsidRDefault="0047225A">
      <w:pPr>
        <w:ind w:left="-5"/>
      </w:pPr>
      <w:r>
        <w:lastRenderedPageBreak/>
        <w:t>Hanson, J. 2001. From sheltered housing</w:t>
      </w:r>
      <w:r>
        <w:t xml:space="preserve"> to lifetime homes: an inclusive approach to housing. In Winters, S., (ed.) </w:t>
      </w:r>
      <w:r>
        <w:rPr>
          <w:i/>
        </w:rPr>
        <w:t>Lifetime Housing in Europe: Proceedings of the European seminar and colloquium “Living tomorrow starts today”.</w:t>
      </w:r>
      <w:r>
        <w:t xml:space="preserve"> Leuven: </w:t>
      </w:r>
      <w:proofErr w:type="spellStart"/>
      <w:r>
        <w:t>Katholieke</w:t>
      </w:r>
      <w:proofErr w:type="spellEnd"/>
      <w:r>
        <w:t xml:space="preserve"> </w:t>
      </w:r>
      <w:proofErr w:type="spellStart"/>
      <w:r>
        <w:t>Unversiteit</w:t>
      </w:r>
      <w:proofErr w:type="spellEnd"/>
      <w:r>
        <w:t xml:space="preserve"> Leuven. pp. 3557. </w:t>
      </w:r>
    </w:p>
    <w:p w14:paraId="7806A24C" w14:textId="77777777" w:rsidR="00B94971" w:rsidRDefault="0047225A">
      <w:pPr>
        <w:spacing w:after="0" w:line="259" w:lineRule="auto"/>
        <w:ind w:left="0" w:firstLine="0"/>
        <w:jc w:val="left"/>
      </w:pPr>
      <w:r>
        <w:t xml:space="preserve"> </w:t>
      </w:r>
    </w:p>
    <w:p w14:paraId="318D43BB" w14:textId="77777777" w:rsidR="00B94971" w:rsidRDefault="0047225A">
      <w:pPr>
        <w:spacing w:after="110"/>
        <w:ind w:left="-5"/>
      </w:pPr>
      <w:r>
        <w:t xml:space="preserve">Harris, J. 2010. </w:t>
      </w:r>
      <w:r>
        <w:t xml:space="preserve">The use, role and application of advanced technology in the lives of disabled people in the UK. </w:t>
      </w:r>
      <w:r>
        <w:rPr>
          <w:i/>
        </w:rPr>
        <w:t>Disability and Society</w:t>
      </w:r>
      <w:r>
        <w:t xml:space="preserve"> 25(4): 427-439. </w:t>
      </w:r>
    </w:p>
    <w:p w14:paraId="136C3C2C" w14:textId="77777777" w:rsidR="00B94971" w:rsidRDefault="0047225A">
      <w:pPr>
        <w:spacing w:after="0" w:line="259" w:lineRule="auto"/>
        <w:ind w:left="0" w:firstLine="0"/>
        <w:jc w:val="left"/>
      </w:pPr>
      <w:r>
        <w:t xml:space="preserve"> </w:t>
      </w:r>
    </w:p>
    <w:p w14:paraId="3A4D124A" w14:textId="77777777" w:rsidR="00B94971" w:rsidRDefault="0047225A">
      <w:pPr>
        <w:ind w:left="-5"/>
      </w:pPr>
      <w:r>
        <w:t xml:space="preserve">Heywood, F. 2004. Understanding needs: A starting point for quality. </w:t>
      </w:r>
      <w:r>
        <w:rPr>
          <w:i/>
        </w:rPr>
        <w:t>Housing Studies</w:t>
      </w:r>
      <w:r>
        <w:t xml:space="preserve"> 19(5): 709-726. </w:t>
      </w:r>
    </w:p>
    <w:p w14:paraId="39C38477" w14:textId="77777777" w:rsidR="00B94971" w:rsidRDefault="0047225A">
      <w:pPr>
        <w:spacing w:after="0" w:line="259" w:lineRule="auto"/>
        <w:ind w:left="0" w:firstLine="0"/>
        <w:jc w:val="left"/>
      </w:pPr>
      <w:r>
        <w:t xml:space="preserve"> </w:t>
      </w:r>
    </w:p>
    <w:p w14:paraId="1CBD8C12" w14:textId="77777777" w:rsidR="00B94971" w:rsidRDefault="0047225A">
      <w:pPr>
        <w:ind w:left="-5"/>
      </w:pPr>
      <w:r>
        <w:t>Heywood, F. 20</w:t>
      </w:r>
      <w:r>
        <w:t xml:space="preserve">05. Adaptation: Altering the house to restore the home. </w:t>
      </w:r>
      <w:r>
        <w:rPr>
          <w:i/>
        </w:rPr>
        <w:t>Housing Studies</w:t>
      </w:r>
      <w:r>
        <w:t xml:space="preserve"> 20(4): 531-547. </w:t>
      </w:r>
    </w:p>
    <w:p w14:paraId="2EB342EA" w14:textId="77777777" w:rsidR="00B94971" w:rsidRDefault="0047225A">
      <w:pPr>
        <w:spacing w:after="0" w:line="259" w:lineRule="auto"/>
        <w:ind w:left="0" w:firstLine="0"/>
        <w:jc w:val="left"/>
      </w:pPr>
      <w:r>
        <w:t xml:space="preserve"> </w:t>
      </w:r>
    </w:p>
    <w:p w14:paraId="2E1AE393" w14:textId="77777777" w:rsidR="00B94971" w:rsidRDefault="0047225A">
      <w:pPr>
        <w:spacing w:after="10" w:line="249" w:lineRule="auto"/>
        <w:ind w:left="-5"/>
      </w:pPr>
      <w:r>
        <w:t xml:space="preserve">Heywood, F. and Turner, L. 2007. </w:t>
      </w:r>
      <w:r>
        <w:rPr>
          <w:i/>
        </w:rPr>
        <w:t>Better outcomes, lower costs: Implications for health and social care budgets of investment in housing adaptations, improvements and</w:t>
      </w:r>
      <w:r>
        <w:rPr>
          <w:i/>
        </w:rPr>
        <w:t xml:space="preserve"> equipment. </w:t>
      </w:r>
      <w:r>
        <w:t xml:space="preserve">Leeds: HMSO. </w:t>
      </w:r>
    </w:p>
    <w:p w14:paraId="58994CB4" w14:textId="77777777" w:rsidR="00B94971" w:rsidRDefault="0047225A">
      <w:pPr>
        <w:spacing w:after="0" w:line="259" w:lineRule="auto"/>
        <w:ind w:left="0" w:firstLine="0"/>
        <w:jc w:val="left"/>
      </w:pPr>
      <w:r>
        <w:t xml:space="preserve"> </w:t>
      </w:r>
    </w:p>
    <w:p w14:paraId="0C20681D" w14:textId="77777777" w:rsidR="00B94971" w:rsidRDefault="0047225A">
      <w:pPr>
        <w:spacing w:after="10" w:line="249" w:lineRule="auto"/>
        <w:ind w:left="-5"/>
      </w:pPr>
      <w:r>
        <w:t xml:space="preserve">HM Government, 2010. </w:t>
      </w:r>
      <w:r>
        <w:rPr>
          <w:i/>
        </w:rPr>
        <w:t xml:space="preserve">The building regulations 2010. Access to and use of buildings. Approved document M (2004 edition incorporating 2010 amendments). </w:t>
      </w:r>
      <w:r>
        <w:t xml:space="preserve">Available online at: </w:t>
      </w:r>
      <w:hyperlink r:id="rId19">
        <w:r>
          <w:rPr>
            <w:color w:val="0000FF"/>
            <w:u w:val="single" w:color="0000FF"/>
          </w:rPr>
          <w:t>http://www.planningportal.gov.uk/uploads/br/BR_PDF_ADM_2004.pdf</w:t>
        </w:r>
      </w:hyperlink>
      <w:hyperlink r:id="rId20">
        <w:r>
          <w:t xml:space="preserve"> </w:t>
        </w:r>
      </w:hyperlink>
      <w:r>
        <w:t xml:space="preserve">(Accessed Dec. </w:t>
      </w:r>
    </w:p>
    <w:p w14:paraId="5246E864" w14:textId="77777777" w:rsidR="00B94971" w:rsidRDefault="0047225A">
      <w:pPr>
        <w:ind w:left="-5"/>
      </w:pPr>
      <w:r>
        <w:t xml:space="preserve">2012).  </w:t>
      </w:r>
    </w:p>
    <w:p w14:paraId="054E2597" w14:textId="77777777" w:rsidR="00B94971" w:rsidRDefault="0047225A">
      <w:pPr>
        <w:spacing w:after="0" w:line="259" w:lineRule="auto"/>
        <w:ind w:left="0" w:firstLine="0"/>
        <w:jc w:val="left"/>
      </w:pPr>
      <w:r>
        <w:t xml:space="preserve"> </w:t>
      </w:r>
    </w:p>
    <w:p w14:paraId="2204BC7E" w14:textId="77777777" w:rsidR="00B94971" w:rsidRDefault="0047225A">
      <w:pPr>
        <w:ind w:left="-5"/>
      </w:pPr>
      <w:r>
        <w:t xml:space="preserve">Hoffmann, T. and McKenna, K. 2004. A survey of assistive equipment </w:t>
      </w:r>
      <w:proofErr w:type="gramStart"/>
      <w:r>
        <w:t>use</w:t>
      </w:r>
      <w:proofErr w:type="gramEnd"/>
      <w:r>
        <w:t xml:space="preserve"> by older people following hospital discharge. </w:t>
      </w:r>
      <w:r>
        <w:rPr>
          <w:i/>
        </w:rPr>
        <w:t>British Journal of Occupational Therapy</w:t>
      </w:r>
      <w:r>
        <w:t xml:space="preserve"> 67(2): 75-82. </w:t>
      </w:r>
    </w:p>
    <w:p w14:paraId="2ABFEED0" w14:textId="77777777" w:rsidR="00B94971" w:rsidRDefault="0047225A">
      <w:pPr>
        <w:spacing w:after="0" w:line="259" w:lineRule="auto"/>
        <w:ind w:left="0" w:firstLine="0"/>
        <w:jc w:val="left"/>
      </w:pPr>
      <w:r>
        <w:t xml:space="preserve"> </w:t>
      </w:r>
    </w:p>
    <w:p w14:paraId="20396E84" w14:textId="77777777" w:rsidR="00B94971" w:rsidRDefault="0047225A">
      <w:pPr>
        <w:ind w:left="-5"/>
      </w:pPr>
      <w:r>
        <w:t xml:space="preserve">Imrie, R. 2004a. Disability, embodiment and the meaning of home. </w:t>
      </w:r>
      <w:r>
        <w:rPr>
          <w:i/>
        </w:rPr>
        <w:t>Housing Studies</w:t>
      </w:r>
      <w:r>
        <w:t xml:space="preserve"> 19(5): 745-763. </w:t>
      </w:r>
    </w:p>
    <w:p w14:paraId="56518655" w14:textId="77777777" w:rsidR="00B94971" w:rsidRDefault="0047225A">
      <w:pPr>
        <w:spacing w:after="0" w:line="259" w:lineRule="auto"/>
        <w:ind w:left="0" w:firstLine="0"/>
        <w:jc w:val="left"/>
      </w:pPr>
      <w:r>
        <w:t xml:space="preserve"> </w:t>
      </w:r>
    </w:p>
    <w:p w14:paraId="109B568E" w14:textId="77777777" w:rsidR="00B94971" w:rsidRDefault="0047225A">
      <w:pPr>
        <w:ind w:left="-5"/>
      </w:pPr>
      <w:r>
        <w:t xml:space="preserve">Imrie, </w:t>
      </w:r>
      <w:r>
        <w:t xml:space="preserve">R. 2004b. The role of the building regulations in achieving housing quality. </w:t>
      </w:r>
      <w:r>
        <w:rPr>
          <w:i/>
        </w:rPr>
        <w:t>Environment and Planning B: Planning and Design</w:t>
      </w:r>
      <w:r>
        <w:t xml:space="preserve"> 31(3): 419-437. </w:t>
      </w:r>
    </w:p>
    <w:p w14:paraId="325439BD" w14:textId="77777777" w:rsidR="00B94971" w:rsidRDefault="0047225A">
      <w:pPr>
        <w:spacing w:after="0" w:line="259" w:lineRule="auto"/>
        <w:ind w:left="0" w:firstLine="0"/>
        <w:jc w:val="left"/>
      </w:pPr>
      <w:r>
        <w:t xml:space="preserve"> </w:t>
      </w:r>
    </w:p>
    <w:p w14:paraId="6437CB52" w14:textId="77777777" w:rsidR="00B94971" w:rsidRDefault="0047225A">
      <w:pPr>
        <w:ind w:left="-5"/>
      </w:pPr>
      <w:r>
        <w:t>Imrie, R. 2012. Universalism, universal design and equitable access to the built environment,</w:t>
      </w:r>
      <w:hyperlink r:id="rId21">
        <w:r>
          <w:t xml:space="preserve"> </w:t>
        </w:r>
      </w:hyperlink>
      <w:hyperlink r:id="rId22">
        <w:r>
          <w:rPr>
            <w:i/>
          </w:rPr>
          <w:t>Disability</w:t>
        </w:r>
      </w:hyperlink>
      <w:hyperlink r:id="rId23">
        <w:r>
          <w:rPr>
            <w:i/>
          </w:rPr>
          <w:t xml:space="preserve"> </w:t>
        </w:r>
      </w:hyperlink>
      <w:hyperlink r:id="rId24">
        <w:r>
          <w:rPr>
            <w:i/>
          </w:rPr>
          <w:t>and</w:t>
        </w:r>
      </w:hyperlink>
      <w:hyperlink r:id="rId25">
        <w:r>
          <w:rPr>
            <w:i/>
          </w:rPr>
          <w:t xml:space="preserve"> </w:t>
        </w:r>
      </w:hyperlink>
      <w:hyperlink r:id="rId26">
        <w:r>
          <w:rPr>
            <w:i/>
          </w:rPr>
          <w:t>Rehabilitation</w:t>
        </w:r>
      </w:hyperlink>
      <w:hyperlink r:id="rId27">
        <w:r>
          <w:rPr>
            <w:i/>
          </w:rPr>
          <w:t xml:space="preserve"> </w:t>
        </w:r>
      </w:hyperlink>
      <w:hyperlink r:id="rId28">
        <w:r>
          <w:t>34(10):</w:t>
        </w:r>
      </w:hyperlink>
      <w:hyperlink r:id="rId29">
        <w:r>
          <w:t xml:space="preserve"> </w:t>
        </w:r>
      </w:hyperlink>
      <w:r>
        <w:t xml:space="preserve">873-882. </w:t>
      </w:r>
    </w:p>
    <w:p w14:paraId="4B7FE374" w14:textId="77777777" w:rsidR="00B94971" w:rsidRDefault="0047225A">
      <w:pPr>
        <w:spacing w:after="0" w:line="259" w:lineRule="auto"/>
        <w:ind w:left="0" w:firstLine="0"/>
        <w:jc w:val="left"/>
      </w:pPr>
      <w:r>
        <w:t xml:space="preserve"> </w:t>
      </w:r>
    </w:p>
    <w:p w14:paraId="0445AABE" w14:textId="77777777" w:rsidR="00B94971" w:rsidRDefault="0047225A">
      <w:pPr>
        <w:ind w:left="-5"/>
      </w:pPr>
      <w:r>
        <w:t xml:space="preserve">Johansson, K., </w:t>
      </w:r>
      <w:proofErr w:type="spellStart"/>
      <w:r>
        <w:t>Josephsson</w:t>
      </w:r>
      <w:proofErr w:type="spellEnd"/>
      <w:r>
        <w:t xml:space="preserve">, S. and </w:t>
      </w:r>
      <w:proofErr w:type="spellStart"/>
      <w:r>
        <w:t>Lilja</w:t>
      </w:r>
      <w:proofErr w:type="spellEnd"/>
      <w:r>
        <w:t xml:space="preserve">, M. 2009. Creating possibilities for action in the presence of environmental barriers in the process of ‘ageing in place’. </w:t>
      </w:r>
      <w:r>
        <w:rPr>
          <w:i/>
        </w:rPr>
        <w:t>Ageing and Socie</w:t>
      </w:r>
      <w:r>
        <w:rPr>
          <w:i/>
        </w:rPr>
        <w:t xml:space="preserve">ty </w:t>
      </w:r>
      <w:r>
        <w:t xml:space="preserve">29: 49-70. </w:t>
      </w:r>
    </w:p>
    <w:p w14:paraId="7FB3E714" w14:textId="77777777" w:rsidR="00B94971" w:rsidRDefault="0047225A">
      <w:pPr>
        <w:spacing w:after="0" w:line="259" w:lineRule="auto"/>
        <w:ind w:left="0" w:firstLine="0"/>
        <w:jc w:val="left"/>
      </w:pPr>
      <w:r>
        <w:t xml:space="preserve"> </w:t>
      </w:r>
    </w:p>
    <w:p w14:paraId="33B4E2FA" w14:textId="77777777" w:rsidR="00B94971" w:rsidRDefault="0047225A">
      <w:pPr>
        <w:ind w:left="-5"/>
      </w:pPr>
      <w:proofErr w:type="spellStart"/>
      <w:r>
        <w:t>Katbamna</w:t>
      </w:r>
      <w:proofErr w:type="spellEnd"/>
      <w:r>
        <w:t xml:space="preserve">, S., Ahmad, W., Bhakta, P., Baker, R. And Parker, G. 2004. Do they look after their own? Informal support for South Asian carers. </w:t>
      </w:r>
      <w:r>
        <w:rPr>
          <w:i/>
        </w:rPr>
        <w:t>Health and Social Care in the Community</w:t>
      </w:r>
      <w:r>
        <w:t xml:space="preserve"> 12(5): 398-406. </w:t>
      </w:r>
    </w:p>
    <w:p w14:paraId="3D745C46" w14:textId="77777777" w:rsidR="00B94971" w:rsidRDefault="0047225A">
      <w:pPr>
        <w:spacing w:after="0" w:line="259" w:lineRule="auto"/>
        <w:ind w:left="0" w:firstLine="0"/>
        <w:jc w:val="left"/>
      </w:pPr>
      <w:r>
        <w:t xml:space="preserve"> </w:t>
      </w:r>
    </w:p>
    <w:p w14:paraId="3404BFE6" w14:textId="77777777" w:rsidR="00B94971" w:rsidRDefault="0047225A">
      <w:pPr>
        <w:ind w:left="-5"/>
      </w:pPr>
      <w:r>
        <w:t xml:space="preserve">Kim, T.K., Kwon, S.K., Kang, Y.G., Chang, C.B. and </w:t>
      </w:r>
      <w:proofErr w:type="spellStart"/>
      <w:r>
        <w:t>Seong</w:t>
      </w:r>
      <w:proofErr w:type="spellEnd"/>
      <w:r>
        <w:t>, S.C. 2010. Functional disabilities and satisfaction after total knee arthroplasty in female Asian patients.</w:t>
      </w:r>
      <w:hyperlink r:id="rId30">
        <w:r>
          <w:rPr>
            <w:b/>
            <w:color w:val="5C5C5C"/>
          </w:rPr>
          <w:t xml:space="preserve"> </w:t>
        </w:r>
      </w:hyperlink>
      <w:hyperlink r:id="rId31">
        <w:r>
          <w:rPr>
            <w:i/>
          </w:rPr>
          <w:t>The</w:t>
        </w:r>
      </w:hyperlink>
      <w:hyperlink r:id="rId32">
        <w:r>
          <w:rPr>
            <w:i/>
          </w:rPr>
          <w:t xml:space="preserve"> </w:t>
        </w:r>
      </w:hyperlink>
      <w:hyperlink r:id="rId33">
        <w:r>
          <w:rPr>
            <w:i/>
          </w:rPr>
          <w:t>Journal</w:t>
        </w:r>
      </w:hyperlink>
      <w:hyperlink r:id="rId34">
        <w:r>
          <w:rPr>
            <w:i/>
          </w:rPr>
          <w:t xml:space="preserve"> </w:t>
        </w:r>
      </w:hyperlink>
      <w:hyperlink r:id="rId35">
        <w:r>
          <w:rPr>
            <w:i/>
          </w:rPr>
          <w:t>of</w:t>
        </w:r>
      </w:hyperlink>
      <w:hyperlink r:id="rId36">
        <w:r>
          <w:rPr>
            <w:i/>
          </w:rPr>
          <w:t xml:space="preserve"> </w:t>
        </w:r>
      </w:hyperlink>
      <w:hyperlink r:id="rId37">
        <w:r>
          <w:rPr>
            <w:i/>
          </w:rPr>
          <w:t>Arthroplasty</w:t>
        </w:r>
      </w:hyperlink>
      <w:hyperlink r:id="rId38">
        <w:r>
          <w:rPr>
            <w:i/>
          </w:rPr>
          <w:t xml:space="preserve"> </w:t>
        </w:r>
      </w:hyperlink>
      <w:r>
        <w:t xml:space="preserve">25(3): 458-464. </w:t>
      </w:r>
    </w:p>
    <w:p w14:paraId="3542A58F" w14:textId="77777777" w:rsidR="00B94971" w:rsidRDefault="0047225A">
      <w:pPr>
        <w:spacing w:after="0" w:line="259" w:lineRule="auto"/>
        <w:ind w:left="0" w:firstLine="0"/>
        <w:jc w:val="left"/>
      </w:pPr>
      <w:r>
        <w:t xml:space="preserve"> </w:t>
      </w:r>
    </w:p>
    <w:p w14:paraId="58D631F8" w14:textId="77777777" w:rsidR="00B94971" w:rsidRDefault="0047225A">
      <w:pPr>
        <w:ind w:left="-5"/>
      </w:pPr>
      <w:r>
        <w:lastRenderedPageBreak/>
        <w:t xml:space="preserve">Mann, W.C., Goodall, S., </w:t>
      </w:r>
      <w:proofErr w:type="spellStart"/>
      <w:r>
        <w:t>Justiss</w:t>
      </w:r>
      <w:proofErr w:type="spellEnd"/>
      <w:r>
        <w:t xml:space="preserve">, M.D. and Tomita, M. 2002. Dissatisfaction and </w:t>
      </w:r>
      <w:proofErr w:type="spellStart"/>
      <w:r>
        <w:t>nonuse</w:t>
      </w:r>
      <w:proofErr w:type="spellEnd"/>
      <w:r>
        <w:t xml:space="preserve"> of assistive device</w:t>
      </w:r>
      <w:r>
        <w:t xml:space="preserve">s among frail elders. </w:t>
      </w:r>
      <w:r>
        <w:rPr>
          <w:i/>
        </w:rPr>
        <w:t>Assistive Technology</w:t>
      </w:r>
      <w:r>
        <w:t xml:space="preserve"> 14(2): 130-139. </w:t>
      </w:r>
    </w:p>
    <w:p w14:paraId="2C47DAD3" w14:textId="77777777" w:rsidR="00B94971" w:rsidRDefault="0047225A">
      <w:pPr>
        <w:spacing w:after="0" w:line="259" w:lineRule="auto"/>
        <w:ind w:left="0" w:firstLine="0"/>
        <w:jc w:val="left"/>
      </w:pPr>
      <w:r>
        <w:t xml:space="preserve"> </w:t>
      </w:r>
    </w:p>
    <w:p w14:paraId="5BA2A16C" w14:textId="77777777" w:rsidR="00B94971" w:rsidRDefault="0047225A">
      <w:pPr>
        <w:ind w:left="-5"/>
      </w:pPr>
      <w:r>
        <w:t xml:space="preserve">Manzo, L.C. 2003. Beyond house and haven: Towards a revisioning of emotional relationships with places. </w:t>
      </w:r>
      <w:r>
        <w:rPr>
          <w:i/>
        </w:rPr>
        <w:t xml:space="preserve"> Journal of Environmental Psychology</w:t>
      </w:r>
      <w:r>
        <w:t xml:space="preserve"> 23(1): 47-61. </w:t>
      </w:r>
    </w:p>
    <w:p w14:paraId="0917A519" w14:textId="77777777" w:rsidR="00B94971" w:rsidRDefault="0047225A">
      <w:pPr>
        <w:spacing w:after="0" w:line="259" w:lineRule="auto"/>
        <w:ind w:left="0" w:firstLine="0"/>
        <w:jc w:val="left"/>
      </w:pPr>
      <w:r>
        <w:t xml:space="preserve"> </w:t>
      </w:r>
    </w:p>
    <w:p w14:paraId="6B256308" w14:textId="77777777" w:rsidR="00B94971" w:rsidRDefault="0047225A">
      <w:pPr>
        <w:ind w:left="-5"/>
      </w:pPr>
      <w:proofErr w:type="spellStart"/>
      <w:r>
        <w:t>Mauss</w:t>
      </w:r>
      <w:proofErr w:type="spellEnd"/>
      <w:r>
        <w:t xml:space="preserve">, M. 1973. Techniques of the body. </w:t>
      </w:r>
      <w:r>
        <w:rPr>
          <w:i/>
        </w:rPr>
        <w:t>Economy and Society</w:t>
      </w:r>
      <w:r>
        <w:t xml:space="preserve"> 2(1): 70-88. [Originally published in French 1934] </w:t>
      </w:r>
    </w:p>
    <w:p w14:paraId="14551788" w14:textId="77777777" w:rsidR="00B94971" w:rsidRDefault="0047225A">
      <w:pPr>
        <w:spacing w:after="0" w:line="259" w:lineRule="auto"/>
        <w:ind w:left="0" w:firstLine="0"/>
        <w:jc w:val="left"/>
      </w:pPr>
      <w:r>
        <w:t xml:space="preserve"> </w:t>
      </w:r>
    </w:p>
    <w:p w14:paraId="1F7465FE" w14:textId="77777777" w:rsidR="00B94971" w:rsidRDefault="0047225A">
      <w:pPr>
        <w:ind w:left="-5"/>
      </w:pPr>
      <w:r>
        <w:t xml:space="preserve">McCreadie, C. and Tinker, A. 2005. The acceptability of assistive technology to older people. </w:t>
      </w:r>
      <w:r>
        <w:rPr>
          <w:i/>
        </w:rPr>
        <w:t>Ageing and Society</w:t>
      </w:r>
      <w:r>
        <w:t xml:space="preserve"> 25: 91-110. </w:t>
      </w:r>
    </w:p>
    <w:p w14:paraId="4F7993D8" w14:textId="77777777" w:rsidR="00B94971" w:rsidRDefault="0047225A">
      <w:pPr>
        <w:spacing w:after="0" w:line="259" w:lineRule="auto"/>
        <w:ind w:left="0" w:firstLine="0"/>
        <w:jc w:val="left"/>
      </w:pPr>
      <w:r>
        <w:t xml:space="preserve"> </w:t>
      </w:r>
    </w:p>
    <w:p w14:paraId="0629A5C1" w14:textId="77777777" w:rsidR="00B94971" w:rsidRDefault="0047225A">
      <w:pPr>
        <w:ind w:left="-5"/>
      </w:pPr>
      <w:proofErr w:type="spellStart"/>
      <w:r>
        <w:t>Niva</w:t>
      </w:r>
      <w:proofErr w:type="spellEnd"/>
      <w:r>
        <w:t>, B and Sk</w:t>
      </w:r>
      <w:r>
        <w:t xml:space="preserve">ar, L. 2006. A pilot study of the activity patterns of five elderly persons after a housing adaptation. </w:t>
      </w:r>
      <w:r>
        <w:rPr>
          <w:i/>
        </w:rPr>
        <w:t xml:space="preserve">Occupational Therapy International </w:t>
      </w:r>
      <w:r>
        <w:t xml:space="preserve">13(1): 21-34.  </w:t>
      </w:r>
    </w:p>
    <w:p w14:paraId="06C8A041" w14:textId="77777777" w:rsidR="00B94971" w:rsidRDefault="0047225A">
      <w:pPr>
        <w:spacing w:after="0" w:line="259" w:lineRule="auto"/>
        <w:ind w:left="0" w:firstLine="0"/>
        <w:jc w:val="left"/>
      </w:pPr>
      <w:r>
        <w:t xml:space="preserve"> </w:t>
      </w:r>
    </w:p>
    <w:p w14:paraId="59B8877F" w14:textId="77777777" w:rsidR="00B94971" w:rsidRDefault="0047225A">
      <w:pPr>
        <w:spacing w:after="0" w:line="238" w:lineRule="auto"/>
        <w:ind w:left="-5"/>
        <w:jc w:val="left"/>
      </w:pPr>
      <w:r>
        <w:t>Office for National Statistics. 2013.</w:t>
      </w:r>
      <w:r>
        <w:rPr>
          <w:i/>
        </w:rPr>
        <w:t xml:space="preserve"> A Century of Home Ownership and Renting in England and Wales </w:t>
      </w:r>
      <w:r>
        <w:rPr>
          <w:i/>
        </w:rPr>
        <w:t xml:space="preserve">(full story). </w:t>
      </w:r>
      <w:hyperlink r:id="rId39">
        <w:r>
          <w:rPr>
            <w:i/>
          </w:rPr>
          <w:t>Part of 2011 Census Analysis</w:t>
        </w:r>
      </w:hyperlink>
      <w:hyperlink r:id="rId40">
        <w:r>
          <w:rPr>
            <w:i/>
          </w:rPr>
          <w:t>.</w:t>
        </w:r>
      </w:hyperlink>
      <w:r>
        <w:t xml:space="preserve"> Available at: </w:t>
      </w:r>
      <w:hyperlink r:id="rId41">
        <w:r>
          <w:rPr>
            <w:color w:val="0000FF"/>
            <w:u w:val="single" w:color="0000FF"/>
          </w:rPr>
          <w:t>http://www.ons.gov.uk/ons/rel/census/2011</w:t>
        </w:r>
      </w:hyperlink>
      <w:hyperlink r:id="rId42">
        <w:r>
          <w:rPr>
            <w:color w:val="0000FF"/>
            <w:u w:val="single" w:color="0000FF"/>
          </w:rPr>
          <w:t>-</w:t>
        </w:r>
      </w:hyperlink>
      <w:hyperlink r:id="rId43">
        <w:r>
          <w:rPr>
            <w:color w:val="0000FF"/>
            <w:u w:val="single" w:color="0000FF"/>
          </w:rPr>
          <w:t>census</w:t>
        </w:r>
      </w:hyperlink>
      <w:hyperlink r:id="rId44">
        <w:r>
          <w:rPr>
            <w:color w:val="0000FF"/>
            <w:u w:val="single" w:color="0000FF"/>
          </w:rPr>
          <w:t>-</w:t>
        </w:r>
      </w:hyperlink>
      <w:hyperlink r:id="rId45">
        <w:r>
          <w:rPr>
            <w:color w:val="0000FF"/>
            <w:u w:val="single" w:color="0000FF"/>
          </w:rPr>
          <w:t>analysis/a</w:t>
        </w:r>
      </w:hyperlink>
      <w:hyperlink r:id="rId46">
        <w:r>
          <w:rPr>
            <w:color w:val="0000FF"/>
            <w:u w:val="single" w:color="0000FF"/>
          </w:rPr>
          <w:t>-</w:t>
        </w:r>
      </w:hyperlink>
      <w:hyperlink r:id="rId47">
        <w:r>
          <w:rPr>
            <w:color w:val="0000FF"/>
            <w:u w:val="single" w:color="0000FF"/>
          </w:rPr>
          <w:t>century</w:t>
        </w:r>
      </w:hyperlink>
      <w:hyperlink r:id="rId48">
        <w:r>
          <w:rPr>
            <w:color w:val="0000FF"/>
            <w:u w:val="single" w:color="0000FF"/>
          </w:rPr>
          <w:t>-</w:t>
        </w:r>
      </w:hyperlink>
      <w:hyperlink r:id="rId49">
        <w:r>
          <w:rPr>
            <w:color w:val="0000FF"/>
            <w:u w:val="single" w:color="0000FF"/>
          </w:rPr>
          <w:t>of</w:t>
        </w:r>
      </w:hyperlink>
      <w:hyperlink r:id="rId50">
        <w:r>
          <w:rPr>
            <w:color w:val="0000FF"/>
            <w:u w:val="single" w:color="0000FF"/>
          </w:rPr>
          <w:t>-</w:t>
        </w:r>
      </w:hyperlink>
      <w:hyperlink r:id="rId51">
        <w:r>
          <w:rPr>
            <w:color w:val="0000FF"/>
            <w:u w:val="single" w:color="0000FF"/>
          </w:rPr>
          <w:t>home</w:t>
        </w:r>
      </w:hyperlink>
      <w:hyperlink r:id="rId52">
        <w:r>
          <w:rPr>
            <w:color w:val="0000FF"/>
            <w:u w:val="single" w:color="0000FF"/>
          </w:rPr>
          <w:t>-</w:t>
        </w:r>
      </w:hyperlink>
      <w:hyperlink r:id="rId53">
        <w:r>
          <w:rPr>
            <w:color w:val="0000FF"/>
            <w:u w:val="single" w:color="0000FF"/>
          </w:rPr>
          <w:t>ownership</w:t>
        </w:r>
      </w:hyperlink>
      <w:hyperlink r:id="rId54"/>
      <w:hyperlink r:id="rId55">
        <w:r>
          <w:rPr>
            <w:color w:val="0000FF"/>
            <w:u w:val="single" w:color="0000FF"/>
          </w:rPr>
          <w:t>and</w:t>
        </w:r>
      </w:hyperlink>
      <w:hyperlink r:id="rId56">
        <w:r>
          <w:rPr>
            <w:color w:val="0000FF"/>
            <w:u w:val="single" w:color="0000FF"/>
          </w:rPr>
          <w:t>-</w:t>
        </w:r>
      </w:hyperlink>
      <w:hyperlink r:id="rId57">
        <w:r>
          <w:rPr>
            <w:color w:val="0000FF"/>
            <w:u w:val="single" w:color="0000FF"/>
          </w:rPr>
          <w:t>renting</w:t>
        </w:r>
      </w:hyperlink>
      <w:hyperlink r:id="rId58">
        <w:r>
          <w:rPr>
            <w:color w:val="0000FF"/>
            <w:u w:val="single" w:color="0000FF"/>
          </w:rPr>
          <w:t>-</w:t>
        </w:r>
      </w:hyperlink>
      <w:hyperlink r:id="rId59">
        <w:r>
          <w:rPr>
            <w:color w:val="0000FF"/>
            <w:u w:val="single" w:color="0000FF"/>
          </w:rPr>
          <w:t>in</w:t>
        </w:r>
      </w:hyperlink>
      <w:hyperlink r:id="rId60">
        <w:r>
          <w:rPr>
            <w:color w:val="0000FF"/>
            <w:u w:val="single" w:color="0000FF"/>
          </w:rPr>
          <w:t>-</w:t>
        </w:r>
      </w:hyperlink>
      <w:hyperlink r:id="rId61">
        <w:r>
          <w:rPr>
            <w:color w:val="0000FF"/>
            <w:u w:val="single" w:color="0000FF"/>
          </w:rPr>
          <w:t>england</w:t>
        </w:r>
      </w:hyperlink>
      <w:hyperlink r:id="rId62">
        <w:r>
          <w:rPr>
            <w:color w:val="0000FF"/>
            <w:u w:val="single" w:color="0000FF"/>
          </w:rPr>
          <w:t>-</w:t>
        </w:r>
      </w:hyperlink>
      <w:hyperlink r:id="rId63">
        <w:r>
          <w:rPr>
            <w:color w:val="0000FF"/>
            <w:u w:val="single" w:color="0000FF"/>
          </w:rPr>
          <w:t>and</w:t>
        </w:r>
      </w:hyperlink>
      <w:hyperlink r:id="rId64">
        <w:r>
          <w:rPr>
            <w:color w:val="0000FF"/>
            <w:u w:val="single" w:color="0000FF"/>
          </w:rPr>
          <w:t>-</w:t>
        </w:r>
      </w:hyperlink>
      <w:hyperlink r:id="rId65">
        <w:r>
          <w:rPr>
            <w:color w:val="0000FF"/>
            <w:u w:val="single" w:color="0000FF"/>
          </w:rPr>
          <w:t>wales/short</w:t>
        </w:r>
      </w:hyperlink>
      <w:hyperlink r:id="rId66">
        <w:r>
          <w:rPr>
            <w:color w:val="0000FF"/>
            <w:u w:val="single" w:color="0000FF"/>
          </w:rPr>
          <w:t>-</w:t>
        </w:r>
      </w:hyperlink>
      <w:hyperlink r:id="rId67">
        <w:r>
          <w:rPr>
            <w:color w:val="0000FF"/>
            <w:u w:val="single" w:color="0000FF"/>
          </w:rPr>
          <w:t>story</w:t>
        </w:r>
      </w:hyperlink>
      <w:hyperlink r:id="rId68">
        <w:r>
          <w:rPr>
            <w:color w:val="0000FF"/>
            <w:u w:val="single" w:color="0000FF"/>
          </w:rPr>
          <w:t>-</w:t>
        </w:r>
      </w:hyperlink>
      <w:hyperlink r:id="rId69">
        <w:r>
          <w:rPr>
            <w:color w:val="0000FF"/>
            <w:u w:val="single" w:color="0000FF"/>
          </w:rPr>
          <w:t>on</w:t>
        </w:r>
      </w:hyperlink>
      <w:hyperlink r:id="rId70">
        <w:r>
          <w:rPr>
            <w:color w:val="0000FF"/>
            <w:u w:val="single" w:color="0000FF"/>
          </w:rPr>
          <w:t>-</w:t>
        </w:r>
      </w:hyperlink>
      <w:hyperlink r:id="rId71">
        <w:r>
          <w:rPr>
            <w:color w:val="0000FF"/>
            <w:u w:val="single" w:color="0000FF"/>
          </w:rPr>
          <w:t>housing.html</w:t>
        </w:r>
      </w:hyperlink>
      <w:hyperlink r:id="rId72">
        <w:r>
          <w:rPr>
            <w:color w:val="2E2E2E"/>
          </w:rPr>
          <w:t xml:space="preserve"> </w:t>
        </w:r>
      </w:hyperlink>
      <w:r>
        <w:rPr>
          <w:color w:val="2E2E2E"/>
        </w:rPr>
        <w:t xml:space="preserve">(Accessed Feb. 2014). </w:t>
      </w:r>
    </w:p>
    <w:p w14:paraId="17330195" w14:textId="77777777" w:rsidR="00B94971" w:rsidRDefault="0047225A">
      <w:pPr>
        <w:spacing w:after="0" w:line="259" w:lineRule="auto"/>
        <w:ind w:left="0" w:firstLine="0"/>
        <w:jc w:val="left"/>
      </w:pPr>
      <w:r>
        <w:rPr>
          <w:color w:val="2E2E2E"/>
        </w:rPr>
        <w:t xml:space="preserve"> </w:t>
      </w:r>
    </w:p>
    <w:p w14:paraId="1AD080EE" w14:textId="77777777" w:rsidR="00B94971" w:rsidRDefault="0047225A">
      <w:pPr>
        <w:ind w:left="-5"/>
      </w:pPr>
      <w:r>
        <w:t xml:space="preserve">Oswald, F. and Wahl H.-W. 2005. Dimensions of the meaning of home. In Rowles, G.D. and Chaudhury, H. (eds.) </w:t>
      </w:r>
      <w:r>
        <w:rPr>
          <w:i/>
        </w:rPr>
        <w:t>Home and Identity in Lat</w:t>
      </w:r>
      <w:r>
        <w:rPr>
          <w:i/>
        </w:rPr>
        <w:t>er Life: International Perspectives.</w:t>
      </w:r>
      <w:r>
        <w:t xml:space="preserve"> New York: Springer. pp. 21-45. </w:t>
      </w:r>
    </w:p>
    <w:p w14:paraId="4BEEEF18" w14:textId="77777777" w:rsidR="00B94971" w:rsidRDefault="0047225A">
      <w:pPr>
        <w:spacing w:after="0" w:line="259" w:lineRule="auto"/>
        <w:ind w:left="0" w:firstLine="0"/>
        <w:jc w:val="left"/>
      </w:pPr>
      <w:r>
        <w:t xml:space="preserve"> </w:t>
      </w:r>
    </w:p>
    <w:p w14:paraId="2857543F" w14:textId="77777777" w:rsidR="00B94971" w:rsidRDefault="0047225A">
      <w:pPr>
        <w:ind w:left="-5"/>
      </w:pPr>
      <w:r>
        <w:t xml:space="preserve">Peace, S., Holland, C. and </w:t>
      </w:r>
      <w:proofErr w:type="spellStart"/>
      <w:r>
        <w:t>Kellaher</w:t>
      </w:r>
      <w:proofErr w:type="spellEnd"/>
      <w:r>
        <w:t xml:space="preserve">, L. 2011. ‘Option </w:t>
      </w:r>
      <w:proofErr w:type="spellStart"/>
      <w:r>
        <w:t>recogniton</w:t>
      </w:r>
      <w:proofErr w:type="spellEnd"/>
      <w:r>
        <w:t xml:space="preserve">’ in later life: Variations in ageing in place. </w:t>
      </w:r>
      <w:r>
        <w:rPr>
          <w:i/>
        </w:rPr>
        <w:t>Ageing &amp; Society</w:t>
      </w:r>
      <w:r>
        <w:t xml:space="preserve"> 31: 734-757. </w:t>
      </w:r>
    </w:p>
    <w:p w14:paraId="3947B746" w14:textId="77777777" w:rsidR="00B94971" w:rsidRDefault="0047225A">
      <w:pPr>
        <w:spacing w:after="0" w:line="259" w:lineRule="auto"/>
        <w:ind w:left="0" w:firstLine="0"/>
        <w:jc w:val="left"/>
      </w:pPr>
      <w:r>
        <w:t xml:space="preserve"> </w:t>
      </w:r>
    </w:p>
    <w:p w14:paraId="0F4ECFB9" w14:textId="77777777" w:rsidR="00B94971" w:rsidRDefault="0047225A">
      <w:pPr>
        <w:spacing w:after="10" w:line="249" w:lineRule="auto"/>
        <w:ind w:left="-5"/>
      </w:pPr>
      <w:r>
        <w:t xml:space="preserve">Ramsay, M. 2010. </w:t>
      </w:r>
      <w:r>
        <w:rPr>
          <w:i/>
        </w:rPr>
        <w:t>Adapting for a lifetime: The key role of home improvement agencies in adaptations delivery.</w:t>
      </w:r>
      <w:r>
        <w:t xml:space="preserve"> Gl</w:t>
      </w:r>
      <w:r>
        <w:t xml:space="preserve">ossop: Foundations. </w:t>
      </w:r>
    </w:p>
    <w:p w14:paraId="5D83B722" w14:textId="77777777" w:rsidR="00B94971" w:rsidRDefault="0047225A">
      <w:pPr>
        <w:spacing w:after="0" w:line="259" w:lineRule="auto"/>
        <w:ind w:left="0" w:firstLine="0"/>
        <w:jc w:val="left"/>
      </w:pPr>
      <w:r>
        <w:t xml:space="preserve"> </w:t>
      </w:r>
    </w:p>
    <w:p w14:paraId="211585C5" w14:textId="77777777" w:rsidR="00B94971" w:rsidRDefault="0047225A">
      <w:pPr>
        <w:ind w:left="-5"/>
      </w:pPr>
      <w:r>
        <w:t xml:space="preserve">Rodden, T. and </w:t>
      </w:r>
      <w:proofErr w:type="spellStart"/>
      <w:r>
        <w:t>Benford</w:t>
      </w:r>
      <w:proofErr w:type="spellEnd"/>
      <w:r>
        <w:t xml:space="preserve">, S. 2003. The evolution of buildings and implications for the design of ubiquitous domestic environments. </w:t>
      </w:r>
      <w:r>
        <w:rPr>
          <w:i/>
        </w:rPr>
        <w:t xml:space="preserve">Proceedings of the 2003 CHI conference: New Horizons. April 5-10, Ft. Lauderdale, Florida. </w:t>
      </w:r>
      <w:r>
        <w:t xml:space="preserve">pp. 9-16. </w:t>
      </w:r>
    </w:p>
    <w:p w14:paraId="51B9980E" w14:textId="77777777" w:rsidR="00B94971" w:rsidRDefault="0047225A">
      <w:pPr>
        <w:spacing w:after="0" w:line="259" w:lineRule="auto"/>
        <w:ind w:left="0" w:firstLine="0"/>
        <w:jc w:val="left"/>
      </w:pPr>
      <w:r>
        <w:t xml:space="preserve"> </w:t>
      </w:r>
    </w:p>
    <w:p w14:paraId="580B217C" w14:textId="77777777" w:rsidR="00B94971" w:rsidRDefault="0047225A">
      <w:pPr>
        <w:ind w:left="-5"/>
      </w:pPr>
      <w:r>
        <w:t xml:space="preserve">Seton, H. and Bridge, C. 2006. Standing up: A systematic review of grabrail orientations. In Mann, W. C. and </w:t>
      </w:r>
      <w:proofErr w:type="spellStart"/>
      <w:r>
        <w:t>Helal</w:t>
      </w:r>
      <w:proofErr w:type="spellEnd"/>
      <w:r>
        <w:t xml:space="preserve">, A. (eds.) </w:t>
      </w:r>
      <w:r>
        <w:rPr>
          <w:i/>
        </w:rPr>
        <w:t xml:space="preserve">Promoting independence for older persons with disabilities. </w:t>
      </w:r>
      <w:r>
        <w:t xml:space="preserve">Amsterdam: IOS Press. pp. 169-188. </w:t>
      </w:r>
    </w:p>
    <w:p w14:paraId="3E106811" w14:textId="77777777" w:rsidR="00B94971" w:rsidRDefault="0047225A">
      <w:pPr>
        <w:spacing w:after="0" w:line="259" w:lineRule="auto"/>
        <w:ind w:left="0" w:firstLine="0"/>
        <w:jc w:val="left"/>
      </w:pPr>
      <w:r>
        <w:t xml:space="preserve"> </w:t>
      </w:r>
    </w:p>
    <w:p w14:paraId="16751BBC" w14:textId="77777777" w:rsidR="00B94971" w:rsidRDefault="0047225A">
      <w:pPr>
        <w:ind w:left="-5"/>
      </w:pPr>
      <w:proofErr w:type="spellStart"/>
      <w:r>
        <w:t>Steventon</w:t>
      </w:r>
      <w:proofErr w:type="spellEnd"/>
      <w:r>
        <w:t xml:space="preserve">, A., </w:t>
      </w:r>
      <w:proofErr w:type="spellStart"/>
      <w:r>
        <w:t>Bardsley</w:t>
      </w:r>
      <w:proofErr w:type="spellEnd"/>
      <w:r>
        <w:t>, M., Bil</w:t>
      </w:r>
      <w:r>
        <w:t xml:space="preserve">lings, J., Dixon, J., Doll, H., Hirani, S., Cartwright, M., </w:t>
      </w:r>
      <w:proofErr w:type="spellStart"/>
      <w:r>
        <w:t>Rixon</w:t>
      </w:r>
      <w:proofErr w:type="spellEnd"/>
      <w:r>
        <w:t>, L., Knapp, M., Henderson, C., Rogers, A., Fitzpatrick, R., Hendy, J. and Newman, S. 2012. Effect of telehealth on use of secondary care and mortality: findings from the Whole System Demonst</w:t>
      </w:r>
      <w:r>
        <w:t xml:space="preserve">rator cluster randomized trial, </w:t>
      </w:r>
      <w:r>
        <w:rPr>
          <w:i/>
        </w:rPr>
        <w:t xml:space="preserve">British Medical Journal </w:t>
      </w:r>
      <w:r>
        <w:t xml:space="preserve">344: e3874. </w:t>
      </w:r>
    </w:p>
    <w:p w14:paraId="25B5C0AF" w14:textId="77777777" w:rsidR="00B94971" w:rsidRDefault="0047225A">
      <w:pPr>
        <w:spacing w:after="0" w:line="259" w:lineRule="auto"/>
        <w:ind w:left="0" w:firstLine="0"/>
        <w:jc w:val="left"/>
      </w:pPr>
      <w:r>
        <w:t xml:space="preserve"> </w:t>
      </w:r>
    </w:p>
    <w:p w14:paraId="48ADB4B1" w14:textId="77777777" w:rsidR="00B94971" w:rsidRDefault="0047225A">
      <w:pPr>
        <w:ind w:left="-5"/>
      </w:pPr>
      <w:r>
        <w:t>Victor, C.,</w:t>
      </w:r>
      <w:r>
        <w:rPr>
          <w:b/>
        </w:rPr>
        <w:t xml:space="preserve"> </w:t>
      </w:r>
      <w:r>
        <w:t xml:space="preserve">Martin, W. and Zubair, M. 2012. Families and caring in South Asian Communities: a pilot study. </w:t>
      </w:r>
      <w:r>
        <w:rPr>
          <w:i/>
        </w:rPr>
        <w:t xml:space="preserve">European Journal of Social Work </w:t>
      </w:r>
      <w:r>
        <w:t>15(1): 81-96.</w:t>
      </w:r>
      <w:r>
        <w:rPr>
          <w:i/>
        </w:rPr>
        <w:t xml:space="preserve"> </w:t>
      </w:r>
    </w:p>
    <w:p w14:paraId="4AF9D034" w14:textId="77777777" w:rsidR="00B94971" w:rsidRDefault="0047225A">
      <w:pPr>
        <w:spacing w:after="0" w:line="259" w:lineRule="auto"/>
        <w:ind w:left="0" w:firstLine="0"/>
        <w:jc w:val="left"/>
      </w:pPr>
      <w:r>
        <w:t xml:space="preserve"> </w:t>
      </w:r>
    </w:p>
    <w:p w14:paraId="6CB535ED" w14:textId="77777777" w:rsidR="00B94971" w:rsidRDefault="0047225A">
      <w:pPr>
        <w:spacing w:after="110" w:line="249" w:lineRule="auto"/>
        <w:ind w:left="-5"/>
      </w:pPr>
      <w:r>
        <w:lastRenderedPageBreak/>
        <w:t xml:space="preserve">Williamson, N. 2011. </w:t>
      </w:r>
      <w:r>
        <w:rPr>
          <w:i/>
        </w:rPr>
        <w:t>Supporti</w:t>
      </w:r>
      <w:r>
        <w:rPr>
          <w:i/>
        </w:rPr>
        <w:t>ng people in private rented sector housing.</w:t>
      </w:r>
      <w:r>
        <w:t xml:space="preserve"> Glossop: Foundations. </w:t>
      </w:r>
    </w:p>
    <w:p w14:paraId="7EE2B988" w14:textId="77777777" w:rsidR="00B94971" w:rsidRDefault="0047225A">
      <w:pPr>
        <w:spacing w:after="0" w:line="259" w:lineRule="auto"/>
        <w:ind w:left="0" w:firstLine="0"/>
        <w:jc w:val="left"/>
      </w:pPr>
      <w:r>
        <w:rPr>
          <w:color w:val="2E2E2E"/>
        </w:rPr>
        <w:t xml:space="preserve"> </w:t>
      </w:r>
    </w:p>
    <w:p w14:paraId="5AF4A119" w14:textId="77777777" w:rsidR="00B94971" w:rsidRDefault="0047225A">
      <w:pPr>
        <w:spacing w:after="0" w:line="259" w:lineRule="auto"/>
        <w:ind w:left="0" w:firstLine="0"/>
        <w:jc w:val="left"/>
      </w:pPr>
      <w:r>
        <w:rPr>
          <w:color w:val="2E2E2E"/>
        </w:rPr>
        <w:t xml:space="preserve"> </w:t>
      </w:r>
    </w:p>
    <w:p w14:paraId="75D51E4F" w14:textId="77777777" w:rsidR="00B94971" w:rsidRDefault="0047225A">
      <w:pPr>
        <w:spacing w:after="0" w:line="259" w:lineRule="auto"/>
        <w:ind w:left="0" w:firstLine="0"/>
        <w:jc w:val="left"/>
      </w:pPr>
      <w:r>
        <w:rPr>
          <w:color w:val="2E2E2E"/>
        </w:rPr>
        <w:t xml:space="preserve"> </w:t>
      </w:r>
    </w:p>
    <w:sectPr w:rsidR="00B94971">
      <w:pgSz w:w="11906" w:h="16838"/>
      <w:pgMar w:top="1442" w:right="1435" w:bottom="144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9A19" w14:textId="77777777" w:rsidR="00000000" w:rsidRDefault="0047225A">
      <w:pPr>
        <w:spacing w:after="0" w:line="240" w:lineRule="auto"/>
      </w:pPr>
      <w:r>
        <w:separator/>
      </w:r>
    </w:p>
  </w:endnote>
  <w:endnote w:type="continuationSeparator" w:id="0">
    <w:p w14:paraId="5045DA25" w14:textId="77777777" w:rsidR="00000000" w:rsidRDefault="0047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FB0A" w14:textId="77777777" w:rsidR="00B94971" w:rsidRDefault="0047225A">
      <w:pPr>
        <w:spacing w:after="0" w:line="264" w:lineRule="auto"/>
        <w:ind w:left="0" w:firstLine="0"/>
        <w:jc w:val="left"/>
      </w:pPr>
      <w:r>
        <w:separator/>
      </w:r>
    </w:p>
  </w:footnote>
  <w:footnote w:type="continuationSeparator" w:id="0">
    <w:p w14:paraId="5EE1620B" w14:textId="77777777" w:rsidR="00B94971" w:rsidRDefault="0047225A">
      <w:pPr>
        <w:spacing w:after="0" w:line="264" w:lineRule="auto"/>
        <w:ind w:left="0" w:firstLine="0"/>
        <w:jc w:val="left"/>
      </w:pPr>
      <w:r>
        <w:continuationSeparator/>
      </w:r>
    </w:p>
  </w:footnote>
  <w:footnote w:id="1">
    <w:p w14:paraId="0E3D1608" w14:textId="77777777" w:rsidR="00B94971" w:rsidRDefault="0047225A">
      <w:pPr>
        <w:pStyle w:val="footnotedescription"/>
        <w:spacing w:line="264" w:lineRule="auto"/>
      </w:pPr>
      <w:r>
        <w:rPr>
          <w:rStyle w:val="footnotemark"/>
        </w:rPr>
        <w:footnoteRef/>
      </w:r>
      <w:r>
        <w:t xml:space="preserve"> </w:t>
      </w:r>
      <w:r>
        <w:t xml:space="preserve">Although the degree of subjectivity was limited by specific pointers such as amount of litter and presence of graffiti, these are themselves fairly subjective measures.  </w:t>
      </w:r>
    </w:p>
  </w:footnote>
  <w:footnote w:id="2">
    <w:p w14:paraId="5882DE29" w14:textId="77777777" w:rsidR="00B94971" w:rsidRDefault="0047225A">
      <w:pPr>
        <w:pStyle w:val="footnotedescription"/>
        <w:spacing w:line="258" w:lineRule="auto"/>
      </w:pPr>
      <w:r>
        <w:rPr>
          <w:rStyle w:val="footnotemark"/>
        </w:rPr>
        <w:footnoteRef/>
      </w:r>
      <w:r>
        <w:t xml:space="preserve"> Questions about adaptations are included on a biennial basis and the survey dataset</w:t>
      </w:r>
      <w:r>
        <w:t xml:space="preserve">s published the following year. The 2007 data were not published following an error in survey methodology.  </w:t>
      </w:r>
    </w:p>
  </w:footnote>
  <w:footnote w:id="3">
    <w:p w14:paraId="2F91C002" w14:textId="77777777" w:rsidR="00B94971" w:rsidRDefault="0047225A">
      <w:pPr>
        <w:pStyle w:val="footnotedescription"/>
        <w:spacing w:after="2" w:line="262" w:lineRule="auto"/>
      </w:pPr>
      <w:r>
        <w:rPr>
          <w:rStyle w:val="footnotemark"/>
        </w:rPr>
        <w:footnoteRef/>
      </w:r>
      <w:r>
        <w:t xml:space="preserve"> EHS2009 and EHCS2003 differ slightly, but the lists were rearranged in such a way as to make them commensurate. Table 8 shows the list of 24 adap</w:t>
      </w:r>
      <w:r>
        <w:t xml:space="preserve">tations used. </w:t>
      </w:r>
    </w:p>
  </w:footnote>
  <w:footnote w:id="4">
    <w:p w14:paraId="057FE2E6" w14:textId="77777777" w:rsidR="00B94971" w:rsidRDefault="0047225A">
      <w:pPr>
        <w:pStyle w:val="footnotedescription"/>
        <w:spacing w:line="251" w:lineRule="auto"/>
      </w:pPr>
      <w:r>
        <w:rPr>
          <w:rStyle w:val="footnotemark"/>
        </w:rPr>
        <w:footnoteRef/>
      </w:r>
      <w:r>
        <w:t xml:space="preserve"> For the remainder of the paper, the use of the term ‘household’ refers to those that fall within this definition, rather than all of the households in the surveys.</w:t>
      </w:r>
      <w:r>
        <w:rPr>
          <w:rFonts w:ascii="Calibri" w:eastAsia="Calibri" w:hAnsi="Calibri" w:cs="Calibri"/>
        </w:rPr>
        <w:t xml:space="preserve"> </w:t>
      </w:r>
    </w:p>
  </w:footnote>
  <w:footnote w:id="5">
    <w:p w14:paraId="163040B0" w14:textId="77777777" w:rsidR="00B94971" w:rsidRDefault="0047225A">
      <w:pPr>
        <w:pStyle w:val="footnotedescription"/>
        <w:spacing w:line="243" w:lineRule="auto"/>
      </w:pPr>
      <w:r>
        <w:rPr>
          <w:rStyle w:val="footnotemark"/>
        </w:rPr>
        <w:footnoteRef/>
      </w:r>
      <w:r>
        <w:t xml:space="preserve"> Correlations of statistical significance were confirmed by using the chi</w:t>
      </w:r>
      <w:r>
        <w:t xml:space="preserve">-square test, where the null hypothesis was that there is no significant difference between the expected and observed values of numbers of households with zero adaptations when related to the various social measures. A value of p&lt;0.05 was deemed to refute </w:t>
      </w:r>
      <w:r>
        <w:t xml:space="preserve">this hypothesis and thus confirm a non-coincidental relationship. </w:t>
      </w:r>
    </w:p>
  </w:footnote>
  <w:footnote w:id="6">
    <w:p w14:paraId="542E5D14" w14:textId="77777777" w:rsidR="00B94971" w:rsidRDefault="0047225A">
      <w:pPr>
        <w:pStyle w:val="footnotedescription"/>
      </w:pPr>
      <w:r>
        <w:rPr>
          <w:rStyle w:val="footnotemark"/>
        </w:rPr>
        <w:footnoteRef/>
      </w:r>
      <w:r>
        <w:t xml:space="preserve"> p=0.26 </w:t>
      </w:r>
    </w:p>
  </w:footnote>
  <w:footnote w:id="7">
    <w:p w14:paraId="11B5AA80" w14:textId="77777777" w:rsidR="00B94971" w:rsidRDefault="0047225A">
      <w:pPr>
        <w:pStyle w:val="footnotedescription"/>
      </w:pPr>
      <w:r>
        <w:rPr>
          <w:rStyle w:val="footnotemark"/>
        </w:rPr>
        <w:footnoteRef/>
      </w:r>
      <w:r>
        <w:t xml:space="preserve"> p=0.26 </w:t>
      </w:r>
    </w:p>
  </w:footnote>
  <w:footnote w:id="8">
    <w:p w14:paraId="015AA900" w14:textId="77777777" w:rsidR="00B94971" w:rsidRDefault="0047225A">
      <w:pPr>
        <w:pStyle w:val="footnotedescription"/>
      </w:pPr>
      <w:r>
        <w:rPr>
          <w:rStyle w:val="footnotemark"/>
        </w:rPr>
        <w:footnoteRef/>
      </w:r>
      <w:r>
        <w:t xml:space="preserve"> p=9.4E-215 </w:t>
      </w:r>
    </w:p>
  </w:footnote>
  <w:footnote w:id="9">
    <w:p w14:paraId="0E1216D5" w14:textId="77777777" w:rsidR="00B94971" w:rsidRDefault="0047225A">
      <w:pPr>
        <w:pStyle w:val="footnotedescription"/>
      </w:pPr>
      <w:r>
        <w:rPr>
          <w:rStyle w:val="footnotemark"/>
        </w:rPr>
        <w:footnoteRef/>
      </w:r>
      <w:r>
        <w:t xml:space="preserve"> p=7.7E-17 </w:t>
      </w:r>
    </w:p>
  </w:footnote>
  <w:footnote w:id="10">
    <w:p w14:paraId="670294D6" w14:textId="77777777" w:rsidR="00B94971" w:rsidRDefault="0047225A">
      <w:pPr>
        <w:pStyle w:val="footnotedescription"/>
      </w:pPr>
      <w:r>
        <w:rPr>
          <w:rStyle w:val="footnotemark"/>
        </w:rPr>
        <w:footnoteRef/>
      </w:r>
      <w:r>
        <w:t xml:space="preserve"> p=0.13 for EHCS2003; p=0.26 for EHS2009 </w:t>
      </w:r>
    </w:p>
  </w:footnote>
  <w:footnote w:id="11">
    <w:p w14:paraId="6914C891" w14:textId="77777777" w:rsidR="00B94971" w:rsidRDefault="0047225A">
      <w:pPr>
        <w:pStyle w:val="footnotedescription"/>
        <w:spacing w:line="236" w:lineRule="auto"/>
        <w:ind w:right="7"/>
        <w:jc w:val="both"/>
      </w:pPr>
      <w:r>
        <w:rPr>
          <w:rStyle w:val="footnotemark"/>
        </w:rPr>
        <w:footnoteRef/>
      </w:r>
      <w:r>
        <w:t xml:space="preserve"> Despite the many shortcomings discussed in the text, one advantage of large scale surveys is that</w:t>
      </w:r>
      <w:r>
        <w:t xml:space="preserve"> by maintaining a consistent methodology, error rates remain constant. Issues such as interviewee misunderstandings are therefore equally likely between the two surveys used here, so that any observable patterns of change are likely to be statistically sig</w:t>
      </w:r>
      <w:r>
        <w:t xml:space="preserve">nificant and not unduly skewed by individual cases </w:t>
      </w:r>
      <w:r>
        <w:rPr>
          <w:rFonts w:ascii="Calibri" w:eastAsia="Calibri" w:hAnsi="Calibri" w:cs="Calibri"/>
          <w:sz w:val="22"/>
        </w:rPr>
        <w:t xml:space="preserve"> </w:t>
      </w:r>
    </w:p>
  </w:footnote>
  <w:footnote w:id="12">
    <w:p w14:paraId="5D5F5DB5" w14:textId="77777777" w:rsidR="00B94971" w:rsidRDefault="0047225A">
      <w:pPr>
        <w:pStyle w:val="footnotedescription"/>
      </w:pPr>
      <w:r>
        <w:rPr>
          <w:rStyle w:val="footnotemark"/>
        </w:rPr>
        <w:footnoteRef/>
      </w:r>
      <w:r>
        <w:t xml:space="preserve"> Further details are available at </w:t>
      </w:r>
      <w:hyperlink r:id="rId1">
        <w:r>
          <w:rPr>
            <w:color w:val="0000FF"/>
            <w:u w:val="single" w:color="0000FF"/>
          </w:rPr>
          <w:t>www.lifetimehomes.org.uk</w:t>
        </w:r>
      </w:hyperlink>
      <w:hyperlink r:id="rId2">
        <w:r>
          <w:t xml:space="preserve"> </w:t>
        </w:r>
      </w:hyperlink>
      <w:r>
        <w:t xml:space="preserve">(accessed October 2014) </w:t>
      </w:r>
    </w:p>
  </w:footnote>
  <w:footnote w:id="13">
    <w:p w14:paraId="2E9ACC56" w14:textId="77777777" w:rsidR="00B94971" w:rsidRDefault="0047225A">
      <w:pPr>
        <w:pStyle w:val="footnotedescription"/>
        <w:spacing w:line="255" w:lineRule="auto"/>
      </w:pPr>
      <w:r>
        <w:rPr>
          <w:rStyle w:val="footnotemark"/>
        </w:rPr>
        <w:footnoteRef/>
      </w:r>
      <w:r>
        <w:t xml:space="preserve"> Other forms of assistive technology based on ICT could be seen as more flexible, but suffer with the inflexibility of their infrastructure (Barlow </w:t>
      </w:r>
      <w:r>
        <w:rPr>
          <w:i/>
        </w:rPr>
        <w:t>et al</w:t>
      </w:r>
      <w:r>
        <w:t xml:space="preserve">. 2007).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44290"/>
    <w:multiLevelType w:val="hybridMultilevel"/>
    <w:tmpl w:val="989E4B4E"/>
    <w:lvl w:ilvl="0" w:tplc="57F01D8E">
      <w:start w:val="10"/>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2BF84C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BADC3B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214001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69AA2B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8D230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3C68E2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E24AED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1F86C2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16cid:durableId="1399593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971"/>
    <w:rsid w:val="0047225A"/>
    <w:rsid w:val="00B94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82ED"/>
  <w15:docId w15:val="{D84670C8-1F9A-4CB7-AD16-7E989833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0" w:hanging="10"/>
      <w:jc w:val="both"/>
      <w:outlineLvl w:val="1"/>
    </w:pPr>
    <w:rPr>
      <w:rFonts w:ascii="Times New Roman" w:eastAsia="Times New Roman" w:hAnsi="Times New Roman" w:cs="Times New Roman"/>
      <w:i/>
      <w:color w:val="000000"/>
      <w:sz w:val="24"/>
    </w:rPr>
  </w:style>
  <w:style w:type="paragraph" w:styleId="Heading3">
    <w:name w:val="heading 3"/>
    <w:next w:val="Normal"/>
    <w:link w:val="Heading3Char"/>
    <w:uiPriority w:val="9"/>
    <w:unhideWhenUsed/>
    <w:qFormat/>
    <w:pPr>
      <w:keepNext/>
      <w:keepLines/>
      <w:spacing w:after="10" w:line="249" w:lineRule="auto"/>
      <w:ind w:left="10" w:hanging="10"/>
      <w:jc w:val="both"/>
      <w:outlineLvl w:val="2"/>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i/>
      <w:color w:val="000000"/>
      <w:sz w:val="24"/>
    </w:rPr>
  </w:style>
  <w:style w:type="character" w:customStyle="1" w:styleId="Heading3Char">
    <w:name w:val="Heading 3 Char"/>
    <w:link w:val="Heading3"/>
    <w:rPr>
      <w:rFonts w:ascii="Times New Roman" w:eastAsia="Times New Roman" w:hAnsi="Times New Roman" w:cs="Times New Roman"/>
      <w:i/>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3millionlives.co.uk/wp-content/uploads/2012/03/3millionlives-News-Release.pdf" TargetMode="External"/><Relationship Id="rId18" Type="http://schemas.openxmlformats.org/officeDocument/2006/relationships/hyperlink" Target="http://www.dh.gov.uk/en/Publicationsandstatistics/Publications/PublicationsPolicyAndGuidance/DH_113154" TargetMode="External"/><Relationship Id="rId26" Type="http://schemas.openxmlformats.org/officeDocument/2006/relationships/hyperlink" Target="http://informahealthcare.com/doi/pdf/10.3109/09638288.2011.624250" TargetMode="External"/><Relationship Id="rId39" Type="http://schemas.openxmlformats.org/officeDocument/2006/relationships/hyperlink" Target="http://www.ons.gov.uk/ons/rel/census/2011-census-analysis/a-century-of-home-ownership-and-renting-in-england-and-wales/index.html" TargetMode="External"/><Relationship Id="rId21" Type="http://schemas.openxmlformats.org/officeDocument/2006/relationships/hyperlink" Target="http://informahealthcare.com/doi/pdf/10.3109/09638288.2011.624250" TargetMode="External"/><Relationship Id="rId34" Type="http://schemas.openxmlformats.org/officeDocument/2006/relationships/hyperlink" Target="http://www.sciencedirect.com/science/journal/08835403" TargetMode="External"/><Relationship Id="rId42" Type="http://schemas.openxmlformats.org/officeDocument/2006/relationships/hyperlink" Target="http://www.ons.gov.uk/ons/rel/census/2011-census-analysis/a-century-of-home-ownership-and-renting-in-england-and-wales/short-story-on-housing.html" TargetMode="External"/><Relationship Id="rId47" Type="http://schemas.openxmlformats.org/officeDocument/2006/relationships/hyperlink" Target="http://www.ons.gov.uk/ons/rel/census/2011-census-analysis/a-century-of-home-ownership-and-renting-in-england-and-wales/short-story-on-housing.html" TargetMode="External"/><Relationship Id="rId50" Type="http://schemas.openxmlformats.org/officeDocument/2006/relationships/hyperlink" Target="http://www.ons.gov.uk/ons/rel/census/2011-census-analysis/a-century-of-home-ownership-and-renting-in-england-and-wales/short-story-on-housing.html" TargetMode="External"/><Relationship Id="rId55" Type="http://schemas.openxmlformats.org/officeDocument/2006/relationships/hyperlink" Target="http://www.ons.gov.uk/ons/rel/census/2011-census-analysis/a-century-of-home-ownership-and-renting-in-england-and-wales/short-story-on-housing.html" TargetMode="External"/><Relationship Id="rId63" Type="http://schemas.openxmlformats.org/officeDocument/2006/relationships/hyperlink" Target="http://www.ons.gov.uk/ons/rel/census/2011-census-analysis/a-century-of-home-ownership-and-renting-in-england-and-wales/short-story-on-housing.html" TargetMode="External"/><Relationship Id="rId68" Type="http://schemas.openxmlformats.org/officeDocument/2006/relationships/hyperlink" Target="http://www.ons.gov.uk/ons/rel/census/2011-census-analysis/a-century-of-home-ownership-and-renting-in-england-and-wales/short-story-on-housing.html" TargetMode="External"/><Relationship Id="rId7" Type="http://schemas.openxmlformats.org/officeDocument/2006/relationships/image" Target="media/image1.png"/><Relationship Id="rId71" Type="http://schemas.openxmlformats.org/officeDocument/2006/relationships/hyperlink" Target="http://www.ons.gov.uk/ons/rel/census/2011-census-analysis/a-century-of-home-ownership-and-renting-in-england-and-wales/short-story-on-housing.html" TargetMode="External"/><Relationship Id="rId2" Type="http://schemas.openxmlformats.org/officeDocument/2006/relationships/styles" Target="styles.xml"/><Relationship Id="rId16" Type="http://schemas.openxmlformats.org/officeDocument/2006/relationships/hyperlink" Target="http://www.dh.gov.uk/en/Publicationsandstatistics/Publications/PublicationsPolicyAndGuidance/DH_113154" TargetMode="External"/><Relationship Id="rId29" Type="http://schemas.openxmlformats.org/officeDocument/2006/relationships/hyperlink" Target="http://informahealthcare.com/doi/pdf/10.3109/09638288.2011.624250" TargetMode="External"/><Relationship Id="rId11" Type="http://schemas.openxmlformats.org/officeDocument/2006/relationships/hyperlink" Target="http://3millionlives.co.uk/wp-content/uploads/2012/03/3millionlives-News-Release.pdf" TargetMode="External"/><Relationship Id="rId24" Type="http://schemas.openxmlformats.org/officeDocument/2006/relationships/hyperlink" Target="http://informahealthcare.com/doi/pdf/10.3109/09638288.2011.624250" TargetMode="External"/><Relationship Id="rId32" Type="http://schemas.openxmlformats.org/officeDocument/2006/relationships/hyperlink" Target="http://www.sciencedirect.com/science/journal/08835403" TargetMode="External"/><Relationship Id="rId37" Type="http://schemas.openxmlformats.org/officeDocument/2006/relationships/hyperlink" Target="http://www.sciencedirect.com/science/journal/08835403" TargetMode="External"/><Relationship Id="rId40" Type="http://schemas.openxmlformats.org/officeDocument/2006/relationships/hyperlink" Target="http://www.ons.gov.uk/ons/rel/census/2011-census-analysis/a-century-of-home-ownership-and-renting-in-england-and-wales/index.html" TargetMode="External"/><Relationship Id="rId45" Type="http://schemas.openxmlformats.org/officeDocument/2006/relationships/hyperlink" Target="http://www.ons.gov.uk/ons/rel/census/2011-census-analysis/a-century-of-home-ownership-and-renting-in-england-and-wales/short-story-on-housing.html" TargetMode="External"/><Relationship Id="rId53" Type="http://schemas.openxmlformats.org/officeDocument/2006/relationships/hyperlink" Target="http://www.ons.gov.uk/ons/rel/census/2011-census-analysis/a-century-of-home-ownership-and-renting-in-england-and-wales/short-story-on-housing.html" TargetMode="External"/><Relationship Id="rId58" Type="http://schemas.openxmlformats.org/officeDocument/2006/relationships/hyperlink" Target="http://www.ons.gov.uk/ons/rel/census/2011-census-analysis/a-century-of-home-ownership-and-renting-in-england-and-wales/short-story-on-housing.html" TargetMode="External"/><Relationship Id="rId66" Type="http://schemas.openxmlformats.org/officeDocument/2006/relationships/hyperlink" Target="http://www.ons.gov.uk/ons/rel/census/2011-census-analysis/a-century-of-home-ownership-and-renting-in-england-and-wales/short-story-on-housing.html"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3millionlives.co.uk/wp-content/uploads/2012/03/3millionlives-News-Release.pdf" TargetMode="External"/><Relationship Id="rId23" Type="http://schemas.openxmlformats.org/officeDocument/2006/relationships/hyperlink" Target="http://informahealthcare.com/doi/pdf/10.3109/09638288.2011.624250" TargetMode="External"/><Relationship Id="rId28" Type="http://schemas.openxmlformats.org/officeDocument/2006/relationships/hyperlink" Target="http://informahealthcare.com/doi/pdf/10.3109/09638288.2011.624250" TargetMode="External"/><Relationship Id="rId36" Type="http://schemas.openxmlformats.org/officeDocument/2006/relationships/hyperlink" Target="http://www.sciencedirect.com/science/journal/08835403" TargetMode="External"/><Relationship Id="rId49" Type="http://schemas.openxmlformats.org/officeDocument/2006/relationships/hyperlink" Target="http://www.ons.gov.uk/ons/rel/census/2011-census-analysis/a-century-of-home-ownership-and-renting-in-england-and-wales/short-story-on-housing.html" TargetMode="External"/><Relationship Id="rId57" Type="http://schemas.openxmlformats.org/officeDocument/2006/relationships/hyperlink" Target="http://www.ons.gov.uk/ons/rel/census/2011-census-analysis/a-century-of-home-ownership-and-renting-in-england-and-wales/short-story-on-housing.html" TargetMode="External"/><Relationship Id="rId61" Type="http://schemas.openxmlformats.org/officeDocument/2006/relationships/hyperlink" Target="http://www.ons.gov.uk/ons/rel/census/2011-census-analysis/a-century-of-home-ownership-and-renting-in-england-and-wales/short-story-on-housing.html" TargetMode="External"/><Relationship Id="rId10" Type="http://schemas.openxmlformats.org/officeDocument/2006/relationships/hyperlink" Target="http://3millionlives.co.uk/wp-content/uploads/2012/03/3millionlives-News-Release.pdf" TargetMode="External"/><Relationship Id="rId19" Type="http://schemas.openxmlformats.org/officeDocument/2006/relationships/hyperlink" Target="http://www.planningportal.gov.uk/uploads/br/BR_PDF_ADM_2004.pdf" TargetMode="External"/><Relationship Id="rId31" Type="http://schemas.openxmlformats.org/officeDocument/2006/relationships/hyperlink" Target="http://www.sciencedirect.com/science/journal/08835403" TargetMode="External"/><Relationship Id="rId44" Type="http://schemas.openxmlformats.org/officeDocument/2006/relationships/hyperlink" Target="http://www.ons.gov.uk/ons/rel/census/2011-census-analysis/a-century-of-home-ownership-and-renting-in-england-and-wales/short-story-on-housing.html" TargetMode="External"/><Relationship Id="rId52" Type="http://schemas.openxmlformats.org/officeDocument/2006/relationships/hyperlink" Target="http://www.ons.gov.uk/ons/rel/census/2011-census-analysis/a-century-of-home-ownership-and-renting-in-england-and-wales/short-story-on-housing.html" TargetMode="External"/><Relationship Id="rId60" Type="http://schemas.openxmlformats.org/officeDocument/2006/relationships/hyperlink" Target="http://www.ons.gov.uk/ons/rel/census/2011-census-analysis/a-century-of-home-ownership-and-renting-in-england-and-wales/short-story-on-housing.html" TargetMode="External"/><Relationship Id="rId65" Type="http://schemas.openxmlformats.org/officeDocument/2006/relationships/hyperlink" Target="http://www.ons.gov.uk/ons/rel/census/2011-census-analysis/a-century-of-home-ownership-and-renting-in-england-and-wales/short-story-on-housing.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3millionlives.co.uk/wp-content/uploads/2012/03/3millionlives-News-Release.pdf" TargetMode="External"/><Relationship Id="rId14" Type="http://schemas.openxmlformats.org/officeDocument/2006/relationships/hyperlink" Target="http://3millionlives.co.uk/wp-content/uploads/2012/03/3millionlives-News-Release.pdf" TargetMode="External"/><Relationship Id="rId22" Type="http://schemas.openxmlformats.org/officeDocument/2006/relationships/hyperlink" Target="http://informahealthcare.com/doi/pdf/10.3109/09638288.2011.624250" TargetMode="External"/><Relationship Id="rId27" Type="http://schemas.openxmlformats.org/officeDocument/2006/relationships/hyperlink" Target="http://informahealthcare.com/doi/pdf/10.3109/09638288.2011.624250" TargetMode="External"/><Relationship Id="rId30" Type="http://schemas.openxmlformats.org/officeDocument/2006/relationships/hyperlink" Target="http://www.sciencedirect.com/science/journal/08835403" TargetMode="External"/><Relationship Id="rId35" Type="http://schemas.openxmlformats.org/officeDocument/2006/relationships/hyperlink" Target="http://www.sciencedirect.com/science/journal/08835403" TargetMode="External"/><Relationship Id="rId43" Type="http://schemas.openxmlformats.org/officeDocument/2006/relationships/hyperlink" Target="http://www.ons.gov.uk/ons/rel/census/2011-census-analysis/a-century-of-home-ownership-and-renting-in-england-and-wales/short-story-on-housing.html" TargetMode="External"/><Relationship Id="rId48" Type="http://schemas.openxmlformats.org/officeDocument/2006/relationships/hyperlink" Target="http://www.ons.gov.uk/ons/rel/census/2011-census-analysis/a-century-of-home-ownership-and-renting-in-england-and-wales/short-story-on-housing.html" TargetMode="External"/><Relationship Id="rId56" Type="http://schemas.openxmlformats.org/officeDocument/2006/relationships/hyperlink" Target="http://www.ons.gov.uk/ons/rel/census/2011-census-analysis/a-century-of-home-ownership-and-renting-in-england-and-wales/short-story-on-housing.html" TargetMode="External"/><Relationship Id="rId64" Type="http://schemas.openxmlformats.org/officeDocument/2006/relationships/hyperlink" Target="http://www.ons.gov.uk/ons/rel/census/2011-census-analysis/a-century-of-home-ownership-and-renting-in-england-and-wales/short-story-on-housing.html" TargetMode="External"/><Relationship Id="rId69" Type="http://schemas.openxmlformats.org/officeDocument/2006/relationships/hyperlink" Target="http://www.ons.gov.uk/ons/rel/census/2011-census-analysis/a-century-of-home-ownership-and-renting-in-england-and-wales/short-story-on-housing.html" TargetMode="External"/><Relationship Id="rId8" Type="http://schemas.openxmlformats.org/officeDocument/2006/relationships/hyperlink" Target="http://3millionlives.co.uk/wp-content/uploads/2012/03/3millionlives-News-Release.pdf" TargetMode="External"/><Relationship Id="rId51" Type="http://schemas.openxmlformats.org/officeDocument/2006/relationships/hyperlink" Target="http://www.ons.gov.uk/ons/rel/census/2011-census-analysis/a-century-of-home-ownership-and-renting-in-england-and-wales/short-story-on-housing.html" TargetMode="External"/><Relationship Id="rId72" Type="http://schemas.openxmlformats.org/officeDocument/2006/relationships/hyperlink" Target="http://www.ons.gov.uk/ons/rel/census/2011-census-analysis/a-century-of-home-ownership-and-renting-in-england-and-wales/short-story-on-housing.html" TargetMode="External"/><Relationship Id="rId3" Type="http://schemas.openxmlformats.org/officeDocument/2006/relationships/settings" Target="settings.xml"/><Relationship Id="rId12" Type="http://schemas.openxmlformats.org/officeDocument/2006/relationships/hyperlink" Target="http://3millionlives.co.uk/wp-content/uploads/2012/03/3millionlives-News-Release.pdf" TargetMode="External"/><Relationship Id="rId17" Type="http://schemas.openxmlformats.org/officeDocument/2006/relationships/hyperlink" Target="http://www.dh.gov.uk/en/Publicationsandstatistics/Publications/PublicationsPolicyAndGuidance/DH_113154" TargetMode="External"/><Relationship Id="rId25" Type="http://schemas.openxmlformats.org/officeDocument/2006/relationships/hyperlink" Target="http://informahealthcare.com/doi/pdf/10.3109/09638288.2011.624250" TargetMode="External"/><Relationship Id="rId33" Type="http://schemas.openxmlformats.org/officeDocument/2006/relationships/hyperlink" Target="http://www.sciencedirect.com/science/journal/08835403" TargetMode="External"/><Relationship Id="rId38" Type="http://schemas.openxmlformats.org/officeDocument/2006/relationships/hyperlink" Target="http://www.sciencedirect.com/science/journal/08835403" TargetMode="External"/><Relationship Id="rId46" Type="http://schemas.openxmlformats.org/officeDocument/2006/relationships/hyperlink" Target="http://www.ons.gov.uk/ons/rel/census/2011-census-analysis/a-century-of-home-ownership-and-renting-in-england-and-wales/short-story-on-housing.html" TargetMode="External"/><Relationship Id="rId59" Type="http://schemas.openxmlformats.org/officeDocument/2006/relationships/hyperlink" Target="http://www.ons.gov.uk/ons/rel/census/2011-census-analysis/a-century-of-home-ownership-and-renting-in-england-and-wales/short-story-on-housing.html" TargetMode="External"/><Relationship Id="rId67" Type="http://schemas.openxmlformats.org/officeDocument/2006/relationships/hyperlink" Target="http://www.ons.gov.uk/ons/rel/census/2011-census-analysis/a-century-of-home-ownership-and-renting-in-england-and-wales/short-story-on-housing.html" TargetMode="External"/><Relationship Id="rId20" Type="http://schemas.openxmlformats.org/officeDocument/2006/relationships/hyperlink" Target="http://www.planningportal.gov.uk/uploads/br/BR_PDF_ADM_2004.pdf" TargetMode="External"/><Relationship Id="rId41" Type="http://schemas.openxmlformats.org/officeDocument/2006/relationships/hyperlink" Target="http://www.ons.gov.uk/ons/rel/census/2011-census-analysis/a-century-of-home-ownership-and-renting-in-england-and-wales/short-story-on-housing.html" TargetMode="External"/><Relationship Id="rId54" Type="http://schemas.openxmlformats.org/officeDocument/2006/relationships/hyperlink" Target="http://www.ons.gov.uk/ons/rel/census/2011-census-analysis/a-century-of-home-ownership-and-renting-in-england-and-wales/short-story-on-housing.html" TargetMode="External"/><Relationship Id="rId62" Type="http://schemas.openxmlformats.org/officeDocument/2006/relationships/hyperlink" Target="http://www.ons.gov.uk/ons/rel/census/2011-census-analysis/a-century-of-home-ownership-and-renting-in-england-and-wales/short-story-on-housing.html" TargetMode="External"/><Relationship Id="rId70" Type="http://schemas.openxmlformats.org/officeDocument/2006/relationships/hyperlink" Target="http://www.ons.gov.uk/ons/rel/census/2011-census-analysis/a-century-of-home-ownership-and-renting-in-england-and-wales/short-story-on-housing.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lifetimehomes.org.uk/" TargetMode="External"/><Relationship Id="rId1" Type="http://schemas.openxmlformats.org/officeDocument/2006/relationships/hyperlink" Target="http://www.lifetimehom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11704</Words>
  <Characters>66716</Characters>
  <Application>Microsoft Office Word</Application>
  <DocSecurity>0</DocSecurity>
  <Lines>555</Lines>
  <Paragraphs>156</Paragraphs>
  <ScaleCrop>false</ScaleCrop>
  <Company/>
  <LinksUpToDate>false</LinksUpToDate>
  <CharactersWithSpaces>78264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Ewart</dc:creator>
  <cp:keywords/>
  <cp:lastModifiedBy>Cassie Bowman</cp:lastModifiedBy>
  <cp:revision>2</cp:revision>
  <dcterms:created xsi:type="dcterms:W3CDTF">2022-11-09T11:53:00Z</dcterms:created>
  <dcterms:modified xsi:type="dcterms:W3CDTF">2022-11-09T11:53:00Z</dcterms:modified>
</cp:coreProperties>
</file>