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65D" w14:textId="19F0D336" w:rsidR="0058770C" w:rsidRPr="009E6656" w:rsidRDefault="0058770C" w:rsidP="009E6656">
      <w:pPr>
        <w:jc w:val="center"/>
        <w:rPr>
          <w:rFonts w:asciiTheme="minorHAnsi" w:hAnsiTheme="minorHAnsi" w:cstheme="minorHAnsi"/>
          <w:b/>
          <w:bCs/>
        </w:rPr>
      </w:pPr>
      <w:r w:rsidRPr="009E6656">
        <w:rPr>
          <w:rFonts w:asciiTheme="minorHAnsi" w:hAnsiTheme="minorHAnsi" w:cstheme="minorHAnsi"/>
          <w:b/>
          <w:bCs/>
        </w:rPr>
        <w:t>July 2021 Copy</w:t>
      </w:r>
    </w:p>
    <w:p w14:paraId="46E38AD2" w14:textId="77777777" w:rsidR="0058770C" w:rsidRPr="009E6656" w:rsidRDefault="0058770C" w:rsidP="0058770C">
      <w:pPr>
        <w:rPr>
          <w:rFonts w:asciiTheme="minorHAnsi" w:hAnsiTheme="minorHAnsi" w:cstheme="minorHAnsi"/>
          <w:b/>
          <w:bCs/>
        </w:rPr>
      </w:pPr>
    </w:p>
    <w:p w14:paraId="6ADDD76F" w14:textId="77777777" w:rsidR="0058770C" w:rsidRPr="009E6656" w:rsidRDefault="0058770C" w:rsidP="0058770C">
      <w:pPr>
        <w:rPr>
          <w:rFonts w:asciiTheme="minorHAnsi" w:hAnsiTheme="minorHAnsi" w:cstheme="minorHAnsi"/>
          <w:b/>
          <w:bCs/>
        </w:rPr>
      </w:pPr>
      <w:r w:rsidRPr="009E6656">
        <w:rPr>
          <w:rFonts w:asciiTheme="minorHAnsi" w:hAnsiTheme="minorHAnsi" w:cstheme="minorHAnsi"/>
          <w:b/>
          <w:bCs/>
        </w:rPr>
        <w:t>Memantine</w:t>
      </w:r>
    </w:p>
    <w:p w14:paraId="5B9E9B82" w14:textId="77777777" w:rsidR="0058770C" w:rsidRPr="009E6656" w:rsidRDefault="0058770C" w:rsidP="0058770C">
      <w:pPr>
        <w:rPr>
          <w:rFonts w:asciiTheme="minorHAnsi" w:hAnsiTheme="minorHAnsi" w:cstheme="minorHAnsi"/>
          <w:b/>
          <w:bCs/>
        </w:rPr>
      </w:pPr>
    </w:p>
    <w:p w14:paraId="2D38FB7A" w14:textId="57DCE926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1: A derivative of the anti-viral </w:t>
      </w:r>
      <w:r w:rsidR="00E50D38">
        <w:rPr>
          <w:lang w:val="en"/>
        </w:rPr>
        <w:t xml:space="preserve">drug </w:t>
      </w:r>
      <w:r>
        <w:rPr>
          <w:lang w:val="en"/>
        </w:rPr>
        <w:t xml:space="preserve">amantadine, </w:t>
      </w:r>
      <w:hyperlink r:id="rId5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was</w:t>
      </w:r>
      <w:r>
        <w:rPr>
          <w:lang w:val="en"/>
        </w:rPr>
        <w:t xml:space="preserve"> first </w:t>
      </w:r>
      <w:proofErr w:type="spellStart"/>
      <w:r>
        <w:rPr>
          <w:lang w:val="en"/>
        </w:rPr>
        <w:t>synthesised</w:t>
      </w:r>
      <w:proofErr w:type="spellEnd"/>
      <w:r>
        <w:rPr>
          <w:lang w:val="en"/>
        </w:rPr>
        <w:t xml:space="preserve"> in the 1960s. The anti-viral action (of both</w:t>
      </w:r>
      <w:r>
        <w:rPr>
          <w:lang w:val="en"/>
        </w:rPr>
        <w:t xml:space="preserve"> drugs</w:t>
      </w:r>
      <w:r>
        <w:rPr>
          <w:lang w:val="en"/>
        </w:rPr>
        <w:t>) remains unclear</w:t>
      </w:r>
      <w:r w:rsidR="00E50D38">
        <w:rPr>
          <w:lang w:val="en"/>
        </w:rPr>
        <w:t xml:space="preserve"> &amp; neither is </w:t>
      </w:r>
      <w:r>
        <w:rPr>
          <w:lang w:val="en"/>
        </w:rPr>
        <w:t>recommended for use</w:t>
      </w:r>
      <w:r w:rsidR="00E50D38">
        <w:rPr>
          <w:lang w:val="en"/>
        </w:rPr>
        <w:t xml:space="preserve"> as an anti-viral agent. However, </w:t>
      </w:r>
      <w:r>
        <w:rPr>
          <w:lang w:val="en"/>
        </w:rPr>
        <w:t xml:space="preserve"> </w:t>
      </w:r>
      <w:hyperlink r:id="rId6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is known to be effective for Alzheimer’s disease (AD) &amp; was licensed in Europe in 2013</w:t>
      </w:r>
    </w:p>
    <w:p w14:paraId="0604641C" w14:textId="77777777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7A14A987" w14:textId="19164291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2: </w:t>
      </w:r>
      <w:hyperlink r:id="rId7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is used 2nd line for moderate-severe AD, usual maintenance 20mg/day; tablet or oral solution. Can be an alternative to acetylcholinesterase inhibitors (</w:t>
      </w:r>
      <w:proofErr w:type="spellStart"/>
      <w:r>
        <w:rPr>
          <w:lang w:val="en"/>
        </w:rPr>
        <w:t>AChIs</w:t>
      </w:r>
      <w:proofErr w:type="spellEnd"/>
      <w:r>
        <w:rPr>
          <w:lang w:val="en"/>
        </w:rPr>
        <w:t>);</w:t>
      </w:r>
      <w:hyperlink r:id="rId8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can also be added to the </w:t>
      </w:r>
      <w:proofErr w:type="spellStart"/>
      <w:r>
        <w:rPr>
          <w:lang w:val="en"/>
        </w:rPr>
        <w:t>AChI</w:t>
      </w:r>
      <w:proofErr w:type="spellEnd"/>
      <w:r>
        <w:rPr>
          <w:lang w:val="en"/>
        </w:rPr>
        <w:t xml:space="preserve"> (combination may have additive effect but poor evidence)</w:t>
      </w:r>
    </w:p>
    <w:p w14:paraId="056DC867" w14:textId="77777777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014031F2" w14:textId="6DA8D2AA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3: Kinetics; </w:t>
      </w:r>
      <w:hyperlink r:id="rId9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is 100% bioavailable post oral absorption! Minor metabolism </w:t>
      </w:r>
      <w:r>
        <w:rPr>
          <w:lang w:val="en"/>
        </w:rPr>
        <w:t>possible via</w:t>
      </w:r>
      <w:r>
        <w:rPr>
          <w:lang w:val="en"/>
        </w:rPr>
        <w:t xml:space="preserve"> phase 2. 99% renal excretion</w:t>
      </w:r>
      <w:r>
        <w:rPr>
          <w:lang w:val="en"/>
        </w:rPr>
        <w:t xml:space="preserve"> therefore </w:t>
      </w:r>
      <w:r>
        <w:rPr>
          <w:lang w:val="en"/>
        </w:rPr>
        <w:t xml:space="preserve">care in renal impairment (if severe </w:t>
      </w:r>
      <w:r>
        <w:rPr>
          <w:lang w:val="en"/>
        </w:rPr>
        <w:t xml:space="preserve">halve the </w:t>
      </w:r>
      <w:r>
        <w:rPr>
          <w:lang w:val="en"/>
        </w:rPr>
        <w:t>dose).</w:t>
      </w:r>
      <w:r>
        <w:rPr>
          <w:lang w:val="en"/>
        </w:rPr>
        <w:t xml:space="preserve"> </w:t>
      </w:r>
      <w:r>
        <w:rPr>
          <w:lang w:val="en"/>
        </w:rPr>
        <w:t xml:space="preserve">Active tubular reabsorption occurs, which is enhanced by </w:t>
      </w:r>
      <w:r>
        <w:rPr>
          <w:lang w:val="en"/>
        </w:rPr>
        <w:t xml:space="preserve">increased </w:t>
      </w:r>
      <w:r>
        <w:rPr>
          <w:lang w:val="en"/>
        </w:rPr>
        <w:t>pH, so diet</w:t>
      </w:r>
      <w:r>
        <w:rPr>
          <w:lang w:val="en"/>
        </w:rPr>
        <w:t xml:space="preserve"> or </w:t>
      </w:r>
      <w:r>
        <w:rPr>
          <w:lang w:val="en"/>
        </w:rPr>
        <w:t>antacids can affect clearance. T½ 2-4 days</w:t>
      </w:r>
    </w:p>
    <w:p w14:paraId="2A4A797C" w14:textId="77777777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1065678F" w14:textId="2959445C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4: MOA: </w:t>
      </w:r>
      <w:hyperlink r:id="rId10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is a non-competitive NMDA antagonist, whereby it preferentially blocks overactive channels (</w:t>
      </w:r>
      <w:r>
        <w:rPr>
          <w:lang w:val="en"/>
        </w:rPr>
        <w:t>this may be what leads to</w:t>
      </w:r>
      <w:r>
        <w:rPr>
          <w:lang w:val="en"/>
        </w:rPr>
        <w:t xml:space="preserve"> AD symptoms). By allowing physiological glutamate </w:t>
      </w:r>
      <w:r>
        <w:rPr>
          <w:lang w:val="en"/>
        </w:rPr>
        <w:t>signaling</w:t>
      </w:r>
      <w:r>
        <w:rPr>
          <w:lang w:val="en"/>
        </w:rPr>
        <w:t>, while reducing excitability, some neurological functions are restored, such as memory</w:t>
      </w:r>
    </w:p>
    <w:p w14:paraId="140FABEB" w14:textId="77777777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4B4B436" w14:textId="45F8FB1F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>Day 5: Adverse drug events</w:t>
      </w:r>
      <w:r>
        <w:rPr>
          <w:lang w:val="en"/>
        </w:rPr>
        <w:t xml:space="preserve"> for</w:t>
      </w:r>
      <w:r>
        <w:rPr>
          <w:lang w:val="en"/>
        </w:rPr>
        <w:t xml:space="preserve"> </w:t>
      </w:r>
      <w:hyperlink r:id="rId11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>: Common; psychiatric disorders, somnolence,</w:t>
      </w:r>
      <w:r>
        <w:rPr>
          <w:lang w:val="en"/>
        </w:rPr>
        <w:t xml:space="preserve"> </w:t>
      </w:r>
      <w:r>
        <w:rPr>
          <w:lang w:val="en"/>
        </w:rPr>
        <w:t xml:space="preserve">constipation, liver conditions, headache, impaired balance, </w:t>
      </w:r>
      <w:proofErr w:type="spellStart"/>
      <w:r>
        <w:rPr>
          <w:lang w:val="en"/>
        </w:rPr>
        <w:t>dyspnoea</w:t>
      </w:r>
      <w:proofErr w:type="spellEnd"/>
      <w:r>
        <w:rPr>
          <w:lang w:val="en"/>
        </w:rPr>
        <w:t xml:space="preserve">. Rare/serious </w:t>
      </w:r>
      <w:r>
        <w:rPr>
          <w:lang w:val="en"/>
        </w:rPr>
        <w:t>ADRs i</w:t>
      </w:r>
      <w:r>
        <w:rPr>
          <w:lang w:val="en"/>
        </w:rPr>
        <w:t>nclude VTE, fungal infection, pancreatitis,</w:t>
      </w:r>
      <w:r>
        <w:rPr>
          <w:lang w:val="en"/>
        </w:rPr>
        <w:t xml:space="preserve"> </w:t>
      </w:r>
      <w:r>
        <w:rPr>
          <w:lang w:val="en"/>
        </w:rPr>
        <w:t>seizure (not exhaustive)</w:t>
      </w:r>
    </w:p>
    <w:p w14:paraId="020DF6C8" w14:textId="77777777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0904AFDD" w14:textId="543508B3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6: Drug-drug interactions </w:t>
      </w:r>
      <w:hyperlink r:id="rId12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>; CNS toxicity with concurrent amantadine/ketamine (severe).Can increase effects of levodopa (&amp; other P</w:t>
      </w:r>
      <w:r>
        <w:rPr>
          <w:lang w:val="en"/>
        </w:rPr>
        <w:t>arkinson’s disease</w:t>
      </w:r>
      <w:r>
        <w:rPr>
          <w:lang w:val="en"/>
        </w:rPr>
        <w:t xml:space="preserve"> drugs (moderate)) </w:t>
      </w:r>
      <w:r>
        <w:rPr>
          <w:lang w:val="en"/>
        </w:rPr>
        <w:t>&amp; can increase effects of</w:t>
      </w:r>
      <w:r>
        <w:rPr>
          <w:lang w:val="en"/>
        </w:rPr>
        <w:t xml:space="preserve"> anti-</w:t>
      </w:r>
      <w:proofErr w:type="spellStart"/>
      <w:r>
        <w:rPr>
          <w:lang w:val="en"/>
        </w:rPr>
        <w:t>muscarinics</w:t>
      </w:r>
      <w:proofErr w:type="spellEnd"/>
      <w:r>
        <w:rPr>
          <w:lang w:val="en"/>
        </w:rPr>
        <w:t>; May increase the anti-coagulant effect of warfarin (in SPC &amp; CKS, but not BNF).Not exhaustive</w:t>
      </w:r>
    </w:p>
    <w:p w14:paraId="41B1EE6D" w14:textId="77777777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7788D55" w14:textId="0EE22708" w:rsidR="0058770C" w:rsidRDefault="0058770C" w:rsidP="0058770C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>Day 7: Neurodegeneration re Alzheimer's poss</w:t>
      </w:r>
      <w:r>
        <w:rPr>
          <w:lang w:val="en"/>
        </w:rPr>
        <w:t>ibly</w:t>
      </w:r>
      <w:r>
        <w:rPr>
          <w:lang w:val="en"/>
        </w:rPr>
        <w:t xml:space="preserve"> caused by dysregulation of calcium, </w:t>
      </w:r>
      <w:r>
        <w:rPr>
          <w:lang w:val="en"/>
        </w:rPr>
        <w:t>increased</w:t>
      </w:r>
      <w:r>
        <w:rPr>
          <w:lang w:val="en"/>
        </w:rPr>
        <w:t xml:space="preserve"> production of beta </w:t>
      </w:r>
      <w:proofErr w:type="gramStart"/>
      <w:r>
        <w:rPr>
          <w:lang w:val="en"/>
        </w:rPr>
        <w:t xml:space="preserve">amyloid </w:t>
      </w:r>
      <w:r>
        <w:rPr>
          <w:lang w:val="en"/>
        </w:rPr>
        <w:t>,</w:t>
      </w:r>
      <w:proofErr w:type="gramEnd"/>
      <w:r>
        <w:rPr>
          <w:lang w:val="en"/>
        </w:rPr>
        <w:t xml:space="preserve"> leading to </w:t>
      </w:r>
      <w:r>
        <w:rPr>
          <w:lang w:val="en"/>
        </w:rPr>
        <w:t xml:space="preserve">cell death. Suppressing excessive glutamate </w:t>
      </w:r>
      <w:r>
        <w:rPr>
          <w:lang w:val="en"/>
        </w:rPr>
        <w:t>signaling</w:t>
      </w:r>
      <w:r>
        <w:rPr>
          <w:lang w:val="en"/>
        </w:rPr>
        <w:t xml:space="preserve"> via </w:t>
      </w:r>
      <w:hyperlink r:id="rId13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memantine</w:t>
        </w:r>
      </w:hyperlink>
      <w:r>
        <w:rPr>
          <w:lang w:val="en"/>
        </w:rPr>
        <w:t xml:space="preserve"> could inhibit this pathological </w:t>
      </w:r>
      <w:proofErr w:type="gramStart"/>
      <w:r>
        <w:rPr>
          <w:lang w:val="en"/>
        </w:rPr>
        <w:t>process, &amp;</w:t>
      </w:r>
      <w:proofErr w:type="gramEnd"/>
      <w:r>
        <w:rPr>
          <w:lang w:val="en"/>
        </w:rPr>
        <w:t xml:space="preserve"> may slow down disease progression (poorly understood).</w:t>
      </w:r>
    </w:p>
    <w:p w14:paraId="76D2C2C1" w14:textId="77777777" w:rsidR="0058770C" w:rsidRDefault="0058770C" w:rsidP="0058770C">
      <w:pPr>
        <w:pStyle w:val="tweet-action-item"/>
        <w:spacing w:before="0" w:beforeAutospacing="0" w:after="0" w:afterAutospacing="0" w:line="308" w:lineRule="atLeast"/>
        <w:ind w:left="720"/>
      </w:pPr>
    </w:p>
    <w:p w14:paraId="0E864DE4" w14:textId="77777777" w:rsidR="0058770C" w:rsidRDefault="0058770C" w:rsidP="0058770C"/>
    <w:p w14:paraId="53A82F1D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76245196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6A5AD077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8FC5181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42CF8766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2E8A1D1C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038B98D6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6F7D46EC" w14:textId="59BA7C5C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CPD: in addition to the tweets, read the BNF sections on ‘</w:t>
      </w:r>
      <w:proofErr w:type="spellStart"/>
      <w:r>
        <w:rPr>
          <w:rFonts w:asciiTheme="minorHAnsi" w:hAnsiTheme="minorHAnsi" w:cstheme="minorHAnsi"/>
        </w:rPr>
        <w:t>Dementia</w:t>
      </w:r>
      <w:proofErr w:type="spellEnd"/>
      <w:r>
        <w:rPr>
          <w:rFonts w:asciiTheme="minorHAnsi" w:hAnsiTheme="minorHAnsi" w:cstheme="minorHAnsi"/>
        </w:rPr>
        <w:t xml:space="preserve">’, as well as the monograph on </w:t>
      </w:r>
      <w:r>
        <w:rPr>
          <w:rFonts w:asciiTheme="minorHAnsi" w:hAnsiTheme="minorHAnsi" w:cstheme="minorHAnsi"/>
        </w:rPr>
        <w:t>memantine</w:t>
      </w:r>
    </w:p>
    <w:p w14:paraId="687080C5" w14:textId="4092AE61" w:rsidR="0058770C" w:rsidRDefault="0058770C" w:rsidP="0058770C"/>
    <w:p w14:paraId="563895DB" w14:textId="7D9BAD24" w:rsidR="0058770C" w:rsidRDefault="0058770C" w:rsidP="0058770C">
      <w:hyperlink r:id="rId14" w:history="1">
        <w:r w:rsidRPr="009D7F4E">
          <w:rPr>
            <w:rStyle w:val="Hyperlink"/>
          </w:rPr>
          <w:t>https://bnf.nice.org.uk/treatment-summary/dementia.html</w:t>
        </w:r>
      </w:hyperlink>
    </w:p>
    <w:p w14:paraId="5EA1F48E" w14:textId="584E2807" w:rsidR="0058770C" w:rsidRDefault="0058770C" w:rsidP="0058770C"/>
    <w:p w14:paraId="6EB87A90" w14:textId="225FE4A1" w:rsidR="0058770C" w:rsidRDefault="0060217C" w:rsidP="0058770C">
      <w:hyperlink r:id="rId15" w:history="1">
        <w:r w:rsidRPr="009D7F4E">
          <w:rPr>
            <w:rStyle w:val="Hyperlink"/>
          </w:rPr>
          <w:t>https://bnf.nice.org.uk/drug/memantine-hydrochloride.html</w:t>
        </w:r>
      </w:hyperlink>
      <w:r>
        <w:t xml:space="preserve"> </w:t>
      </w:r>
    </w:p>
    <w:p w14:paraId="6560B847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F08FF1A" w14:textId="2B015851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Another useful source is the Summary Products Characteristics for </w:t>
      </w:r>
      <w:r w:rsidR="0060217C">
        <w:rPr>
          <w:rFonts w:asciiTheme="minorHAnsi" w:hAnsiTheme="minorHAnsi" w:cstheme="minorHAnsi"/>
        </w:rPr>
        <w:t>memantine</w:t>
      </w:r>
    </w:p>
    <w:p w14:paraId="572F53BF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75B35E66" w14:textId="5386055F" w:rsidR="0058770C" w:rsidRDefault="0060217C" w:rsidP="0058770C">
      <w:hyperlink r:id="rId16" w:history="1">
        <w:r w:rsidRPr="009D7F4E">
          <w:rPr>
            <w:rStyle w:val="Hyperlink"/>
          </w:rPr>
          <w:t>https://www.medicines.org.uk/emc/product/716/smpc#gref</w:t>
        </w:r>
      </w:hyperlink>
    </w:p>
    <w:p w14:paraId="69F160D0" w14:textId="77777777" w:rsidR="0060217C" w:rsidRDefault="0060217C" w:rsidP="0058770C"/>
    <w:p w14:paraId="7D3967B0" w14:textId="77777777" w:rsidR="0058770C" w:rsidRDefault="0058770C" w:rsidP="0058770C"/>
    <w:p w14:paraId="1E4BB5DD" w14:textId="77777777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CPD questions (most but not all answers will be in the tweets). There is only one correct answer per question</w:t>
      </w:r>
    </w:p>
    <w:p w14:paraId="1D72FF2B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5FB3DBA7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741ACAFF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42EA9B63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D57FD75" w14:textId="77777777" w:rsidR="0058770C" w:rsidRPr="005C478E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C478E">
        <w:rPr>
          <w:rFonts w:asciiTheme="minorHAnsi" w:hAnsiTheme="minorHAnsi" w:cstheme="minorHAnsi"/>
        </w:rPr>
        <w:t>Memantine is a drug related to levodopa</w:t>
      </w:r>
    </w:p>
    <w:p w14:paraId="73A338D5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57C84095" w14:textId="5788E09B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862820D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623F21B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C0BD74B" w14:textId="77777777" w:rsidR="0058770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Memantine is used in the UK for Alzheimer’s disease, but not for Parkinson’s disease</w:t>
      </w:r>
    </w:p>
    <w:p w14:paraId="0D4F17CA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2E50550F" w14:textId="77777777" w:rsidR="0058770C" w:rsidRPr="005C478E" w:rsidRDefault="0058770C" w:rsidP="0058770C">
      <w:pPr>
        <w:rPr>
          <w:rFonts w:asciiTheme="minorHAnsi" w:hAnsiTheme="minorHAnsi" w:cstheme="minorHAnsi"/>
        </w:rPr>
      </w:pPr>
    </w:p>
    <w:p w14:paraId="425A6EDC" w14:textId="391D8502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25BC225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533BF36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D3B562F" w14:textId="77777777" w:rsidR="0058770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0865FB34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4B62C139" w14:textId="77777777" w:rsidR="0058770C" w:rsidRDefault="0058770C" w:rsidP="005877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Memantine has poor oral absorption</w:t>
      </w:r>
    </w:p>
    <w:p w14:paraId="269B7E8D" w14:textId="77777777" w:rsidR="0058770C" w:rsidRDefault="0058770C" w:rsidP="005877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Memantine has some anti-viral action(s)</w:t>
      </w:r>
    </w:p>
    <w:p w14:paraId="3652AEB5" w14:textId="7789E4FC" w:rsidR="0058770C" w:rsidRDefault="0058770C" w:rsidP="005877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Memantine undergoes extensive phase 1 metabolism</w:t>
      </w:r>
      <w:r w:rsidR="0060217C">
        <w:rPr>
          <w:rFonts w:asciiTheme="minorHAnsi" w:hAnsiTheme="minorHAnsi" w:cstheme="minorHAnsi"/>
        </w:rPr>
        <w:t xml:space="preserve"> in the kidney</w:t>
      </w:r>
    </w:p>
    <w:p w14:paraId="1D05142C" w14:textId="77777777" w:rsidR="0058770C" w:rsidRDefault="0058770C" w:rsidP="005877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Memantine has a short half-life</w:t>
      </w:r>
    </w:p>
    <w:p w14:paraId="66E39B39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7A33F5C" w14:textId="3C846A61" w:rsidR="0058770C" w:rsidRDefault="0058770C" w:rsidP="0058770C">
      <w:pPr>
        <w:rPr>
          <w:rFonts w:asciiTheme="minorHAnsi" w:hAnsiTheme="minorHAnsi" w:cstheme="minorHAnsi"/>
        </w:rPr>
      </w:pPr>
    </w:p>
    <w:p w14:paraId="3EF1DE1C" w14:textId="77777777" w:rsidR="0060217C" w:rsidRDefault="0060217C" w:rsidP="0058770C">
      <w:pPr>
        <w:rPr>
          <w:rFonts w:asciiTheme="minorHAnsi" w:hAnsiTheme="minorHAnsi" w:cstheme="minorHAnsi"/>
        </w:rPr>
      </w:pPr>
    </w:p>
    <w:p w14:paraId="6CC268BD" w14:textId="61CA5AFE" w:rsidR="0058770C" w:rsidRPr="005C478E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C478E">
        <w:rPr>
          <w:rFonts w:asciiTheme="minorHAnsi" w:hAnsiTheme="minorHAnsi" w:cstheme="minorHAnsi"/>
        </w:rPr>
        <w:t xml:space="preserve">Memantine is used on its own and shouldn’t be added to other drugs used for </w:t>
      </w:r>
      <w:r w:rsidR="0060217C">
        <w:rPr>
          <w:rFonts w:asciiTheme="minorHAnsi" w:hAnsiTheme="minorHAnsi" w:cstheme="minorHAnsi"/>
        </w:rPr>
        <w:t>Alzheimer’s disease</w:t>
      </w:r>
    </w:p>
    <w:p w14:paraId="7938FCF7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A4D7590" w14:textId="00228D30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8A3C318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2D8048E3" w14:textId="2B11B1B2" w:rsidR="0058770C" w:rsidRDefault="0058770C" w:rsidP="0058770C">
      <w:pPr>
        <w:rPr>
          <w:rFonts w:asciiTheme="minorHAnsi" w:hAnsiTheme="minorHAnsi" w:cstheme="minorHAnsi"/>
        </w:rPr>
      </w:pPr>
    </w:p>
    <w:p w14:paraId="60DAB0F6" w14:textId="40C3A928" w:rsidR="0060217C" w:rsidRDefault="0060217C" w:rsidP="0058770C">
      <w:pPr>
        <w:rPr>
          <w:rFonts w:asciiTheme="minorHAnsi" w:hAnsiTheme="minorHAnsi" w:cstheme="minorHAnsi"/>
        </w:rPr>
      </w:pPr>
    </w:p>
    <w:p w14:paraId="2D3D2A91" w14:textId="77777777" w:rsidR="0060217C" w:rsidRDefault="0060217C" w:rsidP="0058770C">
      <w:pPr>
        <w:rPr>
          <w:rFonts w:asciiTheme="minorHAnsi" w:hAnsiTheme="minorHAnsi" w:cstheme="minorHAnsi"/>
        </w:rPr>
      </w:pPr>
    </w:p>
    <w:p w14:paraId="2D78E5C9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2142823" w14:textId="5D45BCB3" w:rsidR="0058770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Memantine is usually used </w:t>
      </w:r>
      <w:r w:rsidR="009E6656">
        <w:rPr>
          <w:rFonts w:asciiTheme="minorHAnsi" w:hAnsiTheme="minorHAnsi" w:cstheme="minorHAnsi"/>
        </w:rPr>
        <w:t>second line</w:t>
      </w:r>
      <w:r>
        <w:rPr>
          <w:rFonts w:asciiTheme="minorHAnsi" w:hAnsiTheme="minorHAnsi" w:cstheme="minorHAnsi"/>
        </w:rPr>
        <w:t xml:space="preserve"> as a treatment for AD</w:t>
      </w:r>
    </w:p>
    <w:p w14:paraId="2A549192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09615320" w14:textId="77777777" w:rsidR="0058770C" w:rsidRPr="00010F1C" w:rsidRDefault="0058770C" w:rsidP="0058770C">
      <w:pPr>
        <w:rPr>
          <w:rFonts w:asciiTheme="minorHAnsi" w:hAnsiTheme="minorHAnsi" w:cstheme="minorHAnsi"/>
        </w:rPr>
      </w:pPr>
    </w:p>
    <w:p w14:paraId="75BEB83B" w14:textId="1E96B7A6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0AEA5D2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71C42D4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523C9B2D" w14:textId="17100CE9" w:rsidR="0058770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best describes the mechanism of action for memantine</w:t>
      </w:r>
      <w:r w:rsidR="0060217C">
        <w:rPr>
          <w:rFonts w:asciiTheme="minorHAnsi" w:hAnsiTheme="minorHAnsi" w:cstheme="minorHAnsi"/>
        </w:rPr>
        <w:t>?</w:t>
      </w:r>
    </w:p>
    <w:p w14:paraId="7A19F738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512E126F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6F860629" w14:textId="440ADB5F" w:rsidR="0058770C" w:rsidRDefault="0060217C" w:rsidP="005877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e</w:t>
      </w:r>
      <w:r w:rsidR="0058770C">
        <w:rPr>
          <w:rFonts w:asciiTheme="minorHAnsi" w:hAnsiTheme="minorHAnsi" w:cstheme="minorHAnsi"/>
        </w:rPr>
        <w:t>nhances dopamine signalling</w:t>
      </w:r>
    </w:p>
    <w:p w14:paraId="03A74AEF" w14:textId="76124204" w:rsidR="0058770C" w:rsidRDefault="0060217C" w:rsidP="005877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r</w:t>
      </w:r>
      <w:r w:rsidR="0058770C">
        <w:rPr>
          <w:rFonts w:asciiTheme="minorHAnsi" w:hAnsiTheme="minorHAnsi" w:cstheme="minorHAnsi"/>
        </w:rPr>
        <w:t>estores memory by encouraging re-growth of neurons in the amygdala</w:t>
      </w:r>
    </w:p>
    <w:p w14:paraId="43F26600" w14:textId="2C646AC8" w:rsidR="0058770C" w:rsidRDefault="0060217C" w:rsidP="005877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c</w:t>
      </w:r>
      <w:r w:rsidR="0058770C">
        <w:rPr>
          <w:rFonts w:asciiTheme="minorHAnsi" w:hAnsiTheme="minorHAnsi" w:cstheme="minorHAnsi"/>
        </w:rPr>
        <w:t>alms neuro-excitability by blocking NDMA (glutamate) signal transmission</w:t>
      </w:r>
    </w:p>
    <w:p w14:paraId="453FEA29" w14:textId="3BE23B88" w:rsidR="0058770C" w:rsidRDefault="0060217C" w:rsidP="005877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</w:t>
      </w:r>
      <w:r w:rsidR="0058770C">
        <w:rPr>
          <w:rFonts w:asciiTheme="minorHAnsi" w:hAnsiTheme="minorHAnsi" w:cstheme="minorHAnsi"/>
        </w:rPr>
        <w:t>mproves serotonin levels</w:t>
      </w:r>
      <w:r>
        <w:rPr>
          <w:rFonts w:asciiTheme="minorHAnsi" w:hAnsiTheme="minorHAnsi" w:cstheme="minorHAnsi"/>
        </w:rPr>
        <w:t>,</w:t>
      </w:r>
      <w:r w:rsidR="0058770C">
        <w:rPr>
          <w:rFonts w:asciiTheme="minorHAnsi" w:hAnsiTheme="minorHAnsi" w:cstheme="minorHAnsi"/>
        </w:rPr>
        <w:t xml:space="preserve"> which helps reduce stress and improve mood</w:t>
      </w:r>
    </w:p>
    <w:p w14:paraId="400710C5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6A1B224A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77DAC38D" w14:textId="258F4227" w:rsidR="0060217C" w:rsidRPr="0060217C" w:rsidRDefault="0058770C" w:rsidP="0060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a common adverse drug reaction</w:t>
      </w:r>
      <w:r w:rsidR="0060217C">
        <w:rPr>
          <w:rFonts w:asciiTheme="minorHAnsi" w:hAnsiTheme="minorHAnsi" w:cstheme="minorHAnsi"/>
        </w:rPr>
        <w:t xml:space="preserve"> for memantine?</w:t>
      </w:r>
    </w:p>
    <w:p w14:paraId="574B9525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09A5A109" w14:textId="77777777" w:rsidR="0058770C" w:rsidRDefault="0058770C" w:rsidP="005877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Constipation </w:t>
      </w:r>
    </w:p>
    <w:p w14:paraId="321F7BA9" w14:textId="77777777" w:rsidR="0058770C" w:rsidRDefault="0058770C" w:rsidP="005877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Seizure</w:t>
      </w:r>
    </w:p>
    <w:p w14:paraId="7CD7CE5E" w14:textId="77777777" w:rsidR="0058770C" w:rsidRDefault="0058770C" w:rsidP="005877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VTE</w:t>
      </w:r>
    </w:p>
    <w:p w14:paraId="7E14F364" w14:textId="77777777" w:rsidR="0058770C" w:rsidRDefault="0058770C" w:rsidP="005877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Pancreatitis</w:t>
      </w:r>
    </w:p>
    <w:p w14:paraId="04CA3E4A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4FB8E62E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036348F5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2F2951B" w14:textId="77777777" w:rsidR="0058770C" w:rsidRPr="00010F1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Ketamine is also an NMDA antagonist and if used together with memantine, CNS toxicity can result</w:t>
      </w:r>
    </w:p>
    <w:p w14:paraId="7F4EE5D3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10D3D8A0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2A2A271A" w14:textId="03E988CB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E2AD408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C150A9A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0E448BAB" w14:textId="77777777" w:rsidR="0058770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Memantine blocks all glutamate signalling</w:t>
      </w:r>
    </w:p>
    <w:p w14:paraId="76AECACD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2AA716B5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671ED786" w14:textId="3131972F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3F0B3E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7E9F2203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39E8BAC9" w14:textId="77777777" w:rsidR="0058770C" w:rsidRDefault="0058770C" w:rsidP="0058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hoped that memantine an slow down AD progression, but the clinical evidence for this is weak</w:t>
      </w:r>
    </w:p>
    <w:p w14:paraId="305287DD" w14:textId="77777777" w:rsidR="0058770C" w:rsidRDefault="0058770C" w:rsidP="0058770C">
      <w:pPr>
        <w:rPr>
          <w:rFonts w:asciiTheme="minorHAnsi" w:hAnsiTheme="minorHAnsi" w:cstheme="minorHAnsi"/>
        </w:rPr>
      </w:pPr>
    </w:p>
    <w:p w14:paraId="6932F0C4" w14:textId="5681ABD5" w:rsidR="0058770C" w:rsidRDefault="0058770C" w:rsidP="0058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A924400" w14:textId="77777777" w:rsidR="00F25FD9" w:rsidRDefault="00F25FD9"/>
    <w:sectPr w:rsidR="00F2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C67"/>
    <w:multiLevelType w:val="multilevel"/>
    <w:tmpl w:val="069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C3592"/>
    <w:multiLevelType w:val="hybridMultilevel"/>
    <w:tmpl w:val="4DECB5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44AC"/>
    <w:multiLevelType w:val="hybridMultilevel"/>
    <w:tmpl w:val="FFEED3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D8F"/>
    <w:multiLevelType w:val="hybridMultilevel"/>
    <w:tmpl w:val="61D809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89B"/>
    <w:multiLevelType w:val="hybridMultilevel"/>
    <w:tmpl w:val="0ECE3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71F"/>
    <w:multiLevelType w:val="multilevel"/>
    <w:tmpl w:val="02F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653AC"/>
    <w:multiLevelType w:val="multilevel"/>
    <w:tmpl w:val="70F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B2EF7"/>
    <w:multiLevelType w:val="multilevel"/>
    <w:tmpl w:val="050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E7263"/>
    <w:multiLevelType w:val="multilevel"/>
    <w:tmpl w:val="265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E074C"/>
    <w:multiLevelType w:val="multilevel"/>
    <w:tmpl w:val="5E8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C78FD"/>
    <w:multiLevelType w:val="multilevel"/>
    <w:tmpl w:val="852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0C"/>
    <w:rsid w:val="0058770C"/>
    <w:rsid w:val="0060217C"/>
    <w:rsid w:val="009E6656"/>
    <w:rsid w:val="00E50D38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5BB05"/>
  <w15:chartTrackingRefBased/>
  <w15:docId w15:val="{8A86142F-AB50-E240-8107-7141258D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0C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8770C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58770C"/>
  </w:style>
  <w:style w:type="character" w:customStyle="1" w:styleId="apple-converted-space">
    <w:name w:val="apple-converted-space"/>
    <w:basedOn w:val="DefaultParagraphFont"/>
    <w:rsid w:val="0058770C"/>
  </w:style>
  <w:style w:type="character" w:customStyle="1" w:styleId="username">
    <w:name w:val="username"/>
    <w:basedOn w:val="DefaultParagraphFont"/>
    <w:rsid w:val="0058770C"/>
  </w:style>
  <w:style w:type="paragraph" w:customStyle="1" w:styleId="js-tweet-text">
    <w:name w:val="js-tweet-text"/>
    <w:basedOn w:val="Normal"/>
    <w:rsid w:val="0058770C"/>
    <w:pPr>
      <w:spacing w:before="100" w:beforeAutospacing="1" w:after="100" w:afterAutospacing="1"/>
    </w:pPr>
  </w:style>
  <w:style w:type="character" w:customStyle="1" w:styleId="hash">
    <w:name w:val="hash"/>
    <w:basedOn w:val="DefaultParagraphFont"/>
    <w:rsid w:val="0058770C"/>
  </w:style>
  <w:style w:type="character" w:customStyle="1" w:styleId="link-complex-target">
    <w:name w:val="link-complex-target"/>
    <w:basedOn w:val="DefaultParagraphFont"/>
    <w:rsid w:val="0058770C"/>
  </w:style>
  <w:style w:type="paragraph" w:customStyle="1" w:styleId="tweet-action-item">
    <w:name w:val="tweet-action-item"/>
    <w:basedOn w:val="Normal"/>
    <w:rsid w:val="0058770C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58770C"/>
  </w:style>
  <w:style w:type="character" w:customStyle="1" w:styleId="is-vishidden">
    <w:name w:val="is-vishidden"/>
    <w:basedOn w:val="DefaultParagraphFont"/>
    <w:rsid w:val="0058770C"/>
  </w:style>
  <w:style w:type="character" w:styleId="UnresolvedMention">
    <w:name w:val="Unresolved Mention"/>
    <w:basedOn w:val="DefaultParagraphFont"/>
    <w:uiPriority w:val="99"/>
    <w:semiHidden/>
    <w:unhideWhenUsed/>
    <w:rsid w:val="0058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332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080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799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67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59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0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48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memantine" TargetMode="External"/><Relationship Id="rId13" Type="http://schemas.openxmlformats.org/officeDocument/2006/relationships/hyperlink" Target="https://twitter.com/search?q=%23memant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memantine" TargetMode="External"/><Relationship Id="rId12" Type="http://schemas.openxmlformats.org/officeDocument/2006/relationships/hyperlink" Target="https://twitter.com/search?q=%23memant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716/smpc#gr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memantine" TargetMode="External"/><Relationship Id="rId11" Type="http://schemas.openxmlformats.org/officeDocument/2006/relationships/hyperlink" Target="https://twitter.com/search?q=%23memantine" TargetMode="External"/><Relationship Id="rId5" Type="http://schemas.openxmlformats.org/officeDocument/2006/relationships/hyperlink" Target="https://twitter.com/search?q=%23memantine" TargetMode="External"/><Relationship Id="rId15" Type="http://schemas.openxmlformats.org/officeDocument/2006/relationships/hyperlink" Target="https://bnf.nice.org.uk/drug/memantine-hydrochloride.html" TargetMode="External"/><Relationship Id="rId10" Type="http://schemas.openxmlformats.org/officeDocument/2006/relationships/hyperlink" Target="https://twitter.com/search?q=%23memant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memantine" TargetMode="External"/><Relationship Id="rId14" Type="http://schemas.openxmlformats.org/officeDocument/2006/relationships/hyperlink" Target="https://bnf.nice.org.uk/treatment-summary/dement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3</cp:revision>
  <dcterms:created xsi:type="dcterms:W3CDTF">2021-07-19T13:03:00Z</dcterms:created>
  <dcterms:modified xsi:type="dcterms:W3CDTF">2021-07-19T13:38:00Z</dcterms:modified>
</cp:coreProperties>
</file>